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40CCA" w:rsidRPr="001C782D" w:rsidP="00240CCA" w14:paraId="7FBFDA53" w14:textId="43F8EC77">
      <w:pPr>
        <w:pStyle w:val="Heading1"/>
        <w:spacing w:after="240"/>
        <w:jc w:val="center"/>
        <w:rPr>
          <w:rFonts w:ascii="Times New Roman" w:hAnsi="Times New Roman" w:cs="Times New Roman"/>
          <w:color w:val="auto"/>
          <w:sz w:val="24"/>
          <w:szCs w:val="24"/>
          <w:u w:val="single"/>
        </w:rPr>
      </w:pPr>
      <w:r w:rsidRPr="001C782D">
        <w:rPr>
          <w:rFonts w:ascii="Times New Roman" w:hAnsi="Times New Roman" w:cs="Times New Roman"/>
          <w:color w:val="auto"/>
          <w:sz w:val="24"/>
          <w:szCs w:val="24"/>
          <w:u w:val="single"/>
        </w:rPr>
        <w:t>Supporting Statement</w:t>
      </w:r>
      <w:r w:rsidRPr="001C782D">
        <w:rPr>
          <w:rFonts w:ascii="Times New Roman" w:hAnsi="Times New Roman" w:cs="Times New Roman"/>
          <w:color w:val="auto"/>
          <w:sz w:val="24"/>
          <w:szCs w:val="24"/>
          <w:u w:val="single"/>
        </w:rPr>
        <w:br/>
        <w:t>OMB Control Number 1506-</w:t>
      </w:r>
      <w:r w:rsidR="00705799">
        <w:rPr>
          <w:rFonts w:ascii="Times New Roman" w:hAnsi="Times New Roman" w:cs="Times New Roman"/>
          <w:color w:val="auto"/>
          <w:sz w:val="24"/>
          <w:szCs w:val="24"/>
          <w:u w:val="single"/>
        </w:rPr>
        <w:t>0013</w:t>
      </w:r>
    </w:p>
    <w:p w:rsidR="002659CB" w:rsidP="002659CB" w14:paraId="2D968894" w14:textId="77777777">
      <w:pPr>
        <w:spacing w:after="240"/>
        <w:jc w:val="center"/>
        <w:rPr>
          <w:rFonts w:ascii="Times New Roman" w:hAnsi="Times New Roman" w:cs="Times New Roman"/>
          <w:sz w:val="24"/>
          <w:szCs w:val="24"/>
          <w:u w:val="single"/>
        </w:rPr>
      </w:pPr>
      <w:r w:rsidRPr="002659CB">
        <w:rPr>
          <w:rFonts w:ascii="Times New Roman" w:hAnsi="Times New Roman" w:cs="Times New Roman"/>
          <w:sz w:val="24"/>
          <w:szCs w:val="24"/>
          <w:u w:val="single"/>
        </w:rPr>
        <w:t xml:space="preserve">Registration </w:t>
      </w:r>
      <w:r w:rsidRPr="002659CB">
        <w:rPr>
          <w:rFonts w:ascii="Times New Roman" w:hAnsi="Times New Roman" w:cs="Times New Roman"/>
          <w:sz w:val="24"/>
          <w:szCs w:val="24"/>
          <w:u w:val="single"/>
        </w:rPr>
        <w:t>of</w:t>
      </w:r>
      <w:r w:rsidRPr="002659CB">
        <w:rPr>
          <w:rFonts w:ascii="Times New Roman" w:hAnsi="Times New Roman" w:cs="Times New Roman"/>
          <w:sz w:val="24"/>
          <w:szCs w:val="24"/>
          <w:u w:val="single"/>
        </w:rPr>
        <w:t xml:space="preserve"> Money Services Businesses</w:t>
      </w:r>
    </w:p>
    <w:p w:rsidR="00240CCA" w:rsidRPr="001C782D" w:rsidP="00240CCA" w14:paraId="5207E952" w14:textId="7E7D724A">
      <w:pPr>
        <w:spacing w:after="240"/>
        <w:rPr>
          <w:rFonts w:ascii="Times New Roman" w:hAnsi="Times New Roman" w:cs="Times New Roman"/>
          <w:sz w:val="24"/>
          <w:szCs w:val="24"/>
        </w:rPr>
      </w:pPr>
      <w:r w:rsidRPr="001C782D">
        <w:rPr>
          <w:rFonts w:ascii="Times New Roman" w:hAnsi="Times New Roman" w:cs="Times New Roman"/>
          <w:sz w:val="24"/>
          <w:szCs w:val="24"/>
        </w:rPr>
        <w:t xml:space="preserve">1. </w:t>
      </w:r>
      <w:r w:rsidRPr="001C782D">
        <w:rPr>
          <w:rFonts w:ascii="Times New Roman" w:hAnsi="Times New Roman" w:cs="Times New Roman"/>
          <w:sz w:val="24"/>
          <w:szCs w:val="24"/>
          <w:u w:val="single"/>
        </w:rPr>
        <w:t>Circumstances necessitating collection of information.</w:t>
      </w:r>
      <w:r w:rsidRPr="001C782D">
        <w:rPr>
          <w:rFonts w:ascii="Times New Roman" w:hAnsi="Times New Roman" w:cs="Times New Roman"/>
          <w:sz w:val="24"/>
          <w:szCs w:val="24"/>
        </w:rPr>
        <w:t xml:space="preserve"> </w:t>
      </w:r>
    </w:p>
    <w:p w:rsidR="001B59BE" w:rsidRPr="001B59BE" w:rsidP="00BE3509" w14:paraId="604E8476" w14:textId="19C6E457">
      <w:pPr>
        <w:pStyle w:val="BodyTextIndent"/>
        <w:spacing w:after="240"/>
        <w:ind w:left="0" w:firstLine="720"/>
      </w:pPr>
      <w:r w:rsidRPr="001B59BE">
        <w:t xml:space="preserve">The legislative framework generally referred to as the </w:t>
      </w:r>
      <w:r w:rsidR="00B23D9E">
        <w:t>Bank Secrecy Act (</w:t>
      </w:r>
      <w:r w:rsidRPr="001B59BE">
        <w:t>BSA</w:t>
      </w:r>
      <w:r w:rsidR="00B23D9E">
        <w:t>)</w:t>
      </w:r>
      <w:r w:rsidRPr="001B59BE">
        <w:t xml:space="preserve"> consists of the Currency and Foreign Transactions Reporting Act of 1970,</w:t>
      </w:r>
      <w:r>
        <w:rPr>
          <w:vertAlign w:val="superscript"/>
        </w:rPr>
        <w:footnoteReference w:id="2"/>
      </w:r>
      <w:r w:rsidRPr="001B59BE">
        <w:t xml:space="preserve"> as amended by the Uniting and Strengthening America by Providing Appropriate Tools Required to Intercept and Obstruct Terrorism Act of 2001 (USA PATRIOT Act),</w:t>
      </w:r>
      <w:r>
        <w:rPr>
          <w:vertAlign w:val="superscript"/>
        </w:rPr>
        <w:footnoteReference w:id="3"/>
      </w:r>
      <w:r w:rsidRPr="001B59BE">
        <w:t xml:space="preserve"> and other legislation, including the Anti-Money Laundering Act of 2020 (AML Act).</w:t>
      </w:r>
      <w:r>
        <w:rPr>
          <w:vertAlign w:val="superscript"/>
        </w:rPr>
        <w:footnoteReference w:id="4"/>
      </w:r>
      <w:r w:rsidRPr="001B59BE">
        <w:t xml:space="preserve">  The BSA is codified at 12 U.S.C. 1829b and 1951–1960, and 31 U.S.C. 5311–5314 and 5316–5336, and includes notes thereto, with implementing regulations at 31 CFR chapter X.   </w:t>
      </w:r>
    </w:p>
    <w:p w:rsidR="001B59BE" w:rsidRPr="001B59BE" w:rsidP="00BE3509" w14:paraId="3F3C92E3" w14:textId="6F6CD021">
      <w:pPr>
        <w:pStyle w:val="BodyTextIndent"/>
        <w:spacing w:after="240"/>
        <w:ind w:left="0" w:firstLine="720"/>
        <w:rPr>
          <w:b/>
        </w:rPr>
      </w:pPr>
      <w:r w:rsidRPr="001B59BE">
        <w:t xml:space="preserve">The BSA authorizes the Secretary of the Treasury (Secretary) to, </w:t>
      </w:r>
      <w:r w:rsidRPr="001B59BE">
        <w:rPr>
          <w:i/>
        </w:rPr>
        <w:t>inter alia</w:t>
      </w:r>
      <w:r w:rsidRPr="001B59BE">
        <w:t>, require financial institutions to keep records and file reports that are determined to have a high degree of usefulness in criminal, tax, and regulatory matters, risk assessments or proceedings, or in intelligence or counter-intelligence activities, including analysis, to protect against terrorism, and to implement anti-money laundering/countering the financing of terrorism (AML/CFT) programs and compliance procedures.</w:t>
      </w:r>
      <w:r>
        <w:rPr>
          <w:vertAlign w:val="superscript"/>
        </w:rPr>
        <w:footnoteReference w:id="5"/>
      </w:r>
      <w:r w:rsidRPr="001B59BE">
        <w:t xml:space="preserve">  The Secretary has delegated to the Director of </w:t>
      </w:r>
      <w:r w:rsidR="002610CE">
        <w:t>the Financial Crimes Enforcement Network (</w:t>
      </w:r>
      <w:r w:rsidRPr="001B59BE">
        <w:t>FinCEN</w:t>
      </w:r>
      <w:r w:rsidR="002610CE">
        <w:t>)</w:t>
      </w:r>
      <w:r w:rsidRPr="001B59BE">
        <w:t xml:space="preserve"> the authority to administer the BSA.</w:t>
      </w:r>
      <w:r>
        <w:rPr>
          <w:vertAlign w:val="superscript"/>
        </w:rPr>
        <w:footnoteReference w:id="6"/>
      </w:r>
    </w:p>
    <w:p w:rsidR="001B59BE" w:rsidRPr="001B59BE" w:rsidP="00BE3509" w14:paraId="11DBD726" w14:textId="19B29214">
      <w:pPr>
        <w:pStyle w:val="BodyTextIndent"/>
        <w:spacing w:after="240"/>
        <w:ind w:left="0" w:firstLine="720"/>
      </w:pPr>
      <w:r w:rsidRPr="001B59BE">
        <w:t>Under 31 U.S.C. 5330 and its implementing regulation (31 CFR 1022.380), MSBs</w:t>
      </w:r>
      <w:r w:rsidR="000776CD">
        <w:t xml:space="preserve"> as defined at 31 CFR 1010.100(ff)</w:t>
      </w:r>
      <w:r w:rsidRPr="001B59BE">
        <w:t xml:space="preserve"> must file an initial registration form with FinCEN, renew their registration</w:t>
      </w:r>
      <w:r w:rsidR="000776CD">
        <w:t>s</w:t>
      </w:r>
      <w:r w:rsidRPr="001B59BE">
        <w:t xml:space="preserve"> every two years, re-register under certain circumstances, and maintain a list of their </w:t>
      </w:r>
      <w:r w:rsidR="00D95294">
        <w:t xml:space="preserve">MSB </w:t>
      </w:r>
      <w:r w:rsidRPr="001B59BE">
        <w:t>agents</w:t>
      </w:r>
      <w:r w:rsidR="00D95294">
        <w:t>, if applicable</w:t>
      </w:r>
      <w:r w:rsidRPr="001B59BE">
        <w:t>.</w:t>
      </w:r>
    </w:p>
    <w:p w:rsidR="00240CCA" w:rsidRPr="001C782D" w:rsidP="00240CCA" w14:paraId="23C5AF28" w14:textId="77777777">
      <w:pPr>
        <w:spacing w:after="240"/>
        <w:rPr>
          <w:rFonts w:ascii="Times New Roman" w:hAnsi="Times New Roman" w:cs="Times New Roman"/>
          <w:sz w:val="24"/>
          <w:szCs w:val="24"/>
          <w:u w:val="single"/>
        </w:rPr>
      </w:pPr>
      <w:r w:rsidRPr="001C782D">
        <w:rPr>
          <w:rFonts w:ascii="Times New Roman" w:hAnsi="Times New Roman" w:cs="Times New Roman"/>
          <w:sz w:val="24"/>
          <w:szCs w:val="24"/>
        </w:rPr>
        <w:t xml:space="preserve">2. </w:t>
      </w:r>
      <w:r w:rsidRPr="001C782D">
        <w:rPr>
          <w:rFonts w:ascii="Times New Roman" w:hAnsi="Times New Roman" w:cs="Times New Roman"/>
          <w:sz w:val="24"/>
          <w:szCs w:val="24"/>
          <w:u w:val="single"/>
        </w:rPr>
        <w:t>Method of collection and use of data.</w:t>
      </w:r>
    </w:p>
    <w:p w:rsidR="00BE3509" w:rsidRPr="00BE3509" w:rsidP="005863C0" w14:paraId="08BB2D83" w14:textId="04BE9DF5">
      <w:pPr>
        <w:spacing w:after="240" w:line="240" w:lineRule="auto"/>
        <w:ind w:firstLine="720"/>
        <w:rPr>
          <w:rFonts w:ascii="Times New Roman" w:hAnsi="Times New Roman" w:cs="Times New Roman"/>
          <w:i/>
          <w:iCs/>
          <w:sz w:val="24"/>
          <w:szCs w:val="24"/>
          <w:lang w:val="en"/>
        </w:rPr>
      </w:pPr>
      <w:r>
        <w:rPr>
          <w:rFonts w:ascii="Times New Roman" w:hAnsi="Times New Roman" w:cs="Times New Roman"/>
          <w:i/>
          <w:iCs/>
          <w:sz w:val="24"/>
          <w:szCs w:val="24"/>
          <w:lang w:val="en"/>
        </w:rPr>
        <w:t>Registration</w:t>
      </w:r>
    </w:p>
    <w:p w:rsidR="00431C61" w:rsidP="008B7A0C" w14:paraId="6C968B7A" w14:textId="5CAF4472">
      <w:pPr>
        <w:pStyle w:val="NormalWeb"/>
        <w:shd w:val="clear" w:color="auto" w:fill="FFFFFF" w:themeFill="background1"/>
        <w:spacing w:after="240"/>
        <w:ind w:firstLine="720"/>
      </w:pPr>
      <w:r>
        <w:rPr>
          <w:lang w:val="en"/>
        </w:rPr>
        <w:t>With few exceptions, e</w:t>
      </w:r>
      <w:r w:rsidRPr="00897CA0">
        <w:rPr>
          <w:lang w:val="en"/>
        </w:rPr>
        <w:t>ach </w:t>
      </w:r>
      <w:r w:rsidRPr="008A3BD3">
        <w:rPr>
          <w:lang w:val="en"/>
        </w:rPr>
        <w:t>MSB</w:t>
      </w:r>
      <w:r>
        <w:rPr>
          <w:lang w:val="en"/>
        </w:rPr>
        <w:t> must register with FinCEN</w:t>
      </w:r>
      <w:r w:rsidRPr="00897CA0">
        <w:rPr>
          <w:lang w:val="en"/>
        </w:rPr>
        <w:t>.</w:t>
      </w:r>
      <w:r>
        <w:rPr>
          <w:rStyle w:val="FootnoteReference"/>
          <w:lang w:val="en"/>
        </w:rPr>
        <w:footnoteReference w:id="7"/>
      </w:r>
      <w:r w:rsidRPr="00897CA0">
        <w:rPr>
          <w:lang w:val="en"/>
        </w:rPr>
        <w:t xml:space="preserve"> </w:t>
      </w:r>
      <w:r>
        <w:rPr>
          <w:lang w:val="en"/>
        </w:rPr>
        <w:t xml:space="preserve"> Registration occurs via FinCEN Form 107.</w:t>
      </w:r>
      <w:r>
        <w:rPr>
          <w:rStyle w:val="FootnoteReference"/>
          <w:lang w:val="en"/>
        </w:rPr>
        <w:footnoteReference w:id="8"/>
      </w:r>
      <w:r>
        <w:rPr>
          <w:lang w:val="en"/>
        </w:rPr>
        <w:t xml:space="preserve">  The registration form for an MSB’s initial registration period must be filed on or before the end of the 180-day period beginning on the day following the date the MSB is established.</w:t>
      </w:r>
      <w:r>
        <w:rPr>
          <w:rStyle w:val="FootnoteReference"/>
          <w:lang w:val="en"/>
        </w:rPr>
        <w:footnoteReference w:id="9"/>
      </w:r>
      <w:r w:rsidRPr="00C1769D">
        <w:rPr>
          <w:lang w:val="en"/>
        </w:rPr>
        <w:t xml:space="preserve">  The initial registration period is the </w:t>
      </w:r>
      <w:r>
        <w:rPr>
          <w:lang w:val="en"/>
        </w:rPr>
        <w:t>two-</w:t>
      </w:r>
      <w:r w:rsidRPr="00D21368">
        <w:rPr>
          <w:shd w:val="clear" w:color="auto" w:fill="FFFFFF"/>
        </w:rPr>
        <w:t>calendar</w:t>
      </w:r>
      <w:r>
        <w:rPr>
          <w:shd w:val="clear" w:color="auto" w:fill="FFFFFF"/>
        </w:rPr>
        <w:t>-</w:t>
      </w:r>
      <w:r w:rsidRPr="00D21368">
        <w:rPr>
          <w:shd w:val="clear" w:color="auto" w:fill="FFFFFF"/>
        </w:rPr>
        <w:t xml:space="preserve">year </w:t>
      </w:r>
      <w:r>
        <w:rPr>
          <w:shd w:val="clear" w:color="auto" w:fill="FFFFFF"/>
        </w:rPr>
        <w:t xml:space="preserve">period that begins with </w:t>
      </w:r>
      <w:r w:rsidRPr="00D21368">
        <w:rPr>
          <w:shd w:val="clear" w:color="auto" w:fill="FFFFFF"/>
        </w:rPr>
        <w:t>the calendar year in which th</w:t>
      </w:r>
      <w:r>
        <w:rPr>
          <w:shd w:val="clear" w:color="auto" w:fill="FFFFFF"/>
        </w:rPr>
        <w:t>e MSB</w:t>
      </w:r>
      <w:r w:rsidRPr="00D21368">
        <w:rPr>
          <w:shd w:val="clear" w:color="auto" w:fill="FFFFFF"/>
        </w:rPr>
        <w:t xml:space="preserve"> is first required to be registered.</w:t>
      </w:r>
      <w:r>
        <w:rPr>
          <w:rStyle w:val="FootnoteReference"/>
          <w:shd w:val="clear" w:color="auto" w:fill="FFFFFF"/>
        </w:rPr>
        <w:footnoteReference w:id="10"/>
      </w:r>
      <w:r>
        <w:rPr>
          <w:lang w:val="en"/>
        </w:rPr>
        <w:t xml:space="preserve">  An MSB’s</w:t>
      </w:r>
      <w:r w:rsidRPr="00C1769D">
        <w:rPr>
          <w:lang w:val="en"/>
        </w:rPr>
        <w:t xml:space="preserve"> first renewal </w:t>
      </w:r>
      <w:r>
        <w:rPr>
          <w:lang w:val="en"/>
        </w:rPr>
        <w:t xml:space="preserve">comes </w:t>
      </w:r>
      <w:r w:rsidRPr="00C1769D">
        <w:rPr>
          <w:lang w:val="en"/>
        </w:rPr>
        <w:t>due</w:t>
      </w:r>
      <w:r>
        <w:rPr>
          <w:lang w:val="en"/>
        </w:rPr>
        <w:t xml:space="preserve"> on or before </w:t>
      </w:r>
      <w:r w:rsidRPr="00C1769D">
        <w:rPr>
          <w:lang w:val="en"/>
        </w:rPr>
        <w:t>the last day of</w:t>
      </w:r>
      <w:r>
        <w:rPr>
          <w:lang w:val="en"/>
        </w:rPr>
        <w:t xml:space="preserve"> that period</w:t>
      </w:r>
      <w:r w:rsidRPr="00C1769D">
        <w:rPr>
          <w:lang w:val="en"/>
        </w:rPr>
        <w:t xml:space="preserve"> </w:t>
      </w:r>
      <w:r>
        <w:rPr>
          <w:lang w:val="en"/>
        </w:rPr>
        <w:t>(</w:t>
      </w:r>
      <w:r w:rsidRPr="007E6CAC">
        <w:rPr>
          <w:i/>
          <w:iCs/>
          <w:lang w:val="en"/>
        </w:rPr>
        <w:t>i.e.</w:t>
      </w:r>
      <w:r>
        <w:rPr>
          <w:lang w:val="en"/>
        </w:rPr>
        <w:t>, December 31st of the second calendar year of the period), with subsequent renewals due every two years thereafter.</w:t>
      </w:r>
      <w:r>
        <w:rPr>
          <w:rStyle w:val="FootnoteReference"/>
          <w:lang w:val="en"/>
        </w:rPr>
        <w:footnoteReference w:id="11"/>
      </w:r>
      <w:r>
        <w:rPr>
          <w:lang w:val="en"/>
        </w:rPr>
        <w:t xml:space="preserve">  </w:t>
      </w:r>
    </w:p>
    <w:p w:rsidR="005D08FB" w:rsidP="008B7A0C" w14:paraId="27CD5035" w14:textId="26DBDE39">
      <w:pPr>
        <w:pStyle w:val="NormalWeb"/>
        <w:shd w:val="clear" w:color="auto" w:fill="FFFFFF" w:themeFill="background1"/>
        <w:spacing w:after="240"/>
        <w:ind w:firstLine="720"/>
      </w:pPr>
      <w:r w:rsidRPr="243EB332">
        <w:t xml:space="preserve">In addition to setting forth when an MSB is required to </w:t>
      </w:r>
      <w:r>
        <w:t xml:space="preserve">first obtain and then </w:t>
      </w:r>
      <w:r w:rsidRPr="243EB332">
        <w:t>renew its registration, the regulations also require</w:t>
      </w:r>
      <w:r>
        <w:t xml:space="preserve"> MSBs</w:t>
      </w:r>
      <w:r w:rsidRPr="243EB332">
        <w:t xml:space="preserve"> to re-register not later than 180 days after any of the following occurs: (1) a change in ownership that requires the MSB to be re-registered under state law; (2) a transfer of 10 percent of voting or equity interest in the MSB;</w:t>
      </w:r>
      <w:r>
        <w:rPr>
          <w:rStyle w:val="FootnoteReference"/>
          <w:lang w:val="en"/>
        </w:rPr>
        <w:footnoteReference w:id="12"/>
      </w:r>
      <w:r w:rsidRPr="243EB332">
        <w:t xml:space="preserve"> or (3) an increase in </w:t>
      </w:r>
      <w:r w:rsidR="00212816">
        <w:t xml:space="preserve">the number of </w:t>
      </w:r>
      <w:r>
        <w:t xml:space="preserve">MSB </w:t>
      </w:r>
      <w:r w:rsidRPr="243EB332">
        <w:t xml:space="preserve">agents </w:t>
      </w:r>
      <w:r w:rsidR="00212816">
        <w:t>by</w:t>
      </w:r>
      <w:r w:rsidRPr="243EB332">
        <w:t xml:space="preserve"> 50 percent or more.</w:t>
      </w:r>
      <w:r>
        <w:rPr>
          <w:rStyle w:val="FootnoteReference"/>
        </w:rPr>
        <w:footnoteReference w:id="13"/>
      </w:r>
      <w:r w:rsidRPr="243EB332">
        <w:t xml:space="preserve">  MSBs must maintain</w:t>
      </w:r>
      <w:r w:rsidR="001D3408">
        <w:t xml:space="preserve"> </w:t>
      </w:r>
      <w:r w:rsidRPr="243EB332" w:rsidR="001D3408">
        <w:t>a copy of any registration form filed under 31 CFR 1022.380</w:t>
      </w:r>
      <w:r w:rsidRPr="243EB332">
        <w:t xml:space="preserve"> for a period of five years at a </w:t>
      </w:r>
      <w:hyperlink r:id="rId9" w:history="1">
        <w:r w:rsidRPr="243EB332">
          <w:rPr>
            <w:rStyle w:val="Hyperlink"/>
            <w:color w:val="auto"/>
            <w:u w:val="none"/>
          </w:rPr>
          <w:t>location in the United States</w:t>
        </w:r>
      </w:hyperlink>
      <w:r w:rsidRPr="243EB332">
        <w:t>.</w:t>
      </w:r>
      <w:r>
        <w:rPr>
          <w:rStyle w:val="FootnoteReference"/>
        </w:rPr>
        <w:footnoteReference w:id="14"/>
      </w:r>
    </w:p>
    <w:p w:rsidR="003B3E90" w:rsidRPr="003B3E90" w:rsidP="005863C0" w14:paraId="77E5F76A" w14:textId="0CD022A2">
      <w:pPr>
        <w:spacing w:after="240" w:line="240" w:lineRule="auto"/>
        <w:ind w:firstLine="720"/>
        <w:rPr>
          <w:rFonts w:ascii="Times New Roman" w:hAnsi="Times New Roman" w:cs="Times New Roman"/>
          <w:i/>
          <w:sz w:val="24"/>
          <w:szCs w:val="24"/>
        </w:rPr>
      </w:pPr>
      <w:r w:rsidRPr="003B3E90">
        <w:rPr>
          <w:rFonts w:ascii="Times New Roman" w:hAnsi="Times New Roman" w:cs="Times New Roman"/>
          <w:i/>
          <w:sz w:val="24"/>
          <w:szCs w:val="24"/>
        </w:rPr>
        <w:t>Maintenance of an Agent List</w:t>
      </w:r>
    </w:p>
    <w:p w:rsidR="00F86AD7" w:rsidRPr="00F86AD7" w:rsidP="005863C0" w14:paraId="39B93FC2" w14:textId="56BE81FB">
      <w:pPr>
        <w:spacing w:after="240" w:line="240" w:lineRule="auto"/>
        <w:ind w:firstLine="720"/>
        <w:rPr>
          <w:rFonts w:ascii="Times New Roman" w:hAnsi="Times New Roman" w:cs="Times New Roman"/>
          <w:sz w:val="24"/>
          <w:szCs w:val="24"/>
        </w:rPr>
      </w:pPr>
      <w:r w:rsidRPr="00F86AD7">
        <w:rPr>
          <w:rFonts w:ascii="Times New Roman" w:hAnsi="Times New Roman" w:cs="Times New Roman"/>
          <w:sz w:val="24"/>
          <w:szCs w:val="24"/>
        </w:rPr>
        <w:t>A </w:t>
      </w:r>
      <w:hyperlink r:id="rId10" w:history="1">
        <w:r w:rsidRPr="00F86AD7">
          <w:rPr>
            <w:rStyle w:val="Hyperlink"/>
            <w:rFonts w:ascii="Times New Roman" w:hAnsi="Times New Roman" w:cs="Times New Roman"/>
            <w:color w:val="auto"/>
            <w:sz w:val="24"/>
            <w:szCs w:val="24"/>
            <w:u w:val="none"/>
          </w:rPr>
          <w:t>person</w:t>
        </w:r>
      </w:hyperlink>
      <w:r w:rsidRPr="00F86AD7">
        <w:rPr>
          <w:rFonts w:ascii="Times New Roman" w:hAnsi="Times New Roman" w:cs="Times New Roman"/>
          <w:sz w:val="24"/>
          <w:szCs w:val="24"/>
        </w:rPr>
        <w:t> that is an MSB solely because that person </w:t>
      </w:r>
      <w:hyperlink r:id="rId11" w:history="1">
        <w:r w:rsidRPr="00F86AD7">
          <w:rPr>
            <w:rStyle w:val="Hyperlink"/>
            <w:rFonts w:ascii="Times New Roman" w:hAnsi="Times New Roman" w:cs="Times New Roman"/>
            <w:color w:val="auto"/>
            <w:sz w:val="24"/>
            <w:szCs w:val="24"/>
            <w:u w:val="none"/>
          </w:rPr>
          <w:t>serves as an agent of another MSB</w:t>
        </w:r>
      </w:hyperlink>
      <w:r w:rsidRPr="00F86AD7">
        <w:rPr>
          <w:rFonts w:ascii="Times New Roman" w:hAnsi="Times New Roman" w:cs="Times New Roman"/>
          <w:sz w:val="24"/>
          <w:szCs w:val="24"/>
        </w:rPr>
        <w:t xml:space="preserve"> is not required to register.</w:t>
      </w:r>
      <w:r>
        <w:rPr>
          <w:rStyle w:val="FootnoteReference"/>
          <w:rFonts w:ascii="Times New Roman" w:hAnsi="Times New Roman" w:cs="Times New Roman"/>
          <w:sz w:val="24"/>
          <w:szCs w:val="24"/>
        </w:rPr>
        <w:footnoteReference w:id="15"/>
      </w:r>
      <w:r w:rsidRPr="00F86AD7">
        <w:rPr>
          <w:rFonts w:ascii="Times New Roman" w:hAnsi="Times New Roman" w:cs="Times New Roman"/>
          <w:sz w:val="24"/>
          <w:szCs w:val="24"/>
        </w:rPr>
        <w:t xml:space="preserve">  However, an MSB that is not solely an agent of other MSBs (an “MSB principal”), and that itself maintains any MSB agents</w:t>
      </w:r>
      <w:r w:rsidR="003D47BB">
        <w:rPr>
          <w:rFonts w:ascii="Times New Roman" w:hAnsi="Times New Roman" w:cs="Times New Roman"/>
          <w:sz w:val="24"/>
          <w:szCs w:val="24"/>
        </w:rPr>
        <w:t>,</w:t>
      </w:r>
      <w:r w:rsidRPr="00F86AD7">
        <w:rPr>
          <w:rFonts w:ascii="Times New Roman" w:hAnsi="Times New Roman" w:cs="Times New Roman"/>
          <w:sz w:val="24"/>
          <w:szCs w:val="24"/>
        </w:rPr>
        <w:t xml:space="preserve"> must prepare</w:t>
      </w:r>
      <w:r w:rsidR="00EC6F3D">
        <w:rPr>
          <w:rFonts w:ascii="Times New Roman" w:hAnsi="Times New Roman" w:cs="Times New Roman"/>
          <w:sz w:val="24"/>
          <w:szCs w:val="24"/>
        </w:rPr>
        <w:t>,</w:t>
      </w:r>
      <w:r w:rsidRPr="00F86AD7">
        <w:rPr>
          <w:rFonts w:ascii="Times New Roman" w:hAnsi="Times New Roman" w:cs="Times New Roman"/>
          <w:sz w:val="24"/>
          <w:szCs w:val="24"/>
        </w:rPr>
        <w:t xml:space="preserve"> maintain</w:t>
      </w:r>
      <w:r w:rsidR="00EC6F3D">
        <w:rPr>
          <w:rFonts w:ascii="Times New Roman" w:hAnsi="Times New Roman" w:cs="Times New Roman"/>
          <w:sz w:val="24"/>
          <w:szCs w:val="24"/>
        </w:rPr>
        <w:t>, and annually revise</w:t>
      </w:r>
      <w:r w:rsidRPr="00F86AD7">
        <w:rPr>
          <w:rFonts w:ascii="Times New Roman" w:hAnsi="Times New Roman" w:cs="Times New Roman"/>
          <w:sz w:val="24"/>
          <w:szCs w:val="24"/>
        </w:rPr>
        <w:t xml:space="preserve"> a list of those MSB agents (MSB agent list).</w:t>
      </w:r>
      <w:r>
        <w:rPr>
          <w:rStyle w:val="FootnoteReference"/>
          <w:rFonts w:ascii="Times New Roman" w:hAnsi="Times New Roman" w:cs="Times New Roman"/>
          <w:sz w:val="24"/>
          <w:szCs w:val="24"/>
        </w:rPr>
        <w:footnoteReference w:id="16"/>
      </w:r>
      <w:r w:rsidRPr="00F86AD7">
        <w:rPr>
          <w:rFonts w:ascii="Times New Roman" w:hAnsi="Times New Roman" w:cs="Times New Roman"/>
          <w:sz w:val="24"/>
          <w:szCs w:val="24"/>
        </w:rPr>
        <w:t xml:space="preserve">  In general, </w:t>
      </w:r>
      <w:r w:rsidR="003D47BB">
        <w:rPr>
          <w:rFonts w:ascii="Times New Roman" w:hAnsi="Times New Roman" w:cs="Times New Roman"/>
          <w:sz w:val="24"/>
          <w:szCs w:val="24"/>
        </w:rPr>
        <w:t>an</w:t>
      </w:r>
      <w:r w:rsidRPr="00F86AD7" w:rsidR="003D47BB">
        <w:rPr>
          <w:rFonts w:ascii="Times New Roman" w:hAnsi="Times New Roman" w:cs="Times New Roman"/>
          <w:sz w:val="24"/>
          <w:szCs w:val="24"/>
        </w:rPr>
        <w:t xml:space="preserve"> </w:t>
      </w:r>
      <w:r w:rsidRPr="00F86AD7">
        <w:rPr>
          <w:rFonts w:ascii="Times New Roman" w:hAnsi="Times New Roman" w:cs="Times New Roman"/>
          <w:sz w:val="24"/>
          <w:szCs w:val="24"/>
        </w:rPr>
        <w:t xml:space="preserve">MSB agent list must include the following information about each MSB agent: (1) name; (2) address; (3) telephone number; (4) type(s) of MSB activity </w:t>
      </w:r>
      <w:r w:rsidR="003D47BB">
        <w:rPr>
          <w:rFonts w:ascii="Times New Roman" w:hAnsi="Times New Roman" w:cs="Times New Roman"/>
          <w:sz w:val="24"/>
          <w:szCs w:val="24"/>
        </w:rPr>
        <w:t xml:space="preserve">the agent provides </w:t>
      </w:r>
      <w:r w:rsidRPr="00F86AD7">
        <w:rPr>
          <w:rFonts w:ascii="Times New Roman" w:hAnsi="Times New Roman" w:cs="Times New Roman"/>
          <w:sz w:val="24"/>
          <w:szCs w:val="24"/>
        </w:rPr>
        <w:t xml:space="preserve">(e.g., check cashing, currency exchange, or money transmission, among others); (5) list of the months in which the MSB agent’s gross transaction amount of MSB principal-issued financial products or services exceeded $100,000 in the 12 months immediately preceding the date of the MSB principal’s last MSB agent list; (6) the name and address for any depository institution at which the MSB agent maintains a transaction account for all or part of the funds for financial products or services issued by the MSB principal; (7) first year in which the MSB agent served an agent of the MSB principal; and (8) number of </w:t>
      </w:r>
      <w:r w:rsidR="003D47BB">
        <w:rPr>
          <w:rFonts w:ascii="Times New Roman" w:hAnsi="Times New Roman" w:cs="Times New Roman"/>
          <w:sz w:val="24"/>
          <w:szCs w:val="24"/>
        </w:rPr>
        <w:t>branches</w:t>
      </w:r>
      <w:r w:rsidRPr="00F86AD7">
        <w:rPr>
          <w:rFonts w:ascii="Times New Roman" w:hAnsi="Times New Roman" w:cs="Times New Roman"/>
          <w:sz w:val="24"/>
          <w:szCs w:val="24"/>
        </w:rPr>
        <w:t xml:space="preserve"> or subagents the MSB agent has.</w:t>
      </w:r>
      <w:r>
        <w:rPr>
          <w:rStyle w:val="FootnoteReference"/>
          <w:rFonts w:ascii="Times New Roman" w:hAnsi="Times New Roman" w:cs="Times New Roman"/>
          <w:sz w:val="24"/>
          <w:szCs w:val="24"/>
        </w:rPr>
        <w:footnoteReference w:id="17"/>
      </w:r>
      <w:r w:rsidRPr="00F86AD7">
        <w:rPr>
          <w:rFonts w:ascii="Times New Roman" w:hAnsi="Times New Roman" w:cs="Times New Roman"/>
          <w:sz w:val="24"/>
          <w:szCs w:val="24"/>
        </w:rPr>
        <w:t xml:space="preserve">  An MSB principal is not required to include its MSB agent list when filing its registration with FinCEN using Form 107, but the </w:t>
      </w:r>
      <w:r w:rsidRPr="00F86AD7">
        <w:rPr>
          <w:rFonts w:ascii="Times New Roman" w:hAnsi="Times New Roman" w:cs="Times New Roman"/>
          <w:sz w:val="24"/>
          <w:szCs w:val="24"/>
        </w:rPr>
        <w:t>MSB principal must maintain the MSB agent list at a location in the United States reported on the MSB registration form.</w:t>
      </w:r>
      <w:r>
        <w:rPr>
          <w:rStyle w:val="FootnoteReference"/>
          <w:rFonts w:ascii="Times New Roman" w:hAnsi="Times New Roman" w:cs="Times New Roman"/>
          <w:sz w:val="24"/>
          <w:szCs w:val="24"/>
        </w:rPr>
        <w:footnoteReference w:id="18"/>
      </w:r>
      <w:r w:rsidRPr="00F86AD7">
        <w:rPr>
          <w:rFonts w:ascii="Times New Roman" w:hAnsi="Times New Roman" w:cs="Times New Roman"/>
          <w:sz w:val="24"/>
          <w:szCs w:val="24"/>
        </w:rPr>
        <w:t xml:space="preserve">   </w:t>
      </w:r>
    </w:p>
    <w:p w:rsidR="00240CCA" w:rsidRPr="001C782D" w:rsidP="00240CCA" w14:paraId="71DD532A" w14:textId="77777777">
      <w:pPr>
        <w:spacing w:after="240"/>
        <w:rPr>
          <w:rFonts w:ascii="Times New Roman" w:hAnsi="Times New Roman" w:cs="Times New Roman"/>
          <w:sz w:val="24"/>
          <w:szCs w:val="24"/>
        </w:rPr>
      </w:pPr>
      <w:r w:rsidRPr="001C782D">
        <w:rPr>
          <w:rFonts w:ascii="Times New Roman" w:hAnsi="Times New Roman" w:cs="Times New Roman"/>
          <w:sz w:val="24"/>
          <w:szCs w:val="24"/>
        </w:rPr>
        <w:t xml:space="preserve">3. </w:t>
      </w:r>
      <w:r w:rsidRPr="001C782D">
        <w:rPr>
          <w:rFonts w:ascii="Times New Roman" w:hAnsi="Times New Roman" w:cs="Times New Roman"/>
          <w:sz w:val="24"/>
          <w:szCs w:val="24"/>
          <w:u w:val="single"/>
        </w:rPr>
        <w:t>Use of improved information technology to reduce burden.</w:t>
      </w:r>
      <w:r w:rsidRPr="001C782D">
        <w:rPr>
          <w:rFonts w:ascii="Times New Roman" w:hAnsi="Times New Roman" w:cs="Times New Roman"/>
          <w:sz w:val="24"/>
          <w:szCs w:val="24"/>
        </w:rPr>
        <w:t xml:space="preserve"> </w:t>
      </w:r>
    </w:p>
    <w:p w:rsidR="005D08FB" w:rsidRPr="000A242E" w:rsidP="008B7A0C" w14:paraId="36D595A3" w14:textId="4F66DE8C">
      <w:pPr>
        <w:spacing w:after="240" w:line="240" w:lineRule="auto"/>
        <w:ind w:firstLine="720"/>
        <w:rPr>
          <w:rFonts w:ascii="Times New Roman" w:hAnsi="Times New Roman" w:cs="Times New Roman"/>
          <w:sz w:val="24"/>
          <w:szCs w:val="24"/>
        </w:rPr>
      </w:pPr>
      <w:r w:rsidRPr="00344A52">
        <w:rPr>
          <w:rFonts w:ascii="Times New Roman" w:hAnsi="Times New Roman" w:cs="Times New Roman"/>
          <w:sz w:val="24"/>
          <w:szCs w:val="24"/>
        </w:rPr>
        <w:t xml:space="preserve">Financial institutions required to </w:t>
      </w:r>
      <w:r w:rsidRPr="00344A52">
        <w:rPr>
          <w:rFonts w:ascii="Times New Roman" w:hAnsi="Times New Roman" w:cs="Times New Roman"/>
          <w:bCs/>
          <w:sz w:val="24"/>
          <w:szCs w:val="24"/>
        </w:rPr>
        <w:t>register</w:t>
      </w:r>
      <w:r w:rsidRPr="00344A52">
        <w:rPr>
          <w:rFonts w:ascii="Times New Roman" w:hAnsi="Times New Roman" w:cs="Times New Roman"/>
          <w:b/>
          <w:bCs/>
          <w:sz w:val="24"/>
          <w:szCs w:val="24"/>
        </w:rPr>
        <w:t xml:space="preserve"> </w:t>
      </w:r>
      <w:r w:rsidRPr="00344A52">
        <w:rPr>
          <w:rFonts w:ascii="Times New Roman" w:hAnsi="Times New Roman" w:cs="Times New Roman"/>
          <w:sz w:val="24"/>
          <w:szCs w:val="24"/>
        </w:rPr>
        <w:t xml:space="preserve">as MSBs pursuant to FinCEN regulations must use the BSA </w:t>
      </w:r>
      <w:r w:rsidR="0097125E">
        <w:rPr>
          <w:rFonts w:ascii="Times New Roman" w:hAnsi="Times New Roman" w:cs="Times New Roman"/>
          <w:sz w:val="24"/>
          <w:szCs w:val="24"/>
        </w:rPr>
        <w:t xml:space="preserve">electronic </w:t>
      </w:r>
      <w:r w:rsidRPr="00344A52">
        <w:rPr>
          <w:rFonts w:ascii="Times New Roman" w:hAnsi="Times New Roman" w:cs="Times New Roman"/>
          <w:sz w:val="24"/>
          <w:szCs w:val="24"/>
        </w:rPr>
        <w:t xml:space="preserve">filing system (BSA </w:t>
      </w:r>
      <w:r w:rsidR="0097125E">
        <w:rPr>
          <w:rFonts w:ascii="Times New Roman" w:hAnsi="Times New Roman" w:cs="Times New Roman"/>
          <w:sz w:val="24"/>
          <w:szCs w:val="24"/>
        </w:rPr>
        <w:t>Portal</w:t>
      </w:r>
      <w:r w:rsidRPr="00344A52">
        <w:rPr>
          <w:rFonts w:ascii="Times New Roman" w:hAnsi="Times New Roman" w:cs="Times New Roman"/>
          <w:sz w:val="24"/>
          <w:szCs w:val="24"/>
        </w:rPr>
        <w:t xml:space="preserve">) </w:t>
      </w:r>
      <w:r w:rsidR="00FF7B6D">
        <w:rPr>
          <w:rFonts w:ascii="Times New Roman" w:hAnsi="Times New Roman" w:cs="Times New Roman"/>
          <w:sz w:val="24"/>
          <w:szCs w:val="24"/>
        </w:rPr>
        <w:t>to</w:t>
      </w:r>
      <w:r w:rsidRPr="00344A52" w:rsidR="00FF7B6D">
        <w:rPr>
          <w:rFonts w:ascii="Times New Roman" w:hAnsi="Times New Roman" w:cs="Times New Roman"/>
          <w:sz w:val="24"/>
          <w:szCs w:val="24"/>
        </w:rPr>
        <w:t xml:space="preserve"> </w:t>
      </w:r>
      <w:r w:rsidRPr="00344A52">
        <w:rPr>
          <w:rFonts w:ascii="Times New Roman" w:hAnsi="Times New Roman" w:cs="Times New Roman"/>
          <w:sz w:val="24"/>
          <w:szCs w:val="24"/>
        </w:rPr>
        <w:t xml:space="preserve">file a FinCEN Form 107.  BSA </w:t>
      </w:r>
      <w:r w:rsidR="0097125E">
        <w:rPr>
          <w:rFonts w:ascii="Times New Roman" w:hAnsi="Times New Roman" w:cs="Times New Roman"/>
          <w:sz w:val="24"/>
          <w:szCs w:val="24"/>
        </w:rPr>
        <w:t>Portal</w:t>
      </w:r>
      <w:r w:rsidRPr="00344A52">
        <w:rPr>
          <w:rFonts w:ascii="Times New Roman" w:hAnsi="Times New Roman" w:cs="Times New Roman"/>
          <w:sz w:val="24"/>
          <w:szCs w:val="24"/>
        </w:rPr>
        <w:t xml:space="preserve"> is used to file an initial registration, renew registrations, re-register, or file corrections to a previous registration.</w:t>
      </w:r>
      <w:r w:rsidR="00A121A4">
        <w:rPr>
          <w:rFonts w:ascii="Times New Roman" w:hAnsi="Times New Roman" w:cs="Times New Roman"/>
          <w:sz w:val="24"/>
          <w:szCs w:val="24"/>
        </w:rPr>
        <w:t xml:space="preserve"> </w:t>
      </w:r>
      <w:r w:rsidRPr="00344A52">
        <w:rPr>
          <w:rFonts w:ascii="Times New Roman" w:hAnsi="Times New Roman" w:cs="Times New Roman"/>
          <w:sz w:val="24"/>
          <w:szCs w:val="24"/>
        </w:rPr>
        <w:t xml:space="preserve"> </w:t>
      </w:r>
      <w:r w:rsidRPr="00A270DA" w:rsidR="00DA3316">
        <w:rPr>
          <w:rFonts w:ascii="Times New Roman" w:hAnsi="Times New Roman" w:cs="Times New Roman"/>
          <w:sz w:val="24"/>
          <w:szCs w:val="24"/>
        </w:rPr>
        <w:t xml:space="preserve">When an MSB submits a FinCEN Form 107 online via </w:t>
      </w:r>
      <w:r w:rsidRPr="00A270DA" w:rsidR="0059035E">
        <w:rPr>
          <w:rFonts w:ascii="Times New Roman" w:hAnsi="Times New Roman" w:cs="Times New Roman"/>
          <w:sz w:val="24"/>
          <w:szCs w:val="24"/>
        </w:rPr>
        <w:t xml:space="preserve">BSA </w:t>
      </w:r>
      <w:r w:rsidR="0097125E">
        <w:rPr>
          <w:rFonts w:ascii="Times New Roman" w:hAnsi="Times New Roman" w:cs="Times New Roman"/>
          <w:sz w:val="24"/>
          <w:szCs w:val="24"/>
        </w:rPr>
        <w:t>Portal</w:t>
      </w:r>
      <w:r w:rsidRPr="00A270DA" w:rsidR="00DA3316">
        <w:rPr>
          <w:rFonts w:ascii="Times New Roman" w:hAnsi="Times New Roman" w:cs="Times New Roman"/>
          <w:sz w:val="24"/>
          <w:szCs w:val="24"/>
        </w:rPr>
        <w:t xml:space="preserve">, the BSA electronic filing system prompts the respondent to save a copy.  If an MSB saves a submitted FinCEN Form 107, it would subsequently be able to avoid completing the entire form anew and </w:t>
      </w:r>
      <w:r w:rsidR="003D47BB">
        <w:rPr>
          <w:rFonts w:ascii="Times New Roman" w:hAnsi="Times New Roman" w:cs="Times New Roman"/>
          <w:sz w:val="24"/>
          <w:szCs w:val="24"/>
        </w:rPr>
        <w:t xml:space="preserve">could </w:t>
      </w:r>
      <w:r w:rsidRPr="00A270DA" w:rsidR="00DA3316">
        <w:rPr>
          <w:rFonts w:ascii="Times New Roman" w:hAnsi="Times New Roman" w:cs="Times New Roman"/>
          <w:sz w:val="24"/>
          <w:szCs w:val="24"/>
        </w:rPr>
        <w:t>instead submit an updated version of the previously saved submission with revisions to reflect new information.</w:t>
      </w:r>
      <w:r w:rsidRPr="00344A52" w:rsidR="00344A52">
        <w:rPr>
          <w:rFonts w:ascii="Times New Roman" w:hAnsi="Times New Roman" w:cs="Times New Roman"/>
          <w:sz w:val="24"/>
          <w:szCs w:val="24"/>
        </w:rPr>
        <w:t xml:space="preserve"> </w:t>
      </w:r>
      <w:r w:rsidRPr="00A270DA" w:rsidR="00344A52">
        <w:rPr>
          <w:rFonts w:ascii="Times New Roman" w:hAnsi="Times New Roman" w:cs="Times New Roman"/>
          <w:sz w:val="24"/>
          <w:szCs w:val="24"/>
        </w:rPr>
        <w:t>Thus, for renewals, MSBs can simply amend Part I by selecting “item 1b” (renewal), make any necessary changes to their saved prior submission, and submit the updated form.  For re-registrations, MSBs can similarly amend Part I by selecting “item 1d” (re-registration), select the appropriate response in item 2 (indicating the reason for re-registration), make any necessary updates, and submit the revised form.</w:t>
      </w:r>
      <w:r w:rsidRPr="004D0D8C">
        <w:rPr>
          <w:rFonts w:ascii="Times New Roman" w:hAnsi="Times New Roman" w:cs="Times New Roman"/>
          <w:sz w:val="24"/>
          <w:szCs w:val="24"/>
        </w:rPr>
        <w:t xml:space="preserve">  </w:t>
      </w:r>
      <w:r w:rsidRPr="004D0D8C">
        <w:rPr>
          <w:rFonts w:ascii="Times New Roman" w:hAnsi="Times New Roman" w:cs="Times New Roman"/>
          <w:i/>
          <w:sz w:val="24"/>
          <w:szCs w:val="24"/>
        </w:rPr>
        <w:t xml:space="preserve">See </w:t>
      </w:r>
      <w:r w:rsidRPr="004D0D8C">
        <w:rPr>
          <w:rFonts w:ascii="Times New Roman" w:hAnsi="Times New Roman" w:cs="Times New Roman"/>
          <w:sz w:val="24"/>
          <w:szCs w:val="24"/>
        </w:rPr>
        <w:t>BSA</w:t>
      </w:r>
      <w:r w:rsidR="0097125E">
        <w:rPr>
          <w:rFonts w:ascii="Times New Roman" w:hAnsi="Times New Roman" w:cs="Times New Roman"/>
          <w:sz w:val="24"/>
          <w:szCs w:val="24"/>
        </w:rPr>
        <w:t xml:space="preserve"> Portal</w:t>
      </w:r>
      <w:r w:rsidRPr="004D0D8C">
        <w:rPr>
          <w:rFonts w:ascii="Times New Roman" w:hAnsi="Times New Roman" w:cs="Times New Roman"/>
          <w:sz w:val="24"/>
          <w:szCs w:val="24"/>
        </w:rPr>
        <w:t xml:space="preserve"> </w:t>
      </w:r>
      <w:r w:rsidRPr="000A242E">
        <w:rPr>
          <w:rFonts w:ascii="Times New Roman" w:hAnsi="Times New Roman" w:cs="Times New Roman"/>
          <w:sz w:val="24"/>
          <w:szCs w:val="24"/>
        </w:rPr>
        <w:t>at</w:t>
      </w:r>
      <w:r w:rsidR="005C774D">
        <w:rPr>
          <w:rFonts w:ascii="Times New Roman" w:hAnsi="Times New Roman" w:cs="Times New Roman"/>
          <w:sz w:val="24"/>
          <w:szCs w:val="24"/>
        </w:rPr>
        <w:t xml:space="preserve"> </w:t>
      </w:r>
      <w:hyperlink r:id="rId12" w:history="1">
        <w:r w:rsidRPr="00941AC7" w:rsidR="005C774D">
          <w:rPr>
            <w:rStyle w:val="Hyperlink"/>
            <w:rFonts w:ascii="Times New Roman" w:hAnsi="Times New Roman" w:cs="Times New Roman"/>
            <w:sz w:val="24"/>
            <w:szCs w:val="24"/>
          </w:rPr>
          <w:t>https://bsaefiling.fincen.gov/</w:t>
        </w:r>
      </w:hyperlink>
      <w:r w:rsidR="005C774D">
        <w:rPr>
          <w:rFonts w:ascii="Times New Roman" w:hAnsi="Times New Roman" w:cs="Times New Roman"/>
          <w:sz w:val="24"/>
          <w:szCs w:val="24"/>
        </w:rPr>
        <w:t>.</w:t>
      </w:r>
    </w:p>
    <w:p w:rsidR="00240CCA" w:rsidRPr="001C782D" w:rsidP="00240CCA" w14:paraId="52CC76F4" w14:textId="00771749">
      <w:pPr>
        <w:spacing w:after="240"/>
        <w:rPr>
          <w:rFonts w:ascii="Times New Roman" w:hAnsi="Times New Roman" w:cs="Times New Roman"/>
          <w:sz w:val="24"/>
          <w:szCs w:val="24"/>
          <w:u w:val="single"/>
        </w:rPr>
      </w:pPr>
      <w:r w:rsidRPr="001C782D">
        <w:rPr>
          <w:rFonts w:ascii="Times New Roman" w:hAnsi="Times New Roman" w:cs="Times New Roman"/>
          <w:sz w:val="24"/>
          <w:szCs w:val="24"/>
        </w:rPr>
        <w:t xml:space="preserve">4. </w:t>
      </w:r>
      <w:r w:rsidRPr="001C782D">
        <w:rPr>
          <w:rFonts w:ascii="Times New Roman" w:hAnsi="Times New Roman" w:cs="Times New Roman"/>
          <w:sz w:val="24"/>
          <w:szCs w:val="24"/>
          <w:u w:val="single"/>
        </w:rPr>
        <w:t xml:space="preserve">Efforts to identify duplication. </w:t>
      </w:r>
    </w:p>
    <w:p w:rsidR="0042666F" w:rsidP="46C0A316" w14:paraId="11C0F6E7" w14:textId="61305F2D">
      <w:pPr>
        <w:spacing w:after="240" w:line="240" w:lineRule="auto"/>
        <w:ind w:firstLine="720"/>
        <w:rPr>
          <w:rFonts w:ascii="Times New Roman" w:hAnsi="Times New Roman" w:cs="Times New Roman"/>
          <w:color w:val="0E2841" w:themeColor="text2"/>
          <w:sz w:val="24"/>
          <w:szCs w:val="24"/>
        </w:rPr>
      </w:pPr>
      <w:r w:rsidRPr="005D08FB">
        <w:rPr>
          <w:rFonts w:ascii="Times New Roman" w:hAnsi="Times New Roman" w:cs="Times New Roman"/>
          <w:sz w:val="24"/>
          <w:szCs w:val="24"/>
        </w:rPr>
        <w:t>There is no similar information available</w:t>
      </w:r>
      <w:r w:rsidR="00B5464B">
        <w:rPr>
          <w:rFonts w:ascii="Times New Roman" w:hAnsi="Times New Roman" w:cs="Times New Roman"/>
          <w:sz w:val="24"/>
          <w:szCs w:val="24"/>
        </w:rPr>
        <w:t xml:space="preserve"> to the Federal government</w:t>
      </w:r>
      <w:r w:rsidR="002E020E">
        <w:rPr>
          <w:rFonts w:ascii="Times New Roman" w:hAnsi="Times New Roman" w:cs="Times New Roman"/>
          <w:sz w:val="24"/>
          <w:szCs w:val="24"/>
        </w:rPr>
        <w:t xml:space="preserve">, and therefore </w:t>
      </w:r>
      <w:r w:rsidRPr="005D08FB">
        <w:rPr>
          <w:rFonts w:ascii="Times New Roman" w:hAnsi="Times New Roman" w:cs="Times New Roman"/>
          <w:sz w:val="24"/>
          <w:szCs w:val="24"/>
        </w:rPr>
        <w:t>no duplication.</w:t>
      </w:r>
    </w:p>
    <w:p w:rsidR="00240CCA" w:rsidRPr="001C782D" w:rsidP="00240CCA" w14:paraId="55693AD5" w14:textId="62592A84">
      <w:pPr>
        <w:spacing w:after="240"/>
        <w:rPr>
          <w:rFonts w:ascii="Times New Roman" w:hAnsi="Times New Roman" w:cs="Times New Roman"/>
          <w:sz w:val="24"/>
          <w:szCs w:val="24"/>
        </w:rPr>
      </w:pPr>
      <w:r w:rsidRPr="001C782D">
        <w:rPr>
          <w:rFonts w:ascii="Times New Roman" w:hAnsi="Times New Roman" w:cs="Times New Roman"/>
          <w:sz w:val="24"/>
          <w:szCs w:val="24"/>
        </w:rPr>
        <w:t xml:space="preserve">5. </w:t>
      </w:r>
      <w:r w:rsidRPr="001C782D">
        <w:rPr>
          <w:rFonts w:ascii="Times New Roman" w:hAnsi="Times New Roman" w:cs="Times New Roman"/>
          <w:sz w:val="24"/>
          <w:szCs w:val="24"/>
          <w:u w:val="single"/>
        </w:rPr>
        <w:t>Methods to minimize burden on small businesses or other small entities.</w:t>
      </w:r>
      <w:r w:rsidRPr="001C782D">
        <w:rPr>
          <w:rFonts w:ascii="Times New Roman" w:hAnsi="Times New Roman" w:cs="Times New Roman"/>
          <w:sz w:val="24"/>
          <w:szCs w:val="24"/>
        </w:rPr>
        <w:t xml:space="preserve"> </w:t>
      </w:r>
    </w:p>
    <w:p w:rsidR="002110C7" w:rsidRPr="002110C7" w:rsidP="005863C0" w14:paraId="7C0BF341" w14:textId="27FA8915">
      <w:pPr>
        <w:spacing w:after="240" w:line="240" w:lineRule="auto"/>
        <w:ind w:firstLine="720"/>
        <w:rPr>
          <w:rFonts w:ascii="Times New Roman" w:hAnsi="Times New Roman" w:cs="Times New Roman"/>
          <w:sz w:val="24"/>
          <w:szCs w:val="24"/>
        </w:rPr>
      </w:pPr>
      <w:r w:rsidRPr="002110C7">
        <w:rPr>
          <w:rFonts w:ascii="Times New Roman" w:hAnsi="Times New Roman" w:cs="Times New Roman"/>
          <w:sz w:val="24"/>
          <w:szCs w:val="24"/>
        </w:rPr>
        <w:t xml:space="preserve">The reporting requirements </w:t>
      </w:r>
      <w:r w:rsidR="00C331C7">
        <w:rPr>
          <w:rFonts w:ascii="Times New Roman" w:hAnsi="Times New Roman" w:cs="Times New Roman"/>
          <w:sz w:val="24"/>
          <w:szCs w:val="24"/>
        </w:rPr>
        <w:t>associated with</w:t>
      </w:r>
      <w:r w:rsidRPr="002110C7" w:rsidR="00C331C7">
        <w:rPr>
          <w:rFonts w:ascii="Times New Roman" w:hAnsi="Times New Roman" w:cs="Times New Roman"/>
          <w:sz w:val="24"/>
          <w:szCs w:val="24"/>
        </w:rPr>
        <w:t xml:space="preserve"> </w:t>
      </w:r>
      <w:r w:rsidRPr="002110C7">
        <w:rPr>
          <w:rFonts w:ascii="Times New Roman" w:hAnsi="Times New Roman" w:cs="Times New Roman"/>
          <w:sz w:val="24"/>
          <w:szCs w:val="24"/>
        </w:rPr>
        <w:t xml:space="preserve">these regulations and </w:t>
      </w:r>
      <w:r w:rsidR="00C331C7">
        <w:rPr>
          <w:rFonts w:ascii="Times New Roman" w:hAnsi="Times New Roman" w:cs="Times New Roman"/>
          <w:sz w:val="24"/>
          <w:szCs w:val="24"/>
        </w:rPr>
        <w:t xml:space="preserve">the related </w:t>
      </w:r>
      <w:r w:rsidRPr="002110C7">
        <w:rPr>
          <w:rFonts w:ascii="Times New Roman" w:hAnsi="Times New Roman" w:cs="Times New Roman"/>
          <w:sz w:val="24"/>
          <w:szCs w:val="24"/>
        </w:rPr>
        <w:t xml:space="preserve">form are not expected to impose </w:t>
      </w:r>
      <w:r w:rsidR="00235218">
        <w:rPr>
          <w:rFonts w:ascii="Times New Roman" w:hAnsi="Times New Roman" w:cs="Times New Roman"/>
          <w:sz w:val="24"/>
          <w:szCs w:val="24"/>
        </w:rPr>
        <w:t xml:space="preserve">significant </w:t>
      </w:r>
      <w:r w:rsidRPr="002110C7">
        <w:rPr>
          <w:rFonts w:ascii="Times New Roman" w:hAnsi="Times New Roman" w:cs="Times New Roman"/>
          <w:sz w:val="24"/>
          <w:szCs w:val="24"/>
        </w:rPr>
        <w:t xml:space="preserve">adverse </w:t>
      </w:r>
      <w:r w:rsidR="00235218">
        <w:rPr>
          <w:rFonts w:ascii="Times New Roman" w:hAnsi="Times New Roman" w:cs="Times New Roman"/>
          <w:sz w:val="24"/>
          <w:szCs w:val="24"/>
        </w:rPr>
        <w:t xml:space="preserve">economic </w:t>
      </w:r>
      <w:r w:rsidRPr="002110C7">
        <w:rPr>
          <w:rFonts w:ascii="Times New Roman" w:hAnsi="Times New Roman" w:cs="Times New Roman"/>
          <w:sz w:val="24"/>
          <w:szCs w:val="24"/>
        </w:rPr>
        <w:t xml:space="preserve">impacts </w:t>
      </w:r>
      <w:r w:rsidR="00582E70">
        <w:rPr>
          <w:rFonts w:ascii="Times New Roman" w:hAnsi="Times New Roman" w:cs="Times New Roman"/>
          <w:sz w:val="24"/>
          <w:szCs w:val="24"/>
        </w:rPr>
        <w:t>on</w:t>
      </w:r>
      <w:r w:rsidRPr="002110C7">
        <w:rPr>
          <w:rFonts w:ascii="Times New Roman" w:hAnsi="Times New Roman" w:cs="Times New Roman"/>
          <w:sz w:val="24"/>
          <w:szCs w:val="24"/>
        </w:rPr>
        <w:t xml:space="preserve"> small businesses or other small entities.  The information required to be reported is basic </w:t>
      </w:r>
      <w:r w:rsidR="00C331C7">
        <w:rPr>
          <w:rFonts w:ascii="Times New Roman" w:hAnsi="Times New Roman" w:cs="Times New Roman"/>
          <w:sz w:val="24"/>
          <w:szCs w:val="24"/>
        </w:rPr>
        <w:t>and</w:t>
      </w:r>
      <w:r w:rsidRPr="002110C7" w:rsidR="00C331C7">
        <w:rPr>
          <w:rFonts w:ascii="Times New Roman" w:hAnsi="Times New Roman" w:cs="Times New Roman"/>
          <w:sz w:val="24"/>
          <w:szCs w:val="24"/>
        </w:rPr>
        <w:t xml:space="preserve"> </w:t>
      </w:r>
      <w:r w:rsidR="009E10AA">
        <w:rPr>
          <w:rFonts w:ascii="Times New Roman" w:hAnsi="Times New Roman" w:cs="Times New Roman"/>
          <w:sz w:val="24"/>
          <w:szCs w:val="24"/>
        </w:rPr>
        <w:t>sh</w:t>
      </w:r>
      <w:r w:rsidRPr="002110C7">
        <w:rPr>
          <w:rFonts w:ascii="Times New Roman" w:hAnsi="Times New Roman" w:cs="Times New Roman"/>
          <w:sz w:val="24"/>
          <w:szCs w:val="24"/>
        </w:rPr>
        <w:t xml:space="preserve">ould be readily accessible to </w:t>
      </w:r>
      <w:r w:rsidR="009E10AA">
        <w:rPr>
          <w:rFonts w:ascii="Times New Roman" w:hAnsi="Times New Roman" w:cs="Times New Roman"/>
          <w:sz w:val="24"/>
          <w:szCs w:val="24"/>
        </w:rPr>
        <w:t xml:space="preserve">the </w:t>
      </w:r>
      <w:r w:rsidRPr="002110C7">
        <w:rPr>
          <w:rFonts w:ascii="Times New Roman" w:hAnsi="Times New Roman" w:cs="Times New Roman"/>
          <w:sz w:val="24"/>
          <w:szCs w:val="24"/>
        </w:rPr>
        <w:t xml:space="preserve">individual </w:t>
      </w:r>
      <w:r w:rsidRPr="0013071A" w:rsidR="00B461B2">
        <w:rPr>
          <w:rFonts w:ascii="Times New Roman" w:hAnsi="Times New Roman" w:cs="Times New Roman"/>
          <w:sz w:val="24"/>
          <w:szCs w:val="24"/>
        </w:rPr>
        <w:t>completing the form</w:t>
      </w:r>
      <w:r w:rsidR="009E10AA">
        <w:rPr>
          <w:rFonts w:ascii="Times New Roman" w:hAnsi="Times New Roman" w:cs="Times New Roman"/>
          <w:sz w:val="24"/>
          <w:szCs w:val="24"/>
        </w:rPr>
        <w:t xml:space="preserve"> on behalf of </w:t>
      </w:r>
      <w:r w:rsidR="00C331C7">
        <w:rPr>
          <w:rFonts w:ascii="Times New Roman" w:hAnsi="Times New Roman" w:cs="Times New Roman"/>
          <w:sz w:val="24"/>
          <w:szCs w:val="24"/>
        </w:rPr>
        <w:t xml:space="preserve">an </w:t>
      </w:r>
      <w:r w:rsidR="009E10AA">
        <w:rPr>
          <w:rFonts w:ascii="Times New Roman" w:hAnsi="Times New Roman" w:cs="Times New Roman"/>
          <w:sz w:val="24"/>
          <w:szCs w:val="24"/>
        </w:rPr>
        <w:t>MSB</w:t>
      </w:r>
      <w:r w:rsidRPr="002110C7">
        <w:rPr>
          <w:rFonts w:ascii="Times New Roman" w:hAnsi="Times New Roman" w:cs="Times New Roman"/>
          <w:sz w:val="24"/>
          <w:szCs w:val="24"/>
        </w:rPr>
        <w:t xml:space="preserve">.  </w:t>
      </w:r>
    </w:p>
    <w:p w:rsidR="00240CCA" w:rsidRPr="001C782D" w:rsidP="00240CCA" w14:paraId="4102DDF6" w14:textId="77777777">
      <w:pPr>
        <w:spacing w:after="240"/>
        <w:rPr>
          <w:rFonts w:ascii="Times New Roman" w:hAnsi="Times New Roman" w:cs="Times New Roman"/>
          <w:sz w:val="24"/>
          <w:szCs w:val="24"/>
        </w:rPr>
      </w:pPr>
      <w:r w:rsidRPr="001C782D">
        <w:rPr>
          <w:rFonts w:ascii="Times New Roman" w:hAnsi="Times New Roman" w:cs="Times New Roman"/>
          <w:sz w:val="24"/>
          <w:szCs w:val="24"/>
        </w:rPr>
        <w:t xml:space="preserve">6. </w:t>
      </w:r>
      <w:r w:rsidRPr="001C782D">
        <w:rPr>
          <w:rFonts w:ascii="Times New Roman" w:hAnsi="Times New Roman" w:cs="Times New Roman"/>
          <w:sz w:val="24"/>
          <w:szCs w:val="24"/>
          <w:u w:val="single"/>
        </w:rPr>
        <w:t>Consequences to the Federal government of not collecting the information or less frequent collections.</w:t>
      </w:r>
      <w:r w:rsidRPr="001C782D">
        <w:rPr>
          <w:rFonts w:ascii="Times New Roman" w:hAnsi="Times New Roman" w:cs="Times New Roman"/>
          <w:sz w:val="24"/>
          <w:szCs w:val="24"/>
        </w:rPr>
        <w:t xml:space="preserve"> </w:t>
      </w:r>
    </w:p>
    <w:p w:rsidR="00C47FFB" w:rsidRPr="00C47FFB" w:rsidP="005863C0" w14:paraId="33B660D4" w14:textId="16B49D1F">
      <w:pPr>
        <w:spacing w:after="240" w:line="240" w:lineRule="auto"/>
        <w:ind w:firstLine="720"/>
        <w:rPr>
          <w:rFonts w:ascii="Times New Roman" w:hAnsi="Times New Roman" w:cs="Times New Roman"/>
          <w:color w:val="0F4761" w:themeColor="accent1" w:themeShade="BF"/>
          <w:sz w:val="24"/>
          <w:szCs w:val="24"/>
        </w:rPr>
      </w:pPr>
      <w:r w:rsidRPr="00B44ED6">
        <w:rPr>
          <w:rFonts w:ascii="Times New Roman" w:hAnsi="Times New Roman" w:cs="Times New Roman"/>
          <w:sz w:val="24"/>
          <w:szCs w:val="24"/>
        </w:rPr>
        <w:t>Current registration information enables FinCEN</w:t>
      </w:r>
      <w:r w:rsidR="005F632A">
        <w:rPr>
          <w:rFonts w:ascii="Times New Roman" w:hAnsi="Times New Roman" w:cs="Times New Roman"/>
          <w:sz w:val="24"/>
          <w:szCs w:val="24"/>
        </w:rPr>
        <w:t xml:space="preserve"> and </w:t>
      </w:r>
      <w:r w:rsidR="00B32321">
        <w:rPr>
          <w:rFonts w:ascii="Times New Roman" w:hAnsi="Times New Roman" w:cs="Times New Roman"/>
          <w:sz w:val="24"/>
          <w:szCs w:val="24"/>
        </w:rPr>
        <w:t xml:space="preserve">the Federal and </w:t>
      </w:r>
      <w:r w:rsidR="005F632A">
        <w:rPr>
          <w:rFonts w:ascii="Times New Roman" w:hAnsi="Times New Roman" w:cs="Times New Roman"/>
          <w:sz w:val="24"/>
          <w:szCs w:val="24"/>
        </w:rPr>
        <w:t>state authorities with whom it can share such information, such as</w:t>
      </w:r>
      <w:r w:rsidRPr="00B44ED6">
        <w:rPr>
          <w:rFonts w:ascii="Times New Roman" w:hAnsi="Times New Roman" w:cs="Times New Roman"/>
          <w:sz w:val="24"/>
          <w:szCs w:val="24"/>
        </w:rPr>
        <w:t xml:space="preserve"> the Internal Revenue Service, law enforcement</w:t>
      </w:r>
      <w:r w:rsidR="005F632A">
        <w:rPr>
          <w:rFonts w:ascii="Times New Roman" w:hAnsi="Times New Roman" w:cs="Times New Roman"/>
          <w:sz w:val="24"/>
          <w:szCs w:val="24"/>
        </w:rPr>
        <w:t xml:space="preserve"> agencies</w:t>
      </w:r>
      <w:r w:rsidRPr="00B44ED6">
        <w:rPr>
          <w:rFonts w:ascii="Times New Roman" w:hAnsi="Times New Roman" w:cs="Times New Roman"/>
          <w:sz w:val="24"/>
          <w:szCs w:val="24"/>
        </w:rPr>
        <w:t xml:space="preserve">, and Federal and state </w:t>
      </w:r>
      <w:r w:rsidR="00B32321">
        <w:rPr>
          <w:rFonts w:ascii="Times New Roman" w:hAnsi="Times New Roman" w:cs="Times New Roman"/>
          <w:sz w:val="24"/>
          <w:szCs w:val="24"/>
        </w:rPr>
        <w:t xml:space="preserve">financial institutions supervisory </w:t>
      </w:r>
      <w:r w:rsidRPr="00B44ED6">
        <w:rPr>
          <w:rFonts w:ascii="Times New Roman" w:hAnsi="Times New Roman" w:cs="Times New Roman"/>
          <w:sz w:val="24"/>
          <w:szCs w:val="24"/>
        </w:rPr>
        <w:t>authorities</w:t>
      </w:r>
      <w:r w:rsidR="00B32321">
        <w:rPr>
          <w:rFonts w:ascii="Times New Roman" w:hAnsi="Times New Roman" w:cs="Times New Roman"/>
          <w:sz w:val="24"/>
          <w:szCs w:val="24"/>
        </w:rPr>
        <w:t>,</w:t>
      </w:r>
      <w:r w:rsidRPr="00B44ED6">
        <w:rPr>
          <w:rFonts w:ascii="Times New Roman" w:hAnsi="Times New Roman" w:cs="Times New Roman"/>
          <w:sz w:val="24"/>
          <w:szCs w:val="24"/>
        </w:rPr>
        <w:t xml:space="preserve"> to identify covered </w:t>
      </w:r>
      <w:r w:rsidR="00A121A4">
        <w:rPr>
          <w:rFonts w:ascii="Times New Roman" w:hAnsi="Times New Roman" w:cs="Times New Roman"/>
          <w:sz w:val="24"/>
          <w:szCs w:val="24"/>
        </w:rPr>
        <w:t>MSBs</w:t>
      </w:r>
      <w:r w:rsidRPr="00B44ED6">
        <w:rPr>
          <w:rFonts w:ascii="Times New Roman" w:hAnsi="Times New Roman" w:cs="Times New Roman"/>
          <w:sz w:val="24"/>
          <w:szCs w:val="24"/>
        </w:rPr>
        <w:t xml:space="preserve">, support risk-based examination planning, investigate potential violations of the BSA, and maintain an understanding of the MSB sector. </w:t>
      </w:r>
      <w:r>
        <w:rPr>
          <w:rFonts w:ascii="Times New Roman" w:hAnsi="Times New Roman" w:cs="Times New Roman"/>
          <w:sz w:val="24"/>
          <w:szCs w:val="24"/>
        </w:rPr>
        <w:t xml:space="preserve"> Not c</w:t>
      </w:r>
      <w:r w:rsidRPr="00B44ED6">
        <w:rPr>
          <w:rFonts w:ascii="Times New Roman" w:hAnsi="Times New Roman" w:cs="Times New Roman"/>
          <w:sz w:val="24"/>
          <w:szCs w:val="24"/>
        </w:rPr>
        <w:t>ollecting the information</w:t>
      </w:r>
      <w:r>
        <w:rPr>
          <w:rFonts w:ascii="Times New Roman" w:hAnsi="Times New Roman" w:cs="Times New Roman"/>
          <w:sz w:val="24"/>
          <w:szCs w:val="24"/>
        </w:rPr>
        <w:t>, or collecting it</w:t>
      </w:r>
      <w:r w:rsidRPr="00B44ED6">
        <w:rPr>
          <w:rFonts w:ascii="Times New Roman" w:hAnsi="Times New Roman" w:cs="Times New Roman"/>
          <w:sz w:val="24"/>
          <w:szCs w:val="24"/>
        </w:rPr>
        <w:t xml:space="preserve"> less frequently</w:t>
      </w:r>
      <w:r>
        <w:rPr>
          <w:rFonts w:ascii="Times New Roman" w:hAnsi="Times New Roman" w:cs="Times New Roman"/>
          <w:sz w:val="24"/>
          <w:szCs w:val="24"/>
        </w:rPr>
        <w:t>,</w:t>
      </w:r>
      <w:r w:rsidRPr="00B44ED6">
        <w:rPr>
          <w:rFonts w:ascii="Times New Roman" w:hAnsi="Times New Roman" w:cs="Times New Roman"/>
          <w:sz w:val="24"/>
          <w:szCs w:val="24"/>
        </w:rPr>
        <w:t xml:space="preserve"> would increase the likelihood that registration records become outdated due to changes in ownership, business locations, business activities, or operational status, thereby reducing the practical utility of the registry. </w:t>
      </w:r>
      <w:r>
        <w:rPr>
          <w:rFonts w:ascii="Times New Roman" w:hAnsi="Times New Roman" w:cs="Times New Roman"/>
          <w:sz w:val="24"/>
          <w:szCs w:val="24"/>
        </w:rPr>
        <w:t xml:space="preserve"> </w:t>
      </w:r>
      <w:r w:rsidRPr="00B44ED6">
        <w:rPr>
          <w:rFonts w:ascii="Times New Roman" w:hAnsi="Times New Roman" w:cs="Times New Roman"/>
          <w:sz w:val="24"/>
          <w:szCs w:val="24"/>
        </w:rPr>
        <w:t xml:space="preserve">Accordingly, </w:t>
      </w:r>
      <w:r>
        <w:rPr>
          <w:rFonts w:ascii="Times New Roman" w:hAnsi="Times New Roman" w:cs="Times New Roman"/>
          <w:sz w:val="24"/>
          <w:szCs w:val="24"/>
        </w:rPr>
        <w:t xml:space="preserve">ceasing collection or collecting </w:t>
      </w:r>
      <w:r w:rsidRPr="00B44ED6">
        <w:rPr>
          <w:rFonts w:ascii="Times New Roman" w:hAnsi="Times New Roman" w:cs="Times New Roman"/>
          <w:sz w:val="24"/>
          <w:szCs w:val="24"/>
        </w:rPr>
        <w:t xml:space="preserve">less </w:t>
      </w:r>
      <w:r w:rsidRPr="00B44ED6">
        <w:rPr>
          <w:rFonts w:ascii="Times New Roman" w:hAnsi="Times New Roman" w:cs="Times New Roman"/>
          <w:sz w:val="24"/>
          <w:szCs w:val="24"/>
        </w:rPr>
        <w:t>frequent</w:t>
      </w:r>
      <w:r>
        <w:rPr>
          <w:rFonts w:ascii="Times New Roman" w:hAnsi="Times New Roman" w:cs="Times New Roman"/>
          <w:sz w:val="24"/>
          <w:szCs w:val="24"/>
        </w:rPr>
        <w:t xml:space="preserve">ly </w:t>
      </w:r>
      <w:r w:rsidRPr="00B44ED6">
        <w:rPr>
          <w:rFonts w:ascii="Times New Roman" w:hAnsi="Times New Roman" w:cs="Times New Roman"/>
          <w:sz w:val="24"/>
          <w:szCs w:val="24"/>
        </w:rPr>
        <w:t xml:space="preserve">would diminish the </w:t>
      </w:r>
      <w:r>
        <w:rPr>
          <w:rFonts w:ascii="Times New Roman" w:hAnsi="Times New Roman" w:cs="Times New Roman"/>
          <w:sz w:val="24"/>
          <w:szCs w:val="24"/>
        </w:rPr>
        <w:t>utility</w:t>
      </w:r>
      <w:r w:rsidRPr="00B44ED6">
        <w:rPr>
          <w:rFonts w:ascii="Times New Roman" w:hAnsi="Times New Roman" w:cs="Times New Roman"/>
          <w:sz w:val="24"/>
          <w:szCs w:val="24"/>
        </w:rPr>
        <w:t xml:space="preserve"> of the information for supervisory, enforcement, law enforcement, and policy purposes.</w:t>
      </w:r>
      <w:r w:rsidRPr="00C47FFB">
        <w:rPr>
          <w:rFonts w:ascii="Times New Roman" w:hAnsi="Times New Roman" w:cs="Times New Roman"/>
          <w:color w:val="0F4761" w:themeColor="accent1" w:themeShade="BF"/>
          <w:sz w:val="24"/>
          <w:szCs w:val="24"/>
        </w:rPr>
        <w:t xml:space="preserve"> </w:t>
      </w:r>
    </w:p>
    <w:p w:rsidR="00240CCA" w:rsidRPr="001C782D" w:rsidP="00240CCA" w14:paraId="260A0561" w14:textId="77777777">
      <w:pPr>
        <w:spacing w:after="240"/>
        <w:rPr>
          <w:rFonts w:ascii="Times New Roman" w:hAnsi="Times New Roman" w:cs="Times New Roman"/>
          <w:sz w:val="24"/>
          <w:szCs w:val="24"/>
          <w:u w:val="single"/>
        </w:rPr>
      </w:pPr>
      <w:r w:rsidRPr="001C782D">
        <w:rPr>
          <w:rFonts w:ascii="Times New Roman" w:hAnsi="Times New Roman" w:cs="Times New Roman"/>
          <w:sz w:val="24"/>
          <w:szCs w:val="24"/>
        </w:rPr>
        <w:t xml:space="preserve">7. </w:t>
      </w:r>
      <w:r w:rsidRPr="001C782D">
        <w:rPr>
          <w:rFonts w:ascii="Times New Roman" w:hAnsi="Times New Roman" w:cs="Times New Roman"/>
          <w:sz w:val="24"/>
          <w:szCs w:val="24"/>
          <w:u w:val="single"/>
        </w:rPr>
        <w:t xml:space="preserve">Special circumstances requiring data collection </w:t>
      </w:r>
      <w:r w:rsidRPr="001C782D">
        <w:rPr>
          <w:rFonts w:ascii="Times New Roman" w:hAnsi="Times New Roman" w:cs="Times New Roman"/>
          <w:sz w:val="24"/>
          <w:szCs w:val="24"/>
          <w:u w:val="single"/>
        </w:rPr>
        <w:t>inconsistent</w:t>
      </w:r>
      <w:r w:rsidRPr="001C782D">
        <w:rPr>
          <w:rFonts w:ascii="Times New Roman" w:hAnsi="Times New Roman" w:cs="Times New Roman"/>
          <w:sz w:val="24"/>
          <w:szCs w:val="24"/>
          <w:u w:val="single"/>
        </w:rPr>
        <w:t xml:space="preserve"> with guidelines in 5 CFR 1320.5(d)(2).</w:t>
      </w:r>
    </w:p>
    <w:p w:rsidR="007E79CE" w:rsidRPr="00704E87" w:rsidP="00627365" w14:paraId="4D75589A" w14:textId="4EF435E7">
      <w:pPr>
        <w:pStyle w:val="BodyText"/>
        <w:spacing w:before="0" w:after="240"/>
        <w:ind w:firstLine="720"/>
        <w:rPr>
          <w:sz w:val="24"/>
          <w:szCs w:val="24"/>
        </w:rPr>
      </w:pPr>
      <w:r w:rsidRPr="00704E87">
        <w:rPr>
          <w:sz w:val="24"/>
          <w:szCs w:val="24"/>
        </w:rPr>
        <w:t>There are no special circumstances.</w:t>
      </w:r>
    </w:p>
    <w:p w:rsidR="00240CCA" w:rsidRPr="001C782D" w:rsidP="00BE1313" w14:paraId="7F5B61F0" w14:textId="77777777">
      <w:pPr>
        <w:keepNext/>
        <w:spacing w:after="240"/>
        <w:rPr>
          <w:rFonts w:ascii="Times New Roman" w:hAnsi="Times New Roman" w:cs="Times New Roman"/>
          <w:sz w:val="24"/>
          <w:szCs w:val="24"/>
        </w:rPr>
      </w:pPr>
      <w:r w:rsidRPr="001C782D">
        <w:rPr>
          <w:rFonts w:ascii="Times New Roman" w:hAnsi="Times New Roman" w:cs="Times New Roman"/>
          <w:sz w:val="24"/>
          <w:szCs w:val="24"/>
        </w:rPr>
        <w:t xml:space="preserve">8. </w:t>
      </w:r>
      <w:r w:rsidRPr="001C782D">
        <w:rPr>
          <w:rFonts w:ascii="Times New Roman" w:hAnsi="Times New Roman" w:cs="Times New Roman"/>
          <w:sz w:val="24"/>
          <w:szCs w:val="24"/>
          <w:u w:val="single"/>
        </w:rPr>
        <w:t>Consultation with individuals outside of the agency on availability of data, frequency of collection, clarity of instructions and forms, and data elements.</w:t>
      </w:r>
      <w:r w:rsidRPr="001C782D">
        <w:rPr>
          <w:rFonts w:ascii="Times New Roman" w:hAnsi="Times New Roman" w:cs="Times New Roman"/>
          <w:sz w:val="24"/>
          <w:szCs w:val="24"/>
        </w:rPr>
        <w:t xml:space="preserve"> </w:t>
      </w:r>
    </w:p>
    <w:p w:rsidR="00244FD1" w:rsidP="00781054" w14:paraId="1077695E" w14:textId="6A3DEB98">
      <w:pPr>
        <w:spacing w:after="240" w:line="240" w:lineRule="auto"/>
        <w:ind w:firstLine="720"/>
        <w:rPr>
          <w:rFonts w:ascii="Times New Roman" w:hAnsi="Times New Roman" w:cs="Times New Roman"/>
          <w:sz w:val="24"/>
          <w:szCs w:val="24"/>
        </w:rPr>
      </w:pPr>
      <w:r w:rsidRPr="008D57EF">
        <w:rPr>
          <w:rFonts w:ascii="Times New Roman" w:hAnsi="Times New Roman" w:cs="Times New Roman"/>
          <w:sz w:val="24"/>
          <w:szCs w:val="24"/>
        </w:rPr>
        <w:t xml:space="preserve">On </w:t>
      </w:r>
      <w:r w:rsidR="00A6651B">
        <w:rPr>
          <w:rFonts w:ascii="Times New Roman" w:hAnsi="Times New Roman" w:cs="Times New Roman"/>
          <w:sz w:val="24"/>
          <w:szCs w:val="24"/>
        </w:rPr>
        <w:t>April 30</w:t>
      </w:r>
      <w:r w:rsidRPr="008D57EF">
        <w:rPr>
          <w:rFonts w:ascii="Times New Roman" w:hAnsi="Times New Roman" w:cs="Times New Roman"/>
          <w:sz w:val="24"/>
          <w:szCs w:val="24"/>
        </w:rPr>
        <w:t>, 202</w:t>
      </w:r>
      <w:r>
        <w:rPr>
          <w:rFonts w:ascii="Times New Roman" w:hAnsi="Times New Roman" w:cs="Times New Roman"/>
          <w:sz w:val="24"/>
          <w:szCs w:val="24"/>
        </w:rPr>
        <w:t>6</w:t>
      </w:r>
      <w:r w:rsidRPr="008D57EF">
        <w:rPr>
          <w:rFonts w:ascii="Times New Roman" w:hAnsi="Times New Roman" w:cs="Times New Roman"/>
          <w:sz w:val="24"/>
          <w:szCs w:val="24"/>
        </w:rPr>
        <w:t xml:space="preserve">, FinCEN issued a notice and request for comment </w:t>
      </w:r>
      <w:r w:rsidR="00D83610">
        <w:rPr>
          <w:rFonts w:ascii="Times New Roman" w:hAnsi="Times New Roman" w:cs="Times New Roman"/>
          <w:sz w:val="24"/>
          <w:szCs w:val="24"/>
        </w:rPr>
        <w:t xml:space="preserve">on a proposal </w:t>
      </w:r>
      <w:r w:rsidRPr="008D57EF">
        <w:rPr>
          <w:rFonts w:ascii="Times New Roman" w:hAnsi="Times New Roman" w:cs="Times New Roman"/>
          <w:sz w:val="24"/>
          <w:szCs w:val="24"/>
        </w:rPr>
        <w:t xml:space="preserve">to renew </w:t>
      </w:r>
      <w:r w:rsidR="00D83610">
        <w:rPr>
          <w:rFonts w:ascii="Times New Roman" w:hAnsi="Times New Roman" w:cs="Times New Roman"/>
          <w:sz w:val="24"/>
          <w:szCs w:val="24"/>
        </w:rPr>
        <w:t>the</w:t>
      </w:r>
      <w:r w:rsidRPr="008D57EF" w:rsidR="00D83610">
        <w:rPr>
          <w:rFonts w:ascii="Times New Roman" w:hAnsi="Times New Roman" w:cs="Times New Roman"/>
          <w:sz w:val="24"/>
          <w:szCs w:val="24"/>
        </w:rPr>
        <w:t xml:space="preserve"> </w:t>
      </w:r>
      <w:r w:rsidRPr="008D57EF">
        <w:rPr>
          <w:rFonts w:ascii="Times New Roman" w:hAnsi="Times New Roman" w:cs="Times New Roman"/>
          <w:sz w:val="24"/>
          <w:szCs w:val="24"/>
        </w:rPr>
        <w:t xml:space="preserve">information collection </w:t>
      </w:r>
      <w:r w:rsidR="00D83610">
        <w:rPr>
          <w:rFonts w:ascii="Times New Roman" w:hAnsi="Times New Roman" w:cs="Times New Roman"/>
          <w:sz w:val="24"/>
          <w:szCs w:val="24"/>
        </w:rPr>
        <w:t>associated with</w:t>
      </w:r>
      <w:r w:rsidRPr="008D57EF">
        <w:rPr>
          <w:rFonts w:ascii="Times New Roman" w:hAnsi="Times New Roman" w:cs="Times New Roman"/>
          <w:sz w:val="24"/>
          <w:szCs w:val="24"/>
        </w:rPr>
        <w:t xml:space="preserve"> MSB</w:t>
      </w:r>
      <w:r w:rsidR="00D83610">
        <w:rPr>
          <w:rFonts w:ascii="Times New Roman" w:hAnsi="Times New Roman" w:cs="Times New Roman"/>
          <w:sz w:val="24"/>
          <w:szCs w:val="24"/>
        </w:rPr>
        <w:t xml:space="preserve"> registration</w:t>
      </w:r>
      <w:r w:rsidRPr="008D57EF">
        <w:rPr>
          <w:rFonts w:ascii="Times New Roman" w:hAnsi="Times New Roman" w:cs="Times New Roman"/>
          <w:sz w:val="24"/>
          <w:szCs w:val="24"/>
        </w:rPr>
        <w:t>.</w:t>
      </w:r>
      <w:r>
        <w:rPr>
          <w:rFonts w:ascii="Times New Roman" w:hAnsi="Times New Roman" w:cs="Times New Roman"/>
          <w:sz w:val="24"/>
          <w:szCs w:val="24"/>
          <w:vertAlign w:val="superscript"/>
        </w:rPr>
        <w:footnoteReference w:id="19"/>
      </w:r>
      <w:r w:rsidRPr="008D57EF">
        <w:rPr>
          <w:rFonts w:ascii="Times New Roman" w:hAnsi="Times New Roman" w:cs="Times New Roman"/>
          <w:sz w:val="24"/>
          <w:szCs w:val="24"/>
        </w:rPr>
        <w:t xml:space="preserve">  The comment period closed on </w:t>
      </w:r>
      <w:r w:rsidR="00DA0C10">
        <w:rPr>
          <w:rFonts w:ascii="Times New Roman" w:hAnsi="Times New Roman" w:cs="Times New Roman"/>
          <w:sz w:val="24"/>
          <w:szCs w:val="24"/>
        </w:rPr>
        <w:t>June 29, 202</w:t>
      </w:r>
      <w:r w:rsidR="000B6738">
        <w:rPr>
          <w:rFonts w:ascii="Times New Roman" w:hAnsi="Times New Roman" w:cs="Times New Roman"/>
          <w:sz w:val="24"/>
          <w:szCs w:val="24"/>
        </w:rPr>
        <w:t>6</w:t>
      </w:r>
      <w:r w:rsidRPr="008D57EF">
        <w:rPr>
          <w:rFonts w:ascii="Times New Roman" w:hAnsi="Times New Roman" w:cs="Times New Roman"/>
          <w:sz w:val="24"/>
          <w:szCs w:val="24"/>
        </w:rPr>
        <w:t xml:space="preserve">.  FinCEN received </w:t>
      </w:r>
      <w:r w:rsidRPr="00E75091" w:rsidR="00F04D9A">
        <w:rPr>
          <w:rFonts w:ascii="Times New Roman" w:hAnsi="Times New Roman" w:cs="Times New Roman"/>
          <w:sz w:val="24"/>
          <w:szCs w:val="24"/>
        </w:rPr>
        <w:t>six</w:t>
      </w:r>
      <w:r w:rsidRPr="008D57EF">
        <w:rPr>
          <w:rFonts w:ascii="Times New Roman" w:hAnsi="Times New Roman" w:cs="Times New Roman"/>
          <w:sz w:val="24"/>
          <w:szCs w:val="24"/>
        </w:rPr>
        <w:t xml:space="preserve"> comments</w:t>
      </w:r>
      <w:r w:rsidR="00D83610">
        <w:rPr>
          <w:rFonts w:ascii="Times New Roman" w:hAnsi="Times New Roman" w:cs="Times New Roman"/>
          <w:sz w:val="24"/>
          <w:szCs w:val="24"/>
        </w:rPr>
        <w:t xml:space="preserve"> on the notice</w:t>
      </w:r>
      <w:r w:rsidR="002C27FC">
        <w:rPr>
          <w:rFonts w:ascii="Times New Roman" w:hAnsi="Times New Roman" w:cs="Times New Roman"/>
          <w:sz w:val="24"/>
          <w:szCs w:val="24"/>
        </w:rPr>
        <w:t xml:space="preserve">, </w:t>
      </w:r>
      <w:r w:rsidR="00C87639">
        <w:rPr>
          <w:rFonts w:ascii="Times New Roman" w:hAnsi="Times New Roman" w:cs="Times New Roman"/>
          <w:sz w:val="24"/>
          <w:szCs w:val="24"/>
        </w:rPr>
        <w:t xml:space="preserve">none </w:t>
      </w:r>
      <w:r w:rsidR="00ED0B2C">
        <w:rPr>
          <w:rFonts w:ascii="Times New Roman" w:hAnsi="Times New Roman" w:cs="Times New Roman"/>
          <w:sz w:val="24"/>
          <w:szCs w:val="24"/>
        </w:rPr>
        <w:t xml:space="preserve">of </w:t>
      </w:r>
      <w:r w:rsidR="002C27FC">
        <w:rPr>
          <w:rFonts w:ascii="Times New Roman" w:hAnsi="Times New Roman" w:cs="Times New Roman"/>
          <w:sz w:val="24"/>
          <w:szCs w:val="24"/>
        </w:rPr>
        <w:t xml:space="preserve">which </w:t>
      </w:r>
      <w:r w:rsidR="00C87639">
        <w:rPr>
          <w:rFonts w:ascii="Times New Roman" w:hAnsi="Times New Roman" w:cs="Times New Roman"/>
          <w:sz w:val="24"/>
          <w:szCs w:val="24"/>
        </w:rPr>
        <w:t xml:space="preserve">addressed </w:t>
      </w:r>
      <w:r w:rsidR="00D83610">
        <w:rPr>
          <w:rFonts w:ascii="Times New Roman" w:hAnsi="Times New Roman" w:cs="Times New Roman"/>
          <w:sz w:val="24"/>
          <w:szCs w:val="24"/>
        </w:rPr>
        <w:t>its</w:t>
      </w:r>
      <w:r w:rsidR="00C87639">
        <w:rPr>
          <w:rFonts w:ascii="Times New Roman" w:hAnsi="Times New Roman" w:cs="Times New Roman"/>
          <w:sz w:val="24"/>
          <w:szCs w:val="24"/>
        </w:rPr>
        <w:t xml:space="preserve"> merits or provided </w:t>
      </w:r>
      <w:r w:rsidR="00133C03">
        <w:rPr>
          <w:rFonts w:ascii="Times New Roman" w:hAnsi="Times New Roman" w:cs="Times New Roman"/>
          <w:sz w:val="24"/>
          <w:szCs w:val="24"/>
        </w:rPr>
        <w:t>useable information</w:t>
      </w:r>
      <w:r w:rsidRPr="008D57EF">
        <w:rPr>
          <w:rFonts w:ascii="Times New Roman" w:hAnsi="Times New Roman" w:cs="Times New Roman"/>
          <w:sz w:val="24"/>
          <w:szCs w:val="24"/>
        </w:rPr>
        <w:t>.</w:t>
      </w:r>
      <w:r>
        <w:rPr>
          <w:rStyle w:val="FootnoteReference"/>
          <w:rFonts w:ascii="Times New Roman" w:hAnsi="Times New Roman" w:cs="Times New Roman"/>
          <w:sz w:val="24"/>
          <w:szCs w:val="24"/>
        </w:rPr>
        <w:footnoteReference w:id="20"/>
      </w:r>
      <w:r w:rsidR="00D83610">
        <w:rPr>
          <w:rFonts w:ascii="Times New Roman" w:hAnsi="Times New Roman" w:cs="Times New Roman"/>
          <w:sz w:val="24"/>
          <w:szCs w:val="24"/>
        </w:rPr>
        <w:t xml:space="preserve">  </w:t>
      </w:r>
      <w:r w:rsidRPr="00244FD1">
        <w:rPr>
          <w:rFonts w:ascii="Times New Roman" w:hAnsi="Times New Roman" w:cs="Times New Roman"/>
          <w:sz w:val="24"/>
          <w:szCs w:val="24"/>
        </w:rPr>
        <w:t xml:space="preserve">FinCEN </w:t>
      </w:r>
      <w:r w:rsidR="00D83610">
        <w:rPr>
          <w:rFonts w:ascii="Times New Roman" w:hAnsi="Times New Roman" w:cs="Times New Roman"/>
          <w:sz w:val="24"/>
          <w:szCs w:val="24"/>
        </w:rPr>
        <w:t xml:space="preserve">consequently </w:t>
      </w:r>
      <w:r w:rsidRPr="00244FD1">
        <w:rPr>
          <w:rFonts w:ascii="Times New Roman" w:hAnsi="Times New Roman" w:cs="Times New Roman"/>
          <w:sz w:val="24"/>
          <w:szCs w:val="24"/>
        </w:rPr>
        <w:t xml:space="preserve">determined </w:t>
      </w:r>
      <w:r w:rsidR="00D83610">
        <w:rPr>
          <w:rFonts w:ascii="Times New Roman" w:hAnsi="Times New Roman" w:cs="Times New Roman"/>
          <w:sz w:val="24"/>
          <w:szCs w:val="24"/>
        </w:rPr>
        <w:t xml:space="preserve">that </w:t>
      </w:r>
      <w:r w:rsidRPr="00244FD1">
        <w:rPr>
          <w:rFonts w:ascii="Times New Roman" w:hAnsi="Times New Roman" w:cs="Times New Roman"/>
          <w:sz w:val="24"/>
          <w:szCs w:val="24"/>
        </w:rPr>
        <w:t xml:space="preserve">there were no recommendations or objections that </w:t>
      </w:r>
      <w:r w:rsidRPr="00244FD1">
        <w:rPr>
          <w:rFonts w:ascii="Times New Roman" w:hAnsi="Times New Roman" w:cs="Times New Roman"/>
          <w:sz w:val="24"/>
          <w:szCs w:val="24"/>
        </w:rPr>
        <w:t>require</w:t>
      </w:r>
      <w:r w:rsidRPr="00244FD1">
        <w:rPr>
          <w:rFonts w:ascii="Times New Roman" w:hAnsi="Times New Roman" w:cs="Times New Roman"/>
          <w:sz w:val="24"/>
          <w:szCs w:val="24"/>
        </w:rPr>
        <w:t xml:space="preserve"> revision </w:t>
      </w:r>
      <w:r w:rsidRPr="00244FD1">
        <w:rPr>
          <w:rFonts w:ascii="Times New Roman" w:hAnsi="Times New Roman" w:cs="Times New Roman"/>
          <w:sz w:val="24"/>
          <w:szCs w:val="24"/>
        </w:rPr>
        <w:t>to</w:t>
      </w:r>
      <w:r w:rsidRPr="00244FD1">
        <w:rPr>
          <w:rFonts w:ascii="Times New Roman" w:hAnsi="Times New Roman" w:cs="Times New Roman"/>
          <w:sz w:val="24"/>
          <w:szCs w:val="24"/>
        </w:rPr>
        <w:t xml:space="preserve"> the analysis presented in the 60-day notice and request for comments.</w:t>
      </w:r>
    </w:p>
    <w:p w:rsidR="00240CCA" w:rsidRPr="001C782D" w:rsidP="00240CCA" w14:paraId="170DD981" w14:textId="56EC5CD6">
      <w:pPr>
        <w:spacing w:after="240"/>
        <w:rPr>
          <w:rFonts w:ascii="Times New Roman" w:hAnsi="Times New Roman" w:cs="Times New Roman"/>
          <w:sz w:val="24"/>
          <w:szCs w:val="24"/>
        </w:rPr>
      </w:pPr>
      <w:r w:rsidRPr="001C782D">
        <w:rPr>
          <w:rFonts w:ascii="Times New Roman" w:hAnsi="Times New Roman" w:cs="Times New Roman"/>
          <w:sz w:val="24"/>
          <w:szCs w:val="24"/>
        </w:rPr>
        <w:t xml:space="preserve">9. </w:t>
      </w:r>
      <w:r w:rsidRPr="001C782D">
        <w:rPr>
          <w:rFonts w:ascii="Times New Roman" w:hAnsi="Times New Roman" w:cs="Times New Roman"/>
          <w:sz w:val="24"/>
          <w:szCs w:val="24"/>
          <w:u w:val="single"/>
        </w:rPr>
        <w:t>Explanation of decision to provide any payment or gift to respondents.</w:t>
      </w:r>
      <w:r w:rsidRPr="001C782D">
        <w:rPr>
          <w:rFonts w:ascii="Times New Roman" w:hAnsi="Times New Roman" w:cs="Times New Roman"/>
          <w:sz w:val="24"/>
          <w:szCs w:val="24"/>
        </w:rPr>
        <w:t xml:space="preserve"> </w:t>
      </w:r>
    </w:p>
    <w:p w:rsidR="00D95F29" w:rsidP="00627365" w14:paraId="6279BCBB" w14:textId="44A30C2B">
      <w:pPr>
        <w:pStyle w:val="BodyText"/>
        <w:spacing w:before="0" w:after="240"/>
        <w:ind w:firstLine="720"/>
        <w:rPr>
          <w:sz w:val="24"/>
          <w:szCs w:val="24"/>
        </w:rPr>
      </w:pPr>
      <w:r w:rsidRPr="00D95F29">
        <w:rPr>
          <w:sz w:val="24"/>
          <w:szCs w:val="24"/>
        </w:rPr>
        <w:t>No payments or gifts were made to respondents.</w:t>
      </w:r>
    </w:p>
    <w:p w:rsidR="00240CCA" w:rsidRPr="001C782D" w:rsidP="00240CCA" w14:paraId="756231D6" w14:textId="78E0C886">
      <w:pPr>
        <w:pStyle w:val="BodyText"/>
        <w:spacing w:before="0" w:after="240"/>
        <w:rPr>
          <w:sz w:val="24"/>
          <w:szCs w:val="24"/>
        </w:rPr>
      </w:pPr>
      <w:r w:rsidRPr="001C782D">
        <w:rPr>
          <w:sz w:val="24"/>
          <w:szCs w:val="24"/>
        </w:rPr>
        <w:t xml:space="preserve">10. </w:t>
      </w:r>
      <w:r w:rsidRPr="001C782D">
        <w:rPr>
          <w:sz w:val="24"/>
          <w:szCs w:val="24"/>
          <w:u w:val="single"/>
        </w:rPr>
        <w:t>Assurance of confidentiality of responses.</w:t>
      </w:r>
      <w:r w:rsidRPr="001C782D">
        <w:rPr>
          <w:sz w:val="24"/>
          <w:szCs w:val="24"/>
        </w:rPr>
        <w:t xml:space="preserve"> </w:t>
      </w:r>
    </w:p>
    <w:p w:rsidR="00D8681C" w:rsidRPr="00D8681C" w:rsidP="00627365" w14:paraId="3A4080AE" w14:textId="67C4670D">
      <w:pPr>
        <w:spacing w:after="240" w:line="240" w:lineRule="auto"/>
        <w:ind w:firstLine="720"/>
        <w:rPr>
          <w:rFonts w:ascii="Times New Roman" w:hAnsi="Times New Roman" w:cs="Times New Roman"/>
          <w:sz w:val="24"/>
          <w:szCs w:val="24"/>
          <w:vertAlign w:val="superscript"/>
        </w:rPr>
      </w:pPr>
      <w:r w:rsidRPr="00D8681C">
        <w:rPr>
          <w:rFonts w:ascii="Times New Roman" w:hAnsi="Times New Roman" w:cs="Times New Roman"/>
          <w:sz w:val="24"/>
          <w:szCs w:val="24"/>
        </w:rPr>
        <w:t xml:space="preserve">Information collected </w:t>
      </w:r>
      <w:r w:rsidR="00032D76">
        <w:rPr>
          <w:rFonts w:ascii="Times New Roman" w:hAnsi="Times New Roman" w:cs="Times New Roman"/>
          <w:sz w:val="24"/>
          <w:szCs w:val="24"/>
        </w:rPr>
        <w:t>via</w:t>
      </w:r>
      <w:r w:rsidRPr="00D8681C" w:rsidR="00032D76">
        <w:rPr>
          <w:rFonts w:ascii="Times New Roman" w:hAnsi="Times New Roman" w:cs="Times New Roman"/>
          <w:sz w:val="24"/>
          <w:szCs w:val="24"/>
        </w:rPr>
        <w:t xml:space="preserve"> </w:t>
      </w:r>
      <w:r w:rsidR="00032D76">
        <w:rPr>
          <w:rFonts w:ascii="Times New Roman" w:hAnsi="Times New Roman" w:cs="Times New Roman"/>
          <w:sz w:val="24"/>
          <w:szCs w:val="24"/>
        </w:rPr>
        <w:t>FinCEN Form 107</w:t>
      </w:r>
      <w:r w:rsidRPr="00D8681C">
        <w:rPr>
          <w:rFonts w:ascii="Times New Roman" w:hAnsi="Times New Roman" w:cs="Times New Roman"/>
          <w:sz w:val="24"/>
          <w:szCs w:val="24"/>
        </w:rPr>
        <w:t xml:space="preserve"> is made available to appropriate agencies and organizations as disclosed in FinCEN's Privacy Act System of Records Notice (SORN) relating to BSA reports.</w:t>
      </w:r>
      <w:r>
        <w:rPr>
          <w:rFonts w:ascii="Times New Roman" w:hAnsi="Times New Roman" w:cs="Times New Roman"/>
          <w:sz w:val="24"/>
          <w:szCs w:val="24"/>
          <w:vertAlign w:val="superscript"/>
        </w:rPr>
        <w:footnoteReference w:id="21"/>
      </w:r>
      <w:r w:rsidR="007E5672">
        <w:rPr>
          <w:rFonts w:ascii="Times New Roman" w:hAnsi="Times New Roman" w:cs="Times New Roman"/>
          <w:sz w:val="24"/>
          <w:szCs w:val="24"/>
        </w:rPr>
        <w:t xml:space="preserve">  FinCEN </w:t>
      </w:r>
      <w:r w:rsidR="00032D76">
        <w:rPr>
          <w:rFonts w:ascii="Times New Roman" w:hAnsi="Times New Roman" w:cs="Times New Roman"/>
          <w:sz w:val="24"/>
          <w:szCs w:val="24"/>
        </w:rPr>
        <w:t xml:space="preserve">also </w:t>
      </w:r>
      <w:r w:rsidR="007E5672">
        <w:rPr>
          <w:rFonts w:ascii="Times New Roman" w:hAnsi="Times New Roman" w:cs="Times New Roman"/>
          <w:sz w:val="24"/>
          <w:szCs w:val="24"/>
        </w:rPr>
        <w:t xml:space="preserve">makes a list of </w:t>
      </w:r>
      <w:r w:rsidR="003A7A9F">
        <w:rPr>
          <w:rFonts w:ascii="Times New Roman" w:hAnsi="Times New Roman" w:cs="Times New Roman"/>
          <w:sz w:val="24"/>
          <w:szCs w:val="24"/>
        </w:rPr>
        <w:t xml:space="preserve">most </w:t>
      </w:r>
      <w:r w:rsidR="00590BBF">
        <w:rPr>
          <w:rFonts w:ascii="Times New Roman" w:hAnsi="Times New Roman" w:cs="Times New Roman"/>
          <w:sz w:val="24"/>
          <w:szCs w:val="24"/>
        </w:rPr>
        <w:t xml:space="preserve">entities that </w:t>
      </w:r>
      <w:r w:rsidR="00370253">
        <w:rPr>
          <w:rFonts w:ascii="Times New Roman" w:hAnsi="Times New Roman" w:cs="Times New Roman"/>
          <w:sz w:val="24"/>
          <w:szCs w:val="24"/>
        </w:rPr>
        <w:t xml:space="preserve">are currently </w:t>
      </w:r>
      <w:r w:rsidR="007E5672">
        <w:rPr>
          <w:rFonts w:ascii="Times New Roman" w:hAnsi="Times New Roman" w:cs="Times New Roman"/>
          <w:sz w:val="24"/>
          <w:szCs w:val="24"/>
        </w:rPr>
        <w:t xml:space="preserve">registered </w:t>
      </w:r>
      <w:r w:rsidR="00590BBF">
        <w:rPr>
          <w:rFonts w:ascii="Times New Roman" w:hAnsi="Times New Roman" w:cs="Times New Roman"/>
          <w:sz w:val="24"/>
          <w:szCs w:val="24"/>
        </w:rPr>
        <w:t xml:space="preserve">as </w:t>
      </w:r>
      <w:r w:rsidR="007E5672">
        <w:rPr>
          <w:rFonts w:ascii="Times New Roman" w:hAnsi="Times New Roman" w:cs="Times New Roman"/>
          <w:sz w:val="24"/>
          <w:szCs w:val="24"/>
        </w:rPr>
        <w:t>MSBs</w:t>
      </w:r>
      <w:r w:rsidR="00590BBF">
        <w:rPr>
          <w:rFonts w:ascii="Times New Roman" w:hAnsi="Times New Roman" w:cs="Times New Roman"/>
          <w:sz w:val="24"/>
          <w:szCs w:val="24"/>
        </w:rPr>
        <w:t xml:space="preserve"> with FinCEN</w:t>
      </w:r>
      <w:r w:rsidR="007E5672">
        <w:rPr>
          <w:rFonts w:ascii="Times New Roman" w:hAnsi="Times New Roman" w:cs="Times New Roman"/>
          <w:sz w:val="24"/>
          <w:szCs w:val="24"/>
        </w:rPr>
        <w:t xml:space="preserve"> </w:t>
      </w:r>
      <w:r w:rsidR="00CA6AAB">
        <w:rPr>
          <w:rFonts w:ascii="Times New Roman" w:hAnsi="Times New Roman" w:cs="Times New Roman"/>
          <w:sz w:val="24"/>
          <w:szCs w:val="24"/>
        </w:rPr>
        <w:t xml:space="preserve">publicly </w:t>
      </w:r>
      <w:r w:rsidR="007E5672">
        <w:rPr>
          <w:rFonts w:ascii="Times New Roman" w:hAnsi="Times New Roman" w:cs="Times New Roman"/>
          <w:sz w:val="24"/>
          <w:szCs w:val="24"/>
        </w:rPr>
        <w:t>available on www.fincen.gov.</w:t>
      </w:r>
      <w:r>
        <w:rPr>
          <w:rStyle w:val="FootnoteReference"/>
          <w:rFonts w:ascii="Times New Roman" w:hAnsi="Times New Roman" w:cs="Times New Roman"/>
          <w:sz w:val="24"/>
          <w:szCs w:val="24"/>
        </w:rPr>
        <w:footnoteReference w:id="22"/>
      </w:r>
      <w:r w:rsidR="00BC378A">
        <w:rPr>
          <w:rFonts w:ascii="Times New Roman" w:hAnsi="Times New Roman" w:cs="Times New Roman"/>
          <w:sz w:val="24"/>
          <w:szCs w:val="24"/>
        </w:rPr>
        <w:t xml:space="preserve"> </w:t>
      </w:r>
      <w:r w:rsidR="00137021">
        <w:rPr>
          <w:rFonts w:ascii="Times New Roman" w:hAnsi="Times New Roman" w:cs="Times New Roman"/>
          <w:sz w:val="24"/>
          <w:szCs w:val="24"/>
        </w:rPr>
        <w:t xml:space="preserve"> </w:t>
      </w:r>
      <w:r w:rsidR="00BC378A">
        <w:rPr>
          <w:rFonts w:ascii="Times New Roman" w:hAnsi="Times New Roman" w:cs="Times New Roman"/>
          <w:sz w:val="24"/>
          <w:szCs w:val="24"/>
        </w:rPr>
        <w:t>Th</w:t>
      </w:r>
      <w:r w:rsidR="00CA6AAB">
        <w:rPr>
          <w:rFonts w:ascii="Times New Roman" w:hAnsi="Times New Roman" w:cs="Times New Roman"/>
          <w:sz w:val="24"/>
          <w:szCs w:val="24"/>
        </w:rPr>
        <w:t>at</w:t>
      </w:r>
      <w:r w:rsidR="00BC378A">
        <w:rPr>
          <w:rFonts w:ascii="Times New Roman" w:hAnsi="Times New Roman" w:cs="Times New Roman"/>
          <w:sz w:val="24"/>
          <w:szCs w:val="24"/>
        </w:rPr>
        <w:t xml:space="preserve"> </w:t>
      </w:r>
      <w:r w:rsidR="00D24D10">
        <w:rPr>
          <w:rFonts w:ascii="Times New Roman" w:hAnsi="Times New Roman" w:cs="Times New Roman"/>
          <w:sz w:val="24"/>
          <w:szCs w:val="24"/>
        </w:rPr>
        <w:t xml:space="preserve">public </w:t>
      </w:r>
      <w:r w:rsidR="00BC378A">
        <w:rPr>
          <w:rFonts w:ascii="Times New Roman" w:hAnsi="Times New Roman" w:cs="Times New Roman"/>
          <w:sz w:val="24"/>
          <w:szCs w:val="24"/>
        </w:rPr>
        <w:t xml:space="preserve">list includes </w:t>
      </w:r>
      <w:r w:rsidR="00CA6AAB">
        <w:rPr>
          <w:rFonts w:ascii="Times New Roman" w:hAnsi="Times New Roman" w:cs="Times New Roman"/>
          <w:sz w:val="24"/>
          <w:szCs w:val="24"/>
        </w:rPr>
        <w:t xml:space="preserve">entity </w:t>
      </w:r>
      <w:r w:rsidR="00BC378A">
        <w:rPr>
          <w:rFonts w:ascii="Times New Roman" w:hAnsi="Times New Roman" w:cs="Times New Roman"/>
          <w:sz w:val="24"/>
          <w:szCs w:val="24"/>
        </w:rPr>
        <w:t>name</w:t>
      </w:r>
      <w:r w:rsidR="00D24D10">
        <w:rPr>
          <w:rFonts w:ascii="Times New Roman" w:hAnsi="Times New Roman" w:cs="Times New Roman"/>
          <w:sz w:val="24"/>
          <w:szCs w:val="24"/>
        </w:rPr>
        <w:t>s</w:t>
      </w:r>
      <w:r w:rsidR="00BC378A">
        <w:rPr>
          <w:rFonts w:ascii="Times New Roman" w:hAnsi="Times New Roman" w:cs="Times New Roman"/>
          <w:sz w:val="24"/>
          <w:szCs w:val="24"/>
        </w:rPr>
        <w:t xml:space="preserve"> and address</w:t>
      </w:r>
      <w:r w:rsidR="00D24D10">
        <w:rPr>
          <w:rFonts w:ascii="Times New Roman" w:hAnsi="Times New Roman" w:cs="Times New Roman"/>
          <w:sz w:val="24"/>
          <w:szCs w:val="24"/>
        </w:rPr>
        <w:t xml:space="preserve">es </w:t>
      </w:r>
      <w:r w:rsidR="00CA6AAB">
        <w:rPr>
          <w:rFonts w:ascii="Times New Roman" w:hAnsi="Times New Roman" w:cs="Times New Roman"/>
          <w:sz w:val="24"/>
          <w:szCs w:val="24"/>
        </w:rPr>
        <w:t xml:space="preserve">but </w:t>
      </w:r>
      <w:r w:rsidR="00D24D10">
        <w:rPr>
          <w:rFonts w:ascii="Times New Roman" w:hAnsi="Times New Roman" w:cs="Times New Roman"/>
          <w:sz w:val="24"/>
          <w:szCs w:val="24"/>
        </w:rPr>
        <w:t xml:space="preserve">no </w:t>
      </w:r>
      <w:r w:rsidR="007631F3">
        <w:rPr>
          <w:rFonts w:ascii="Times New Roman" w:hAnsi="Times New Roman" w:cs="Times New Roman"/>
          <w:sz w:val="24"/>
          <w:szCs w:val="24"/>
        </w:rPr>
        <w:t xml:space="preserve">personally identifiable </w:t>
      </w:r>
      <w:r w:rsidR="00D24D10">
        <w:rPr>
          <w:rFonts w:ascii="Times New Roman" w:hAnsi="Times New Roman" w:cs="Times New Roman"/>
          <w:sz w:val="24"/>
          <w:szCs w:val="24"/>
        </w:rPr>
        <w:t>information</w:t>
      </w:r>
      <w:r w:rsidR="00BC378A">
        <w:rPr>
          <w:rFonts w:ascii="Times New Roman" w:hAnsi="Times New Roman" w:cs="Times New Roman"/>
          <w:sz w:val="24"/>
          <w:szCs w:val="24"/>
        </w:rPr>
        <w:t xml:space="preserve">.  </w:t>
      </w:r>
      <w:r w:rsidR="00483385">
        <w:rPr>
          <w:rFonts w:ascii="Times New Roman" w:hAnsi="Times New Roman" w:cs="Times New Roman"/>
          <w:sz w:val="24"/>
          <w:szCs w:val="24"/>
        </w:rPr>
        <w:t xml:space="preserve">  </w:t>
      </w:r>
    </w:p>
    <w:p w:rsidR="00240CCA" w:rsidRPr="001C782D" w:rsidP="00240CCA" w14:paraId="62E5B574" w14:textId="7E0C55B2">
      <w:pPr>
        <w:spacing w:after="240"/>
        <w:rPr>
          <w:rFonts w:ascii="Times New Roman" w:hAnsi="Times New Roman" w:cs="Times New Roman"/>
          <w:sz w:val="24"/>
          <w:szCs w:val="24"/>
        </w:rPr>
      </w:pPr>
      <w:r w:rsidRPr="001C782D">
        <w:rPr>
          <w:rFonts w:ascii="Times New Roman" w:hAnsi="Times New Roman" w:cs="Times New Roman"/>
          <w:sz w:val="24"/>
          <w:szCs w:val="24"/>
        </w:rPr>
        <w:t xml:space="preserve">11. </w:t>
      </w:r>
      <w:r w:rsidRPr="001C782D">
        <w:rPr>
          <w:rFonts w:ascii="Times New Roman" w:hAnsi="Times New Roman" w:cs="Times New Roman"/>
          <w:sz w:val="24"/>
          <w:szCs w:val="24"/>
          <w:u w:val="single"/>
        </w:rPr>
        <w:t>Justification of sensitive questions.</w:t>
      </w:r>
      <w:r w:rsidRPr="001C782D">
        <w:rPr>
          <w:rFonts w:ascii="Times New Roman" w:hAnsi="Times New Roman" w:cs="Times New Roman"/>
          <w:sz w:val="24"/>
          <w:szCs w:val="24"/>
        </w:rPr>
        <w:t xml:space="preserve"> </w:t>
      </w:r>
    </w:p>
    <w:p w:rsidR="005D352C" w:rsidP="00627365" w14:paraId="4B51A7DE" w14:textId="424D94F3">
      <w:pPr>
        <w:spacing w:after="240" w:line="240" w:lineRule="auto"/>
        <w:ind w:firstLine="720"/>
        <w:rPr>
          <w:rFonts w:ascii="Times New Roman" w:hAnsi="Times New Roman" w:cs="Times New Roman"/>
          <w:sz w:val="24"/>
          <w:szCs w:val="24"/>
        </w:rPr>
      </w:pPr>
      <w:r w:rsidRPr="005D352C">
        <w:rPr>
          <w:rFonts w:ascii="Times New Roman" w:hAnsi="Times New Roman" w:cs="Times New Roman"/>
          <w:sz w:val="24"/>
          <w:szCs w:val="24"/>
        </w:rPr>
        <w:t>There are no questions of a sensitive nature</w:t>
      </w:r>
      <w:r w:rsidR="007631F3">
        <w:rPr>
          <w:rFonts w:ascii="Times New Roman" w:hAnsi="Times New Roman" w:cs="Times New Roman"/>
          <w:sz w:val="24"/>
          <w:szCs w:val="24"/>
        </w:rPr>
        <w:t>,</w:t>
      </w:r>
      <w:r w:rsidRPr="005D352C">
        <w:rPr>
          <w:rFonts w:ascii="Times New Roman" w:hAnsi="Times New Roman" w:cs="Times New Roman"/>
          <w:sz w:val="24"/>
          <w:szCs w:val="24"/>
        </w:rPr>
        <w:t xml:space="preserve"> </w:t>
      </w:r>
      <w:r w:rsidRPr="003A4E20" w:rsidR="007631F3">
        <w:rPr>
          <w:rFonts w:ascii="Times New Roman" w:hAnsi="Times New Roman" w:cs="Times New Roman"/>
          <w:sz w:val="24"/>
          <w:szCs w:val="24"/>
        </w:rPr>
        <w:t>such as sexual behavior and attitudes, religious beliefs, and other matters that are commonly considered private</w:t>
      </w:r>
      <w:r w:rsidR="007631F3">
        <w:rPr>
          <w:rFonts w:ascii="Times New Roman" w:hAnsi="Times New Roman" w:cs="Times New Roman"/>
          <w:sz w:val="24"/>
          <w:szCs w:val="24"/>
        </w:rPr>
        <w:t>,</w:t>
      </w:r>
      <w:r w:rsidRPr="005D352C" w:rsidR="007631F3">
        <w:rPr>
          <w:rFonts w:ascii="Times New Roman" w:hAnsi="Times New Roman" w:cs="Times New Roman"/>
          <w:sz w:val="24"/>
          <w:szCs w:val="24"/>
        </w:rPr>
        <w:t xml:space="preserve"> </w:t>
      </w:r>
      <w:r w:rsidRPr="005D352C">
        <w:rPr>
          <w:rFonts w:ascii="Times New Roman" w:hAnsi="Times New Roman" w:cs="Times New Roman"/>
          <w:sz w:val="24"/>
          <w:szCs w:val="24"/>
        </w:rPr>
        <w:t xml:space="preserve">in the collection of </w:t>
      </w:r>
      <w:r w:rsidRPr="005D352C">
        <w:rPr>
          <w:rFonts w:ascii="Times New Roman" w:hAnsi="Times New Roman" w:cs="Times New Roman"/>
          <w:sz w:val="24"/>
          <w:szCs w:val="24"/>
        </w:rPr>
        <w:t>information.  Any personally identifiable information collected under the BSA is strictly controlled as outlined in FinCEN’s SORN.</w:t>
      </w:r>
      <w:r>
        <w:rPr>
          <w:rFonts w:ascii="Times New Roman" w:hAnsi="Times New Roman" w:cs="Times New Roman"/>
          <w:sz w:val="24"/>
          <w:szCs w:val="24"/>
          <w:vertAlign w:val="superscript"/>
        </w:rPr>
        <w:footnoteReference w:id="23"/>
      </w:r>
      <w:r w:rsidRPr="005D352C">
        <w:rPr>
          <w:rFonts w:ascii="Times New Roman" w:hAnsi="Times New Roman" w:cs="Times New Roman"/>
          <w:sz w:val="24"/>
          <w:szCs w:val="24"/>
        </w:rPr>
        <w:t xml:space="preserve">  </w:t>
      </w:r>
    </w:p>
    <w:p w:rsidR="00240CCA" w:rsidRPr="001C782D" w:rsidP="00240CCA" w14:paraId="3A0019F3" w14:textId="6405BDDD">
      <w:pPr>
        <w:spacing w:after="240"/>
        <w:rPr>
          <w:rFonts w:ascii="Times New Roman" w:hAnsi="Times New Roman" w:cs="Times New Roman"/>
          <w:sz w:val="24"/>
          <w:szCs w:val="24"/>
        </w:rPr>
      </w:pPr>
      <w:r w:rsidRPr="001C782D">
        <w:rPr>
          <w:rFonts w:ascii="Times New Roman" w:hAnsi="Times New Roman" w:cs="Times New Roman"/>
          <w:sz w:val="24"/>
          <w:szCs w:val="24"/>
        </w:rPr>
        <w:t xml:space="preserve">12. </w:t>
      </w:r>
      <w:r w:rsidRPr="001C782D">
        <w:rPr>
          <w:rFonts w:ascii="Times New Roman" w:hAnsi="Times New Roman" w:cs="Times New Roman"/>
          <w:sz w:val="24"/>
          <w:szCs w:val="24"/>
          <w:u w:val="single"/>
        </w:rPr>
        <w:t>Estimated burden.</w:t>
      </w:r>
    </w:p>
    <w:p w:rsidR="00240CCA" w:rsidRPr="00A26E41" w:rsidP="008B7A0C" w14:paraId="30F0622F" w14:textId="36A07CB4">
      <w:pPr>
        <w:pStyle w:val="PlainText"/>
        <w:spacing w:after="240"/>
        <w:ind w:left="720"/>
        <w:rPr>
          <w:rFonts w:ascii="Times New Roman" w:eastAsia="MS Mincho" w:hAnsi="Times New Roman" w:cs="Times New Roman"/>
          <w:sz w:val="24"/>
          <w:szCs w:val="24"/>
        </w:rPr>
      </w:pPr>
      <w:r w:rsidRPr="00A26E41">
        <w:rPr>
          <w:rFonts w:ascii="Times New Roman" w:eastAsia="MS Mincho" w:hAnsi="Times New Roman" w:cs="Times New Roman"/>
          <w:sz w:val="24"/>
          <w:szCs w:val="24"/>
          <w:u w:val="single"/>
        </w:rPr>
        <w:t>Frequency</w:t>
      </w:r>
      <w:r w:rsidRPr="00A26E41">
        <w:rPr>
          <w:rFonts w:ascii="Times New Roman" w:eastAsia="MS Mincho" w:hAnsi="Times New Roman" w:cs="Times New Roman"/>
          <w:sz w:val="24"/>
          <w:szCs w:val="24"/>
          <w:u w:val="single"/>
        </w:rPr>
        <w:t>:</w:t>
      </w:r>
      <w:r w:rsidRPr="00A26E41">
        <w:rPr>
          <w:rFonts w:ascii="Times New Roman" w:eastAsia="MS Mincho" w:hAnsi="Times New Roman" w:cs="Times New Roman"/>
          <w:sz w:val="24"/>
          <w:szCs w:val="24"/>
        </w:rPr>
        <w:t xml:space="preserve">  </w:t>
      </w:r>
      <w:r w:rsidRPr="00A26E41" w:rsidR="00A26E41">
        <w:rPr>
          <w:rFonts w:ascii="Times New Roman" w:eastAsia="MS Mincho" w:hAnsi="Times New Roman" w:cs="Times New Roman"/>
          <w:sz w:val="24"/>
          <w:szCs w:val="24"/>
        </w:rPr>
        <w:t>As</w:t>
      </w:r>
      <w:r w:rsidRPr="00A26E41" w:rsidR="00A26E41">
        <w:rPr>
          <w:rFonts w:ascii="Times New Roman" w:eastAsia="MS Mincho" w:hAnsi="Times New Roman" w:cs="Times New Roman"/>
          <w:sz w:val="24"/>
          <w:szCs w:val="24"/>
        </w:rPr>
        <w:t xml:space="preserve"> required</w:t>
      </w:r>
    </w:p>
    <w:p w:rsidR="00A01A30" w:rsidP="008B7A0C" w14:paraId="3151A0C2" w14:textId="45DCC4EE">
      <w:pPr>
        <w:pStyle w:val="PlainText"/>
        <w:spacing w:after="240"/>
        <w:ind w:firstLine="720"/>
        <w:rPr>
          <w:rFonts w:ascii="Times New Roman" w:eastAsia="MS Mincho" w:hAnsi="Times New Roman" w:cs="Times New Roman"/>
          <w:sz w:val="24"/>
          <w:szCs w:val="24"/>
        </w:rPr>
      </w:pPr>
      <w:r>
        <w:rPr>
          <w:rFonts w:ascii="Times New Roman" w:eastAsia="MS Mincho" w:hAnsi="Times New Roman" w:cs="Times New Roman"/>
          <w:sz w:val="24"/>
          <w:szCs w:val="24"/>
          <w:u w:val="single"/>
        </w:rPr>
        <w:t>Estimated Number of Potential Respondents</w:t>
      </w:r>
      <w:r w:rsidRPr="00D97B61">
        <w:rPr>
          <w:rFonts w:ascii="Times New Roman" w:eastAsia="MS Mincho" w:hAnsi="Times New Roman" w:cs="Times New Roman"/>
          <w:sz w:val="24"/>
          <w:szCs w:val="24"/>
        </w:rPr>
        <w:t xml:space="preserve">: </w:t>
      </w:r>
      <w:r w:rsidR="00C337DC">
        <w:rPr>
          <w:rFonts w:ascii="Times New Roman" w:eastAsia="MS Mincho" w:hAnsi="Times New Roman" w:cs="Times New Roman"/>
          <w:sz w:val="24"/>
          <w:szCs w:val="24"/>
        </w:rPr>
        <w:t xml:space="preserve"> </w:t>
      </w:r>
      <w:r w:rsidRPr="00D97B61">
        <w:rPr>
          <w:rFonts w:ascii="Times New Roman" w:eastAsia="MS Mincho" w:hAnsi="Times New Roman" w:cs="Times New Roman"/>
          <w:sz w:val="24"/>
          <w:szCs w:val="24"/>
        </w:rPr>
        <w:t>24,856</w:t>
      </w:r>
      <w:r w:rsidRPr="00D97B61">
        <w:rPr>
          <w:rFonts w:ascii="Times New Roman" w:eastAsia="MS Mincho" w:hAnsi="Times New Roman" w:cs="Times New Roman"/>
          <w:sz w:val="24"/>
          <w:szCs w:val="24"/>
        </w:rPr>
        <w:t xml:space="preserve"> MSBs.</w:t>
      </w:r>
      <w:r>
        <w:rPr>
          <w:rStyle w:val="FootnoteReference"/>
          <w:rFonts w:ascii="Times New Roman" w:eastAsia="MS Mincho" w:hAnsi="Times New Roman" w:cs="Times New Roman"/>
          <w:sz w:val="24"/>
          <w:szCs w:val="24"/>
        </w:rPr>
        <w:footnoteReference w:id="24"/>
      </w:r>
    </w:p>
    <w:p w:rsidR="00ED1EE3" w:rsidRPr="002F0393" w:rsidP="008B7A0C" w14:paraId="34958964" w14:textId="417BB980">
      <w:pPr>
        <w:pStyle w:val="PlainText"/>
        <w:spacing w:after="240"/>
        <w:ind w:firstLine="720"/>
        <w:rPr>
          <w:rFonts w:ascii="Times New Roman" w:eastAsia="MS Mincho" w:hAnsi="Times New Roman" w:cs="Times New Roman"/>
          <w:sz w:val="24"/>
          <w:szCs w:val="24"/>
        </w:rPr>
      </w:pPr>
      <w:r>
        <w:rPr>
          <w:rFonts w:ascii="Times New Roman" w:eastAsia="MS Mincho" w:hAnsi="Times New Roman" w:cs="Times New Roman"/>
          <w:sz w:val="24"/>
          <w:szCs w:val="24"/>
          <w:u w:val="single"/>
        </w:rPr>
        <w:t>Estimated Number of Expected R</w:t>
      </w:r>
      <w:r w:rsidRPr="002F0393">
        <w:rPr>
          <w:rFonts w:ascii="Times New Roman" w:eastAsia="MS Mincho" w:hAnsi="Times New Roman" w:cs="Times New Roman"/>
          <w:sz w:val="24"/>
          <w:szCs w:val="24"/>
          <w:u w:val="single"/>
        </w:rPr>
        <w:t>espondents</w:t>
      </w:r>
      <w:r w:rsidRPr="2B524079">
        <w:rPr>
          <w:rFonts w:ascii="Times New Roman" w:eastAsia="MS Mincho" w:hAnsi="Times New Roman"/>
          <w:sz w:val="24"/>
          <w:szCs w:val="24"/>
        </w:rPr>
        <w:t>:</w:t>
      </w:r>
      <w:r>
        <w:rPr>
          <w:rFonts w:ascii="Times New Roman" w:eastAsia="MS Mincho" w:hAnsi="Times New Roman"/>
          <w:sz w:val="24"/>
          <w:szCs w:val="24"/>
        </w:rPr>
        <w:t xml:space="preserve"> </w:t>
      </w:r>
      <w:r w:rsidR="00C337DC">
        <w:rPr>
          <w:rFonts w:ascii="Times New Roman" w:eastAsia="MS Mincho" w:hAnsi="Times New Roman"/>
          <w:sz w:val="24"/>
          <w:szCs w:val="24"/>
        </w:rPr>
        <w:t xml:space="preserve"> </w:t>
      </w:r>
      <w:r>
        <w:rPr>
          <w:rFonts w:ascii="Times New Roman" w:eastAsia="MS Mincho" w:hAnsi="Times New Roman"/>
          <w:sz w:val="24"/>
          <w:szCs w:val="24"/>
        </w:rPr>
        <w:t>17,997</w:t>
      </w:r>
      <w:r>
        <w:rPr>
          <w:rFonts w:ascii="Times New Roman" w:eastAsia="MS Mincho" w:hAnsi="Times New Roman"/>
          <w:sz w:val="24"/>
          <w:szCs w:val="24"/>
        </w:rPr>
        <w:t xml:space="preserve"> MSBs annually, on average.</w:t>
      </w:r>
      <w:r>
        <w:rPr>
          <w:rStyle w:val="FootnoteReference"/>
          <w:rFonts w:ascii="Times New Roman" w:eastAsia="MS Mincho" w:hAnsi="Times New Roman"/>
          <w:sz w:val="24"/>
          <w:szCs w:val="24"/>
        </w:rPr>
        <w:footnoteReference w:id="25"/>
      </w:r>
      <w:r>
        <w:rPr>
          <w:rStyle w:val="FootnoteReference"/>
          <w:rFonts w:ascii="Times New Roman" w:eastAsia="MS Mincho" w:hAnsi="Times New Roman"/>
          <w:sz w:val="24"/>
          <w:szCs w:val="24"/>
        </w:rPr>
        <w:t xml:space="preserve"> </w:t>
      </w:r>
    </w:p>
    <w:p w:rsidR="00703726" w:rsidP="006A59AF" w14:paraId="7B4A51B8" w14:textId="42883193">
      <w:pPr>
        <w:pStyle w:val="PlainText"/>
        <w:spacing w:after="240"/>
        <w:ind w:left="720"/>
        <w:rPr>
          <w:rFonts w:ascii="Times New Roman" w:eastAsia="MS Mincho" w:hAnsi="Times New Roman" w:cs="Times New Roman"/>
          <w:sz w:val="24"/>
          <w:szCs w:val="24"/>
        </w:rPr>
      </w:pPr>
      <w:r w:rsidRPr="005708ED">
        <w:rPr>
          <w:rFonts w:ascii="Times New Roman" w:eastAsia="MS Mincho" w:hAnsi="Times New Roman" w:cs="Times New Roman"/>
          <w:sz w:val="24"/>
          <w:szCs w:val="24"/>
          <w:u w:val="single"/>
        </w:rPr>
        <w:t>Estimated Total Annual Burden Hours:</w:t>
      </w:r>
      <w:r w:rsidRPr="005708ED">
        <w:rPr>
          <w:rFonts w:ascii="Times New Roman" w:eastAsia="MS Mincho" w:hAnsi="Times New Roman" w:cs="Times New Roman"/>
          <w:sz w:val="24"/>
          <w:szCs w:val="24"/>
        </w:rPr>
        <w:t xml:space="preserve">  </w:t>
      </w:r>
      <w:r w:rsidRPr="005708ED" w:rsidR="005708ED">
        <w:rPr>
          <w:rFonts w:ascii="Times New Roman" w:eastAsia="MS Mincho" w:hAnsi="Times New Roman" w:cs="Times New Roman"/>
          <w:sz w:val="24"/>
          <w:szCs w:val="24"/>
        </w:rPr>
        <w:t>14,047.2</w:t>
      </w:r>
      <w:r>
        <w:rPr>
          <w:rStyle w:val="FootnoteReference"/>
          <w:rFonts w:ascii="Times New Roman" w:eastAsia="MS Mincho" w:hAnsi="Times New Roman" w:cs="Times New Roman"/>
          <w:sz w:val="24"/>
          <w:szCs w:val="24"/>
        </w:rPr>
        <w:footnoteReference w:id="26"/>
      </w:r>
    </w:p>
    <w:tbl>
      <w:tblPr>
        <w:tblStyle w:val="TableGrid"/>
        <w:tblW w:w="5000" w:type="pct"/>
        <w:tblLayout w:type="fixed"/>
        <w:tblLook w:val="04A0"/>
      </w:tblPr>
      <w:tblGrid>
        <w:gridCol w:w="2340"/>
        <w:gridCol w:w="1756"/>
        <w:gridCol w:w="1756"/>
        <w:gridCol w:w="1756"/>
        <w:gridCol w:w="1752"/>
      </w:tblGrid>
      <w:tr w14:paraId="102C73B0" w14:textId="77777777" w:rsidTr="677CE564">
        <w:tblPrEx>
          <w:tblW w:w="5000" w:type="pct"/>
          <w:tblLayout w:type="fixed"/>
          <w:tblLook w:val="04A0"/>
        </w:tblPrEx>
        <w:tc>
          <w:tcPr>
            <w:tcW w:w="5000" w:type="pct"/>
            <w:gridSpan w:val="5"/>
            <w:tcBorders>
              <w:top w:val="nil"/>
              <w:left w:val="nil"/>
              <w:bottom w:val="single" w:sz="4" w:space="0" w:color="auto"/>
              <w:right w:val="nil"/>
            </w:tcBorders>
            <w:vAlign w:val="center"/>
          </w:tcPr>
          <w:p w:rsidR="00C337DC" w:rsidRPr="001E78BB" w:rsidP="677CE564" w14:paraId="51DFC243" w14:textId="1F5E27D7">
            <w:pPr>
              <w:spacing w:after="0" w:line="240" w:lineRule="auto"/>
              <w:rPr>
                <w:rFonts w:eastAsia="Times New Roman"/>
                <w:b/>
                <w:bCs/>
                <w:sz w:val="24"/>
                <w:szCs w:val="24"/>
              </w:rPr>
            </w:pPr>
            <w:r w:rsidRPr="001E78BB">
              <w:rPr>
                <w:rFonts w:eastAsia="Times New Roman"/>
                <w:b/>
                <w:bCs/>
                <w:sz w:val="24"/>
                <w:szCs w:val="24"/>
              </w:rPr>
              <w:t>Table 1.  Summary of the PRA Burden and Costs, by Activity</w:t>
            </w:r>
          </w:p>
        </w:tc>
      </w:tr>
      <w:tr w14:paraId="47DF8492" w14:textId="6C177A8A" w:rsidTr="677CE564">
        <w:tblPrEx>
          <w:tblW w:w="5000" w:type="pct"/>
          <w:tblLayout w:type="fixed"/>
          <w:tblLook w:val="04A0"/>
        </w:tblPrEx>
        <w:trPr>
          <w:trHeight w:val="701"/>
        </w:trPr>
        <w:tc>
          <w:tcPr>
            <w:tcW w:w="1250" w:type="pct"/>
            <w:tcBorders>
              <w:top w:val="single" w:sz="4" w:space="0" w:color="auto"/>
            </w:tcBorders>
            <w:vAlign w:val="center"/>
          </w:tcPr>
          <w:p w:rsidR="00993E0F" w:rsidRPr="001E78BB" w:rsidP="677CE564" w14:paraId="43E51EE8" w14:textId="77777777">
            <w:pPr>
              <w:spacing w:after="0" w:line="240" w:lineRule="auto"/>
              <w:jc w:val="center"/>
              <w:rPr>
                <w:rFonts w:eastAsia="Times New Roman"/>
                <w:sz w:val="24"/>
                <w:szCs w:val="24"/>
              </w:rPr>
            </w:pPr>
            <w:r w:rsidRPr="001E78BB">
              <w:rPr>
                <w:rFonts w:eastAsia="Times New Roman"/>
                <w:sz w:val="24"/>
                <w:szCs w:val="24"/>
              </w:rPr>
              <w:t>Activity</w:t>
            </w:r>
          </w:p>
        </w:tc>
        <w:tc>
          <w:tcPr>
            <w:tcW w:w="938" w:type="pct"/>
            <w:tcBorders>
              <w:top w:val="single" w:sz="4" w:space="0" w:color="auto"/>
            </w:tcBorders>
            <w:vAlign w:val="center"/>
          </w:tcPr>
          <w:p w:rsidR="00993E0F" w:rsidRPr="001E78BB" w:rsidP="677CE564" w14:paraId="2444F28F" w14:textId="306C5EBB">
            <w:pPr>
              <w:spacing w:after="0" w:line="240" w:lineRule="auto"/>
              <w:jc w:val="center"/>
              <w:rPr>
                <w:rFonts w:eastAsia="Times New Roman"/>
                <w:sz w:val="24"/>
                <w:szCs w:val="24"/>
              </w:rPr>
            </w:pPr>
            <w:r w:rsidRPr="001E78BB">
              <w:rPr>
                <w:rFonts w:eastAsia="Times New Roman"/>
                <w:sz w:val="24"/>
                <w:szCs w:val="24"/>
              </w:rPr>
              <w:t xml:space="preserve">Burden Hours per </w:t>
            </w:r>
            <w:r w:rsidRPr="001E78BB">
              <w:rPr>
                <w:rFonts w:eastAsia="Times New Roman"/>
                <w:sz w:val="24"/>
                <w:szCs w:val="24"/>
              </w:rPr>
              <w:t>Respondent</w:t>
            </w:r>
            <w:r w:rsidRPr="677CE564" w:rsidR="105D8642">
              <w:rPr>
                <w:rFonts w:eastAsia="Times New Roman"/>
                <w:sz w:val="22"/>
                <w:szCs w:val="22"/>
                <w:vertAlign w:val="superscript"/>
              </w:rPr>
              <w:t>a</w:t>
            </w:r>
          </w:p>
        </w:tc>
        <w:tc>
          <w:tcPr>
            <w:tcW w:w="938" w:type="pct"/>
            <w:tcBorders>
              <w:top w:val="single" w:sz="4" w:space="0" w:color="auto"/>
            </w:tcBorders>
            <w:vAlign w:val="center"/>
          </w:tcPr>
          <w:p w:rsidR="00993E0F" w:rsidRPr="001E78BB" w:rsidP="677CE564" w14:paraId="34E44FE2" w14:textId="57092650">
            <w:pPr>
              <w:spacing w:after="0" w:line="240" w:lineRule="auto"/>
              <w:jc w:val="center"/>
              <w:rPr>
                <w:rFonts w:eastAsia="Times New Roman"/>
                <w:sz w:val="24"/>
                <w:szCs w:val="24"/>
              </w:rPr>
            </w:pPr>
            <w:r w:rsidRPr="001E78BB">
              <w:rPr>
                <w:rFonts w:eastAsia="Times New Roman"/>
                <w:sz w:val="24"/>
                <w:szCs w:val="24"/>
              </w:rPr>
              <w:t>Number of Respondents</w:t>
            </w:r>
          </w:p>
        </w:tc>
        <w:tc>
          <w:tcPr>
            <w:tcW w:w="938" w:type="pct"/>
            <w:tcBorders>
              <w:top w:val="single" w:sz="4" w:space="0" w:color="auto"/>
            </w:tcBorders>
            <w:vAlign w:val="center"/>
          </w:tcPr>
          <w:p w:rsidR="00993E0F" w:rsidRPr="001E78BB" w:rsidP="677CE564" w14:paraId="20249F5C" w14:textId="40AF4EC6">
            <w:pPr>
              <w:spacing w:after="0" w:line="240" w:lineRule="auto"/>
              <w:jc w:val="center"/>
              <w:rPr>
                <w:rFonts w:eastAsia="Times New Roman"/>
                <w:sz w:val="24"/>
                <w:szCs w:val="24"/>
              </w:rPr>
            </w:pPr>
            <w:r w:rsidRPr="001E78BB">
              <w:rPr>
                <w:rFonts w:eastAsia="Times New Roman"/>
                <w:sz w:val="24"/>
                <w:szCs w:val="24"/>
              </w:rPr>
              <w:t>Total Burden Hours</w:t>
            </w:r>
          </w:p>
        </w:tc>
        <w:tc>
          <w:tcPr>
            <w:tcW w:w="936" w:type="pct"/>
            <w:tcBorders>
              <w:top w:val="single" w:sz="4" w:space="0" w:color="auto"/>
            </w:tcBorders>
            <w:vAlign w:val="center"/>
          </w:tcPr>
          <w:p w:rsidR="00993E0F" w:rsidRPr="001E78BB" w:rsidP="677CE564" w14:paraId="5BC4EB34" w14:textId="1D236851">
            <w:pPr>
              <w:spacing w:after="0" w:line="240" w:lineRule="auto"/>
              <w:jc w:val="center"/>
              <w:rPr>
                <w:rFonts w:eastAsia="Times New Roman"/>
                <w:sz w:val="24"/>
                <w:szCs w:val="24"/>
              </w:rPr>
            </w:pPr>
            <w:r w:rsidRPr="001E78BB">
              <w:rPr>
                <w:rFonts w:eastAsia="Times New Roman"/>
                <w:sz w:val="24"/>
                <w:szCs w:val="24"/>
              </w:rPr>
              <w:t xml:space="preserve">Total </w:t>
            </w:r>
            <w:r w:rsidRPr="001E78BB">
              <w:rPr>
                <w:rFonts w:eastAsia="Times New Roman"/>
                <w:sz w:val="24"/>
                <w:szCs w:val="24"/>
              </w:rPr>
              <w:t>Cost</w:t>
            </w:r>
            <w:r w:rsidRPr="677CE564" w:rsidR="3A7F4A11">
              <w:rPr>
                <w:rFonts w:eastAsia="Times New Roman"/>
                <w:sz w:val="22"/>
                <w:szCs w:val="22"/>
                <w:vertAlign w:val="superscript"/>
              </w:rPr>
              <w:t>b</w:t>
            </w:r>
          </w:p>
        </w:tc>
      </w:tr>
      <w:tr w14:paraId="0CA5A790" w14:textId="24617DFE" w:rsidTr="677CE564">
        <w:tblPrEx>
          <w:tblW w:w="5000" w:type="pct"/>
          <w:tblLayout w:type="fixed"/>
          <w:tblLook w:val="04A0"/>
        </w:tblPrEx>
        <w:trPr>
          <w:trHeight w:val="302"/>
        </w:trPr>
        <w:tc>
          <w:tcPr>
            <w:tcW w:w="1250" w:type="pct"/>
          </w:tcPr>
          <w:p w:rsidR="00993E0F" w:rsidRPr="001E78BB" w:rsidP="677CE564" w14:paraId="64EDAA28" w14:textId="77777777">
            <w:pPr>
              <w:spacing w:after="0" w:line="240" w:lineRule="auto"/>
              <w:rPr>
                <w:rFonts w:eastAsia="Times New Roman"/>
                <w:sz w:val="24"/>
                <w:szCs w:val="24"/>
              </w:rPr>
            </w:pPr>
            <w:r w:rsidRPr="001E78BB">
              <w:rPr>
                <w:rFonts w:eastAsia="Times New Roman"/>
                <w:sz w:val="24"/>
                <w:szCs w:val="24"/>
              </w:rPr>
              <w:t>Initial Registration</w:t>
            </w:r>
          </w:p>
        </w:tc>
        <w:tc>
          <w:tcPr>
            <w:tcW w:w="938" w:type="pct"/>
          </w:tcPr>
          <w:p w:rsidR="00993E0F" w:rsidRPr="001E78BB" w:rsidP="677CE564" w14:paraId="12D7489B" w14:textId="150FB730">
            <w:pPr>
              <w:spacing w:after="0" w:line="240" w:lineRule="auto"/>
              <w:jc w:val="right"/>
              <w:rPr>
                <w:rFonts w:eastAsia="Times New Roman"/>
                <w:sz w:val="24"/>
                <w:szCs w:val="24"/>
              </w:rPr>
            </w:pPr>
            <w:r w:rsidRPr="001E78BB">
              <w:rPr>
                <w:rFonts w:eastAsia="Times New Roman"/>
                <w:sz w:val="24"/>
                <w:szCs w:val="24"/>
              </w:rPr>
              <w:t xml:space="preserve">1.07 </w:t>
            </w:r>
          </w:p>
        </w:tc>
        <w:tc>
          <w:tcPr>
            <w:tcW w:w="938" w:type="pct"/>
          </w:tcPr>
          <w:p w:rsidR="00993E0F" w:rsidRPr="001E78BB" w:rsidP="677CE564" w14:paraId="292E32A4" w14:textId="16F3640A">
            <w:pPr>
              <w:spacing w:after="0" w:line="240" w:lineRule="auto"/>
              <w:jc w:val="right"/>
              <w:rPr>
                <w:rFonts w:eastAsia="Times New Roman"/>
                <w:sz w:val="24"/>
                <w:szCs w:val="24"/>
              </w:rPr>
            </w:pPr>
            <w:r w:rsidRPr="001E78BB">
              <w:rPr>
                <w:rFonts w:eastAsia="Times New Roman"/>
                <w:sz w:val="24"/>
                <w:szCs w:val="24"/>
              </w:rPr>
              <w:t>4,093</w:t>
            </w:r>
          </w:p>
        </w:tc>
        <w:tc>
          <w:tcPr>
            <w:tcW w:w="938" w:type="pct"/>
          </w:tcPr>
          <w:p w:rsidR="00993E0F" w:rsidRPr="001E78BB" w:rsidP="677CE564" w14:paraId="542EDE22" w14:textId="206DDF25">
            <w:pPr>
              <w:spacing w:after="0" w:line="240" w:lineRule="auto"/>
              <w:jc w:val="right"/>
              <w:rPr>
                <w:rFonts w:eastAsia="Times New Roman"/>
                <w:sz w:val="24"/>
                <w:szCs w:val="24"/>
              </w:rPr>
            </w:pPr>
            <w:r w:rsidRPr="001E78BB">
              <w:rPr>
                <w:rFonts w:eastAsia="Times New Roman"/>
                <w:sz w:val="24"/>
                <w:szCs w:val="24"/>
              </w:rPr>
              <w:t>4,398.6</w:t>
            </w:r>
          </w:p>
        </w:tc>
        <w:tc>
          <w:tcPr>
            <w:tcW w:w="936" w:type="pct"/>
          </w:tcPr>
          <w:p w:rsidR="00993E0F" w:rsidRPr="001E78BB" w:rsidP="677CE564" w14:paraId="4B2B410E" w14:textId="081B5C66">
            <w:pPr>
              <w:spacing w:after="0" w:line="240" w:lineRule="auto"/>
              <w:jc w:val="right"/>
              <w:rPr>
                <w:rFonts w:eastAsia="Times New Roman"/>
                <w:sz w:val="24"/>
                <w:szCs w:val="24"/>
              </w:rPr>
            </w:pPr>
            <w:r w:rsidRPr="001E78BB">
              <w:rPr>
                <w:rFonts w:eastAsia="Times New Roman"/>
                <w:sz w:val="24"/>
                <w:szCs w:val="24"/>
              </w:rPr>
              <w:t>$548,507</w:t>
            </w:r>
          </w:p>
        </w:tc>
      </w:tr>
      <w:tr w14:paraId="5F1CB138" w14:textId="6904024C" w:rsidTr="677CE564">
        <w:tblPrEx>
          <w:tblW w:w="5000" w:type="pct"/>
          <w:tblLayout w:type="fixed"/>
          <w:tblLook w:val="04A0"/>
        </w:tblPrEx>
        <w:trPr>
          <w:trHeight w:val="302"/>
        </w:trPr>
        <w:tc>
          <w:tcPr>
            <w:tcW w:w="1250" w:type="pct"/>
          </w:tcPr>
          <w:p w:rsidR="00993E0F" w:rsidRPr="001E78BB" w:rsidP="677CE564" w14:paraId="4A19E96C" w14:textId="77777777">
            <w:pPr>
              <w:spacing w:after="0" w:line="240" w:lineRule="auto"/>
              <w:rPr>
                <w:rFonts w:eastAsia="Times New Roman"/>
                <w:sz w:val="24"/>
                <w:szCs w:val="24"/>
              </w:rPr>
            </w:pPr>
            <w:r w:rsidRPr="001E78BB">
              <w:rPr>
                <w:rFonts w:eastAsia="Times New Roman"/>
                <w:sz w:val="24"/>
                <w:szCs w:val="24"/>
              </w:rPr>
              <w:t>Renewals &amp; Re-registrations</w:t>
            </w:r>
          </w:p>
        </w:tc>
        <w:tc>
          <w:tcPr>
            <w:tcW w:w="938" w:type="pct"/>
          </w:tcPr>
          <w:p w:rsidR="00993E0F" w:rsidRPr="001E78BB" w:rsidP="677CE564" w14:paraId="4440CF4F" w14:textId="12517E92">
            <w:pPr>
              <w:spacing w:after="0" w:line="240" w:lineRule="auto"/>
              <w:jc w:val="right"/>
              <w:rPr>
                <w:rFonts w:eastAsia="Times New Roman"/>
                <w:sz w:val="24"/>
                <w:szCs w:val="24"/>
              </w:rPr>
            </w:pPr>
            <w:r w:rsidRPr="001E78BB">
              <w:rPr>
                <w:rFonts w:eastAsia="Times New Roman"/>
                <w:sz w:val="24"/>
                <w:szCs w:val="24"/>
              </w:rPr>
              <w:t xml:space="preserve">0.82 </w:t>
            </w:r>
          </w:p>
        </w:tc>
        <w:tc>
          <w:tcPr>
            <w:tcW w:w="938" w:type="pct"/>
          </w:tcPr>
          <w:p w:rsidR="00993E0F" w:rsidRPr="001E78BB" w:rsidP="677CE564" w14:paraId="7CE9A47C" w14:textId="5B715D96">
            <w:pPr>
              <w:spacing w:after="0" w:line="240" w:lineRule="auto"/>
              <w:jc w:val="right"/>
              <w:rPr>
                <w:rFonts w:eastAsia="Times New Roman"/>
                <w:sz w:val="24"/>
                <w:szCs w:val="24"/>
              </w:rPr>
            </w:pPr>
            <w:r w:rsidRPr="001E78BB">
              <w:rPr>
                <w:rFonts w:eastAsia="Times New Roman"/>
                <w:sz w:val="24"/>
                <w:szCs w:val="24"/>
              </w:rPr>
              <w:t>8,011</w:t>
            </w:r>
          </w:p>
        </w:tc>
        <w:tc>
          <w:tcPr>
            <w:tcW w:w="938" w:type="pct"/>
          </w:tcPr>
          <w:p w:rsidR="00993E0F" w:rsidRPr="001E78BB" w:rsidP="677CE564" w14:paraId="52C2871E" w14:textId="3216406B">
            <w:pPr>
              <w:spacing w:after="0" w:line="240" w:lineRule="auto"/>
              <w:jc w:val="right"/>
              <w:rPr>
                <w:rFonts w:eastAsia="Times New Roman"/>
                <w:sz w:val="24"/>
                <w:szCs w:val="24"/>
              </w:rPr>
            </w:pPr>
            <w:r w:rsidRPr="001E78BB">
              <w:rPr>
                <w:rFonts w:eastAsia="Times New Roman"/>
                <w:sz w:val="24"/>
                <w:szCs w:val="24"/>
              </w:rPr>
              <w:t>6,541.6</w:t>
            </w:r>
          </w:p>
        </w:tc>
        <w:tc>
          <w:tcPr>
            <w:tcW w:w="936" w:type="pct"/>
          </w:tcPr>
          <w:p w:rsidR="00993E0F" w:rsidRPr="001E78BB" w:rsidP="677CE564" w14:paraId="59D91472" w14:textId="50387B50">
            <w:pPr>
              <w:spacing w:after="0" w:line="240" w:lineRule="auto"/>
              <w:jc w:val="right"/>
              <w:rPr>
                <w:rFonts w:eastAsia="Times New Roman"/>
                <w:sz w:val="24"/>
                <w:szCs w:val="24"/>
              </w:rPr>
            </w:pPr>
            <w:r w:rsidRPr="001E78BB">
              <w:rPr>
                <w:rFonts w:eastAsia="Times New Roman"/>
                <w:sz w:val="24"/>
                <w:szCs w:val="24"/>
              </w:rPr>
              <w:t>$815</w:t>
            </w:r>
            <w:r w:rsidRPr="001E78BB" w:rsidR="3DC1CF16">
              <w:rPr>
                <w:rFonts w:eastAsia="Times New Roman"/>
                <w:sz w:val="24"/>
                <w:szCs w:val="24"/>
              </w:rPr>
              <w:t>,</w:t>
            </w:r>
            <w:r w:rsidRPr="001E78BB">
              <w:rPr>
                <w:rFonts w:eastAsia="Times New Roman"/>
                <w:sz w:val="24"/>
                <w:szCs w:val="24"/>
              </w:rPr>
              <w:t>928</w:t>
            </w:r>
          </w:p>
        </w:tc>
      </w:tr>
      <w:tr w14:paraId="0697A034" w14:textId="6CE22750" w:rsidTr="677CE564">
        <w:tblPrEx>
          <w:tblW w:w="5000" w:type="pct"/>
          <w:tblLayout w:type="fixed"/>
          <w:tblLook w:val="04A0"/>
        </w:tblPrEx>
        <w:trPr>
          <w:trHeight w:val="302"/>
        </w:trPr>
        <w:tc>
          <w:tcPr>
            <w:tcW w:w="1250" w:type="pct"/>
          </w:tcPr>
          <w:p w:rsidR="00993E0F" w:rsidRPr="001E78BB" w:rsidP="677CE564" w14:paraId="6AC79B24" w14:textId="77777777">
            <w:pPr>
              <w:spacing w:after="0" w:line="240" w:lineRule="auto"/>
              <w:rPr>
                <w:rFonts w:eastAsia="Times New Roman"/>
                <w:sz w:val="24"/>
                <w:szCs w:val="24"/>
              </w:rPr>
            </w:pPr>
            <w:r w:rsidRPr="001E78BB">
              <w:rPr>
                <w:rFonts w:eastAsia="Times New Roman"/>
                <w:sz w:val="24"/>
                <w:szCs w:val="24"/>
              </w:rPr>
              <w:t>Maintain Agent List</w:t>
            </w:r>
          </w:p>
        </w:tc>
        <w:tc>
          <w:tcPr>
            <w:tcW w:w="938" w:type="pct"/>
          </w:tcPr>
          <w:p w:rsidR="00993E0F" w:rsidRPr="001E78BB" w:rsidP="677CE564" w14:paraId="0389F06F" w14:textId="27202653">
            <w:pPr>
              <w:spacing w:after="0" w:line="240" w:lineRule="auto"/>
              <w:jc w:val="right"/>
              <w:rPr>
                <w:rFonts w:eastAsia="Times New Roman"/>
                <w:sz w:val="24"/>
                <w:szCs w:val="24"/>
              </w:rPr>
            </w:pPr>
            <w:r w:rsidRPr="001E78BB">
              <w:rPr>
                <w:rFonts w:eastAsia="Times New Roman"/>
                <w:sz w:val="24"/>
                <w:szCs w:val="24"/>
              </w:rPr>
              <w:t xml:space="preserve">0.50 </w:t>
            </w:r>
          </w:p>
        </w:tc>
        <w:tc>
          <w:tcPr>
            <w:tcW w:w="938" w:type="pct"/>
          </w:tcPr>
          <w:p w:rsidR="00993E0F" w:rsidRPr="001E78BB" w:rsidP="677CE564" w14:paraId="71B90BFF" w14:textId="176B0809">
            <w:pPr>
              <w:spacing w:after="0" w:line="240" w:lineRule="auto"/>
              <w:jc w:val="right"/>
              <w:rPr>
                <w:rFonts w:eastAsia="Times New Roman"/>
                <w:sz w:val="24"/>
                <w:szCs w:val="24"/>
              </w:rPr>
            </w:pPr>
            <w:r w:rsidRPr="001E78BB">
              <w:rPr>
                <w:rFonts w:eastAsia="Times New Roman"/>
                <w:sz w:val="24"/>
                <w:szCs w:val="24"/>
              </w:rPr>
              <w:t>6,214</w:t>
            </w:r>
          </w:p>
        </w:tc>
        <w:tc>
          <w:tcPr>
            <w:tcW w:w="938" w:type="pct"/>
          </w:tcPr>
          <w:p w:rsidR="00993E0F" w:rsidRPr="001E78BB" w:rsidP="677CE564" w14:paraId="2175455B" w14:textId="1AB228A2">
            <w:pPr>
              <w:spacing w:after="0" w:line="240" w:lineRule="auto"/>
              <w:jc w:val="right"/>
              <w:rPr>
                <w:rFonts w:eastAsia="Times New Roman"/>
                <w:sz w:val="24"/>
                <w:szCs w:val="24"/>
              </w:rPr>
            </w:pPr>
            <w:r w:rsidRPr="001E78BB">
              <w:rPr>
                <w:rFonts w:eastAsia="Times New Roman"/>
                <w:sz w:val="24"/>
                <w:szCs w:val="24"/>
              </w:rPr>
              <w:t>3,107.0</w:t>
            </w:r>
          </w:p>
        </w:tc>
        <w:tc>
          <w:tcPr>
            <w:tcW w:w="936" w:type="pct"/>
          </w:tcPr>
          <w:p w:rsidR="00993E0F" w:rsidRPr="001E78BB" w:rsidP="677CE564" w14:paraId="3B0B2C63" w14:textId="4E51EFA4">
            <w:pPr>
              <w:spacing w:after="0" w:line="240" w:lineRule="auto"/>
              <w:jc w:val="right"/>
              <w:rPr>
                <w:rFonts w:eastAsia="Times New Roman"/>
                <w:sz w:val="24"/>
                <w:szCs w:val="24"/>
              </w:rPr>
            </w:pPr>
            <w:r w:rsidRPr="001E78BB">
              <w:rPr>
                <w:rFonts w:eastAsia="Times New Roman"/>
                <w:sz w:val="24"/>
                <w:szCs w:val="24"/>
              </w:rPr>
              <w:t>$387,691</w:t>
            </w:r>
          </w:p>
        </w:tc>
      </w:tr>
      <w:tr w14:paraId="7B0E4693" w14:textId="26D833DD" w:rsidTr="677CE564">
        <w:tblPrEx>
          <w:tblW w:w="5000" w:type="pct"/>
          <w:tblLayout w:type="fixed"/>
          <w:tblLook w:val="04A0"/>
        </w:tblPrEx>
        <w:trPr>
          <w:trHeight w:val="302"/>
        </w:trPr>
        <w:tc>
          <w:tcPr>
            <w:tcW w:w="1250" w:type="pct"/>
            <w:tcBorders>
              <w:bottom w:val="single" w:sz="4" w:space="0" w:color="auto"/>
            </w:tcBorders>
          </w:tcPr>
          <w:p w:rsidR="00993E0F" w:rsidRPr="001E78BB" w:rsidP="677CE564" w14:paraId="01E9A291" w14:textId="77777777">
            <w:pPr>
              <w:spacing w:after="0" w:line="240" w:lineRule="auto"/>
              <w:rPr>
                <w:rFonts w:eastAsia="Times New Roman"/>
                <w:b/>
                <w:bCs/>
                <w:sz w:val="24"/>
                <w:szCs w:val="24"/>
              </w:rPr>
            </w:pPr>
            <w:r w:rsidRPr="001E78BB">
              <w:rPr>
                <w:rFonts w:eastAsia="Times New Roman"/>
                <w:b/>
                <w:bCs/>
                <w:sz w:val="24"/>
                <w:szCs w:val="24"/>
              </w:rPr>
              <w:t>Total</w:t>
            </w:r>
          </w:p>
        </w:tc>
        <w:tc>
          <w:tcPr>
            <w:tcW w:w="938" w:type="pct"/>
            <w:tcBorders>
              <w:bottom w:val="single" w:sz="4" w:space="0" w:color="auto"/>
            </w:tcBorders>
          </w:tcPr>
          <w:p w:rsidR="00993E0F" w:rsidRPr="001E78BB" w:rsidP="677CE564" w14:paraId="393DC3DE" w14:textId="77777777">
            <w:pPr>
              <w:spacing w:after="0" w:line="240" w:lineRule="auto"/>
              <w:jc w:val="right"/>
              <w:rPr>
                <w:rFonts w:eastAsia="Times New Roman"/>
                <w:b/>
                <w:bCs/>
                <w:sz w:val="24"/>
                <w:szCs w:val="24"/>
              </w:rPr>
            </w:pPr>
          </w:p>
        </w:tc>
        <w:tc>
          <w:tcPr>
            <w:tcW w:w="938" w:type="pct"/>
            <w:tcBorders>
              <w:bottom w:val="single" w:sz="4" w:space="0" w:color="auto"/>
            </w:tcBorders>
          </w:tcPr>
          <w:p w:rsidR="00993E0F" w:rsidRPr="001E78BB" w:rsidP="677CE564" w14:paraId="6AFAAAE1" w14:textId="3124F353">
            <w:pPr>
              <w:spacing w:after="0" w:line="240" w:lineRule="auto"/>
              <w:jc w:val="right"/>
              <w:rPr>
                <w:rFonts w:eastAsia="Times New Roman"/>
                <w:b/>
                <w:bCs/>
                <w:sz w:val="24"/>
                <w:szCs w:val="24"/>
              </w:rPr>
            </w:pPr>
            <w:r w:rsidRPr="001E78BB">
              <w:rPr>
                <w:rFonts w:eastAsia="Times New Roman"/>
                <w:b/>
                <w:bCs/>
                <w:sz w:val="24"/>
                <w:szCs w:val="24"/>
              </w:rPr>
              <w:t>1</w:t>
            </w:r>
            <w:r w:rsidR="00903ED9">
              <w:rPr>
                <w:rFonts w:eastAsia="Times New Roman"/>
                <w:b/>
                <w:bCs/>
                <w:sz w:val="24"/>
                <w:szCs w:val="24"/>
              </w:rPr>
              <w:t>8</w:t>
            </w:r>
            <w:r w:rsidR="009D1CBD">
              <w:rPr>
                <w:rFonts w:eastAsia="Times New Roman"/>
                <w:b/>
                <w:bCs/>
                <w:sz w:val="24"/>
                <w:szCs w:val="24"/>
              </w:rPr>
              <w:t>,318</w:t>
            </w:r>
            <w:r w:rsidRPr="00DF0CA1" w:rsidR="00DF0CA1">
              <w:rPr>
                <w:rFonts w:eastAsia="Times New Roman"/>
                <w:b/>
                <w:bCs/>
                <w:sz w:val="24"/>
                <w:szCs w:val="24"/>
                <w:vertAlign w:val="superscript"/>
              </w:rPr>
              <w:t>c</w:t>
            </w:r>
          </w:p>
        </w:tc>
        <w:tc>
          <w:tcPr>
            <w:tcW w:w="938" w:type="pct"/>
            <w:tcBorders>
              <w:bottom w:val="single" w:sz="4" w:space="0" w:color="auto"/>
            </w:tcBorders>
          </w:tcPr>
          <w:p w:rsidR="00993E0F" w:rsidRPr="001E78BB" w:rsidP="677CE564" w14:paraId="5D88C1FE" w14:textId="3FCD8793">
            <w:pPr>
              <w:spacing w:after="0" w:line="240" w:lineRule="auto"/>
              <w:jc w:val="right"/>
              <w:rPr>
                <w:rFonts w:eastAsia="Times New Roman"/>
                <w:b/>
                <w:bCs/>
                <w:sz w:val="24"/>
                <w:szCs w:val="24"/>
              </w:rPr>
            </w:pPr>
            <w:r w:rsidRPr="001E78BB">
              <w:rPr>
                <w:rFonts w:eastAsia="Times New Roman"/>
                <w:b/>
                <w:bCs/>
                <w:sz w:val="24"/>
                <w:szCs w:val="24"/>
              </w:rPr>
              <w:t>14,047.2</w:t>
            </w:r>
          </w:p>
        </w:tc>
        <w:tc>
          <w:tcPr>
            <w:tcW w:w="936" w:type="pct"/>
            <w:tcBorders>
              <w:bottom w:val="single" w:sz="4" w:space="0" w:color="auto"/>
            </w:tcBorders>
          </w:tcPr>
          <w:p w:rsidR="00993E0F" w:rsidRPr="001E78BB" w:rsidP="677CE564" w14:paraId="4F4A6FFD" w14:textId="3863430A">
            <w:pPr>
              <w:spacing w:after="0" w:line="240" w:lineRule="auto"/>
              <w:jc w:val="right"/>
              <w:rPr>
                <w:rFonts w:eastAsia="Times New Roman"/>
                <w:b/>
                <w:bCs/>
                <w:sz w:val="24"/>
                <w:szCs w:val="24"/>
              </w:rPr>
            </w:pPr>
            <w:r w:rsidRPr="001E78BB">
              <w:rPr>
                <w:rFonts w:eastAsia="Times New Roman"/>
                <w:b/>
                <w:bCs/>
                <w:sz w:val="24"/>
                <w:szCs w:val="24"/>
              </w:rPr>
              <w:t>$1,752,126</w:t>
            </w:r>
          </w:p>
        </w:tc>
      </w:tr>
      <w:tr w14:paraId="0F2567B7" w14:textId="77777777" w:rsidTr="677CE564">
        <w:tblPrEx>
          <w:tblW w:w="5000" w:type="pct"/>
          <w:tblLayout w:type="fixed"/>
          <w:tblLook w:val="04A0"/>
        </w:tblPrEx>
        <w:trPr>
          <w:trHeight w:val="302"/>
        </w:trPr>
        <w:tc>
          <w:tcPr>
            <w:tcW w:w="5000" w:type="pct"/>
            <w:gridSpan w:val="5"/>
            <w:tcBorders>
              <w:top w:val="single" w:sz="4" w:space="0" w:color="auto"/>
              <w:left w:val="nil"/>
              <w:bottom w:val="nil"/>
              <w:right w:val="nil"/>
            </w:tcBorders>
          </w:tcPr>
          <w:p w:rsidR="002D7992" w:rsidRPr="001E78BB" w:rsidP="677CE564" w14:paraId="67924DF1" w14:textId="77777777">
            <w:pPr>
              <w:spacing w:after="0" w:line="240" w:lineRule="auto"/>
              <w:rPr>
                <w:rFonts w:eastAsia="Times New Roman"/>
                <w:sz w:val="20"/>
                <w:szCs w:val="20"/>
              </w:rPr>
            </w:pPr>
            <w:r w:rsidRPr="001E78BB">
              <w:rPr>
                <w:rFonts w:eastAsia="Times New Roman"/>
                <w:sz w:val="20"/>
                <w:szCs w:val="20"/>
                <w:vertAlign w:val="superscript"/>
              </w:rPr>
              <w:t>a</w:t>
            </w:r>
            <w:r w:rsidRPr="001E78BB">
              <w:rPr>
                <w:rFonts w:eastAsia="Times New Roman"/>
              </w:rPr>
              <w:t xml:space="preserve"> </w:t>
            </w:r>
            <w:r w:rsidRPr="001E78BB">
              <w:rPr>
                <w:rFonts w:eastAsia="Times New Roman"/>
                <w:sz w:val="20"/>
                <w:szCs w:val="20"/>
              </w:rPr>
              <w:t xml:space="preserve">Hourly burden figures presented here are rounded to the nearest </w:t>
            </w:r>
            <w:r w:rsidRPr="001E78BB">
              <w:rPr>
                <w:rFonts w:eastAsia="Times New Roman"/>
                <w:sz w:val="20"/>
                <w:szCs w:val="20"/>
              </w:rPr>
              <w:t>hundredth</w:t>
            </w:r>
            <w:r w:rsidRPr="001E78BB">
              <w:rPr>
                <w:rFonts w:eastAsia="Times New Roman"/>
                <w:sz w:val="20"/>
                <w:szCs w:val="20"/>
              </w:rPr>
              <w:t xml:space="preserve"> of an hour for presentation purposes.  Total burden figures are produced using unrounded figures for accuracy.</w:t>
            </w:r>
          </w:p>
          <w:p w:rsidR="000F280D" w:rsidP="677CE564" w14:paraId="3D4F5635" w14:textId="77777777">
            <w:pPr>
              <w:spacing w:after="0" w:line="240" w:lineRule="auto"/>
              <w:rPr>
                <w:rFonts w:eastAsia="Times New Roman"/>
                <w:sz w:val="20"/>
                <w:szCs w:val="20"/>
              </w:rPr>
            </w:pPr>
            <w:r w:rsidRPr="001E78BB">
              <w:rPr>
                <w:rFonts w:eastAsia="Times New Roman"/>
                <w:sz w:val="20"/>
                <w:szCs w:val="20"/>
                <w:vertAlign w:val="superscript"/>
              </w:rPr>
              <w:t>b</w:t>
            </w:r>
            <w:r w:rsidRPr="001E78BB">
              <w:rPr>
                <w:rFonts w:eastAsia="Times New Roman"/>
                <w:sz w:val="20"/>
                <w:szCs w:val="20"/>
              </w:rPr>
              <w:t xml:space="preserve"> </w:t>
            </w:r>
            <w:r w:rsidRPr="001E78BB" w:rsidR="7C1B3914">
              <w:rPr>
                <w:rFonts w:eastAsia="Times New Roman"/>
                <w:sz w:val="20"/>
                <w:szCs w:val="20"/>
              </w:rPr>
              <w:t>Total costs include (1) labor costs associated with the burden hours presented and (2) non-labor costs for recordkeeping of $</w:t>
            </w:r>
            <w:r w:rsidRPr="001E78BB" w:rsidR="2DDF3B0A">
              <w:rPr>
                <w:rFonts w:eastAsia="Times New Roman"/>
                <w:sz w:val="20"/>
                <w:szCs w:val="20"/>
              </w:rPr>
              <w:t>0.10 per respon</w:t>
            </w:r>
            <w:r w:rsidRPr="001E78BB" w:rsidR="109A4638">
              <w:rPr>
                <w:rFonts w:eastAsia="Times New Roman"/>
                <w:sz w:val="20"/>
                <w:szCs w:val="20"/>
              </w:rPr>
              <w:t>se</w:t>
            </w:r>
            <w:r w:rsidRPr="001E78BB" w:rsidR="7C1B3914">
              <w:rPr>
                <w:rFonts w:eastAsia="Times New Roman"/>
                <w:sz w:val="20"/>
                <w:szCs w:val="20"/>
              </w:rPr>
              <w:t xml:space="preserve"> associated with storage and technology</w:t>
            </w:r>
            <w:r w:rsidRPr="001E78BB" w:rsidR="3375DEF6">
              <w:rPr>
                <w:rFonts w:eastAsia="Times New Roman"/>
                <w:sz w:val="20"/>
                <w:szCs w:val="20"/>
              </w:rPr>
              <w:t xml:space="preserve">, which results in a </w:t>
            </w:r>
            <w:r w:rsidRPr="001E78BB" w:rsidR="72A5BAED">
              <w:rPr>
                <w:rFonts w:eastAsia="Times New Roman"/>
                <w:sz w:val="20"/>
                <w:szCs w:val="20"/>
              </w:rPr>
              <w:t xml:space="preserve">cost per respondent of $0.13 </w:t>
            </w:r>
            <w:r w:rsidRPr="001E78BB" w:rsidR="5C2EBAFB">
              <w:rPr>
                <w:rFonts w:eastAsia="Times New Roman"/>
                <w:sz w:val="20"/>
                <w:szCs w:val="20"/>
              </w:rPr>
              <w:t>for initial registrations, $0.12 for renewals and re-registrations, and $</w:t>
            </w:r>
            <w:r w:rsidRPr="001E78BB" w:rsidR="46D9F8FA">
              <w:rPr>
                <w:rFonts w:eastAsia="Times New Roman"/>
                <w:sz w:val="20"/>
                <w:szCs w:val="20"/>
              </w:rPr>
              <w:t xml:space="preserve">0.10 for maintenance of an agent list.  See </w:t>
            </w:r>
            <w:r w:rsidRPr="001E78BB" w:rsidR="1F511FEB">
              <w:rPr>
                <w:rFonts w:eastAsia="Times New Roman"/>
                <w:sz w:val="20"/>
                <w:szCs w:val="20"/>
              </w:rPr>
              <w:t xml:space="preserve">Table 1 in </w:t>
            </w:r>
            <w:r w:rsidRPr="001E78BB" w:rsidR="46D9F8FA">
              <w:rPr>
                <w:rFonts w:eastAsia="Times New Roman"/>
                <w:sz w:val="20"/>
                <w:szCs w:val="20"/>
              </w:rPr>
              <w:t xml:space="preserve">the </w:t>
            </w:r>
            <w:r w:rsidRPr="001E78BB" w:rsidR="78702901">
              <w:rPr>
                <w:rFonts w:eastAsia="Times New Roman"/>
                <w:sz w:val="20"/>
                <w:szCs w:val="20"/>
              </w:rPr>
              <w:t>RMSB Renewal Notice</w:t>
            </w:r>
            <w:r w:rsidRPr="001E78BB" w:rsidR="46D9F8FA">
              <w:rPr>
                <w:rFonts w:eastAsia="Times New Roman"/>
                <w:sz w:val="20"/>
                <w:szCs w:val="20"/>
              </w:rPr>
              <w:t xml:space="preserve"> for more detail on the number of responses per respondent for each activity. </w:t>
            </w:r>
          </w:p>
          <w:p w:rsidR="00DF0CA1" w:rsidRPr="00DF0CA1" w:rsidP="677CE564" w14:paraId="6C3D8508" w14:textId="71978BAB">
            <w:pPr>
              <w:spacing w:after="0" w:line="240" w:lineRule="auto"/>
              <w:rPr>
                <w:rFonts w:eastAsia="Times New Roman"/>
                <w:sz w:val="24"/>
                <w:szCs w:val="24"/>
              </w:rPr>
            </w:pPr>
            <w:r w:rsidRPr="00DF0CA1">
              <w:rPr>
                <w:rFonts w:eastAsia="Times New Roman"/>
                <w:sz w:val="20"/>
                <w:szCs w:val="20"/>
                <w:vertAlign w:val="superscript"/>
              </w:rPr>
              <w:t xml:space="preserve">c </w:t>
            </w:r>
            <w:r w:rsidRPr="000D1259">
              <w:rPr>
                <w:sz w:val="20"/>
                <w:szCs w:val="20"/>
              </w:rPr>
              <w:t xml:space="preserve">This estimate represents the expected number of respondents by respondent-response pairs, not the number of unique MSB respondents anticipated </w:t>
            </w:r>
            <w:r w:rsidRPr="000D1259">
              <w:rPr>
                <w:sz w:val="20"/>
                <w:szCs w:val="20"/>
              </w:rPr>
              <w:t>in a given year</w:t>
            </w:r>
            <w:r w:rsidRPr="000D1259">
              <w:rPr>
                <w:sz w:val="20"/>
                <w:szCs w:val="20"/>
              </w:rPr>
              <w:t xml:space="preserve">.  Because an individual MSB may be subject to more than one type of reporting and/or recordkeeping obligation (itemized as different categories of responses) in a given calendar year, the same MSB may be counted more than once as an expected respondent.  </w:t>
            </w:r>
            <w:r w:rsidRPr="000D1259">
              <w:rPr>
                <w:i/>
                <w:iCs/>
                <w:sz w:val="20"/>
                <w:szCs w:val="20"/>
              </w:rPr>
              <w:t>See</w:t>
            </w:r>
            <w:r w:rsidRPr="000D1259">
              <w:rPr>
                <w:sz w:val="20"/>
                <w:szCs w:val="20"/>
              </w:rPr>
              <w:t xml:space="preserve"> RMSB Renewal Notice at section II.</w:t>
            </w:r>
          </w:p>
        </w:tc>
      </w:tr>
    </w:tbl>
    <w:p w:rsidR="004E3FE0" w:rsidRPr="001C782D" w:rsidP="004E3FE0" w14:paraId="799561D5" w14:textId="77777777">
      <w:pPr>
        <w:pStyle w:val="PlainText"/>
        <w:rPr>
          <w:rFonts w:ascii="Times New Roman" w:eastAsia="MS Mincho" w:hAnsi="Times New Roman" w:cs="Times New Roman"/>
          <w:color w:val="0F4761" w:themeColor="accent1" w:themeShade="BF"/>
          <w:sz w:val="24"/>
          <w:szCs w:val="24"/>
        </w:rPr>
      </w:pPr>
    </w:p>
    <w:p w:rsidR="00240CCA" w:rsidRPr="001C782D" w:rsidP="00240CCA" w14:paraId="6D2DEDD6" w14:textId="77777777">
      <w:pPr>
        <w:pStyle w:val="PlainText"/>
        <w:spacing w:after="240"/>
        <w:rPr>
          <w:rFonts w:ascii="Times New Roman" w:eastAsia="MS Mincho" w:hAnsi="Times New Roman" w:cs="Times New Roman"/>
          <w:sz w:val="24"/>
          <w:szCs w:val="24"/>
          <w:u w:val="single"/>
        </w:rPr>
      </w:pPr>
      <w:r w:rsidRPr="001C782D">
        <w:rPr>
          <w:rFonts w:ascii="Times New Roman" w:eastAsia="MS Mincho" w:hAnsi="Times New Roman" w:cs="Times New Roman"/>
          <w:sz w:val="24"/>
          <w:szCs w:val="24"/>
        </w:rPr>
        <w:t xml:space="preserve">13. </w:t>
      </w:r>
      <w:r w:rsidRPr="001C782D">
        <w:rPr>
          <w:rFonts w:ascii="Times New Roman" w:eastAsia="MS Mincho" w:hAnsi="Times New Roman" w:cs="Times New Roman"/>
          <w:sz w:val="24"/>
          <w:szCs w:val="24"/>
          <w:u w:val="single"/>
        </w:rPr>
        <w:t>Estimated total annual cost burden.</w:t>
      </w:r>
    </w:p>
    <w:p w:rsidR="00B313A9" w:rsidP="008B7A0C" w14:paraId="16A3F290" w14:textId="6F3A51D1">
      <w:pPr>
        <w:spacing w:after="240" w:line="240" w:lineRule="auto"/>
        <w:ind w:firstLine="720"/>
        <w:rPr>
          <w:rFonts w:ascii="Times New Roman" w:hAnsi="Times New Roman" w:cs="Times New Roman"/>
          <w:sz w:val="24"/>
          <w:szCs w:val="24"/>
        </w:rPr>
      </w:pPr>
      <w:r w:rsidRPr="00993E0F">
        <w:rPr>
          <w:rFonts w:ascii="Times New Roman" w:hAnsi="Times New Roman" w:cs="Times New Roman"/>
          <w:sz w:val="24"/>
          <w:szCs w:val="24"/>
          <w:u w:val="single"/>
        </w:rPr>
        <w:t xml:space="preserve">Estimated Total Annual </w:t>
      </w:r>
      <w:r w:rsidR="00AE291B">
        <w:rPr>
          <w:rFonts w:ascii="Times New Roman" w:hAnsi="Times New Roman" w:cs="Times New Roman"/>
          <w:sz w:val="24"/>
          <w:szCs w:val="24"/>
          <w:u w:val="single"/>
        </w:rPr>
        <w:t>Aggregate</w:t>
      </w:r>
      <w:r w:rsidRPr="00993E0F">
        <w:rPr>
          <w:rFonts w:ascii="Times New Roman" w:hAnsi="Times New Roman" w:cs="Times New Roman"/>
          <w:sz w:val="24"/>
          <w:szCs w:val="24"/>
          <w:u w:val="single"/>
        </w:rPr>
        <w:t xml:space="preserve"> Cost</w:t>
      </w:r>
      <w:r w:rsidRPr="00993E0F">
        <w:rPr>
          <w:rFonts w:ascii="Times New Roman" w:hAnsi="Times New Roman" w:cs="Times New Roman"/>
          <w:sz w:val="24"/>
          <w:szCs w:val="24"/>
          <w:u w:val="single"/>
        </w:rPr>
        <w:t>:</w:t>
      </w:r>
      <w:r w:rsidRPr="00993E0F">
        <w:rPr>
          <w:rFonts w:ascii="Times New Roman" w:hAnsi="Times New Roman" w:cs="Times New Roman"/>
          <w:sz w:val="24"/>
          <w:szCs w:val="24"/>
        </w:rPr>
        <w:t xml:space="preserve">  </w:t>
      </w:r>
      <w:r w:rsidRPr="00993E0F" w:rsidR="00993E0F">
        <w:rPr>
          <w:rFonts w:ascii="Times New Roman" w:hAnsi="Times New Roman" w:cs="Times New Roman"/>
          <w:sz w:val="24"/>
          <w:szCs w:val="24"/>
        </w:rPr>
        <w:t>$</w:t>
      </w:r>
      <w:r w:rsidRPr="00993E0F" w:rsidR="00993E0F">
        <w:rPr>
          <w:rFonts w:ascii="Times New Roman" w:hAnsi="Times New Roman" w:cs="Times New Roman"/>
          <w:sz w:val="24"/>
          <w:szCs w:val="24"/>
        </w:rPr>
        <w:t>1,752,126</w:t>
      </w:r>
      <w:r w:rsidR="00B95C6D">
        <w:rPr>
          <w:rFonts w:ascii="Times New Roman" w:hAnsi="Times New Roman" w:cs="Times New Roman"/>
          <w:sz w:val="24"/>
          <w:szCs w:val="24"/>
        </w:rPr>
        <w:t xml:space="preserve"> </w:t>
      </w:r>
    </w:p>
    <w:p w:rsidR="00240CCA" w:rsidRPr="00993E0F" w:rsidP="008B7A0C" w14:paraId="160A1D76" w14:textId="476C24CA">
      <w:pPr>
        <w:spacing w:after="240" w:line="240" w:lineRule="auto"/>
        <w:ind w:firstLine="720"/>
        <w:rPr>
          <w:rFonts w:ascii="Times New Roman" w:hAnsi="Times New Roman" w:cs="Times New Roman"/>
          <w:sz w:val="24"/>
          <w:szCs w:val="24"/>
        </w:rPr>
      </w:pPr>
      <w:r>
        <w:rPr>
          <w:rFonts w:ascii="Times New Roman" w:hAnsi="Times New Roman" w:cs="Times New Roman"/>
          <w:sz w:val="24"/>
          <w:szCs w:val="24"/>
        </w:rPr>
        <w:t>This total annual aggregate cost includes a (1) total labor cost of $</w:t>
      </w:r>
      <w:r w:rsidR="0034788C">
        <w:rPr>
          <w:rFonts w:ascii="Times New Roman" w:hAnsi="Times New Roman" w:cs="Times New Roman"/>
          <w:sz w:val="24"/>
          <w:szCs w:val="24"/>
        </w:rPr>
        <w:t>1,749,996</w:t>
      </w:r>
      <w:r w:rsidR="001D11B2">
        <w:rPr>
          <w:rFonts w:ascii="Times New Roman" w:hAnsi="Times New Roman" w:cs="Times New Roman"/>
          <w:sz w:val="24"/>
          <w:szCs w:val="24"/>
        </w:rPr>
        <w:t xml:space="preserve"> </w:t>
      </w:r>
      <w:r w:rsidRPr="00D87670" w:rsidR="00B95C6D">
        <w:rPr>
          <w:rFonts w:ascii="Times New Roman" w:hAnsi="Times New Roman" w:cs="Times New Roman"/>
          <w:sz w:val="24"/>
          <w:szCs w:val="24"/>
        </w:rPr>
        <w:t>(</w:t>
      </w:r>
      <w:r w:rsidRPr="005708ED" w:rsidR="00B95C6D">
        <w:rPr>
          <w:rFonts w:ascii="Times New Roman" w:eastAsia="MS Mincho" w:hAnsi="Times New Roman" w:cs="Times New Roman"/>
          <w:sz w:val="24"/>
          <w:szCs w:val="24"/>
        </w:rPr>
        <w:t>14,047.2</w:t>
      </w:r>
      <w:r w:rsidR="00B95C6D">
        <w:rPr>
          <w:rFonts w:ascii="Times New Roman" w:eastAsia="MS Mincho" w:hAnsi="Times New Roman" w:cs="Times New Roman"/>
          <w:sz w:val="24"/>
          <w:szCs w:val="24"/>
        </w:rPr>
        <w:t xml:space="preserve"> </w:t>
      </w:r>
      <w:r w:rsidRPr="003709EB" w:rsidR="00B95C6D">
        <w:rPr>
          <w:rFonts w:ascii="Times New Roman" w:hAnsi="Times New Roman" w:cs="Times New Roman"/>
          <w:sz w:val="24"/>
          <w:szCs w:val="24"/>
        </w:rPr>
        <w:t>hours multiplied by $124.58)</w:t>
      </w:r>
      <w:r>
        <w:rPr>
          <w:rStyle w:val="FootnoteReference"/>
          <w:rFonts w:ascii="Times New Roman" w:hAnsi="Times New Roman" w:cs="Times New Roman"/>
          <w:sz w:val="24"/>
          <w:szCs w:val="24"/>
        </w:rPr>
        <w:footnoteReference w:id="27"/>
      </w:r>
      <w:r w:rsidRPr="002C1656" w:rsidR="00703726">
        <w:rPr>
          <w:rFonts w:ascii="Times New Roman" w:hAnsi="Times New Roman" w:cs="Times New Roman"/>
          <w:sz w:val="24"/>
          <w:szCs w:val="24"/>
        </w:rPr>
        <w:t xml:space="preserve"> </w:t>
      </w:r>
      <w:r w:rsidRPr="00E56649" w:rsidR="001D11B2">
        <w:rPr>
          <w:rFonts w:ascii="Times New Roman" w:hAnsi="Times New Roman" w:cs="Times New Roman"/>
          <w:sz w:val="24"/>
          <w:szCs w:val="24"/>
        </w:rPr>
        <w:t xml:space="preserve">and (2) </w:t>
      </w:r>
      <w:r w:rsidRPr="004E5ED9" w:rsidR="001D11B2">
        <w:rPr>
          <w:rFonts w:ascii="Times New Roman" w:hAnsi="Times New Roman" w:cs="Times New Roman"/>
          <w:sz w:val="24"/>
          <w:szCs w:val="24"/>
        </w:rPr>
        <w:t xml:space="preserve">a total non-labor cost of </w:t>
      </w:r>
      <w:r w:rsidRPr="004E5ED9" w:rsidR="00EA69FC">
        <w:rPr>
          <w:rFonts w:ascii="Times New Roman" w:hAnsi="Times New Roman" w:cs="Times New Roman"/>
          <w:sz w:val="24"/>
          <w:szCs w:val="24"/>
        </w:rPr>
        <w:t>$2,130</w:t>
      </w:r>
      <w:r w:rsidRPr="004E5ED9" w:rsidR="0073439B">
        <w:rPr>
          <w:rFonts w:ascii="Times New Roman" w:hAnsi="Times New Roman" w:cs="Times New Roman"/>
          <w:sz w:val="24"/>
          <w:szCs w:val="24"/>
        </w:rPr>
        <w:t xml:space="preserve"> (</w:t>
      </w:r>
      <w:r w:rsidRPr="004E5ED9" w:rsidR="00B73D1C">
        <w:rPr>
          <w:rFonts w:ascii="Times New Roman" w:hAnsi="Times New Roman" w:cs="Times New Roman"/>
          <w:sz w:val="24"/>
          <w:szCs w:val="24"/>
        </w:rPr>
        <w:t xml:space="preserve">4,093 respondents </w:t>
      </w:r>
      <w:r w:rsidR="00F4753B">
        <w:rPr>
          <w:rFonts w:ascii="Times New Roman" w:hAnsi="Times New Roman" w:cs="Times New Roman"/>
          <w:sz w:val="24"/>
          <w:szCs w:val="24"/>
        </w:rPr>
        <w:t xml:space="preserve">filing initial registrations </w:t>
      </w:r>
      <w:r w:rsidRPr="004E5ED9" w:rsidR="00B73D1C">
        <w:rPr>
          <w:rFonts w:ascii="Times New Roman" w:hAnsi="Times New Roman" w:cs="Times New Roman"/>
          <w:sz w:val="24"/>
          <w:szCs w:val="24"/>
        </w:rPr>
        <w:t>multiplied by $0.13</w:t>
      </w:r>
      <w:r w:rsidRPr="004E5ED9" w:rsidR="002776F1">
        <w:rPr>
          <w:rFonts w:ascii="Times New Roman" w:hAnsi="Times New Roman" w:cs="Times New Roman"/>
          <w:sz w:val="24"/>
          <w:szCs w:val="24"/>
        </w:rPr>
        <w:t xml:space="preserve">, plus 8,011 respondents </w:t>
      </w:r>
      <w:r w:rsidR="00F4753B">
        <w:rPr>
          <w:rFonts w:ascii="Times New Roman" w:hAnsi="Times New Roman" w:cs="Times New Roman"/>
          <w:sz w:val="24"/>
          <w:szCs w:val="24"/>
        </w:rPr>
        <w:t>filing renewals and</w:t>
      </w:r>
      <w:r w:rsidR="004E5ED9">
        <w:rPr>
          <w:rFonts w:ascii="Times New Roman" w:hAnsi="Times New Roman" w:cs="Times New Roman"/>
          <w:sz w:val="24"/>
          <w:szCs w:val="24"/>
        </w:rPr>
        <w:t xml:space="preserve"> re-registrations </w:t>
      </w:r>
      <w:r w:rsidRPr="004E5ED9" w:rsidR="002776F1">
        <w:rPr>
          <w:rFonts w:ascii="Times New Roman" w:hAnsi="Times New Roman" w:cs="Times New Roman"/>
          <w:sz w:val="24"/>
          <w:szCs w:val="24"/>
        </w:rPr>
        <w:t>multiplied by $0.12, plus 6,214 respondents</w:t>
      </w:r>
      <w:r w:rsidR="004E5ED9">
        <w:rPr>
          <w:rFonts w:ascii="Times New Roman" w:hAnsi="Times New Roman" w:cs="Times New Roman"/>
          <w:sz w:val="24"/>
          <w:szCs w:val="24"/>
        </w:rPr>
        <w:t xml:space="preserve"> maintaining agent lists</w:t>
      </w:r>
      <w:r w:rsidRPr="004E5ED9" w:rsidR="002776F1">
        <w:rPr>
          <w:rFonts w:ascii="Times New Roman" w:hAnsi="Times New Roman" w:cs="Times New Roman"/>
          <w:sz w:val="24"/>
          <w:szCs w:val="24"/>
        </w:rPr>
        <w:t xml:space="preserve"> multiplied by $0.10)</w:t>
      </w:r>
      <w:r w:rsidR="00A5041B">
        <w:rPr>
          <w:rFonts w:ascii="Times New Roman" w:hAnsi="Times New Roman" w:cs="Times New Roman"/>
          <w:sz w:val="24"/>
          <w:szCs w:val="24"/>
        </w:rPr>
        <w:t>.</w:t>
      </w:r>
      <w:r>
        <w:rPr>
          <w:rStyle w:val="FootnoteReference"/>
          <w:rFonts w:ascii="Times New Roman" w:hAnsi="Times New Roman" w:cs="Times New Roman"/>
          <w:sz w:val="24"/>
          <w:szCs w:val="24"/>
        </w:rPr>
        <w:footnoteReference w:id="28"/>
      </w:r>
      <w:r w:rsidRPr="004E5ED9" w:rsidR="00EA69FC">
        <w:rPr>
          <w:rFonts w:ascii="Times New Roman" w:hAnsi="Times New Roman" w:cs="Times New Roman"/>
          <w:sz w:val="24"/>
          <w:szCs w:val="24"/>
        </w:rPr>
        <w:t xml:space="preserve"> </w:t>
      </w:r>
    </w:p>
    <w:p w:rsidR="00240CCA" w:rsidRPr="001C782D" w:rsidP="00240CCA" w14:paraId="1D18EEF1" w14:textId="77777777">
      <w:pPr>
        <w:spacing w:after="240"/>
        <w:rPr>
          <w:rFonts w:ascii="Times New Roman" w:hAnsi="Times New Roman" w:cs="Times New Roman"/>
          <w:sz w:val="24"/>
          <w:szCs w:val="24"/>
          <w:u w:val="single"/>
        </w:rPr>
      </w:pPr>
      <w:r w:rsidRPr="001C782D">
        <w:rPr>
          <w:rFonts w:ascii="Times New Roman" w:hAnsi="Times New Roman" w:cs="Times New Roman"/>
          <w:sz w:val="24"/>
          <w:szCs w:val="24"/>
        </w:rPr>
        <w:t xml:space="preserve">14. </w:t>
      </w:r>
      <w:r w:rsidRPr="001C782D">
        <w:rPr>
          <w:rFonts w:ascii="Times New Roman" w:hAnsi="Times New Roman" w:cs="Times New Roman"/>
          <w:sz w:val="24"/>
          <w:szCs w:val="24"/>
          <w:u w:val="single"/>
        </w:rPr>
        <w:t>Estimated annual cost to the Federal government.</w:t>
      </w:r>
    </w:p>
    <w:p w:rsidR="00B95252" w:rsidP="008B7A0C" w14:paraId="5845CAF6" w14:textId="1ACC2E0E">
      <w:pPr>
        <w:spacing w:after="240" w:line="240" w:lineRule="auto"/>
        <w:ind w:firstLine="720"/>
        <w:rPr>
          <w:rFonts w:ascii="Times New Roman" w:hAnsi="Times New Roman" w:cs="Times New Roman"/>
          <w:sz w:val="24"/>
          <w:szCs w:val="24"/>
        </w:rPr>
      </w:pPr>
      <w:r w:rsidRPr="00D47366">
        <w:rPr>
          <w:rFonts w:ascii="Times New Roman" w:eastAsia="Times New Roman" w:hAnsi="Times New Roman" w:cs="Times New Roman"/>
          <w:sz w:val="24"/>
          <w:szCs w:val="24"/>
        </w:rPr>
        <w:t xml:space="preserve">FinCEN expects to incur </w:t>
      </w:r>
      <w:r w:rsidR="00820086">
        <w:rPr>
          <w:rFonts w:ascii="Times New Roman" w:eastAsia="Times New Roman" w:hAnsi="Times New Roman" w:cs="Times New Roman"/>
          <w:sz w:val="24"/>
          <w:szCs w:val="24"/>
        </w:rPr>
        <w:t xml:space="preserve">an approximate average of </w:t>
      </w:r>
      <w:r w:rsidR="00F62578">
        <w:rPr>
          <w:rFonts w:ascii="Times New Roman" w:eastAsia="Times New Roman" w:hAnsi="Times New Roman" w:cs="Times New Roman"/>
          <w:sz w:val="24"/>
          <w:szCs w:val="24"/>
        </w:rPr>
        <w:t>$</w:t>
      </w:r>
      <w:r w:rsidR="00AD206A">
        <w:rPr>
          <w:rFonts w:ascii="Times New Roman" w:eastAsia="Times New Roman" w:hAnsi="Times New Roman" w:cs="Times New Roman"/>
          <w:sz w:val="24"/>
          <w:szCs w:val="24"/>
        </w:rPr>
        <w:t>3.2 million</w:t>
      </w:r>
      <w:r w:rsidR="00F62578">
        <w:rPr>
          <w:rFonts w:ascii="Times New Roman" w:eastAsia="Times New Roman" w:hAnsi="Times New Roman" w:cs="Times New Roman"/>
          <w:sz w:val="24"/>
          <w:szCs w:val="24"/>
        </w:rPr>
        <w:t xml:space="preserve"> in </w:t>
      </w:r>
      <w:r w:rsidR="00820086">
        <w:rPr>
          <w:rFonts w:ascii="Times New Roman" w:eastAsia="Times New Roman" w:hAnsi="Times New Roman" w:cs="Times New Roman"/>
          <w:sz w:val="24"/>
          <w:szCs w:val="24"/>
        </w:rPr>
        <w:t xml:space="preserve">annual </w:t>
      </w:r>
      <w:r w:rsidRPr="00D47366">
        <w:rPr>
          <w:rFonts w:ascii="Times New Roman" w:eastAsia="Times New Roman" w:hAnsi="Times New Roman" w:cs="Times New Roman"/>
          <w:sz w:val="24"/>
          <w:szCs w:val="24"/>
        </w:rPr>
        <w:t>operating costs.  Th</w:t>
      </w:r>
      <w:r w:rsidR="00022903">
        <w:rPr>
          <w:rFonts w:ascii="Times New Roman" w:eastAsia="Times New Roman" w:hAnsi="Times New Roman" w:cs="Times New Roman"/>
          <w:sz w:val="24"/>
          <w:szCs w:val="24"/>
        </w:rPr>
        <w:t>is</w:t>
      </w:r>
      <w:r w:rsidRPr="00D47366">
        <w:rPr>
          <w:rFonts w:ascii="Times New Roman" w:eastAsia="Times New Roman" w:hAnsi="Times New Roman" w:cs="Times New Roman"/>
          <w:sz w:val="24"/>
          <w:szCs w:val="24"/>
        </w:rPr>
        <w:t xml:space="preserve"> estimate include</w:t>
      </w:r>
      <w:r w:rsidR="00022903">
        <w:rPr>
          <w:rFonts w:ascii="Times New Roman" w:eastAsia="Times New Roman" w:hAnsi="Times New Roman" w:cs="Times New Roman"/>
          <w:sz w:val="24"/>
          <w:szCs w:val="24"/>
        </w:rPr>
        <w:t>s</w:t>
      </w:r>
      <w:r w:rsidRPr="00D47366">
        <w:rPr>
          <w:rFonts w:ascii="Times New Roman" w:eastAsia="Times New Roman" w:hAnsi="Times New Roman" w:cs="Times New Roman"/>
          <w:sz w:val="24"/>
          <w:szCs w:val="24"/>
        </w:rPr>
        <w:t xml:space="preserve"> anticipated expenses related to </w:t>
      </w:r>
      <w:r w:rsidR="00022903">
        <w:rPr>
          <w:rFonts w:ascii="Times New Roman" w:eastAsia="Times New Roman" w:hAnsi="Times New Roman" w:cs="Times New Roman"/>
          <w:sz w:val="24"/>
          <w:szCs w:val="24"/>
        </w:rPr>
        <w:t xml:space="preserve">regulatory maintenance, </w:t>
      </w:r>
      <w:r w:rsidRPr="00D47366">
        <w:rPr>
          <w:rFonts w:ascii="Times New Roman" w:eastAsia="Times New Roman" w:hAnsi="Times New Roman" w:cs="Times New Roman"/>
          <w:sz w:val="24"/>
          <w:szCs w:val="24"/>
        </w:rPr>
        <w:t xml:space="preserve">stakeholder outreach and informational support, compliance monitoring, and potential enforcement activities, as well as certain incremental increases to pre-existing technological infrastructure, </w:t>
      </w:r>
      <w:r w:rsidR="00820086">
        <w:rPr>
          <w:rFonts w:ascii="Times New Roman" w:eastAsia="Times New Roman" w:hAnsi="Times New Roman" w:cs="Times New Roman"/>
          <w:sz w:val="24"/>
          <w:szCs w:val="24"/>
        </w:rPr>
        <w:t>administration</w:t>
      </w:r>
      <w:r w:rsidRPr="00D47366">
        <w:rPr>
          <w:rFonts w:ascii="Times New Roman" w:eastAsia="Times New Roman" w:hAnsi="Times New Roman" w:cs="Times New Roman"/>
          <w:sz w:val="24"/>
          <w:szCs w:val="24"/>
        </w:rPr>
        <w:t>, and other logistic</w:t>
      </w:r>
      <w:r w:rsidR="00820086">
        <w:rPr>
          <w:rFonts w:ascii="Times New Roman" w:eastAsia="Times New Roman" w:hAnsi="Times New Roman" w:cs="Times New Roman"/>
          <w:sz w:val="24"/>
          <w:szCs w:val="24"/>
        </w:rPr>
        <w:t>al</w:t>
      </w:r>
      <w:r w:rsidRPr="00D47366">
        <w:rPr>
          <w:rFonts w:ascii="Times New Roman" w:eastAsia="Times New Roman" w:hAnsi="Times New Roman" w:cs="Times New Roman"/>
          <w:sz w:val="24"/>
          <w:szCs w:val="24"/>
        </w:rPr>
        <w:t xml:space="preserve"> expenses, primarily related to data collection</w:t>
      </w:r>
      <w:r w:rsidR="00D149ED">
        <w:rPr>
          <w:rFonts w:ascii="Times New Roman" w:eastAsia="Times New Roman" w:hAnsi="Times New Roman" w:cs="Times New Roman"/>
          <w:sz w:val="24"/>
          <w:szCs w:val="24"/>
        </w:rPr>
        <w:t>, publication</w:t>
      </w:r>
      <w:r w:rsidR="008E3414">
        <w:rPr>
          <w:rFonts w:ascii="Times New Roman" w:eastAsia="Times New Roman" w:hAnsi="Times New Roman" w:cs="Times New Roman"/>
          <w:sz w:val="24"/>
          <w:szCs w:val="24"/>
        </w:rPr>
        <w:t>,</w:t>
      </w:r>
      <w:r w:rsidRPr="00D47366">
        <w:rPr>
          <w:rFonts w:ascii="Times New Roman" w:eastAsia="Times New Roman" w:hAnsi="Times New Roman" w:cs="Times New Roman"/>
          <w:sz w:val="24"/>
          <w:szCs w:val="24"/>
        </w:rPr>
        <w:t xml:space="preserve"> and analysis.</w:t>
      </w:r>
      <w:r w:rsidRPr="00D47366">
        <w:rPr>
          <w:rFonts w:ascii="Times New Roman" w:hAnsi="Times New Roman" w:cs="Times New Roman"/>
          <w:sz w:val="24"/>
          <w:szCs w:val="24"/>
        </w:rPr>
        <w:t xml:space="preserve"> </w:t>
      </w:r>
    </w:p>
    <w:p w:rsidR="00240CCA" w:rsidRPr="001C782D" w:rsidP="00BE1313" w14:paraId="60935A6E" w14:textId="77777777">
      <w:pPr>
        <w:spacing w:after="240" w:line="240" w:lineRule="auto"/>
        <w:rPr>
          <w:rFonts w:ascii="Times New Roman" w:hAnsi="Times New Roman" w:cs="Times New Roman"/>
          <w:sz w:val="24"/>
          <w:szCs w:val="24"/>
        </w:rPr>
      </w:pPr>
      <w:r w:rsidRPr="001C782D">
        <w:rPr>
          <w:rFonts w:ascii="Times New Roman" w:hAnsi="Times New Roman" w:cs="Times New Roman"/>
          <w:sz w:val="24"/>
          <w:szCs w:val="24"/>
        </w:rPr>
        <w:t xml:space="preserve">15. </w:t>
      </w:r>
      <w:r w:rsidRPr="001C782D">
        <w:rPr>
          <w:rFonts w:ascii="Times New Roman" w:hAnsi="Times New Roman" w:cs="Times New Roman"/>
          <w:sz w:val="24"/>
          <w:szCs w:val="24"/>
          <w:u w:val="single"/>
        </w:rPr>
        <w:t>Reason for change in burden.</w:t>
      </w:r>
      <w:r w:rsidRPr="001C782D">
        <w:rPr>
          <w:rFonts w:ascii="Times New Roman" w:hAnsi="Times New Roman" w:cs="Times New Roman"/>
          <w:sz w:val="24"/>
          <w:szCs w:val="24"/>
        </w:rPr>
        <w:t xml:space="preserve"> </w:t>
      </w:r>
    </w:p>
    <w:p w:rsidR="00A0362D" w:rsidRPr="000C5E3C" w:rsidP="00951812" w14:paraId="2EB0E27D" w14:textId="64A5DCEE">
      <w:pPr>
        <w:spacing w:after="240" w:line="240" w:lineRule="auto"/>
        <w:ind w:firstLine="720"/>
        <w:rPr>
          <w:rFonts w:ascii="Times New Roman" w:hAnsi="Times New Roman" w:cs="Times New Roman"/>
          <w:sz w:val="24"/>
          <w:szCs w:val="24"/>
        </w:rPr>
      </w:pPr>
      <w:r w:rsidRPr="00A0362D">
        <w:rPr>
          <w:rFonts w:ascii="Times New Roman" w:hAnsi="Times New Roman" w:cs="Times New Roman"/>
          <w:sz w:val="24"/>
          <w:szCs w:val="24"/>
        </w:rPr>
        <w:t xml:space="preserve">The estimated total </w:t>
      </w:r>
      <w:r w:rsidR="0077085C">
        <w:rPr>
          <w:rFonts w:ascii="Times New Roman" w:hAnsi="Times New Roman" w:cs="Times New Roman"/>
          <w:sz w:val="24"/>
          <w:szCs w:val="24"/>
        </w:rPr>
        <w:t xml:space="preserve">aggregate </w:t>
      </w:r>
      <w:r w:rsidRPr="00A0362D">
        <w:rPr>
          <w:rFonts w:ascii="Times New Roman" w:hAnsi="Times New Roman" w:cs="Times New Roman"/>
          <w:sz w:val="24"/>
          <w:szCs w:val="24"/>
        </w:rPr>
        <w:t xml:space="preserve">annual burden hours decreased by </w:t>
      </w:r>
      <w:r w:rsidRPr="00A0362D" w:rsidR="00BB1454">
        <w:rPr>
          <w:rFonts w:ascii="Times New Roman" w:hAnsi="Times New Roman" w:cs="Times New Roman"/>
          <w:sz w:val="24"/>
          <w:szCs w:val="24"/>
        </w:rPr>
        <w:t>9,04</w:t>
      </w:r>
      <w:r w:rsidR="00725870">
        <w:rPr>
          <w:rFonts w:ascii="Times New Roman" w:hAnsi="Times New Roman" w:cs="Times New Roman"/>
          <w:sz w:val="24"/>
          <w:szCs w:val="24"/>
        </w:rPr>
        <w:t>8</w:t>
      </w:r>
      <w:r w:rsidRPr="00A0362D" w:rsidR="00BB1454">
        <w:rPr>
          <w:rFonts w:ascii="Times New Roman" w:hAnsi="Times New Roman" w:cs="Times New Roman"/>
          <w:sz w:val="24"/>
          <w:szCs w:val="24"/>
        </w:rPr>
        <w:t xml:space="preserve"> </w:t>
      </w:r>
      <w:r w:rsidRPr="00A0362D">
        <w:rPr>
          <w:rFonts w:ascii="Times New Roman" w:hAnsi="Times New Roman" w:cs="Times New Roman"/>
          <w:sz w:val="24"/>
          <w:szCs w:val="24"/>
        </w:rPr>
        <w:t xml:space="preserve">hours, from 23,095 hours in 2023 to 14,047 hours in 2026.  This difference in expected aggregate burden reflects two primary revisions.  First, </w:t>
      </w:r>
      <w:r w:rsidR="00A90507">
        <w:rPr>
          <w:rFonts w:ascii="Times New Roman" w:hAnsi="Times New Roman" w:cs="Times New Roman"/>
          <w:sz w:val="24"/>
          <w:szCs w:val="24"/>
        </w:rPr>
        <w:t xml:space="preserve">it reflects </w:t>
      </w:r>
      <w:r w:rsidRPr="00A0362D" w:rsidR="00CE5988">
        <w:rPr>
          <w:rFonts w:ascii="Times New Roman" w:hAnsi="Times New Roman" w:cs="Times New Roman"/>
          <w:sz w:val="24"/>
          <w:szCs w:val="24"/>
        </w:rPr>
        <w:t>updated internal analysis</w:t>
      </w:r>
      <w:r w:rsidR="00A90507">
        <w:rPr>
          <w:rFonts w:ascii="Times New Roman" w:hAnsi="Times New Roman" w:cs="Times New Roman"/>
          <w:sz w:val="24"/>
          <w:szCs w:val="24"/>
        </w:rPr>
        <w:t xml:space="preserve"> finding that</w:t>
      </w:r>
      <w:r w:rsidRPr="00A0362D" w:rsidR="00CE5988">
        <w:rPr>
          <w:rFonts w:ascii="Times New Roman" w:hAnsi="Times New Roman" w:cs="Times New Roman"/>
          <w:sz w:val="24"/>
          <w:szCs w:val="24"/>
        </w:rPr>
        <w:t xml:space="preserve"> </w:t>
      </w:r>
      <w:r w:rsidRPr="00A0362D">
        <w:rPr>
          <w:rFonts w:ascii="Times New Roman" w:hAnsi="Times New Roman" w:cs="Times New Roman"/>
          <w:sz w:val="24"/>
          <w:szCs w:val="24"/>
        </w:rPr>
        <w:t xml:space="preserve">the expected time burden per response </w:t>
      </w:r>
      <w:r w:rsidRPr="00A0362D" w:rsidR="00BB1454">
        <w:rPr>
          <w:rFonts w:ascii="Times New Roman" w:hAnsi="Times New Roman" w:cs="Times New Roman"/>
          <w:sz w:val="24"/>
          <w:szCs w:val="24"/>
        </w:rPr>
        <w:t xml:space="preserve">for initial registrations </w:t>
      </w:r>
      <w:r w:rsidR="00A90507">
        <w:rPr>
          <w:rFonts w:ascii="Times New Roman" w:hAnsi="Times New Roman" w:cs="Times New Roman"/>
          <w:sz w:val="24"/>
          <w:szCs w:val="24"/>
        </w:rPr>
        <w:t xml:space="preserve">is approximately 40 minutes on average, which represents a </w:t>
      </w:r>
      <w:r w:rsidRPr="00A0362D" w:rsidR="00B2109A">
        <w:rPr>
          <w:rFonts w:ascii="Times New Roman" w:hAnsi="Times New Roman" w:cs="Times New Roman"/>
          <w:sz w:val="24"/>
          <w:szCs w:val="24"/>
        </w:rPr>
        <w:t xml:space="preserve">decrease </w:t>
      </w:r>
      <w:r w:rsidRPr="00A0362D" w:rsidR="00CE5988">
        <w:rPr>
          <w:rFonts w:ascii="Times New Roman" w:hAnsi="Times New Roman" w:cs="Times New Roman"/>
          <w:sz w:val="24"/>
          <w:szCs w:val="24"/>
        </w:rPr>
        <w:t xml:space="preserve">from </w:t>
      </w:r>
      <w:r w:rsidR="00430EFC">
        <w:rPr>
          <w:rFonts w:ascii="Times New Roman" w:hAnsi="Times New Roman" w:cs="Times New Roman"/>
          <w:sz w:val="24"/>
          <w:szCs w:val="24"/>
        </w:rPr>
        <w:t xml:space="preserve">the </w:t>
      </w:r>
      <w:r w:rsidRPr="00A0362D" w:rsidR="00CE5988">
        <w:rPr>
          <w:rFonts w:ascii="Times New Roman" w:hAnsi="Times New Roman" w:cs="Times New Roman"/>
          <w:sz w:val="24"/>
          <w:szCs w:val="24"/>
        </w:rPr>
        <w:t>70</w:t>
      </w:r>
      <w:r w:rsidR="00430EFC">
        <w:rPr>
          <w:rFonts w:ascii="Times New Roman" w:hAnsi="Times New Roman" w:cs="Times New Roman"/>
          <w:sz w:val="24"/>
          <w:szCs w:val="24"/>
        </w:rPr>
        <w:t>-</w:t>
      </w:r>
      <w:r w:rsidRPr="00A0362D" w:rsidR="00CE5988">
        <w:rPr>
          <w:rFonts w:ascii="Times New Roman" w:hAnsi="Times New Roman" w:cs="Times New Roman"/>
          <w:sz w:val="24"/>
          <w:szCs w:val="24"/>
        </w:rPr>
        <w:t>minute</w:t>
      </w:r>
      <w:r w:rsidR="00430EFC">
        <w:rPr>
          <w:rFonts w:ascii="Times New Roman" w:hAnsi="Times New Roman" w:cs="Times New Roman"/>
          <w:sz w:val="24"/>
          <w:szCs w:val="24"/>
        </w:rPr>
        <w:t xml:space="preserve"> burden e</w:t>
      </w:r>
      <w:r w:rsidRPr="00A0362D" w:rsidR="00CE5988">
        <w:rPr>
          <w:rFonts w:ascii="Times New Roman" w:hAnsi="Times New Roman" w:cs="Times New Roman"/>
          <w:sz w:val="24"/>
          <w:szCs w:val="24"/>
        </w:rPr>
        <w:t>s</w:t>
      </w:r>
      <w:r w:rsidR="00430EFC">
        <w:rPr>
          <w:rFonts w:ascii="Times New Roman" w:hAnsi="Times New Roman" w:cs="Times New Roman"/>
          <w:sz w:val="24"/>
          <w:szCs w:val="24"/>
        </w:rPr>
        <w:t>timate</w:t>
      </w:r>
      <w:r w:rsidR="00A90507">
        <w:rPr>
          <w:rFonts w:ascii="Times New Roman" w:hAnsi="Times New Roman" w:cs="Times New Roman"/>
          <w:sz w:val="24"/>
          <w:szCs w:val="24"/>
        </w:rPr>
        <w:t xml:space="preserve"> in the prior renewal</w:t>
      </w:r>
      <w:r w:rsidRPr="00A0362D" w:rsidR="00CE5988">
        <w:rPr>
          <w:rFonts w:ascii="Times New Roman" w:hAnsi="Times New Roman" w:cs="Times New Roman"/>
          <w:sz w:val="24"/>
          <w:szCs w:val="24"/>
        </w:rPr>
        <w:t xml:space="preserve">. </w:t>
      </w:r>
      <w:r w:rsidR="0077085C">
        <w:rPr>
          <w:rFonts w:ascii="Times New Roman" w:hAnsi="Times New Roman" w:cs="Times New Roman"/>
          <w:sz w:val="24"/>
          <w:szCs w:val="24"/>
        </w:rPr>
        <w:t xml:space="preserve"> </w:t>
      </w:r>
      <w:r w:rsidRPr="00A0362D" w:rsidR="00CE5988">
        <w:rPr>
          <w:rFonts w:ascii="Times New Roman" w:hAnsi="Times New Roman" w:cs="Times New Roman"/>
          <w:sz w:val="24"/>
          <w:szCs w:val="24"/>
        </w:rPr>
        <w:t xml:space="preserve">Second, </w:t>
      </w:r>
      <w:r w:rsidRPr="00A0362D" w:rsidR="00CF127C">
        <w:rPr>
          <w:rFonts w:ascii="Times New Roman" w:hAnsi="Times New Roman" w:cs="Times New Roman"/>
          <w:sz w:val="24"/>
          <w:szCs w:val="24"/>
        </w:rPr>
        <w:t xml:space="preserve">the estimated number of respondents for agent list maintenance </w:t>
      </w:r>
      <w:r w:rsidRPr="00A0362D" w:rsidR="00C46643">
        <w:rPr>
          <w:rFonts w:ascii="Times New Roman" w:hAnsi="Times New Roman" w:cs="Times New Roman"/>
          <w:sz w:val="24"/>
          <w:szCs w:val="24"/>
        </w:rPr>
        <w:t>was revised</w:t>
      </w:r>
      <w:r w:rsidRPr="00A0362D" w:rsidR="00885EDB">
        <w:rPr>
          <w:rFonts w:ascii="Times New Roman" w:hAnsi="Times New Roman" w:cs="Times New Roman"/>
          <w:sz w:val="24"/>
          <w:szCs w:val="24"/>
        </w:rPr>
        <w:t xml:space="preserve">. </w:t>
      </w:r>
      <w:r w:rsidR="0077085C">
        <w:rPr>
          <w:rFonts w:ascii="Times New Roman" w:hAnsi="Times New Roman" w:cs="Times New Roman"/>
          <w:sz w:val="24"/>
          <w:szCs w:val="24"/>
        </w:rPr>
        <w:t xml:space="preserve"> </w:t>
      </w:r>
      <w:r w:rsidRPr="00A0362D" w:rsidR="00885EDB">
        <w:rPr>
          <w:rFonts w:ascii="Times New Roman" w:hAnsi="Times New Roman" w:cs="Times New Roman"/>
          <w:sz w:val="24"/>
          <w:szCs w:val="24"/>
        </w:rPr>
        <w:t>In 2023, all</w:t>
      </w:r>
      <w:r w:rsidRPr="00A0362D" w:rsidR="00967519">
        <w:rPr>
          <w:rFonts w:ascii="Times New Roman" w:hAnsi="Times New Roman" w:cs="Times New Roman"/>
          <w:sz w:val="24"/>
          <w:szCs w:val="24"/>
        </w:rPr>
        <w:t xml:space="preserve"> respondent principal</w:t>
      </w:r>
      <w:r w:rsidRPr="00A0362D" w:rsidR="00885EDB">
        <w:rPr>
          <w:rFonts w:ascii="Times New Roman" w:hAnsi="Times New Roman" w:cs="Times New Roman"/>
          <w:sz w:val="24"/>
          <w:szCs w:val="24"/>
        </w:rPr>
        <w:t xml:space="preserve"> MSBs were assumed to have agents, </w:t>
      </w:r>
      <w:r w:rsidRPr="00A0362D" w:rsidR="00AD2AAF">
        <w:rPr>
          <w:rFonts w:ascii="Times New Roman" w:hAnsi="Times New Roman" w:cs="Times New Roman"/>
          <w:sz w:val="24"/>
          <w:szCs w:val="24"/>
        </w:rPr>
        <w:t>whereas in 2026, FinCEN revised this assumption</w:t>
      </w:r>
      <w:r w:rsidRPr="00A0362D" w:rsidR="00C46643">
        <w:rPr>
          <w:rFonts w:ascii="Times New Roman" w:hAnsi="Times New Roman" w:cs="Times New Roman"/>
          <w:sz w:val="24"/>
          <w:szCs w:val="24"/>
        </w:rPr>
        <w:t xml:space="preserve"> to reflect data from the most recent historical three-year period, resulting in a reduction in the estimated number of responses expected annually from 26,</w:t>
      </w:r>
      <w:r w:rsidRPr="00A0362D" w:rsidR="00DD2D66">
        <w:rPr>
          <w:rFonts w:ascii="Times New Roman" w:hAnsi="Times New Roman" w:cs="Times New Roman"/>
          <w:sz w:val="24"/>
          <w:szCs w:val="24"/>
        </w:rPr>
        <w:t>276</w:t>
      </w:r>
      <w:r w:rsidRPr="00A0362D" w:rsidR="00C46643">
        <w:rPr>
          <w:rFonts w:ascii="Times New Roman" w:hAnsi="Times New Roman" w:cs="Times New Roman"/>
          <w:sz w:val="24"/>
          <w:szCs w:val="24"/>
        </w:rPr>
        <w:t xml:space="preserve"> in 202</w:t>
      </w:r>
      <w:r w:rsidRPr="00A0362D" w:rsidR="00DD2D66">
        <w:rPr>
          <w:rFonts w:ascii="Times New Roman" w:hAnsi="Times New Roman" w:cs="Times New Roman"/>
          <w:sz w:val="24"/>
          <w:szCs w:val="24"/>
        </w:rPr>
        <w:t>3</w:t>
      </w:r>
      <w:r w:rsidRPr="00A0362D" w:rsidR="00C46643">
        <w:rPr>
          <w:rFonts w:ascii="Times New Roman" w:hAnsi="Times New Roman" w:cs="Times New Roman"/>
          <w:sz w:val="24"/>
          <w:szCs w:val="24"/>
        </w:rPr>
        <w:t xml:space="preserve">, to </w:t>
      </w:r>
      <w:r w:rsidRPr="00A0362D" w:rsidR="00DD2D66">
        <w:rPr>
          <w:rFonts w:ascii="Times New Roman" w:hAnsi="Times New Roman" w:cs="Times New Roman"/>
          <w:sz w:val="24"/>
          <w:szCs w:val="24"/>
        </w:rPr>
        <w:t>6,214</w:t>
      </w:r>
      <w:r w:rsidRPr="00A0362D" w:rsidR="00C46643">
        <w:rPr>
          <w:rFonts w:ascii="Times New Roman" w:hAnsi="Times New Roman" w:cs="Times New Roman"/>
          <w:sz w:val="24"/>
          <w:szCs w:val="24"/>
        </w:rPr>
        <w:t xml:space="preserve"> in 202</w:t>
      </w:r>
      <w:r w:rsidRPr="00A0362D" w:rsidR="00DD2D66">
        <w:rPr>
          <w:rFonts w:ascii="Times New Roman" w:hAnsi="Times New Roman" w:cs="Times New Roman"/>
          <w:sz w:val="24"/>
          <w:szCs w:val="24"/>
        </w:rPr>
        <w:t>6</w:t>
      </w:r>
      <w:r w:rsidRPr="00A0362D" w:rsidR="00C46643">
        <w:rPr>
          <w:rFonts w:ascii="Times New Roman" w:hAnsi="Times New Roman" w:cs="Times New Roman"/>
          <w:sz w:val="24"/>
          <w:szCs w:val="24"/>
        </w:rPr>
        <w:t>.</w:t>
      </w:r>
      <w:r w:rsidRPr="00A0362D" w:rsidR="00B13FF0">
        <w:rPr>
          <w:rFonts w:ascii="Times New Roman" w:hAnsi="Times New Roman" w:cs="Times New Roman"/>
          <w:sz w:val="24"/>
          <w:szCs w:val="24"/>
        </w:rPr>
        <w:t xml:space="preserve"> </w:t>
      </w:r>
      <w:r w:rsidRPr="00A0362D" w:rsidR="00473655">
        <w:rPr>
          <w:rFonts w:ascii="Times New Roman" w:hAnsi="Times New Roman" w:cs="Times New Roman"/>
          <w:sz w:val="24"/>
          <w:szCs w:val="24"/>
        </w:rPr>
        <w:t xml:space="preserve"> The</w:t>
      </w:r>
      <w:r w:rsidR="001119AA">
        <w:rPr>
          <w:rFonts w:ascii="Times New Roman" w:hAnsi="Times New Roman" w:cs="Times New Roman"/>
          <w:sz w:val="24"/>
          <w:szCs w:val="24"/>
        </w:rPr>
        <w:t>se</w:t>
      </w:r>
      <w:r w:rsidRPr="00A0362D" w:rsidR="00473655">
        <w:rPr>
          <w:rFonts w:ascii="Times New Roman" w:hAnsi="Times New Roman" w:cs="Times New Roman"/>
          <w:sz w:val="24"/>
          <w:szCs w:val="24"/>
        </w:rPr>
        <w:t xml:space="preserve"> revisions decrease</w:t>
      </w:r>
      <w:r w:rsidR="001119AA">
        <w:rPr>
          <w:rFonts w:ascii="Times New Roman" w:hAnsi="Times New Roman" w:cs="Times New Roman"/>
          <w:sz w:val="24"/>
          <w:szCs w:val="24"/>
        </w:rPr>
        <w:t>d</w:t>
      </w:r>
      <w:r w:rsidRPr="00A0362D" w:rsidR="00473655">
        <w:rPr>
          <w:rFonts w:ascii="Times New Roman" w:hAnsi="Times New Roman" w:cs="Times New Roman"/>
          <w:sz w:val="24"/>
          <w:szCs w:val="24"/>
        </w:rPr>
        <w:t xml:space="preserve"> </w:t>
      </w:r>
      <w:r w:rsidR="001119AA">
        <w:rPr>
          <w:rFonts w:ascii="Times New Roman" w:hAnsi="Times New Roman" w:cs="Times New Roman"/>
          <w:sz w:val="24"/>
          <w:szCs w:val="24"/>
        </w:rPr>
        <w:t>the total</w:t>
      </w:r>
      <w:r w:rsidRPr="00A0362D" w:rsidR="001119AA">
        <w:rPr>
          <w:rFonts w:ascii="Times New Roman" w:hAnsi="Times New Roman" w:cs="Times New Roman"/>
          <w:sz w:val="24"/>
          <w:szCs w:val="24"/>
        </w:rPr>
        <w:t xml:space="preserve"> </w:t>
      </w:r>
      <w:r w:rsidRPr="00A0362D" w:rsidR="00473655">
        <w:rPr>
          <w:rFonts w:ascii="Times New Roman" w:hAnsi="Times New Roman" w:cs="Times New Roman"/>
          <w:sz w:val="24"/>
          <w:szCs w:val="24"/>
        </w:rPr>
        <w:t>expected aggregate burden.</w:t>
      </w:r>
      <w:r w:rsidR="000C5E3C">
        <w:rPr>
          <w:rFonts w:ascii="Times New Roman" w:hAnsi="Times New Roman" w:cs="Times New Roman"/>
          <w:sz w:val="24"/>
          <w:szCs w:val="24"/>
        </w:rPr>
        <w:t xml:space="preserve"> </w:t>
      </w:r>
      <w:r w:rsidR="00C13281">
        <w:rPr>
          <w:rFonts w:ascii="Times New Roman" w:hAnsi="Times New Roman" w:cs="Times New Roman"/>
          <w:sz w:val="24"/>
          <w:szCs w:val="24"/>
        </w:rPr>
        <w:t xml:space="preserve"> </w:t>
      </w:r>
      <w:r w:rsidRPr="00D0047A">
        <w:rPr>
          <w:rFonts w:ascii="Times New Roman" w:hAnsi="Times New Roman" w:cs="Times New Roman"/>
          <w:color w:val="000000" w:themeColor="text1"/>
          <w:sz w:val="24"/>
          <w:szCs w:val="24"/>
        </w:rPr>
        <w:t xml:space="preserve">Any additional changes </w:t>
      </w:r>
      <w:r w:rsidR="00026432">
        <w:rPr>
          <w:rFonts w:ascii="Times New Roman" w:hAnsi="Times New Roman" w:cs="Times New Roman"/>
          <w:color w:val="000000" w:themeColor="text1"/>
          <w:sz w:val="24"/>
          <w:szCs w:val="24"/>
        </w:rPr>
        <w:t xml:space="preserve">are the </w:t>
      </w:r>
      <w:r w:rsidRPr="00D0047A" w:rsidR="00C13281">
        <w:rPr>
          <w:rFonts w:ascii="Times New Roman" w:hAnsi="Times New Roman" w:cs="Times New Roman"/>
          <w:color w:val="000000" w:themeColor="text1"/>
          <w:sz w:val="24"/>
          <w:szCs w:val="24"/>
        </w:rPr>
        <w:t xml:space="preserve">result </w:t>
      </w:r>
      <w:r w:rsidR="00026432">
        <w:rPr>
          <w:rFonts w:ascii="Times New Roman" w:hAnsi="Times New Roman" w:cs="Times New Roman"/>
          <w:color w:val="000000" w:themeColor="text1"/>
          <w:sz w:val="24"/>
          <w:szCs w:val="24"/>
        </w:rPr>
        <w:t>of updating the</w:t>
      </w:r>
      <w:r w:rsidRPr="00D0047A">
        <w:rPr>
          <w:rFonts w:ascii="Times New Roman" w:hAnsi="Times New Roman" w:cs="Times New Roman"/>
          <w:color w:val="000000" w:themeColor="text1"/>
          <w:sz w:val="24"/>
          <w:szCs w:val="24"/>
        </w:rPr>
        <w:t xml:space="preserve"> </w:t>
      </w:r>
      <w:r w:rsidR="00EA1353">
        <w:rPr>
          <w:rFonts w:ascii="Times New Roman" w:hAnsi="Times New Roman" w:cs="Times New Roman"/>
          <w:color w:val="000000" w:themeColor="text1"/>
          <w:sz w:val="24"/>
          <w:szCs w:val="24"/>
        </w:rPr>
        <w:t>data on the annual number of filings</w:t>
      </w:r>
      <w:r w:rsidR="00551ED1">
        <w:rPr>
          <w:rFonts w:ascii="Times New Roman" w:hAnsi="Times New Roman" w:cs="Times New Roman"/>
          <w:color w:val="000000" w:themeColor="text1"/>
          <w:sz w:val="24"/>
          <w:szCs w:val="24"/>
        </w:rPr>
        <w:t xml:space="preserve"> and filers</w:t>
      </w:r>
      <w:r w:rsidRPr="00D0047A" w:rsidR="00B43641">
        <w:rPr>
          <w:rFonts w:ascii="Times New Roman" w:hAnsi="Times New Roman" w:cs="Times New Roman"/>
          <w:color w:val="000000" w:themeColor="text1"/>
          <w:sz w:val="24"/>
          <w:szCs w:val="24"/>
        </w:rPr>
        <w:t xml:space="preserve"> for each </w:t>
      </w:r>
      <w:r w:rsidR="00551ED1">
        <w:rPr>
          <w:rFonts w:ascii="Times New Roman" w:hAnsi="Times New Roman" w:cs="Times New Roman"/>
          <w:color w:val="000000" w:themeColor="text1"/>
          <w:sz w:val="24"/>
          <w:szCs w:val="24"/>
        </w:rPr>
        <w:t>filing</w:t>
      </w:r>
      <w:r w:rsidRPr="00D0047A" w:rsidR="00B43641">
        <w:rPr>
          <w:rFonts w:ascii="Times New Roman" w:hAnsi="Times New Roman" w:cs="Times New Roman"/>
          <w:color w:val="000000" w:themeColor="text1"/>
          <w:sz w:val="24"/>
          <w:szCs w:val="24"/>
        </w:rPr>
        <w:t xml:space="preserve"> type</w:t>
      </w:r>
      <w:r w:rsidRPr="00D0047A" w:rsidR="000C5E3C">
        <w:rPr>
          <w:rFonts w:ascii="Times New Roman" w:hAnsi="Times New Roman" w:cs="Times New Roman"/>
          <w:color w:val="000000" w:themeColor="text1"/>
          <w:sz w:val="24"/>
          <w:szCs w:val="24"/>
        </w:rPr>
        <w:t>.</w:t>
      </w:r>
    </w:p>
    <w:p w:rsidR="00240CCA" w:rsidP="00240CCA" w14:paraId="175D9E0E" w14:textId="77777777">
      <w:pPr>
        <w:spacing w:after="240"/>
        <w:rPr>
          <w:rFonts w:ascii="Times New Roman" w:hAnsi="Times New Roman" w:cs="Times New Roman"/>
          <w:sz w:val="24"/>
          <w:szCs w:val="24"/>
        </w:rPr>
      </w:pPr>
      <w:r w:rsidRPr="001C782D">
        <w:rPr>
          <w:rFonts w:ascii="Times New Roman" w:hAnsi="Times New Roman" w:cs="Times New Roman"/>
          <w:sz w:val="24"/>
          <w:szCs w:val="24"/>
        </w:rPr>
        <w:t xml:space="preserve">16. </w:t>
      </w:r>
      <w:r w:rsidRPr="001C782D">
        <w:rPr>
          <w:rFonts w:ascii="Times New Roman" w:hAnsi="Times New Roman" w:cs="Times New Roman"/>
          <w:sz w:val="24"/>
          <w:szCs w:val="24"/>
          <w:u w:val="single"/>
        </w:rPr>
        <w:t>Plans for tabulation, statistical analysis, and publication.</w:t>
      </w:r>
      <w:r w:rsidRPr="001C782D">
        <w:rPr>
          <w:rFonts w:ascii="Times New Roman" w:hAnsi="Times New Roman" w:cs="Times New Roman"/>
          <w:sz w:val="24"/>
          <w:szCs w:val="24"/>
        </w:rPr>
        <w:t xml:space="preserve"> </w:t>
      </w:r>
    </w:p>
    <w:p w:rsidR="00BB4346" w:rsidRPr="00BB4346" w:rsidP="0023038A" w14:paraId="40ABA9B7" w14:textId="1DD58B54">
      <w:pPr>
        <w:spacing w:after="24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As described above, </w:t>
      </w:r>
      <w:r w:rsidRPr="00BB4346">
        <w:rPr>
          <w:rFonts w:ascii="Times New Roman" w:hAnsi="Times New Roman" w:cs="Times New Roman"/>
          <w:sz w:val="24"/>
          <w:szCs w:val="24"/>
        </w:rPr>
        <w:t xml:space="preserve">FinCEN publishes some of the collected information </w:t>
      </w:r>
      <w:hyperlink r:id="rId13" w:history="1">
        <w:r w:rsidRPr="003A4E20">
          <w:rPr>
            <w:rStyle w:val="Hyperlink"/>
            <w:rFonts w:ascii="Times New Roman" w:hAnsi="Times New Roman" w:cs="Times New Roman"/>
            <w:sz w:val="24"/>
            <w:szCs w:val="24"/>
            <w:u w:val="none"/>
          </w:rPr>
          <w:t>on</w:t>
        </w:r>
      </w:hyperlink>
      <w:r>
        <w:rPr>
          <w:rFonts w:ascii="Times New Roman" w:hAnsi="Times New Roman" w:cs="Times New Roman"/>
          <w:sz w:val="24"/>
          <w:szCs w:val="24"/>
        </w:rPr>
        <w:t xml:space="preserve"> its website</w:t>
      </w:r>
      <w:r w:rsidRPr="00BB4346">
        <w:rPr>
          <w:rFonts w:ascii="Times New Roman" w:hAnsi="Times New Roman" w:cs="Times New Roman"/>
          <w:sz w:val="24"/>
          <w:szCs w:val="24"/>
        </w:rPr>
        <w:t xml:space="preserve">.  This </w:t>
      </w:r>
      <w:r w:rsidR="00CA40CB">
        <w:rPr>
          <w:rFonts w:ascii="Times New Roman" w:hAnsi="Times New Roman" w:cs="Times New Roman"/>
          <w:sz w:val="24"/>
          <w:szCs w:val="24"/>
        </w:rPr>
        <w:t>a</w:t>
      </w:r>
      <w:r w:rsidR="004A29A4">
        <w:rPr>
          <w:rFonts w:ascii="Times New Roman" w:hAnsi="Times New Roman" w:cs="Times New Roman"/>
          <w:sz w:val="24"/>
          <w:szCs w:val="24"/>
        </w:rPr>
        <w:t xml:space="preserve">ssists </w:t>
      </w:r>
      <w:r w:rsidRPr="00BB4346">
        <w:rPr>
          <w:rFonts w:ascii="Times New Roman" w:hAnsi="Times New Roman" w:cs="Times New Roman"/>
          <w:sz w:val="24"/>
          <w:szCs w:val="24"/>
        </w:rPr>
        <w:t xml:space="preserve">members of the public </w:t>
      </w:r>
      <w:r w:rsidR="004A29A4">
        <w:rPr>
          <w:rFonts w:ascii="Times New Roman" w:hAnsi="Times New Roman" w:cs="Times New Roman"/>
          <w:sz w:val="24"/>
          <w:szCs w:val="24"/>
        </w:rPr>
        <w:t>in determining</w:t>
      </w:r>
      <w:r>
        <w:rPr>
          <w:rFonts w:ascii="Times New Roman" w:hAnsi="Times New Roman" w:cs="Times New Roman"/>
          <w:sz w:val="24"/>
          <w:szCs w:val="24"/>
        </w:rPr>
        <w:t xml:space="preserve"> whether</w:t>
      </w:r>
      <w:r w:rsidRPr="00BB4346" w:rsidR="003C0940">
        <w:rPr>
          <w:rFonts w:ascii="Times New Roman" w:hAnsi="Times New Roman" w:cs="Times New Roman"/>
          <w:sz w:val="24"/>
          <w:szCs w:val="24"/>
        </w:rPr>
        <w:t xml:space="preserve"> </w:t>
      </w:r>
      <w:r w:rsidRPr="00BB4346">
        <w:rPr>
          <w:rFonts w:ascii="Times New Roman" w:hAnsi="Times New Roman" w:cs="Times New Roman"/>
          <w:sz w:val="24"/>
          <w:szCs w:val="24"/>
        </w:rPr>
        <w:t>a</w:t>
      </w:r>
      <w:r>
        <w:rPr>
          <w:rFonts w:ascii="Times New Roman" w:hAnsi="Times New Roman" w:cs="Times New Roman"/>
          <w:sz w:val="24"/>
          <w:szCs w:val="24"/>
        </w:rPr>
        <w:t>n</w:t>
      </w:r>
      <w:r w:rsidRPr="00BB4346">
        <w:rPr>
          <w:rFonts w:ascii="Times New Roman" w:hAnsi="Times New Roman" w:cs="Times New Roman"/>
          <w:sz w:val="24"/>
          <w:szCs w:val="24"/>
        </w:rPr>
        <w:t xml:space="preserve"> </w:t>
      </w:r>
      <w:r w:rsidR="00AB6228">
        <w:rPr>
          <w:rFonts w:ascii="Times New Roman" w:hAnsi="Times New Roman" w:cs="Times New Roman"/>
          <w:sz w:val="24"/>
          <w:szCs w:val="24"/>
        </w:rPr>
        <w:t xml:space="preserve">entity has registered with FinCEN as an </w:t>
      </w:r>
      <w:r w:rsidRPr="00BB4346">
        <w:rPr>
          <w:rFonts w:ascii="Times New Roman" w:hAnsi="Times New Roman" w:cs="Times New Roman"/>
          <w:sz w:val="24"/>
          <w:szCs w:val="24"/>
        </w:rPr>
        <w:t>MSB.</w:t>
      </w:r>
      <w:r>
        <w:rPr>
          <w:rStyle w:val="FootnoteReference"/>
          <w:rFonts w:ascii="Times New Roman" w:hAnsi="Times New Roman" w:cs="Times New Roman"/>
          <w:sz w:val="24"/>
          <w:szCs w:val="24"/>
        </w:rPr>
        <w:footnoteReference w:id="29"/>
      </w:r>
    </w:p>
    <w:p w:rsidR="00240CCA" w:rsidP="00240CCA" w14:paraId="7D853B40" w14:textId="331A47BA">
      <w:pPr>
        <w:spacing w:after="240"/>
        <w:rPr>
          <w:rFonts w:ascii="Times New Roman" w:hAnsi="Times New Roman" w:cs="Times New Roman"/>
          <w:sz w:val="24"/>
          <w:szCs w:val="24"/>
        </w:rPr>
      </w:pPr>
      <w:r w:rsidRPr="001C782D">
        <w:rPr>
          <w:rFonts w:ascii="Times New Roman" w:hAnsi="Times New Roman" w:cs="Times New Roman"/>
          <w:sz w:val="24"/>
          <w:szCs w:val="24"/>
        </w:rPr>
        <w:t xml:space="preserve">17. </w:t>
      </w:r>
      <w:r w:rsidRPr="001C782D">
        <w:rPr>
          <w:rFonts w:ascii="Times New Roman" w:hAnsi="Times New Roman" w:cs="Times New Roman"/>
          <w:sz w:val="24"/>
          <w:szCs w:val="24"/>
          <w:u w:val="single"/>
        </w:rPr>
        <w:t>Request not to display the OMB expiration date.</w:t>
      </w:r>
      <w:r w:rsidRPr="001C782D">
        <w:rPr>
          <w:rFonts w:ascii="Times New Roman" w:hAnsi="Times New Roman" w:cs="Times New Roman"/>
          <w:sz w:val="24"/>
          <w:szCs w:val="24"/>
        </w:rPr>
        <w:t xml:space="preserve"> </w:t>
      </w:r>
    </w:p>
    <w:p w:rsidR="00DE3C11" w:rsidP="0023038A" w14:paraId="5BACD06A" w14:textId="53CED4F8">
      <w:pPr>
        <w:spacing w:after="240" w:line="240" w:lineRule="auto"/>
        <w:ind w:firstLine="720"/>
        <w:rPr>
          <w:rFonts w:ascii="Times New Roman" w:hAnsi="Times New Roman" w:cs="Times New Roman"/>
          <w:sz w:val="24"/>
          <w:szCs w:val="24"/>
        </w:rPr>
      </w:pPr>
      <w:r w:rsidRPr="00DE3C11">
        <w:rPr>
          <w:rFonts w:ascii="Times New Roman" w:hAnsi="Times New Roman" w:cs="Times New Roman"/>
          <w:sz w:val="24"/>
          <w:szCs w:val="24"/>
        </w:rPr>
        <w:t xml:space="preserve">FinCEN requests that it </w:t>
      </w:r>
      <w:r w:rsidRPr="00DE3C11">
        <w:rPr>
          <w:rFonts w:ascii="Times New Roman" w:hAnsi="Times New Roman" w:cs="Times New Roman"/>
          <w:sz w:val="24"/>
          <w:szCs w:val="24"/>
        </w:rPr>
        <w:t>not be</w:t>
      </w:r>
      <w:r w:rsidRPr="00DE3C11">
        <w:rPr>
          <w:rFonts w:ascii="Times New Roman" w:hAnsi="Times New Roman" w:cs="Times New Roman"/>
          <w:sz w:val="24"/>
          <w:szCs w:val="24"/>
        </w:rPr>
        <w:t xml:space="preserve"> required to display the expiration date so that the regulations will not have to be amended for the new expiration date every three years</w:t>
      </w:r>
      <w:r w:rsidR="005E3C0C">
        <w:rPr>
          <w:rFonts w:ascii="Times New Roman" w:hAnsi="Times New Roman" w:cs="Times New Roman"/>
          <w:sz w:val="24"/>
          <w:szCs w:val="24"/>
        </w:rPr>
        <w:t>, and to avoid confusion by the public as to whether the RMSB</w:t>
      </w:r>
      <w:r w:rsidR="00550600">
        <w:rPr>
          <w:rFonts w:ascii="Times New Roman" w:hAnsi="Times New Roman" w:cs="Times New Roman"/>
          <w:sz w:val="24"/>
          <w:szCs w:val="24"/>
        </w:rPr>
        <w:t xml:space="preserve"> regulations and form</w:t>
      </w:r>
      <w:r w:rsidR="005E3C0C">
        <w:rPr>
          <w:rFonts w:ascii="Times New Roman" w:hAnsi="Times New Roman" w:cs="Times New Roman"/>
          <w:sz w:val="24"/>
          <w:szCs w:val="24"/>
        </w:rPr>
        <w:t xml:space="preserve"> </w:t>
      </w:r>
      <w:r w:rsidR="00550600">
        <w:rPr>
          <w:rFonts w:ascii="Times New Roman" w:hAnsi="Times New Roman" w:cs="Times New Roman"/>
          <w:sz w:val="24"/>
          <w:szCs w:val="24"/>
        </w:rPr>
        <w:t>are</w:t>
      </w:r>
      <w:r w:rsidR="005E3C0C">
        <w:rPr>
          <w:rFonts w:ascii="Times New Roman" w:hAnsi="Times New Roman" w:cs="Times New Roman"/>
          <w:sz w:val="24"/>
          <w:szCs w:val="24"/>
        </w:rPr>
        <w:t xml:space="preserve"> still valid</w:t>
      </w:r>
      <w:r w:rsidRPr="00DE3C11">
        <w:rPr>
          <w:rFonts w:ascii="Times New Roman" w:hAnsi="Times New Roman" w:cs="Times New Roman"/>
          <w:sz w:val="24"/>
          <w:szCs w:val="24"/>
        </w:rPr>
        <w:t>.  This request will not affect the normal three-year PRA renewal process.</w:t>
      </w:r>
    </w:p>
    <w:p w:rsidR="00240CCA" w:rsidP="001E7043" w14:paraId="7B3F00FB" w14:textId="5C2D94A8">
      <w:pPr>
        <w:spacing w:after="120"/>
        <w:rPr>
          <w:rFonts w:ascii="Times New Roman" w:hAnsi="Times New Roman" w:cs="Times New Roman"/>
          <w:sz w:val="24"/>
          <w:szCs w:val="24"/>
        </w:rPr>
      </w:pPr>
      <w:r w:rsidRPr="001C782D">
        <w:rPr>
          <w:rFonts w:ascii="Times New Roman" w:hAnsi="Times New Roman" w:cs="Times New Roman"/>
          <w:sz w:val="24"/>
          <w:szCs w:val="24"/>
        </w:rPr>
        <w:t xml:space="preserve">18. </w:t>
      </w:r>
      <w:r w:rsidRPr="001C782D">
        <w:rPr>
          <w:rFonts w:ascii="Times New Roman" w:hAnsi="Times New Roman" w:cs="Times New Roman"/>
          <w:sz w:val="24"/>
          <w:szCs w:val="24"/>
          <w:u w:val="single"/>
        </w:rPr>
        <w:t>Exceptions to the certification statement.</w:t>
      </w:r>
      <w:r w:rsidRPr="001C782D">
        <w:rPr>
          <w:rFonts w:ascii="Times New Roman" w:hAnsi="Times New Roman" w:cs="Times New Roman"/>
          <w:sz w:val="24"/>
          <w:szCs w:val="24"/>
        </w:rPr>
        <w:t xml:space="preserve"> </w:t>
      </w:r>
    </w:p>
    <w:p w:rsidR="00017EE3" w:rsidRPr="001C782D" w:rsidP="008B7A0C" w14:paraId="31FF6307" w14:textId="547D9F65">
      <w:pPr>
        <w:spacing w:after="240" w:line="240" w:lineRule="auto"/>
        <w:ind w:firstLine="720"/>
        <w:rPr>
          <w:rFonts w:ascii="Times New Roman" w:hAnsi="Times New Roman" w:cs="Times New Roman"/>
          <w:sz w:val="24"/>
          <w:szCs w:val="24"/>
        </w:rPr>
      </w:pPr>
      <w:r w:rsidRPr="00D36184">
        <w:rPr>
          <w:rFonts w:ascii="Times New Roman" w:hAnsi="Times New Roman" w:cs="Times New Roman"/>
          <w:sz w:val="24"/>
          <w:szCs w:val="24"/>
        </w:rPr>
        <w:t>There are no exceptions to the certification statement.</w:t>
      </w:r>
    </w:p>
    <w:sectPr>
      <w:footerReference w:type="defaul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85445146"/>
      <w:docPartObj>
        <w:docPartGallery w:val="Page Numbers (Bottom of Page)"/>
        <w:docPartUnique/>
      </w:docPartObj>
    </w:sdtPr>
    <w:sdtEndPr>
      <w:rPr>
        <w:rFonts w:ascii="Times New Roman" w:hAnsi="Times New Roman" w:cs="Times New Roman"/>
        <w:noProof/>
        <w:sz w:val="24"/>
        <w:szCs w:val="24"/>
      </w:rPr>
    </w:sdtEndPr>
    <w:sdtContent>
      <w:p w:rsidR="008B7A0C" w:rsidRPr="008B7A0C" w14:paraId="04EA4F9D" w14:textId="4B837DA4">
        <w:pPr>
          <w:pStyle w:val="Footer"/>
          <w:jc w:val="center"/>
          <w:rPr>
            <w:rFonts w:ascii="Times New Roman" w:hAnsi="Times New Roman" w:cs="Times New Roman"/>
            <w:sz w:val="24"/>
            <w:szCs w:val="24"/>
          </w:rPr>
        </w:pPr>
        <w:r w:rsidRPr="008B7A0C">
          <w:rPr>
            <w:rFonts w:ascii="Times New Roman" w:hAnsi="Times New Roman" w:cs="Times New Roman"/>
            <w:sz w:val="24"/>
            <w:szCs w:val="24"/>
          </w:rPr>
          <w:fldChar w:fldCharType="begin"/>
        </w:r>
        <w:r w:rsidRPr="008B7A0C">
          <w:rPr>
            <w:rFonts w:ascii="Times New Roman" w:hAnsi="Times New Roman" w:cs="Times New Roman"/>
            <w:sz w:val="24"/>
            <w:szCs w:val="24"/>
          </w:rPr>
          <w:instrText xml:space="preserve"> PAGE   \* MERGEFORMAT </w:instrText>
        </w:r>
        <w:r w:rsidRPr="008B7A0C">
          <w:rPr>
            <w:rFonts w:ascii="Times New Roman" w:hAnsi="Times New Roman" w:cs="Times New Roman"/>
            <w:sz w:val="24"/>
            <w:szCs w:val="24"/>
          </w:rPr>
          <w:fldChar w:fldCharType="separate"/>
        </w:r>
        <w:r w:rsidRPr="008B7A0C">
          <w:rPr>
            <w:rFonts w:ascii="Times New Roman" w:hAnsi="Times New Roman" w:cs="Times New Roman"/>
            <w:noProof/>
            <w:sz w:val="24"/>
            <w:szCs w:val="24"/>
          </w:rPr>
          <w:t>2</w:t>
        </w:r>
        <w:r w:rsidRPr="008B7A0C">
          <w:rPr>
            <w:rFonts w:ascii="Times New Roman" w:hAnsi="Times New Roman" w:cs="Times New Roman"/>
            <w:noProof/>
            <w:sz w:val="24"/>
            <w:szCs w:val="24"/>
          </w:rPr>
          <w:fldChar w:fldCharType="end"/>
        </w:r>
      </w:p>
    </w:sdtContent>
  </w:sdt>
  <w:p w:rsidR="006813F3" w14:paraId="13AED2D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376AB" w:rsidP="00A01A30" w14:paraId="57943F22" w14:textId="77777777">
      <w:pPr>
        <w:spacing w:after="0" w:line="240" w:lineRule="auto"/>
      </w:pPr>
      <w:r>
        <w:separator/>
      </w:r>
    </w:p>
  </w:footnote>
  <w:footnote w:type="continuationSeparator" w:id="1">
    <w:p w:rsidR="002376AB" w:rsidP="00A01A30" w14:paraId="509E93C9" w14:textId="77777777">
      <w:pPr>
        <w:spacing w:after="0" w:line="240" w:lineRule="auto"/>
      </w:pPr>
      <w:r>
        <w:continuationSeparator/>
      </w:r>
    </w:p>
  </w:footnote>
  <w:footnote w:id="2">
    <w:p w:rsidR="001B59BE" w:rsidP="001B59BE" w14:paraId="39D987A0" w14:textId="77777777">
      <w:pPr>
        <w:pStyle w:val="FootnoteText"/>
      </w:pPr>
      <w:r>
        <w:rPr>
          <w:rStyle w:val="FootnoteReference"/>
          <w:rFonts w:eastAsiaTheme="majorEastAsia"/>
        </w:rPr>
        <w:footnoteRef/>
      </w:r>
      <w:r>
        <w:t xml:space="preserve"> Title II of Pub. L. 91-508, 84 Stat. 1118 (Oct. 26, 1970).</w:t>
      </w:r>
    </w:p>
  </w:footnote>
  <w:footnote w:id="3">
    <w:p w:rsidR="001B59BE" w:rsidP="001B59BE" w14:paraId="6934CF27" w14:textId="77777777">
      <w:pPr>
        <w:pStyle w:val="FootnoteText"/>
      </w:pPr>
      <w:r>
        <w:rPr>
          <w:rStyle w:val="FootnoteReference"/>
          <w:rFonts w:eastAsiaTheme="majorEastAsia"/>
        </w:rPr>
        <w:footnoteRef/>
      </w:r>
      <w:r>
        <w:t xml:space="preserve"> </w:t>
      </w:r>
      <w:r w:rsidRPr="00A256D4">
        <w:t>Pub. L. 107–56</w:t>
      </w:r>
      <w:bookmarkStart w:id="0" w:name="_Hlk173880181"/>
      <w:bookmarkStart w:id="1" w:name="_Hlk173882507"/>
      <w:r w:rsidRPr="00A256D4">
        <w:t>, 115 Stat. 272 (Oct. 26, 2001)</w:t>
      </w:r>
      <w:bookmarkEnd w:id="0"/>
      <w:r w:rsidRPr="00A256D4">
        <w:t>.</w:t>
      </w:r>
      <w:bookmarkEnd w:id="1"/>
    </w:p>
  </w:footnote>
  <w:footnote w:id="4">
    <w:p w:rsidR="001B59BE" w:rsidP="001B59BE" w14:paraId="29FBF6B1" w14:textId="77777777">
      <w:pPr>
        <w:pStyle w:val="FootnoteText"/>
      </w:pPr>
      <w:r>
        <w:rPr>
          <w:rStyle w:val="FootnoteReference"/>
          <w:rFonts w:eastAsiaTheme="majorEastAsia"/>
        </w:rPr>
        <w:footnoteRef/>
      </w:r>
      <w:r>
        <w:t xml:space="preserve"> </w:t>
      </w:r>
      <w:r w:rsidRPr="00382338">
        <w:t xml:space="preserve">The AML Act was enacted as Division F, </w:t>
      </w:r>
      <w:r>
        <w:t>sections</w:t>
      </w:r>
      <w:r w:rsidRPr="00382338">
        <w:t xml:space="preserve"> 6001-6511, of the William M. (Mac) Thornberry National</w:t>
      </w:r>
      <w:r>
        <w:t xml:space="preserve"> </w:t>
      </w:r>
      <w:r w:rsidRPr="00382338">
        <w:t>Defense Authorization Act for Fiscal Year 2021, Pub</w:t>
      </w:r>
      <w:r>
        <w:t>.</w:t>
      </w:r>
      <w:r w:rsidRPr="00382338">
        <w:t xml:space="preserve"> L</w:t>
      </w:r>
      <w:r>
        <w:t>.</w:t>
      </w:r>
      <w:r w:rsidRPr="00382338">
        <w:t xml:space="preserve"> 116-283, 134 Stat 3388 (</w:t>
      </w:r>
      <w:r>
        <w:t>Jan. 1, 2021).</w:t>
      </w:r>
    </w:p>
  </w:footnote>
  <w:footnote w:id="5">
    <w:p w:rsidR="001B59BE" w:rsidRPr="00703709" w:rsidP="001B59BE" w14:paraId="4233B0E1" w14:textId="77777777">
      <w:pPr>
        <w:pStyle w:val="FootnoteText"/>
      </w:pPr>
      <w:r w:rsidRPr="00703709">
        <w:rPr>
          <w:rStyle w:val="FootnoteReference"/>
          <w:rFonts w:eastAsiaTheme="majorEastAsia"/>
        </w:rPr>
        <w:footnoteRef/>
      </w:r>
      <w:r w:rsidRPr="00703709">
        <w:t xml:space="preserve"> </w:t>
      </w:r>
      <w:r>
        <w:rPr>
          <w:i/>
          <w:iCs/>
        </w:rPr>
        <w:t>See</w:t>
      </w:r>
      <w:r>
        <w:t xml:space="preserve"> 31 U.S.C. 5311(1)-(2).</w:t>
      </w:r>
      <w:r w:rsidRPr="00703709">
        <w:rPr>
          <w:color w:val="1F497D"/>
        </w:rPr>
        <w:t xml:space="preserve"> </w:t>
      </w:r>
      <w:r w:rsidRPr="00120B54">
        <w:t xml:space="preserve"> </w:t>
      </w:r>
    </w:p>
  </w:footnote>
  <w:footnote w:id="6">
    <w:p w:rsidR="001B59BE" w:rsidRPr="003544EB" w:rsidP="003544EB" w14:paraId="541573A4" w14:textId="44A20539">
      <w:pPr>
        <w:autoSpaceDE w:val="0"/>
        <w:autoSpaceDN w:val="0"/>
        <w:adjustRightInd w:val="0"/>
        <w:spacing w:after="0"/>
        <w:rPr>
          <w:rFonts w:ascii="Times New Roman" w:hAnsi="Times New Roman" w:cs="Times New Roman"/>
          <w:sz w:val="20"/>
          <w:szCs w:val="20"/>
          <w:lang w:eastAsia="zh-CN"/>
        </w:rPr>
      </w:pPr>
      <w:r w:rsidRPr="003544EB">
        <w:rPr>
          <w:rStyle w:val="FootnoteReference"/>
          <w:rFonts w:ascii="Times New Roman" w:hAnsi="Times New Roman" w:cs="Times New Roman"/>
          <w:sz w:val="20"/>
          <w:szCs w:val="20"/>
        </w:rPr>
        <w:footnoteRef/>
      </w:r>
      <w:r w:rsidRPr="003544EB">
        <w:rPr>
          <w:rFonts w:ascii="Times New Roman" w:hAnsi="Times New Roman" w:cs="Times New Roman"/>
          <w:sz w:val="20"/>
          <w:szCs w:val="20"/>
        </w:rPr>
        <w:t xml:space="preserve"> Treasury Order 180-01 (</w:t>
      </w:r>
      <w:r w:rsidRPr="008B7A0C">
        <w:rPr>
          <w:rFonts w:ascii="Times New Roman" w:hAnsi="Times New Roman" w:cs="Times New Roman"/>
          <w:iCs/>
          <w:sz w:val="20"/>
          <w:szCs w:val="20"/>
        </w:rPr>
        <w:t>Reaffirmed</w:t>
      </w:r>
      <w:r w:rsidRPr="006A59AF">
        <w:rPr>
          <w:rFonts w:ascii="Times New Roman" w:hAnsi="Times New Roman" w:cs="Times New Roman"/>
          <w:iCs/>
          <w:sz w:val="20"/>
          <w:szCs w:val="20"/>
        </w:rPr>
        <w:t xml:space="preserve"> </w:t>
      </w:r>
      <w:r w:rsidRPr="003544EB">
        <w:rPr>
          <w:rFonts w:ascii="Times New Roman" w:hAnsi="Times New Roman" w:cs="Times New Roman"/>
          <w:sz w:val="20"/>
          <w:szCs w:val="20"/>
        </w:rPr>
        <w:t xml:space="preserve">Jan. 14, 2020); </w:t>
      </w:r>
      <w:r w:rsidRPr="003544EB">
        <w:rPr>
          <w:rFonts w:ascii="Times New Roman" w:hAnsi="Times New Roman" w:cs="Times New Roman"/>
          <w:i/>
          <w:color w:val="000000"/>
          <w:sz w:val="20"/>
          <w:szCs w:val="20"/>
        </w:rPr>
        <w:t xml:space="preserve">see also </w:t>
      </w:r>
      <w:r w:rsidRPr="003544EB">
        <w:rPr>
          <w:rFonts w:ascii="Times New Roman" w:hAnsi="Times New Roman" w:cs="Times New Roman"/>
          <w:color w:val="000000"/>
          <w:sz w:val="20"/>
          <w:szCs w:val="20"/>
        </w:rPr>
        <w:t>31 U.S.C. 310(b)(2)(I) (providing that the Director of FinCEN shall “[a]</w:t>
      </w:r>
      <w:r w:rsidRPr="003544EB">
        <w:rPr>
          <w:rFonts w:ascii="Times New Roman" w:hAnsi="Times New Roman" w:cs="Times New Roman"/>
          <w:color w:val="000000"/>
          <w:sz w:val="20"/>
          <w:szCs w:val="20"/>
        </w:rPr>
        <w:t>dminister</w:t>
      </w:r>
      <w:r w:rsidRPr="003544EB">
        <w:rPr>
          <w:rFonts w:ascii="Times New Roman" w:hAnsi="Times New Roman" w:cs="Times New Roman"/>
          <w:color w:val="000000"/>
          <w:sz w:val="20"/>
          <w:szCs w:val="20"/>
        </w:rPr>
        <w:t xml:space="preserve"> the requirements of subchapter II of chapter 53 of this title, chapter 2 of title I of Public Law 91–508, and section 21 of the Federal Deposit Insurance Act, to the extent delegated such authority by the Secretary”)</w:t>
      </w:r>
      <w:r w:rsidRPr="003544EB">
        <w:rPr>
          <w:rFonts w:ascii="Times New Roman" w:hAnsi="Times New Roman" w:cs="Times New Roman"/>
          <w:sz w:val="20"/>
          <w:szCs w:val="20"/>
        </w:rPr>
        <w:t>.</w:t>
      </w:r>
      <w:r w:rsidRPr="003544EB">
        <w:rPr>
          <w:rFonts w:ascii="Times New Roman" w:hAnsi="Times New Roman" w:cs="Times New Roman"/>
        </w:rPr>
        <w:t xml:space="preserve"> </w:t>
      </w:r>
    </w:p>
  </w:footnote>
  <w:footnote w:id="7">
    <w:p w:rsidR="00431C61" w:rsidP="00431C61" w14:paraId="7DC6B4EF" w14:textId="77777777">
      <w:pPr>
        <w:pStyle w:val="FootnoteText"/>
      </w:pPr>
      <w:r>
        <w:rPr>
          <w:rStyle w:val="FootnoteReference"/>
        </w:rPr>
        <w:footnoteRef/>
      </w:r>
      <w:r>
        <w:t xml:space="preserve"> </w:t>
      </w:r>
      <w:r w:rsidRPr="009F7AE0">
        <w:rPr>
          <w:i/>
          <w:iCs/>
        </w:rPr>
        <w:t>See</w:t>
      </w:r>
      <w:r>
        <w:t xml:space="preserve"> 31 CFR 1022.380(a).</w:t>
      </w:r>
    </w:p>
  </w:footnote>
  <w:footnote w:id="8">
    <w:p w:rsidR="00431C61" w:rsidP="00431C61" w14:paraId="4B1835ED" w14:textId="77777777">
      <w:pPr>
        <w:pStyle w:val="FootnoteText"/>
      </w:pPr>
      <w:r>
        <w:rPr>
          <w:rStyle w:val="FootnoteReference"/>
        </w:rPr>
        <w:footnoteRef/>
      </w:r>
      <w:r>
        <w:t xml:space="preserve"> </w:t>
      </w:r>
      <w:r w:rsidRPr="00F47500">
        <w:rPr>
          <w:i/>
        </w:rPr>
        <w:t>See</w:t>
      </w:r>
      <w:r w:rsidRPr="00F47500">
        <w:t xml:space="preserve"> 31 CFR 1022.380(b)(1)(</w:t>
      </w:r>
      <w:r w:rsidRPr="00F47500">
        <w:t>i</w:t>
      </w:r>
      <w:r w:rsidRPr="00F47500">
        <w:t>);</w:t>
      </w:r>
      <w:r>
        <w:t xml:space="preserve"> FinCEN,</w:t>
      </w:r>
      <w:r w:rsidRPr="00F47500">
        <w:t xml:space="preserve"> </w:t>
      </w:r>
      <w:r w:rsidRPr="007012CD">
        <w:rPr>
          <w:i/>
          <w:iCs/>
        </w:rPr>
        <w:t>Registration of Money Services Business (RMSB) Electronic Filing Instructions</w:t>
      </w:r>
      <w:r w:rsidRPr="00F47500">
        <w:t xml:space="preserve"> </w:t>
      </w:r>
      <w:r>
        <w:t>(</w:t>
      </w:r>
      <w:r w:rsidRPr="00F47500">
        <w:t>July 2014 – Version 1.0</w:t>
      </w:r>
      <w:r>
        <w:t xml:space="preserve">), </w:t>
      </w:r>
      <w:hyperlink r:id="rId1" w:history="1">
        <w:r w:rsidRPr="00B9756C">
          <w:rPr>
            <w:rStyle w:val="Hyperlink"/>
          </w:rPr>
          <w:t>https://www.fincen.gov/sites/default/files/shared/FinCENRMSB_ElectronicFilingInstructions.pdf</w:t>
        </w:r>
      </w:hyperlink>
      <w:r>
        <w:t>.</w:t>
      </w:r>
    </w:p>
  </w:footnote>
  <w:footnote w:id="9">
    <w:p w:rsidR="00431C61" w:rsidP="00431C61" w14:paraId="7AD99DBC" w14:textId="77777777">
      <w:pPr>
        <w:pStyle w:val="FootnoteText"/>
      </w:pPr>
      <w:r>
        <w:rPr>
          <w:rStyle w:val="FootnoteReference"/>
        </w:rPr>
        <w:footnoteRef/>
      </w:r>
      <w:r>
        <w:t xml:space="preserve"> </w:t>
      </w:r>
      <w:r w:rsidRPr="00192424">
        <w:rPr>
          <w:i/>
        </w:rPr>
        <w:t>See</w:t>
      </w:r>
      <w:r w:rsidRPr="00192424">
        <w:t xml:space="preserve"> </w:t>
      </w:r>
      <w:r>
        <w:t>31 CFR 1022.380(b)(3).</w:t>
      </w:r>
    </w:p>
  </w:footnote>
  <w:footnote w:id="10">
    <w:p w:rsidR="00431C61" w:rsidP="00431C61" w14:paraId="098530EF" w14:textId="77777777">
      <w:pPr>
        <w:pStyle w:val="FootnoteText"/>
      </w:pPr>
      <w:r>
        <w:rPr>
          <w:rStyle w:val="FootnoteReference"/>
        </w:rPr>
        <w:footnoteRef/>
      </w:r>
      <w:r>
        <w:t xml:space="preserve"> </w:t>
      </w:r>
      <w:r w:rsidRPr="00192424">
        <w:rPr>
          <w:i/>
        </w:rPr>
        <w:t>See</w:t>
      </w:r>
      <w:r w:rsidRPr="00192424">
        <w:t xml:space="preserve"> </w:t>
      </w:r>
      <w:r>
        <w:t xml:space="preserve">31 CFR 1022.380(b)(2).  </w:t>
      </w:r>
    </w:p>
  </w:footnote>
  <w:footnote w:id="11">
    <w:p w:rsidR="00431C61" w:rsidP="00431C61" w14:paraId="55B2E936" w14:textId="77777777">
      <w:pPr>
        <w:pStyle w:val="FootnoteText"/>
      </w:pPr>
      <w:r>
        <w:rPr>
          <w:rStyle w:val="FootnoteReference"/>
        </w:rPr>
        <w:footnoteRef/>
      </w:r>
      <w:r>
        <w:t xml:space="preserve"> </w:t>
      </w:r>
      <w:r w:rsidRPr="00192424">
        <w:rPr>
          <w:i/>
        </w:rPr>
        <w:t>See</w:t>
      </w:r>
      <w:r w:rsidRPr="00192424">
        <w:t xml:space="preserve"> </w:t>
      </w:r>
      <w:r>
        <w:t>31 CFR 1022.380(b)(2), (b)(3).</w:t>
      </w:r>
    </w:p>
  </w:footnote>
  <w:footnote w:id="12">
    <w:p w:rsidR="00431C61" w:rsidP="00431C61" w14:paraId="4BA992C9" w14:textId="77777777">
      <w:pPr>
        <w:pStyle w:val="FootnoteText"/>
      </w:pPr>
      <w:r>
        <w:rPr>
          <w:rStyle w:val="FootnoteReference"/>
        </w:rPr>
        <w:footnoteRef/>
      </w:r>
      <w:r>
        <w:t xml:space="preserve"> Re-registration is not required if the transfer in voting power or equity interest is required to be reported to the Securities and Exchange Commission.</w:t>
      </w:r>
    </w:p>
  </w:footnote>
  <w:footnote w:id="13">
    <w:p w:rsidR="00431C61" w:rsidP="00431C61" w14:paraId="4370FE83" w14:textId="77777777">
      <w:pPr>
        <w:pStyle w:val="FootnoteText"/>
      </w:pPr>
      <w:r>
        <w:rPr>
          <w:rStyle w:val="FootnoteReference"/>
        </w:rPr>
        <w:footnoteRef/>
      </w:r>
      <w:r>
        <w:t xml:space="preserve"> </w:t>
      </w:r>
      <w:r w:rsidRPr="00B32183">
        <w:rPr>
          <w:i/>
        </w:rPr>
        <w:t xml:space="preserve">See </w:t>
      </w:r>
      <w:r>
        <w:t>31 CFR 1022.380(b)(4).</w:t>
      </w:r>
    </w:p>
  </w:footnote>
  <w:footnote w:id="14">
    <w:p w:rsidR="00431C61" w:rsidP="00431C61" w14:paraId="60E0CB18" w14:textId="77777777">
      <w:pPr>
        <w:pStyle w:val="FootnoteText"/>
      </w:pPr>
      <w:r>
        <w:rPr>
          <w:rStyle w:val="FootnoteReference"/>
        </w:rPr>
        <w:footnoteRef/>
      </w:r>
      <w:r>
        <w:t xml:space="preserve"> </w:t>
      </w:r>
      <w:r w:rsidRPr="00B32183">
        <w:rPr>
          <w:i/>
        </w:rPr>
        <w:t xml:space="preserve">See </w:t>
      </w:r>
      <w:r>
        <w:t>31 CFR 1010.430(d);</w:t>
      </w:r>
      <w:r w:rsidRPr="00B32183">
        <w:rPr>
          <w:i/>
        </w:rPr>
        <w:t xml:space="preserve"> </w:t>
      </w:r>
      <w:r>
        <w:t>31 CFR 1022.380(b)(1)(iii).</w:t>
      </w:r>
    </w:p>
  </w:footnote>
  <w:footnote w:id="15">
    <w:p w:rsidR="00F86AD7" w:rsidP="00F86AD7" w14:paraId="15F93B34" w14:textId="77777777">
      <w:pPr>
        <w:pStyle w:val="FootnoteText"/>
      </w:pPr>
      <w:r>
        <w:rPr>
          <w:rStyle w:val="FootnoteReference"/>
        </w:rPr>
        <w:footnoteRef/>
      </w:r>
      <w:r>
        <w:t xml:space="preserve"> </w:t>
      </w:r>
      <w:r w:rsidRPr="00920F31">
        <w:rPr>
          <w:i/>
        </w:rPr>
        <w:t>See</w:t>
      </w:r>
      <w:r>
        <w:t xml:space="preserve"> 31 CFR 1022.380(a)(3); </w:t>
      </w:r>
      <w:r>
        <w:rPr>
          <w:i/>
          <w:iCs/>
        </w:rPr>
        <w:t>see also</w:t>
      </w:r>
      <w:r>
        <w:t xml:space="preserve"> 31 CFR 1022.380(c).</w:t>
      </w:r>
    </w:p>
  </w:footnote>
  <w:footnote w:id="16">
    <w:p w:rsidR="00F86AD7" w:rsidP="00F86AD7" w14:paraId="1560EAF9" w14:textId="77777777">
      <w:pPr>
        <w:pStyle w:val="FootnoteText"/>
      </w:pPr>
      <w:r>
        <w:rPr>
          <w:rStyle w:val="FootnoteReference"/>
        </w:rPr>
        <w:footnoteRef/>
      </w:r>
      <w:r>
        <w:t xml:space="preserve"> </w:t>
      </w:r>
      <w:r w:rsidRPr="008A3BD3">
        <w:rPr>
          <w:i/>
        </w:rPr>
        <w:t>See</w:t>
      </w:r>
      <w:r>
        <w:t xml:space="preserve"> 31 CFR 1022.380(d)(1).</w:t>
      </w:r>
    </w:p>
  </w:footnote>
  <w:footnote w:id="17">
    <w:p w:rsidR="00F86AD7" w:rsidP="00F86AD7" w14:paraId="5482152D" w14:textId="77777777">
      <w:pPr>
        <w:pStyle w:val="FootnoteText"/>
      </w:pPr>
      <w:r>
        <w:rPr>
          <w:rStyle w:val="FootnoteReference"/>
        </w:rPr>
        <w:footnoteRef/>
      </w:r>
      <w:r>
        <w:t xml:space="preserve"> </w:t>
      </w:r>
      <w:r w:rsidRPr="00920F31">
        <w:rPr>
          <w:i/>
        </w:rPr>
        <w:t>See</w:t>
      </w:r>
      <w:r>
        <w:t xml:space="preserve"> 31 CFR 1022.380(d)(2)(</w:t>
      </w:r>
      <w:r>
        <w:t>i</w:t>
      </w:r>
      <w:r>
        <w:t>).</w:t>
      </w:r>
    </w:p>
  </w:footnote>
  <w:footnote w:id="18">
    <w:p w:rsidR="00F86AD7" w:rsidRPr="00355481" w:rsidP="00F86AD7" w14:paraId="1D7347F3" w14:textId="77777777">
      <w:pPr>
        <w:pStyle w:val="FootnoteText"/>
      </w:pPr>
      <w:r>
        <w:rPr>
          <w:rStyle w:val="FootnoteReference"/>
        </w:rPr>
        <w:footnoteRef/>
      </w:r>
      <w:r>
        <w:t xml:space="preserve"> </w:t>
      </w:r>
      <w:r w:rsidRPr="008A3BD3">
        <w:rPr>
          <w:i/>
        </w:rPr>
        <w:t>See</w:t>
      </w:r>
      <w:r>
        <w:t xml:space="preserve"> 31 CFR 1022.380(d)(1).  This is necessary because the regulations require an </w:t>
      </w:r>
      <w:r w:rsidRPr="78306FC0">
        <w:t xml:space="preserve">MSB </w:t>
      </w:r>
      <w:r>
        <w:t xml:space="preserve">to </w:t>
      </w:r>
      <w:r w:rsidRPr="78306FC0">
        <w:t xml:space="preserve">make </w:t>
      </w:r>
      <w:r>
        <w:t>its</w:t>
      </w:r>
      <w:r w:rsidRPr="78306FC0">
        <w:t xml:space="preserve"> list available, upon request, to FinCEN, an appropriate law enforcement agency, </w:t>
      </w:r>
      <w:r>
        <w:t>or</w:t>
      </w:r>
      <w:r w:rsidRPr="78306FC0">
        <w:t xml:space="preserve"> the examination function of the Internal Revenue Service, in its capacity as delegee of BSA examination authority.</w:t>
      </w:r>
      <w:r>
        <w:t xml:space="preserve">  </w:t>
      </w:r>
      <w:r w:rsidRPr="00D21368">
        <w:rPr>
          <w:i/>
          <w:iCs/>
        </w:rPr>
        <w:t>Id.</w:t>
      </w:r>
    </w:p>
  </w:footnote>
  <w:footnote w:id="19">
    <w:p w:rsidR="008D57EF" w:rsidRPr="00BF5538" w:rsidP="008D57EF" w14:paraId="0BD8CD28" w14:textId="0DBD4DFF">
      <w:pPr>
        <w:pStyle w:val="FootnoteText"/>
        <w:rPr>
          <w:i/>
        </w:rPr>
      </w:pPr>
      <w:r w:rsidRPr="0030167A">
        <w:rPr>
          <w:rStyle w:val="FootnoteReference"/>
          <w:rFonts w:eastAsiaTheme="majorEastAsia"/>
        </w:rPr>
        <w:footnoteRef/>
      </w:r>
      <w:r w:rsidRPr="0030167A">
        <w:t xml:space="preserve"> </w:t>
      </w:r>
      <w:r w:rsidRPr="001979CE" w:rsidR="00D86907">
        <w:rPr>
          <w:i/>
        </w:rPr>
        <w:t xml:space="preserve">See </w:t>
      </w:r>
      <w:r w:rsidR="0088114B">
        <w:rPr>
          <w:iCs/>
        </w:rPr>
        <w:t xml:space="preserve">FinCEN, </w:t>
      </w:r>
      <w:r w:rsidRPr="008131CC" w:rsidR="0088114B">
        <w:rPr>
          <w:i/>
        </w:rPr>
        <w:t>Agency Information Collection Activities; Proposed Renewal; Comment Request</w:t>
      </w:r>
      <w:r w:rsidRPr="008131CC" w:rsidR="00041F3B">
        <w:rPr>
          <w:i/>
        </w:rPr>
        <w:t>;</w:t>
      </w:r>
      <w:r w:rsidRPr="008131CC" w:rsidR="0088114B">
        <w:rPr>
          <w:i/>
        </w:rPr>
        <w:t xml:space="preserve"> Renewal </w:t>
      </w:r>
      <w:r w:rsidRPr="008131CC" w:rsidR="00041F3B">
        <w:rPr>
          <w:i/>
        </w:rPr>
        <w:t>Without Change of the Registration of Money Services Businesses Regulation and FinCEN Form 107</w:t>
      </w:r>
      <w:r w:rsidR="00041F3B">
        <w:rPr>
          <w:iCs/>
        </w:rPr>
        <w:t>,</w:t>
      </w:r>
      <w:r w:rsidR="008131CC">
        <w:rPr>
          <w:iCs/>
        </w:rPr>
        <w:t xml:space="preserve"> </w:t>
      </w:r>
      <w:hyperlink r:id="rId2" w:history="1">
        <w:r w:rsidRPr="003A4E20" w:rsidR="008131CC">
          <w:rPr>
            <w:rStyle w:val="Hyperlink"/>
            <w:iCs/>
            <w:u w:val="none"/>
          </w:rPr>
          <w:t>91 FR 23348</w:t>
        </w:r>
      </w:hyperlink>
      <w:r w:rsidR="006E2300">
        <w:rPr>
          <w:iCs/>
        </w:rPr>
        <w:t xml:space="preserve"> (Apr. 30, 2026) </w:t>
      </w:r>
      <w:r w:rsidR="0046610C">
        <w:rPr>
          <w:iCs/>
        </w:rPr>
        <w:t xml:space="preserve">(RMSB </w:t>
      </w:r>
      <w:r w:rsidR="00BF5538">
        <w:rPr>
          <w:iCs/>
        </w:rPr>
        <w:t>Renewal Notice).</w:t>
      </w:r>
    </w:p>
  </w:footnote>
  <w:footnote w:id="20">
    <w:p w:rsidR="00D3470B" w14:paraId="57938DDE" w14:textId="51FFDD91">
      <w:pPr>
        <w:pStyle w:val="FootnoteText"/>
      </w:pPr>
      <w:r>
        <w:rPr>
          <w:rStyle w:val="FootnoteReference"/>
        </w:rPr>
        <w:footnoteRef/>
      </w:r>
      <w:r>
        <w:t xml:space="preserve"> </w:t>
      </w:r>
      <w:r w:rsidRPr="00E75091">
        <w:rPr>
          <w:i/>
          <w:iCs/>
        </w:rPr>
        <w:t>See</w:t>
      </w:r>
      <w:r w:rsidR="00D83610">
        <w:rPr>
          <w:i/>
          <w:iCs/>
        </w:rPr>
        <w:t xml:space="preserve"> </w:t>
      </w:r>
      <w:r w:rsidRPr="00D83610" w:rsidR="00D83610">
        <w:t>Comments on Agency Information Collection Activities; Proposed Renewal; Comment Request; Renewal Without Change of the Registration of Money Services Businesses Regulation and FinCEN Form 107, Docket No. FINCEN-2026-0133, Regulations.gov,</w:t>
      </w:r>
      <w:r>
        <w:t xml:space="preserve"> </w:t>
      </w:r>
      <w:hyperlink r:id="rId3" w:history="1">
        <w:r w:rsidRPr="00832EED">
          <w:rPr>
            <w:rStyle w:val="Hyperlink"/>
          </w:rPr>
          <w:t>https://www.regulations.gov/document/FINCEN-2026-0133-0001/comment</w:t>
        </w:r>
      </w:hyperlink>
      <w:r>
        <w:t>.</w:t>
      </w:r>
    </w:p>
  </w:footnote>
  <w:footnote w:id="21">
    <w:p w:rsidR="00D8681C" w:rsidRPr="009C64C0" w:rsidP="00D8681C" w14:paraId="197CE94C" w14:textId="77777777">
      <w:pPr>
        <w:pStyle w:val="HTMLPreformatted"/>
        <w:shd w:val="clear" w:color="auto" w:fill="FFFFFF"/>
      </w:pPr>
      <w:r w:rsidRPr="00174E5C">
        <w:rPr>
          <w:rStyle w:val="FootnoteReference"/>
          <w:rFonts w:ascii="Times New Roman" w:hAnsi="Times New Roman" w:cs="Times New Roman"/>
        </w:rPr>
        <w:footnoteRef/>
      </w:r>
      <w:r>
        <w:rPr>
          <w:rFonts w:ascii="Times New Roman" w:eastAsia="Courier New" w:hAnsi="Times New Roman"/>
          <w:lang w:eastAsia="x-none"/>
        </w:rPr>
        <w:t xml:space="preserve"> </w:t>
      </w:r>
      <w:r w:rsidRPr="004B3BE0">
        <w:rPr>
          <w:rFonts w:ascii="Times New Roman" w:eastAsia="Courier New" w:hAnsi="Times New Roman"/>
          <w:i/>
          <w:iCs/>
          <w:lang w:val="x-none" w:eastAsia="x-none"/>
        </w:rPr>
        <w:t>See</w:t>
      </w:r>
      <w:r w:rsidRPr="001F7618">
        <w:rPr>
          <w:rFonts w:ascii="Times New Roman" w:eastAsia="Courier New" w:hAnsi="Times New Roman"/>
          <w:lang w:eastAsia="x-none"/>
        </w:rPr>
        <w:t xml:space="preserve"> </w:t>
      </w:r>
      <w:r w:rsidRPr="001F7618">
        <w:rPr>
          <w:rFonts w:ascii="Times New Roman" w:eastAsia="Courier New" w:hAnsi="Times New Roman"/>
          <w:color w:val="000000"/>
          <w:lang w:val="x-none" w:eastAsia="x-none"/>
        </w:rPr>
        <w:t>FinCEN</w:t>
      </w:r>
      <w:r>
        <w:rPr>
          <w:rFonts w:ascii="Times New Roman" w:eastAsia="Courier New" w:hAnsi="Times New Roman"/>
          <w:color w:val="000000"/>
          <w:lang w:eastAsia="x-none"/>
        </w:rPr>
        <w:t xml:space="preserve">, </w:t>
      </w:r>
      <w:r>
        <w:rPr>
          <w:rFonts w:ascii="Times New Roman" w:eastAsia="Courier New" w:hAnsi="Times New Roman"/>
          <w:i/>
          <w:iCs/>
          <w:color w:val="000000"/>
          <w:lang w:eastAsia="x-none"/>
        </w:rPr>
        <w:t>Privacy Act of 1974, Systems of Records Notice</w:t>
      </w:r>
      <w:r>
        <w:rPr>
          <w:rFonts w:ascii="Times New Roman" w:eastAsia="Courier New" w:hAnsi="Times New Roman"/>
          <w:color w:val="000000"/>
          <w:lang w:eastAsia="x-none"/>
        </w:rPr>
        <w:t>,</w:t>
      </w:r>
      <w:r>
        <w:rPr>
          <w:rFonts w:ascii="Times New Roman" w:eastAsia="Courier New" w:hAnsi="Times New Roman"/>
          <w:lang w:eastAsia="x-none"/>
        </w:rPr>
        <w:t xml:space="preserve"> </w:t>
      </w:r>
      <w:hyperlink r:id="rId4" w:history="1">
        <w:r w:rsidRPr="003A4E20">
          <w:rPr>
            <w:rFonts w:ascii="Times New Roman" w:eastAsia="Courier New" w:hAnsi="Times New Roman"/>
            <w:lang w:val="x-none" w:eastAsia="x-none"/>
          </w:rPr>
          <w:t>79 FR 20969</w:t>
        </w:r>
      </w:hyperlink>
      <w:r w:rsidRPr="009C64C0">
        <w:rPr>
          <w:rFonts w:ascii="Times New Roman" w:eastAsia="Courier New" w:hAnsi="Times New Roman"/>
          <w:color w:val="0000FF"/>
          <w:lang w:eastAsia="x-none"/>
        </w:rPr>
        <w:t xml:space="preserve"> </w:t>
      </w:r>
      <w:r w:rsidRPr="009C64C0">
        <w:rPr>
          <w:rFonts w:ascii="Times New Roman" w:eastAsia="Courier New" w:hAnsi="Times New Roman"/>
          <w:lang w:eastAsia="x-none"/>
        </w:rPr>
        <w:t xml:space="preserve">(Apr. 14, 2014). </w:t>
      </w:r>
    </w:p>
  </w:footnote>
  <w:footnote w:id="22">
    <w:p w:rsidR="007E5672" w14:paraId="424E61AB" w14:textId="6DE13123">
      <w:pPr>
        <w:pStyle w:val="FootnoteText"/>
      </w:pPr>
      <w:r>
        <w:rPr>
          <w:rStyle w:val="FootnoteReference"/>
        </w:rPr>
        <w:footnoteRef/>
      </w:r>
      <w:r>
        <w:t xml:space="preserve"> </w:t>
      </w:r>
      <w:r w:rsidRPr="001979CE">
        <w:rPr>
          <w:i/>
          <w:iCs/>
        </w:rPr>
        <w:t>See</w:t>
      </w:r>
      <w:r>
        <w:t xml:space="preserve"> </w:t>
      </w:r>
      <w:r w:rsidR="00CA6AAB">
        <w:t>FinCEN</w:t>
      </w:r>
      <w:r w:rsidRPr="00032D76" w:rsidR="00032D76">
        <w:t xml:space="preserve">, </w:t>
      </w:r>
      <w:r w:rsidRPr="008B7A0C" w:rsidR="006A59AF">
        <w:rPr>
          <w:i/>
          <w:iCs/>
        </w:rPr>
        <w:t>MSB Registrant Search</w:t>
      </w:r>
      <w:r w:rsidRPr="00032D76" w:rsidR="00032D76">
        <w:t>,</w:t>
      </w:r>
      <w:r w:rsidR="006826D6">
        <w:t xml:space="preserve"> </w:t>
      </w:r>
      <w:hyperlink r:id="rId5" w:history="1">
        <w:r w:rsidRPr="001D1C6E" w:rsidR="0064337F">
          <w:rPr>
            <w:rStyle w:val="Hyperlink"/>
          </w:rPr>
          <w:t>https://www.fincen.gov/resources/msb-state-selector</w:t>
        </w:r>
      </w:hyperlink>
      <w:r w:rsidR="0064337F">
        <w:t xml:space="preserve">. </w:t>
      </w:r>
      <w:r w:rsidR="006826D6">
        <w:t xml:space="preserve"> </w:t>
      </w:r>
      <w:r w:rsidR="0047089D">
        <w:t>The MSB Registra</w:t>
      </w:r>
      <w:r w:rsidR="003A7A9F">
        <w:t>nt</w:t>
      </w:r>
      <w:r w:rsidR="0047089D">
        <w:t xml:space="preserve"> Search </w:t>
      </w:r>
      <w:r w:rsidR="003A7A9F">
        <w:t xml:space="preserve">page clarifies that the page </w:t>
      </w:r>
      <w:r w:rsidRPr="003A7A9F" w:rsidR="003A7A9F">
        <w:t>is a public information source that contains most entities that have a current registration as an MSB with F</w:t>
      </w:r>
      <w:r w:rsidR="003A7A9F">
        <w:t xml:space="preserve">inCEN. </w:t>
      </w:r>
      <w:r w:rsidRPr="003A7A9F" w:rsidR="003A7A9F">
        <w:t xml:space="preserve"> Previously registered MSBs that fail to renew their registration are not considered current and therefore are not included in the MSB Registrant Search</w:t>
      </w:r>
      <w:r w:rsidR="003A7A9F">
        <w:t xml:space="preserve">.  In addition, not every entity that has a current registration with FinCEN as an MSB is listed on the MSB Registrant Search because FinCEN may remove an entity from the public list for specific reasons that are included on the MSB Registrant </w:t>
      </w:r>
      <w:r w:rsidR="0024254A">
        <w:t>Search page</w:t>
      </w:r>
      <w:r w:rsidR="00F8572F">
        <w:t>.</w:t>
      </w:r>
    </w:p>
  </w:footnote>
  <w:footnote w:id="23">
    <w:p w:rsidR="005D352C" w:rsidRPr="008D135F" w:rsidP="005D352C" w14:paraId="090BA028" w14:textId="14CC5F62">
      <w:pPr>
        <w:pStyle w:val="FootnoteText"/>
        <w:rPr>
          <w:i/>
          <w:iCs/>
        </w:rPr>
      </w:pPr>
      <w:r w:rsidRPr="008D135F">
        <w:rPr>
          <w:rStyle w:val="FootnoteReference"/>
          <w:rFonts w:eastAsiaTheme="majorEastAsia"/>
        </w:rPr>
        <w:footnoteRef/>
      </w:r>
      <w:r w:rsidRPr="008D135F">
        <w:t xml:space="preserve"> </w:t>
      </w:r>
      <w:r w:rsidR="00BF5538">
        <w:rPr>
          <w:i/>
          <w:iCs/>
        </w:rPr>
        <w:t xml:space="preserve">See supra note </w:t>
      </w:r>
      <w:r w:rsidR="00B5464B">
        <w:t>2</w:t>
      </w:r>
      <w:r w:rsidR="00781054">
        <w:t>0</w:t>
      </w:r>
      <w:r w:rsidRPr="00BF5538" w:rsidR="00BF5538">
        <w:t>.</w:t>
      </w:r>
    </w:p>
  </w:footnote>
  <w:footnote w:id="24">
    <w:p w:rsidR="00A01A30" w:rsidP="00A01A30" w14:paraId="2390FB16" w14:textId="394D0933">
      <w:pPr>
        <w:pStyle w:val="FootnoteText"/>
      </w:pPr>
      <w:r>
        <w:rPr>
          <w:rStyle w:val="FootnoteReference"/>
          <w:rFonts w:eastAsiaTheme="majorEastAsia"/>
        </w:rPr>
        <w:footnoteRef/>
      </w:r>
      <w:r>
        <w:t xml:space="preserve"> FinCEN’s estimate of potential respondents is based on a count of those MSBs </w:t>
      </w:r>
      <w:r w:rsidR="00550600">
        <w:t>that appear to</w:t>
      </w:r>
      <w:r>
        <w:t xml:space="preserve"> operat</w:t>
      </w:r>
      <w:r w:rsidR="00550600">
        <w:t>e</w:t>
      </w:r>
      <w:r>
        <w:t xml:space="preserve"> in a capacity as principal MSBs, including but not limited to at least one registration filing within the most recent three calendar years.  Because agents are not typically subject to registration requirements, they are generally excluded from the population of expected respondents.</w:t>
      </w:r>
      <w:r w:rsidR="00CC7E99">
        <w:t xml:space="preserve">  </w:t>
      </w:r>
      <w:r w:rsidRPr="002C0508" w:rsidR="00CC7E99">
        <w:rPr>
          <w:i/>
          <w:iCs/>
        </w:rPr>
        <w:t>See</w:t>
      </w:r>
      <w:r w:rsidR="00CC7E99">
        <w:t xml:space="preserve"> </w:t>
      </w:r>
      <w:r w:rsidR="00BF5538">
        <w:t>RMSB Renewal Notice</w:t>
      </w:r>
      <w:r w:rsidR="006A59AF">
        <w:t>,</w:t>
      </w:r>
      <w:r w:rsidR="00967CEE">
        <w:t xml:space="preserve"> a</w:t>
      </w:r>
      <w:r w:rsidR="00767C5E">
        <w:t xml:space="preserve">t section </w:t>
      </w:r>
      <w:r w:rsidR="00CB7AA4">
        <w:t>II</w:t>
      </w:r>
      <w:r w:rsidR="00767C5E">
        <w:t>.</w:t>
      </w:r>
    </w:p>
  </w:footnote>
  <w:footnote w:id="25">
    <w:p w:rsidR="00ED1EE3" w:rsidRPr="002B25D7" w:rsidP="00ED1EE3" w14:paraId="67C4A102" w14:textId="5497B1A8">
      <w:pPr>
        <w:pStyle w:val="FootnoteText"/>
      </w:pPr>
      <w:r>
        <w:rPr>
          <w:rStyle w:val="FootnoteReference"/>
          <w:rFonts w:eastAsiaTheme="majorEastAsia"/>
        </w:rPr>
        <w:footnoteRef/>
      </w:r>
      <w:r>
        <w:t xml:space="preserve"> </w:t>
      </w:r>
      <w:r w:rsidRPr="002C0508" w:rsidR="00DF0CA1">
        <w:rPr>
          <w:i/>
          <w:iCs/>
        </w:rPr>
        <w:t>See</w:t>
      </w:r>
      <w:r w:rsidR="00DF0CA1">
        <w:t xml:space="preserve"> RMSB Renewal Notice at section II; </w:t>
      </w:r>
      <w:r w:rsidR="00DF0CA1">
        <w:rPr>
          <w:i/>
          <w:iCs/>
        </w:rPr>
        <w:t>see specifically</w:t>
      </w:r>
      <w:r w:rsidR="00DF0CA1">
        <w:t xml:space="preserve"> table 1 endnote b.</w:t>
      </w:r>
    </w:p>
  </w:footnote>
  <w:footnote w:id="26">
    <w:p w:rsidR="009777BD" w14:paraId="08524BE0" w14:textId="06BAE116">
      <w:pPr>
        <w:pStyle w:val="FootnoteText"/>
      </w:pPr>
      <w:r>
        <w:rPr>
          <w:rStyle w:val="FootnoteReference"/>
        </w:rPr>
        <w:footnoteRef/>
      </w:r>
      <w:r>
        <w:t xml:space="preserve"> </w:t>
      </w:r>
      <w:r w:rsidRPr="002C0508">
        <w:rPr>
          <w:i/>
          <w:iCs/>
        </w:rPr>
        <w:t>See</w:t>
      </w:r>
      <w:r>
        <w:t xml:space="preserve"> </w:t>
      </w:r>
      <w:r w:rsidR="005D0CEF">
        <w:t>RMSB Renewal Notice</w:t>
      </w:r>
      <w:r w:rsidR="006A59AF">
        <w:t>,</w:t>
      </w:r>
      <w:r>
        <w:t xml:space="preserve"> at section II.</w:t>
      </w:r>
    </w:p>
  </w:footnote>
  <w:footnote w:id="27">
    <w:p w:rsidR="00B95C6D" w:rsidRPr="00BE537F" w:rsidP="00B95C6D" w14:paraId="6D1D9E36" w14:textId="5AE507EE">
      <w:pPr>
        <w:pStyle w:val="FootnoteText"/>
      </w:pPr>
      <w:r w:rsidRPr="00BE537F">
        <w:rPr>
          <w:rStyle w:val="FootnoteReference"/>
        </w:rPr>
        <w:footnoteRef/>
      </w:r>
      <w:r w:rsidRPr="00BE537F">
        <w:t xml:space="preserve"> </w:t>
      </w:r>
      <w:r w:rsidRPr="00404A6F" w:rsidR="00C3479C">
        <w:t xml:space="preserve">To arrive at this wage rate, FinCEN first derives a general composite hourly wage of $87.61 using Bureau of Labor Statistics (BLS) May 2024 mean wage data.  </w:t>
      </w:r>
      <w:r w:rsidRPr="00404A6F" w:rsidR="00C3479C">
        <w:rPr>
          <w:i/>
          <w:iCs/>
        </w:rPr>
        <w:t xml:space="preserve">See </w:t>
      </w:r>
      <w:r w:rsidR="006A59AF">
        <w:t xml:space="preserve">BLS, </w:t>
      </w:r>
      <w:r w:rsidRPr="00404A6F" w:rsidR="00C3479C">
        <w:rPr>
          <w:i/>
          <w:iCs/>
        </w:rPr>
        <w:t>May 2024—National industry-specific and by ownership</w:t>
      </w:r>
      <w:r w:rsidRPr="00404A6F" w:rsidR="00C3479C">
        <w:t xml:space="preserve">, </w:t>
      </w:r>
      <w:hyperlink r:id="rId6" w:history="1">
        <w:r w:rsidRPr="00404A6F" w:rsidR="00C3479C">
          <w:rPr>
            <w:rStyle w:val="Hyperlink"/>
            <w:rFonts w:eastAsiaTheme="minorEastAsia"/>
          </w:rPr>
          <w:t>https://www.bls.gov/oes/tables.htm</w:t>
        </w:r>
      </w:hyperlink>
      <w:r w:rsidRPr="00404A6F" w:rsidR="00C3479C">
        <w:t xml:space="preserve">.  This composite is calculated by averaging wages across six occupations (11-1010, 11-3021, 11-3031, 13-1041, 23-1010, and 43-3099) and nine groupings of North American Industry Classification System codes that are most comparable to the 11 categories of affected financial institutions in 31 CFR parts 1020–1030.  FinCEN then adjusts this base wage to reflect total employer costs, including benefits.  To do so, it applies a private sector benefits factor of 1.42, calculated from BLS Employer Costs for Employee Compensation data for private industry workers as of June 2024 (total compensation of $43.94 divided by wages and salaries of $30.90).  </w:t>
      </w:r>
      <w:r w:rsidRPr="00404A6F" w:rsidR="00C3479C">
        <w:rPr>
          <w:i/>
          <w:iCs/>
        </w:rPr>
        <w:t>Employer Costs for Employee Compensation</w:t>
      </w:r>
      <w:r w:rsidRPr="00404A6F" w:rsidR="00C3479C">
        <w:t xml:space="preserve"> data, </w:t>
      </w:r>
      <w:hyperlink r:id="rId7" w:history="1">
        <w:r w:rsidRPr="00404A6F" w:rsidR="00C3479C">
          <w:rPr>
            <w:rStyle w:val="Hyperlink"/>
            <w:rFonts w:eastAsiaTheme="minorEastAsia"/>
          </w:rPr>
          <w:t>https://www.bls.gov/news.release/archives/ecec_09102024.pdf</w:t>
        </w:r>
      </w:hyperlink>
      <w:r w:rsidRPr="00404A6F" w:rsidR="00C3479C">
        <w:t xml:space="preserve">.  Applying this factor to the composite wage results in a fully loaded hourly rate of $124.58 ($87.61 × 1.42), which reflects total compensation, including benefits such as insurance and paid leave.  </w:t>
      </w:r>
    </w:p>
  </w:footnote>
  <w:footnote w:id="28">
    <w:p w:rsidR="00A5041B" w:rsidRPr="00636D8D" w:rsidP="00A5041B" w14:paraId="1AD29207" w14:textId="158DD87B">
      <w:pPr>
        <w:pStyle w:val="FootnoteText"/>
      </w:pPr>
      <w:r w:rsidRPr="00636D8D">
        <w:rPr>
          <w:rStyle w:val="FootnoteReference"/>
        </w:rPr>
        <w:footnoteRef/>
      </w:r>
      <w:r w:rsidRPr="00636D8D">
        <w:rPr>
          <w:rFonts w:eastAsia="Aptos"/>
          <w:kern w:val="2"/>
        </w:rPr>
        <w:t xml:space="preserve"> Th</w:t>
      </w:r>
      <w:r>
        <w:rPr>
          <w:rFonts w:eastAsia="Aptos"/>
          <w:kern w:val="2"/>
        </w:rPr>
        <w:t>ese</w:t>
      </w:r>
      <w:r w:rsidRPr="00636D8D">
        <w:rPr>
          <w:rFonts w:eastAsia="Aptos"/>
          <w:kern w:val="2"/>
        </w:rPr>
        <w:t xml:space="preserve"> per-respondent cost</w:t>
      </w:r>
      <w:r>
        <w:rPr>
          <w:rFonts w:eastAsia="Aptos"/>
          <w:kern w:val="2"/>
        </w:rPr>
        <w:t>s</w:t>
      </w:r>
      <w:r w:rsidRPr="00636D8D">
        <w:rPr>
          <w:rFonts w:eastAsia="Aptos"/>
          <w:kern w:val="2"/>
        </w:rPr>
        <w:t xml:space="preserve"> account for storage and technology costs associated with recordkeeping.</w:t>
      </w:r>
      <w:r>
        <w:rPr>
          <w:rFonts w:eastAsia="Aptos"/>
          <w:kern w:val="2"/>
        </w:rPr>
        <w:t xml:space="preserve">  FinCEN applies a per-record cost of $0.10 to the number of responses per respondent for each </w:t>
      </w:r>
      <w:r w:rsidR="00F4753B">
        <w:rPr>
          <w:rFonts w:eastAsia="Aptos"/>
          <w:kern w:val="2"/>
        </w:rPr>
        <w:t>of the three activities.</w:t>
      </w:r>
      <w:r w:rsidRPr="00636D8D">
        <w:rPr>
          <w:rFonts w:eastAsia="Aptos"/>
          <w:kern w:val="2"/>
        </w:rPr>
        <w:t xml:space="preserve">  </w:t>
      </w:r>
      <w:r w:rsidRPr="002B1793" w:rsidR="00F96773">
        <w:rPr>
          <w:i/>
          <w:iCs/>
        </w:rPr>
        <w:t>See</w:t>
      </w:r>
      <w:r w:rsidRPr="00F96773" w:rsidR="00F96773">
        <w:t xml:space="preserve"> </w:t>
      </w:r>
      <w:r w:rsidR="005D0CEF">
        <w:t xml:space="preserve">RMSB Renewal Notice </w:t>
      </w:r>
      <w:r w:rsidR="00F96773">
        <w:t>at section II.</w:t>
      </w:r>
    </w:p>
  </w:footnote>
  <w:footnote w:id="29">
    <w:p w:rsidR="00AB6228" w14:paraId="6BE2754B" w14:textId="1AA8CB56">
      <w:pPr>
        <w:pStyle w:val="FootnoteText"/>
      </w:pPr>
      <w:r>
        <w:rPr>
          <w:rStyle w:val="FootnoteReference"/>
        </w:rPr>
        <w:footnoteRef/>
      </w:r>
      <w:r>
        <w:t xml:space="preserve"> </w:t>
      </w:r>
      <w:r w:rsidRPr="00130685">
        <w:rPr>
          <w:i/>
          <w:iCs/>
        </w:rPr>
        <w:t>See supra note</w:t>
      </w:r>
      <w:r>
        <w:t xml:space="preserve"> 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60DF7"/>
    <w:multiLevelType w:val="hybridMultilevel"/>
    <w:tmpl w:val="D540A78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57D371C"/>
    <w:multiLevelType w:val="hybridMultilevel"/>
    <w:tmpl w:val="2E18CBC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B7E7FD1"/>
    <w:multiLevelType w:val="hybridMultilevel"/>
    <w:tmpl w:val="CBB45CBE"/>
    <w:lvl w:ilvl="0">
      <w:start w:val="1"/>
      <w:numFmt w:val="lowerLetter"/>
      <w:lvlText w:val="(%1)"/>
      <w:lvlJc w:val="left"/>
      <w:pPr>
        <w:ind w:left="1080" w:hanging="360"/>
      </w:pPr>
      <w:rPr>
        <w:rFonts w:hint="default"/>
      </w:rPr>
    </w:lvl>
    <w:lvl w:ilvl="1">
      <w:start w:val="1"/>
      <w:numFmt w:val="decimal"/>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161735E9"/>
    <w:multiLevelType w:val="hybridMultilevel"/>
    <w:tmpl w:val="F9F8212A"/>
    <w:lvl w:ilvl="0">
      <w:start w:val="0"/>
      <w:numFmt w:val="bullet"/>
      <w:lvlText w:val=""/>
      <w:lvlJc w:val="left"/>
      <w:pPr>
        <w:ind w:left="720" w:hanging="360"/>
      </w:pPr>
      <w:rPr>
        <w:rFonts w:ascii="Symbol" w:hAnsi="Symbol" w:eastAsiaTheme="minorEastAsia"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D8D5DDB"/>
    <w:multiLevelType w:val="hybridMultilevel"/>
    <w:tmpl w:val="A6C2F6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6BD66CF"/>
    <w:multiLevelType w:val="hybridMultilevel"/>
    <w:tmpl w:val="5C800E0E"/>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rPr>
        <w:rFonts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287E29FF"/>
    <w:multiLevelType w:val="hybridMultilevel"/>
    <w:tmpl w:val="A212FAB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357A3BBF"/>
    <w:multiLevelType w:val="hybridMultilevel"/>
    <w:tmpl w:val="8E4A4F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FC22694"/>
    <w:multiLevelType w:val="hybridMultilevel"/>
    <w:tmpl w:val="67386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4831039"/>
    <w:multiLevelType w:val="hybridMultilevel"/>
    <w:tmpl w:val="E38290B0"/>
    <w:lvl w:ilvl="0">
      <w:start w:val="0"/>
      <w:numFmt w:val="bullet"/>
      <w:lvlText w:val=""/>
      <w:lvlJc w:val="left"/>
      <w:pPr>
        <w:ind w:left="720" w:hanging="360"/>
      </w:pPr>
      <w:rPr>
        <w:rFonts w:ascii="Symbol" w:eastAsia="MS Mincho"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6A4165F"/>
    <w:multiLevelType w:val="hybridMultilevel"/>
    <w:tmpl w:val="EADC963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7D834CC"/>
    <w:multiLevelType w:val="hybridMultilevel"/>
    <w:tmpl w:val="8FD41EC8"/>
    <w:lvl w:ilvl="0">
      <w:start w:val="0"/>
      <w:numFmt w:val="bullet"/>
      <w:lvlText w:val=""/>
      <w:lvlJc w:val="left"/>
      <w:pPr>
        <w:ind w:left="720" w:hanging="360"/>
      </w:pPr>
      <w:rPr>
        <w:rFonts w:ascii="Symbol" w:hAnsi="Symbol" w:eastAsiaTheme="minorEastAsi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6D104AD"/>
    <w:multiLevelType w:val="hybridMultilevel"/>
    <w:tmpl w:val="460224C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593247634">
    <w:abstractNumId w:val="8"/>
  </w:num>
  <w:num w:numId="2" w16cid:durableId="1178079767">
    <w:abstractNumId w:val="6"/>
  </w:num>
  <w:num w:numId="3" w16cid:durableId="1734547058">
    <w:abstractNumId w:val="7"/>
  </w:num>
  <w:num w:numId="4" w16cid:durableId="508256726">
    <w:abstractNumId w:val="9"/>
  </w:num>
  <w:num w:numId="5" w16cid:durableId="1131820865">
    <w:abstractNumId w:val="0"/>
  </w:num>
  <w:num w:numId="6" w16cid:durableId="2075852913">
    <w:abstractNumId w:val="4"/>
  </w:num>
  <w:num w:numId="7" w16cid:durableId="1064526070">
    <w:abstractNumId w:val="11"/>
  </w:num>
  <w:num w:numId="8" w16cid:durableId="2080981165">
    <w:abstractNumId w:val="2"/>
  </w:num>
  <w:num w:numId="9" w16cid:durableId="2069375409">
    <w:abstractNumId w:val="3"/>
  </w:num>
  <w:num w:numId="10" w16cid:durableId="1344043699">
    <w:abstractNumId w:val="12"/>
  </w:num>
  <w:num w:numId="11" w16cid:durableId="1795437572">
    <w:abstractNumId w:val="5"/>
  </w:num>
  <w:num w:numId="12" w16cid:durableId="1698508133">
    <w:abstractNumId w:val="1"/>
  </w:num>
  <w:num w:numId="13" w16cid:durableId="15928131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CA"/>
    <w:rsid w:val="00012FB2"/>
    <w:rsid w:val="00017EE3"/>
    <w:rsid w:val="00020FFF"/>
    <w:rsid w:val="00022903"/>
    <w:rsid w:val="000261FB"/>
    <w:rsid w:val="00026432"/>
    <w:rsid w:val="00031EEA"/>
    <w:rsid w:val="00032D76"/>
    <w:rsid w:val="00037741"/>
    <w:rsid w:val="00041F3B"/>
    <w:rsid w:val="00044397"/>
    <w:rsid w:val="00054E39"/>
    <w:rsid w:val="00056F5F"/>
    <w:rsid w:val="00073249"/>
    <w:rsid w:val="000776CD"/>
    <w:rsid w:val="0009337F"/>
    <w:rsid w:val="000945CB"/>
    <w:rsid w:val="000A242E"/>
    <w:rsid w:val="000A49BA"/>
    <w:rsid w:val="000B6738"/>
    <w:rsid w:val="000C5A9D"/>
    <w:rsid w:val="000C5E3C"/>
    <w:rsid w:val="000C6BF2"/>
    <w:rsid w:val="000D1259"/>
    <w:rsid w:val="000E0203"/>
    <w:rsid w:val="000F280D"/>
    <w:rsid w:val="00101DE2"/>
    <w:rsid w:val="001119AA"/>
    <w:rsid w:val="00112F90"/>
    <w:rsid w:val="00117CD2"/>
    <w:rsid w:val="00120B54"/>
    <w:rsid w:val="00125F83"/>
    <w:rsid w:val="00130685"/>
    <w:rsid w:val="0013071A"/>
    <w:rsid w:val="00133C03"/>
    <w:rsid w:val="00137021"/>
    <w:rsid w:val="001422D1"/>
    <w:rsid w:val="00143C5B"/>
    <w:rsid w:val="001454C1"/>
    <w:rsid w:val="00145A6B"/>
    <w:rsid w:val="00171A83"/>
    <w:rsid w:val="00174697"/>
    <w:rsid w:val="0018335D"/>
    <w:rsid w:val="00184484"/>
    <w:rsid w:val="00185BD5"/>
    <w:rsid w:val="00186D55"/>
    <w:rsid w:val="00192424"/>
    <w:rsid w:val="00192D91"/>
    <w:rsid w:val="001979CE"/>
    <w:rsid w:val="001A32B0"/>
    <w:rsid w:val="001A6B4D"/>
    <w:rsid w:val="001B1FB2"/>
    <w:rsid w:val="001B59BE"/>
    <w:rsid w:val="001B5E07"/>
    <w:rsid w:val="001C782D"/>
    <w:rsid w:val="001D064B"/>
    <w:rsid w:val="001D11B2"/>
    <w:rsid w:val="001D165D"/>
    <w:rsid w:val="001D1C6E"/>
    <w:rsid w:val="001D3408"/>
    <w:rsid w:val="001D4888"/>
    <w:rsid w:val="001D49DE"/>
    <w:rsid w:val="001E060C"/>
    <w:rsid w:val="001E61BC"/>
    <w:rsid w:val="001E7043"/>
    <w:rsid w:val="001E77B7"/>
    <w:rsid w:val="001E78BB"/>
    <w:rsid w:val="001E7AC3"/>
    <w:rsid w:val="001F3086"/>
    <w:rsid w:val="001F7618"/>
    <w:rsid w:val="00201625"/>
    <w:rsid w:val="00203EE1"/>
    <w:rsid w:val="002110C7"/>
    <w:rsid w:val="00212816"/>
    <w:rsid w:val="0021468C"/>
    <w:rsid w:val="0022256E"/>
    <w:rsid w:val="00225464"/>
    <w:rsid w:val="0023038A"/>
    <w:rsid w:val="00231081"/>
    <w:rsid w:val="00235218"/>
    <w:rsid w:val="002376AB"/>
    <w:rsid w:val="00240CCA"/>
    <w:rsid w:val="0024254A"/>
    <w:rsid w:val="0024380E"/>
    <w:rsid w:val="00244C33"/>
    <w:rsid w:val="00244FD1"/>
    <w:rsid w:val="00255D5D"/>
    <w:rsid w:val="00256EC8"/>
    <w:rsid w:val="002610CE"/>
    <w:rsid w:val="002659CB"/>
    <w:rsid w:val="002776F1"/>
    <w:rsid w:val="002806E5"/>
    <w:rsid w:val="002828A8"/>
    <w:rsid w:val="00282A21"/>
    <w:rsid w:val="00284401"/>
    <w:rsid w:val="00284AB9"/>
    <w:rsid w:val="00291E36"/>
    <w:rsid w:val="0029211E"/>
    <w:rsid w:val="002A275C"/>
    <w:rsid w:val="002A409D"/>
    <w:rsid w:val="002B039A"/>
    <w:rsid w:val="002B1793"/>
    <w:rsid w:val="002B25D7"/>
    <w:rsid w:val="002C0508"/>
    <w:rsid w:val="002C1656"/>
    <w:rsid w:val="002C27FC"/>
    <w:rsid w:val="002C67F8"/>
    <w:rsid w:val="002C6EA8"/>
    <w:rsid w:val="002C73EE"/>
    <w:rsid w:val="002D7992"/>
    <w:rsid w:val="002E020E"/>
    <w:rsid w:val="002F0393"/>
    <w:rsid w:val="00300EC2"/>
    <w:rsid w:val="0030167A"/>
    <w:rsid w:val="00302428"/>
    <w:rsid w:val="003214A2"/>
    <w:rsid w:val="003219F9"/>
    <w:rsid w:val="00331700"/>
    <w:rsid w:val="00336DF0"/>
    <w:rsid w:val="00344A52"/>
    <w:rsid w:val="003470E3"/>
    <w:rsid w:val="0034788C"/>
    <w:rsid w:val="003544EB"/>
    <w:rsid w:val="00355481"/>
    <w:rsid w:val="00355A57"/>
    <w:rsid w:val="00361CD5"/>
    <w:rsid w:val="00362741"/>
    <w:rsid w:val="00365D4B"/>
    <w:rsid w:val="00366A3C"/>
    <w:rsid w:val="00366FFE"/>
    <w:rsid w:val="00370253"/>
    <w:rsid w:val="003709EB"/>
    <w:rsid w:val="00370A6F"/>
    <w:rsid w:val="00372197"/>
    <w:rsid w:val="00372FE9"/>
    <w:rsid w:val="003802A7"/>
    <w:rsid w:val="00382338"/>
    <w:rsid w:val="003A08F6"/>
    <w:rsid w:val="003A3147"/>
    <w:rsid w:val="003A4E20"/>
    <w:rsid w:val="003A7A9F"/>
    <w:rsid w:val="003A7D40"/>
    <w:rsid w:val="003B3E90"/>
    <w:rsid w:val="003B4305"/>
    <w:rsid w:val="003C0940"/>
    <w:rsid w:val="003C1084"/>
    <w:rsid w:val="003C3EA7"/>
    <w:rsid w:val="003D1B30"/>
    <w:rsid w:val="003D47BB"/>
    <w:rsid w:val="003E5D40"/>
    <w:rsid w:val="00404A6F"/>
    <w:rsid w:val="0042666F"/>
    <w:rsid w:val="00430EFC"/>
    <w:rsid w:val="00431C61"/>
    <w:rsid w:val="00434455"/>
    <w:rsid w:val="0043697F"/>
    <w:rsid w:val="00442B6A"/>
    <w:rsid w:val="00444373"/>
    <w:rsid w:val="0046610C"/>
    <w:rsid w:val="0047089D"/>
    <w:rsid w:val="00472814"/>
    <w:rsid w:val="00473655"/>
    <w:rsid w:val="00483385"/>
    <w:rsid w:val="00492CB8"/>
    <w:rsid w:val="0049398C"/>
    <w:rsid w:val="004A29A4"/>
    <w:rsid w:val="004A4EEC"/>
    <w:rsid w:val="004A642E"/>
    <w:rsid w:val="004B3BE0"/>
    <w:rsid w:val="004C4690"/>
    <w:rsid w:val="004D0D8C"/>
    <w:rsid w:val="004D2B32"/>
    <w:rsid w:val="004E3FE0"/>
    <w:rsid w:val="004E5ED9"/>
    <w:rsid w:val="004F073E"/>
    <w:rsid w:val="004F3E3E"/>
    <w:rsid w:val="00501064"/>
    <w:rsid w:val="005037C3"/>
    <w:rsid w:val="00513245"/>
    <w:rsid w:val="005204E6"/>
    <w:rsid w:val="00526142"/>
    <w:rsid w:val="00526268"/>
    <w:rsid w:val="00537585"/>
    <w:rsid w:val="00542824"/>
    <w:rsid w:val="005455E3"/>
    <w:rsid w:val="005479C7"/>
    <w:rsid w:val="00550600"/>
    <w:rsid w:val="00551ED1"/>
    <w:rsid w:val="005549E8"/>
    <w:rsid w:val="005563E9"/>
    <w:rsid w:val="00562421"/>
    <w:rsid w:val="00564839"/>
    <w:rsid w:val="005708ED"/>
    <w:rsid w:val="0057234A"/>
    <w:rsid w:val="005812CD"/>
    <w:rsid w:val="00582E70"/>
    <w:rsid w:val="00583024"/>
    <w:rsid w:val="005857F7"/>
    <w:rsid w:val="005863C0"/>
    <w:rsid w:val="0059035E"/>
    <w:rsid w:val="00590BBF"/>
    <w:rsid w:val="005C774D"/>
    <w:rsid w:val="005D08FB"/>
    <w:rsid w:val="005D0CEF"/>
    <w:rsid w:val="005D352C"/>
    <w:rsid w:val="005E3C0C"/>
    <w:rsid w:val="005F09F4"/>
    <w:rsid w:val="005F632A"/>
    <w:rsid w:val="006120DD"/>
    <w:rsid w:val="00615BB4"/>
    <w:rsid w:val="00621164"/>
    <w:rsid w:val="00627365"/>
    <w:rsid w:val="00627925"/>
    <w:rsid w:val="00630151"/>
    <w:rsid w:val="00636502"/>
    <w:rsid w:val="00636D8D"/>
    <w:rsid w:val="00642A16"/>
    <w:rsid w:val="0064337F"/>
    <w:rsid w:val="00675026"/>
    <w:rsid w:val="006813F3"/>
    <w:rsid w:val="006826D6"/>
    <w:rsid w:val="0068305F"/>
    <w:rsid w:val="00693418"/>
    <w:rsid w:val="006A1E8F"/>
    <w:rsid w:val="006A59AF"/>
    <w:rsid w:val="006A62E4"/>
    <w:rsid w:val="006B651F"/>
    <w:rsid w:val="006C0119"/>
    <w:rsid w:val="006C19A6"/>
    <w:rsid w:val="006E2300"/>
    <w:rsid w:val="006E58BC"/>
    <w:rsid w:val="006F6275"/>
    <w:rsid w:val="007012CD"/>
    <w:rsid w:val="00703709"/>
    <w:rsid w:val="00703726"/>
    <w:rsid w:val="007042A5"/>
    <w:rsid w:val="00704E87"/>
    <w:rsid w:val="00705799"/>
    <w:rsid w:val="0071149B"/>
    <w:rsid w:val="007249A7"/>
    <w:rsid w:val="00725870"/>
    <w:rsid w:val="0073439B"/>
    <w:rsid w:val="007366AB"/>
    <w:rsid w:val="00744309"/>
    <w:rsid w:val="0075163F"/>
    <w:rsid w:val="00752587"/>
    <w:rsid w:val="00756B68"/>
    <w:rsid w:val="00760330"/>
    <w:rsid w:val="007631F3"/>
    <w:rsid w:val="00767C5E"/>
    <w:rsid w:val="0077085C"/>
    <w:rsid w:val="007738F5"/>
    <w:rsid w:val="00777B80"/>
    <w:rsid w:val="00781054"/>
    <w:rsid w:val="00787B64"/>
    <w:rsid w:val="0079392A"/>
    <w:rsid w:val="007A7F76"/>
    <w:rsid w:val="007B09BE"/>
    <w:rsid w:val="007D02EC"/>
    <w:rsid w:val="007D116F"/>
    <w:rsid w:val="007D4378"/>
    <w:rsid w:val="007E2891"/>
    <w:rsid w:val="007E5672"/>
    <w:rsid w:val="007E6CAC"/>
    <w:rsid w:val="007E79CE"/>
    <w:rsid w:val="007F0010"/>
    <w:rsid w:val="007F672E"/>
    <w:rsid w:val="00801C2B"/>
    <w:rsid w:val="008105F8"/>
    <w:rsid w:val="008131CC"/>
    <w:rsid w:val="0081779D"/>
    <w:rsid w:val="00820086"/>
    <w:rsid w:val="00832EED"/>
    <w:rsid w:val="008362B0"/>
    <w:rsid w:val="00837D6A"/>
    <w:rsid w:val="00840499"/>
    <w:rsid w:val="008476E4"/>
    <w:rsid w:val="00854257"/>
    <w:rsid w:val="00855476"/>
    <w:rsid w:val="00863E6E"/>
    <w:rsid w:val="00877F6A"/>
    <w:rsid w:val="0088114B"/>
    <w:rsid w:val="00883D2C"/>
    <w:rsid w:val="00885EDB"/>
    <w:rsid w:val="00897CA0"/>
    <w:rsid w:val="008A3BD3"/>
    <w:rsid w:val="008B2464"/>
    <w:rsid w:val="008B3AEC"/>
    <w:rsid w:val="008B7A0C"/>
    <w:rsid w:val="008C22F3"/>
    <w:rsid w:val="008C3EC6"/>
    <w:rsid w:val="008C5F32"/>
    <w:rsid w:val="008D135F"/>
    <w:rsid w:val="008D57EF"/>
    <w:rsid w:val="008E2FB6"/>
    <w:rsid w:val="008E3414"/>
    <w:rsid w:val="008E41CD"/>
    <w:rsid w:val="008E576E"/>
    <w:rsid w:val="00900C63"/>
    <w:rsid w:val="00903ED9"/>
    <w:rsid w:val="00911B43"/>
    <w:rsid w:val="00920F31"/>
    <w:rsid w:val="009379BF"/>
    <w:rsid w:val="00941AC7"/>
    <w:rsid w:val="009440EE"/>
    <w:rsid w:val="00951812"/>
    <w:rsid w:val="00960016"/>
    <w:rsid w:val="00965DD3"/>
    <w:rsid w:val="00967519"/>
    <w:rsid w:val="00967CEE"/>
    <w:rsid w:val="0097125E"/>
    <w:rsid w:val="009744FA"/>
    <w:rsid w:val="009777BD"/>
    <w:rsid w:val="00983A85"/>
    <w:rsid w:val="0098622A"/>
    <w:rsid w:val="00993E0F"/>
    <w:rsid w:val="0099578C"/>
    <w:rsid w:val="00995C18"/>
    <w:rsid w:val="00996221"/>
    <w:rsid w:val="009A5A0D"/>
    <w:rsid w:val="009B2B3B"/>
    <w:rsid w:val="009B32D8"/>
    <w:rsid w:val="009C09E1"/>
    <w:rsid w:val="009C148E"/>
    <w:rsid w:val="009C64C0"/>
    <w:rsid w:val="009D17B8"/>
    <w:rsid w:val="009D1CBD"/>
    <w:rsid w:val="009E10AA"/>
    <w:rsid w:val="009F7AE0"/>
    <w:rsid w:val="00A01A30"/>
    <w:rsid w:val="00A0362D"/>
    <w:rsid w:val="00A03E6B"/>
    <w:rsid w:val="00A11549"/>
    <w:rsid w:val="00A121A4"/>
    <w:rsid w:val="00A1402E"/>
    <w:rsid w:val="00A20CCD"/>
    <w:rsid w:val="00A256D4"/>
    <w:rsid w:val="00A25C42"/>
    <w:rsid w:val="00A2618E"/>
    <w:rsid w:val="00A26E41"/>
    <w:rsid w:val="00A270DA"/>
    <w:rsid w:val="00A44D16"/>
    <w:rsid w:val="00A5041B"/>
    <w:rsid w:val="00A54C95"/>
    <w:rsid w:val="00A63567"/>
    <w:rsid w:val="00A6651B"/>
    <w:rsid w:val="00A67041"/>
    <w:rsid w:val="00A76CA8"/>
    <w:rsid w:val="00A87F0F"/>
    <w:rsid w:val="00A90507"/>
    <w:rsid w:val="00A90F46"/>
    <w:rsid w:val="00A968DA"/>
    <w:rsid w:val="00AA1CD2"/>
    <w:rsid w:val="00AB571C"/>
    <w:rsid w:val="00AB5B89"/>
    <w:rsid w:val="00AB6228"/>
    <w:rsid w:val="00AC17F1"/>
    <w:rsid w:val="00AC58BB"/>
    <w:rsid w:val="00AC5C9D"/>
    <w:rsid w:val="00AC5D0B"/>
    <w:rsid w:val="00AD1197"/>
    <w:rsid w:val="00AD206A"/>
    <w:rsid w:val="00AD2AAF"/>
    <w:rsid w:val="00AD7979"/>
    <w:rsid w:val="00AE132C"/>
    <w:rsid w:val="00AE291B"/>
    <w:rsid w:val="00AE3157"/>
    <w:rsid w:val="00B0051A"/>
    <w:rsid w:val="00B13FF0"/>
    <w:rsid w:val="00B1426C"/>
    <w:rsid w:val="00B1529A"/>
    <w:rsid w:val="00B15A68"/>
    <w:rsid w:val="00B2109A"/>
    <w:rsid w:val="00B22577"/>
    <w:rsid w:val="00B23D9E"/>
    <w:rsid w:val="00B313A9"/>
    <w:rsid w:val="00B32183"/>
    <w:rsid w:val="00B32321"/>
    <w:rsid w:val="00B43641"/>
    <w:rsid w:val="00B44ED6"/>
    <w:rsid w:val="00B461B2"/>
    <w:rsid w:val="00B47B04"/>
    <w:rsid w:val="00B5464B"/>
    <w:rsid w:val="00B55AFD"/>
    <w:rsid w:val="00B570FE"/>
    <w:rsid w:val="00B64F0A"/>
    <w:rsid w:val="00B70708"/>
    <w:rsid w:val="00B712EE"/>
    <w:rsid w:val="00B73D1C"/>
    <w:rsid w:val="00B746FC"/>
    <w:rsid w:val="00B7727F"/>
    <w:rsid w:val="00B77F79"/>
    <w:rsid w:val="00B80347"/>
    <w:rsid w:val="00B836D5"/>
    <w:rsid w:val="00B91449"/>
    <w:rsid w:val="00B95252"/>
    <w:rsid w:val="00B95C6D"/>
    <w:rsid w:val="00B9756C"/>
    <w:rsid w:val="00B97979"/>
    <w:rsid w:val="00BB1454"/>
    <w:rsid w:val="00BB4346"/>
    <w:rsid w:val="00BB780C"/>
    <w:rsid w:val="00BC0A4D"/>
    <w:rsid w:val="00BC1598"/>
    <w:rsid w:val="00BC2BB5"/>
    <w:rsid w:val="00BC378A"/>
    <w:rsid w:val="00BC58D3"/>
    <w:rsid w:val="00BE1313"/>
    <w:rsid w:val="00BE1899"/>
    <w:rsid w:val="00BE3509"/>
    <w:rsid w:val="00BE537F"/>
    <w:rsid w:val="00BE7878"/>
    <w:rsid w:val="00BF5538"/>
    <w:rsid w:val="00C07D99"/>
    <w:rsid w:val="00C10C13"/>
    <w:rsid w:val="00C13281"/>
    <w:rsid w:val="00C1769D"/>
    <w:rsid w:val="00C22015"/>
    <w:rsid w:val="00C3141A"/>
    <w:rsid w:val="00C31724"/>
    <w:rsid w:val="00C32E95"/>
    <w:rsid w:val="00C331C7"/>
    <w:rsid w:val="00C337DC"/>
    <w:rsid w:val="00C3479C"/>
    <w:rsid w:val="00C41816"/>
    <w:rsid w:val="00C43595"/>
    <w:rsid w:val="00C443D7"/>
    <w:rsid w:val="00C46643"/>
    <w:rsid w:val="00C47FFB"/>
    <w:rsid w:val="00C57028"/>
    <w:rsid w:val="00C85726"/>
    <w:rsid w:val="00C87387"/>
    <w:rsid w:val="00C87639"/>
    <w:rsid w:val="00C9062F"/>
    <w:rsid w:val="00CA40CB"/>
    <w:rsid w:val="00CA6AAB"/>
    <w:rsid w:val="00CB5271"/>
    <w:rsid w:val="00CB7AA4"/>
    <w:rsid w:val="00CC726F"/>
    <w:rsid w:val="00CC7E99"/>
    <w:rsid w:val="00CE4C72"/>
    <w:rsid w:val="00CE5988"/>
    <w:rsid w:val="00CF127C"/>
    <w:rsid w:val="00CF34E0"/>
    <w:rsid w:val="00D0047A"/>
    <w:rsid w:val="00D149ED"/>
    <w:rsid w:val="00D15FE6"/>
    <w:rsid w:val="00D17F20"/>
    <w:rsid w:val="00D21368"/>
    <w:rsid w:val="00D2326C"/>
    <w:rsid w:val="00D243C4"/>
    <w:rsid w:val="00D24D10"/>
    <w:rsid w:val="00D33E7F"/>
    <w:rsid w:val="00D3470B"/>
    <w:rsid w:val="00D36184"/>
    <w:rsid w:val="00D42CE8"/>
    <w:rsid w:val="00D45E26"/>
    <w:rsid w:val="00D46782"/>
    <w:rsid w:val="00D47366"/>
    <w:rsid w:val="00D5126F"/>
    <w:rsid w:val="00D554B3"/>
    <w:rsid w:val="00D63C44"/>
    <w:rsid w:val="00D66F4E"/>
    <w:rsid w:val="00D83610"/>
    <w:rsid w:val="00D8681C"/>
    <w:rsid w:val="00D86907"/>
    <w:rsid w:val="00D87670"/>
    <w:rsid w:val="00D93699"/>
    <w:rsid w:val="00D94A6F"/>
    <w:rsid w:val="00D95294"/>
    <w:rsid w:val="00D95F29"/>
    <w:rsid w:val="00D9782F"/>
    <w:rsid w:val="00D97B05"/>
    <w:rsid w:val="00D97B61"/>
    <w:rsid w:val="00DA0C10"/>
    <w:rsid w:val="00DA3316"/>
    <w:rsid w:val="00DB0526"/>
    <w:rsid w:val="00DB09EF"/>
    <w:rsid w:val="00DB1E0C"/>
    <w:rsid w:val="00DB7505"/>
    <w:rsid w:val="00DD2D66"/>
    <w:rsid w:val="00DE0857"/>
    <w:rsid w:val="00DE3C11"/>
    <w:rsid w:val="00DE5D5C"/>
    <w:rsid w:val="00DF0AFD"/>
    <w:rsid w:val="00DF0CA1"/>
    <w:rsid w:val="00DF7D6F"/>
    <w:rsid w:val="00E051EB"/>
    <w:rsid w:val="00E108F8"/>
    <w:rsid w:val="00E22A77"/>
    <w:rsid w:val="00E23F44"/>
    <w:rsid w:val="00E30DBE"/>
    <w:rsid w:val="00E31D5E"/>
    <w:rsid w:val="00E31D8E"/>
    <w:rsid w:val="00E36874"/>
    <w:rsid w:val="00E428A6"/>
    <w:rsid w:val="00E51E29"/>
    <w:rsid w:val="00E56649"/>
    <w:rsid w:val="00E65B1A"/>
    <w:rsid w:val="00E75091"/>
    <w:rsid w:val="00E76EC7"/>
    <w:rsid w:val="00E854DC"/>
    <w:rsid w:val="00E906C9"/>
    <w:rsid w:val="00EA1353"/>
    <w:rsid w:val="00EA4B52"/>
    <w:rsid w:val="00EA69FC"/>
    <w:rsid w:val="00EC08A0"/>
    <w:rsid w:val="00EC6F3D"/>
    <w:rsid w:val="00EC7C0B"/>
    <w:rsid w:val="00ED0B2C"/>
    <w:rsid w:val="00ED1EE3"/>
    <w:rsid w:val="00EE397C"/>
    <w:rsid w:val="00EE4539"/>
    <w:rsid w:val="00EF5366"/>
    <w:rsid w:val="00EF67AD"/>
    <w:rsid w:val="00F00BF0"/>
    <w:rsid w:val="00F04D9A"/>
    <w:rsid w:val="00F11ADD"/>
    <w:rsid w:val="00F26725"/>
    <w:rsid w:val="00F4189F"/>
    <w:rsid w:val="00F47500"/>
    <w:rsid w:val="00F4753B"/>
    <w:rsid w:val="00F5536E"/>
    <w:rsid w:val="00F56E77"/>
    <w:rsid w:val="00F62578"/>
    <w:rsid w:val="00F74B66"/>
    <w:rsid w:val="00F8572F"/>
    <w:rsid w:val="00F86569"/>
    <w:rsid w:val="00F86AD7"/>
    <w:rsid w:val="00F8732C"/>
    <w:rsid w:val="00F96773"/>
    <w:rsid w:val="00FB7813"/>
    <w:rsid w:val="00FD3D57"/>
    <w:rsid w:val="00FD6DC7"/>
    <w:rsid w:val="00FD7737"/>
    <w:rsid w:val="00FD7EC3"/>
    <w:rsid w:val="00FE4995"/>
    <w:rsid w:val="00FF1D23"/>
    <w:rsid w:val="00FF3573"/>
    <w:rsid w:val="00FF7B6D"/>
    <w:rsid w:val="105D8642"/>
    <w:rsid w:val="109A4638"/>
    <w:rsid w:val="1F511FEB"/>
    <w:rsid w:val="224DBF94"/>
    <w:rsid w:val="243EB332"/>
    <w:rsid w:val="2B524079"/>
    <w:rsid w:val="2DDF3B0A"/>
    <w:rsid w:val="3375DEF6"/>
    <w:rsid w:val="3A7F4A11"/>
    <w:rsid w:val="3DC1CF16"/>
    <w:rsid w:val="46C0A316"/>
    <w:rsid w:val="46D9F8FA"/>
    <w:rsid w:val="5C2EBAFB"/>
    <w:rsid w:val="64CE347F"/>
    <w:rsid w:val="677CE564"/>
    <w:rsid w:val="69A063A3"/>
    <w:rsid w:val="6CD5FF4F"/>
    <w:rsid w:val="72A5BAED"/>
    <w:rsid w:val="78306FC0"/>
    <w:rsid w:val="78702901"/>
    <w:rsid w:val="7C1B391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3E42A00"/>
  <w15:chartTrackingRefBased/>
  <w15:docId w15:val="{7E11601B-0AF1-4F53-8787-4B1E693B8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0CCA"/>
    <w:pPr>
      <w:spacing w:after="200" w:line="288" w:lineRule="auto"/>
    </w:pPr>
    <w:rPr>
      <w:rFonts w:eastAsiaTheme="minorEastAsia"/>
      <w:kern w:val="0"/>
      <w:sz w:val="21"/>
      <w:szCs w:val="21"/>
    </w:rPr>
  </w:style>
  <w:style w:type="paragraph" w:styleId="Heading1">
    <w:name w:val="heading 1"/>
    <w:basedOn w:val="Normal"/>
    <w:next w:val="Normal"/>
    <w:link w:val="Heading1Char"/>
    <w:uiPriority w:val="9"/>
    <w:qFormat/>
    <w:rsid w:val="00240C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0C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0C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0C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0C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0C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0C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0C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0C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C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0C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0C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0C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0C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0C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0C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0C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0CCA"/>
    <w:rPr>
      <w:rFonts w:eastAsiaTheme="majorEastAsia" w:cstheme="majorBidi"/>
      <w:color w:val="272727" w:themeColor="text1" w:themeTint="D8"/>
    </w:rPr>
  </w:style>
  <w:style w:type="paragraph" w:styleId="Title">
    <w:name w:val="Title"/>
    <w:basedOn w:val="Normal"/>
    <w:next w:val="Normal"/>
    <w:link w:val="TitleChar"/>
    <w:uiPriority w:val="10"/>
    <w:qFormat/>
    <w:rsid w:val="00240C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C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0C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0C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0CCA"/>
    <w:pPr>
      <w:spacing w:before="160"/>
      <w:jc w:val="center"/>
    </w:pPr>
    <w:rPr>
      <w:i/>
      <w:iCs/>
      <w:color w:val="404040" w:themeColor="text1" w:themeTint="BF"/>
    </w:rPr>
  </w:style>
  <w:style w:type="character" w:customStyle="1" w:styleId="QuoteChar">
    <w:name w:val="Quote Char"/>
    <w:basedOn w:val="DefaultParagraphFont"/>
    <w:link w:val="Quote"/>
    <w:uiPriority w:val="29"/>
    <w:rsid w:val="00240CCA"/>
    <w:rPr>
      <w:i/>
      <w:iCs/>
      <w:color w:val="404040" w:themeColor="text1" w:themeTint="BF"/>
    </w:rPr>
  </w:style>
  <w:style w:type="paragraph" w:styleId="ListParagraph">
    <w:name w:val="List Paragraph"/>
    <w:basedOn w:val="Normal"/>
    <w:uiPriority w:val="34"/>
    <w:qFormat/>
    <w:rsid w:val="00240CCA"/>
    <w:pPr>
      <w:ind w:left="720"/>
      <w:contextualSpacing/>
    </w:pPr>
  </w:style>
  <w:style w:type="character" w:styleId="IntenseEmphasis">
    <w:name w:val="Intense Emphasis"/>
    <w:basedOn w:val="DefaultParagraphFont"/>
    <w:uiPriority w:val="21"/>
    <w:qFormat/>
    <w:rsid w:val="00240CCA"/>
    <w:rPr>
      <w:i/>
      <w:iCs/>
      <w:color w:val="0F4761" w:themeColor="accent1" w:themeShade="BF"/>
    </w:rPr>
  </w:style>
  <w:style w:type="paragraph" w:styleId="IntenseQuote">
    <w:name w:val="Intense Quote"/>
    <w:basedOn w:val="Normal"/>
    <w:next w:val="Normal"/>
    <w:link w:val="IntenseQuoteChar"/>
    <w:uiPriority w:val="30"/>
    <w:qFormat/>
    <w:rsid w:val="00240C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0CCA"/>
    <w:rPr>
      <w:i/>
      <w:iCs/>
      <w:color w:val="0F4761" w:themeColor="accent1" w:themeShade="BF"/>
    </w:rPr>
  </w:style>
  <w:style w:type="character" w:styleId="IntenseReference">
    <w:name w:val="Intense Reference"/>
    <w:basedOn w:val="DefaultParagraphFont"/>
    <w:uiPriority w:val="32"/>
    <w:qFormat/>
    <w:rsid w:val="00240CCA"/>
    <w:rPr>
      <w:b/>
      <w:bCs/>
      <w:smallCaps/>
      <w:color w:val="0F4761" w:themeColor="accent1" w:themeShade="BF"/>
      <w:spacing w:val="5"/>
    </w:rPr>
  </w:style>
  <w:style w:type="paragraph" w:styleId="BodyText">
    <w:name w:val="Body Text"/>
    <w:basedOn w:val="Normal"/>
    <w:link w:val="BodyTextChar"/>
    <w:rsid w:val="00240CCA"/>
    <w:pPr>
      <w:autoSpaceDE w:val="0"/>
      <w:autoSpaceDN w:val="0"/>
      <w:adjustRightInd w:val="0"/>
      <w:spacing w:before="283"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rsid w:val="00240CCA"/>
    <w:rPr>
      <w:rFonts w:ascii="Times New Roman" w:eastAsia="Times New Roman" w:hAnsi="Times New Roman" w:cs="Times New Roman"/>
      <w:kern w:val="0"/>
      <w:sz w:val="21"/>
      <w:szCs w:val="21"/>
    </w:rPr>
  </w:style>
  <w:style w:type="paragraph" w:styleId="PlainText">
    <w:name w:val="Plain Text"/>
    <w:basedOn w:val="Normal"/>
    <w:link w:val="PlainTextChar"/>
    <w:rsid w:val="00240CCA"/>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240CCA"/>
    <w:rPr>
      <w:rFonts w:ascii="Courier New" w:eastAsia="Times New Roman" w:hAnsi="Courier New" w:cs="Courier New"/>
      <w:kern w:val="0"/>
      <w:sz w:val="20"/>
      <w:szCs w:val="20"/>
    </w:rPr>
  </w:style>
  <w:style w:type="paragraph" w:styleId="BodyTextIndent">
    <w:name w:val="Body Text Indent"/>
    <w:basedOn w:val="Normal"/>
    <w:link w:val="BodyTextIndentChar"/>
    <w:unhideWhenUsed/>
    <w:rsid w:val="00240CCA"/>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240CCA"/>
    <w:rPr>
      <w:rFonts w:ascii="Times New Roman" w:eastAsia="Times New Roman" w:hAnsi="Times New Roman" w:cs="Times New Roman"/>
      <w:kern w:val="0"/>
      <w:sz w:val="24"/>
      <w:szCs w:val="24"/>
    </w:rPr>
  </w:style>
  <w:style w:type="paragraph" w:styleId="Revision">
    <w:name w:val="Revision"/>
    <w:hidden/>
    <w:uiPriority w:val="99"/>
    <w:semiHidden/>
    <w:rsid w:val="00203EE1"/>
    <w:pPr>
      <w:spacing w:after="0" w:line="240" w:lineRule="auto"/>
    </w:pPr>
    <w:rPr>
      <w:rFonts w:eastAsiaTheme="minorEastAsia"/>
      <w:kern w:val="0"/>
      <w:sz w:val="21"/>
      <w:szCs w:val="21"/>
    </w:rPr>
  </w:style>
  <w:style w:type="character" w:styleId="CommentReference">
    <w:name w:val="annotation reference"/>
    <w:basedOn w:val="DefaultParagraphFont"/>
    <w:uiPriority w:val="99"/>
    <w:semiHidden/>
    <w:unhideWhenUsed/>
    <w:rsid w:val="0042666F"/>
    <w:rPr>
      <w:sz w:val="16"/>
      <w:szCs w:val="16"/>
    </w:rPr>
  </w:style>
  <w:style w:type="paragraph" w:styleId="CommentText">
    <w:name w:val="annotation text"/>
    <w:basedOn w:val="Normal"/>
    <w:link w:val="CommentTextChar"/>
    <w:uiPriority w:val="99"/>
    <w:unhideWhenUsed/>
    <w:rsid w:val="0042666F"/>
    <w:pPr>
      <w:spacing w:line="240" w:lineRule="auto"/>
    </w:pPr>
    <w:rPr>
      <w:sz w:val="20"/>
      <w:szCs w:val="20"/>
    </w:rPr>
  </w:style>
  <w:style w:type="character" w:customStyle="1" w:styleId="CommentTextChar">
    <w:name w:val="Comment Text Char"/>
    <w:basedOn w:val="DefaultParagraphFont"/>
    <w:link w:val="CommentText"/>
    <w:uiPriority w:val="99"/>
    <w:rsid w:val="0042666F"/>
    <w:rPr>
      <w:rFonts w:eastAsiaTheme="minorEastAsia"/>
      <w:kern w:val="0"/>
      <w:sz w:val="20"/>
      <w:szCs w:val="20"/>
    </w:rPr>
  </w:style>
  <w:style w:type="paragraph" w:styleId="FootnoteText">
    <w:name w:val="footnote text"/>
    <w:aliases w:val=" Char,ALTS FOOTNOTE,Car,Char,Footnote Text Char Char,Footnote Text Char Char Char Char,Footnote Text Char Char Char Char Char Char Char Char Char Char Char Char Char Char Char Char Char,Footnote Text Char1 Char Char,Fußnote,Style 15,fn,ft"/>
    <w:basedOn w:val="Normal"/>
    <w:link w:val="FootnoteTextChar"/>
    <w:uiPriority w:val="99"/>
    <w:qFormat/>
    <w:rsid w:val="00A01A30"/>
    <w:pPr>
      <w:spacing w:after="0" w:line="240" w:lineRule="auto"/>
    </w:pPr>
    <w:rPr>
      <w:rFonts w:ascii="Times New Roman" w:eastAsia="Times New Roman" w:hAnsi="Times New Roman" w:cs="Times New Roman"/>
      <w:sz w:val="20"/>
      <w:szCs w:val="20"/>
      <w14:ligatures w14:val="none"/>
    </w:rPr>
  </w:style>
  <w:style w:type="character" w:customStyle="1" w:styleId="FootnoteTextChar">
    <w:name w:val="Footnote Text Char"/>
    <w:aliases w:val=" Char Char,ALTS FOOTNOTE Char,Car Char,Char Char,Footnote Text Char Char Char,Footnote Text Char Char Char Char Char,Footnote Text Char Char Char Char Char Char Char Char Char Char Char Char Char Char Char Char Char Char,Fußnote Char"/>
    <w:basedOn w:val="DefaultParagraphFont"/>
    <w:link w:val="FootnoteText"/>
    <w:uiPriority w:val="99"/>
    <w:rsid w:val="00A01A30"/>
    <w:rPr>
      <w:rFonts w:ascii="Times New Roman" w:eastAsia="Times New Roman" w:hAnsi="Times New Roman" w:cs="Times New Roman"/>
      <w:kern w:val="0"/>
      <w:sz w:val="20"/>
      <w:szCs w:val="20"/>
      <w14:ligatures w14:val="none"/>
    </w:rPr>
  </w:style>
  <w:style w:type="character" w:styleId="FootnoteReference">
    <w:name w:val="footnote reference"/>
    <w:aliases w:val="(Footnote Reference),12,BVI fnr,EN Footnote Reference,Exposant 3 Point,Footnote,Footnote Reference Superscript,Footnote reference number,Footnote symbol,SUPERS,Style 16,Style 19,Style 35,Times 10 Point,Voetnootverwijzing,fr,note TESI"/>
    <w:uiPriority w:val="99"/>
    <w:qFormat/>
    <w:rsid w:val="00A01A30"/>
    <w:rPr>
      <w:vertAlign w:val="superscript"/>
    </w:rPr>
  </w:style>
  <w:style w:type="table" w:styleId="TableGrid">
    <w:name w:val="Table Grid"/>
    <w:basedOn w:val="TableNormal"/>
    <w:uiPriority w:val="39"/>
    <w:rsid w:val="009B2B3B"/>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5C6D"/>
    <w:rPr>
      <w:color w:val="0A2F41" w:themeColor="accent1" w:themeShade="80"/>
      <w:u w:val="single"/>
    </w:rPr>
  </w:style>
  <w:style w:type="character" w:styleId="UnresolvedMention">
    <w:name w:val="Unresolved Mention"/>
    <w:basedOn w:val="DefaultParagraphFont"/>
    <w:uiPriority w:val="99"/>
    <w:semiHidden/>
    <w:unhideWhenUsed/>
    <w:rsid w:val="00FF357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47FFB"/>
    <w:rPr>
      <w:b/>
      <w:bCs/>
    </w:rPr>
  </w:style>
  <w:style w:type="character" w:customStyle="1" w:styleId="CommentSubjectChar">
    <w:name w:val="Comment Subject Char"/>
    <w:basedOn w:val="CommentTextChar"/>
    <w:link w:val="CommentSubject"/>
    <w:uiPriority w:val="99"/>
    <w:semiHidden/>
    <w:rsid w:val="00C47FFB"/>
    <w:rPr>
      <w:rFonts w:eastAsiaTheme="minorEastAsia"/>
      <w:b/>
      <w:bCs/>
      <w:kern w:val="0"/>
      <w:sz w:val="20"/>
      <w:szCs w:val="20"/>
    </w:rPr>
  </w:style>
  <w:style w:type="paragraph" w:styleId="HTMLPreformatted">
    <w:name w:val="HTML Preformatted"/>
    <w:basedOn w:val="Normal"/>
    <w:link w:val="HTMLPreformattedChar"/>
    <w:uiPriority w:val="99"/>
    <w:semiHidden/>
    <w:unhideWhenUsed/>
    <w:rsid w:val="00D8681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8681C"/>
    <w:rPr>
      <w:rFonts w:ascii="Consolas" w:hAnsi="Consolas" w:eastAsiaTheme="minorEastAsia"/>
      <w:kern w:val="0"/>
      <w:sz w:val="20"/>
      <w:szCs w:val="20"/>
    </w:rPr>
  </w:style>
  <w:style w:type="paragraph" w:styleId="Header">
    <w:name w:val="header"/>
    <w:basedOn w:val="Normal"/>
    <w:link w:val="HeaderChar"/>
    <w:uiPriority w:val="99"/>
    <w:unhideWhenUsed/>
    <w:rsid w:val="006813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13F3"/>
    <w:rPr>
      <w:rFonts w:eastAsiaTheme="minorEastAsia"/>
      <w:kern w:val="0"/>
      <w:sz w:val="21"/>
      <w:szCs w:val="21"/>
    </w:rPr>
  </w:style>
  <w:style w:type="paragraph" w:styleId="Footer">
    <w:name w:val="footer"/>
    <w:basedOn w:val="Normal"/>
    <w:link w:val="FooterChar"/>
    <w:uiPriority w:val="99"/>
    <w:unhideWhenUsed/>
    <w:rsid w:val="006813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13F3"/>
    <w:rPr>
      <w:rFonts w:eastAsiaTheme="minorEastAsia"/>
      <w:kern w:val="0"/>
      <w:sz w:val="21"/>
      <w:szCs w:val="21"/>
    </w:rPr>
  </w:style>
  <w:style w:type="paragraph" w:styleId="NormalWeb">
    <w:name w:val="Normal (Web)"/>
    <w:basedOn w:val="Normal"/>
    <w:uiPriority w:val="99"/>
    <w:unhideWhenUsed/>
    <w:rsid w:val="00431C61"/>
    <w:pPr>
      <w:spacing w:after="150" w:line="240" w:lineRule="auto"/>
    </w:pPr>
    <w:rPr>
      <w:rFonts w:ascii="Times New Roman" w:eastAsia="Times New Roman" w:hAnsi="Times New Roman" w:cs="Times New Roman"/>
      <w:sz w:val="24"/>
      <w:szCs w:val="24"/>
      <w14:ligatures w14:val="none"/>
    </w:rPr>
  </w:style>
  <w:style w:type="character" w:styleId="FollowedHyperlink">
    <w:name w:val="FollowedHyperlink"/>
    <w:basedOn w:val="DefaultParagraphFont"/>
    <w:uiPriority w:val="99"/>
    <w:semiHidden/>
    <w:unhideWhenUsed/>
    <w:rsid w:val="00AA1CD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incen.gov/person" TargetMode="External" /><Relationship Id="rId11" Type="http://schemas.openxmlformats.org/officeDocument/2006/relationships/hyperlink" Target="https://www.fincen.gov/solely-because-person-serves-agent-another-msb" TargetMode="External" /><Relationship Id="rId12" Type="http://schemas.openxmlformats.org/officeDocument/2006/relationships/hyperlink" Target="https://bsaefiling.fincen.gov/" TargetMode="External" /><Relationship Id="rId13" Type="http://schemas.openxmlformats.org/officeDocument/2006/relationships/hyperlink" Target="file:///C:\Users\local_hom\INetCache\Content.Outlook\1G0EKQ89\on" TargetMode="Externa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fincen.gov/location-united-states"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fincen.gov/sites/default/files/shared/FinCENRMSB_ElectronicFilingInstructions.pdf" TargetMode="External" /><Relationship Id="rId2" Type="http://schemas.openxmlformats.org/officeDocument/2006/relationships/hyperlink" Target="https://www.federalregister.gov/documents/2026/04/30/2026-08363/agency-information-collection-activities-proposed-renewal-comment-request-renewal-without-change-of" TargetMode="External" /><Relationship Id="rId3" Type="http://schemas.openxmlformats.org/officeDocument/2006/relationships/hyperlink" Target="https://www.regulations.gov/document/FINCEN-2026-0133-0001/comment" TargetMode="External" /><Relationship Id="rId4" Type="http://schemas.openxmlformats.org/officeDocument/2006/relationships/hyperlink" Target="https://www.federalregister.gov/documents/2014/04/14/2014-08254/privacy-act-of-1974-as-amended-system-of-records-notice" TargetMode="External" /><Relationship Id="rId5" Type="http://schemas.openxmlformats.org/officeDocument/2006/relationships/hyperlink" Target="https://www.fincen.gov/resources/msb-state-selector" TargetMode="External" /><Relationship Id="rId6" Type="http://schemas.openxmlformats.org/officeDocument/2006/relationships/hyperlink" Target="https://www.bls.gov/oes/tables.htm" TargetMode="External" /><Relationship Id="rId7" Type="http://schemas.openxmlformats.org/officeDocument/2006/relationships/hyperlink" Target="https://www.bls.gov/news.release/archives/ecec_09102024.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F791492B080E42AEF664CB1AF2F435" ma:contentTypeVersion="7" ma:contentTypeDescription="Create a new document." ma:contentTypeScope="" ma:versionID="3f18c569c14fa2c4649743ebfc997caa">
  <xsd:schema xmlns:xsd="http://www.w3.org/2001/XMLSchema" xmlns:xs="http://www.w3.org/2001/XMLSchema" xmlns:p="http://schemas.microsoft.com/office/2006/metadata/properties" xmlns:ns2="65a373a0-a039-4900-9a85-9bc24066f889" targetNamespace="http://schemas.microsoft.com/office/2006/metadata/properties" ma:root="true" ma:fieldsID="22a7e708220f3e6adb8f9a5113045fe3" ns2:_="">
    <xsd:import namespace="65a373a0-a039-4900-9a85-9bc24066f889"/>
    <xsd:element name="properties">
      <xsd:complexType>
        <xsd:sequence>
          <xsd:element name="documentManagement">
            <xsd:complexType>
              <xsd:all>
                <xsd:element ref="ns2:Category" minOccurs="0"/>
                <xsd:element ref="ns2:DocID" minOccurs="0"/>
                <xsd:element ref="ns2:CaseID" minOccurs="0"/>
                <xsd:element ref="ns2:DocType" minOccurs="0"/>
                <xsd:element ref="ns2:ClearanceType" minOccurs="0"/>
                <xsd:element ref="ns2:DraftOwner" minOccurs="0"/>
                <xsd:element ref="ns2:Record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a373a0-a039-4900-9a85-9bc24066f889" elementFormDefault="qualified">
    <xsd:import namespace="http://schemas.microsoft.com/office/2006/documentManagement/types"/>
    <xsd:import namespace="http://schemas.microsoft.com/office/infopath/2007/PartnerControls"/>
    <xsd:element name="Category" ma:index="8" nillable="true" ma:displayName="Category" ma:internalName="Category">
      <xsd:simpleType>
        <xsd:restriction base="dms:Choice">
          <xsd:enumeration value="Final"/>
          <xsd:enumeration value="Draft"/>
          <xsd:enumeration value="IC"/>
        </xsd:restriction>
      </xsd:simpleType>
    </xsd:element>
    <xsd:element name="DocID" ma:index="9" nillable="true" ma:displayName="DocID" ma:internalName="DocID">
      <xsd:simpleType>
        <xsd:restriction base="dms:Text"/>
      </xsd:simpleType>
    </xsd:element>
    <xsd:element name="CaseID" ma:index="10" nillable="true" ma:displayName="CaseID" ma:internalName="CaseID">
      <xsd:simpleType>
        <xsd:restriction base="dms:Text"/>
      </xsd:simpleType>
    </xsd:element>
    <xsd:element name="DocType" ma:index="11" nillable="true" ma:displayName="DocType" ma:internalName="DocType">
      <xsd:simpleType>
        <xsd:restriction base="dms:Text"/>
      </xsd:simpleType>
    </xsd:element>
    <xsd:element name="ClearanceType" ma:index="12" nillable="true" ma:displayName="ClearanceType" ma:internalName="ClearanceType">
      <xsd:simpleType>
        <xsd:restriction base="dms:Text"/>
      </xsd:simpleType>
    </xsd:element>
    <xsd:element name="DraftOwner" ma:index="13" nillable="true" ma:displayName="DraftOwner" ma:internalName="DraftOwner">
      <xsd:simpleType>
        <xsd:restriction base="dms:Text"/>
      </xsd:simpleType>
    </xsd:element>
    <xsd:element name="RecordType" ma:index="14" nillable="true" ma:displayName="RecordType" ma:internalName="RecordTyp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ID xmlns="65a373a0-a039-4900-9a85-9bc24066f889">4f7e6b6d-297f-4de9-a42d-ee20d6e8a77e</DocID>
    <CaseID xmlns="65a373a0-a039-4900-9a85-9bc24066f889">20267-TFI-7500</CaseID>
    <Category xmlns="65a373a0-a039-4900-9a85-9bc24066f889">Final</Category>
    <DocType xmlns="65a373a0-a039-4900-9a85-9bc24066f889" xsi:nil="true"/>
    <RecordType xmlns="65a373a0-a039-4900-9a85-9bc24066f889" xsi:nil="true"/>
    <DraftOwner xmlns="65a373a0-a039-4900-9a85-9bc24066f889" xsi:nil="true"/>
    <ClearanceType xmlns="65a373a0-a039-4900-9a85-9bc24066f889" xsi:nil="true"/>
  </documentManagement>
</p:properties>
</file>

<file path=customXml/itemProps1.xml><?xml version="1.0" encoding="utf-8"?>
<ds:datastoreItem xmlns:ds="http://schemas.openxmlformats.org/officeDocument/2006/customXml" ds:itemID="{03F98BAA-D702-4FF4-9793-C5764932A21F}">
  <ds:schemaRefs>
    <ds:schemaRef ds:uri="http://schemas.openxmlformats.org/officeDocument/2006/bibliography"/>
  </ds:schemaRefs>
</ds:datastoreItem>
</file>

<file path=customXml/itemProps2.xml><?xml version="1.0" encoding="utf-8"?>
<ds:datastoreItem xmlns:ds="http://schemas.openxmlformats.org/officeDocument/2006/customXml" ds:itemID="{6B1D28E9-23B7-413D-B88A-269A93B82FF4}">
  <ds:schemaRefs>
    <ds:schemaRef ds:uri="http://schemas.microsoft.com/sharepoint/v3/contenttype/forms"/>
  </ds:schemaRefs>
</ds:datastoreItem>
</file>

<file path=customXml/itemProps3.xml><?xml version="1.0" encoding="utf-8"?>
<ds:datastoreItem xmlns:ds="http://schemas.openxmlformats.org/officeDocument/2006/customXml" ds:itemID="{B2813E5E-8AAB-472F-BCE7-1CB733308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a373a0-a039-4900-9a85-9bc24066f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3FF196-67C4-49CA-9479-C32B0CD0F0A4}">
  <ds:schemaRefs>
    <ds:schemaRef ds:uri="http://schemas.microsoft.com/office/2006/metadata/properties"/>
    <ds:schemaRef ds:uri="http://schemas.microsoft.com/office/infopath/2007/PartnerControls"/>
    <ds:schemaRef ds:uri="65a373a0-a039-4900-9a85-9bc24066f88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2046</Words>
  <Characters>11664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FinCEN</Company>
  <LinksUpToDate>false</LinksUpToDate>
  <CharactersWithSpaces>13683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 Mariesa</dc:creator>
  <cp:lastModifiedBy>Stewart, Jaclyn</cp:lastModifiedBy>
  <cp:revision>3</cp:revision>
  <dcterms:created xsi:type="dcterms:W3CDTF">2026-08-06T18:36:00Z</dcterms:created>
  <dcterms:modified xsi:type="dcterms:W3CDTF">2026-08-06T18:36:00Z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0x01010007F791492B080E42AEF664CB1AF2F435</vt:lpwstr>
  </property>
</Properties>
</file>