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7EAB" w:rsidP="00717EAB" w14:paraId="2F7B8F40" w14:textId="77777777">
      <w:pPr>
        <w:pStyle w:val="Heading1"/>
      </w:pPr>
    </w:p>
    <w:p w:rsidR="002E283C" w:rsidRPr="004C6D84" w:rsidP="002E283C" w14:paraId="2ACA4878" w14:textId="77777777">
      <w:pPr>
        <w:pBdr>
          <w:bottom w:val="single" w:sz="8" w:space="4" w:color="4F81BD"/>
        </w:pBdr>
        <w:spacing w:after="300"/>
        <w:contextualSpacing/>
        <w:rPr>
          <w:rFonts w:ascii="Cambria" w:hAnsi="Cambria"/>
          <w:color w:val="17365D"/>
          <w:spacing w:val="5"/>
          <w:kern w:val="28"/>
          <w:sz w:val="52"/>
          <w:szCs w:val="52"/>
        </w:rPr>
      </w:pPr>
      <w:r w:rsidRPr="004C6D84">
        <w:rPr>
          <w:rFonts w:ascii="Cambria" w:hAnsi="Cambria"/>
          <w:color w:val="17365D"/>
          <w:spacing w:val="5"/>
          <w:kern w:val="28"/>
          <w:sz w:val="36"/>
          <w:szCs w:val="52"/>
        </w:rPr>
        <w:t xml:space="preserve">Supporting Statement  </w:t>
      </w:r>
      <w:r w:rsidRPr="004C6D84">
        <w:rPr>
          <w:rFonts w:ascii="Cambria" w:hAnsi="Cambria"/>
          <w:color w:val="17365D"/>
          <w:spacing w:val="5"/>
          <w:kern w:val="28"/>
          <w:sz w:val="52"/>
          <w:szCs w:val="52"/>
        </w:rPr>
        <w:t xml:space="preserve"> </w:t>
      </w:r>
    </w:p>
    <w:p w:rsidR="002E283C" w:rsidP="002E283C" w14:paraId="2D4AFB69" w14:textId="77777777">
      <w:pPr>
        <w:numPr>
          <w:ilvl w:val="1"/>
          <w:numId w:val="0"/>
        </w:numPr>
        <w:rPr>
          <w:rFonts w:ascii="Cambria" w:hAnsi="Cambria"/>
          <w:i/>
          <w:iCs/>
          <w:color w:val="4F81BD"/>
          <w:spacing w:val="15"/>
        </w:rPr>
      </w:pPr>
    </w:p>
    <w:p w:rsidR="002E283C" w:rsidP="002E283C" w14:paraId="309BC07D" w14:textId="6F7EB45C">
      <w:pPr>
        <w:pStyle w:val="Heading1"/>
        <w:rPr>
          <w:rFonts w:ascii="Cambria" w:hAnsi="Cambria"/>
          <w:b w:val="0"/>
          <w:bCs w:val="0"/>
          <w:i/>
          <w:iCs/>
          <w:color w:val="4F81BD"/>
          <w:spacing w:val="15"/>
        </w:rPr>
      </w:pPr>
      <w:r w:rsidRPr="00E4084E">
        <w:rPr>
          <w:rFonts w:ascii="Cambria" w:hAnsi="Cambria"/>
          <w:b w:val="0"/>
          <w:bCs w:val="0"/>
          <w:i/>
          <w:iCs/>
          <w:color w:val="4F81BD"/>
          <w:spacing w:val="15"/>
        </w:rPr>
        <w:t>OMB Number 1530-00</w:t>
      </w:r>
      <w:r>
        <w:rPr>
          <w:rFonts w:ascii="Cambria" w:hAnsi="Cambria"/>
          <w:b w:val="0"/>
          <w:bCs w:val="0"/>
          <w:i/>
          <w:iCs/>
          <w:color w:val="4F81BD"/>
          <w:spacing w:val="15"/>
        </w:rPr>
        <w:t>36</w:t>
      </w:r>
      <w:r w:rsidRPr="00E4084E">
        <w:rPr>
          <w:rFonts w:ascii="Cambria" w:hAnsi="Cambria"/>
          <w:b w:val="0"/>
          <w:bCs w:val="0"/>
          <w:i/>
          <w:iCs/>
          <w:color w:val="4F81BD"/>
          <w:spacing w:val="15"/>
        </w:rPr>
        <w:br/>
        <w:t xml:space="preserve">FS Form </w:t>
      </w:r>
      <w:r>
        <w:rPr>
          <w:rFonts w:ascii="Cambria" w:hAnsi="Cambria"/>
          <w:b w:val="0"/>
          <w:bCs w:val="0"/>
          <w:i/>
          <w:iCs/>
          <w:color w:val="4F81BD"/>
          <w:spacing w:val="15"/>
        </w:rPr>
        <w:t>1851:”</w:t>
      </w:r>
      <w:r w:rsidR="007E1BAE">
        <w:rPr>
          <w:rFonts w:ascii="Cambria" w:hAnsi="Cambria"/>
          <w:b w:val="0"/>
          <w:bCs w:val="0"/>
          <w:i/>
          <w:iCs/>
          <w:color w:val="4F81BD"/>
          <w:spacing w:val="15"/>
        </w:rPr>
        <w:t xml:space="preserve"> </w:t>
      </w:r>
      <w:r>
        <w:rPr>
          <w:rFonts w:ascii="Cambria" w:hAnsi="Cambria"/>
          <w:b w:val="0"/>
          <w:bCs w:val="0"/>
          <w:i/>
          <w:iCs/>
          <w:color w:val="4F81BD"/>
          <w:spacing w:val="15"/>
        </w:rPr>
        <w:t>R</w:t>
      </w:r>
      <w:r w:rsidRPr="002E283C">
        <w:rPr>
          <w:rFonts w:ascii="Cambria" w:hAnsi="Cambria"/>
          <w:b w:val="0"/>
          <w:bCs w:val="0"/>
          <w:i/>
          <w:iCs/>
          <w:color w:val="4F81BD"/>
          <w:spacing w:val="15"/>
        </w:rPr>
        <w:t>equest to Reissue United States Savings Bonds to a Personal Trust.”</w:t>
      </w:r>
    </w:p>
    <w:p w:rsidR="002E283C" w:rsidRPr="009D6BB9" w:rsidP="002E283C" w14:paraId="623450FA" w14:textId="77777777">
      <w:pPr>
        <w:autoSpaceDE w:val="0"/>
        <w:autoSpaceDN w:val="0"/>
        <w:adjustRightInd w:val="0"/>
        <w:rPr>
          <w:rFonts w:ascii="Arial" w:hAnsi="Arial" w:cs="Arial"/>
        </w:rPr>
      </w:pPr>
    </w:p>
    <w:p w:rsidR="002E283C" w:rsidP="002E283C" w14:paraId="0C13714C" w14:textId="77777777">
      <w:pPr>
        <w:pStyle w:val="Subtitle"/>
        <w:numPr>
          <w:ilvl w:val="0"/>
          <w:numId w:val="15"/>
        </w:numPr>
        <w:jc w:val="left"/>
        <w:rPr>
          <w:rFonts w:ascii="Arial" w:hAnsi="Arial" w:cs="Arial"/>
          <w:b/>
          <w:bCs/>
        </w:rPr>
      </w:pPr>
      <w:r w:rsidRPr="009D6BB9">
        <w:rPr>
          <w:rFonts w:ascii="Arial" w:hAnsi="Arial" w:cs="Arial"/>
          <w:b/>
          <w:bCs/>
        </w:rPr>
        <w:t>Justification</w:t>
      </w:r>
      <w:r>
        <w:rPr>
          <w:rFonts w:ascii="Arial" w:hAnsi="Arial" w:cs="Arial"/>
          <w:b/>
          <w:bCs/>
        </w:rPr>
        <w:t>:</w:t>
      </w:r>
    </w:p>
    <w:p w:rsidR="002E283C" w:rsidP="002E283C" w14:paraId="60EE285B" w14:textId="77777777"/>
    <w:p w:rsidR="002E283C" w:rsidRPr="00ED7518" w:rsidP="002E283C" w14:paraId="2B8F0A4B" w14:textId="563CA47A">
      <w:pPr>
        <w:rPr>
          <w:b/>
          <w:bCs/>
        </w:rPr>
      </w:pPr>
      <w:r w:rsidRPr="00ED7518">
        <w:rPr>
          <w:b/>
          <w:bCs/>
        </w:rPr>
        <w:t>Summary of Changes for renewal in 202</w:t>
      </w:r>
      <w:r w:rsidR="007E1BAE">
        <w:rPr>
          <w:b/>
          <w:bCs/>
        </w:rPr>
        <w:t>6</w:t>
      </w:r>
      <w:r w:rsidRPr="00ED7518">
        <w:rPr>
          <w:b/>
          <w:bCs/>
        </w:rPr>
        <w:t>:</w:t>
      </w:r>
    </w:p>
    <w:p w:rsidR="002E283C" w:rsidP="002E283C" w14:paraId="4924FB96" w14:textId="77777777">
      <w:r>
        <w:t>Q8: Current Federal Register citation was added.</w:t>
      </w:r>
    </w:p>
    <w:p w:rsidR="00617C04" w:rsidRPr="0064379A" w:rsidP="00617C04" w14:paraId="27CA53CC" w14:textId="77777777">
      <w:r>
        <w:t xml:space="preserve">Q12: The </w:t>
      </w:r>
      <w:r>
        <w:t>factors used to calculate the</w:t>
      </w:r>
      <w:r>
        <w:t xml:space="preserve"> Annual Respondent Cost </w:t>
      </w:r>
      <w:r>
        <w:t>were updated in this response</w:t>
      </w:r>
    </w:p>
    <w:p w:rsidR="002E283C" w:rsidRPr="0064379A" w:rsidP="002E283C" w14:paraId="4F733733" w14:textId="77777777">
      <w:r>
        <w:t>Q14: The factors used to calculate the cost to the Federal Government were updated in this response</w:t>
      </w:r>
    </w:p>
    <w:p w:rsidR="003B0D8A" w:rsidP="003B0D8A" w14:paraId="39ED3371" w14:textId="77777777">
      <w:pPr>
        <w:rPr>
          <w:b/>
          <w:bCs/>
        </w:rPr>
      </w:pPr>
    </w:p>
    <w:p w:rsidR="003B0D8A" w:rsidP="003B0D8A" w14:paraId="5BDB56B5" w14:textId="77777777">
      <w:pPr>
        <w:rPr>
          <w:b/>
          <w:bCs/>
        </w:rPr>
      </w:pPr>
      <w:r>
        <w:rPr>
          <w:b/>
          <w:bCs/>
        </w:rPr>
        <w:t xml:space="preserve">1.  </w:t>
      </w:r>
      <w:r>
        <w:rPr>
          <w:b/>
          <w:bCs/>
        </w:rPr>
        <w:t>Explain the circumstances that make this collection of information necessary.  Identify any legal or administrative requirements that necessitate the collection.</w:t>
      </w:r>
    </w:p>
    <w:p w:rsidR="00E53071" w:rsidP="00936C53" w14:paraId="089A43BC" w14:textId="77777777">
      <w:pPr>
        <w:tabs>
          <w:tab w:val="left" w:pos="-720"/>
          <w:tab w:val="left" w:pos="0"/>
        </w:tabs>
        <w:suppressAutoHyphens/>
        <w:ind w:left="360"/>
      </w:pPr>
      <w:r>
        <w:t xml:space="preserve">The information is collected to </w:t>
      </w:r>
      <w:r>
        <w:t>reissue United States Savings Bonds to a personal trust.</w:t>
      </w:r>
      <w:r w:rsidR="00BF6CDE">
        <w:t xml:space="preserve"> </w:t>
      </w:r>
      <w:r w:rsidRPr="00AB6A41" w:rsidR="00975F10">
        <w:t xml:space="preserve">This information is collected by authority of </w:t>
      </w:r>
      <w:r w:rsidR="00975F10">
        <w:t>31</w:t>
      </w:r>
      <w:r w:rsidR="00BF6CDE">
        <w:t xml:space="preserve"> U.S.C. 3105</w:t>
      </w:r>
      <w:r w:rsidRPr="00AB6A41" w:rsidR="00975F10">
        <w:t xml:space="preserve">; and 31 CFR Part </w:t>
      </w:r>
      <w:r w:rsidR="00975F10">
        <w:t>353</w:t>
      </w:r>
      <w:r w:rsidRPr="00AB6A41" w:rsidR="00975F10">
        <w:t>.</w:t>
      </w:r>
    </w:p>
    <w:p w:rsidR="000C1C81" w:rsidRPr="009A58A8" w:rsidP="00E53071" w14:paraId="21253EF1" w14:textId="77777777"/>
    <w:p w:rsidR="003B0D8A" w:rsidP="003B0D8A" w14:paraId="2CEC6D82" w14:textId="77777777">
      <w:pPr>
        <w:rPr>
          <w:b/>
          <w:bCs/>
        </w:rPr>
      </w:pPr>
      <w:r>
        <w:rPr>
          <w:b/>
          <w:bCs/>
        </w:rPr>
        <w:t xml:space="preserve">2.  </w:t>
      </w:r>
      <w:r>
        <w:rPr>
          <w:b/>
          <w:bCs/>
        </w:rPr>
        <w:t>Indicate how, by whom and for what purpose is this information used?</w:t>
      </w:r>
    </w:p>
    <w:p w:rsidR="000D6FF8" w:rsidP="00717EAB" w14:paraId="0531D26C" w14:textId="77777777">
      <w:pPr>
        <w:autoSpaceDE w:val="0"/>
        <w:autoSpaceDN w:val="0"/>
        <w:adjustRightInd w:val="0"/>
        <w:ind w:left="360"/>
      </w:pPr>
      <w:r w:rsidRPr="00371A43">
        <w:rPr>
          <w:color w:val="000000"/>
        </w:rPr>
        <w:t xml:space="preserve">The information on the completed form is used by the Department of the Treasury, Bureau of the </w:t>
      </w:r>
      <w:r w:rsidR="00E831A1">
        <w:rPr>
          <w:color w:val="000000"/>
        </w:rPr>
        <w:t>Fiscal Service</w:t>
      </w:r>
      <w:r w:rsidRPr="00371A43">
        <w:rPr>
          <w:color w:val="000000"/>
        </w:rPr>
        <w:t xml:space="preserve"> </w:t>
      </w:r>
      <w:r w:rsidRPr="000C1C81" w:rsidR="000C1C81">
        <w:t>to iden</w:t>
      </w:r>
      <w:r w:rsidR="00465847">
        <w:t>tify the securities involved</w:t>
      </w:r>
      <w:r w:rsidR="0092488B">
        <w:t xml:space="preserve"> </w:t>
      </w:r>
      <w:r w:rsidRPr="00465847" w:rsidR="00465847">
        <w:t>and to esta</w:t>
      </w:r>
      <w:r w:rsidR="00BA110F">
        <w:t>blish the authority to reissue to a personal trust</w:t>
      </w:r>
      <w:r w:rsidRPr="00465847" w:rsidR="00465847">
        <w:t>.</w:t>
      </w:r>
      <w:r w:rsidR="00465847">
        <w:rPr>
          <w:rFonts w:ascii="Courier New" w:hAnsi="Courier New" w:cs="Courier New"/>
        </w:rPr>
        <w:t xml:space="preserve"> </w:t>
      </w:r>
      <w:r w:rsidRPr="000C1C81" w:rsidR="000C1C81">
        <w:t xml:space="preserve">Without the information, the </w:t>
      </w:r>
      <w:r w:rsidR="0092488B">
        <w:t>t</w:t>
      </w:r>
      <w:r w:rsidR="00B9221F">
        <w:t>ransaction cannot be completed.</w:t>
      </w:r>
    </w:p>
    <w:p w:rsidR="00717EAB" w:rsidRPr="00717EAB" w:rsidP="00717EAB" w14:paraId="63622391" w14:textId="77777777">
      <w:pPr>
        <w:autoSpaceDE w:val="0"/>
        <w:autoSpaceDN w:val="0"/>
        <w:adjustRightInd w:val="0"/>
        <w:ind w:left="360"/>
      </w:pPr>
    </w:p>
    <w:p w:rsidR="003B0D8A" w:rsidP="003B0D8A" w14:paraId="46FB6391" w14:textId="77777777">
      <w:pPr>
        <w:rPr>
          <w:b/>
          <w:bCs/>
        </w:rPr>
      </w:pPr>
      <w:r>
        <w:rPr>
          <w:b/>
          <w:bCs/>
        </w:rPr>
        <w:t xml:space="preserve">3.  </w:t>
      </w:r>
      <w:r>
        <w:rPr>
          <w:b/>
          <w:bCs/>
        </w:rPr>
        <w:t>Describe whether, and to what extent, the collection of information involves the use of automated, electronic, mechanical, or other technological collection techniques or other forms of information technology?  What consideration is given to use information technology to reduce burden?</w:t>
      </w:r>
    </w:p>
    <w:p w:rsidR="0057687D" w:rsidP="0057687D" w14:paraId="35278F1D" w14:textId="2B8EA781">
      <w:pPr>
        <w:widowControl w:val="0"/>
        <w:tabs>
          <w:tab w:val="left" w:pos="450"/>
        </w:tabs>
        <w:suppressAutoHyphens/>
        <w:autoSpaceDE w:val="0"/>
        <w:autoSpaceDN w:val="0"/>
        <w:adjustRightInd w:val="0"/>
        <w:spacing w:line="240" w:lineRule="atLeast"/>
        <w:ind w:left="360"/>
      </w:pPr>
      <w:bookmarkStart w:id="0" w:name="_Hlk138857655"/>
      <w:r w:rsidRPr="00594A81">
        <w:t xml:space="preserve">The form in this collection is available in electronic format. Users can download the form from the Fiscal Service website and complete it on their own, or a Customer Service Representative may complete all or part of the form for the registered owner and send it for confirmation.    </w:t>
      </w:r>
      <w:r w:rsidRPr="00E24781">
        <w:t xml:space="preserve"> </w:t>
      </w:r>
    </w:p>
    <w:bookmarkEnd w:id="0"/>
    <w:p w:rsidR="003579BB" w:rsidP="003B0D8A" w14:paraId="49AA126B" w14:textId="77777777">
      <w:pPr>
        <w:rPr>
          <w:b/>
          <w:bCs/>
        </w:rPr>
      </w:pPr>
    </w:p>
    <w:p w:rsidR="003B0D8A" w:rsidP="003B0D8A" w14:paraId="1C916645" w14:textId="77777777">
      <w:pPr>
        <w:rPr>
          <w:b/>
          <w:bCs/>
        </w:rPr>
      </w:pPr>
      <w:r>
        <w:rPr>
          <w:b/>
          <w:bCs/>
        </w:rPr>
        <w:t xml:space="preserve">4.  </w:t>
      </w:r>
      <w:r>
        <w:rPr>
          <w:b/>
          <w:bCs/>
        </w:rPr>
        <w:t>Describe efforts are used to identity duplication?  Why can’t any similar information already available be used or modified for use for the purposes described in Item 2 above?</w:t>
      </w:r>
    </w:p>
    <w:p w:rsidR="00E831A1" w:rsidP="002D67B2" w14:paraId="110D1EEA" w14:textId="77777777">
      <w:pPr>
        <w:ind w:left="360"/>
      </w:pPr>
      <w:r>
        <w:t>The information from the form is collected for a single purpose</w:t>
      </w:r>
      <w:r w:rsidR="005275CC">
        <w:t xml:space="preserve">: </w:t>
      </w:r>
      <w:r>
        <w:t xml:space="preserve"> </w:t>
      </w:r>
      <w:r w:rsidR="002D67B2">
        <w:t>to reissue United States Savings Bonds to a personal trust</w:t>
      </w:r>
      <w:r>
        <w:t>. No other federal governmental agency collects this type of information, therefore, no duplication exists.</w:t>
      </w:r>
    </w:p>
    <w:p w:rsidR="003B0D8A" w:rsidP="003B0D8A" w14:paraId="3F67B32D" w14:textId="77777777">
      <w:pPr>
        <w:rPr>
          <w:b/>
          <w:bCs/>
        </w:rPr>
      </w:pPr>
    </w:p>
    <w:p w:rsidR="003B0D8A" w:rsidP="003B0D8A" w14:paraId="085199B8" w14:textId="77777777">
      <w:pPr>
        <w:rPr>
          <w:b/>
          <w:bCs/>
        </w:rPr>
      </w:pPr>
      <w:r>
        <w:rPr>
          <w:b/>
          <w:bCs/>
        </w:rPr>
        <w:t xml:space="preserve">5.  </w:t>
      </w:r>
      <w:r>
        <w:rPr>
          <w:b/>
          <w:bCs/>
        </w:rPr>
        <w:t>If this collection of information impacts small businesses or other small entities, what methods are used to minimize burden?</w:t>
      </w:r>
    </w:p>
    <w:p w:rsidR="000A31EA" w:rsidP="000A31EA" w14:paraId="3D82EF8D" w14:textId="77777777">
      <w:pPr>
        <w:widowControl w:val="0"/>
        <w:tabs>
          <w:tab w:val="left" w:pos="450"/>
        </w:tabs>
        <w:suppressAutoHyphens/>
        <w:autoSpaceDE w:val="0"/>
        <w:autoSpaceDN w:val="0"/>
        <w:adjustRightInd w:val="0"/>
        <w:spacing w:line="240" w:lineRule="atLeast"/>
        <w:ind w:left="360"/>
      </w:pPr>
      <w:r>
        <w:t>This collection of information does not impact small business or other small entities.</w:t>
      </w:r>
    </w:p>
    <w:p w:rsidR="003B0D8A" w:rsidP="003B0D8A" w14:paraId="632CC78B" w14:textId="77777777">
      <w:pPr>
        <w:rPr>
          <w:b/>
          <w:bCs/>
        </w:rPr>
      </w:pPr>
    </w:p>
    <w:p w:rsidR="003B0D8A" w:rsidP="003B0D8A" w14:paraId="47EFF8BC" w14:textId="77777777">
      <w:pPr>
        <w:rPr>
          <w:b/>
          <w:bCs/>
        </w:rPr>
      </w:pPr>
      <w:r>
        <w:rPr>
          <w:b/>
          <w:bCs/>
        </w:rPr>
        <w:t xml:space="preserve">6.  </w:t>
      </w:r>
      <w:r>
        <w:rPr>
          <w:b/>
          <w:bCs/>
        </w:rPr>
        <w:t>What consequences to Federal program or policy activities and what, if any, technical or legal obstacles to reducing burden will occur if this collection is not conducted or is conducted less frequently?</w:t>
      </w:r>
    </w:p>
    <w:p w:rsidR="002D67B2" w:rsidP="002D67B2" w14:paraId="5C262AF2" w14:textId="77777777">
      <w:pPr>
        <w:tabs>
          <w:tab w:val="left" w:pos="360"/>
        </w:tabs>
        <w:ind w:left="360"/>
        <w:rPr>
          <w:bCs/>
        </w:rPr>
      </w:pPr>
      <w:r>
        <w:rPr>
          <w:color w:val="000000"/>
        </w:rPr>
        <w:t>Information requested on the form is voluntary, however, without the use of this form, the Bureau of the Fiscal Service and its agents would not have the ability to reissue securities and identify owners and their accounts.</w:t>
      </w:r>
    </w:p>
    <w:p w:rsidR="003B0D8A" w:rsidP="003B0D8A" w14:paraId="3F4A8046" w14:textId="77777777">
      <w:pPr>
        <w:rPr>
          <w:b/>
          <w:bCs/>
        </w:rPr>
      </w:pPr>
    </w:p>
    <w:p w:rsidR="003B0D8A" w:rsidP="003B0D8A" w14:paraId="2827C8A9" w14:textId="77777777">
      <w:pPr>
        <w:rPr>
          <w:b/>
          <w:bCs/>
        </w:rPr>
      </w:pPr>
      <w:r>
        <w:rPr>
          <w:b/>
          <w:bCs/>
        </w:rPr>
        <w:t xml:space="preserve">7.  </w:t>
      </w:r>
      <w:r>
        <w:rPr>
          <w:b/>
          <w:bCs/>
        </w:rPr>
        <w:t>Is this collection of information conducted in a manner consistent with the guidelines of 5 CFR 1320.6?</w:t>
      </w:r>
    </w:p>
    <w:p w:rsidR="003B0D8A" w:rsidP="004C18DD" w14:paraId="1949BCF6" w14:textId="7A0ED643">
      <w:pPr>
        <w:ind w:left="360"/>
        <w:rPr>
          <w:b/>
          <w:bCs/>
        </w:rPr>
      </w:pPr>
      <w:bookmarkStart w:id="1" w:name="_Hlk138858882"/>
      <w:r w:rsidRPr="00594A81">
        <w:t>There are no special circumstances.  The collection of information is conducted in a manner consistent with the guidelines in 5 CFR 1320.6.</w:t>
      </w:r>
      <w:r>
        <w:t xml:space="preserve"> </w:t>
      </w:r>
    </w:p>
    <w:bookmarkEnd w:id="1"/>
    <w:p w:rsidR="003B0D8A" w:rsidP="003B0D8A" w14:paraId="3CE2DA5F" w14:textId="77777777">
      <w:pPr>
        <w:rPr>
          <w:b/>
          <w:bCs/>
        </w:rPr>
      </w:pPr>
    </w:p>
    <w:p w:rsidR="003B0D8A" w:rsidP="003B0D8A" w14:paraId="65E04068" w14:textId="77777777">
      <w:pPr>
        <w:rPr>
          <w:b/>
          <w:bCs/>
        </w:rPr>
      </w:pPr>
      <w:r>
        <w:rPr>
          <w:b/>
          <w:bCs/>
        </w:rPr>
        <w:t xml:space="preserve">8.  </w:t>
      </w:r>
      <w:r>
        <w:rPr>
          <w:b/>
          <w:bCs/>
        </w:rPr>
        <w:t>What effort was made to notify the general public about this collection of information?</w:t>
      </w:r>
    </w:p>
    <w:p w:rsidR="00C44FEE" w:rsidRPr="007751E5" w:rsidP="006D0E0C" w14:paraId="6713C413" w14:textId="17FF16E6">
      <w:pPr>
        <w:autoSpaceDE w:val="0"/>
        <w:autoSpaceDN w:val="0"/>
        <w:adjustRightInd w:val="0"/>
        <w:ind w:left="360"/>
      </w:pPr>
      <w:bookmarkStart w:id="2" w:name="_Hlk138858894"/>
      <w:r w:rsidRPr="006D0E0C">
        <w:t>The Bureau’s notice was published in the Federal Register on Ma</w:t>
      </w:r>
      <w:r w:rsidR="007E1BAE">
        <w:t>y 8</w:t>
      </w:r>
      <w:r w:rsidRPr="006D0E0C">
        <w:t>, 202</w:t>
      </w:r>
      <w:r w:rsidR="007E1BAE">
        <w:t>6</w:t>
      </w:r>
      <w:r w:rsidRPr="006D0E0C">
        <w:t xml:space="preserve">, Volume </w:t>
      </w:r>
      <w:r w:rsidR="007E1BAE">
        <w:t>91</w:t>
      </w:r>
      <w:r w:rsidRPr="006D0E0C">
        <w:t xml:space="preserve">, Page </w:t>
      </w:r>
      <w:r w:rsidRPr="007E1BAE" w:rsidR="007E1BAE">
        <w:t>25429</w:t>
      </w:r>
      <w:r w:rsidRPr="006D0E0C">
        <w:t>.  No comments were received.</w:t>
      </w:r>
    </w:p>
    <w:bookmarkEnd w:id="2"/>
    <w:p w:rsidR="000D6FF8" w:rsidP="003B0D8A" w14:paraId="08A9BFDE" w14:textId="77777777">
      <w:pPr>
        <w:rPr>
          <w:b/>
          <w:bCs/>
        </w:rPr>
      </w:pPr>
    </w:p>
    <w:p w:rsidR="003B0D8A" w:rsidP="003B0D8A" w14:paraId="73326935" w14:textId="77777777">
      <w:pPr>
        <w:rPr>
          <w:b/>
          <w:bCs/>
        </w:rPr>
      </w:pPr>
      <w:r>
        <w:rPr>
          <w:b/>
          <w:bCs/>
        </w:rPr>
        <w:t xml:space="preserve">9.  </w:t>
      </w:r>
      <w:r>
        <w:rPr>
          <w:b/>
          <w:bCs/>
        </w:rPr>
        <w:t>What decision was made to provide any payment or gift to respondents, other than reenumeration of contractors or grantees?</w:t>
      </w:r>
    </w:p>
    <w:p w:rsidR="00593248" w:rsidRPr="00593248" w:rsidP="004C18DD" w14:paraId="6FFB13FB" w14:textId="77777777">
      <w:pPr>
        <w:ind w:left="360"/>
        <w:rPr>
          <w:bCs/>
        </w:rPr>
      </w:pPr>
      <w:r w:rsidRPr="00EE524C">
        <w:t>There are no payments or gifts made to respondents.</w:t>
      </w:r>
    </w:p>
    <w:p w:rsidR="003B0D8A" w:rsidP="003B0D8A" w14:paraId="0E3A7C99" w14:textId="77777777">
      <w:pPr>
        <w:rPr>
          <w:b/>
          <w:bCs/>
        </w:rPr>
      </w:pPr>
    </w:p>
    <w:p w:rsidR="003B0D8A" w:rsidP="003B0D8A" w14:paraId="74CAA929" w14:textId="77777777">
      <w:pPr>
        <w:rPr>
          <w:b/>
          <w:bCs/>
        </w:rPr>
      </w:pPr>
      <w:r>
        <w:rPr>
          <w:b/>
          <w:bCs/>
        </w:rPr>
        <w:t xml:space="preserve">10.  </w:t>
      </w:r>
      <w:r>
        <w:rPr>
          <w:b/>
          <w:bCs/>
        </w:rPr>
        <w:t>What assurance of confidentiality was provided to respondents and what was the basis for the assurance in statute, regulations, or agency policy?</w:t>
      </w:r>
    </w:p>
    <w:p w:rsidR="00373B5F" w:rsidRPr="008C2624" w:rsidP="00373B5F" w14:paraId="1DC870D9" w14:textId="5E6A9D7E">
      <w:pPr>
        <w:ind w:left="360"/>
        <w:rPr>
          <w:b/>
          <w:bCs/>
        </w:rPr>
      </w:pPr>
      <w:r w:rsidRPr="006D0E0C">
        <w:t>Aside from protections contained in the Privacy Act, there is no guarantee of confidentiality.</w:t>
      </w:r>
    </w:p>
    <w:p w:rsidR="003B0D8A" w:rsidP="00373B5F" w14:paraId="2D9DFE7D" w14:textId="77777777">
      <w:pPr>
        <w:ind w:left="360"/>
        <w:rPr>
          <w:b/>
          <w:bCs/>
        </w:rPr>
      </w:pPr>
    </w:p>
    <w:p w:rsidR="003B0D8A" w:rsidP="003B0D8A" w14:paraId="2138CA18" w14:textId="77777777">
      <w:pPr>
        <w:rPr>
          <w:b/>
          <w:bCs/>
        </w:rPr>
      </w:pPr>
      <w:r>
        <w:rPr>
          <w:b/>
          <w:bCs/>
        </w:rPr>
        <w:t xml:space="preserve">11.  </w:t>
      </w:r>
      <w:r>
        <w:rPr>
          <w:b/>
          <w:bCs/>
        </w:rPr>
        <w:t>What justification is there for questions of a sensitive nature?</w:t>
      </w:r>
    </w:p>
    <w:p w:rsidR="00C266E0" w:rsidP="00C266E0" w14:paraId="1AADB58A" w14:textId="0E26258D">
      <w:pPr>
        <w:ind w:left="360"/>
        <w:rPr>
          <w:bCs/>
        </w:rPr>
      </w:pPr>
      <w:bookmarkStart w:id="3" w:name="_Hlk138858951"/>
      <w:r>
        <w:rPr>
          <w:bCs/>
        </w:rPr>
        <w:t xml:space="preserve">There are no questions of a sensitive nature. Personally identifiable information (PII) collected on this form such as name, and social security number, is necessary </w:t>
      </w:r>
      <w:r w:rsidRPr="00DF659B">
        <w:t>to support a</w:t>
      </w:r>
      <w:r>
        <w:t xml:space="preserve"> request for payment or reissue.</w:t>
      </w:r>
      <w:r>
        <w:rPr>
          <w:bCs/>
        </w:rPr>
        <w:t xml:space="preserve"> </w:t>
      </w:r>
      <w:r w:rsidRPr="006D0E0C" w:rsidR="006D0E0C">
        <w:rPr>
          <w:bCs/>
        </w:rPr>
        <w:t>An applicable System of Records Notice for this information was published February 27, 2020. System of Records Name: Treasury/Fiscal Service .014—United States Securities and Access) and Treasury/ Fiscal Service .020– U.S. Treasury Securities Fraud Information Systems.</w:t>
      </w:r>
    </w:p>
    <w:bookmarkEnd w:id="3"/>
    <w:p w:rsidR="00C266E0" w:rsidP="00C266E0" w14:paraId="151A392A" w14:textId="77777777">
      <w:pPr>
        <w:ind w:left="360"/>
        <w:rPr>
          <w:bCs/>
        </w:rPr>
      </w:pPr>
    </w:p>
    <w:p w:rsidR="00567D20" w:rsidRPr="00C266E0" w:rsidP="00C266E0" w14:paraId="2A0FC56B" w14:textId="77777777">
      <w:pPr>
        <w:ind w:left="360"/>
        <w:rPr>
          <w:bCs/>
        </w:rPr>
      </w:pPr>
      <w:r w:rsidRPr="00105A26">
        <w:t>The Bureau of the Fiscal Service conducts a Privacy Impact Assessment (PIA) on information systems collecting personally identifiable information from the public. We do PIAs to ensure that:</w:t>
      </w:r>
    </w:p>
    <w:p w:rsidR="00567D20" w:rsidRPr="00105A26" w:rsidP="00567D20" w14:paraId="3A156673" w14:textId="77777777">
      <w:pPr>
        <w:numPr>
          <w:ilvl w:val="0"/>
          <w:numId w:val="11"/>
        </w:numPr>
        <w:spacing w:after="100" w:afterAutospacing="1"/>
      </w:pPr>
      <w:r w:rsidRPr="00105A26">
        <w:t>we tell the public the information that we collect about them,</w:t>
      </w:r>
    </w:p>
    <w:p w:rsidR="00567D20" w:rsidRPr="00105A26" w:rsidP="00567D20" w14:paraId="620815AE" w14:textId="77777777">
      <w:pPr>
        <w:numPr>
          <w:ilvl w:val="0"/>
          <w:numId w:val="11"/>
        </w:numPr>
        <w:spacing w:before="100" w:beforeAutospacing="1" w:after="100" w:afterAutospacing="1"/>
      </w:pPr>
      <w:r w:rsidRPr="00105A26">
        <w:t>we adequately address impacts these systems have on personal privacy,</w:t>
      </w:r>
    </w:p>
    <w:p w:rsidR="00C266E0" w:rsidP="00C266E0" w14:paraId="6B348E1F" w14:textId="77777777">
      <w:pPr>
        <w:numPr>
          <w:ilvl w:val="0"/>
          <w:numId w:val="11"/>
        </w:numPr>
        <w:spacing w:before="100" w:beforeAutospacing="1" w:after="100" w:afterAutospacing="1"/>
      </w:pPr>
      <w:r w:rsidRPr="00105A26">
        <w:t>we collect only enough personal information to administer our programs, and no more</w:t>
      </w:r>
    </w:p>
    <w:p w:rsidR="00C266E0" w:rsidP="00C266E0" w14:paraId="5A3D3A44" w14:textId="77777777">
      <w:pPr>
        <w:spacing w:before="100" w:beforeAutospacing="1" w:after="100" w:afterAutospacing="1"/>
        <w:ind w:left="360"/>
      </w:pPr>
      <w:r w:rsidRPr="00105A26">
        <w:t>Also, PIAs confirm that we use the information for the purpose intended; that the information remains timely and accurate; that it is protected while we have it, and we hold it only for as long as we need it.</w:t>
      </w:r>
    </w:p>
    <w:p w:rsidR="003B0D8A" w:rsidP="00C266E0" w14:paraId="79F1180B" w14:textId="4BE2DDDB">
      <w:pPr>
        <w:spacing w:before="100" w:beforeAutospacing="1" w:after="100" w:afterAutospacing="1"/>
        <w:ind w:left="360"/>
      </w:pPr>
      <w:r>
        <w:t xml:space="preserve">The PIA for the </w:t>
      </w:r>
      <w:r w:rsidR="00C266E0">
        <w:t xml:space="preserve">Savings Bond Replacement system is available at </w:t>
      </w:r>
      <w:r w:rsidRPr="00F85E9A" w:rsidR="00F85E9A">
        <w:t>https://fiscal.treasury.gov/system/files/files/pia/SaBRe-pclia.pdf</w:t>
      </w:r>
    </w:p>
    <w:p w:rsidR="003B0D8A" w:rsidP="003B0D8A" w14:paraId="313459EE" w14:textId="77777777">
      <w:pPr>
        <w:rPr>
          <w:b/>
          <w:bCs/>
        </w:rPr>
      </w:pPr>
      <w:r>
        <w:rPr>
          <w:b/>
          <w:bCs/>
        </w:rPr>
        <w:t xml:space="preserve">12.  </w:t>
      </w:r>
      <w:r>
        <w:rPr>
          <w:b/>
          <w:bCs/>
        </w:rPr>
        <w:t>What is the estimated hour burden of this collection of information?</w:t>
      </w:r>
    </w:p>
    <w:p w:rsidR="00E06DD6" w:rsidP="00E164FE" w14:paraId="406AC3B9" w14:textId="5FA4A8AE">
      <w:pPr>
        <w:autoSpaceDE w:val="0"/>
        <w:autoSpaceDN w:val="0"/>
        <w:adjustRightInd w:val="0"/>
        <w:ind w:left="360"/>
      </w:pPr>
      <w:r>
        <w:t xml:space="preserve">The average time needed is </w:t>
      </w:r>
      <w:r w:rsidR="00BA110F">
        <w:t>15</w:t>
      </w:r>
      <w:r w:rsidR="00B572A5">
        <w:t xml:space="preserve"> </w:t>
      </w:r>
      <w:r w:rsidRPr="00A37430">
        <w:t>minutes per response multiplied by the estimated number of responses (</w:t>
      </w:r>
      <w:r w:rsidR="00BA110F">
        <w:t>1</w:t>
      </w:r>
      <w:r w:rsidR="00CE7827">
        <w:t>0,6</w:t>
      </w:r>
      <w:r w:rsidR="00BA110F">
        <w:t>00</w:t>
      </w:r>
      <w:r w:rsidRPr="00A37430">
        <w:t>) reflects the total burden of</w:t>
      </w:r>
      <w:r w:rsidR="00371A43">
        <w:t xml:space="preserve"> </w:t>
      </w:r>
      <w:r w:rsidR="00CE7827">
        <w:t>2,650</w:t>
      </w:r>
      <w:r w:rsidR="0072099F">
        <w:t xml:space="preserve"> </w:t>
      </w:r>
      <w:r w:rsidRPr="00A37430">
        <w:t>hours.</w:t>
      </w:r>
    </w:p>
    <w:p w:rsidR="00D842FA" w:rsidP="00D842FA" w14:paraId="05515931" w14:textId="1CD74F58">
      <w:pPr>
        <w:autoSpaceDE w:val="0"/>
        <w:autoSpaceDN w:val="0"/>
        <w:adjustRightInd w:val="0"/>
        <w:ind w:left="360"/>
      </w:pPr>
    </w:p>
    <w:p w:rsidR="00762A05" w:rsidRPr="00E164FE" w:rsidP="00E164FE" w14:paraId="00417954" w14:textId="77777777">
      <w:pPr>
        <w:rPr>
          <w:iCs/>
        </w:rPr>
      </w:pPr>
    </w:p>
    <w:p w:rsidR="00762A05" w:rsidP="00762A05" w14:paraId="4CA0B6EE" w14:textId="77777777">
      <w:pPr>
        <w:numPr>
          <w:ilvl w:val="1"/>
          <w:numId w:val="14"/>
        </w:numPr>
        <w:spacing w:after="120"/>
        <w:rPr>
          <w:rFonts w:ascii="Arial" w:hAnsi="Arial" w:cs="Arial"/>
          <w:color w:val="000000"/>
        </w:rPr>
      </w:pPr>
      <w:bookmarkStart w:id="4" w:name="_Hlk138858991"/>
      <w:r>
        <w:rPr>
          <w:rFonts w:ascii="Arial" w:hAnsi="Arial" w:cs="Arial"/>
          <w:color w:val="000000"/>
        </w:rPr>
        <w:t>Estimate of Burden Hours.</w:t>
      </w:r>
    </w:p>
    <w:tbl>
      <w:tblPr>
        <w:tblW w:w="8190" w:type="dxa"/>
        <w:tblInd w:w="738" w:type="dxa"/>
        <w:tblLook w:val="04A0"/>
      </w:tblPr>
      <w:tblGrid>
        <w:gridCol w:w="1170"/>
        <w:gridCol w:w="1260"/>
        <w:gridCol w:w="1350"/>
        <w:gridCol w:w="1530"/>
        <w:gridCol w:w="1530"/>
        <w:gridCol w:w="1350"/>
      </w:tblGrid>
      <w:tr w14:paraId="386871C4" w14:textId="77777777" w:rsidTr="001F1271">
        <w:tblPrEx>
          <w:tblW w:w="8190" w:type="dxa"/>
          <w:tblInd w:w="738" w:type="dxa"/>
          <w:tblLook w:val="04A0"/>
        </w:tblPrEx>
        <w:trPr>
          <w:trHeight w:val="780"/>
        </w:trPr>
        <w:tc>
          <w:tcPr>
            <w:tcW w:w="1170" w:type="dxa"/>
            <w:tcBorders>
              <w:top w:val="single" w:sz="8" w:space="0" w:color="auto"/>
              <w:left w:val="single" w:sz="8" w:space="0" w:color="auto"/>
              <w:bottom w:val="single" w:sz="8" w:space="0" w:color="auto"/>
              <w:right w:val="single" w:sz="8" w:space="0" w:color="auto"/>
            </w:tcBorders>
            <w:vAlign w:val="center"/>
            <w:hideMark/>
          </w:tcPr>
          <w:p w:rsidR="00762A05" w:rsidRPr="00932422" w:rsidP="001F1271" w14:paraId="4C96A24D" w14:textId="77777777">
            <w:pPr>
              <w:jc w:val="center"/>
              <w:rPr>
                <w:rFonts w:ascii="Arial Narrow" w:hAnsi="Arial Narrow" w:cs="Calibri"/>
                <w:sz w:val="20"/>
                <w:szCs w:val="20"/>
              </w:rPr>
            </w:pPr>
            <w:r w:rsidRPr="00932422">
              <w:rPr>
                <w:rFonts w:ascii="Arial Narrow" w:hAnsi="Arial Narrow" w:cs="Calibri"/>
                <w:sz w:val="20"/>
                <w:szCs w:val="20"/>
              </w:rPr>
              <w:t>Form</w:t>
            </w:r>
          </w:p>
        </w:tc>
        <w:tc>
          <w:tcPr>
            <w:tcW w:w="1260" w:type="dxa"/>
            <w:tcBorders>
              <w:top w:val="single" w:sz="8" w:space="0" w:color="auto"/>
              <w:left w:val="nil"/>
              <w:bottom w:val="single" w:sz="8" w:space="0" w:color="auto"/>
              <w:right w:val="single" w:sz="8" w:space="0" w:color="auto"/>
            </w:tcBorders>
            <w:vAlign w:val="center"/>
            <w:hideMark/>
          </w:tcPr>
          <w:p w:rsidR="00762A05" w:rsidRPr="00932422" w:rsidP="001F1271" w14:paraId="49DD35A5" w14:textId="77777777">
            <w:pPr>
              <w:jc w:val="center"/>
              <w:rPr>
                <w:rFonts w:ascii="Arial Narrow" w:hAnsi="Arial Narrow" w:cs="Calibri"/>
                <w:sz w:val="20"/>
                <w:szCs w:val="20"/>
              </w:rPr>
            </w:pPr>
            <w:r w:rsidRPr="00932422">
              <w:rPr>
                <w:rFonts w:ascii="Arial Narrow" w:hAnsi="Arial Narrow" w:cs="Calibri"/>
                <w:sz w:val="20"/>
                <w:szCs w:val="20"/>
              </w:rPr>
              <w:t># Respondents</w:t>
            </w:r>
          </w:p>
        </w:tc>
        <w:tc>
          <w:tcPr>
            <w:tcW w:w="1350" w:type="dxa"/>
            <w:tcBorders>
              <w:top w:val="single" w:sz="8" w:space="0" w:color="auto"/>
              <w:left w:val="nil"/>
              <w:bottom w:val="single" w:sz="8" w:space="0" w:color="auto"/>
              <w:right w:val="single" w:sz="8" w:space="0" w:color="auto"/>
            </w:tcBorders>
            <w:vAlign w:val="center"/>
            <w:hideMark/>
          </w:tcPr>
          <w:p w:rsidR="00762A05" w:rsidRPr="00932422" w:rsidP="001F1271" w14:paraId="465FD455" w14:textId="77777777">
            <w:pPr>
              <w:jc w:val="center"/>
              <w:rPr>
                <w:rFonts w:ascii="Arial Narrow" w:hAnsi="Arial Narrow" w:cs="Calibri"/>
                <w:sz w:val="20"/>
                <w:szCs w:val="20"/>
              </w:rPr>
            </w:pPr>
            <w:r w:rsidRPr="00932422">
              <w:rPr>
                <w:rFonts w:ascii="Arial Narrow" w:hAnsi="Arial Narrow" w:cs="Calibri"/>
                <w:sz w:val="20"/>
                <w:szCs w:val="20"/>
              </w:rPr>
              <w:t>Responses per Respondent</w:t>
            </w:r>
          </w:p>
        </w:tc>
        <w:tc>
          <w:tcPr>
            <w:tcW w:w="1530" w:type="dxa"/>
            <w:tcBorders>
              <w:top w:val="single" w:sz="8" w:space="0" w:color="auto"/>
              <w:left w:val="nil"/>
              <w:bottom w:val="single" w:sz="8" w:space="0" w:color="auto"/>
              <w:right w:val="single" w:sz="8" w:space="0" w:color="auto"/>
            </w:tcBorders>
            <w:vAlign w:val="center"/>
            <w:hideMark/>
          </w:tcPr>
          <w:p w:rsidR="00762A05" w:rsidRPr="00932422" w:rsidP="001F1271" w14:paraId="65618F1A" w14:textId="77777777">
            <w:pPr>
              <w:jc w:val="center"/>
              <w:rPr>
                <w:rFonts w:ascii="Arial Narrow" w:hAnsi="Arial Narrow" w:cs="Calibri"/>
                <w:sz w:val="20"/>
                <w:szCs w:val="20"/>
              </w:rPr>
            </w:pPr>
            <w:r w:rsidRPr="00932422">
              <w:rPr>
                <w:rFonts w:ascii="Arial Narrow" w:hAnsi="Arial Narrow" w:cs="Calibri"/>
                <w:sz w:val="20"/>
                <w:szCs w:val="20"/>
              </w:rPr>
              <w:t>Annual Responses</w:t>
            </w:r>
          </w:p>
        </w:tc>
        <w:tc>
          <w:tcPr>
            <w:tcW w:w="1530" w:type="dxa"/>
            <w:tcBorders>
              <w:top w:val="single" w:sz="8" w:space="0" w:color="auto"/>
              <w:left w:val="nil"/>
              <w:bottom w:val="single" w:sz="8" w:space="0" w:color="auto"/>
              <w:right w:val="single" w:sz="8" w:space="0" w:color="auto"/>
            </w:tcBorders>
            <w:vAlign w:val="center"/>
            <w:hideMark/>
          </w:tcPr>
          <w:p w:rsidR="00762A05" w:rsidRPr="00932422" w:rsidP="001F1271" w14:paraId="6ABBCA8F" w14:textId="77777777">
            <w:pPr>
              <w:jc w:val="center"/>
              <w:rPr>
                <w:rFonts w:ascii="Arial Narrow" w:hAnsi="Arial Narrow" w:cs="Calibri"/>
                <w:sz w:val="20"/>
                <w:szCs w:val="20"/>
              </w:rPr>
            </w:pPr>
            <w:r w:rsidRPr="00932422">
              <w:rPr>
                <w:rFonts w:ascii="Arial Narrow" w:hAnsi="Arial Narrow" w:cs="Calibri"/>
                <w:sz w:val="20"/>
                <w:szCs w:val="20"/>
              </w:rPr>
              <w:t>Time per Response</w:t>
            </w:r>
          </w:p>
        </w:tc>
        <w:tc>
          <w:tcPr>
            <w:tcW w:w="1350" w:type="dxa"/>
            <w:tcBorders>
              <w:top w:val="single" w:sz="8" w:space="0" w:color="auto"/>
              <w:left w:val="nil"/>
              <w:bottom w:val="single" w:sz="8" w:space="0" w:color="auto"/>
              <w:right w:val="single" w:sz="8" w:space="0" w:color="auto"/>
            </w:tcBorders>
            <w:vAlign w:val="center"/>
            <w:hideMark/>
          </w:tcPr>
          <w:p w:rsidR="00762A05" w:rsidRPr="00932422" w:rsidP="001F1271" w14:paraId="4156C24A" w14:textId="77777777">
            <w:pPr>
              <w:jc w:val="center"/>
              <w:rPr>
                <w:rFonts w:ascii="Arial Narrow" w:hAnsi="Arial Narrow" w:cs="Calibri"/>
                <w:sz w:val="20"/>
                <w:szCs w:val="20"/>
              </w:rPr>
            </w:pPr>
            <w:r>
              <w:rPr>
                <w:rFonts w:ascii="Arial Narrow" w:hAnsi="Arial Narrow" w:cs="Calibri"/>
                <w:sz w:val="20"/>
                <w:szCs w:val="20"/>
              </w:rPr>
              <w:t xml:space="preserve">Total </w:t>
            </w:r>
            <w:r w:rsidRPr="00932422">
              <w:rPr>
                <w:rFonts w:ascii="Arial Narrow" w:hAnsi="Arial Narrow" w:cs="Calibri"/>
                <w:sz w:val="20"/>
                <w:szCs w:val="20"/>
              </w:rPr>
              <w:t>Burden</w:t>
            </w:r>
          </w:p>
        </w:tc>
      </w:tr>
      <w:tr w14:paraId="02710A83" w14:textId="77777777" w:rsidTr="001F1271">
        <w:tblPrEx>
          <w:tblW w:w="8190" w:type="dxa"/>
          <w:tblInd w:w="738" w:type="dxa"/>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762A05" w:rsidRPr="00932422" w:rsidP="001F1271" w14:paraId="19E140BA" w14:textId="51F964A7">
            <w:pPr>
              <w:jc w:val="center"/>
              <w:rPr>
                <w:rFonts w:ascii="Arial" w:hAnsi="Arial" w:cs="Arial"/>
                <w:sz w:val="20"/>
                <w:szCs w:val="20"/>
              </w:rPr>
            </w:pPr>
            <w:r>
              <w:rPr>
                <w:rFonts w:ascii="Arial" w:hAnsi="Arial" w:cs="Arial"/>
                <w:sz w:val="20"/>
                <w:szCs w:val="20"/>
              </w:rPr>
              <w:t xml:space="preserve">FS Form </w:t>
            </w:r>
            <w:r w:rsidR="00697269">
              <w:rPr>
                <w:rFonts w:ascii="Arial" w:hAnsi="Arial" w:cs="Arial"/>
                <w:sz w:val="20"/>
                <w:szCs w:val="20"/>
              </w:rPr>
              <w:t>1851</w:t>
            </w:r>
          </w:p>
        </w:tc>
        <w:tc>
          <w:tcPr>
            <w:tcW w:w="1260" w:type="dxa"/>
            <w:tcBorders>
              <w:top w:val="nil"/>
              <w:left w:val="nil"/>
              <w:bottom w:val="single" w:sz="8" w:space="0" w:color="auto"/>
              <w:right w:val="single" w:sz="8" w:space="0" w:color="auto"/>
            </w:tcBorders>
            <w:vAlign w:val="center"/>
            <w:hideMark/>
          </w:tcPr>
          <w:p w:rsidR="00762A05" w:rsidRPr="00932422" w:rsidP="001F1271" w14:paraId="717CCED9" w14:textId="09ADACEF">
            <w:pPr>
              <w:jc w:val="center"/>
              <w:rPr>
                <w:rFonts w:ascii="Arial" w:hAnsi="Arial" w:cs="Arial"/>
                <w:sz w:val="20"/>
                <w:szCs w:val="20"/>
              </w:rPr>
            </w:pPr>
            <w:r>
              <w:rPr>
                <w:rFonts w:ascii="Arial" w:hAnsi="Arial" w:cs="Arial"/>
                <w:sz w:val="20"/>
                <w:szCs w:val="20"/>
              </w:rPr>
              <w:t>10,600</w:t>
            </w:r>
          </w:p>
        </w:tc>
        <w:tc>
          <w:tcPr>
            <w:tcW w:w="1350" w:type="dxa"/>
            <w:tcBorders>
              <w:top w:val="nil"/>
              <w:left w:val="nil"/>
              <w:bottom w:val="single" w:sz="8" w:space="0" w:color="auto"/>
              <w:right w:val="single" w:sz="8" w:space="0" w:color="auto"/>
            </w:tcBorders>
            <w:vAlign w:val="center"/>
            <w:hideMark/>
          </w:tcPr>
          <w:p w:rsidR="00762A05" w:rsidRPr="00932422" w:rsidP="001F1271" w14:paraId="5C184C46" w14:textId="77777777">
            <w:pPr>
              <w:jc w:val="center"/>
              <w:rPr>
                <w:rFonts w:ascii="Arial" w:hAnsi="Arial" w:cs="Arial"/>
                <w:sz w:val="20"/>
                <w:szCs w:val="20"/>
              </w:rPr>
            </w:pPr>
            <w:r w:rsidRPr="00932422">
              <w:rPr>
                <w:rFonts w:ascii="Arial" w:hAnsi="Arial" w:cs="Arial"/>
                <w:sz w:val="20"/>
                <w:szCs w:val="20"/>
              </w:rPr>
              <w:t>1</w:t>
            </w:r>
          </w:p>
        </w:tc>
        <w:tc>
          <w:tcPr>
            <w:tcW w:w="1530" w:type="dxa"/>
            <w:tcBorders>
              <w:top w:val="nil"/>
              <w:left w:val="nil"/>
              <w:bottom w:val="single" w:sz="8" w:space="0" w:color="auto"/>
              <w:right w:val="single" w:sz="8" w:space="0" w:color="auto"/>
            </w:tcBorders>
            <w:vAlign w:val="center"/>
            <w:hideMark/>
          </w:tcPr>
          <w:p w:rsidR="00762A05" w:rsidRPr="00932422" w:rsidP="001F1271" w14:paraId="2B32F392" w14:textId="08FB1948">
            <w:pPr>
              <w:jc w:val="center"/>
              <w:rPr>
                <w:rFonts w:ascii="Arial" w:hAnsi="Arial" w:cs="Arial"/>
                <w:sz w:val="20"/>
                <w:szCs w:val="20"/>
              </w:rPr>
            </w:pPr>
            <w:r>
              <w:rPr>
                <w:rFonts w:ascii="Arial" w:hAnsi="Arial" w:cs="Arial"/>
                <w:sz w:val="20"/>
                <w:szCs w:val="20"/>
              </w:rPr>
              <w:t>10,600</w:t>
            </w:r>
          </w:p>
        </w:tc>
        <w:tc>
          <w:tcPr>
            <w:tcW w:w="1530" w:type="dxa"/>
            <w:tcBorders>
              <w:top w:val="nil"/>
              <w:left w:val="nil"/>
              <w:bottom w:val="single" w:sz="8" w:space="0" w:color="auto"/>
              <w:right w:val="single" w:sz="8" w:space="0" w:color="auto"/>
            </w:tcBorders>
            <w:vAlign w:val="center"/>
            <w:hideMark/>
          </w:tcPr>
          <w:p w:rsidR="00762A05" w:rsidP="001F1271" w14:paraId="5CB6EF38" w14:textId="4287E729">
            <w:pPr>
              <w:jc w:val="center"/>
              <w:rPr>
                <w:rFonts w:ascii="Arial" w:hAnsi="Arial" w:cs="Arial"/>
                <w:sz w:val="20"/>
                <w:szCs w:val="20"/>
              </w:rPr>
            </w:pPr>
            <w:r>
              <w:rPr>
                <w:rFonts w:ascii="Arial" w:hAnsi="Arial" w:cs="Arial"/>
                <w:sz w:val="20"/>
                <w:szCs w:val="20"/>
              </w:rPr>
              <w:t>15</w:t>
            </w:r>
            <w:r>
              <w:rPr>
                <w:rFonts w:ascii="Arial" w:hAnsi="Arial" w:cs="Arial"/>
                <w:sz w:val="20"/>
                <w:szCs w:val="20"/>
              </w:rPr>
              <w:t xml:space="preserve"> minutes</w:t>
            </w:r>
          </w:p>
          <w:p w:rsidR="00762A05" w:rsidRPr="00932422" w:rsidP="001F1271" w14:paraId="7104269C" w14:textId="72BBEE27">
            <w:pPr>
              <w:jc w:val="center"/>
              <w:rPr>
                <w:rFonts w:ascii="Arial" w:hAnsi="Arial" w:cs="Arial"/>
                <w:sz w:val="20"/>
                <w:szCs w:val="20"/>
              </w:rPr>
            </w:pPr>
            <w:r>
              <w:rPr>
                <w:rFonts w:ascii="Arial" w:hAnsi="Arial" w:cs="Arial"/>
                <w:sz w:val="20"/>
                <w:szCs w:val="20"/>
              </w:rPr>
              <w:t>(0.</w:t>
            </w:r>
            <w:r w:rsidR="00697269">
              <w:rPr>
                <w:rFonts w:ascii="Arial" w:hAnsi="Arial" w:cs="Arial"/>
                <w:sz w:val="20"/>
                <w:szCs w:val="20"/>
              </w:rPr>
              <w:t>2</w:t>
            </w:r>
            <w:r>
              <w:rPr>
                <w:rFonts w:ascii="Arial" w:hAnsi="Arial" w:cs="Arial"/>
                <w:sz w:val="20"/>
                <w:szCs w:val="20"/>
              </w:rPr>
              <w:t>5 hours)</w:t>
            </w:r>
          </w:p>
        </w:tc>
        <w:tc>
          <w:tcPr>
            <w:tcW w:w="1350" w:type="dxa"/>
            <w:tcBorders>
              <w:top w:val="nil"/>
              <w:left w:val="nil"/>
              <w:bottom w:val="single" w:sz="8" w:space="0" w:color="auto"/>
              <w:right w:val="single" w:sz="8" w:space="0" w:color="auto"/>
            </w:tcBorders>
            <w:vAlign w:val="center"/>
            <w:hideMark/>
          </w:tcPr>
          <w:p w:rsidR="00762A05" w:rsidRPr="00932422" w:rsidP="001F1271" w14:paraId="474A24C2" w14:textId="312ABC17">
            <w:pPr>
              <w:jc w:val="center"/>
              <w:rPr>
                <w:rFonts w:ascii="Arial" w:hAnsi="Arial" w:cs="Arial"/>
                <w:sz w:val="20"/>
                <w:szCs w:val="20"/>
              </w:rPr>
            </w:pPr>
            <w:r>
              <w:rPr>
                <w:rFonts w:ascii="Arial" w:hAnsi="Arial" w:cs="Arial"/>
                <w:sz w:val="20"/>
                <w:szCs w:val="20"/>
              </w:rPr>
              <w:t>2,650</w:t>
            </w:r>
          </w:p>
        </w:tc>
      </w:tr>
    </w:tbl>
    <w:p w:rsidR="00762A05" w:rsidP="00762A05" w14:paraId="45ACE382" w14:textId="77777777">
      <w:pPr>
        <w:spacing w:after="120"/>
        <w:ind w:left="1440"/>
        <w:rPr>
          <w:rFonts w:ascii="Arial" w:hAnsi="Arial" w:cs="Arial"/>
          <w:color w:val="000000"/>
        </w:rPr>
      </w:pPr>
    </w:p>
    <w:p w:rsidR="00762A05" w:rsidRPr="00B27C51" w:rsidP="00762A05" w14:paraId="14A0DA9B" w14:textId="77777777">
      <w:pPr>
        <w:numPr>
          <w:ilvl w:val="1"/>
          <w:numId w:val="14"/>
        </w:numPr>
        <w:spacing w:after="120"/>
        <w:rPr>
          <w:rFonts w:ascii="Arial" w:hAnsi="Arial" w:cs="Arial"/>
          <w:color w:val="000000"/>
        </w:rPr>
      </w:pPr>
      <w:r>
        <w:rPr>
          <w:rFonts w:ascii="Arial" w:hAnsi="Arial" w:cs="Arial"/>
          <w:color w:val="000000"/>
        </w:rPr>
        <w:t xml:space="preserve">Estimate of Annual Respondent Cost. </w:t>
      </w:r>
    </w:p>
    <w:tbl>
      <w:tblPr>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3"/>
        <w:gridCol w:w="1440"/>
        <w:gridCol w:w="1455"/>
        <w:gridCol w:w="1777"/>
        <w:gridCol w:w="1155"/>
        <w:gridCol w:w="1066"/>
        <w:gridCol w:w="1421"/>
      </w:tblGrid>
      <w:tr w14:paraId="1F417D1A" w14:textId="77777777" w:rsidTr="001F1271">
        <w:tblPrEx>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723"/>
        </w:trPr>
        <w:tc>
          <w:tcPr>
            <w:tcW w:w="1013" w:type="dxa"/>
            <w:vAlign w:val="bottom"/>
          </w:tcPr>
          <w:p w:rsidR="00762A05" w:rsidRPr="00EC3644" w:rsidP="001F1271" w14:paraId="79EF37C2"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Form</w:t>
            </w:r>
          </w:p>
        </w:tc>
        <w:tc>
          <w:tcPr>
            <w:tcW w:w="1440" w:type="dxa"/>
            <w:vAlign w:val="bottom"/>
          </w:tcPr>
          <w:p w:rsidR="00762A05" w:rsidRPr="00EC3644" w:rsidP="001F1271" w14:paraId="693B0A4E"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No. of Respondents</w:t>
            </w:r>
          </w:p>
        </w:tc>
        <w:tc>
          <w:tcPr>
            <w:tcW w:w="1455" w:type="dxa"/>
            <w:vAlign w:val="bottom"/>
          </w:tcPr>
          <w:p w:rsidR="00762A05" w:rsidRPr="00EC3644" w:rsidP="001F1271" w14:paraId="190743DB"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Number of Responses per Respondent</w:t>
            </w:r>
          </w:p>
        </w:tc>
        <w:tc>
          <w:tcPr>
            <w:tcW w:w="1777" w:type="dxa"/>
            <w:vAlign w:val="bottom"/>
          </w:tcPr>
          <w:p w:rsidR="00762A05" w:rsidRPr="00EC3644" w:rsidP="001F1271" w14:paraId="46C2E327"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Burden per Response (in hours)</w:t>
            </w:r>
          </w:p>
        </w:tc>
        <w:tc>
          <w:tcPr>
            <w:tcW w:w="1155" w:type="dxa"/>
            <w:vAlign w:val="bottom"/>
          </w:tcPr>
          <w:p w:rsidR="00762A05" w:rsidRPr="00EC3644" w:rsidP="001F1271" w14:paraId="3D912AA8"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Burden (in hours)</w:t>
            </w:r>
          </w:p>
        </w:tc>
        <w:tc>
          <w:tcPr>
            <w:tcW w:w="1066" w:type="dxa"/>
            <w:vAlign w:val="bottom"/>
          </w:tcPr>
          <w:p w:rsidR="00762A05" w:rsidRPr="00EC3644" w:rsidP="001F1271" w14:paraId="051E408F"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Hourly Wage Rate</w:t>
            </w:r>
            <w:r>
              <w:rPr>
                <w:rStyle w:val="FootnoteReference"/>
                <w:rFonts w:ascii="Arial" w:hAnsi="Arial" w:cs="Arial"/>
                <w:bCs/>
                <w:sz w:val="20"/>
                <w:szCs w:val="20"/>
              </w:rPr>
              <w:footnoteReference w:id="2"/>
            </w:r>
          </w:p>
        </w:tc>
        <w:tc>
          <w:tcPr>
            <w:tcW w:w="1421" w:type="dxa"/>
            <w:vAlign w:val="bottom"/>
          </w:tcPr>
          <w:p w:rsidR="00762A05" w:rsidRPr="00EC3644" w:rsidP="001F1271" w14:paraId="749F5309"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Respondent Cost</w:t>
            </w:r>
          </w:p>
        </w:tc>
      </w:tr>
      <w:tr w14:paraId="0CB8122B" w14:textId="77777777" w:rsidTr="001F1271">
        <w:tblPrEx>
          <w:tblW w:w="9327" w:type="dxa"/>
          <w:tblInd w:w="625" w:type="dxa"/>
          <w:tblLayout w:type="fixed"/>
          <w:tblLook w:val="01E0"/>
        </w:tblPrEx>
        <w:trPr>
          <w:cantSplit/>
          <w:trHeight w:val="723"/>
        </w:trPr>
        <w:tc>
          <w:tcPr>
            <w:tcW w:w="1013" w:type="dxa"/>
            <w:vAlign w:val="center"/>
          </w:tcPr>
          <w:p w:rsidR="00762A05" w:rsidRPr="00EC3644" w:rsidP="001F1271" w14:paraId="2E69199A" w14:textId="400519B8">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1851</w:t>
            </w:r>
          </w:p>
        </w:tc>
        <w:tc>
          <w:tcPr>
            <w:tcW w:w="1440" w:type="dxa"/>
            <w:vAlign w:val="center"/>
          </w:tcPr>
          <w:p w:rsidR="00762A05" w:rsidRPr="00EC3644" w:rsidP="001F1271" w14:paraId="1107E38B" w14:textId="1297AE45">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10,600</w:t>
            </w:r>
          </w:p>
        </w:tc>
        <w:tc>
          <w:tcPr>
            <w:tcW w:w="1455" w:type="dxa"/>
            <w:vAlign w:val="center"/>
          </w:tcPr>
          <w:p w:rsidR="00762A05" w:rsidRPr="00EC3644" w:rsidP="001F1271" w14:paraId="76B1009E"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932422">
              <w:rPr>
                <w:rFonts w:ascii="Arial" w:hAnsi="Arial" w:cs="Arial"/>
                <w:sz w:val="20"/>
                <w:szCs w:val="20"/>
              </w:rPr>
              <w:t>1</w:t>
            </w:r>
          </w:p>
        </w:tc>
        <w:tc>
          <w:tcPr>
            <w:tcW w:w="1777" w:type="dxa"/>
            <w:vAlign w:val="center"/>
          </w:tcPr>
          <w:p w:rsidR="00762A05" w:rsidP="001F1271" w14:paraId="7F71A548" w14:textId="5460BACB">
            <w:pPr>
              <w:jc w:val="center"/>
              <w:rPr>
                <w:rFonts w:ascii="Arial" w:hAnsi="Arial" w:cs="Arial"/>
                <w:sz w:val="20"/>
                <w:szCs w:val="20"/>
              </w:rPr>
            </w:pPr>
            <w:r>
              <w:rPr>
                <w:rFonts w:ascii="Arial" w:hAnsi="Arial" w:cs="Arial"/>
                <w:sz w:val="20"/>
                <w:szCs w:val="20"/>
              </w:rPr>
              <w:t>15</w:t>
            </w:r>
            <w:r>
              <w:rPr>
                <w:rFonts w:ascii="Arial" w:hAnsi="Arial" w:cs="Arial"/>
                <w:sz w:val="20"/>
                <w:szCs w:val="20"/>
              </w:rPr>
              <w:t xml:space="preserve"> minutes</w:t>
            </w:r>
          </w:p>
          <w:p w:rsidR="00762A05" w:rsidRPr="00EC3644" w:rsidP="001F1271" w14:paraId="45DEACF9" w14:textId="1DEAE58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(0.</w:t>
            </w:r>
            <w:r w:rsidR="00697269">
              <w:rPr>
                <w:rFonts w:ascii="Arial" w:hAnsi="Arial" w:cs="Arial"/>
                <w:sz w:val="20"/>
                <w:szCs w:val="20"/>
              </w:rPr>
              <w:t>2</w:t>
            </w:r>
            <w:r>
              <w:rPr>
                <w:rFonts w:ascii="Arial" w:hAnsi="Arial" w:cs="Arial"/>
                <w:sz w:val="20"/>
                <w:szCs w:val="20"/>
              </w:rPr>
              <w:t>5 hours)</w:t>
            </w:r>
          </w:p>
        </w:tc>
        <w:tc>
          <w:tcPr>
            <w:tcW w:w="1155" w:type="dxa"/>
            <w:vAlign w:val="center"/>
          </w:tcPr>
          <w:p w:rsidR="00762A05" w:rsidRPr="00EC3644" w:rsidP="001F1271" w14:paraId="0A9EA301" w14:textId="5CEDA9A0">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bCs/>
                <w:sz w:val="20"/>
                <w:szCs w:val="20"/>
              </w:rPr>
              <w:t>2,650</w:t>
            </w:r>
          </w:p>
        </w:tc>
        <w:tc>
          <w:tcPr>
            <w:tcW w:w="1066" w:type="dxa"/>
            <w:vAlign w:val="center"/>
          </w:tcPr>
          <w:p w:rsidR="00762A05" w:rsidRPr="00EC3644" w:rsidP="001F1271" w14:paraId="02E008FA" w14:textId="3B133574">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sz w:val="20"/>
                <w:szCs w:val="20"/>
              </w:rPr>
              <w:t>4</w:t>
            </w:r>
            <w:r w:rsidR="003508C9">
              <w:rPr>
                <w:rFonts w:ascii="Arial" w:hAnsi="Arial" w:cs="Arial"/>
                <w:sz w:val="20"/>
                <w:szCs w:val="20"/>
              </w:rPr>
              <w:t>6</w:t>
            </w:r>
            <w:r>
              <w:rPr>
                <w:rFonts w:ascii="Arial" w:hAnsi="Arial" w:cs="Arial"/>
                <w:sz w:val="20"/>
                <w:szCs w:val="20"/>
              </w:rPr>
              <w:t>.3</w:t>
            </w:r>
            <w:r w:rsidR="003508C9">
              <w:rPr>
                <w:rFonts w:ascii="Arial" w:hAnsi="Arial" w:cs="Arial"/>
                <w:sz w:val="20"/>
                <w:szCs w:val="20"/>
              </w:rPr>
              <w:t>8</w:t>
            </w:r>
          </w:p>
        </w:tc>
        <w:tc>
          <w:tcPr>
            <w:tcW w:w="1421" w:type="dxa"/>
            <w:vAlign w:val="center"/>
          </w:tcPr>
          <w:p w:rsidR="00762A05" w:rsidRPr="00EC3644" w:rsidP="001F1271" w14:paraId="67C5075B" w14:textId="406AA3A0">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bCs/>
                <w:sz w:val="20"/>
                <w:szCs w:val="20"/>
              </w:rPr>
              <w:t>$</w:t>
            </w:r>
            <w:r w:rsidRPr="003508C9">
              <w:rPr>
                <w:rFonts w:ascii="Arial" w:hAnsi="Arial" w:cs="Arial"/>
                <w:bCs/>
                <w:sz w:val="20"/>
                <w:szCs w:val="20"/>
              </w:rPr>
              <w:t>122,907</w:t>
            </w:r>
            <w:r>
              <w:rPr>
                <w:rFonts w:ascii="Arial" w:hAnsi="Arial" w:cs="Arial"/>
                <w:bCs/>
                <w:sz w:val="20"/>
                <w:szCs w:val="20"/>
              </w:rPr>
              <w:t>.00</w:t>
            </w:r>
          </w:p>
        </w:tc>
      </w:tr>
      <w:tr w14:paraId="28CAFB4F" w14:textId="77777777" w:rsidTr="001F1271">
        <w:tblPrEx>
          <w:tblW w:w="9327" w:type="dxa"/>
          <w:tblInd w:w="625" w:type="dxa"/>
          <w:tblLayout w:type="fixed"/>
          <w:tblLook w:val="01E0"/>
        </w:tblPrEx>
        <w:trPr>
          <w:cantSplit/>
          <w:trHeight w:val="723"/>
        </w:trPr>
        <w:tc>
          <w:tcPr>
            <w:tcW w:w="7906" w:type="dxa"/>
            <w:gridSpan w:val="6"/>
            <w:vAlign w:val="center"/>
          </w:tcPr>
          <w:p w:rsidR="00762A05" w:rsidRPr="00EC3644" w:rsidP="001F1271" w14:paraId="0C9DB984"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Arial" w:hAnsi="Arial" w:cs="Arial"/>
                <w:bCs/>
                <w:sz w:val="20"/>
                <w:szCs w:val="20"/>
              </w:rPr>
            </w:pPr>
            <w:r w:rsidRPr="00EC3644">
              <w:rPr>
                <w:rFonts w:ascii="Arial" w:hAnsi="Arial" w:cs="Arial"/>
                <w:bCs/>
                <w:sz w:val="20"/>
                <w:szCs w:val="20"/>
              </w:rPr>
              <w:t>Total Respondent Cost:</w:t>
            </w:r>
          </w:p>
        </w:tc>
        <w:tc>
          <w:tcPr>
            <w:tcW w:w="1421" w:type="dxa"/>
            <w:vAlign w:val="center"/>
          </w:tcPr>
          <w:p w:rsidR="00762A05" w:rsidRPr="00EC3644" w:rsidP="001F1271" w14:paraId="19E2B1C8" w14:textId="3C70F27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bCs/>
                <w:sz w:val="20"/>
                <w:szCs w:val="20"/>
              </w:rPr>
              <w:t>$</w:t>
            </w:r>
            <w:r w:rsidRPr="003508C9">
              <w:rPr>
                <w:rFonts w:ascii="Arial" w:hAnsi="Arial" w:cs="Arial"/>
                <w:bCs/>
                <w:sz w:val="20"/>
                <w:szCs w:val="20"/>
              </w:rPr>
              <w:t>122,907</w:t>
            </w:r>
            <w:r>
              <w:rPr>
                <w:rFonts w:ascii="Arial" w:hAnsi="Arial" w:cs="Arial"/>
                <w:bCs/>
                <w:sz w:val="20"/>
                <w:szCs w:val="20"/>
              </w:rPr>
              <w:t>.00</w:t>
            </w:r>
          </w:p>
        </w:tc>
      </w:tr>
      <w:bookmarkEnd w:id="4"/>
    </w:tbl>
    <w:p w:rsidR="00762A05" w:rsidRPr="00E164FE" w:rsidP="00E164FE" w14:paraId="61407125" w14:textId="77777777">
      <w:pPr>
        <w:autoSpaceDE w:val="0"/>
        <w:autoSpaceDN w:val="0"/>
        <w:adjustRightInd w:val="0"/>
        <w:rPr>
          <w:iCs/>
        </w:rPr>
      </w:pPr>
    </w:p>
    <w:p w:rsidR="00F70F4A" w:rsidP="003B0D8A" w14:paraId="327085C0" w14:textId="77777777">
      <w:pPr>
        <w:rPr>
          <w:b/>
          <w:bCs/>
        </w:rPr>
      </w:pPr>
    </w:p>
    <w:p w:rsidR="003B0D8A" w:rsidP="003B0D8A" w14:paraId="5E62E2D1" w14:textId="30D9E69B">
      <w:pPr>
        <w:rPr>
          <w:b/>
          <w:bCs/>
        </w:rPr>
      </w:pPr>
      <w:r>
        <w:rPr>
          <w:b/>
          <w:bCs/>
        </w:rPr>
        <w:t xml:space="preserve">13.  </w:t>
      </w:r>
      <w:r>
        <w:rPr>
          <w:b/>
          <w:bCs/>
        </w:rPr>
        <w:t>What is the estimated total annual cost burden to respondents or recordkeepers resulting from this collection of information?</w:t>
      </w:r>
    </w:p>
    <w:p w:rsidR="003640E9" w:rsidRPr="003640E9" w:rsidP="003640E9" w14:paraId="7D1D831E" w14:textId="7A3CF081">
      <w:pPr>
        <w:autoSpaceDE w:val="0"/>
        <w:autoSpaceDN w:val="0"/>
        <w:adjustRightInd w:val="0"/>
        <w:ind w:left="360"/>
      </w:pPr>
      <w:r w:rsidRPr="003640E9">
        <w:t>There are no capital/start-up or ongoing operation/maintenance costs associated</w:t>
      </w:r>
    </w:p>
    <w:p w:rsidR="003B0D8A" w:rsidP="003640E9" w14:paraId="12A467B6" w14:textId="703C1E1E">
      <w:pPr>
        <w:ind w:left="360"/>
      </w:pPr>
      <w:r w:rsidRPr="003640E9">
        <w:t>with this information collection</w:t>
      </w:r>
      <w:r>
        <w:rPr>
          <w:rFonts w:ascii="ArialMT" w:hAnsi="ArialMT" w:cs="ArialMT"/>
          <w:sz w:val="22"/>
          <w:szCs w:val="22"/>
        </w:rPr>
        <w:t>.</w:t>
      </w:r>
    </w:p>
    <w:p w:rsidR="000D6FF8" w:rsidP="003B0D8A" w14:paraId="482B674A" w14:textId="77777777">
      <w:pPr>
        <w:rPr>
          <w:b/>
          <w:bCs/>
        </w:rPr>
      </w:pPr>
    </w:p>
    <w:p w:rsidR="003B0D8A" w:rsidP="003B0D8A" w14:paraId="4426683C" w14:textId="77777777">
      <w:pPr>
        <w:rPr>
          <w:b/>
          <w:bCs/>
        </w:rPr>
      </w:pPr>
      <w:r>
        <w:rPr>
          <w:b/>
          <w:bCs/>
        </w:rPr>
        <w:t xml:space="preserve">14.  </w:t>
      </w:r>
      <w:r>
        <w:rPr>
          <w:b/>
          <w:bCs/>
        </w:rPr>
        <w:t>What is the annualized cost to the Federal Government?</w:t>
      </w:r>
      <w:r w:rsidR="00BA110F">
        <w:rPr>
          <w:b/>
          <w:bCs/>
        </w:rPr>
        <w:t xml:space="preserve"> </w:t>
      </w:r>
    </w:p>
    <w:p w:rsidR="00E164FE" w:rsidP="00E164FE" w14:paraId="6C2812B7" w14:textId="77777777">
      <w:pPr>
        <w:spacing w:after="120"/>
        <w:ind w:left="720"/>
      </w:pPr>
      <w:bookmarkStart w:id="5" w:name="_Hlk138859202"/>
      <w:r>
        <w:t xml:space="preserve">In general, Fiscal Service has determined that there are no annualized non-labor, printing, or distribution costs to the Government associated with this information collection.  Fiscal Service processes this collection to </w:t>
      </w:r>
      <w:r w:rsidRPr="002557CC">
        <w:t>issue a Statement of Account to the entity, establish issue and maturity dates for the bonds, and provide electronic payment routing instructions for the proceeds</w:t>
      </w:r>
      <w:r>
        <w:t>. In addition, there are no printing and distribution costs associated with this collection.</w:t>
      </w:r>
    </w:p>
    <w:p w:rsidR="00E164FE" w:rsidP="00E164FE" w14:paraId="5862E812" w14:textId="77777777">
      <w:pPr>
        <w:spacing w:after="120"/>
        <w:ind w:left="720"/>
      </w:pPr>
      <w:r>
        <w:t xml:space="preserve">As for Federal Government labor costs, Fiscal Service has determined that its labor costs for this information collection are limited to analyzing incoming correspondence concerning </w:t>
      </w:r>
      <w:r w:rsidRPr="002557CC">
        <w:t>issues, reissues and redemptions of Tax and Loss bonds</w:t>
      </w:r>
      <w:r>
        <w:t xml:space="preserve"> Therefore, Treasury estimates its labor costs for paper submissions of this collection as follows:</w:t>
      </w:r>
    </w:p>
    <w:tbl>
      <w:tblPr>
        <w:tblStyle w:val="TableGrid1"/>
        <w:tblW w:w="8771" w:type="dxa"/>
        <w:jc w:val="center"/>
        <w:tblLayout w:type="fixed"/>
        <w:tblLook w:val="04A0"/>
      </w:tblPr>
      <w:tblGrid>
        <w:gridCol w:w="2484"/>
        <w:gridCol w:w="1350"/>
        <w:gridCol w:w="1530"/>
        <w:gridCol w:w="1080"/>
        <w:gridCol w:w="1191"/>
        <w:gridCol w:w="1136"/>
      </w:tblGrid>
      <w:tr w14:paraId="55BDB2C1" w14:textId="77777777" w:rsidTr="001F1271">
        <w:tblPrEx>
          <w:tblW w:w="8771" w:type="dxa"/>
          <w:jc w:val="center"/>
          <w:tblLayout w:type="fixed"/>
          <w:tblLook w:val="04A0"/>
        </w:tblPrEx>
        <w:trPr>
          <w:trHeight w:val="890"/>
          <w:jc w:val="center"/>
        </w:trPr>
        <w:tc>
          <w:tcPr>
            <w:tcW w:w="2484" w:type="dxa"/>
            <w:tcMar>
              <w:left w:w="29" w:type="dxa"/>
              <w:right w:w="29" w:type="dxa"/>
            </w:tcMar>
            <w:vAlign w:val="center"/>
          </w:tcPr>
          <w:p w:rsidR="00E164FE" w:rsidRPr="00E942AE" w:rsidP="001F1271" w14:paraId="656DE276" w14:textId="77777777">
            <w:pPr>
              <w:keepNext/>
              <w:suppressAutoHyphens/>
              <w:jc w:val="center"/>
              <w:rPr>
                <w:rFonts w:ascii="Arial" w:hAnsi="Arial" w:cs="Arial"/>
                <w:sz w:val="20"/>
                <w:szCs w:val="20"/>
              </w:rPr>
            </w:pPr>
            <w:r>
              <w:rPr>
                <w:rFonts w:ascii="Arial" w:hAnsi="Arial" w:cs="Arial"/>
                <w:sz w:val="20"/>
                <w:szCs w:val="20"/>
              </w:rPr>
              <w:t>Labor Category</w:t>
            </w:r>
          </w:p>
        </w:tc>
        <w:tc>
          <w:tcPr>
            <w:tcW w:w="1350" w:type="dxa"/>
            <w:tcMar>
              <w:left w:w="29" w:type="dxa"/>
              <w:right w:w="29" w:type="dxa"/>
            </w:tcMar>
            <w:vAlign w:val="center"/>
          </w:tcPr>
          <w:p w:rsidR="00E164FE" w:rsidRPr="00E942AE" w:rsidP="001F1271" w14:paraId="4395C699" w14:textId="77777777">
            <w:pPr>
              <w:keepNext/>
              <w:suppressAutoHyphens/>
              <w:jc w:val="center"/>
              <w:rPr>
                <w:rFonts w:ascii="Arial" w:hAnsi="Arial" w:cs="Arial"/>
                <w:sz w:val="20"/>
                <w:szCs w:val="20"/>
              </w:rPr>
            </w:pPr>
            <w:r w:rsidRPr="00E942AE">
              <w:rPr>
                <w:rFonts w:ascii="Arial" w:hAnsi="Arial" w:cs="Arial"/>
                <w:sz w:val="20"/>
                <w:szCs w:val="20"/>
              </w:rPr>
              <w:t>F</w:t>
            </w:r>
            <w:r>
              <w:rPr>
                <w:rFonts w:ascii="Arial" w:hAnsi="Arial" w:cs="Arial"/>
                <w:sz w:val="20"/>
                <w:szCs w:val="20"/>
              </w:rPr>
              <w:t>ully-loaded Labor Rate/</w:t>
            </w:r>
            <w:r w:rsidRPr="00E942AE">
              <w:rPr>
                <w:rFonts w:ascii="Arial" w:hAnsi="Arial" w:cs="Arial"/>
                <w:sz w:val="20"/>
                <w:szCs w:val="20"/>
              </w:rPr>
              <w:t>Hour</w:t>
            </w:r>
            <w:r>
              <w:rPr>
                <w:rFonts w:ascii="Arial" w:hAnsi="Arial" w:cs="Arial"/>
                <w:sz w:val="20"/>
                <w:szCs w:val="20"/>
                <w:vertAlign w:val="superscript"/>
              </w:rPr>
              <w:footnoteReference w:id="3"/>
            </w:r>
          </w:p>
        </w:tc>
        <w:tc>
          <w:tcPr>
            <w:tcW w:w="1530" w:type="dxa"/>
            <w:tcMar>
              <w:left w:w="29" w:type="dxa"/>
              <w:right w:w="29" w:type="dxa"/>
            </w:tcMar>
            <w:vAlign w:val="center"/>
          </w:tcPr>
          <w:p w:rsidR="00E164FE" w:rsidRPr="00E942AE" w:rsidP="001F1271" w14:paraId="63F0AD7A" w14:textId="77777777">
            <w:pPr>
              <w:keepNext/>
              <w:suppressAutoHyphens/>
              <w:jc w:val="center"/>
              <w:rPr>
                <w:rFonts w:ascii="Arial" w:hAnsi="Arial" w:cs="Arial"/>
                <w:sz w:val="20"/>
                <w:szCs w:val="20"/>
              </w:rPr>
            </w:pPr>
            <w:r w:rsidRPr="00E942AE">
              <w:rPr>
                <w:rFonts w:ascii="Arial" w:hAnsi="Arial" w:cs="Arial"/>
                <w:sz w:val="20"/>
                <w:szCs w:val="20"/>
              </w:rPr>
              <w:t xml:space="preserve">Avg. </w:t>
            </w:r>
            <w:r>
              <w:rPr>
                <w:rFonts w:ascii="Arial" w:hAnsi="Arial" w:cs="Arial"/>
                <w:sz w:val="20"/>
                <w:szCs w:val="20"/>
              </w:rPr>
              <w:t>Processing Time per</w:t>
            </w:r>
            <w:r w:rsidRPr="00E942AE">
              <w:rPr>
                <w:rFonts w:ascii="Arial" w:hAnsi="Arial" w:cs="Arial"/>
                <w:sz w:val="20"/>
                <w:szCs w:val="20"/>
              </w:rPr>
              <w:t xml:space="preserve"> Response</w:t>
            </w:r>
          </w:p>
        </w:tc>
        <w:tc>
          <w:tcPr>
            <w:tcW w:w="1080" w:type="dxa"/>
            <w:tcMar>
              <w:left w:w="29" w:type="dxa"/>
              <w:right w:w="29" w:type="dxa"/>
            </w:tcMar>
            <w:vAlign w:val="center"/>
          </w:tcPr>
          <w:p w:rsidR="00E164FE" w:rsidRPr="00E942AE" w:rsidP="001F1271" w14:paraId="233C0F9E" w14:textId="77777777">
            <w:pPr>
              <w:keepNext/>
              <w:suppressAutoHyphens/>
              <w:jc w:val="center"/>
              <w:rPr>
                <w:rFonts w:ascii="Arial" w:hAnsi="Arial" w:cs="Arial"/>
                <w:sz w:val="20"/>
                <w:szCs w:val="20"/>
              </w:rPr>
            </w:pPr>
            <w:r w:rsidRPr="00E942AE">
              <w:rPr>
                <w:rFonts w:ascii="Arial" w:hAnsi="Arial" w:cs="Arial"/>
                <w:sz w:val="20"/>
                <w:szCs w:val="20"/>
              </w:rPr>
              <w:t>Labor Cost</w:t>
            </w:r>
            <w:r>
              <w:rPr>
                <w:rFonts w:ascii="Arial" w:hAnsi="Arial" w:cs="Arial"/>
                <w:sz w:val="20"/>
                <w:szCs w:val="20"/>
              </w:rPr>
              <w:t>s per</w:t>
            </w:r>
            <w:r w:rsidRPr="00E942AE">
              <w:rPr>
                <w:rFonts w:ascii="Arial" w:hAnsi="Arial" w:cs="Arial"/>
                <w:sz w:val="20"/>
                <w:szCs w:val="20"/>
              </w:rPr>
              <w:t xml:space="preserve"> Response</w:t>
            </w:r>
          </w:p>
        </w:tc>
        <w:tc>
          <w:tcPr>
            <w:tcW w:w="1191" w:type="dxa"/>
            <w:tcMar>
              <w:left w:w="29" w:type="dxa"/>
              <w:right w:w="29" w:type="dxa"/>
            </w:tcMar>
            <w:vAlign w:val="center"/>
          </w:tcPr>
          <w:p w:rsidR="00E164FE" w:rsidRPr="00E942AE" w:rsidP="001F1271" w14:paraId="522FE242" w14:textId="77777777">
            <w:pPr>
              <w:keepNext/>
              <w:suppressAutoHyphens/>
              <w:jc w:val="center"/>
              <w:rPr>
                <w:rFonts w:ascii="Arial" w:hAnsi="Arial" w:cs="Arial"/>
                <w:sz w:val="20"/>
                <w:szCs w:val="20"/>
              </w:rPr>
            </w:pPr>
            <w:r w:rsidRPr="00E942AE">
              <w:rPr>
                <w:rFonts w:ascii="Arial" w:hAnsi="Arial" w:cs="Arial"/>
                <w:sz w:val="20"/>
                <w:szCs w:val="20"/>
              </w:rPr>
              <w:t>Total Responses</w:t>
            </w:r>
          </w:p>
        </w:tc>
        <w:tc>
          <w:tcPr>
            <w:tcW w:w="1136" w:type="dxa"/>
            <w:tcMar>
              <w:left w:w="29" w:type="dxa"/>
              <w:right w:w="29" w:type="dxa"/>
            </w:tcMar>
            <w:vAlign w:val="center"/>
          </w:tcPr>
          <w:p w:rsidR="00E164FE" w:rsidRPr="00E942AE" w:rsidP="001F1271" w14:paraId="1207F138" w14:textId="77777777">
            <w:pPr>
              <w:keepNext/>
              <w:suppressAutoHyphens/>
              <w:jc w:val="center"/>
              <w:rPr>
                <w:rFonts w:ascii="Arial" w:hAnsi="Arial" w:cs="Arial"/>
                <w:sz w:val="20"/>
                <w:szCs w:val="20"/>
              </w:rPr>
            </w:pPr>
            <w:r w:rsidRPr="00E942AE">
              <w:rPr>
                <w:rFonts w:ascii="Arial" w:hAnsi="Arial" w:cs="Arial"/>
                <w:sz w:val="20"/>
                <w:szCs w:val="20"/>
              </w:rPr>
              <w:t xml:space="preserve">Total </w:t>
            </w:r>
            <w:r>
              <w:rPr>
                <w:rFonts w:ascii="Arial" w:hAnsi="Arial" w:cs="Arial"/>
                <w:sz w:val="20"/>
                <w:szCs w:val="20"/>
              </w:rPr>
              <w:t xml:space="preserve">Govt. </w:t>
            </w:r>
            <w:r w:rsidRPr="00E942AE">
              <w:rPr>
                <w:rFonts w:ascii="Arial" w:hAnsi="Arial" w:cs="Arial"/>
                <w:sz w:val="20"/>
                <w:szCs w:val="20"/>
              </w:rPr>
              <w:t>Labor Costs</w:t>
            </w:r>
          </w:p>
        </w:tc>
      </w:tr>
      <w:tr w14:paraId="7CBF2467" w14:textId="77777777" w:rsidTr="001F1271">
        <w:tblPrEx>
          <w:tblW w:w="8771" w:type="dxa"/>
          <w:jc w:val="center"/>
          <w:tblLayout w:type="fixed"/>
          <w:tblLook w:val="04A0"/>
        </w:tblPrEx>
        <w:trPr>
          <w:trHeight w:val="683"/>
          <w:jc w:val="center"/>
        </w:trPr>
        <w:tc>
          <w:tcPr>
            <w:tcW w:w="2484" w:type="dxa"/>
            <w:tcMar>
              <w:left w:w="29" w:type="dxa"/>
              <w:right w:w="29" w:type="dxa"/>
            </w:tcMar>
            <w:vAlign w:val="center"/>
          </w:tcPr>
          <w:p w:rsidR="00E164FE" w:rsidRPr="00E942AE" w:rsidP="001F1271" w14:paraId="697F85E7" w14:textId="157E1788">
            <w:pPr>
              <w:keepNext/>
              <w:suppressAutoHyphens/>
              <w:jc w:val="center"/>
              <w:rPr>
                <w:rFonts w:ascii="Arial" w:hAnsi="Arial" w:cs="Arial"/>
                <w:sz w:val="20"/>
                <w:szCs w:val="20"/>
              </w:rPr>
            </w:pPr>
            <w:r w:rsidRPr="00533876">
              <w:rPr>
                <w:rFonts w:ascii="Arial" w:hAnsi="Arial" w:cs="Arial"/>
                <w:sz w:val="20"/>
                <w:szCs w:val="20"/>
              </w:rPr>
              <w:t>Customer Service Specialist (GS–9 Step 5 for the locality pay area of Rest of U.S.)</w:t>
            </w:r>
          </w:p>
        </w:tc>
        <w:tc>
          <w:tcPr>
            <w:tcW w:w="1350" w:type="dxa"/>
            <w:tcMar>
              <w:left w:w="29" w:type="dxa"/>
              <w:right w:w="29" w:type="dxa"/>
            </w:tcMar>
            <w:vAlign w:val="center"/>
          </w:tcPr>
          <w:p w:rsidR="00E164FE" w:rsidP="001F1271" w14:paraId="5C40EF6B" w14:textId="070EE8BF">
            <w:pPr>
              <w:keepNext/>
              <w:suppressAutoHyphens/>
              <w:jc w:val="center"/>
              <w:rPr>
                <w:rFonts w:ascii="Arial" w:hAnsi="Arial" w:cs="Arial"/>
                <w:sz w:val="20"/>
                <w:szCs w:val="20"/>
              </w:rPr>
            </w:pPr>
            <w:r>
              <w:rPr>
                <w:rFonts w:ascii="Arial" w:hAnsi="Arial" w:cs="Arial"/>
                <w:sz w:val="20"/>
                <w:szCs w:val="20"/>
              </w:rPr>
              <w:t>$</w:t>
            </w:r>
            <w:r w:rsidR="00D7432F">
              <w:rPr>
                <w:rFonts w:ascii="Arial" w:hAnsi="Arial" w:cs="Arial"/>
                <w:sz w:val="20"/>
                <w:szCs w:val="20"/>
              </w:rPr>
              <w:t>56.25</w:t>
            </w:r>
          </w:p>
        </w:tc>
        <w:tc>
          <w:tcPr>
            <w:tcW w:w="1530" w:type="dxa"/>
            <w:tcMar>
              <w:left w:w="29" w:type="dxa"/>
              <w:right w:w="29" w:type="dxa"/>
            </w:tcMar>
            <w:vAlign w:val="center"/>
          </w:tcPr>
          <w:p w:rsidR="00E164FE" w:rsidP="001F1271" w14:paraId="422DC96B" w14:textId="31E450F6">
            <w:pPr>
              <w:keepNext/>
              <w:suppressAutoHyphens/>
              <w:jc w:val="center"/>
              <w:rPr>
                <w:rFonts w:ascii="Arial" w:hAnsi="Arial" w:cs="Arial"/>
                <w:sz w:val="20"/>
                <w:szCs w:val="20"/>
              </w:rPr>
            </w:pPr>
            <w:r>
              <w:rPr>
                <w:rFonts w:ascii="Arial" w:hAnsi="Arial" w:cs="Arial"/>
                <w:sz w:val="20"/>
                <w:szCs w:val="20"/>
              </w:rPr>
              <w:t>35 minutes</w:t>
            </w:r>
          </w:p>
        </w:tc>
        <w:tc>
          <w:tcPr>
            <w:tcW w:w="1080" w:type="dxa"/>
            <w:tcMar>
              <w:left w:w="29" w:type="dxa"/>
              <w:right w:w="29" w:type="dxa"/>
            </w:tcMar>
            <w:vAlign w:val="center"/>
          </w:tcPr>
          <w:p w:rsidR="00E164FE" w:rsidP="001F1271" w14:paraId="7194D6C6" w14:textId="06CDC82E">
            <w:pPr>
              <w:keepNext/>
              <w:suppressAutoHyphens/>
              <w:jc w:val="center"/>
              <w:rPr>
                <w:rFonts w:ascii="Arial" w:hAnsi="Arial" w:cs="Arial"/>
                <w:sz w:val="20"/>
                <w:szCs w:val="20"/>
              </w:rPr>
            </w:pPr>
            <w:r>
              <w:rPr>
                <w:rFonts w:ascii="Arial" w:hAnsi="Arial" w:cs="Arial"/>
                <w:sz w:val="20"/>
                <w:szCs w:val="20"/>
              </w:rPr>
              <w:t>$</w:t>
            </w:r>
            <w:r w:rsidR="00D7432F">
              <w:rPr>
                <w:rFonts w:ascii="Arial" w:hAnsi="Arial" w:cs="Arial"/>
                <w:sz w:val="20"/>
                <w:szCs w:val="20"/>
              </w:rPr>
              <w:t>32.81</w:t>
            </w:r>
          </w:p>
        </w:tc>
        <w:tc>
          <w:tcPr>
            <w:tcW w:w="1191" w:type="dxa"/>
            <w:tcMar>
              <w:left w:w="29" w:type="dxa"/>
              <w:right w:w="29" w:type="dxa"/>
            </w:tcMar>
            <w:vAlign w:val="center"/>
          </w:tcPr>
          <w:p w:rsidR="00E164FE" w:rsidP="001F1271" w14:paraId="76006004" w14:textId="7F66B6FD">
            <w:pPr>
              <w:keepNext/>
              <w:suppressAutoHyphens/>
              <w:jc w:val="center"/>
              <w:rPr>
                <w:rFonts w:ascii="Arial" w:hAnsi="Arial" w:cs="Arial"/>
                <w:sz w:val="20"/>
                <w:szCs w:val="20"/>
              </w:rPr>
            </w:pPr>
            <w:r>
              <w:rPr>
                <w:rFonts w:ascii="Arial" w:hAnsi="Arial" w:cs="Arial"/>
                <w:sz w:val="20"/>
                <w:szCs w:val="20"/>
              </w:rPr>
              <w:t>10,600</w:t>
            </w:r>
          </w:p>
        </w:tc>
        <w:tc>
          <w:tcPr>
            <w:tcW w:w="1136" w:type="dxa"/>
            <w:tcMar>
              <w:left w:w="29" w:type="dxa"/>
              <w:right w:w="29" w:type="dxa"/>
            </w:tcMar>
            <w:vAlign w:val="center"/>
          </w:tcPr>
          <w:p w:rsidR="00E164FE" w:rsidP="001F1271" w14:paraId="07705D7C" w14:textId="5382D9AD">
            <w:pPr>
              <w:keepNext/>
              <w:suppressAutoHyphens/>
              <w:jc w:val="center"/>
              <w:rPr>
                <w:rFonts w:ascii="Arial" w:hAnsi="Arial" w:cs="Arial"/>
                <w:sz w:val="20"/>
                <w:szCs w:val="20"/>
              </w:rPr>
            </w:pPr>
            <w:r>
              <w:rPr>
                <w:rFonts w:ascii="Arial" w:hAnsi="Arial" w:cs="Arial"/>
                <w:sz w:val="20"/>
                <w:szCs w:val="20"/>
              </w:rPr>
              <w:t>$</w:t>
            </w:r>
            <w:r w:rsidRPr="00D7432F" w:rsidR="00D7432F">
              <w:rPr>
                <w:rFonts w:ascii="Arial" w:hAnsi="Arial" w:cs="Arial"/>
                <w:sz w:val="20"/>
                <w:szCs w:val="20"/>
              </w:rPr>
              <w:t>347,786</w:t>
            </w:r>
          </w:p>
        </w:tc>
      </w:tr>
    </w:tbl>
    <w:p w:rsidR="00BA110F" w:rsidRPr="00C32F7B" w:rsidP="00E164FE" w14:paraId="0C645968" w14:textId="304B3AFC">
      <w:pPr>
        <w:tabs>
          <w:tab w:val="left" w:pos="-1440"/>
          <w:tab w:val="left" w:pos="-720"/>
          <w:tab w:val="left" w:pos="120"/>
          <w:tab w:val="left" w:pos="600"/>
          <w:tab w:val="left" w:pos="1080"/>
          <w:tab w:val="right" w:pos="7200"/>
        </w:tabs>
        <w:suppressAutoHyphens/>
      </w:pPr>
    </w:p>
    <w:bookmarkEnd w:id="5"/>
    <w:p w:rsidR="003B0D8A" w:rsidP="003B0D8A" w14:paraId="00C694BF" w14:textId="77777777">
      <w:pPr>
        <w:rPr>
          <w:b/>
          <w:bCs/>
        </w:rPr>
      </w:pPr>
      <w:r>
        <w:rPr>
          <w:b/>
          <w:bCs/>
          <w:szCs w:val="26"/>
        </w:rPr>
        <w:tab/>
      </w:r>
    </w:p>
    <w:p w:rsidR="003B0D8A" w:rsidP="003B0D8A" w14:paraId="5D450C12" w14:textId="77777777">
      <w:pPr>
        <w:rPr>
          <w:b/>
          <w:bCs/>
        </w:rPr>
      </w:pPr>
      <w:r>
        <w:rPr>
          <w:b/>
          <w:bCs/>
        </w:rPr>
        <w:t xml:space="preserve">15.  </w:t>
      </w:r>
      <w:r>
        <w:rPr>
          <w:b/>
          <w:bCs/>
        </w:rPr>
        <w:t>What is the reason for any program changes or adjust</w:t>
      </w:r>
      <w:r w:rsidR="003A234A">
        <w:rPr>
          <w:b/>
          <w:bCs/>
        </w:rPr>
        <w:t>ments reported</w:t>
      </w:r>
      <w:r>
        <w:rPr>
          <w:b/>
          <w:bCs/>
        </w:rPr>
        <w:t>?</w:t>
      </w:r>
    </w:p>
    <w:p w:rsidR="00B322C0" w:rsidRPr="00B732EF" w:rsidP="003640E9" w14:paraId="6B3C2499" w14:textId="41B09562">
      <w:pPr>
        <w:ind w:left="360"/>
      </w:pPr>
      <w:r>
        <w:t>No changes or adjustments are reported.</w:t>
      </w:r>
    </w:p>
    <w:p w:rsidR="003A234A" w:rsidP="003B0D8A" w14:paraId="7D5504EE" w14:textId="77777777">
      <w:pPr>
        <w:rPr>
          <w:b/>
          <w:bCs/>
        </w:rPr>
      </w:pPr>
    </w:p>
    <w:p w:rsidR="003B0D8A" w:rsidP="003B0D8A" w14:paraId="41AB0856" w14:textId="77777777">
      <w:pPr>
        <w:rPr>
          <w:b/>
          <w:bCs/>
        </w:rPr>
      </w:pPr>
      <w:r>
        <w:rPr>
          <w:b/>
          <w:bCs/>
        </w:rPr>
        <w:t xml:space="preserve">16.  </w:t>
      </w:r>
      <w:r>
        <w:rPr>
          <w:b/>
          <w:bCs/>
        </w:rPr>
        <w:t>For collections of information whose results will be published, outline plans for tabulation and publication.</w:t>
      </w:r>
    </w:p>
    <w:p w:rsidR="008858E1" w:rsidP="008858E1" w14:paraId="596B980B" w14:textId="77777777">
      <w:pPr>
        <w:widowControl w:val="0"/>
        <w:tabs>
          <w:tab w:val="left" w:pos="720"/>
          <w:tab w:val="left" w:pos="3780"/>
          <w:tab w:val="left" w:pos="6030"/>
        </w:tabs>
        <w:suppressAutoHyphens/>
        <w:autoSpaceDE w:val="0"/>
        <w:autoSpaceDN w:val="0"/>
        <w:adjustRightInd w:val="0"/>
        <w:spacing w:line="240" w:lineRule="atLeast"/>
        <w:ind w:left="360"/>
      </w:pPr>
      <w:r>
        <w:t>The results of the collection of this information will not be published for statistical use.</w:t>
      </w:r>
    </w:p>
    <w:p w:rsidR="003B0D8A" w:rsidP="003B0D8A" w14:paraId="0FB4BECF" w14:textId="77777777">
      <w:pPr>
        <w:rPr>
          <w:b/>
          <w:bCs/>
        </w:rPr>
      </w:pPr>
    </w:p>
    <w:p w:rsidR="003B0D8A" w:rsidP="003B0D8A" w14:paraId="2408B264" w14:textId="77777777">
      <w:pPr>
        <w:rPr>
          <w:b/>
          <w:bCs/>
        </w:rPr>
      </w:pPr>
      <w:r>
        <w:rPr>
          <w:b/>
          <w:bCs/>
        </w:rPr>
        <w:t xml:space="preserve">17.  </w:t>
      </w:r>
      <w:r>
        <w:rPr>
          <w:b/>
          <w:bCs/>
        </w:rPr>
        <w:t>If seeking approval to not display the expiration date for OMB approval of this information collection, what are the reasons that the display would be inappropriate?</w:t>
      </w:r>
    </w:p>
    <w:p w:rsidR="00D65747" w:rsidP="00D65747" w14:paraId="7CB059BA" w14:textId="77777777">
      <w:pPr>
        <w:widowControl w:val="0"/>
        <w:tabs>
          <w:tab w:val="left" w:pos="3780"/>
          <w:tab w:val="left" w:pos="6030"/>
        </w:tabs>
        <w:suppressAutoHyphens/>
        <w:autoSpaceDE w:val="0"/>
        <w:autoSpaceDN w:val="0"/>
        <w:adjustRightInd w:val="0"/>
        <w:spacing w:line="240" w:lineRule="atLeast"/>
        <w:ind w:left="360"/>
      </w:pPr>
      <w:r w:rsidRPr="005D0666">
        <w:t>The public interest will be better served by not displaying an e</w:t>
      </w:r>
      <w:r w:rsidR="002F60E8">
        <w:t>xpiration date on FS Form</w:t>
      </w:r>
      <w:r w:rsidR="00371A43">
        <w:t xml:space="preserve"> </w:t>
      </w:r>
      <w:r w:rsidR="00DC752B">
        <w:t>1</w:t>
      </w:r>
      <w:r w:rsidR="00791282">
        <w:t>851</w:t>
      </w:r>
      <w:r w:rsidRPr="005D0666">
        <w:t>. The time period during which the current edition of the form will continue to be usable cannot be predicted.  It could easily span several cycles of review and OMB clearance renewal.  Displaying the expiration date would make it necessary to update the electronic form and website where it is accessed after each renewal.  Additionally, not displaying the expiration date on the form will avoid confusion among members of the public who may have identical forms with different expiration dates in their possession.  By not displaying the expiration date, supplies of the form could continue to be used regardless of when the OMB approval has expired.  This would reduce costs incurred through additional printing and desktop publishing.</w:t>
      </w:r>
    </w:p>
    <w:p w:rsidR="003B0D8A" w:rsidP="003B0D8A" w14:paraId="146F25A4" w14:textId="77777777">
      <w:pPr>
        <w:rPr>
          <w:b/>
          <w:bCs/>
        </w:rPr>
      </w:pPr>
    </w:p>
    <w:p w:rsidR="003B0D8A" w:rsidP="003B0D8A" w14:paraId="0703BBCE" w14:textId="77777777">
      <w:pPr>
        <w:rPr>
          <w:b/>
          <w:bCs/>
        </w:rPr>
      </w:pPr>
      <w:r>
        <w:rPr>
          <w:b/>
          <w:bCs/>
        </w:rPr>
        <w:t xml:space="preserve">18.  </w:t>
      </w:r>
      <w:r>
        <w:rPr>
          <w:b/>
          <w:bCs/>
        </w:rPr>
        <w:t>What are the exceptions to the certification statement?</w:t>
      </w:r>
    </w:p>
    <w:p w:rsidR="00CB60E3" w:rsidP="00CB60E3" w14:paraId="35487C4B" w14:textId="77777777">
      <w:pPr>
        <w:ind w:left="360"/>
        <w:rPr>
          <w:b/>
          <w:bCs/>
        </w:rPr>
      </w:pPr>
      <w:r>
        <w:rPr>
          <w:bCs/>
        </w:rPr>
        <w:t>There are no exceptions to the certification statement.</w:t>
      </w:r>
    </w:p>
    <w:p w:rsidR="003B0D8A" w:rsidP="003B0D8A" w14:paraId="38D51466" w14:textId="77777777">
      <w:pPr>
        <w:rPr>
          <w:b/>
          <w:bCs/>
        </w:rPr>
      </w:pPr>
    </w:p>
    <w:p w:rsidR="003B0D8A" w:rsidP="003B0D8A" w14:paraId="617C6E03" w14:textId="77777777">
      <w:pPr>
        <w:rPr>
          <w:b/>
          <w:bCs/>
        </w:rPr>
      </w:pPr>
    </w:p>
    <w:p w:rsidR="003B0D8A" w:rsidP="003B0D8A" w14:paraId="7D954493" w14:textId="77777777">
      <w:r>
        <w:rPr>
          <w:b/>
          <w:bCs/>
        </w:rPr>
        <w:t>B.</w:t>
      </w:r>
      <w:r>
        <w:rPr>
          <w:b/>
          <w:bCs/>
        </w:rPr>
        <w:tab/>
        <w:t>This collection does not employ statistical methods.</w:t>
      </w:r>
      <w:r>
        <w:t xml:space="preserve">  </w:t>
      </w:r>
    </w:p>
    <w:p w:rsidR="003B0D8A" w:rsidP="003B0D8A" w14:paraId="6274B349" w14:textId="77777777"/>
    <w:sectPr w:rsidSect="00070EFC">
      <w:pgSz w:w="12240" w:h="15840"/>
      <w:pgMar w:top="1296" w:right="1440" w:bottom="12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M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167E" w:rsidP="008B465F" w14:paraId="188468DD" w14:textId="77777777">
      <w:r>
        <w:separator/>
      </w:r>
    </w:p>
  </w:footnote>
  <w:footnote w:type="continuationSeparator" w:id="1">
    <w:p w:rsidR="009E167E" w:rsidP="008B465F" w14:paraId="612538EA" w14:textId="77777777">
      <w:r>
        <w:continuationSeparator/>
      </w:r>
    </w:p>
  </w:footnote>
  <w:footnote w:id="2">
    <w:p w:rsidR="00762A05" w:rsidRPr="00A05174" w:rsidP="00762A05" w14:paraId="0E17BB47" w14:textId="44BA496E">
      <w:pPr>
        <w:pStyle w:val="FootnoteText"/>
      </w:pPr>
      <w:r w:rsidRPr="00A05174">
        <w:rPr>
          <w:rStyle w:val="FootnoteReference"/>
        </w:rPr>
        <w:footnoteRef/>
      </w:r>
      <w:r w:rsidRPr="00A05174">
        <w:t xml:space="preserve"> It is expected that respondents to this collection could be from any occupation.  </w:t>
      </w:r>
      <w:r w:rsidRPr="00A05174" w:rsidR="003508C9">
        <w:t>The average wage rate for all occupations is $</w:t>
      </w:r>
      <w:r w:rsidR="003508C9">
        <w:t>32.66</w:t>
      </w:r>
      <w:r w:rsidRPr="00A05174" w:rsidR="003508C9">
        <w:t xml:space="preserve"> according to the May 202</w:t>
      </w:r>
      <w:r w:rsidR="003508C9">
        <w:t>4</w:t>
      </w:r>
      <w:r w:rsidRPr="00A05174" w:rsidR="003508C9">
        <w:t xml:space="preserve"> National Occupational Employment and Wage Estimates.  </w:t>
      </w:r>
      <w:hyperlink r:id="rId1" w:history="1">
        <w:r w:rsidRPr="00CE18C3" w:rsidR="003508C9">
          <w:rPr>
            <w:rStyle w:val="Hyperlink"/>
          </w:rPr>
          <w:t>https://www.bls.gov/oes/current/oes_nat.htm</w:t>
        </w:r>
      </w:hyperlink>
      <w:r w:rsidRPr="00A05174" w:rsidR="003508C9">
        <w:t xml:space="preserve">   A benefit multiplier of 1.4</w:t>
      </w:r>
      <w:r w:rsidR="003508C9">
        <w:t>2</w:t>
      </w:r>
      <w:r w:rsidRPr="00A05174" w:rsidR="003508C9">
        <w:t xml:space="preserve"> is used to calculate a fully-loaded wage rate of $</w:t>
      </w:r>
      <w:r w:rsidR="003508C9">
        <w:t>32.66</w:t>
      </w:r>
      <w:r w:rsidRPr="00A05174" w:rsidR="003508C9">
        <w:t>*1.4</w:t>
      </w:r>
      <w:r w:rsidR="003508C9">
        <w:t>2</w:t>
      </w:r>
      <w:r w:rsidRPr="00A05174" w:rsidR="003508C9">
        <w:t>=$</w:t>
      </w:r>
      <w:r w:rsidR="003508C9">
        <w:t>46.38</w:t>
      </w:r>
    </w:p>
    <w:p w:rsidR="00762A05" w:rsidRPr="00A05174" w:rsidP="00762A05" w14:paraId="3F784166" w14:textId="77777777">
      <w:pPr>
        <w:pStyle w:val="FootnoteText"/>
      </w:pPr>
    </w:p>
    <w:p w:rsidR="003217C3" w:rsidRPr="00A05174" w:rsidP="003217C3" w14:paraId="1C429AF0" w14:textId="73E10A8D">
      <w:pPr>
        <w:pStyle w:val="FootnoteText"/>
      </w:pPr>
      <w:r w:rsidRPr="00A05174">
        <w:t xml:space="preserve">Using the BLS Employer Costs for Employee Compensation – </w:t>
      </w:r>
      <w:r w:rsidR="003508C9">
        <w:t>June</w:t>
      </w:r>
      <w:r w:rsidRPr="00A05174" w:rsidR="003508C9">
        <w:t xml:space="preserve"> 202</w:t>
      </w:r>
      <w:r w:rsidR="003508C9">
        <w:t>5</w:t>
      </w:r>
      <w:r w:rsidRPr="00A05174" w:rsidR="003508C9">
        <w:t xml:space="preserve"> report </w:t>
      </w:r>
      <w:hyperlink r:id="rId2" w:history="1">
        <w:r w:rsidRPr="00A05174" w:rsidR="003508C9">
          <w:rPr>
            <w:rStyle w:val="Hyperlink"/>
          </w:rPr>
          <w:t>https://www.bls.gov/news.release/pdf/ecec.pdf</w:t>
        </w:r>
      </w:hyperlink>
      <w:r w:rsidRPr="00A05174" w:rsidR="003508C9">
        <w:t>, a benefit multiplier of 1.4</w:t>
      </w:r>
      <w:r w:rsidR="003508C9">
        <w:t>2</w:t>
      </w:r>
      <w:r w:rsidRPr="00A05174" w:rsidR="003508C9">
        <w:t xml:space="preserve"> was calculated by taking the private industry worker 50</w:t>
      </w:r>
      <w:r w:rsidRPr="00A05174" w:rsidR="003508C9">
        <w:rPr>
          <w:vertAlign w:val="superscript"/>
        </w:rPr>
        <w:t>th</w:t>
      </w:r>
      <w:r w:rsidRPr="00A05174" w:rsidR="003508C9">
        <w:t xml:space="preserve"> (median) wage percentile total compensation rate divided by the wages and salaries rate.  </w:t>
      </w:r>
      <w:r w:rsidR="003508C9">
        <w:t>$45.65/$32.07=1.42</w:t>
      </w:r>
      <w:r w:rsidRPr="00A05174">
        <w:t xml:space="preserve">  </w:t>
      </w:r>
    </w:p>
    <w:p w:rsidR="00762A05" w:rsidP="00762A05" w14:paraId="3DBEC728" w14:textId="77777777">
      <w:pPr>
        <w:pStyle w:val="FootnoteText"/>
      </w:pPr>
    </w:p>
  </w:footnote>
  <w:footnote w:id="3">
    <w:p w:rsidR="00E164FE" w:rsidRPr="0092745C" w:rsidP="00E164FE" w14:paraId="4BE472C3" w14:textId="0AA22FE6">
      <w:pPr>
        <w:rPr>
          <w:sz w:val="20"/>
          <w:szCs w:val="20"/>
        </w:rPr>
      </w:pPr>
      <w:r w:rsidRPr="0092745C">
        <w:rPr>
          <w:sz w:val="20"/>
          <w:szCs w:val="20"/>
          <w:vertAlign w:val="superscript"/>
        </w:rPr>
        <w:t>2</w:t>
      </w:r>
      <w:r>
        <w:rPr>
          <w:sz w:val="20"/>
          <w:szCs w:val="20"/>
        </w:rPr>
        <w:t xml:space="preserve"> </w:t>
      </w:r>
      <w:r w:rsidRPr="0092745C">
        <w:rPr>
          <w:sz w:val="20"/>
          <w:szCs w:val="20"/>
        </w:rPr>
        <w:t xml:space="preserve">Federal Government Fully-loaded Labor Rate per Hour = Wage rate x a factor of 1.63 to account for benefit costs.  </w:t>
      </w:r>
      <w:r w:rsidRPr="004B5D30" w:rsidR="00D7432F">
        <w:rPr>
          <w:sz w:val="20"/>
          <w:szCs w:val="20"/>
        </w:rPr>
        <w:t xml:space="preserve">Per the Office of Personnel Management (OPM) wage data, the hourly fully-loaded labor rate for a GS–9, step 5 Federal employee in the Parkersburg, WV (RUS) wage area is $56.25 ($34.51 wages plus $21.74 in benefit costs). See the OPM website at </w:t>
      </w:r>
      <w:hyperlink w:history="1"/>
      <w:r w:rsidRPr="004B5D30" w:rsidR="00D7432F">
        <w:rPr>
          <w:sz w:val="20"/>
          <w:szCs w:val="20"/>
        </w:rPr>
        <w:t xml:space="preserve"> https://www.opm.gov/policy-data-oversight/pay-leave/salaries-wages/salary-tables/pdf/2026/RUS_h.pdf</w:t>
      </w:r>
    </w:p>
    <w:p w:rsidR="00E164FE" w:rsidRPr="00E942AE" w:rsidP="00E164FE" w14:paraId="161379AF" w14:textId="77777777">
      <w:pPr>
        <w:suppressAutoHyphens/>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3E1941"/>
    <w:multiLevelType w:val="hybridMultilevel"/>
    <w:tmpl w:val="2A8CB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1904AD"/>
    <w:multiLevelType w:val="hybridMultilevel"/>
    <w:tmpl w:val="1B920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E3E151B"/>
    <w:multiLevelType w:val="hybridMultilevel"/>
    <w:tmpl w:val="EB98DA5C"/>
    <w:lvl w:ilvl="0">
      <w:start w:val="0"/>
      <w:numFmt w:val="bullet"/>
      <w:lvlText w:val=""/>
      <w:lvlJc w:val="left"/>
      <w:pPr>
        <w:ind w:left="720" w:hanging="360"/>
      </w:pPr>
      <w:rPr>
        <w:rFonts w:ascii="SymbolMT" w:eastAsia="SymbolMT" w:hAnsi="Times New Roman" w:cs="SymbolMT" w:hint="eastAsi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9B7AF4"/>
    <w:multiLevelType w:val="hybridMultilevel"/>
    <w:tmpl w:val="2A8CB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2364508"/>
    <w:multiLevelType w:val="multilevel"/>
    <w:tmpl w:val="FBD848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14D602D7"/>
    <w:multiLevelType w:val="hybridMultilevel"/>
    <w:tmpl w:val="491C0F2A"/>
    <w:lvl w:ilvl="0">
      <w:start w:val="13"/>
      <w:numFmt w:val="decimal"/>
      <w:lvlText w:val="%1."/>
      <w:lvlJc w:val="left"/>
      <w:pPr>
        <w:tabs>
          <w:tab w:val="num" w:pos="1155"/>
        </w:tabs>
        <w:ind w:left="1155" w:hanging="720"/>
      </w:pPr>
      <w:rPr>
        <w:rFonts w:hint="default"/>
      </w:rPr>
    </w:lvl>
    <w:lvl w:ilvl="1">
      <w:start w:val="1"/>
      <w:numFmt w:val="lowerLetter"/>
      <w:lvlText w:val="%2."/>
      <w:lvlJc w:val="left"/>
      <w:pPr>
        <w:tabs>
          <w:tab w:val="num" w:pos="1740"/>
        </w:tabs>
        <w:ind w:left="1740" w:hanging="585"/>
      </w:pPr>
      <w:rPr>
        <w:rFonts w:hint="default"/>
      </w:r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6">
    <w:nsid w:val="1EA2760C"/>
    <w:multiLevelType w:val="hybridMultilevel"/>
    <w:tmpl w:val="1B920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AB354C3"/>
    <w:multiLevelType w:val="hybridMultilevel"/>
    <w:tmpl w:val="D82470DC"/>
    <w:lvl w:ilvl="0">
      <w:start w:val="1"/>
      <w:numFmt w:val="decimal"/>
      <w:lvlText w:val="%1."/>
      <w:lvlJc w:val="left"/>
      <w:pPr>
        <w:tabs>
          <w:tab w:val="num" w:pos="720"/>
        </w:tabs>
        <w:ind w:left="720" w:hanging="360"/>
      </w:pPr>
      <w:rPr>
        <w:rFonts w:hint="default"/>
        <w:b/>
        <w:sz w:val="20"/>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E757705"/>
    <w:multiLevelType w:val="hybridMultilevel"/>
    <w:tmpl w:val="3202C61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FD36172"/>
    <w:multiLevelType w:val="hybridMultilevel"/>
    <w:tmpl w:val="5AF8514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AE74073"/>
    <w:multiLevelType w:val="hybridMultilevel"/>
    <w:tmpl w:val="65502FE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ECA5459"/>
    <w:multiLevelType w:val="hybridMultilevel"/>
    <w:tmpl w:val="6144059E"/>
    <w:lvl w:ilvl="0">
      <w:start w:val="1"/>
      <w:numFmt w:val="upp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641F3E45"/>
    <w:multiLevelType w:val="hybridMultilevel"/>
    <w:tmpl w:val="08F8821C"/>
    <w:lvl w:ilvl="0">
      <w:start w:val="6"/>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7AEC1383"/>
    <w:multiLevelType w:val="hybridMultilevel"/>
    <w:tmpl w:val="C6B23EFE"/>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EBC3CD8"/>
    <w:multiLevelType w:val="hybridMultilevel"/>
    <w:tmpl w:val="C95AF7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97220726">
    <w:abstractNumId w:val="8"/>
  </w:num>
  <w:num w:numId="2" w16cid:durableId="1434084593">
    <w:abstractNumId w:val="12"/>
  </w:num>
  <w:num w:numId="3" w16cid:durableId="968509997">
    <w:abstractNumId w:val="0"/>
  </w:num>
  <w:num w:numId="4" w16cid:durableId="803621254">
    <w:abstractNumId w:val="2"/>
  </w:num>
  <w:num w:numId="5" w16cid:durableId="1208689422">
    <w:abstractNumId w:val="7"/>
  </w:num>
  <w:num w:numId="6" w16cid:durableId="1168977875">
    <w:abstractNumId w:val="3"/>
  </w:num>
  <w:num w:numId="7" w16cid:durableId="1369838603">
    <w:abstractNumId w:val="14"/>
  </w:num>
  <w:num w:numId="8" w16cid:durableId="1024210460">
    <w:abstractNumId w:val="5"/>
  </w:num>
  <w:num w:numId="9" w16cid:durableId="1754163547">
    <w:abstractNumId w:val="6"/>
  </w:num>
  <w:num w:numId="10" w16cid:durableId="1604074941">
    <w:abstractNumId w:val="1"/>
  </w:num>
  <w:num w:numId="11" w16cid:durableId="756170163">
    <w:abstractNumId w:val="4"/>
  </w:num>
  <w:num w:numId="12" w16cid:durableId="669332902">
    <w:abstractNumId w:val="11"/>
  </w:num>
  <w:num w:numId="13" w16cid:durableId="283774114">
    <w:abstractNumId w:val="10"/>
  </w:num>
  <w:num w:numId="14" w16cid:durableId="1251616914">
    <w:abstractNumId w:val="9"/>
  </w:num>
  <w:num w:numId="15" w16cid:durableId="1090583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D8A"/>
    <w:rsid w:val="00007EC5"/>
    <w:rsid w:val="00024419"/>
    <w:rsid w:val="0006204C"/>
    <w:rsid w:val="0006379C"/>
    <w:rsid w:val="00070EFC"/>
    <w:rsid w:val="0007793D"/>
    <w:rsid w:val="000A31EA"/>
    <w:rsid w:val="000A39ED"/>
    <w:rsid w:val="000C1C81"/>
    <w:rsid w:val="000D6FF8"/>
    <w:rsid w:val="000E5C6A"/>
    <w:rsid w:val="00105A26"/>
    <w:rsid w:val="001148AE"/>
    <w:rsid w:val="00125564"/>
    <w:rsid w:val="00150A4C"/>
    <w:rsid w:val="00166438"/>
    <w:rsid w:val="00176D6D"/>
    <w:rsid w:val="00182740"/>
    <w:rsid w:val="001853BE"/>
    <w:rsid w:val="001C5819"/>
    <w:rsid w:val="001C70FB"/>
    <w:rsid w:val="001E69AA"/>
    <w:rsid w:val="001F1271"/>
    <w:rsid w:val="00202CF4"/>
    <w:rsid w:val="0022429F"/>
    <w:rsid w:val="00225E1B"/>
    <w:rsid w:val="002557CC"/>
    <w:rsid w:val="0025581A"/>
    <w:rsid w:val="00255A00"/>
    <w:rsid w:val="00296077"/>
    <w:rsid w:val="002B1779"/>
    <w:rsid w:val="002C484E"/>
    <w:rsid w:val="002D67B2"/>
    <w:rsid w:val="002E283C"/>
    <w:rsid w:val="002E5C7F"/>
    <w:rsid w:val="002F60E8"/>
    <w:rsid w:val="003217C3"/>
    <w:rsid w:val="003508C9"/>
    <w:rsid w:val="003579BB"/>
    <w:rsid w:val="003640E9"/>
    <w:rsid w:val="00371A43"/>
    <w:rsid w:val="00373B5F"/>
    <w:rsid w:val="00396F2C"/>
    <w:rsid w:val="003A234A"/>
    <w:rsid w:val="003B0D8A"/>
    <w:rsid w:val="00465847"/>
    <w:rsid w:val="00465C28"/>
    <w:rsid w:val="004A74FE"/>
    <w:rsid w:val="004B5D30"/>
    <w:rsid w:val="004C18DD"/>
    <w:rsid w:val="004C6D84"/>
    <w:rsid w:val="004D430F"/>
    <w:rsid w:val="005275CC"/>
    <w:rsid w:val="00533876"/>
    <w:rsid w:val="0054584A"/>
    <w:rsid w:val="00567D20"/>
    <w:rsid w:val="00572871"/>
    <w:rsid w:val="0057687D"/>
    <w:rsid w:val="00593248"/>
    <w:rsid w:val="00594A81"/>
    <w:rsid w:val="00596072"/>
    <w:rsid w:val="005B532F"/>
    <w:rsid w:val="005D0666"/>
    <w:rsid w:val="005F12F2"/>
    <w:rsid w:val="006119E1"/>
    <w:rsid w:val="00617809"/>
    <w:rsid w:val="00617C04"/>
    <w:rsid w:val="006315A9"/>
    <w:rsid w:val="0064379A"/>
    <w:rsid w:val="00644AC7"/>
    <w:rsid w:val="00697269"/>
    <w:rsid w:val="006A151A"/>
    <w:rsid w:val="006B1DB6"/>
    <w:rsid w:val="006C0B88"/>
    <w:rsid w:val="006D0E0C"/>
    <w:rsid w:val="006F2E10"/>
    <w:rsid w:val="00717EAB"/>
    <w:rsid w:val="0072099F"/>
    <w:rsid w:val="00762A05"/>
    <w:rsid w:val="007751E5"/>
    <w:rsid w:val="00790246"/>
    <w:rsid w:val="00791282"/>
    <w:rsid w:val="007E1BAE"/>
    <w:rsid w:val="007E5D9D"/>
    <w:rsid w:val="007F56EC"/>
    <w:rsid w:val="008237EF"/>
    <w:rsid w:val="008452C8"/>
    <w:rsid w:val="008858E1"/>
    <w:rsid w:val="008B0286"/>
    <w:rsid w:val="008B465F"/>
    <w:rsid w:val="008C2624"/>
    <w:rsid w:val="008C4DA0"/>
    <w:rsid w:val="00904B19"/>
    <w:rsid w:val="00910AF8"/>
    <w:rsid w:val="0092488B"/>
    <w:rsid w:val="0092745C"/>
    <w:rsid w:val="00932422"/>
    <w:rsid w:val="00936C53"/>
    <w:rsid w:val="0094076F"/>
    <w:rsid w:val="009657B0"/>
    <w:rsid w:val="00975F10"/>
    <w:rsid w:val="009A58A8"/>
    <w:rsid w:val="009D4AAC"/>
    <w:rsid w:val="009D6BB9"/>
    <w:rsid w:val="009E167E"/>
    <w:rsid w:val="00A05174"/>
    <w:rsid w:val="00A05F2C"/>
    <w:rsid w:val="00A2447F"/>
    <w:rsid w:val="00A37430"/>
    <w:rsid w:val="00A573A5"/>
    <w:rsid w:val="00A644E8"/>
    <w:rsid w:val="00AB0BF9"/>
    <w:rsid w:val="00AB6A41"/>
    <w:rsid w:val="00AC44A5"/>
    <w:rsid w:val="00AF2FD3"/>
    <w:rsid w:val="00B11C87"/>
    <w:rsid w:val="00B245F8"/>
    <w:rsid w:val="00B27C51"/>
    <w:rsid w:val="00B322C0"/>
    <w:rsid w:val="00B42AEC"/>
    <w:rsid w:val="00B572A5"/>
    <w:rsid w:val="00B732EF"/>
    <w:rsid w:val="00B76341"/>
    <w:rsid w:val="00B9221F"/>
    <w:rsid w:val="00BA057C"/>
    <w:rsid w:val="00BA110F"/>
    <w:rsid w:val="00BA4EBF"/>
    <w:rsid w:val="00BF30FA"/>
    <w:rsid w:val="00BF6CDE"/>
    <w:rsid w:val="00C266E0"/>
    <w:rsid w:val="00C32384"/>
    <w:rsid w:val="00C32F7B"/>
    <w:rsid w:val="00C44FEE"/>
    <w:rsid w:val="00C575D8"/>
    <w:rsid w:val="00C96560"/>
    <w:rsid w:val="00CB60E3"/>
    <w:rsid w:val="00CB6FB0"/>
    <w:rsid w:val="00CB7917"/>
    <w:rsid w:val="00CE18C3"/>
    <w:rsid w:val="00CE41AF"/>
    <w:rsid w:val="00CE7827"/>
    <w:rsid w:val="00CF1C39"/>
    <w:rsid w:val="00D17F90"/>
    <w:rsid w:val="00D6042D"/>
    <w:rsid w:val="00D65747"/>
    <w:rsid w:val="00D7432F"/>
    <w:rsid w:val="00D842FA"/>
    <w:rsid w:val="00D91738"/>
    <w:rsid w:val="00DC752B"/>
    <w:rsid w:val="00DF659B"/>
    <w:rsid w:val="00E06DD6"/>
    <w:rsid w:val="00E164FE"/>
    <w:rsid w:val="00E20622"/>
    <w:rsid w:val="00E24781"/>
    <w:rsid w:val="00E31BA6"/>
    <w:rsid w:val="00E4084E"/>
    <w:rsid w:val="00E53071"/>
    <w:rsid w:val="00E831A1"/>
    <w:rsid w:val="00E91D87"/>
    <w:rsid w:val="00E942AE"/>
    <w:rsid w:val="00EC3644"/>
    <w:rsid w:val="00ED7518"/>
    <w:rsid w:val="00EE524C"/>
    <w:rsid w:val="00EF144B"/>
    <w:rsid w:val="00F42D4B"/>
    <w:rsid w:val="00F70F4A"/>
    <w:rsid w:val="00F76F0C"/>
    <w:rsid w:val="00F85E9A"/>
    <w:rsid w:val="00FA3318"/>
    <w:rsid w:val="00FB6B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11A5EB7"/>
  <w15:docId w15:val="{F4864920-0528-4F96-AE84-CD532A1F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EFC"/>
    <w:rPr>
      <w:sz w:val="24"/>
      <w:szCs w:val="24"/>
    </w:rPr>
  </w:style>
  <w:style w:type="paragraph" w:styleId="Heading1">
    <w:name w:val="heading 1"/>
    <w:basedOn w:val="Normal"/>
    <w:next w:val="Normal"/>
    <w:link w:val="Heading1Char"/>
    <w:qFormat/>
    <w:rsid w:val="003B0D8A"/>
    <w:pPr>
      <w:keepNext/>
      <w:widowControl w:val="0"/>
      <w:tabs>
        <w:tab w:val="left" w:pos="-1440"/>
        <w:tab w:val="left" w:pos="-720"/>
        <w:tab w:val="left" w:pos="1800"/>
        <w:tab w:val="left" w:pos="3150"/>
      </w:tabs>
      <w:suppressAutoHyphens/>
      <w:autoSpaceDE w:val="0"/>
      <w:autoSpaceDN w:val="0"/>
      <w:adjustRightInd w:val="0"/>
      <w:spacing w:line="240" w:lineRule="atLeas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sid w:val="00070EFC"/>
    <w:rPr>
      <w:rFonts w:ascii="Courier New" w:hAnsi="Courier New"/>
      <w:sz w:val="20"/>
      <w:szCs w:val="20"/>
    </w:rPr>
  </w:style>
  <w:style w:type="paragraph" w:styleId="EndnoteText">
    <w:name w:val="endnote text"/>
    <w:basedOn w:val="Normal"/>
    <w:semiHidden/>
    <w:rsid w:val="00070EFC"/>
    <w:pPr>
      <w:widowControl w:val="0"/>
      <w:autoSpaceDE w:val="0"/>
      <w:autoSpaceDN w:val="0"/>
      <w:adjustRightInd w:val="0"/>
    </w:pPr>
    <w:rPr>
      <w:rFonts w:ascii="Courier New" w:hAnsi="Courier New"/>
      <w:sz w:val="20"/>
    </w:rPr>
  </w:style>
  <w:style w:type="paragraph" w:styleId="BodyTextIndent">
    <w:name w:val="Body Text Indent"/>
    <w:basedOn w:val="Normal"/>
    <w:semiHidden/>
    <w:rsid w:val="00070EFC"/>
    <w:pPr>
      <w:tabs>
        <w:tab w:val="left" w:pos="576"/>
        <w:tab w:val="left" w:pos="1296"/>
        <w:tab w:val="left" w:pos="2016"/>
        <w:tab w:val="left" w:pos="2736"/>
        <w:tab w:val="left" w:pos="3456"/>
        <w:tab w:val="left" w:pos="4176"/>
        <w:tab w:val="left" w:pos="4896"/>
        <w:tab w:val="left" w:pos="5616"/>
        <w:tab w:val="left" w:pos="6336"/>
        <w:tab w:val="left" w:pos="7056"/>
        <w:tab w:val="left" w:pos="7776"/>
      </w:tabs>
      <w:ind w:left="576"/>
    </w:pPr>
    <w:rPr>
      <w:rFonts w:ascii="Arial" w:hAnsi="Arial" w:cs="Arial"/>
    </w:rPr>
  </w:style>
  <w:style w:type="paragraph" w:styleId="BodyTextIndent2">
    <w:name w:val="Body Text Indent 2"/>
    <w:basedOn w:val="Normal"/>
    <w:semiHidden/>
    <w:rsid w:val="00070EFC"/>
    <w:pPr>
      <w:tabs>
        <w:tab w:val="left" w:pos="0"/>
        <w:tab w:val="left" w:pos="480"/>
        <w:tab w:val="left" w:pos="1080"/>
        <w:tab w:val="left" w:pos="1680"/>
        <w:tab w:val="left" w:pos="2280"/>
        <w:tab w:val="left" w:pos="2880"/>
        <w:tab w:val="left" w:pos="3480"/>
        <w:tab w:val="left" w:pos="4680"/>
        <w:tab w:val="left" w:pos="5280"/>
        <w:tab w:val="left" w:pos="5760"/>
      </w:tabs>
      <w:suppressAutoHyphens/>
      <w:spacing w:line="240" w:lineRule="atLeast"/>
      <w:ind w:left="1080" w:hanging="1080"/>
    </w:pPr>
    <w:rPr>
      <w:rFonts w:ascii="Arial" w:hAnsi="Arial" w:cs="Arial"/>
    </w:rPr>
  </w:style>
  <w:style w:type="paragraph" w:styleId="BodyText">
    <w:name w:val="Body Text"/>
    <w:basedOn w:val="Normal"/>
    <w:semiHidden/>
    <w:rsid w:val="00070EFC"/>
    <w:pPr>
      <w:suppressAutoHyphens/>
      <w:spacing w:line="240" w:lineRule="atLeast"/>
    </w:pPr>
    <w:rPr>
      <w:rFonts w:ascii="Courier New" w:hAnsi="Courier New" w:cs="Courier New"/>
      <w:b/>
      <w:bCs/>
    </w:rPr>
  </w:style>
  <w:style w:type="character" w:customStyle="1" w:styleId="Heading1Char">
    <w:name w:val="Heading 1 Char"/>
    <w:basedOn w:val="DefaultParagraphFont"/>
    <w:link w:val="Heading1"/>
    <w:rsid w:val="003B0D8A"/>
    <w:rPr>
      <w:b/>
      <w:bCs/>
      <w:sz w:val="24"/>
      <w:szCs w:val="24"/>
    </w:rPr>
  </w:style>
  <w:style w:type="paragraph" w:styleId="BodyText2">
    <w:name w:val="Body Text 2"/>
    <w:basedOn w:val="Normal"/>
    <w:link w:val="BodyText2Char"/>
    <w:uiPriority w:val="99"/>
    <w:semiHidden/>
    <w:unhideWhenUsed/>
    <w:rsid w:val="000D6FF8"/>
    <w:pPr>
      <w:spacing w:after="120" w:line="480" w:lineRule="auto"/>
    </w:pPr>
  </w:style>
  <w:style w:type="character" w:customStyle="1" w:styleId="BodyText2Char">
    <w:name w:val="Body Text 2 Char"/>
    <w:basedOn w:val="DefaultParagraphFont"/>
    <w:link w:val="BodyText2"/>
    <w:uiPriority w:val="99"/>
    <w:semiHidden/>
    <w:rsid w:val="000D6FF8"/>
    <w:rPr>
      <w:sz w:val="24"/>
      <w:szCs w:val="24"/>
    </w:rPr>
  </w:style>
  <w:style w:type="character" w:styleId="CommentReference">
    <w:name w:val="annotation reference"/>
    <w:basedOn w:val="DefaultParagraphFont"/>
    <w:uiPriority w:val="99"/>
    <w:semiHidden/>
    <w:unhideWhenUsed/>
    <w:rsid w:val="005275CC"/>
    <w:rPr>
      <w:sz w:val="16"/>
      <w:szCs w:val="16"/>
    </w:rPr>
  </w:style>
  <w:style w:type="paragraph" w:styleId="CommentText">
    <w:name w:val="annotation text"/>
    <w:basedOn w:val="Normal"/>
    <w:link w:val="CommentTextChar"/>
    <w:uiPriority w:val="99"/>
    <w:semiHidden/>
    <w:unhideWhenUsed/>
    <w:rsid w:val="005275CC"/>
    <w:rPr>
      <w:sz w:val="20"/>
      <w:szCs w:val="20"/>
    </w:rPr>
  </w:style>
  <w:style w:type="character" w:customStyle="1" w:styleId="CommentTextChar">
    <w:name w:val="Comment Text Char"/>
    <w:basedOn w:val="DefaultParagraphFont"/>
    <w:link w:val="CommentText"/>
    <w:uiPriority w:val="99"/>
    <w:semiHidden/>
    <w:rsid w:val="005275CC"/>
  </w:style>
  <w:style w:type="paragraph" w:styleId="CommentSubject">
    <w:name w:val="annotation subject"/>
    <w:basedOn w:val="CommentText"/>
    <w:next w:val="CommentText"/>
    <w:link w:val="CommentSubjectChar"/>
    <w:uiPriority w:val="99"/>
    <w:semiHidden/>
    <w:unhideWhenUsed/>
    <w:rsid w:val="005275CC"/>
    <w:rPr>
      <w:b/>
      <w:bCs/>
    </w:rPr>
  </w:style>
  <w:style w:type="character" w:customStyle="1" w:styleId="CommentSubjectChar">
    <w:name w:val="Comment Subject Char"/>
    <w:basedOn w:val="CommentTextChar"/>
    <w:link w:val="CommentSubject"/>
    <w:uiPriority w:val="99"/>
    <w:semiHidden/>
    <w:rsid w:val="005275CC"/>
    <w:rPr>
      <w:b/>
      <w:bCs/>
    </w:rPr>
  </w:style>
  <w:style w:type="paragraph" w:styleId="BalloonText">
    <w:name w:val="Balloon Text"/>
    <w:basedOn w:val="Normal"/>
    <w:link w:val="BalloonTextChar"/>
    <w:uiPriority w:val="99"/>
    <w:semiHidden/>
    <w:unhideWhenUsed/>
    <w:rsid w:val="005275CC"/>
    <w:rPr>
      <w:rFonts w:ascii="Tahoma" w:hAnsi="Tahoma" w:cs="Tahoma"/>
      <w:sz w:val="16"/>
      <w:szCs w:val="16"/>
    </w:rPr>
  </w:style>
  <w:style w:type="character" w:customStyle="1" w:styleId="BalloonTextChar">
    <w:name w:val="Balloon Text Char"/>
    <w:basedOn w:val="DefaultParagraphFont"/>
    <w:link w:val="BalloonText"/>
    <w:uiPriority w:val="99"/>
    <w:semiHidden/>
    <w:rsid w:val="005275CC"/>
    <w:rPr>
      <w:rFonts w:ascii="Tahoma" w:hAnsi="Tahoma" w:cs="Tahoma"/>
      <w:sz w:val="16"/>
      <w:szCs w:val="16"/>
    </w:rPr>
  </w:style>
  <w:style w:type="paragraph" w:styleId="NormalWeb">
    <w:name w:val="Normal (Web)"/>
    <w:basedOn w:val="Normal"/>
    <w:uiPriority w:val="99"/>
    <w:semiHidden/>
    <w:unhideWhenUsed/>
    <w:rsid w:val="00567D20"/>
    <w:pPr>
      <w:spacing w:before="100" w:beforeAutospacing="1" w:after="100" w:afterAutospacing="1"/>
    </w:pPr>
  </w:style>
  <w:style w:type="character" w:styleId="Hyperlink">
    <w:name w:val="Hyperlink"/>
    <w:basedOn w:val="DefaultParagraphFont"/>
    <w:uiPriority w:val="99"/>
    <w:unhideWhenUsed/>
    <w:rsid w:val="00567D20"/>
    <w:rPr>
      <w:color w:val="0000FF" w:themeColor="hyperlink"/>
      <w:u w:val="single"/>
    </w:rPr>
  </w:style>
  <w:style w:type="character" w:styleId="UnresolvedMention">
    <w:name w:val="Unresolved Mention"/>
    <w:basedOn w:val="DefaultParagraphFont"/>
    <w:uiPriority w:val="99"/>
    <w:semiHidden/>
    <w:unhideWhenUsed/>
    <w:rsid w:val="007E5D9D"/>
    <w:rPr>
      <w:color w:val="605E5C"/>
      <w:shd w:val="clear" w:color="auto" w:fill="E1DFDD"/>
    </w:rPr>
  </w:style>
  <w:style w:type="character" w:styleId="FootnoteReference">
    <w:name w:val="footnote reference"/>
    <w:basedOn w:val="DefaultParagraphFont"/>
    <w:unhideWhenUsed/>
    <w:rsid w:val="00166438"/>
    <w:rPr>
      <w:vertAlign w:val="superscript"/>
    </w:rPr>
  </w:style>
  <w:style w:type="paragraph" w:styleId="ListParagraph">
    <w:name w:val="List Paragraph"/>
    <w:basedOn w:val="Normal"/>
    <w:uiPriority w:val="34"/>
    <w:qFormat/>
    <w:rsid w:val="00D842FA"/>
    <w:pPr>
      <w:ind w:left="720"/>
      <w:contextualSpacing/>
    </w:pPr>
  </w:style>
  <w:style w:type="paragraph" w:styleId="FootnoteText">
    <w:name w:val="footnote text"/>
    <w:basedOn w:val="Normal"/>
    <w:link w:val="FootnoteTextChar"/>
    <w:unhideWhenUsed/>
    <w:rsid w:val="008B465F"/>
    <w:rPr>
      <w:sz w:val="20"/>
      <w:szCs w:val="20"/>
    </w:rPr>
  </w:style>
  <w:style w:type="character" w:customStyle="1" w:styleId="FootnoteTextChar">
    <w:name w:val="Footnote Text Char"/>
    <w:basedOn w:val="DefaultParagraphFont"/>
    <w:link w:val="FootnoteText"/>
    <w:rsid w:val="008B465F"/>
  </w:style>
  <w:style w:type="character" w:styleId="FollowedHyperlink">
    <w:name w:val="FollowedHyperlink"/>
    <w:basedOn w:val="DefaultParagraphFont"/>
    <w:uiPriority w:val="99"/>
    <w:semiHidden/>
    <w:unhideWhenUsed/>
    <w:rsid w:val="006D0E0C"/>
    <w:rPr>
      <w:color w:val="800080" w:themeColor="followedHyperlink"/>
      <w:u w:val="single"/>
    </w:rPr>
  </w:style>
  <w:style w:type="table" w:customStyle="1" w:styleId="TableGrid1">
    <w:name w:val="Table Grid1"/>
    <w:basedOn w:val="TableNormal"/>
    <w:next w:val="TableGrid"/>
    <w:uiPriority w:val="39"/>
    <w:rsid w:val="00E164F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16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E283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2E283C"/>
    <w:rPr>
      <w:rFonts w:ascii="Cambria"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current/oes_nat.htm" TargetMode="External" /><Relationship Id="rId2" Type="http://schemas.openxmlformats.org/officeDocument/2006/relationships/hyperlink" Target="https://www.bls.gov/news.release/pdf/ece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9A57E-D519-4655-8609-37EBE9FA7A30}">
  <ds:schemaRefs>
    <ds:schemaRef ds:uri="http://schemas.openxmlformats.org/officeDocument/2006/bibliography"/>
  </ds:schemaRefs>
</ds:datastoreItem>
</file>

<file path=docMetadata/LabelInfo.xml><?xml version="1.0" encoding="utf-8"?>
<clbl:labelList xmlns:clbl="http://schemas.microsoft.com/office/2020/mipLabelMetadata">
  <clbl:label id="{6e9b51eb-62f5-42bb-9594-5a5af861a52c}" enabled="1" method="Standard" siteId="{0d69cd8a-9e12-4d21-95f0-b4406e06710a}" contentBits="0" removed="0"/>
</clbl:labelList>
</file>

<file path=docProps/app.xml><?xml version="1.0" encoding="utf-8"?>
<Properties xmlns="http://schemas.openxmlformats.org/officeDocument/2006/extended-properties" xmlns:vt="http://schemas.openxmlformats.org/officeDocument/2006/docPropsVTypes">
  <Template>Normal.dotm</Template>
  <TotalTime>254</TotalTime>
  <Pages>4</Pages>
  <Words>1320</Words>
  <Characters>7261</Characters>
  <Application>Microsoft Office Word</Application>
  <DocSecurity>0</DocSecurity>
  <Lines>226</Lines>
  <Paragraphs>105</Paragraphs>
  <ScaleCrop>false</ScaleCrop>
  <HeadingPairs>
    <vt:vector size="2" baseType="variant">
      <vt:variant>
        <vt:lpstr>Title</vt:lpstr>
      </vt:variant>
      <vt:variant>
        <vt:i4>1</vt:i4>
      </vt:variant>
    </vt:vector>
  </HeadingPairs>
  <TitlesOfParts>
    <vt:vector size="1" baseType="lpstr">
      <vt:lpstr>#1530-0036 supporting statement</vt:lpstr>
    </vt:vector>
  </TitlesOfParts>
  <Company>Department of the Treasury</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#1530-0036 supporting statement</dc:title>
  <dc:creator>Bureau of the Fiscal Service</dc:creator>
  <cp:lastModifiedBy>Bruce A. Sharp</cp:lastModifiedBy>
  <cp:revision>13</cp:revision>
  <cp:lastPrinted>2012-11-26T19:44:00Z</cp:lastPrinted>
  <dcterms:created xsi:type="dcterms:W3CDTF">2020-03-18T19:04:00Z</dcterms:created>
  <dcterms:modified xsi:type="dcterms:W3CDTF">2026-08-11T19:24:00Z</dcterms:modified>
</cp:coreProperties>
</file>