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43E05" w:rsidRPr="00843E05" w:rsidP="006443B8" w14:paraId="428E9597" w14:textId="205FBEC2">
      <w:pPr>
        <w:jc w:val="center"/>
      </w:pPr>
      <w:r w:rsidRPr="00843E05">
        <w:rPr>
          <w:b/>
          <w:bCs/>
        </w:rPr>
        <w:t>SUPPORTING STATEMENT FOR PAPERWORK REDUCTION ACT SUBMISSION</w:t>
      </w:r>
    </w:p>
    <w:p w:rsidR="00843E05" w:rsidRPr="00843E05" w:rsidP="006443B8" w14:paraId="730DA74E" w14:textId="4ABA6460">
      <w:pPr>
        <w:jc w:val="center"/>
      </w:pPr>
      <w:r w:rsidRPr="00843E05">
        <w:rPr>
          <w:b/>
          <w:bCs/>
        </w:rPr>
        <w:t xml:space="preserve">Perkins </w:t>
      </w:r>
      <w:r w:rsidR="00243541">
        <w:rPr>
          <w:b/>
          <w:bCs/>
        </w:rPr>
        <w:t xml:space="preserve">V </w:t>
      </w:r>
      <w:r w:rsidR="00B23D75">
        <w:rPr>
          <w:b/>
          <w:bCs/>
        </w:rPr>
        <w:t>Consolidated Annual Report (OMB Control Number 1830-0569)</w:t>
      </w:r>
    </w:p>
    <w:p w:rsidR="00843E05" w:rsidRPr="00843E05" w:rsidP="00843E05" w14:paraId="6DD8594A" w14:textId="77777777">
      <w:r w:rsidRPr="00843E05">
        <w:rPr>
          <w:b/>
          <w:bCs/>
        </w:rPr>
        <w:t>A. Justification</w:t>
      </w:r>
      <w:r w:rsidRPr="00843E05">
        <w:t> </w:t>
      </w:r>
    </w:p>
    <w:p w:rsidR="00843E05" w:rsidP="00843E05" w14:paraId="1FE652C3" w14:textId="77777777">
      <w:pPr>
        <w:numPr>
          <w:ilvl w:val="0"/>
          <w:numId w:val="1"/>
        </w:numPr>
      </w:pPr>
      <w:r w:rsidRPr="00843E05">
        <w:rPr>
          <w:b/>
          <w:bCs/>
        </w:rPr>
        <w:t xml:space="preserve">Explain the circumstances that make the collection of information necessary.  What is the purpose </w:t>
      </w:r>
      <w:r w:rsidRPr="00843E05">
        <w:rPr>
          <w:b/>
          <w:bCs/>
        </w:rPr>
        <w:t>for</w:t>
      </w:r>
      <w:r w:rsidRPr="00843E05">
        <w:rPr>
          <w:b/>
          <w:bCs/>
        </w:rPr>
        <w:t xml:space="preserve"> this information collection? Identify any legal or administrative requirements that necessitate the collection.  Include a citation that authorizes the collection of information. Specify the review type of the collection (new, revision, extension, reinstatement with change, reinstatement without change). If revised, briefly specify the changes.  If a rulemaking is involved, list the sections with a brief description of the information collection requirement, and/or changes to sections, if applicable.</w:t>
      </w:r>
      <w:r w:rsidRPr="00843E05">
        <w:t> </w:t>
      </w:r>
    </w:p>
    <w:p w:rsidR="00BD6A6E" w:rsidRPr="00BF368A" w:rsidP="00BD6A6E" w14:paraId="2120453F" w14:textId="52AF8559">
      <w:pPr>
        <w:pStyle w:val="paragraph"/>
        <w:spacing w:before="0" w:beforeAutospacing="0" w:after="0" w:afterAutospacing="0"/>
        <w:textAlignment w:val="baseline"/>
        <w:rPr>
          <w:rStyle w:val="eop"/>
          <w:rFonts w:asciiTheme="minorHAnsi" w:hAnsiTheme="minorHAnsi" w:cstheme="minorHAnsi"/>
          <w:sz w:val="22"/>
          <w:szCs w:val="22"/>
        </w:rPr>
      </w:pPr>
      <w:r w:rsidRPr="00BF368A">
        <w:rPr>
          <w:rStyle w:val="normaltextrun"/>
          <w:rFonts w:asciiTheme="minorHAnsi" w:hAnsiTheme="minorHAnsi" w:cstheme="minorHAnsi"/>
          <w:sz w:val="22"/>
          <w:szCs w:val="22"/>
        </w:rPr>
        <w:t xml:space="preserve">This is a request to </w:t>
      </w:r>
      <w:r w:rsidR="00AA78A4">
        <w:rPr>
          <w:rStyle w:val="normaltextrun"/>
          <w:rFonts w:asciiTheme="minorHAnsi" w:hAnsiTheme="minorHAnsi" w:cstheme="minorHAnsi"/>
          <w:sz w:val="22"/>
          <w:szCs w:val="22"/>
        </w:rPr>
        <w:t>revise</w:t>
      </w:r>
      <w:r w:rsidRPr="00BF368A" w:rsidR="00AA78A4">
        <w:rPr>
          <w:rStyle w:val="normaltextrun"/>
          <w:rFonts w:asciiTheme="minorHAnsi" w:hAnsiTheme="minorHAnsi" w:cstheme="minorHAnsi"/>
          <w:sz w:val="22"/>
          <w:szCs w:val="22"/>
        </w:rPr>
        <w:t xml:space="preserve"> </w:t>
      </w:r>
      <w:r w:rsidRPr="00BF368A">
        <w:rPr>
          <w:rStyle w:val="normaltextrun"/>
          <w:rFonts w:asciiTheme="minorHAnsi" w:hAnsiTheme="minorHAnsi" w:cstheme="minorHAnsi"/>
          <w:sz w:val="22"/>
          <w:szCs w:val="22"/>
        </w:rPr>
        <w:t>the information collection used by the U.S. Department of Education (Department) to gather annual reports from eligible agencies under the Carl D. Perkins Career and Technical Education Act of 2006 (Perkins V or the Act) (20 U.S.C 2301 et seq.), the Consolidated Annual Report (CAR Guide</w:t>
      </w:r>
      <w:r>
        <w:rPr>
          <w:rStyle w:val="normaltextrun"/>
          <w:rFonts w:asciiTheme="minorHAnsi" w:hAnsiTheme="minorHAnsi" w:cstheme="minorHAnsi"/>
          <w:sz w:val="22"/>
          <w:szCs w:val="22"/>
        </w:rPr>
        <w:t>, CAR,</w:t>
      </w:r>
      <w:r w:rsidRPr="00BF368A">
        <w:rPr>
          <w:rStyle w:val="normaltextrun"/>
          <w:rFonts w:asciiTheme="minorHAnsi" w:hAnsiTheme="minorHAnsi" w:cstheme="minorHAnsi"/>
          <w:sz w:val="22"/>
          <w:szCs w:val="22"/>
        </w:rPr>
        <w:t xml:space="preserve"> or Guide) (OMB Control Number 1830-0569) that was approved by OMB on </w:t>
      </w:r>
      <w:r w:rsidR="006B6860">
        <w:rPr>
          <w:rStyle w:val="normaltextrun"/>
          <w:rFonts w:asciiTheme="minorHAnsi" w:hAnsiTheme="minorHAnsi" w:cstheme="minorHAnsi"/>
          <w:sz w:val="22"/>
          <w:szCs w:val="22"/>
        </w:rPr>
        <w:t>November 17</w:t>
      </w:r>
      <w:r w:rsidRPr="00BF368A">
        <w:rPr>
          <w:rStyle w:val="normaltextrun"/>
          <w:rFonts w:asciiTheme="minorHAnsi" w:hAnsiTheme="minorHAnsi" w:cstheme="minorHAnsi"/>
          <w:sz w:val="22"/>
          <w:szCs w:val="22"/>
        </w:rPr>
        <w:t>, 2025.</w:t>
      </w:r>
      <w:r w:rsidRPr="00BF368A">
        <w:rPr>
          <w:rStyle w:val="eop"/>
          <w:rFonts w:asciiTheme="minorHAnsi" w:hAnsiTheme="minorHAnsi" w:cstheme="minorHAnsi"/>
          <w:sz w:val="22"/>
          <w:szCs w:val="22"/>
        </w:rPr>
        <w:t> </w:t>
      </w:r>
    </w:p>
    <w:p w:rsidR="00BD6A6E" w:rsidRPr="00BF368A" w:rsidP="00BD6A6E" w14:paraId="6E0D507C" w14:textId="77777777">
      <w:pPr>
        <w:pStyle w:val="paragraph"/>
        <w:spacing w:before="0" w:beforeAutospacing="0" w:after="0" w:afterAutospacing="0"/>
        <w:textAlignment w:val="baseline"/>
        <w:rPr>
          <w:rFonts w:asciiTheme="minorHAnsi" w:hAnsiTheme="minorHAnsi" w:cstheme="minorHAnsi"/>
          <w:sz w:val="22"/>
          <w:szCs w:val="22"/>
        </w:rPr>
      </w:pPr>
    </w:p>
    <w:p w:rsidR="00BD6A6E" w:rsidRPr="00BF368A" w:rsidP="00BD6A6E" w14:paraId="0FD593A5" w14:textId="4A8A7DA3">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 xml:space="preserve">Annual reports consist of narrative information, financial status reports (FSRs), and performance data pursuant to section 113 of Perkins V, applicable Federal regulations pursuant to the Uniform Guidance (2 CFR </w:t>
      </w:r>
      <w:r>
        <w:rPr>
          <w:rStyle w:val="normaltextrun"/>
          <w:rFonts w:asciiTheme="minorHAnsi" w:hAnsiTheme="minorHAnsi" w:cstheme="minorHAnsi"/>
          <w:sz w:val="22"/>
          <w:szCs w:val="22"/>
        </w:rPr>
        <w:t xml:space="preserve">part </w:t>
      </w:r>
      <w:r w:rsidRPr="00BF368A">
        <w:rPr>
          <w:rStyle w:val="normaltextrun"/>
          <w:rFonts w:asciiTheme="minorHAnsi" w:hAnsiTheme="minorHAnsi" w:cstheme="minorHAnsi"/>
          <w:sz w:val="22"/>
          <w:szCs w:val="22"/>
        </w:rPr>
        <w:t xml:space="preserve">200), and the Education Department General Administrative Regulations (34 CFR </w:t>
      </w:r>
      <w:r>
        <w:rPr>
          <w:rStyle w:val="normaltextrun"/>
          <w:rFonts w:asciiTheme="minorHAnsi" w:hAnsiTheme="minorHAnsi" w:cstheme="minorHAnsi"/>
          <w:sz w:val="22"/>
          <w:szCs w:val="22"/>
        </w:rPr>
        <w:t xml:space="preserve">part </w:t>
      </w:r>
      <w:r w:rsidRPr="00BF368A">
        <w:rPr>
          <w:rStyle w:val="normaltextrun"/>
          <w:rFonts w:asciiTheme="minorHAnsi" w:hAnsiTheme="minorHAnsi" w:cstheme="minorHAnsi"/>
          <w:sz w:val="22"/>
          <w:szCs w:val="22"/>
        </w:rPr>
        <w:t xml:space="preserve">76).  Eligible agencies are </w:t>
      </w:r>
      <w:r>
        <w:rPr>
          <w:rStyle w:val="normaltextrun"/>
          <w:rFonts w:asciiTheme="minorHAnsi" w:hAnsiTheme="minorHAnsi" w:cstheme="minorHAnsi"/>
          <w:sz w:val="22"/>
          <w:szCs w:val="22"/>
        </w:rPr>
        <w:t>defined in section 3(18) of Perkins V as</w:t>
      </w:r>
      <w:r w:rsidRPr="00BF368A">
        <w:rPr>
          <w:rStyle w:val="normaltextrun"/>
          <w:rFonts w:asciiTheme="minorHAnsi" w:hAnsiTheme="minorHAnsi" w:cstheme="minorHAnsi"/>
          <w:sz w:val="22"/>
          <w:szCs w:val="22"/>
        </w:rPr>
        <w:t xml:space="preserve"> the State boards, or sole State agencies, responsible for the administration of career and technical education (CTE) in the 50 States; the District of Columbia; Puerto Rico; the outlying areas of the United State</w:t>
      </w:r>
      <w:r w:rsidR="001265E9">
        <w:rPr>
          <w:rStyle w:val="normaltextrun"/>
          <w:rFonts w:asciiTheme="minorHAnsi" w:hAnsiTheme="minorHAnsi" w:cstheme="minorHAnsi"/>
          <w:sz w:val="22"/>
          <w:szCs w:val="22"/>
        </w:rPr>
        <w:t>s</w:t>
      </w:r>
      <w:r w:rsidRPr="00BF368A">
        <w:rPr>
          <w:rStyle w:val="normaltextrun"/>
          <w:rFonts w:asciiTheme="minorHAnsi" w:hAnsiTheme="minorHAnsi" w:cstheme="minorHAnsi"/>
          <w:sz w:val="22"/>
          <w:szCs w:val="22"/>
        </w:rPr>
        <w:t xml:space="preserve"> Virgin Islands, Guam, American Samoa, the Commonwealth of the Northern Mariana Islands; and the Republic of Palau.  With few exceptions, the State boards delegate to another State agency responsibilities that involve the administration, operation, or supervision of its State plan, including the development and submission of the CAR.</w:t>
      </w:r>
      <w:r w:rsidRPr="00BF368A">
        <w:rPr>
          <w:rStyle w:val="eop"/>
          <w:rFonts w:asciiTheme="minorHAnsi" w:hAnsiTheme="minorHAnsi" w:cstheme="minorHAnsi"/>
          <w:sz w:val="22"/>
          <w:szCs w:val="22"/>
        </w:rPr>
        <w:t> </w:t>
      </w:r>
    </w:p>
    <w:p w:rsidR="00BD6A6E" w:rsidRPr="00BF368A" w:rsidP="00BD6A6E" w14:paraId="0F8DD851"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RPr="00BF368A" w:rsidP="00BD6A6E" w14:paraId="4FB057D1" w14:textId="77777777">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Section 113(b)(3)(C) of Perkins V requires each eligible agency that receives an allotment under section 111 to annually prepare and submit to the Secretary a report regarding-</w:t>
      </w:r>
      <w:r w:rsidRPr="00BF368A">
        <w:rPr>
          <w:rStyle w:val="eop"/>
          <w:rFonts w:asciiTheme="minorHAnsi" w:hAnsiTheme="minorHAnsi" w:cstheme="minorHAnsi"/>
          <w:sz w:val="22"/>
          <w:szCs w:val="22"/>
        </w:rPr>
        <w:t> </w:t>
      </w:r>
    </w:p>
    <w:p w:rsidR="00BD6A6E" w:rsidRPr="00BF368A" w:rsidP="00BD6A6E" w14:paraId="3B25D633" w14:textId="77777777">
      <w:pPr>
        <w:pStyle w:val="paragraph"/>
        <w:numPr>
          <w:ilvl w:val="0"/>
          <w:numId w:val="39"/>
        </w:numPr>
        <w:spacing w:before="0" w:beforeAutospacing="0" w:after="0" w:afterAutospacing="0"/>
        <w:ind w:left="1080" w:firstLine="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the progress of the State in achieving the State determined levels of performance on the core indicators of performance described in section 113(b)(2) of the Act.</w:t>
      </w:r>
      <w:r w:rsidRPr="00BF368A">
        <w:rPr>
          <w:rStyle w:val="eop"/>
          <w:rFonts w:asciiTheme="minorHAnsi" w:hAnsiTheme="minorHAnsi" w:cstheme="minorHAnsi"/>
          <w:sz w:val="22"/>
          <w:szCs w:val="22"/>
        </w:rPr>
        <w:t> </w:t>
      </w:r>
    </w:p>
    <w:p w:rsidR="00BD6A6E" w:rsidRPr="00BF368A" w:rsidP="00BD6A6E" w14:paraId="3597443C" w14:textId="77777777">
      <w:pPr>
        <w:pStyle w:val="paragraph"/>
        <w:numPr>
          <w:ilvl w:val="0"/>
          <w:numId w:val="40"/>
        </w:numPr>
        <w:spacing w:before="0" w:beforeAutospacing="0" w:after="0" w:afterAutospacing="0"/>
        <w:ind w:left="1080" w:firstLine="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the actual levels of performance for all CTE concentrators, and for each subgroup of students, as described in section 1111(h)(1)(C)(ii) of the Elementary and Secondary Education Act of 1965 (ESEA), and special populations, as described in section 3(48) of Perkins V.</w:t>
      </w:r>
      <w:r w:rsidRPr="00BF368A">
        <w:rPr>
          <w:rStyle w:val="eop"/>
          <w:rFonts w:asciiTheme="minorHAnsi" w:hAnsiTheme="minorHAnsi" w:cstheme="minorHAnsi"/>
          <w:sz w:val="22"/>
          <w:szCs w:val="22"/>
        </w:rPr>
        <w:t> </w:t>
      </w:r>
    </w:p>
    <w:p w:rsidR="00BD6A6E" w:rsidRPr="00BF368A" w:rsidP="00BD6A6E" w14:paraId="0721863F"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RPr="00BF368A" w:rsidP="00BD6A6E" w14:paraId="2C27C733" w14:textId="77777777">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Each eligible agency also must disaggregate data for each of the core indicators for the subgroups of students in ESEA section 1111(h)(1)(C)(ii), and special populations, as described in section 3(48) of Perkins V, that are served under Perkins V; and by the CTE programs or programs of study of the CTE concentrators, except that in a case in which reporting by such program or program of study is impractical, the data may be disaggregated by the career clusters of the CTE concentrators, if appropriate.</w:t>
      </w:r>
      <w:r w:rsidRPr="00BF368A">
        <w:rPr>
          <w:rStyle w:val="eop"/>
          <w:rFonts w:asciiTheme="minorHAnsi" w:hAnsiTheme="minorHAnsi" w:cstheme="minorHAnsi"/>
          <w:sz w:val="22"/>
          <w:szCs w:val="22"/>
        </w:rPr>
        <w:t> </w:t>
      </w:r>
    </w:p>
    <w:p w:rsidR="00BD6A6E" w:rsidRPr="00BF368A" w:rsidP="00BD6A6E" w14:paraId="0D11BEBB"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RPr="00BF368A" w:rsidP="00BD6A6E" w14:paraId="7CCEBF2E" w14:textId="77777777">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As a recipient of Federal funds, each eligible agency must comply with the requirements for submitting annual performance reports to the Department pursuant to 2 CFR 200.32</w:t>
      </w:r>
      <w:r>
        <w:rPr>
          <w:rStyle w:val="normaltextrun"/>
          <w:rFonts w:asciiTheme="minorHAnsi" w:hAnsiTheme="minorHAnsi" w:cstheme="minorHAnsi"/>
          <w:sz w:val="22"/>
          <w:szCs w:val="22"/>
        </w:rPr>
        <w:t>9</w:t>
      </w:r>
      <w:r w:rsidRPr="00BF368A">
        <w:rPr>
          <w:rStyle w:val="normaltextrun"/>
          <w:rFonts w:asciiTheme="minorHAnsi" w:hAnsiTheme="minorHAnsi" w:cstheme="minorHAnsi"/>
          <w:sz w:val="22"/>
          <w:szCs w:val="22"/>
        </w:rPr>
        <w:t xml:space="preserve">, including a comparison of </w:t>
      </w:r>
      <w:r w:rsidRPr="00BF368A">
        <w:rPr>
          <w:rStyle w:val="normaltextrun"/>
          <w:rFonts w:asciiTheme="minorHAnsi" w:hAnsiTheme="minorHAnsi" w:cstheme="minorHAnsi"/>
          <w:sz w:val="22"/>
          <w:szCs w:val="22"/>
        </w:rPr>
        <w:t>actual accomplishments to the objectives of the Federal award and, if applicable, the reasons why established goals were not met.</w:t>
      </w:r>
      <w:r w:rsidRPr="00BF368A">
        <w:rPr>
          <w:rStyle w:val="eop"/>
          <w:rFonts w:asciiTheme="minorHAnsi" w:hAnsiTheme="minorHAnsi" w:cstheme="minorHAnsi"/>
          <w:sz w:val="22"/>
          <w:szCs w:val="22"/>
        </w:rPr>
        <w:t> </w:t>
      </w:r>
    </w:p>
    <w:p w:rsidR="00BD6A6E" w:rsidRPr="00BF368A" w:rsidP="00BD6A6E" w14:paraId="22895135"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RPr="00BF368A" w:rsidP="00BD6A6E" w14:paraId="08FD1DB9" w14:textId="77777777">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Finally, as a recipient of Federal funds, each eligible agency must comply with the requirements for submitting annual financial reports to the Department pursuant to 2 CFR 200.32</w:t>
      </w:r>
      <w:r>
        <w:rPr>
          <w:rStyle w:val="normaltextrun"/>
          <w:rFonts w:asciiTheme="minorHAnsi" w:hAnsiTheme="minorHAnsi" w:cstheme="minorHAnsi"/>
          <w:sz w:val="22"/>
          <w:szCs w:val="22"/>
        </w:rPr>
        <w:t>8</w:t>
      </w:r>
      <w:r w:rsidRPr="00BF368A">
        <w:rPr>
          <w:rStyle w:val="normaltextrun"/>
          <w:rFonts w:asciiTheme="minorHAnsi" w:hAnsiTheme="minorHAnsi" w:cstheme="minorHAnsi"/>
          <w:sz w:val="22"/>
          <w:szCs w:val="22"/>
        </w:rPr>
        <w:t xml:space="preserve">.  To meet these requirements, an eligible agency must complete two separate forms, an interim </w:t>
      </w:r>
      <w:r>
        <w:rPr>
          <w:rStyle w:val="normaltextrun"/>
          <w:rFonts w:asciiTheme="minorHAnsi" w:hAnsiTheme="minorHAnsi" w:cstheme="minorHAnsi"/>
          <w:sz w:val="22"/>
          <w:szCs w:val="22"/>
        </w:rPr>
        <w:t>financial status report (</w:t>
      </w:r>
      <w:r w:rsidRPr="00BF368A">
        <w:rPr>
          <w:rStyle w:val="normaltextrun"/>
          <w:rFonts w:asciiTheme="minorHAnsi" w:hAnsiTheme="minorHAnsi" w:cstheme="minorHAnsi"/>
          <w:sz w:val="22"/>
          <w:szCs w:val="22"/>
        </w:rPr>
        <w:t>FSR</w:t>
      </w:r>
      <w:r>
        <w:rPr>
          <w:rStyle w:val="normaltextrun"/>
          <w:rFonts w:asciiTheme="minorHAnsi" w:hAnsiTheme="minorHAnsi" w:cstheme="minorHAnsi"/>
          <w:sz w:val="22"/>
          <w:szCs w:val="22"/>
        </w:rPr>
        <w:t>)</w:t>
      </w:r>
      <w:r w:rsidRPr="00BF368A">
        <w:rPr>
          <w:rStyle w:val="normaltextrun"/>
          <w:rFonts w:asciiTheme="minorHAnsi" w:hAnsiTheme="minorHAnsi" w:cstheme="minorHAnsi"/>
          <w:sz w:val="22"/>
          <w:szCs w:val="22"/>
        </w:rPr>
        <w:t xml:space="preserve"> and a final FSR, each containing the same items.  The interim FSR covers the first 12 and/or 15-month period for which the grant was awarded, while the final FSR covers the entire 27-month period for which the grant was awarded.</w:t>
      </w:r>
      <w:r w:rsidRPr="00BF368A">
        <w:rPr>
          <w:rStyle w:val="eop"/>
          <w:rFonts w:asciiTheme="minorHAnsi" w:hAnsiTheme="minorHAnsi" w:cstheme="minorHAnsi"/>
          <w:sz w:val="22"/>
          <w:szCs w:val="22"/>
        </w:rPr>
        <w:t> </w:t>
      </w:r>
    </w:p>
    <w:p w:rsidR="00BD6A6E" w:rsidRPr="00BF368A" w:rsidP="00BD6A6E" w14:paraId="7169EFE9"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RPr="00BF368A" w:rsidP="00BD6A6E" w14:paraId="0825B635" w14:textId="77777777">
      <w:pPr>
        <w:pStyle w:val="paragraph"/>
        <w:spacing w:before="0" w:beforeAutospacing="0" w:after="0" w:afterAutospacing="0"/>
        <w:textAlignment w:val="baseline"/>
        <w:rPr>
          <w:rFonts w:asciiTheme="minorHAnsi" w:hAnsiTheme="minorHAnsi" w:cstheme="minorHAnsi"/>
          <w:sz w:val="22"/>
          <w:szCs w:val="22"/>
        </w:rPr>
      </w:pPr>
      <w:r w:rsidRPr="00BF368A">
        <w:rPr>
          <w:rStyle w:val="normaltextrun"/>
          <w:rFonts w:asciiTheme="minorHAnsi" w:hAnsiTheme="minorHAnsi" w:cstheme="minorHAnsi"/>
          <w:sz w:val="22"/>
          <w:szCs w:val="22"/>
        </w:rPr>
        <w:t xml:space="preserve">The Department has combined these reports into a single reporting instrument, the CAR.  Each eligible agency must submit its narrative performance report, FSRs, and performance data forms for the core indicators to the Perkins Consolidated Annual Report Portal at </w:t>
      </w:r>
      <w:hyperlink r:id="rId9" w:tgtFrame="_blank" w:history="1">
        <w:r w:rsidRPr="00BF368A">
          <w:rPr>
            <w:rStyle w:val="normaltextrun"/>
            <w:rFonts w:asciiTheme="minorHAnsi" w:hAnsiTheme="minorHAnsi" w:cstheme="minorHAnsi"/>
            <w:color w:val="0563C1"/>
            <w:sz w:val="22"/>
            <w:szCs w:val="22"/>
            <w:u w:val="single"/>
          </w:rPr>
          <w:t>https://Perkins.ed.gov</w:t>
        </w:r>
      </w:hyperlink>
      <w:r w:rsidRPr="00BF368A">
        <w:rPr>
          <w:rStyle w:val="normaltextrun"/>
          <w:rFonts w:asciiTheme="minorHAnsi" w:hAnsiTheme="minorHAnsi" w:cstheme="minorHAnsi"/>
          <w:sz w:val="22"/>
          <w:szCs w:val="22"/>
        </w:rPr>
        <w:t>.  The deadline for each eligible agency to submit its CAR submission is January 31 of the year following the most recently completed program year.</w:t>
      </w:r>
      <w:r w:rsidRPr="00BF368A">
        <w:rPr>
          <w:rStyle w:val="eop"/>
          <w:rFonts w:asciiTheme="minorHAnsi" w:hAnsiTheme="minorHAnsi" w:cstheme="minorHAnsi"/>
          <w:sz w:val="22"/>
          <w:szCs w:val="22"/>
        </w:rPr>
        <w:t> </w:t>
      </w:r>
    </w:p>
    <w:p w:rsidR="00BD6A6E" w:rsidRPr="00BF368A" w:rsidP="00BD6A6E" w14:paraId="29CBCCC6" w14:textId="77777777">
      <w:pPr>
        <w:pStyle w:val="NoSpacing"/>
        <w:rPr>
          <w:rFonts w:cstheme="minorHAnsi"/>
          <w:kern w:val="0"/>
        </w:rPr>
      </w:pPr>
    </w:p>
    <w:p w:rsidR="00BD6A6E" w:rsidRPr="00BF368A" w:rsidP="00BD6A6E" w14:paraId="0A7B8048" w14:textId="77777777">
      <w:pPr>
        <w:pStyle w:val="NoSpacing"/>
        <w:rPr>
          <w:rFonts w:cstheme="minorHAnsi"/>
        </w:rPr>
      </w:pPr>
      <w:r w:rsidRPr="00BF368A">
        <w:rPr>
          <w:rFonts w:cstheme="minorHAnsi"/>
        </w:rPr>
        <w:t>SUPPLEMENTARY INFORMATION:</w:t>
      </w:r>
    </w:p>
    <w:p w:rsidR="00BD6A6E" w:rsidRPr="00BF368A" w:rsidP="00BD6A6E" w14:paraId="3EF4EE0C" w14:textId="77777777">
      <w:pPr>
        <w:pStyle w:val="paragraph"/>
        <w:spacing w:before="0" w:beforeAutospacing="0" w:after="0" w:afterAutospacing="0"/>
        <w:textAlignment w:val="baseline"/>
        <w:rPr>
          <w:rStyle w:val="normaltextrun"/>
          <w:rFonts w:asciiTheme="minorHAnsi" w:hAnsiTheme="minorHAnsi" w:cstheme="minorHAnsi"/>
          <w:sz w:val="22"/>
          <w:szCs w:val="22"/>
        </w:rPr>
      </w:pPr>
    </w:p>
    <w:p w:rsidR="00BD6A6E" w:rsidP="00BD6A6E" w14:paraId="7B236176" w14:textId="3484AD7B">
      <w:pPr>
        <w:spacing w:line="257" w:lineRule="auto"/>
        <w:rPr>
          <w:rFonts w:ascii="Calibri" w:eastAsia="Calibri" w:hAnsi="Calibri" w:cs="Calibri"/>
          <w:color w:val="000000" w:themeColor="text1"/>
        </w:rPr>
      </w:pPr>
      <w:r>
        <w:rPr>
          <w:rFonts w:ascii="Calibri" w:eastAsia="Calibri" w:hAnsi="Calibri" w:cs="Calibri"/>
          <w:color w:val="000000" w:themeColor="text1"/>
        </w:rPr>
        <w:t>The Department is making the following revisions to the CAR guide via this action:</w:t>
      </w:r>
    </w:p>
    <w:p w:rsidR="005A6081" w:rsidP="00CD3C1C" w14:paraId="53DAC0D0" w14:textId="325917CF">
      <w:pPr>
        <w:pStyle w:val="ListParagraph"/>
        <w:numPr>
          <w:ilvl w:val="0"/>
          <w:numId w:val="41"/>
        </w:numPr>
        <w:spacing w:line="257" w:lineRule="auto"/>
        <w:rPr>
          <w:rFonts w:ascii="Calibri" w:eastAsia="Calibri" w:hAnsi="Calibri" w:cs="Calibri"/>
        </w:rPr>
      </w:pPr>
      <w:r>
        <w:rPr>
          <w:rFonts w:ascii="Calibri" w:eastAsia="Calibri" w:hAnsi="Calibri" w:cs="Calibri"/>
        </w:rPr>
        <w:t>Updating Financial Status Report (FSR) instructions and associated forms</w:t>
      </w:r>
      <w:r>
        <w:rPr>
          <w:rFonts w:ascii="Calibri" w:eastAsia="Calibri" w:hAnsi="Calibri" w:cs="Calibri"/>
        </w:rPr>
        <w:t xml:space="preserve"> </w:t>
      </w:r>
      <w:r w:rsidR="007D42CD">
        <w:rPr>
          <w:rFonts w:ascii="Calibri" w:eastAsia="Calibri" w:hAnsi="Calibri" w:cs="Calibri"/>
        </w:rPr>
        <w:t>to reduce reporting burden on States</w:t>
      </w:r>
      <w:r w:rsidR="009F4B5F">
        <w:rPr>
          <w:rFonts w:ascii="Calibri" w:eastAsia="Calibri" w:hAnsi="Calibri" w:cs="Calibri"/>
        </w:rPr>
        <w:t>:</w:t>
      </w:r>
    </w:p>
    <w:p w:rsidR="00CD3C1C" w:rsidP="00A02A6A" w14:paraId="30FDF2ED" w14:textId="5ED2BC1C">
      <w:pPr>
        <w:pStyle w:val="ListParagraph"/>
        <w:numPr>
          <w:ilvl w:val="1"/>
          <w:numId w:val="41"/>
        </w:numPr>
        <w:spacing w:line="257" w:lineRule="auto"/>
        <w:rPr>
          <w:rFonts w:ascii="Calibri" w:eastAsia="Calibri" w:hAnsi="Calibri" w:cs="Calibri"/>
        </w:rPr>
      </w:pPr>
      <w:r>
        <w:rPr>
          <w:rFonts w:ascii="Calibri" w:eastAsia="Calibri" w:hAnsi="Calibri" w:cs="Calibri"/>
        </w:rPr>
        <w:t xml:space="preserve">Specifically, the Department is eliminating </w:t>
      </w:r>
      <w:r w:rsidR="0025288F">
        <w:rPr>
          <w:rFonts w:ascii="Calibri" w:eastAsia="Calibri" w:hAnsi="Calibri" w:cs="Calibri"/>
        </w:rPr>
        <w:t>the requirement for States to report</w:t>
      </w:r>
      <w:r w:rsidR="009544B1">
        <w:rPr>
          <w:rFonts w:ascii="Calibri" w:eastAsia="Calibri" w:hAnsi="Calibri" w:cs="Calibri"/>
        </w:rPr>
        <w:t>: Net Outlays Previously Report</w:t>
      </w:r>
      <w:r w:rsidR="00720E4C">
        <w:rPr>
          <w:rFonts w:ascii="Calibri" w:eastAsia="Calibri" w:hAnsi="Calibri" w:cs="Calibri"/>
        </w:rPr>
        <w:t>ed</w:t>
      </w:r>
      <w:r w:rsidR="009544B1">
        <w:rPr>
          <w:rFonts w:ascii="Calibri" w:eastAsia="Calibri" w:hAnsi="Calibri" w:cs="Calibri"/>
        </w:rPr>
        <w:t>, Total Outlays This</w:t>
      </w:r>
      <w:r w:rsidR="007A2027">
        <w:rPr>
          <w:rFonts w:ascii="Calibri" w:eastAsia="Calibri" w:hAnsi="Calibri" w:cs="Calibri"/>
        </w:rPr>
        <w:t xml:space="preserve"> Report Period, Net Outlays This Report Period, and Net Outlays to Date.  The Department has determined that this information is duplicative </w:t>
      </w:r>
      <w:r w:rsidR="002C1276">
        <w:rPr>
          <w:rFonts w:ascii="Calibri" w:eastAsia="Calibri" w:hAnsi="Calibri" w:cs="Calibri"/>
        </w:rPr>
        <w:t>of</w:t>
      </w:r>
      <w:r w:rsidR="007A2027">
        <w:rPr>
          <w:rFonts w:ascii="Calibri" w:eastAsia="Calibri" w:hAnsi="Calibri" w:cs="Calibri"/>
        </w:rPr>
        <w:t xml:space="preserve"> information that can be garnered from its grants management systems and should therefore not be reported via the CAR.</w:t>
      </w:r>
      <w:r w:rsidR="001C503D">
        <w:rPr>
          <w:rFonts w:ascii="Calibri" w:eastAsia="Calibri" w:hAnsi="Calibri" w:cs="Calibri"/>
        </w:rPr>
        <w:t xml:space="preserve">  Finally, the Department has updated it</w:t>
      </w:r>
      <w:r w:rsidR="00EB7B4B">
        <w:rPr>
          <w:rFonts w:ascii="Calibri" w:eastAsia="Calibri" w:hAnsi="Calibri" w:cs="Calibri"/>
        </w:rPr>
        <w:t>s</w:t>
      </w:r>
      <w:r w:rsidR="001C503D">
        <w:rPr>
          <w:rFonts w:ascii="Calibri" w:eastAsia="Calibri" w:hAnsi="Calibri" w:cs="Calibri"/>
        </w:rPr>
        <w:t xml:space="preserve"> </w:t>
      </w:r>
      <w:r w:rsidR="00AB4CC5">
        <w:rPr>
          <w:rFonts w:ascii="Calibri" w:eastAsia="Calibri" w:hAnsi="Calibri" w:cs="Calibri"/>
        </w:rPr>
        <w:t>CAR reporting system to auto-populate several fields in the FSR thereby eliminating</w:t>
      </w:r>
      <w:r w:rsidR="00EB7B4B">
        <w:rPr>
          <w:rFonts w:ascii="Calibri" w:eastAsia="Calibri" w:hAnsi="Calibri" w:cs="Calibri"/>
        </w:rPr>
        <w:t xml:space="preserve"> the requirement for</w:t>
      </w:r>
      <w:r w:rsidR="00AB4CC5">
        <w:rPr>
          <w:rFonts w:ascii="Calibri" w:eastAsia="Calibri" w:hAnsi="Calibri" w:cs="Calibri"/>
        </w:rPr>
        <w:t xml:space="preserve"> States to report</w:t>
      </w:r>
      <w:r w:rsidR="00EB7B4B">
        <w:rPr>
          <w:rFonts w:ascii="Calibri" w:eastAsia="Calibri" w:hAnsi="Calibri" w:cs="Calibri"/>
        </w:rPr>
        <w:t>:</w:t>
      </w:r>
      <w:r w:rsidR="00AB4CC5">
        <w:rPr>
          <w:rFonts w:ascii="Calibri" w:eastAsia="Calibri" w:hAnsi="Calibri" w:cs="Calibri"/>
        </w:rPr>
        <w:t xml:space="preserve"> Subtotal – Funds for State Leadership, </w:t>
      </w:r>
      <w:r w:rsidR="005B1493">
        <w:rPr>
          <w:rFonts w:ascii="Calibri" w:eastAsia="Calibri" w:hAnsi="Calibri" w:cs="Calibri"/>
        </w:rPr>
        <w:t>Federal Share of Outlays and Unliquidated Obligations, Balance of Federal Funds</w:t>
      </w:r>
      <w:r w:rsidR="00EB7B4B">
        <w:rPr>
          <w:rFonts w:ascii="Calibri" w:eastAsia="Calibri" w:hAnsi="Calibri" w:cs="Calibri"/>
        </w:rPr>
        <w:t xml:space="preserve">, </w:t>
      </w:r>
      <w:r w:rsidR="00E20DD1">
        <w:rPr>
          <w:rFonts w:ascii="Calibri" w:eastAsia="Calibri" w:hAnsi="Calibri" w:cs="Calibri"/>
        </w:rPr>
        <w:t xml:space="preserve">Subtotal – Local Formula Funds, Subtotal – Funds for Local Distribution, Subtotal – Funds for State Leadership, Subtotal – Funds for State Administration, and </w:t>
      </w:r>
      <w:r w:rsidR="000C580D">
        <w:rPr>
          <w:rFonts w:ascii="Calibri" w:eastAsia="Calibri" w:hAnsi="Calibri" w:cs="Calibri"/>
        </w:rPr>
        <w:t>Total Funds</w:t>
      </w:r>
      <w:r w:rsidR="005B1493">
        <w:rPr>
          <w:rFonts w:ascii="Calibri" w:eastAsia="Calibri" w:hAnsi="Calibri" w:cs="Calibri"/>
        </w:rPr>
        <w:t xml:space="preserve">.  In sum, the FSRs have been reduced from 11 reporting columns to </w:t>
      </w:r>
      <w:r w:rsidR="00B979CF">
        <w:rPr>
          <w:rFonts w:ascii="Calibri" w:eastAsia="Calibri" w:hAnsi="Calibri" w:cs="Calibri"/>
        </w:rPr>
        <w:t>five</w:t>
      </w:r>
      <w:r w:rsidR="00B96EED">
        <w:rPr>
          <w:rFonts w:ascii="Calibri" w:eastAsia="Calibri" w:hAnsi="Calibri" w:cs="Calibri"/>
        </w:rPr>
        <w:t xml:space="preserve"> (</w:t>
      </w:r>
      <w:r w:rsidR="00B979CF">
        <w:rPr>
          <w:rFonts w:ascii="Calibri" w:eastAsia="Calibri" w:hAnsi="Calibri" w:cs="Calibri"/>
        </w:rPr>
        <w:t>5</w:t>
      </w:r>
      <w:r w:rsidR="00B96EED">
        <w:rPr>
          <w:rFonts w:ascii="Calibri" w:eastAsia="Calibri" w:hAnsi="Calibri" w:cs="Calibri"/>
        </w:rPr>
        <w:t>)</w:t>
      </w:r>
      <w:r w:rsidR="000C580D">
        <w:rPr>
          <w:rFonts w:ascii="Calibri" w:eastAsia="Calibri" w:hAnsi="Calibri" w:cs="Calibri"/>
        </w:rPr>
        <w:t xml:space="preserve"> and 12 reporting rows to </w:t>
      </w:r>
      <w:r w:rsidR="00783D2F">
        <w:rPr>
          <w:rFonts w:ascii="Calibri" w:eastAsia="Calibri" w:hAnsi="Calibri" w:cs="Calibri"/>
        </w:rPr>
        <w:t>nine (9).</w:t>
      </w:r>
    </w:p>
    <w:p w:rsidR="005A6081" w:rsidP="00CD3C1C" w14:paraId="11FB2841" w14:textId="3328B566">
      <w:pPr>
        <w:pStyle w:val="ListParagraph"/>
        <w:numPr>
          <w:ilvl w:val="0"/>
          <w:numId w:val="41"/>
        </w:numPr>
        <w:spacing w:line="257" w:lineRule="auto"/>
        <w:rPr>
          <w:rFonts w:ascii="Calibri" w:eastAsia="Calibri" w:hAnsi="Calibri" w:cs="Calibri"/>
        </w:rPr>
      </w:pPr>
      <w:r>
        <w:rPr>
          <w:rFonts w:ascii="Calibri" w:eastAsia="Calibri" w:hAnsi="Calibri" w:cs="Calibri"/>
        </w:rPr>
        <w:t>Updating Instructions and Performance Reporting Forms to Reflect the Updated National Career Clusters Framework</w:t>
      </w:r>
      <w:r w:rsidR="009F4B5F">
        <w:rPr>
          <w:rFonts w:ascii="Calibri" w:eastAsia="Calibri" w:hAnsi="Calibri" w:cs="Calibri"/>
        </w:rPr>
        <w:t>:</w:t>
      </w:r>
    </w:p>
    <w:p w:rsidR="00BA5DEE" w:rsidP="005A6081" w14:paraId="4B175049" w14:textId="57E89DD0">
      <w:pPr>
        <w:pStyle w:val="ListParagraph"/>
        <w:numPr>
          <w:ilvl w:val="1"/>
          <w:numId w:val="41"/>
        </w:numPr>
        <w:spacing w:line="257" w:lineRule="auto"/>
        <w:rPr>
          <w:rFonts w:ascii="Calibri" w:eastAsia="Calibri" w:hAnsi="Calibri" w:cs="Calibri"/>
        </w:rPr>
      </w:pPr>
      <w:r>
        <w:rPr>
          <w:rFonts w:ascii="Calibri" w:eastAsia="Calibri" w:hAnsi="Calibri" w:cs="Calibri"/>
        </w:rPr>
        <w:t>Since the inception of Perkins V, the Department determined that it is appropriate for reporting at the career cluster level to meet the requirement in Section 113</w:t>
      </w:r>
      <w:r w:rsidR="008B4F43">
        <w:rPr>
          <w:rFonts w:ascii="Calibri" w:eastAsia="Calibri" w:hAnsi="Calibri" w:cs="Calibri"/>
        </w:rPr>
        <w:t>(b)(3)(C)(ii)(</w:t>
      </w:r>
      <w:r w:rsidR="008B4F43">
        <w:rPr>
          <w:rFonts w:ascii="Calibri" w:eastAsia="Calibri" w:hAnsi="Calibri" w:cs="Calibri"/>
        </w:rPr>
        <w:t>I)(</w:t>
      </w:r>
      <w:r w:rsidR="008B4F43">
        <w:rPr>
          <w:rFonts w:ascii="Calibri" w:eastAsia="Calibri" w:hAnsi="Calibri" w:cs="Calibri"/>
        </w:rPr>
        <w:t xml:space="preserve">bb) of the Act.  The Department now seeks to update the career clusters noted in the CAR Guide to reflect the </w:t>
      </w:r>
      <w:r w:rsidR="00C35FC3">
        <w:rPr>
          <w:rFonts w:ascii="Calibri" w:eastAsia="Calibri" w:hAnsi="Calibri" w:cs="Calibri"/>
        </w:rPr>
        <w:t>updated National Career Clusters Framework which was modernized in 2024</w:t>
      </w:r>
      <w:r w:rsidR="00391740">
        <w:rPr>
          <w:rFonts w:ascii="Calibri" w:eastAsia="Calibri" w:hAnsi="Calibri" w:cs="Calibri"/>
        </w:rPr>
        <w:t xml:space="preserve"> to better reflect the needs of both employers and learners.  </w:t>
      </w:r>
      <w:r w:rsidR="007D74A8">
        <w:rPr>
          <w:rFonts w:ascii="Calibri" w:eastAsia="Calibri" w:hAnsi="Calibri" w:cs="Calibri"/>
        </w:rPr>
        <w:t>As such, the Department has update</w:t>
      </w:r>
      <w:r w:rsidR="00CB5794">
        <w:rPr>
          <w:rFonts w:ascii="Calibri" w:eastAsia="Calibri" w:hAnsi="Calibri" w:cs="Calibri"/>
        </w:rPr>
        <w:t>d</w:t>
      </w:r>
      <w:r w:rsidR="007D74A8">
        <w:rPr>
          <w:rFonts w:ascii="Calibri" w:eastAsia="Calibri" w:hAnsi="Calibri" w:cs="Calibri"/>
        </w:rPr>
        <w:t xml:space="preserve"> its instructions </w:t>
      </w:r>
      <w:r w:rsidR="00CB5794">
        <w:rPr>
          <w:rFonts w:ascii="Calibri" w:eastAsia="Calibri" w:hAnsi="Calibri" w:cs="Calibri"/>
        </w:rPr>
        <w:t xml:space="preserve">and associated forms </w:t>
      </w:r>
      <w:r w:rsidR="007D74A8">
        <w:rPr>
          <w:rFonts w:ascii="Calibri" w:eastAsia="Calibri" w:hAnsi="Calibri" w:cs="Calibri"/>
        </w:rPr>
        <w:t>to reflect the new framework</w:t>
      </w:r>
      <w:r w:rsidR="00CB5794">
        <w:rPr>
          <w:rFonts w:ascii="Calibri" w:eastAsia="Calibri" w:hAnsi="Calibri" w:cs="Calibri"/>
        </w:rPr>
        <w:t>’s career cluster titles.</w:t>
      </w:r>
    </w:p>
    <w:p w:rsidR="00EF6C62" w:rsidP="00EF6C62" w14:paraId="3CE2E0B0" w14:textId="2214150C">
      <w:pPr>
        <w:pStyle w:val="ListParagraph"/>
        <w:numPr>
          <w:ilvl w:val="0"/>
          <w:numId w:val="41"/>
        </w:numPr>
        <w:spacing w:line="257" w:lineRule="auto"/>
        <w:rPr>
          <w:rFonts w:ascii="Calibri" w:eastAsia="Calibri" w:hAnsi="Calibri" w:cs="Calibri"/>
        </w:rPr>
      </w:pPr>
      <w:r>
        <w:rPr>
          <w:rFonts w:ascii="Calibri" w:eastAsia="Calibri" w:hAnsi="Calibri" w:cs="Calibri"/>
        </w:rPr>
        <w:t>Technical and Non-Substantive Updates</w:t>
      </w:r>
      <w:r w:rsidR="009F4B5F">
        <w:rPr>
          <w:rFonts w:ascii="Calibri" w:eastAsia="Calibri" w:hAnsi="Calibri" w:cs="Calibri"/>
        </w:rPr>
        <w:t>:</w:t>
      </w:r>
    </w:p>
    <w:p w:rsidR="003E77EC" w:rsidRPr="00A02A6A" w:rsidP="00A02A6A" w14:paraId="0407EE91" w14:textId="7ADE3876">
      <w:pPr>
        <w:pStyle w:val="ListParagraph"/>
        <w:numPr>
          <w:ilvl w:val="1"/>
          <w:numId w:val="41"/>
        </w:numPr>
        <w:spacing w:line="257" w:lineRule="auto"/>
        <w:rPr>
          <w:rFonts w:ascii="Calibri" w:eastAsia="Calibri" w:hAnsi="Calibri" w:cs="Calibri"/>
        </w:rPr>
      </w:pPr>
      <w:r w:rsidRPr="00C86C51">
        <w:rPr>
          <w:rFonts w:ascii="Calibri" w:eastAsia="Calibri" w:hAnsi="Calibri" w:cs="Calibri"/>
        </w:rPr>
        <w:t>The Department has made small technical and non-substantive updates throughout the CAR Guide to improve clarity.</w:t>
      </w:r>
    </w:p>
    <w:p w:rsidR="00843E05" w:rsidRPr="0056751D" w:rsidP="00843E05" w14:paraId="73F50F19" w14:textId="77777777">
      <w:pPr>
        <w:pStyle w:val="paragraph"/>
        <w:numPr>
          <w:ilvl w:val="0"/>
          <w:numId w:val="1"/>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color w:val="000000"/>
          <w:sz w:val="22"/>
          <w:szCs w:val="22"/>
        </w:rPr>
        <w:t>Indicate how, by whom, and for what purpose the information is to be used.  Except for a new collection, indicate the actual use the agency has made of the information received from the current collection.</w:t>
      </w:r>
      <w:r>
        <w:rPr>
          <w:rStyle w:val="eop"/>
          <w:rFonts w:ascii="Calibri" w:hAnsi="Calibri" w:cs="Calibri"/>
          <w:color w:val="000000"/>
          <w:sz w:val="22"/>
          <w:szCs w:val="22"/>
        </w:rPr>
        <w:t> </w:t>
      </w:r>
    </w:p>
    <w:p w:rsidR="0056751D" w:rsidRPr="00641B8E" w:rsidP="0056751D" w14:paraId="12CE1477" w14:textId="77777777">
      <w:pPr>
        <w:pStyle w:val="paragraph"/>
        <w:spacing w:before="0" w:beforeAutospacing="0" w:after="0" w:afterAutospacing="0"/>
        <w:ind w:left="720"/>
        <w:textAlignment w:val="baseline"/>
        <w:rPr>
          <w:rStyle w:val="eop"/>
          <w:rFonts w:ascii="Calibri" w:hAnsi="Calibri" w:cs="Calibri"/>
          <w:sz w:val="22"/>
          <w:szCs w:val="22"/>
        </w:rPr>
      </w:pPr>
    </w:p>
    <w:p w:rsidR="00641B8E" w:rsidP="00641B8E" w14:paraId="352FB033" w14:textId="61001C80">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The information gathered through this ICR</w:t>
      </w:r>
      <w:r w:rsidR="00780D63">
        <w:rPr>
          <w:rStyle w:val="eop"/>
          <w:rFonts w:ascii="Calibri" w:hAnsi="Calibri" w:cs="Calibri"/>
          <w:color w:val="000000"/>
          <w:sz w:val="22"/>
          <w:szCs w:val="22"/>
        </w:rPr>
        <w:t xml:space="preserve"> is used in a variety of ways.  First, narrative and financial information are reviewed by the Office of Career, Technical, and Adult Education</w:t>
      </w:r>
      <w:r w:rsidR="007F7C94">
        <w:rPr>
          <w:rStyle w:val="eop"/>
          <w:rFonts w:ascii="Calibri" w:hAnsi="Calibri" w:cs="Calibri"/>
          <w:color w:val="000000"/>
          <w:sz w:val="22"/>
          <w:szCs w:val="22"/>
        </w:rPr>
        <w:t xml:space="preserve"> to determine each eligible agency’s compliance with provisions of Perkins V and applicable Federal regulations.  For example, eligible agencies are required</w:t>
      </w:r>
      <w:r w:rsidR="006C47B4">
        <w:rPr>
          <w:rStyle w:val="eop"/>
          <w:rFonts w:ascii="Calibri" w:hAnsi="Calibri" w:cs="Calibri"/>
          <w:color w:val="000000"/>
          <w:sz w:val="22"/>
          <w:szCs w:val="22"/>
        </w:rPr>
        <w:t xml:space="preserve"> in section 124 of Perkins V</w:t>
      </w:r>
      <w:r w:rsidR="007F7C94">
        <w:rPr>
          <w:rStyle w:val="eop"/>
          <w:rFonts w:ascii="Calibri" w:hAnsi="Calibri" w:cs="Calibri"/>
          <w:color w:val="000000"/>
          <w:sz w:val="22"/>
          <w:szCs w:val="22"/>
        </w:rPr>
        <w:t xml:space="preserve"> to implement specific leadership activities in their State, as well as identify and quantify any disparities or gaps in performance on State determined performance levels between any disaggregated category of students and all CTE concentrators served by the eligible agency.</w:t>
      </w:r>
    </w:p>
    <w:p w:rsidR="007F7C94" w:rsidP="00641B8E" w14:paraId="681E6385" w14:textId="77777777">
      <w:pPr>
        <w:pStyle w:val="paragraph"/>
        <w:spacing w:before="0" w:beforeAutospacing="0" w:after="0" w:afterAutospacing="0"/>
        <w:textAlignment w:val="baseline"/>
        <w:rPr>
          <w:rStyle w:val="eop"/>
          <w:rFonts w:ascii="Calibri" w:hAnsi="Calibri" w:cs="Calibri"/>
          <w:color w:val="000000"/>
          <w:sz w:val="22"/>
          <w:szCs w:val="22"/>
        </w:rPr>
      </w:pPr>
    </w:p>
    <w:p w:rsidR="007F7C94" w:rsidP="00641B8E" w14:paraId="62FF6C46" w14:textId="5C3B1669">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 xml:space="preserve">Second, </w:t>
      </w:r>
      <w:r w:rsidR="00C86C51">
        <w:rPr>
          <w:rStyle w:val="eop"/>
          <w:rFonts w:ascii="Calibri" w:hAnsi="Calibri" w:cs="Calibri"/>
          <w:color w:val="000000"/>
          <w:sz w:val="22"/>
          <w:szCs w:val="22"/>
        </w:rPr>
        <w:t xml:space="preserve">OCTAE </w:t>
      </w:r>
      <w:r>
        <w:rPr>
          <w:rStyle w:val="eop"/>
          <w:rFonts w:ascii="Calibri" w:hAnsi="Calibri" w:cs="Calibri"/>
          <w:color w:val="000000"/>
          <w:sz w:val="22"/>
          <w:szCs w:val="22"/>
        </w:rPr>
        <w:t>staff review performance data to determine whether, and to what extent, each eligible agency has met its State determined performance levels for the core indicators described in section 113(b)(2) of Perkins V.  An eligible agency that did not meet at least 90 percent of the State determined performance level</w:t>
      </w:r>
      <w:r w:rsidR="00431163">
        <w:rPr>
          <w:rStyle w:val="eop"/>
          <w:rFonts w:ascii="Calibri" w:hAnsi="Calibri" w:cs="Calibri"/>
          <w:color w:val="000000"/>
          <w:sz w:val="22"/>
          <w:szCs w:val="22"/>
        </w:rPr>
        <w:t xml:space="preserve"> for any of the core indicators described in section 113(b)(2) of Perkins V is required to develop and submit, as part of its CAR, a program improvement plan with special consideration to the performance gaps identified under section 113(b)(3)(C)(ii)(II) of Perkins V.  The improvement plan must address each core indicator that the State failed to meet at </w:t>
      </w:r>
      <w:r w:rsidR="004E2F4C">
        <w:rPr>
          <w:rStyle w:val="eop"/>
          <w:rFonts w:ascii="Calibri" w:hAnsi="Calibri" w:cs="Calibri"/>
          <w:color w:val="000000"/>
          <w:sz w:val="22"/>
          <w:szCs w:val="22"/>
        </w:rPr>
        <w:t xml:space="preserve">the 90 percent level or above; disaggregated categories of students for which there were quantifiable disparities or gaps in performance compared to all students or any other category of students; steps that will be implemented, beginning in the current program year; staff members who are responsible for each action step; and the timeline for completing each action step.  </w:t>
      </w:r>
      <w:r w:rsidR="00C86C51">
        <w:rPr>
          <w:rStyle w:val="eop"/>
          <w:rFonts w:ascii="Calibri" w:hAnsi="Calibri" w:cs="Calibri"/>
          <w:color w:val="000000"/>
          <w:sz w:val="22"/>
          <w:szCs w:val="22"/>
        </w:rPr>
        <w:t xml:space="preserve">OCTAE </w:t>
      </w:r>
      <w:r w:rsidR="004E2F4C">
        <w:rPr>
          <w:rStyle w:val="eop"/>
          <w:rFonts w:ascii="Calibri" w:hAnsi="Calibri" w:cs="Calibri"/>
          <w:color w:val="000000"/>
          <w:sz w:val="22"/>
          <w:szCs w:val="22"/>
        </w:rPr>
        <w:t xml:space="preserve">staff review these plans to determine if </w:t>
      </w:r>
      <w:r w:rsidR="008969F2">
        <w:rPr>
          <w:rStyle w:val="eop"/>
          <w:rFonts w:ascii="Calibri" w:hAnsi="Calibri" w:cs="Calibri"/>
          <w:color w:val="000000"/>
          <w:sz w:val="22"/>
          <w:szCs w:val="22"/>
        </w:rPr>
        <w:t>they are thorough and appropriate in addressing each indicator that was not met at the 90 percent level or above.</w:t>
      </w:r>
    </w:p>
    <w:p w:rsidR="008969F2" w:rsidP="00641B8E" w14:paraId="5B434F7A" w14:textId="77777777">
      <w:pPr>
        <w:pStyle w:val="paragraph"/>
        <w:spacing w:before="0" w:beforeAutospacing="0" w:after="0" w:afterAutospacing="0"/>
        <w:textAlignment w:val="baseline"/>
        <w:rPr>
          <w:rStyle w:val="eop"/>
          <w:rFonts w:ascii="Calibri" w:hAnsi="Calibri" w:cs="Calibri"/>
          <w:color w:val="000000"/>
          <w:sz w:val="22"/>
          <w:szCs w:val="22"/>
        </w:rPr>
      </w:pPr>
    </w:p>
    <w:p w:rsidR="008969F2" w:rsidP="00641B8E" w14:paraId="5EF9334C" w14:textId="1F69E355">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 xml:space="preserve">Third, section 113(b)(3)(C)(iv)(III) </w:t>
      </w:r>
      <w:r w:rsidR="00D1496C">
        <w:rPr>
          <w:rStyle w:val="eop"/>
          <w:rFonts w:ascii="Calibri" w:hAnsi="Calibri" w:cs="Calibri"/>
          <w:color w:val="000000"/>
          <w:sz w:val="22"/>
          <w:szCs w:val="22"/>
        </w:rPr>
        <w:t xml:space="preserve">of Perkins V </w:t>
      </w:r>
      <w:r>
        <w:rPr>
          <w:rStyle w:val="eop"/>
          <w:rFonts w:ascii="Calibri" w:hAnsi="Calibri" w:cs="Calibri"/>
          <w:color w:val="000000"/>
          <w:sz w:val="22"/>
          <w:szCs w:val="22"/>
        </w:rPr>
        <w:t>require</w:t>
      </w:r>
      <w:r w:rsidR="00D1496C">
        <w:rPr>
          <w:rStyle w:val="eop"/>
          <w:rFonts w:ascii="Calibri" w:hAnsi="Calibri" w:cs="Calibri"/>
          <w:color w:val="000000"/>
          <w:sz w:val="22"/>
          <w:szCs w:val="22"/>
        </w:rPr>
        <w:t>s</w:t>
      </w:r>
      <w:r>
        <w:rPr>
          <w:rStyle w:val="eop"/>
          <w:rFonts w:ascii="Calibri" w:hAnsi="Calibri" w:cs="Calibri"/>
          <w:color w:val="000000"/>
          <w:sz w:val="22"/>
          <w:szCs w:val="22"/>
        </w:rPr>
        <w:t xml:space="preserve"> the Secretary to provide the appropriate committees of Congress copies of annual reports received by the Department form each eligible agency that receives funds under the Act.  Section 113(b)(3)(C)(iv)(I) of Perkins V further requires</w:t>
      </w:r>
      <w:r w:rsidR="008F65A0">
        <w:rPr>
          <w:rStyle w:val="eop"/>
          <w:rFonts w:ascii="Calibri" w:hAnsi="Calibri" w:cs="Calibri"/>
          <w:color w:val="000000"/>
          <w:sz w:val="22"/>
          <w:szCs w:val="22"/>
        </w:rPr>
        <w:t xml:space="preserve"> the Secretary to make the information contained in such reports available to the </w:t>
      </w:r>
      <w:r w:rsidR="00EE0FF1">
        <w:rPr>
          <w:rStyle w:val="eop"/>
          <w:rFonts w:ascii="Calibri" w:hAnsi="Calibri" w:cs="Calibri"/>
          <w:color w:val="000000"/>
          <w:sz w:val="22"/>
          <w:szCs w:val="22"/>
        </w:rPr>
        <w:t>public</w:t>
      </w:r>
      <w:r w:rsidR="008F65A0">
        <w:rPr>
          <w:rStyle w:val="eop"/>
          <w:rFonts w:ascii="Calibri" w:hAnsi="Calibri" w:cs="Calibri"/>
          <w:color w:val="000000"/>
          <w:sz w:val="22"/>
          <w:szCs w:val="22"/>
        </w:rPr>
        <w:t xml:space="preserve">.  To meet this obligation, </w:t>
      </w:r>
      <w:r w:rsidR="00C86C51">
        <w:rPr>
          <w:rStyle w:val="eop"/>
          <w:rFonts w:ascii="Calibri" w:hAnsi="Calibri" w:cs="Calibri"/>
          <w:color w:val="000000"/>
          <w:sz w:val="22"/>
          <w:szCs w:val="22"/>
        </w:rPr>
        <w:t xml:space="preserve">OCTAE </w:t>
      </w:r>
      <w:r w:rsidR="008F65A0">
        <w:rPr>
          <w:rStyle w:val="eop"/>
          <w:rFonts w:ascii="Calibri" w:hAnsi="Calibri" w:cs="Calibri"/>
          <w:color w:val="000000"/>
          <w:sz w:val="22"/>
          <w:szCs w:val="22"/>
        </w:rPr>
        <w:t xml:space="preserve">compiles the CAR data into an annual report to Congress and makes data available to the public online through </w:t>
      </w:r>
      <w:hyperlink r:id="rId10" w:history="1">
        <w:r w:rsidRPr="00CC3F06" w:rsidR="00C86C51">
          <w:rPr>
            <w:rStyle w:val="Hyperlink"/>
            <w:rFonts w:ascii="Calibri" w:hAnsi="Calibri" w:cs="Calibri"/>
            <w:sz w:val="22"/>
            <w:szCs w:val="22"/>
          </w:rPr>
          <w:t>OCTAE’s</w:t>
        </w:r>
      </w:hyperlink>
      <w:r w:rsidR="00C86C51">
        <w:rPr>
          <w:rStyle w:val="eop"/>
          <w:rFonts w:ascii="Calibri" w:hAnsi="Calibri" w:cs="Calibri"/>
          <w:color w:val="000000"/>
          <w:sz w:val="22"/>
          <w:szCs w:val="22"/>
        </w:rPr>
        <w:t xml:space="preserve"> website at octae.ed.gov</w:t>
      </w:r>
      <w:r w:rsidR="008F65A0">
        <w:rPr>
          <w:rStyle w:val="eop"/>
          <w:rFonts w:ascii="Calibri" w:hAnsi="Calibri" w:cs="Calibri"/>
          <w:color w:val="000000"/>
          <w:sz w:val="22"/>
          <w:szCs w:val="22"/>
        </w:rPr>
        <w:t>.</w:t>
      </w:r>
    </w:p>
    <w:p w:rsidR="008F65A0" w:rsidP="00641B8E" w14:paraId="47A44E80" w14:textId="77777777">
      <w:pPr>
        <w:pStyle w:val="paragraph"/>
        <w:spacing w:before="0" w:beforeAutospacing="0" w:after="0" w:afterAutospacing="0"/>
        <w:textAlignment w:val="baseline"/>
        <w:rPr>
          <w:rStyle w:val="eop"/>
          <w:rFonts w:ascii="Calibri" w:hAnsi="Calibri" w:cs="Calibri"/>
          <w:color w:val="000000"/>
          <w:sz w:val="22"/>
          <w:szCs w:val="22"/>
        </w:rPr>
      </w:pPr>
    </w:p>
    <w:p w:rsidR="008F65A0" w:rsidP="00641B8E" w14:paraId="5D9FA083" w14:textId="0EE05044">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Fourth, fiscal data collected through the CAR is provided to the Institute of Education Science for analysis and use in the National Evaluation of Career and Technical Education under Perkins V.</w:t>
      </w:r>
    </w:p>
    <w:p w:rsidR="008F65A0" w:rsidP="00641B8E" w14:paraId="4FD8EC7D" w14:textId="77777777">
      <w:pPr>
        <w:pStyle w:val="paragraph"/>
        <w:spacing w:before="0" w:beforeAutospacing="0" w:after="0" w:afterAutospacing="0"/>
        <w:textAlignment w:val="baseline"/>
        <w:rPr>
          <w:rStyle w:val="eop"/>
          <w:rFonts w:ascii="Calibri" w:hAnsi="Calibri" w:cs="Calibri"/>
          <w:color w:val="000000"/>
          <w:sz w:val="22"/>
          <w:szCs w:val="22"/>
        </w:rPr>
      </w:pPr>
    </w:p>
    <w:p w:rsidR="008F65A0" w:rsidRPr="00843E05" w:rsidP="00641B8E" w14:paraId="1163141D" w14:textId="7DF6C92E">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color w:val="000000"/>
          <w:sz w:val="22"/>
          <w:szCs w:val="22"/>
        </w:rPr>
        <w:t xml:space="preserve">Finally, </w:t>
      </w:r>
      <w:r w:rsidR="00C86C51">
        <w:rPr>
          <w:rStyle w:val="eop"/>
          <w:rFonts w:ascii="Calibri" w:hAnsi="Calibri" w:cs="Calibri"/>
          <w:color w:val="000000"/>
          <w:sz w:val="22"/>
          <w:szCs w:val="22"/>
        </w:rPr>
        <w:t xml:space="preserve">OCTAE </w:t>
      </w:r>
      <w:r w:rsidR="002D4C31">
        <w:rPr>
          <w:rStyle w:val="eop"/>
          <w:rFonts w:ascii="Calibri" w:hAnsi="Calibri" w:cs="Calibri"/>
          <w:color w:val="000000"/>
          <w:sz w:val="22"/>
          <w:szCs w:val="22"/>
        </w:rPr>
        <w:t xml:space="preserve">staff uses CAR information to determine which States will be monitored for an upcoming year or which States would benefit from technical assistance in particular areas.  Annual CAR reviews </w:t>
      </w:r>
      <w:r w:rsidR="00BA7712">
        <w:rPr>
          <w:rStyle w:val="eop"/>
          <w:rFonts w:ascii="Calibri" w:hAnsi="Calibri" w:cs="Calibri"/>
          <w:color w:val="000000"/>
          <w:sz w:val="22"/>
          <w:szCs w:val="22"/>
        </w:rPr>
        <w:t xml:space="preserve">help in the identification of topics for annual Data Quality Institutes that </w:t>
      </w:r>
      <w:r w:rsidR="00C86C51">
        <w:rPr>
          <w:rStyle w:val="eop"/>
          <w:rFonts w:ascii="Calibri" w:hAnsi="Calibri" w:cs="Calibri"/>
          <w:color w:val="000000"/>
          <w:sz w:val="22"/>
          <w:szCs w:val="22"/>
        </w:rPr>
        <w:t xml:space="preserve">OCTAE </w:t>
      </w:r>
      <w:r w:rsidR="00BA7712">
        <w:rPr>
          <w:rStyle w:val="eop"/>
          <w:rFonts w:ascii="Calibri" w:hAnsi="Calibri" w:cs="Calibri"/>
          <w:color w:val="000000"/>
          <w:sz w:val="22"/>
          <w:szCs w:val="22"/>
        </w:rPr>
        <w:t>hosts, as well as the decision to offer customized technical assistance to States on accountability issues.</w:t>
      </w:r>
      <w:r w:rsidR="00894968">
        <w:rPr>
          <w:rStyle w:val="eop"/>
          <w:rFonts w:ascii="Calibri" w:hAnsi="Calibri" w:cs="Calibri"/>
          <w:color w:val="000000"/>
          <w:sz w:val="22"/>
          <w:szCs w:val="22"/>
        </w:rPr>
        <w:t xml:space="preserve">  </w:t>
      </w:r>
    </w:p>
    <w:p w:rsidR="00843E05" w:rsidRPr="00843E05" w:rsidP="00843E05" w14:paraId="42C54A26" w14:textId="77777777">
      <w:pPr>
        <w:pStyle w:val="paragraph"/>
        <w:spacing w:before="0" w:beforeAutospacing="0" w:after="0" w:afterAutospacing="0"/>
        <w:ind w:left="720"/>
        <w:textAlignment w:val="baseline"/>
        <w:rPr>
          <w:rStyle w:val="eop"/>
          <w:rFonts w:ascii="Calibri" w:hAnsi="Calibri" w:cs="Calibri"/>
          <w:sz w:val="22"/>
          <w:szCs w:val="22"/>
        </w:rPr>
      </w:pPr>
    </w:p>
    <w:p w:rsidR="00843E05" w:rsidRPr="00CB68BF" w:rsidP="00843E05" w14:paraId="5ECE5C64" w14:textId="2FF835D7">
      <w:pPr>
        <w:pStyle w:val="paragraph"/>
        <w:numPr>
          <w:ilvl w:val="0"/>
          <w:numId w:val="1"/>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b/>
          <w:bCs/>
          <w:color w:val="000000"/>
          <w:sz w:val="22"/>
          <w:szCs w:val="22"/>
          <w:shd w:val="clear" w:color="auto" w:fill="FFFFFF"/>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Pr>
          <w:rStyle w:val="normaltextrun"/>
          <w:rFonts w:ascii="Calibri" w:hAnsi="Calibri" w:cs="Calibri"/>
          <w:b/>
          <w:bCs/>
          <w:color w:val="000000"/>
          <w:sz w:val="22"/>
          <w:szCs w:val="22"/>
          <w:shd w:val="clear" w:color="auto" w:fill="FFFFFF"/>
        </w:rPr>
        <w:t>of adopting</w:t>
      </w:r>
      <w:r>
        <w:rPr>
          <w:rStyle w:val="normaltextrun"/>
          <w:rFonts w:ascii="Calibri" w:hAnsi="Calibri" w:cs="Calibri"/>
          <w:b/>
          <w:bCs/>
          <w:color w:val="000000"/>
          <w:sz w:val="22"/>
          <w:szCs w:val="22"/>
          <w:shd w:val="clear" w:color="auto" w:fill="FFFFFF"/>
        </w:rPr>
        <w:t xml:space="preserve"> this means of collection. Please identify systems or websites used to electronically collect this information. Also describe any consideration given to using technology to reduce burden. If there is an increase or decrease in burden related to using technology (e.g. using an electronic form, system or website from paper), please explain in number 12.</w:t>
      </w:r>
      <w:r>
        <w:rPr>
          <w:rStyle w:val="eop"/>
          <w:rFonts w:ascii="Calibri" w:hAnsi="Calibri" w:cs="Calibri"/>
          <w:color w:val="000000"/>
          <w:sz w:val="22"/>
          <w:szCs w:val="22"/>
          <w:shd w:val="clear" w:color="auto" w:fill="FFFFFF"/>
        </w:rPr>
        <w:t> </w:t>
      </w:r>
    </w:p>
    <w:p w:rsidR="00CB68BF" w:rsidP="00CB68BF" w14:paraId="7E47DBB4" w14:textId="77777777">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p>
    <w:p w:rsidR="00CB68BF" w:rsidP="00CB68BF" w14:paraId="7FDB7F69" w14:textId="77623810">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r>
        <w:rPr>
          <w:rStyle w:val="eop"/>
          <w:rFonts w:ascii="Calibri" w:hAnsi="Calibri" w:cs="Calibri"/>
          <w:color w:val="000000"/>
          <w:sz w:val="22"/>
          <w:szCs w:val="22"/>
          <w:shd w:val="clear" w:color="auto" w:fill="FFFFFF"/>
        </w:rPr>
        <w:t xml:space="preserve">Each eligible agency submits its CAR electronically via the Perkins CAR Portal </w:t>
      </w:r>
      <w:r w:rsidR="00C97CD7">
        <w:rPr>
          <w:rStyle w:val="eop"/>
          <w:rFonts w:ascii="Calibri" w:hAnsi="Calibri" w:cs="Calibri"/>
          <w:color w:val="000000"/>
          <w:sz w:val="22"/>
          <w:szCs w:val="22"/>
          <w:shd w:val="clear" w:color="auto" w:fill="FFFFFF"/>
        </w:rPr>
        <w:t xml:space="preserve">at </w:t>
      </w:r>
      <w:hyperlink r:id="rId11" w:history="1">
        <w:r w:rsidRPr="006A148D" w:rsidR="00C97CD7">
          <w:rPr>
            <w:rStyle w:val="Hyperlink"/>
            <w:rFonts w:ascii="Calibri" w:hAnsi="Calibri" w:cs="Calibri"/>
            <w:sz w:val="22"/>
            <w:szCs w:val="22"/>
            <w:shd w:val="clear" w:color="auto" w:fill="FFFFFF"/>
          </w:rPr>
          <w:t>https://perkins.ed.gov</w:t>
        </w:r>
      </w:hyperlink>
      <w:r w:rsidR="00C97CD7">
        <w:rPr>
          <w:rStyle w:val="eop"/>
          <w:rFonts w:ascii="Calibri" w:hAnsi="Calibri" w:cs="Calibri"/>
          <w:color w:val="000000"/>
          <w:sz w:val="22"/>
          <w:szCs w:val="22"/>
          <w:shd w:val="clear" w:color="auto" w:fill="FFFFFF"/>
        </w:rPr>
        <w:t xml:space="preserve">).  This website allows an eligible agency to complete its reporting using Web-based forms and to </w:t>
      </w:r>
      <w:r w:rsidR="00C97CD7">
        <w:rPr>
          <w:rStyle w:val="eop"/>
          <w:rFonts w:ascii="Calibri" w:hAnsi="Calibri" w:cs="Calibri"/>
          <w:color w:val="000000"/>
          <w:sz w:val="22"/>
          <w:szCs w:val="22"/>
          <w:shd w:val="clear" w:color="auto" w:fill="FFFFFF"/>
        </w:rPr>
        <w:t>certify to</w:t>
      </w:r>
      <w:r w:rsidR="00C97CD7">
        <w:rPr>
          <w:rStyle w:val="eop"/>
          <w:rFonts w:ascii="Calibri" w:hAnsi="Calibri" w:cs="Calibri"/>
          <w:color w:val="000000"/>
          <w:sz w:val="22"/>
          <w:szCs w:val="22"/>
          <w:shd w:val="clear" w:color="auto" w:fill="FFFFFF"/>
        </w:rPr>
        <w:t xml:space="preserve"> the accuracy and completeness of its submission using electronica Personal Identification Numbers (PINs).  It is important to note that the use of PINs to certify and sign the CAR and FSRs is the same as certifying the documents with a hand-written signature by the State official.  States officials are responsible for protecting the confidentiality of their PIN and for any use of their PIN by another individual.</w:t>
      </w:r>
    </w:p>
    <w:p w:rsidR="00843E05" w:rsidP="00843E05" w14:paraId="1B512DF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843E05" w:rsidP="00843E05" w14:paraId="5DFB20B9" w14:textId="77777777">
      <w:pPr>
        <w:numPr>
          <w:ilvl w:val="0"/>
          <w:numId w:val="3"/>
        </w:numPr>
      </w:pPr>
      <w:r w:rsidRPr="00843E05">
        <w:rPr>
          <w:b/>
          <w:bCs/>
        </w:rPr>
        <w:t>Describe efforts to identify duplication.  Show specifically why any similar information already available cannot be used or modified for use for the purposes described in Item 2 above. </w:t>
      </w:r>
      <w:r w:rsidRPr="00843E05">
        <w:t> </w:t>
      </w:r>
    </w:p>
    <w:p w:rsidR="009137E2" w:rsidRPr="00843E05" w:rsidP="009137E2" w14:paraId="3DDFCB80" w14:textId="53398CD1">
      <w:r>
        <w:t>This is a unique data collection; there are no similar data collections which seek this information.</w:t>
      </w:r>
    </w:p>
    <w:p w:rsidR="00843E05" w:rsidP="00843E05" w14:paraId="20EECA8C" w14:textId="77777777">
      <w:pPr>
        <w:numPr>
          <w:ilvl w:val="0"/>
          <w:numId w:val="4"/>
        </w:numPr>
      </w:pPr>
      <w:r w:rsidRPr="00843E05">
        <w:t> </w:t>
      </w:r>
      <w:r w:rsidRPr="00843E05">
        <w:rPr>
          <w:b/>
          <w:bCs/>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r w:rsidRPr="00843E05">
        <w:t> </w:t>
      </w:r>
    </w:p>
    <w:p w:rsidR="009137E2" w:rsidRPr="00843E05" w:rsidP="009137E2" w14:paraId="39DF6961" w14:textId="4E823119">
      <w:r>
        <w:t>This collection does not impact small businesses or other small entities.</w:t>
      </w:r>
    </w:p>
    <w:p w:rsidR="00843E05" w:rsidP="00843E05" w14:paraId="69090215" w14:textId="77777777">
      <w:pPr>
        <w:numPr>
          <w:ilvl w:val="0"/>
          <w:numId w:val="5"/>
        </w:numPr>
      </w:pPr>
      <w:r w:rsidRPr="00843E05">
        <w:t> </w:t>
      </w:r>
      <w:r w:rsidRPr="00843E05">
        <w:rPr>
          <w:b/>
          <w:bCs/>
        </w:rPr>
        <w:t xml:space="preserve">Describe the consequences </w:t>
      </w:r>
      <w:r w:rsidRPr="00843E05">
        <w:rPr>
          <w:b/>
          <w:bCs/>
        </w:rPr>
        <w:t>to</w:t>
      </w:r>
      <w:r w:rsidRPr="00843E05">
        <w:rPr>
          <w:b/>
          <w:bCs/>
        </w:rPr>
        <w:t xml:space="preserve"> Federal program or policy activities if the collection is not conducted or is conducted less frequently, as well as any technical or legal obstacles to reducing burden.</w:t>
      </w:r>
      <w:r w:rsidRPr="00843E05">
        <w:t> </w:t>
      </w:r>
    </w:p>
    <w:p w:rsidR="00F3724D" w:rsidRPr="00F3724D" w:rsidP="00F3724D" w14:paraId="380DEC89" w14:textId="3BC56331">
      <w:pPr>
        <w:pStyle w:val="paragraph"/>
        <w:spacing w:before="0" w:beforeAutospacing="0" w:after="0" w:afterAutospacing="0"/>
        <w:textAlignment w:val="baseline"/>
        <w:rPr>
          <w:rStyle w:val="eop"/>
          <w:rFonts w:asciiTheme="minorHAnsi" w:hAnsiTheme="minorHAnsi" w:cstheme="minorHAnsi"/>
          <w:sz w:val="22"/>
          <w:szCs w:val="22"/>
        </w:rPr>
      </w:pPr>
      <w:r w:rsidRPr="00F3724D">
        <w:rPr>
          <w:rFonts w:asciiTheme="minorHAnsi" w:hAnsiTheme="minorHAnsi" w:cstheme="minorHAnsi"/>
          <w:sz w:val="22"/>
          <w:szCs w:val="22"/>
        </w:rPr>
        <w:t>Without the information gathered through the CAR, the Department would be unable to determine whether, and to what extent, States were complying with the Perkins V statute and applicable Federal regulations.  Moreover, the Department would be unable to sufficiently review each State’s progress</w:t>
      </w:r>
      <w:r w:rsidRPr="00F3724D" w:rsidR="007D791E">
        <w:rPr>
          <w:rFonts w:asciiTheme="minorHAnsi" w:hAnsiTheme="minorHAnsi" w:cstheme="minorHAnsi"/>
          <w:sz w:val="22"/>
          <w:szCs w:val="22"/>
        </w:rPr>
        <w:t xml:space="preserve"> in meeting its performance levels and determine its own effectiveness in helping eligible agencies achieve the purposes of the Act.  The Depar</w:t>
      </w:r>
      <w:r w:rsidRPr="00F3724D">
        <w:rPr>
          <w:rFonts w:asciiTheme="minorHAnsi" w:hAnsiTheme="minorHAnsi" w:cstheme="minorHAnsi"/>
          <w:sz w:val="22"/>
          <w:szCs w:val="22"/>
        </w:rPr>
        <w:t>tment would also be unable to comply with a statutory directive to report State performance data to Congress and the public</w:t>
      </w:r>
      <w:r>
        <w:rPr>
          <w:rFonts w:asciiTheme="minorHAnsi" w:hAnsiTheme="minorHAnsi" w:cstheme="minorHAnsi"/>
          <w:sz w:val="22"/>
          <w:szCs w:val="22"/>
        </w:rPr>
        <w:t xml:space="preserve">.  </w:t>
      </w:r>
    </w:p>
    <w:p w:rsidR="00271606" w:rsidRPr="00843E05" w:rsidP="00271606" w14:paraId="1FF78AC5" w14:textId="09380722"/>
    <w:p w:rsidR="00843E05" w:rsidRPr="00843E05" w:rsidP="00843E05" w14:paraId="67E0307F" w14:textId="77777777">
      <w:pPr>
        <w:numPr>
          <w:ilvl w:val="0"/>
          <w:numId w:val="6"/>
        </w:numPr>
      </w:pPr>
      <w:r w:rsidRPr="00843E05">
        <w:t> </w:t>
      </w:r>
      <w:r w:rsidRPr="00843E05">
        <w:rPr>
          <w:b/>
          <w:bCs/>
        </w:rPr>
        <w:t>Explain any special circumstances that would cause an information collection to be conducted in a manner:</w:t>
      </w:r>
      <w:r w:rsidRPr="00843E05">
        <w:t> </w:t>
      </w:r>
    </w:p>
    <w:p w:rsidR="00843E05" w:rsidRPr="00843E05" w:rsidP="00843E05" w14:paraId="1EB159EC" w14:textId="77777777">
      <w:pPr>
        <w:numPr>
          <w:ilvl w:val="0"/>
          <w:numId w:val="7"/>
        </w:numPr>
        <w:tabs>
          <w:tab w:val="clear" w:pos="720"/>
          <w:tab w:val="num" w:pos="1080"/>
        </w:tabs>
        <w:ind w:left="1080"/>
      </w:pPr>
      <w:r w:rsidRPr="00843E05">
        <w:rPr>
          <w:b/>
          <w:bCs/>
        </w:rPr>
        <w:t>requiring respondents to report information to the agency more often than quarterly;</w:t>
      </w:r>
      <w:r w:rsidRPr="00843E05">
        <w:t> </w:t>
      </w:r>
    </w:p>
    <w:p w:rsidR="00843E05" w:rsidRPr="00843E05" w:rsidP="00843E05" w14:paraId="14D367C9" w14:textId="77777777">
      <w:pPr>
        <w:numPr>
          <w:ilvl w:val="0"/>
          <w:numId w:val="8"/>
        </w:numPr>
        <w:tabs>
          <w:tab w:val="clear" w:pos="720"/>
          <w:tab w:val="num" w:pos="1080"/>
        </w:tabs>
        <w:ind w:left="1080"/>
      </w:pPr>
      <w:r w:rsidRPr="00843E05">
        <w:rPr>
          <w:b/>
          <w:bCs/>
        </w:rPr>
        <w:t>requiring respondents to prepare a written response to a collection of information in fewer than 30 days after receipt of it;</w:t>
      </w:r>
      <w:r w:rsidRPr="00843E05">
        <w:t> </w:t>
      </w:r>
    </w:p>
    <w:p w:rsidR="00843E05" w:rsidRPr="00843E05" w:rsidP="00843E05" w14:paraId="0D415494" w14:textId="77777777">
      <w:pPr>
        <w:numPr>
          <w:ilvl w:val="0"/>
          <w:numId w:val="9"/>
        </w:numPr>
        <w:tabs>
          <w:tab w:val="clear" w:pos="720"/>
          <w:tab w:val="num" w:pos="1080"/>
        </w:tabs>
        <w:ind w:left="1080"/>
      </w:pPr>
      <w:r w:rsidRPr="00843E05">
        <w:rPr>
          <w:b/>
          <w:bCs/>
        </w:rPr>
        <w:t>requiring respondents to submit more than an original and two copies of any document;</w:t>
      </w:r>
      <w:r w:rsidRPr="00843E05">
        <w:t> </w:t>
      </w:r>
    </w:p>
    <w:p w:rsidR="00843E05" w:rsidRPr="00843E05" w:rsidP="00843E05" w14:paraId="1E565AFB" w14:textId="77777777">
      <w:pPr>
        <w:numPr>
          <w:ilvl w:val="0"/>
          <w:numId w:val="10"/>
        </w:numPr>
        <w:tabs>
          <w:tab w:val="clear" w:pos="720"/>
          <w:tab w:val="num" w:pos="1080"/>
        </w:tabs>
        <w:ind w:left="1080"/>
      </w:pPr>
      <w:r w:rsidRPr="00843E05">
        <w:rPr>
          <w:b/>
          <w:bCs/>
        </w:rPr>
        <w:t>requiring respondents to retain records, other than health, medical, government contract, grant-in-aid, or tax records for more than three years;</w:t>
      </w:r>
      <w:r w:rsidRPr="00843E05">
        <w:t> </w:t>
      </w:r>
    </w:p>
    <w:p w:rsidR="00843E05" w:rsidRPr="00843E05" w:rsidP="00843E05" w14:paraId="71ECFEE9" w14:textId="77777777">
      <w:pPr>
        <w:numPr>
          <w:ilvl w:val="0"/>
          <w:numId w:val="11"/>
        </w:numPr>
        <w:tabs>
          <w:tab w:val="clear" w:pos="720"/>
          <w:tab w:val="num" w:pos="1080"/>
        </w:tabs>
        <w:ind w:left="1080"/>
      </w:pPr>
      <w:r w:rsidRPr="00843E05">
        <w:rPr>
          <w:b/>
          <w:bCs/>
        </w:rPr>
        <w:t>in connection with a statistical survey, that is not designed to produce valid and reliable results than can be generalized to the universe of study;</w:t>
      </w:r>
      <w:r w:rsidRPr="00843E05">
        <w:t> </w:t>
      </w:r>
    </w:p>
    <w:p w:rsidR="00843E05" w:rsidRPr="00843E05" w:rsidP="00843E05" w14:paraId="2BFC2589" w14:textId="77777777">
      <w:pPr>
        <w:numPr>
          <w:ilvl w:val="0"/>
          <w:numId w:val="12"/>
        </w:numPr>
        <w:tabs>
          <w:tab w:val="clear" w:pos="720"/>
          <w:tab w:val="num" w:pos="1080"/>
        </w:tabs>
        <w:ind w:left="1080"/>
      </w:pPr>
      <w:r w:rsidRPr="00843E05">
        <w:rPr>
          <w:b/>
          <w:bCs/>
        </w:rPr>
        <w:t>requiring the use of a statistical data classification that has not been reviewed and approved by OMB;</w:t>
      </w:r>
      <w:r w:rsidRPr="00843E05">
        <w:t> </w:t>
      </w:r>
    </w:p>
    <w:p w:rsidR="00843E05" w:rsidP="00843E05" w14:paraId="3245A6C4" w14:textId="0329A674">
      <w:pPr>
        <w:numPr>
          <w:ilvl w:val="0"/>
          <w:numId w:val="13"/>
        </w:numPr>
        <w:tabs>
          <w:tab w:val="clear" w:pos="720"/>
          <w:tab w:val="num" w:pos="1080"/>
        </w:tabs>
        <w:ind w:left="1080"/>
      </w:pPr>
      <w:r w:rsidRPr="00843E05">
        <w:rPr>
          <w:b/>
          <w:bCs/>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r w:rsidRPr="00843E05">
        <w:t> </w:t>
      </w:r>
      <w:r w:rsidRPr="00843E05">
        <w:rPr>
          <w:b/>
          <w:bCs/>
        </w:rPr>
        <w:t>requiring respondents to submit proprietary trade secrets, or other confidential information unless the agency can demonstrate that it has instituted procedures to protect the information’s confidentiality to the extent permitted by law.</w:t>
      </w:r>
      <w:r w:rsidRPr="00843E05">
        <w:t> </w:t>
      </w:r>
    </w:p>
    <w:p w:rsidR="0072305A" w:rsidRPr="00843E05" w:rsidP="0072305A" w14:paraId="14E081CC" w14:textId="59B2B8C2">
      <w:r>
        <w:t>There are no such special circumstances associated with this information collection.</w:t>
      </w:r>
    </w:p>
    <w:p w:rsidR="00843E05" w:rsidRPr="00843E05" w:rsidP="00843E05" w14:paraId="74986EFC" w14:textId="77777777">
      <w:pPr>
        <w:numPr>
          <w:ilvl w:val="0"/>
          <w:numId w:val="14"/>
        </w:numPr>
      </w:pPr>
      <w:r w:rsidRPr="00843E05">
        <w:rPr>
          <w:b/>
          <w:bCs/>
        </w:rPr>
        <w:t>As applicable</w:t>
      </w:r>
      <w:r w:rsidRPr="00843E05">
        <w:rPr>
          <w:b/>
          <w:bCs/>
        </w:rPr>
        <w:t>, state that</w:t>
      </w:r>
      <w:r w:rsidRPr="00843E05">
        <w:rPr>
          <w:b/>
          <w:bCs/>
        </w:rPr>
        <w:t xml:space="preserve"> the Department has published the 60 and 30 Federal Register notices as required by 5 CFR 1320.8(d), soliciting comments on the information collection prior to submission to OMB.</w:t>
      </w:r>
      <w:r w:rsidRPr="00843E05">
        <w:t> </w:t>
      </w:r>
    </w:p>
    <w:p w:rsidR="00843E05" w:rsidRPr="00843E05" w:rsidP="00843E05" w14:paraId="16E69C88" w14:textId="77777777">
      <w:pPr>
        <w:numPr>
          <w:ilvl w:val="0"/>
          <w:numId w:val="15"/>
        </w:numPr>
        <w:tabs>
          <w:tab w:val="clear" w:pos="720"/>
          <w:tab w:val="num" w:pos="1080"/>
        </w:tabs>
        <w:ind w:left="1080"/>
      </w:pPr>
      <w:r w:rsidRPr="00843E05">
        <w:rPr>
          <w:b/>
          <w:bCs/>
        </w:rPr>
        <w:t xml:space="preserve">Include a citation for the </w:t>
      </w:r>
      <w:r w:rsidRPr="00843E05">
        <w:rPr>
          <w:b/>
          <w:bCs/>
        </w:rPr>
        <w:t>60 day</w:t>
      </w:r>
      <w:r w:rsidRPr="00843E05">
        <w:rPr>
          <w:b/>
          <w:bCs/>
        </w:rPr>
        <w:t xml:space="preserve"> comment period (e.g. Vol. 84 FR ##### and the date of publication).  Summarize public comments received in response to the </w:t>
      </w:r>
      <w:r w:rsidRPr="00843E05">
        <w:rPr>
          <w:b/>
          <w:bCs/>
        </w:rPr>
        <w:t>60 day</w:t>
      </w:r>
      <w:r w:rsidRPr="00843E05">
        <w:rPr>
          <w:b/>
          <w:bCs/>
        </w:rPr>
        <w:t xml:space="preserve"> notice and describe actions taken by the agency in response to these comments.  Specifically address comments received on cost and hour burden.  If only non-substantive comments are provided, please provide a statement to that effect and that it did not relate or </w:t>
      </w:r>
      <w:r w:rsidRPr="00843E05">
        <w:rPr>
          <w:b/>
          <w:bCs/>
        </w:rPr>
        <w:t>warrant</w:t>
      </w:r>
      <w:r w:rsidRPr="00843E05">
        <w:rPr>
          <w:b/>
          <w:bCs/>
        </w:rPr>
        <w:t xml:space="preserve"> any changes to this information collection request. In your comments, please also indicate the number of public comments received.</w:t>
      </w:r>
      <w:r w:rsidRPr="00843E05">
        <w:t> </w:t>
      </w:r>
    </w:p>
    <w:p w:rsidR="00843E05" w:rsidRPr="00843E05" w:rsidP="00843E05" w14:paraId="280FD5DD" w14:textId="77777777">
      <w:pPr>
        <w:numPr>
          <w:ilvl w:val="0"/>
          <w:numId w:val="16"/>
        </w:numPr>
        <w:tabs>
          <w:tab w:val="clear" w:pos="720"/>
          <w:tab w:val="num" w:pos="1080"/>
        </w:tabs>
        <w:ind w:left="1080"/>
      </w:pPr>
      <w:r w:rsidRPr="00843E05">
        <w:rPr>
          <w:b/>
          <w:bCs/>
        </w:rPr>
        <w:t xml:space="preserve">For the </w:t>
      </w:r>
      <w:r w:rsidRPr="00843E05">
        <w:rPr>
          <w:b/>
          <w:bCs/>
        </w:rPr>
        <w:t>30 day</w:t>
      </w:r>
      <w:r w:rsidRPr="00843E05">
        <w:rPr>
          <w:b/>
          <w:bCs/>
        </w:rPr>
        <w:t xml:space="preserve"> notice, indicate that a notice will be published.</w:t>
      </w:r>
      <w:r w:rsidRPr="00843E05">
        <w:t> </w:t>
      </w:r>
    </w:p>
    <w:p w:rsidR="00843E05" w:rsidRPr="00843E05" w:rsidP="00843E05" w14:paraId="028C4B91" w14:textId="77777777">
      <w:pPr>
        <w:numPr>
          <w:ilvl w:val="0"/>
          <w:numId w:val="17"/>
        </w:numPr>
        <w:tabs>
          <w:tab w:val="clear" w:pos="720"/>
          <w:tab w:val="num" w:pos="1080"/>
        </w:tabs>
        <w:ind w:left="1080"/>
      </w:pPr>
      <w:r w:rsidRPr="00843E05">
        <w:rPr>
          <w:b/>
          <w:bCs/>
        </w:rPr>
        <w:t xml:space="preserve">Describe efforts to consult with </w:t>
      </w:r>
      <w:r w:rsidRPr="00843E05">
        <w:rPr>
          <w:b/>
          <w:bCs/>
        </w:rPr>
        <w:t>persons</w:t>
      </w:r>
      <w:r w:rsidRPr="00843E05">
        <w:rPr>
          <w:b/>
          <w:bCs/>
        </w:rPr>
        <w:t xml:space="preserve"> outside the agency to obtain their views on the availability of data, frequency of collection, the clarity of instruction and record keeping, disclosure, or reporting format (if any), and on the data elements to be recorded, disclosed, or reported.</w:t>
      </w:r>
      <w:r w:rsidRPr="00843E05">
        <w:t> </w:t>
      </w:r>
    </w:p>
    <w:p w:rsidR="00843E05" w:rsidP="00843E05" w14:paraId="5B3BA9B4" w14:textId="77777777">
      <w:pPr>
        <w:numPr>
          <w:ilvl w:val="0"/>
          <w:numId w:val="18"/>
        </w:numPr>
        <w:tabs>
          <w:tab w:val="clear" w:pos="720"/>
          <w:tab w:val="num" w:pos="1080"/>
        </w:tabs>
        <w:ind w:left="1080"/>
      </w:pPr>
      <w:r w:rsidRPr="00843E05">
        <w:rPr>
          <w:b/>
          <w:bCs/>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r w:rsidRPr="00843E05">
        <w:t> </w:t>
      </w:r>
    </w:p>
    <w:p w:rsidR="00EB057C" w:rsidRPr="00843E05" w:rsidP="00EB057C" w14:paraId="61F3A408" w14:textId="6E51A9F8">
      <w:r>
        <w:t>The Department will publish a 60-day notice in the Federal Register.  The Department will publish a 30-day notice in the Federal Register and will review and respond to the comments received.  Changes will be made when appropriate.</w:t>
      </w:r>
    </w:p>
    <w:p w:rsidR="00843E05" w:rsidP="00843E05" w14:paraId="186E2FDA" w14:textId="77777777">
      <w:pPr>
        <w:numPr>
          <w:ilvl w:val="0"/>
          <w:numId w:val="19"/>
        </w:numPr>
      </w:pPr>
      <w:r w:rsidRPr="00843E05">
        <w:t> </w:t>
      </w:r>
      <w:r w:rsidRPr="00843E05">
        <w:rPr>
          <w:b/>
          <w:bCs/>
        </w:rPr>
        <w:t>Explain any decision to provide any payment or gift to respondents, other than remuneration of contractors or grantees with meaningful justification.</w:t>
      </w:r>
      <w:r w:rsidRPr="00843E05">
        <w:t> </w:t>
      </w:r>
    </w:p>
    <w:p w:rsidR="00EB057C" w:rsidRPr="00843E05" w:rsidP="00EB057C" w14:paraId="60D52308" w14:textId="06774027">
      <w:r>
        <w:t>There will be no payments or gifts to respondents of this information collection.</w:t>
      </w:r>
    </w:p>
    <w:p w:rsidR="00843E05" w:rsidP="00843E05" w14:paraId="6135D742" w14:textId="77777777">
      <w:pPr>
        <w:numPr>
          <w:ilvl w:val="0"/>
          <w:numId w:val="20"/>
        </w:numPr>
      </w:pPr>
      <w:r w:rsidRPr="00843E05">
        <w:t> </w:t>
      </w:r>
      <w:r w:rsidRPr="00843E05">
        <w:rPr>
          <w:b/>
          <w:bCs/>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843E05">
        <w:rPr>
          <w:b/>
          <w:bCs/>
        </w:rPr>
        <w:t>on</w:t>
      </w:r>
      <w:r w:rsidRPr="00843E05">
        <w:rPr>
          <w:b/>
          <w:bCs/>
        </w:rPr>
        <w:t xml:space="preserve"> the instrument. Please provide a citation for the Systems of Record Notice and the date </w:t>
      </w:r>
      <w:r w:rsidRPr="00843E05">
        <w:rPr>
          <w:b/>
          <w:bCs/>
        </w:rPr>
        <w:t>a Privacy</w:t>
      </w:r>
      <w:r w:rsidRPr="00843E05">
        <w:rPr>
          <w:b/>
          <w:bCs/>
        </w:rPr>
        <w:t xml:space="preserve"> Impact Assessment was completed as indicated on the IC Data Form. A confidentiality statement with a legal citation that authorizes the pledge of confidentiality should be provided.</w:t>
      </w:r>
      <w:r w:rsidRPr="00843E05">
        <w:rPr>
          <w:b/>
          <w:bCs/>
          <w:vertAlign w:val="superscript"/>
        </w:rPr>
        <w:t>7</w:t>
      </w:r>
      <w:r w:rsidRPr="00843E05">
        <w:rPr>
          <w:b/>
          <w:bCs/>
        </w:rPr>
        <w:t xml:space="preserve"> If the collection is subject to the Privacy Act, the Privacy Act statement is deemed sufficient with respect to confidentiality. If there is no expectation of confidentiality, simply state that the Department makes no pledge about the confidentiality of the data. If no PII will be collected, state that no assurance of confidentiality is provided to respondents. If the Paperwork Burden Statement is not included physically on a form, you may include it here. Please ensure that your response per respondent matches the estimate provided in number 12.</w:t>
      </w:r>
      <w:r w:rsidRPr="00843E05">
        <w:t> </w:t>
      </w:r>
    </w:p>
    <w:p w:rsidR="00AD6DB2" w:rsidRPr="00843E05" w:rsidP="00AD6DB2" w14:paraId="111A36F5" w14:textId="7BFB7E2F">
      <w:r>
        <w:t>The Department makes no pledge about the confidentiality of the data provided by respondents of this information collection.</w:t>
      </w:r>
      <w:r w:rsidR="00F075C8">
        <w:t xml:space="preserve">  No personally identifiable information is collected; only State aggregate data is reported through this collection.</w:t>
      </w:r>
    </w:p>
    <w:p w:rsidR="00843E05" w:rsidP="00843E05" w14:paraId="52141BF2" w14:textId="77777777">
      <w:pPr>
        <w:numPr>
          <w:ilvl w:val="0"/>
          <w:numId w:val="21"/>
        </w:numPr>
      </w:pPr>
      <w:r w:rsidRPr="00843E05">
        <w:t> </w:t>
      </w:r>
      <w:r w:rsidRPr="00843E05">
        <w:rPr>
          <w:b/>
          <w:bCs/>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843E05">
        <w:rPr>
          <w:b/>
          <w:bCs/>
        </w:rPr>
        <w:t>persons</w:t>
      </w:r>
      <w:r w:rsidRPr="00843E05">
        <w:rPr>
          <w:b/>
          <w:bCs/>
        </w:rPr>
        <w:t xml:space="preserve"> from whom the information is requested, and any steps to be taken to obtain their consent.</w:t>
      </w:r>
      <w:r w:rsidRPr="00843E05">
        <w:t> </w:t>
      </w:r>
    </w:p>
    <w:p w:rsidR="006F7CC0" w:rsidRPr="00843E05" w:rsidP="006F7CC0" w14:paraId="1CAE8305" w14:textId="408EBA9D">
      <w:r>
        <w:t>There are no questions of a sensitive nature contained in this information collection.</w:t>
      </w:r>
    </w:p>
    <w:p w:rsidR="00843E05" w:rsidRPr="00843E05" w:rsidP="00843E05" w14:paraId="0816D3F9" w14:textId="77777777">
      <w:pPr>
        <w:numPr>
          <w:ilvl w:val="0"/>
          <w:numId w:val="22"/>
        </w:numPr>
      </w:pPr>
      <w:r w:rsidRPr="00843E05">
        <w:t> </w:t>
      </w:r>
      <w:r w:rsidRPr="00843E05">
        <w:rPr>
          <w:b/>
          <w:bCs/>
        </w:rPr>
        <w:t>Provide estimates of the hour burden for this current information collection request.  The statement should:</w:t>
      </w:r>
      <w:r w:rsidRPr="00843E05">
        <w:t> </w:t>
      </w:r>
    </w:p>
    <w:p w:rsidR="00843E05" w:rsidRPr="00843E05" w:rsidP="00843E05" w14:paraId="6ECEBC8A" w14:textId="77777777">
      <w:pPr>
        <w:numPr>
          <w:ilvl w:val="0"/>
          <w:numId w:val="23"/>
        </w:numPr>
        <w:tabs>
          <w:tab w:val="clear" w:pos="720"/>
          <w:tab w:val="num" w:pos="1080"/>
        </w:tabs>
        <w:ind w:left="1080"/>
      </w:pPr>
      <w:r w:rsidRPr="00843E05">
        <w:rPr>
          <w:b/>
          <w:bCs/>
        </w:rPr>
        <w:t xml:space="preserve">Provide an explanation of how the burden was estimated, including identification of burden type: recordkeeping, reporting or </w:t>
      </w:r>
      <w:r w:rsidRPr="00843E05">
        <w:rPr>
          <w:b/>
          <w:bCs/>
        </w:rPr>
        <w:t>third party</w:t>
      </w:r>
      <w:r w:rsidRPr="00843E05">
        <w:rPr>
          <w:b/>
          <w:bCs/>
        </w:rPr>
        <w:t xml:space="preserve"> disclosure.  Address changes in burden due to the use of technology (if applicable). Generally, estimates should not include burden hours for customary and usual business practices.</w:t>
      </w:r>
      <w:r w:rsidRPr="00843E05">
        <w:t> </w:t>
      </w:r>
    </w:p>
    <w:p w:rsidR="00843E05" w:rsidRPr="00843E05" w:rsidP="00843E05" w14:paraId="0C23E61C" w14:textId="77777777">
      <w:pPr>
        <w:numPr>
          <w:ilvl w:val="0"/>
          <w:numId w:val="24"/>
        </w:numPr>
        <w:tabs>
          <w:tab w:val="clear" w:pos="720"/>
          <w:tab w:val="num" w:pos="1080"/>
        </w:tabs>
        <w:ind w:left="1080"/>
      </w:pPr>
      <w:r w:rsidRPr="00843E05">
        <w:rPr>
          <w:b/>
          <w:bCs/>
        </w:rPr>
        <w:t>Please do not include increases in burden and respondents numerically in this table. Explain these changes in number 15.</w:t>
      </w:r>
      <w:r w:rsidRPr="00843E05">
        <w:t> </w:t>
      </w:r>
    </w:p>
    <w:p w:rsidR="00843E05" w:rsidRPr="00843E05" w:rsidP="00843E05" w14:paraId="583F69E8" w14:textId="77777777">
      <w:pPr>
        <w:numPr>
          <w:ilvl w:val="0"/>
          <w:numId w:val="25"/>
        </w:numPr>
        <w:tabs>
          <w:tab w:val="clear" w:pos="720"/>
          <w:tab w:val="num" w:pos="1080"/>
        </w:tabs>
        <w:ind w:left="1080"/>
      </w:pPr>
      <w:r w:rsidRPr="00843E05">
        <w:rPr>
          <w:b/>
          <w:bCs/>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 Unless directed to do so, agencies should not conduct special surveys to obtain information on which to base hour burden estimates.  Consultation with a sample (fewer than 10) of potential respondents is desirable. </w:t>
      </w:r>
      <w:r w:rsidRPr="00843E05">
        <w:t> </w:t>
      </w:r>
    </w:p>
    <w:p w:rsidR="00843E05" w:rsidRPr="00843E05" w:rsidP="00843E05" w14:paraId="13CEC9CB" w14:textId="77777777">
      <w:pPr>
        <w:numPr>
          <w:ilvl w:val="0"/>
          <w:numId w:val="26"/>
        </w:numPr>
        <w:tabs>
          <w:tab w:val="clear" w:pos="720"/>
          <w:tab w:val="num" w:pos="1080"/>
        </w:tabs>
        <w:ind w:left="1080"/>
      </w:pPr>
      <w:r w:rsidRPr="00843E05">
        <w:rPr>
          <w:b/>
          <w:bCs/>
        </w:rPr>
        <w:t>If this request for approval covers more than one form, provide separate hour burden estimates for each form and aggregate the hour burden in the table below.</w:t>
      </w:r>
      <w:r w:rsidRPr="00843E05">
        <w:t> </w:t>
      </w:r>
    </w:p>
    <w:p w:rsidR="00843E05" w:rsidRPr="00843E05" w:rsidP="00843E05" w14:paraId="7F20226C" w14:textId="77777777">
      <w:pPr>
        <w:numPr>
          <w:ilvl w:val="0"/>
          <w:numId w:val="27"/>
        </w:numPr>
        <w:tabs>
          <w:tab w:val="clear" w:pos="720"/>
          <w:tab w:val="num" w:pos="1080"/>
        </w:tabs>
        <w:ind w:left="1080"/>
      </w:pPr>
      <w:r w:rsidRPr="00843E05">
        <w:rPr>
          <w:b/>
          <w:bCs/>
        </w:rPr>
        <w:t xml:space="preserve">Provide estimates of annualized cost to respondents of the hour burdens for collections of information, identifying and using appropriate wage rate categories. </w:t>
      </w:r>
      <w:hyperlink r:id="rId12" w:tgtFrame="_blank" w:history="1">
        <w:r w:rsidRPr="00843E05">
          <w:rPr>
            <w:rStyle w:val="Hyperlink"/>
            <w:b/>
            <w:bCs/>
          </w:rPr>
          <w:t>Use this site</w:t>
        </w:r>
      </w:hyperlink>
      <w:r w:rsidRPr="00843E05">
        <w:rPr>
          <w:b/>
          <w:bCs/>
        </w:rPr>
        <w:t xml:space="preserve"> to research the appropriate wage rate. The cost of contracting out or paying outside parties for information collection activities should not be included here.  Instead, this cost should be included in Item 14. If there is no cost to respondents, indicate by entering 0 in the chart below and/or provide a statement.</w:t>
      </w:r>
      <w:r w:rsidRPr="00843E05">
        <w:t> </w:t>
      </w:r>
    </w:p>
    <w:p w:rsidR="00843E05" w:rsidP="00843E05" w14:paraId="0ED5737C" w14:textId="77777777">
      <w:pPr>
        <w:ind w:left="360"/>
      </w:pPr>
      <w:r w:rsidRPr="00843E05">
        <w:rPr>
          <w:b/>
          <w:bCs/>
        </w:rPr>
        <w:t>Provide a descriptive narrative here in addition to completing the table below with burden hour estimates.</w:t>
      </w:r>
      <w:r w:rsidRPr="00843E05">
        <w:t> </w:t>
      </w:r>
    </w:p>
    <w:p w:rsidR="00FA2805" w:rsidP="00B043EA" w14:paraId="78F8712D" w14:textId="78B3FD80">
      <w:pPr>
        <w:ind w:left="360"/>
      </w:pPr>
      <w:r>
        <w:t xml:space="preserve">The burden hours associated with this collection comprise the hours required by State officials to provide </w:t>
      </w:r>
      <w:r>
        <w:t>the narrative</w:t>
      </w:r>
      <w:r>
        <w:t xml:space="preserve"> </w:t>
      </w:r>
      <w:r w:rsidR="00AA6840">
        <w:t>information, and</w:t>
      </w:r>
      <w:r>
        <w:t xml:space="preserve"> student enrollment, fiscal, and student outcome data required under Perkins V</w:t>
      </w:r>
      <w:r w:rsidR="00CE2D13">
        <w:t xml:space="preserve"> and associated Federal regulations.  Our estimate of the burden hours is based upon public comment and our past consultations with nine (9) State officials</w:t>
      </w:r>
      <w:r w:rsidR="00993DD3">
        <w:t xml:space="preserve"> in the agencies that respond to this ICR.</w:t>
      </w:r>
      <w:r w:rsidR="00131FEE">
        <w:t xml:space="preserve">  </w:t>
      </w:r>
    </w:p>
    <w:p w:rsidR="00B03907" w:rsidP="00C56798" w14:paraId="721B28A5" w14:textId="3D1F27F8">
      <w:pPr>
        <w:ind w:left="360"/>
      </w:pPr>
      <w:r>
        <w:t xml:space="preserve">We estimate that the burden hours per response </w:t>
      </w:r>
      <w:r>
        <w:t>average</w:t>
      </w:r>
      <w:r w:rsidR="00EE69EC">
        <w:t>d</w:t>
      </w:r>
      <w:r>
        <w:t xml:space="preserve"> across the three years of this information collection request will </w:t>
      </w:r>
      <w:r w:rsidR="005077DB">
        <w:t>reduce from 234 to</w:t>
      </w:r>
      <w:r w:rsidR="00906D69">
        <w:t xml:space="preserve"> </w:t>
      </w:r>
      <w:r w:rsidR="002C65BC">
        <w:t xml:space="preserve">230 </w:t>
      </w:r>
      <w:r>
        <w:t>hours</w:t>
      </w:r>
      <w:r w:rsidR="005077DB">
        <w:t xml:space="preserve"> due to the </w:t>
      </w:r>
      <w:r w:rsidR="00906D69">
        <w:t>elimin</w:t>
      </w:r>
      <w:r w:rsidR="00CF2477">
        <w:t xml:space="preserve">ation of some reporting elements on the FSRs </w:t>
      </w:r>
      <w:r w:rsidR="002C65BC">
        <w:t>and the auto-population of other</w:t>
      </w:r>
      <w:r w:rsidR="005077DB">
        <w:t>s</w:t>
      </w:r>
      <w:r w:rsidR="00CF2477">
        <w:t>.</w:t>
      </w:r>
      <w:r>
        <w:t xml:space="preserve">  </w:t>
      </w:r>
    </w:p>
    <w:p w:rsidR="00843E05" w:rsidRPr="00843E05" w:rsidP="00843E05" w14:paraId="0D98622C" w14:textId="77777777">
      <w:pPr>
        <w:spacing w:after="0" w:line="240" w:lineRule="auto"/>
        <w:jc w:val="center"/>
        <w:textAlignment w:val="baseline"/>
        <w:rPr>
          <w:rFonts w:ascii="Segoe UI" w:eastAsia="Times New Roman" w:hAnsi="Segoe UI" w:cs="Segoe UI"/>
          <w:b/>
          <w:bCs/>
          <w:color w:val="4F81BD"/>
          <w:kern w:val="0"/>
          <w:sz w:val="18"/>
          <w:szCs w:val="18"/>
          <w14:ligatures w14:val="none"/>
        </w:rPr>
      </w:pPr>
      <w:r w:rsidRPr="00843E05">
        <w:rPr>
          <w:rFonts w:ascii="Calibri" w:eastAsia="Times New Roman" w:hAnsi="Calibri" w:cs="Calibri"/>
          <w:color w:val="000000"/>
          <w:kern w:val="0"/>
          <w:sz w:val="24"/>
          <w:szCs w:val="24"/>
          <w14:ligatures w14:val="none"/>
        </w:rPr>
        <w:t>Estimated Annual Burden and Respondent Costs Table</w:t>
      </w:r>
      <w:r w:rsidRPr="00843E05">
        <w:rPr>
          <w:rFonts w:ascii="Calibri" w:eastAsia="Times New Roman" w:hAnsi="Calibri" w:cs="Calibri"/>
          <w:b/>
          <w:bCs/>
          <w:color w:val="000000"/>
          <w:kern w:val="0"/>
          <w:sz w:val="24"/>
          <w:szCs w:val="24"/>
          <w14:ligatures w14:val="none"/>
        </w:rPr>
        <w:t> </w:t>
      </w:r>
    </w:p>
    <w:tbl>
      <w:tblPr>
        <w:tblW w:w="1025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09"/>
        <w:gridCol w:w="1087"/>
        <w:gridCol w:w="1196"/>
        <w:gridCol w:w="1253"/>
        <w:gridCol w:w="1105"/>
        <w:gridCol w:w="1055"/>
        <w:gridCol w:w="920"/>
        <w:gridCol w:w="1092"/>
        <w:gridCol w:w="1535"/>
      </w:tblGrid>
      <w:tr w14:paraId="763F63E8" w14:textId="7CBD24F9" w:rsidTr="338B005A">
        <w:tblPrEx>
          <w:tblW w:w="1025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jc w:val="center"/>
        </w:trPr>
        <w:tc>
          <w:tcPr>
            <w:tcW w:w="10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3FB5D23C" w14:textId="4D2542EB">
            <w:pPr>
              <w:spacing w:after="0" w:line="240" w:lineRule="auto"/>
              <w:jc w:val="center"/>
              <w:textAlignment w:val="baseline"/>
              <w:rPr>
                <w:rFonts w:eastAsia="Times New Roman" w:cstheme="minorHAnsi"/>
                <w:kern w:val="0"/>
                <w14:ligatures w14:val="none"/>
              </w:rPr>
            </w:pPr>
            <w:r w:rsidRPr="00091C68">
              <w:rPr>
                <w:rFonts w:eastAsia="Times New Roman" w:cstheme="minorHAnsi"/>
                <w:kern w:val="0"/>
                <w14:ligatures w14:val="none"/>
              </w:rPr>
              <w:t>Year</w:t>
            </w:r>
          </w:p>
        </w:tc>
        <w:tc>
          <w:tcPr>
            <w:tcW w:w="10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16A2B468" w14:textId="5A0DE403">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Sample Size (if applicable)</w:t>
            </w:r>
          </w:p>
        </w:tc>
        <w:tc>
          <w:tcPr>
            <w:tcW w:w="119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2BAD388A" w14:textId="3BC4D8F8">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Respondent Response Rate (if applicable)</w:t>
            </w:r>
          </w:p>
        </w:tc>
        <w:tc>
          <w:tcPr>
            <w:tcW w:w="12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6278EB05" w14:textId="486B1C52">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Number of Respondents</w:t>
            </w:r>
          </w:p>
        </w:tc>
        <w:tc>
          <w:tcPr>
            <w:tcW w:w="11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61E5580D" w14:textId="7AA5E59C">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Number of Responses</w:t>
            </w:r>
          </w:p>
        </w:tc>
        <w:tc>
          <w:tcPr>
            <w:tcW w:w="1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4BAE4A4E" w14:textId="20FA6211">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 xml:space="preserve">Average </w:t>
            </w:r>
            <w:r>
              <w:rPr>
                <w:rFonts w:eastAsia="Times New Roman" w:cstheme="minorHAnsi"/>
                <w:kern w:val="0"/>
                <w14:ligatures w14:val="none"/>
              </w:rPr>
              <w:t>Burden</w:t>
            </w:r>
            <w:r>
              <w:rPr>
                <w:rFonts w:eastAsia="Times New Roman" w:cstheme="minorHAnsi"/>
                <w:kern w:val="0"/>
                <w14:ligatures w14:val="none"/>
              </w:rPr>
              <w:t xml:space="preserve"> Hours per Response</w:t>
            </w:r>
          </w:p>
        </w:tc>
        <w:tc>
          <w:tcPr>
            <w:tcW w:w="9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RPr="00843E05" w:rsidP="00843E05" w14:paraId="254F821D" w14:textId="58268474">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Total Annual Burden Hours</w:t>
            </w:r>
          </w:p>
        </w:tc>
        <w:tc>
          <w:tcPr>
            <w:tcW w:w="10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P="00843E05" w14:paraId="3ED60AF1" w14:textId="1F2BA098">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Estimated Respondent Average Hourly Wage</w:t>
            </w:r>
          </w:p>
        </w:tc>
        <w:tc>
          <w:tcPr>
            <w:tcW w:w="15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7322D0" w:rsidP="00843E05" w14:paraId="7F4066FB" w14:textId="12AAA1C0">
            <w:pPr>
              <w:spacing w:after="0" w:line="240" w:lineRule="auto"/>
              <w:jc w:val="center"/>
              <w:textAlignment w:val="baseline"/>
              <w:rPr>
                <w:rFonts w:eastAsia="Times New Roman" w:cstheme="minorHAnsi"/>
                <w:kern w:val="0"/>
                <w14:ligatures w14:val="none"/>
              </w:rPr>
            </w:pPr>
            <w:r>
              <w:rPr>
                <w:rFonts w:eastAsia="Times New Roman" w:cstheme="minorHAnsi"/>
                <w:kern w:val="0"/>
                <w14:ligatures w14:val="none"/>
              </w:rPr>
              <w:t>Total Annual Costs (Hourly Wage x Total Burden Hours</w:t>
            </w:r>
          </w:p>
        </w:tc>
      </w:tr>
      <w:tr w14:paraId="0D81CA78" w14:textId="472BA4D7" w:rsidTr="338B005A">
        <w:tblPrEx>
          <w:tblW w:w="10252" w:type="dxa"/>
          <w:jc w:val="center"/>
          <w:tblCellMar>
            <w:left w:w="0" w:type="dxa"/>
            <w:right w:w="0" w:type="dxa"/>
          </w:tblCellMar>
          <w:tblLook w:val="04A0"/>
        </w:tblPrEx>
        <w:trPr>
          <w:trHeight w:val="300"/>
          <w:jc w:val="center"/>
        </w:trPr>
        <w:tc>
          <w:tcPr>
            <w:tcW w:w="10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P="00B4063A" w14:paraId="4E69F87D" w14:textId="5E3CD094">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2027</w:t>
            </w:r>
          </w:p>
          <w:p w:rsidR="00272A33" w:rsidP="00B4063A" w14:paraId="7BD3B817" w14:textId="77777777">
            <w:pPr>
              <w:spacing w:after="0" w:line="240" w:lineRule="auto"/>
              <w:textAlignment w:val="baseline"/>
              <w:rPr>
                <w:rFonts w:eastAsia="Times New Roman" w:cstheme="minorHAnsi"/>
                <w:kern w:val="0"/>
                <w14:ligatures w14:val="none"/>
              </w:rPr>
            </w:pPr>
          </w:p>
          <w:p w:rsidR="00272A33" w:rsidRPr="00843E05" w:rsidP="00B4063A" w14:paraId="78E89F28" w14:textId="5C3F47FD">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2025-26</w:t>
            </w:r>
            <w:r>
              <w:rPr>
                <w:rFonts w:eastAsia="Times New Roman" w:cstheme="minorHAnsi"/>
                <w:kern w:val="0"/>
                <w14:ligatures w14:val="none"/>
              </w:rPr>
              <w:t xml:space="preserve"> (FY </w:t>
            </w:r>
            <w:r>
              <w:rPr>
                <w:rFonts w:eastAsia="Times New Roman" w:cstheme="minorHAnsi"/>
                <w:kern w:val="0"/>
                <w14:ligatures w14:val="none"/>
              </w:rPr>
              <w:t>2025</w:t>
            </w:r>
            <w:r>
              <w:rPr>
                <w:rFonts w:eastAsia="Times New Roman" w:cstheme="minorHAnsi"/>
                <w:kern w:val="0"/>
                <w14:ligatures w14:val="none"/>
              </w:rPr>
              <w:t xml:space="preserve">) Perkins V CAR reporting due January 31, </w:t>
            </w:r>
            <w:r>
              <w:rPr>
                <w:rFonts w:eastAsia="Times New Roman" w:cstheme="minorHAnsi"/>
                <w:kern w:val="0"/>
                <w14:ligatures w14:val="none"/>
              </w:rPr>
              <w:t>2027</w:t>
            </w:r>
          </w:p>
        </w:tc>
        <w:tc>
          <w:tcPr>
            <w:tcW w:w="10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00B4063A" w14:paraId="0F2EC6AF" w14:textId="3446D83B">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N/A</w:t>
            </w:r>
          </w:p>
        </w:tc>
        <w:tc>
          <w:tcPr>
            <w:tcW w:w="119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00B4063A" w14:paraId="1088D283" w14:textId="62E6036E">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100%</w:t>
            </w:r>
          </w:p>
        </w:tc>
        <w:tc>
          <w:tcPr>
            <w:tcW w:w="12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00B4063A" w14:paraId="6C00A223" w14:textId="57B323C4">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1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00B4063A" w14:paraId="6F58FB8B" w14:textId="49E3A117">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338B005A" w14:paraId="43B6F3D0" w14:textId="27242534">
            <w:pPr>
              <w:spacing w:after="0" w:line="240" w:lineRule="auto"/>
              <w:jc w:val="right"/>
              <w:textAlignment w:val="baseline"/>
              <w:rPr>
                <w:rFonts w:eastAsia="Times New Roman"/>
                <w:kern w:val="0"/>
                <w14:ligatures w14:val="none"/>
              </w:rPr>
            </w:pPr>
            <w:r>
              <w:rPr>
                <w:rFonts w:eastAsia="Times New Roman"/>
                <w:kern w:val="0"/>
                <w14:ligatures w14:val="none"/>
              </w:rPr>
              <w:t>230</w:t>
            </w:r>
          </w:p>
        </w:tc>
        <w:tc>
          <w:tcPr>
            <w:tcW w:w="9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338B005A" w14:paraId="5CB45731" w14:textId="05488B6B">
            <w:pPr>
              <w:spacing w:after="0" w:line="240" w:lineRule="auto"/>
              <w:jc w:val="right"/>
              <w:textAlignment w:val="baseline"/>
              <w:rPr>
                <w:rFonts w:eastAsia="Times New Roman"/>
                <w:kern w:val="0"/>
                <w14:ligatures w14:val="none"/>
              </w:rPr>
            </w:pPr>
            <w:r>
              <w:rPr>
                <w:rFonts w:eastAsia="Times New Roman"/>
                <w:kern w:val="0"/>
                <w14:ligatures w14:val="none"/>
              </w:rPr>
              <w:t>12,190</w:t>
            </w:r>
          </w:p>
        </w:tc>
        <w:tc>
          <w:tcPr>
            <w:tcW w:w="10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00B4063A" w14:paraId="644472D9" w14:textId="0AACDFB0">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$72.47</w:t>
            </w:r>
          </w:p>
        </w:tc>
        <w:tc>
          <w:tcPr>
            <w:tcW w:w="15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B4063A" w:rsidRPr="00843E05" w:rsidP="338B005A" w14:paraId="705F9A67" w14:textId="4B193581">
            <w:pPr>
              <w:spacing w:after="0" w:line="240" w:lineRule="auto"/>
              <w:jc w:val="right"/>
              <w:textAlignment w:val="baseline"/>
              <w:rPr>
                <w:rFonts w:eastAsia="Times New Roman"/>
                <w:kern w:val="0"/>
                <w14:ligatures w14:val="none"/>
              </w:rPr>
            </w:pPr>
            <w:r w:rsidRPr="338B005A">
              <w:rPr>
                <w:rFonts w:eastAsia="Times New Roman"/>
              </w:rPr>
              <w:t>$</w:t>
            </w:r>
            <w:r w:rsidR="00231CD5">
              <w:rPr>
                <w:rFonts w:eastAsia="Times New Roman"/>
              </w:rPr>
              <w:t>883,409</w:t>
            </w:r>
          </w:p>
        </w:tc>
      </w:tr>
      <w:tr w14:paraId="366D6FD6" w14:textId="643E4A19" w:rsidTr="338B005A">
        <w:tblPrEx>
          <w:tblW w:w="10252" w:type="dxa"/>
          <w:jc w:val="center"/>
          <w:tblCellMar>
            <w:left w:w="0" w:type="dxa"/>
            <w:right w:w="0" w:type="dxa"/>
          </w:tblCellMar>
          <w:tblLook w:val="04A0"/>
        </w:tblPrEx>
        <w:trPr>
          <w:trHeight w:val="300"/>
          <w:jc w:val="center"/>
        </w:trPr>
        <w:tc>
          <w:tcPr>
            <w:tcW w:w="10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P="00056F0A" w14:paraId="5E79C53E" w14:textId="21266118">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2028</w:t>
            </w:r>
          </w:p>
          <w:p w:rsidR="00056F0A" w:rsidP="00056F0A" w14:paraId="4A48656E" w14:textId="77777777">
            <w:pPr>
              <w:spacing w:after="0" w:line="240" w:lineRule="auto"/>
              <w:textAlignment w:val="baseline"/>
              <w:rPr>
                <w:rFonts w:eastAsia="Times New Roman" w:cstheme="minorHAnsi"/>
                <w:kern w:val="0"/>
                <w14:ligatures w14:val="none"/>
              </w:rPr>
            </w:pPr>
          </w:p>
          <w:p w:rsidR="00056F0A" w:rsidP="00056F0A" w14:paraId="560A4206" w14:textId="58679748">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2026-2027</w:t>
            </w:r>
          </w:p>
          <w:p w:rsidR="00056F0A" w:rsidP="00056F0A" w14:paraId="3E5B4AE9" w14:textId="19237C86">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 xml:space="preserve">(FY </w:t>
            </w:r>
            <w:r w:rsidR="00CF2477">
              <w:rPr>
                <w:rFonts w:eastAsia="Times New Roman" w:cstheme="minorHAnsi"/>
                <w:kern w:val="0"/>
                <w14:ligatures w14:val="none"/>
              </w:rPr>
              <w:t>2026</w:t>
            </w:r>
            <w:r>
              <w:rPr>
                <w:rFonts w:eastAsia="Times New Roman" w:cstheme="minorHAnsi"/>
                <w:kern w:val="0"/>
                <w14:ligatures w14:val="none"/>
              </w:rPr>
              <w:t>)</w:t>
            </w:r>
          </w:p>
          <w:p w:rsidR="00056F0A" w:rsidRPr="00843E05" w:rsidP="00056F0A" w14:paraId="47412500" w14:textId="016CF295">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 xml:space="preserve">Perkins V CAR reporting due January 31, </w:t>
            </w:r>
            <w:r w:rsidR="00CF2477">
              <w:rPr>
                <w:rFonts w:eastAsia="Times New Roman" w:cstheme="minorHAnsi"/>
                <w:kern w:val="0"/>
                <w14:ligatures w14:val="none"/>
              </w:rPr>
              <w:t>2028</w:t>
            </w:r>
          </w:p>
        </w:tc>
        <w:tc>
          <w:tcPr>
            <w:tcW w:w="10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29354ED0" w14:textId="0FDBB3FC">
            <w:pPr>
              <w:spacing w:after="0" w:line="240" w:lineRule="auto"/>
              <w:jc w:val="right"/>
              <w:textAlignment w:val="baseline"/>
              <w:rPr>
                <w:rFonts w:eastAsia="Times New Roman" w:cstheme="minorHAnsi"/>
                <w:kern w:val="0"/>
                <w14:ligatures w14:val="none"/>
              </w:rPr>
            </w:pPr>
            <w:r w:rsidRPr="00860923">
              <w:rPr>
                <w:rFonts w:eastAsia="Times New Roman" w:cstheme="minorHAnsi"/>
                <w:kern w:val="0"/>
                <w14:ligatures w14:val="none"/>
              </w:rPr>
              <w:t>N/A</w:t>
            </w:r>
          </w:p>
        </w:tc>
        <w:tc>
          <w:tcPr>
            <w:tcW w:w="119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7D1D44EB" w14:textId="03F994E1">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100%</w:t>
            </w:r>
          </w:p>
        </w:tc>
        <w:tc>
          <w:tcPr>
            <w:tcW w:w="12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66E9F6E3" w14:textId="0E6FFAD6">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1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38B144B2" w14:textId="3CA7B9AF">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03A53F87" w14:textId="4BA2DFB2">
            <w:pPr>
              <w:spacing w:after="0" w:line="240" w:lineRule="auto"/>
              <w:jc w:val="right"/>
            </w:pPr>
            <w:r>
              <w:rPr>
                <w:rFonts w:eastAsia="Times New Roman"/>
              </w:rPr>
              <w:t>230</w:t>
            </w:r>
          </w:p>
        </w:tc>
        <w:tc>
          <w:tcPr>
            <w:tcW w:w="9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7582CFDE" w14:textId="7156F760">
            <w:pPr>
              <w:spacing w:after="0" w:line="240" w:lineRule="auto"/>
              <w:jc w:val="right"/>
              <w:textAlignment w:val="baseline"/>
              <w:rPr>
                <w:rFonts w:eastAsia="Times New Roman"/>
                <w:kern w:val="0"/>
                <w14:ligatures w14:val="none"/>
              </w:rPr>
            </w:pPr>
            <w:r>
              <w:rPr>
                <w:rFonts w:eastAsia="Times New Roman"/>
                <w:kern w:val="0"/>
                <w14:ligatures w14:val="none"/>
              </w:rPr>
              <w:t>12,190</w:t>
            </w:r>
          </w:p>
        </w:tc>
        <w:tc>
          <w:tcPr>
            <w:tcW w:w="10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5A04F388" w14:textId="3A3B0244">
            <w:pPr>
              <w:spacing w:after="0" w:line="240" w:lineRule="auto"/>
              <w:jc w:val="right"/>
              <w:textAlignment w:val="baseline"/>
              <w:rPr>
                <w:rFonts w:eastAsia="Times New Roman" w:cstheme="minorHAnsi"/>
                <w:kern w:val="0"/>
                <w14:ligatures w14:val="none"/>
              </w:rPr>
            </w:pPr>
            <w:r w:rsidRPr="00D57A45">
              <w:rPr>
                <w:rFonts w:eastAsia="Times New Roman" w:cstheme="minorHAnsi"/>
                <w:kern w:val="0"/>
                <w14:ligatures w14:val="none"/>
              </w:rPr>
              <w:t>$72.47</w:t>
            </w:r>
          </w:p>
        </w:tc>
        <w:tc>
          <w:tcPr>
            <w:tcW w:w="15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44AD9871" w14:textId="305D2353">
            <w:pPr>
              <w:spacing w:after="0" w:line="240" w:lineRule="auto"/>
              <w:jc w:val="right"/>
              <w:textAlignment w:val="baseline"/>
              <w:rPr>
                <w:rFonts w:eastAsia="Times New Roman"/>
                <w:kern w:val="0"/>
                <w14:ligatures w14:val="none"/>
              </w:rPr>
            </w:pPr>
            <w:r w:rsidRPr="338B005A">
              <w:rPr>
                <w:rFonts w:eastAsia="Times New Roman"/>
              </w:rPr>
              <w:t>$</w:t>
            </w:r>
            <w:r w:rsidR="00231CD5">
              <w:rPr>
                <w:rFonts w:eastAsia="Times New Roman"/>
              </w:rPr>
              <w:t>883,409</w:t>
            </w:r>
          </w:p>
        </w:tc>
      </w:tr>
      <w:tr w14:paraId="6E99DF86" w14:textId="2990721A" w:rsidTr="338B005A">
        <w:tblPrEx>
          <w:tblW w:w="10252" w:type="dxa"/>
          <w:jc w:val="center"/>
          <w:tblCellMar>
            <w:left w:w="0" w:type="dxa"/>
            <w:right w:w="0" w:type="dxa"/>
          </w:tblCellMar>
          <w:tblLook w:val="04A0"/>
        </w:tblPrEx>
        <w:trPr>
          <w:trHeight w:val="300"/>
          <w:jc w:val="center"/>
        </w:trPr>
        <w:tc>
          <w:tcPr>
            <w:tcW w:w="10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P="00056F0A" w14:paraId="236B6A66" w14:textId="0020EDF7">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2029</w:t>
            </w:r>
          </w:p>
          <w:p w:rsidR="00056F0A" w:rsidP="00056F0A" w14:paraId="4FE9E674" w14:textId="77777777">
            <w:pPr>
              <w:spacing w:after="0" w:line="240" w:lineRule="auto"/>
              <w:textAlignment w:val="baseline"/>
              <w:rPr>
                <w:rFonts w:eastAsia="Times New Roman" w:cstheme="minorHAnsi"/>
                <w:kern w:val="0"/>
                <w14:ligatures w14:val="none"/>
              </w:rPr>
            </w:pPr>
          </w:p>
          <w:p w:rsidR="00056F0A" w:rsidP="00056F0A" w14:paraId="4AF315B9" w14:textId="171ECA14">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2027-2028</w:t>
            </w:r>
          </w:p>
          <w:p w:rsidR="00056F0A" w:rsidP="00056F0A" w14:paraId="64A47987" w14:textId="133B2B70">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 xml:space="preserve">(FY </w:t>
            </w:r>
            <w:r w:rsidR="00BE7562">
              <w:rPr>
                <w:rFonts w:eastAsia="Times New Roman" w:cstheme="minorHAnsi"/>
                <w:kern w:val="0"/>
                <w14:ligatures w14:val="none"/>
              </w:rPr>
              <w:t>2027</w:t>
            </w:r>
            <w:r>
              <w:rPr>
                <w:rFonts w:eastAsia="Times New Roman" w:cstheme="minorHAnsi"/>
                <w:kern w:val="0"/>
                <w14:ligatures w14:val="none"/>
              </w:rPr>
              <w:t>)</w:t>
            </w:r>
          </w:p>
          <w:p w:rsidR="00056F0A" w:rsidRPr="00843E05" w:rsidP="00056F0A" w14:paraId="1F6825B5" w14:textId="5FFE2B89">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 xml:space="preserve">Perkins V CAR reporting due January 31, </w:t>
            </w:r>
            <w:r w:rsidR="00BE7562">
              <w:rPr>
                <w:rFonts w:eastAsia="Times New Roman" w:cstheme="minorHAnsi"/>
                <w:kern w:val="0"/>
                <w14:ligatures w14:val="none"/>
              </w:rPr>
              <w:t>2029</w:t>
            </w:r>
          </w:p>
        </w:tc>
        <w:tc>
          <w:tcPr>
            <w:tcW w:w="10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797B56BC" w14:textId="7A94880F">
            <w:pPr>
              <w:spacing w:after="0" w:line="240" w:lineRule="auto"/>
              <w:jc w:val="right"/>
              <w:textAlignment w:val="baseline"/>
              <w:rPr>
                <w:rFonts w:eastAsia="Times New Roman" w:cstheme="minorHAnsi"/>
                <w:kern w:val="0"/>
                <w14:ligatures w14:val="none"/>
              </w:rPr>
            </w:pPr>
            <w:r w:rsidRPr="00860923">
              <w:rPr>
                <w:rFonts w:eastAsia="Times New Roman" w:cstheme="minorHAnsi"/>
                <w:kern w:val="0"/>
                <w14:ligatures w14:val="none"/>
              </w:rPr>
              <w:t>N/A</w:t>
            </w:r>
          </w:p>
        </w:tc>
        <w:tc>
          <w:tcPr>
            <w:tcW w:w="119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0BBB5D2A" w14:textId="18D1355C">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100%</w:t>
            </w:r>
          </w:p>
        </w:tc>
        <w:tc>
          <w:tcPr>
            <w:tcW w:w="12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2DF1D945" w14:textId="78F6950B">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1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3228EAB5" w14:textId="098B4F9C">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66C0F5E5" w14:textId="34D8FFAC">
            <w:pPr>
              <w:spacing w:after="0" w:line="240" w:lineRule="auto"/>
              <w:jc w:val="right"/>
            </w:pPr>
            <w:r>
              <w:rPr>
                <w:rFonts w:eastAsia="Times New Roman"/>
              </w:rPr>
              <w:t>230</w:t>
            </w:r>
          </w:p>
        </w:tc>
        <w:tc>
          <w:tcPr>
            <w:tcW w:w="9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13A651B9" w14:textId="05616910">
            <w:pPr>
              <w:spacing w:after="0" w:line="240" w:lineRule="auto"/>
              <w:jc w:val="right"/>
              <w:textAlignment w:val="baseline"/>
              <w:rPr>
                <w:rFonts w:eastAsia="Times New Roman"/>
                <w:kern w:val="0"/>
                <w14:ligatures w14:val="none"/>
              </w:rPr>
            </w:pPr>
            <w:r>
              <w:rPr>
                <w:rFonts w:eastAsia="Times New Roman"/>
                <w:kern w:val="0"/>
                <w14:ligatures w14:val="none"/>
              </w:rPr>
              <w:t>12,190</w:t>
            </w:r>
          </w:p>
        </w:tc>
        <w:tc>
          <w:tcPr>
            <w:tcW w:w="10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00056F0A" w14:paraId="15E798C0" w14:textId="04D2CC0A">
            <w:pPr>
              <w:spacing w:after="0" w:line="240" w:lineRule="auto"/>
              <w:jc w:val="right"/>
              <w:textAlignment w:val="baseline"/>
              <w:rPr>
                <w:rFonts w:eastAsia="Times New Roman" w:cstheme="minorHAnsi"/>
                <w:kern w:val="0"/>
                <w14:ligatures w14:val="none"/>
              </w:rPr>
            </w:pPr>
            <w:r w:rsidRPr="00D57A45">
              <w:rPr>
                <w:rFonts w:eastAsia="Times New Roman" w:cstheme="minorHAnsi"/>
                <w:kern w:val="0"/>
                <w14:ligatures w14:val="none"/>
              </w:rPr>
              <w:t>$72.47</w:t>
            </w:r>
          </w:p>
        </w:tc>
        <w:tc>
          <w:tcPr>
            <w:tcW w:w="15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056F0A" w:rsidRPr="00843E05" w:rsidP="338B005A" w14:paraId="257614C2" w14:textId="0508360D">
            <w:pPr>
              <w:spacing w:after="0" w:line="240" w:lineRule="auto"/>
              <w:jc w:val="right"/>
              <w:textAlignment w:val="baseline"/>
              <w:rPr>
                <w:rFonts w:eastAsia="Times New Roman"/>
                <w:kern w:val="0"/>
                <w14:ligatures w14:val="none"/>
              </w:rPr>
            </w:pPr>
            <w:r w:rsidRPr="338B005A">
              <w:rPr>
                <w:rFonts w:eastAsia="Times New Roman"/>
              </w:rPr>
              <w:t>$</w:t>
            </w:r>
            <w:r w:rsidR="00231CD5">
              <w:rPr>
                <w:rFonts w:eastAsia="Times New Roman"/>
              </w:rPr>
              <w:t>883,409</w:t>
            </w:r>
          </w:p>
        </w:tc>
      </w:tr>
      <w:tr w14:paraId="179D57B7" w14:textId="4D3A3A78" w:rsidTr="338B005A">
        <w:tblPrEx>
          <w:tblW w:w="10252" w:type="dxa"/>
          <w:jc w:val="center"/>
          <w:tblCellMar>
            <w:left w:w="0" w:type="dxa"/>
            <w:right w:w="0" w:type="dxa"/>
          </w:tblCellMar>
          <w:tblLook w:val="04A0"/>
        </w:tblPrEx>
        <w:trPr>
          <w:trHeight w:val="300"/>
          <w:jc w:val="center"/>
        </w:trPr>
        <w:tc>
          <w:tcPr>
            <w:tcW w:w="1009"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20211629" w14:textId="1096039A">
            <w:pPr>
              <w:spacing w:after="0" w:line="240" w:lineRule="auto"/>
              <w:textAlignment w:val="baseline"/>
              <w:rPr>
                <w:rFonts w:eastAsia="Times New Roman" w:cstheme="minorHAnsi"/>
                <w:kern w:val="0"/>
                <w14:ligatures w14:val="none"/>
              </w:rPr>
            </w:pPr>
            <w:r>
              <w:rPr>
                <w:rFonts w:eastAsia="Times New Roman" w:cstheme="minorHAnsi"/>
                <w:kern w:val="0"/>
                <w14:ligatures w14:val="none"/>
              </w:rPr>
              <w:t>Annualized Totals</w:t>
            </w:r>
          </w:p>
        </w:tc>
        <w:tc>
          <w:tcPr>
            <w:tcW w:w="10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305BEDC0" w14:textId="2F34AC86">
            <w:pPr>
              <w:spacing w:after="0" w:line="240" w:lineRule="auto"/>
              <w:jc w:val="right"/>
              <w:textAlignment w:val="baseline"/>
              <w:rPr>
                <w:rFonts w:eastAsia="Times New Roman" w:cstheme="minorHAnsi"/>
                <w:kern w:val="0"/>
                <w14:ligatures w14:val="none"/>
              </w:rPr>
            </w:pPr>
            <w:r w:rsidRPr="00860923">
              <w:rPr>
                <w:rFonts w:eastAsia="Times New Roman" w:cstheme="minorHAnsi"/>
                <w:kern w:val="0"/>
                <w14:ligatures w14:val="none"/>
              </w:rPr>
              <w:t>N/A</w:t>
            </w:r>
          </w:p>
        </w:tc>
        <w:tc>
          <w:tcPr>
            <w:tcW w:w="1196"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51BCA3D5" w14:textId="2CF8D80D">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100%</w:t>
            </w:r>
          </w:p>
        </w:tc>
        <w:tc>
          <w:tcPr>
            <w:tcW w:w="12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4CE60E5A" w14:textId="26C0B4C5">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10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30C162B8" w14:textId="4079CFC4">
            <w:pPr>
              <w:spacing w:after="0" w:line="240" w:lineRule="auto"/>
              <w:jc w:val="right"/>
              <w:textAlignment w:val="baseline"/>
              <w:rPr>
                <w:rFonts w:eastAsia="Times New Roman" w:cstheme="minorHAnsi"/>
                <w:kern w:val="0"/>
                <w14:ligatures w14:val="none"/>
              </w:rPr>
            </w:pPr>
            <w:r>
              <w:rPr>
                <w:rFonts w:eastAsia="Times New Roman" w:cstheme="minorHAnsi"/>
                <w:kern w:val="0"/>
                <w14:ligatures w14:val="none"/>
              </w:rPr>
              <w:t>54</w:t>
            </w:r>
          </w:p>
        </w:tc>
        <w:tc>
          <w:tcPr>
            <w:tcW w:w="105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338B005A" w14:paraId="05F50663" w14:textId="270E3CC8">
            <w:pPr>
              <w:spacing w:after="0" w:line="240" w:lineRule="auto"/>
              <w:jc w:val="right"/>
            </w:pPr>
            <w:r>
              <w:rPr>
                <w:rFonts w:eastAsia="Times New Roman"/>
              </w:rPr>
              <w:t>230</w:t>
            </w:r>
          </w:p>
        </w:tc>
        <w:tc>
          <w:tcPr>
            <w:tcW w:w="9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338B005A" w14:paraId="2402B9C4" w14:textId="683E9700">
            <w:pPr>
              <w:spacing w:after="0" w:line="240" w:lineRule="auto"/>
              <w:jc w:val="right"/>
              <w:textAlignment w:val="baseline"/>
              <w:rPr>
                <w:rFonts w:eastAsia="Times New Roman"/>
                <w:kern w:val="0"/>
                <w14:ligatures w14:val="none"/>
              </w:rPr>
            </w:pPr>
            <w:r>
              <w:rPr>
                <w:rFonts w:eastAsia="Times New Roman"/>
                <w:kern w:val="0"/>
                <w14:ligatures w14:val="none"/>
              </w:rPr>
              <w:t>12,190</w:t>
            </w:r>
          </w:p>
        </w:tc>
        <w:tc>
          <w:tcPr>
            <w:tcW w:w="1092"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00EA7C4B" w14:paraId="04C109E2" w14:textId="25EA4D3D">
            <w:pPr>
              <w:spacing w:after="0" w:line="240" w:lineRule="auto"/>
              <w:jc w:val="right"/>
              <w:textAlignment w:val="baseline"/>
              <w:rPr>
                <w:rFonts w:eastAsia="Times New Roman" w:cstheme="minorHAnsi"/>
                <w:kern w:val="0"/>
                <w14:ligatures w14:val="none"/>
              </w:rPr>
            </w:pPr>
            <w:r w:rsidRPr="00D57A45">
              <w:rPr>
                <w:rFonts w:eastAsia="Times New Roman" w:cstheme="minorHAnsi"/>
                <w:kern w:val="0"/>
                <w14:ligatures w14:val="none"/>
              </w:rPr>
              <w:t>$72.47</w:t>
            </w:r>
          </w:p>
        </w:tc>
        <w:tc>
          <w:tcPr>
            <w:tcW w:w="15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rsidR="00EA7C4B" w:rsidRPr="00843E05" w:rsidP="338B005A" w14:paraId="4DE1DF31" w14:textId="12426487">
            <w:pPr>
              <w:spacing w:after="0" w:line="240" w:lineRule="auto"/>
              <w:jc w:val="right"/>
              <w:textAlignment w:val="baseline"/>
              <w:rPr>
                <w:rFonts w:eastAsia="Times New Roman"/>
                <w:kern w:val="0"/>
                <w14:ligatures w14:val="none"/>
              </w:rPr>
            </w:pPr>
            <w:r w:rsidRPr="338B005A">
              <w:rPr>
                <w:rFonts w:eastAsia="Times New Roman"/>
                <w:kern w:val="0"/>
                <w14:ligatures w14:val="none"/>
              </w:rPr>
              <w:t>$</w:t>
            </w:r>
            <w:r w:rsidR="00231CD5">
              <w:rPr>
                <w:rFonts w:eastAsia="Times New Roman"/>
                <w:kern w:val="0"/>
                <w14:ligatures w14:val="none"/>
              </w:rPr>
              <w:t>883,409</w:t>
            </w:r>
          </w:p>
        </w:tc>
      </w:tr>
    </w:tbl>
    <w:p w:rsidR="00843E05" w:rsidRPr="00843E05" w:rsidP="00843E05" w14:paraId="27309260" w14:textId="77777777">
      <w:pPr>
        <w:spacing w:after="0" w:line="240" w:lineRule="auto"/>
        <w:ind w:left="-870" w:right="-870"/>
        <w:textAlignment w:val="baseline"/>
        <w:rPr>
          <w:rFonts w:ascii="Segoe UI" w:eastAsia="Times New Roman" w:hAnsi="Segoe UI" w:cs="Segoe UI"/>
          <w:kern w:val="0"/>
          <w:sz w:val="18"/>
          <w:szCs w:val="18"/>
          <w14:ligatures w14:val="none"/>
        </w:rPr>
      </w:pPr>
      <w:r w:rsidRPr="00843E05">
        <w:rPr>
          <w:rFonts w:ascii="Calibri" w:eastAsia="Times New Roman" w:hAnsi="Calibri" w:cs="Calibri"/>
          <w:kern w:val="0"/>
          <w14:ligatures w14:val="none"/>
        </w:rPr>
        <w:t> </w:t>
      </w:r>
    </w:p>
    <w:p w:rsidR="00784AC2" w:rsidP="00843E05" w14:paraId="6620C890" w14:textId="55685B79">
      <w:pPr>
        <w:spacing w:after="0" w:line="240" w:lineRule="auto"/>
        <w:ind w:left="-870" w:right="-870"/>
        <w:textAlignment w:val="baseline"/>
        <w:rPr>
          <w:rFonts w:ascii="Calibri" w:eastAsia="Times New Roman" w:hAnsi="Calibri" w:cs="Calibri"/>
          <w:kern w:val="0"/>
          <w14:ligatures w14:val="none"/>
        </w:rPr>
      </w:pPr>
      <w:r>
        <w:rPr>
          <w:rFonts w:ascii="Calibri" w:eastAsia="Times New Roman" w:hAnsi="Calibri" w:cs="Calibri"/>
          <w:kern w:val="0"/>
          <w14:ligatures w14:val="none"/>
        </w:rPr>
        <w:t>We estimate the total cost per hour of the professional staff who will carry out this work to be $72.</w:t>
      </w:r>
      <w:r w:rsidR="00EA7C4B">
        <w:rPr>
          <w:rFonts w:ascii="Calibri" w:eastAsia="Times New Roman" w:hAnsi="Calibri" w:cs="Calibri"/>
          <w:kern w:val="0"/>
          <w14:ligatures w14:val="none"/>
        </w:rPr>
        <w:t>47</w:t>
      </w:r>
      <w:r>
        <w:rPr>
          <w:rFonts w:ascii="Calibri" w:eastAsia="Times New Roman" w:hAnsi="Calibri" w:cs="Calibri"/>
          <w:kern w:val="0"/>
          <w14:ligatures w14:val="none"/>
        </w:rPr>
        <w:t xml:space="preserve"> per hour, the mean hourly compensation cost for State and local government workers who were in management, professional, and related occupations in </w:t>
      </w:r>
      <w:r w:rsidR="00022A4F">
        <w:rPr>
          <w:rFonts w:ascii="Calibri" w:eastAsia="Times New Roman" w:hAnsi="Calibri" w:cs="Calibri"/>
          <w:kern w:val="0"/>
          <w14:ligatures w14:val="none"/>
        </w:rPr>
        <w:t>September</w:t>
      </w:r>
      <w:r>
        <w:rPr>
          <w:rFonts w:ascii="Calibri" w:eastAsia="Times New Roman" w:hAnsi="Calibri" w:cs="Calibri"/>
          <w:kern w:val="0"/>
          <w14:ligatures w14:val="none"/>
        </w:rPr>
        <w:t xml:space="preserve"> 2024.</w:t>
      </w:r>
      <w:r>
        <w:rPr>
          <w:rStyle w:val="FootnoteReference"/>
          <w:rFonts w:ascii="Calibri" w:eastAsia="Times New Roman" w:hAnsi="Calibri" w:cs="Calibri"/>
          <w:kern w:val="0"/>
          <w14:ligatures w14:val="none"/>
        </w:rPr>
        <w:footnoteReference w:id="3"/>
      </w:r>
      <w:r w:rsidR="00B94E3B">
        <w:rPr>
          <w:rFonts w:ascii="Calibri" w:eastAsia="Times New Roman" w:hAnsi="Calibri" w:cs="Calibri"/>
          <w:kern w:val="0"/>
          <w14:ligatures w14:val="none"/>
        </w:rPr>
        <w:t xml:space="preserve">  The total annualized cost to respondents of the </w:t>
      </w:r>
      <w:r w:rsidR="00240779">
        <w:rPr>
          <w:rFonts w:ascii="Calibri" w:eastAsia="Times New Roman" w:hAnsi="Calibri" w:cs="Calibri"/>
          <w:kern w:val="0"/>
          <w14:ligatures w14:val="none"/>
        </w:rPr>
        <w:t>burden hours</w:t>
      </w:r>
      <w:r w:rsidR="00B94E3B">
        <w:rPr>
          <w:rFonts w:ascii="Calibri" w:eastAsia="Times New Roman" w:hAnsi="Calibri" w:cs="Calibri"/>
          <w:kern w:val="0"/>
          <w14:ligatures w14:val="none"/>
        </w:rPr>
        <w:t xml:space="preserve"> for this collection is estimated to be $</w:t>
      </w:r>
      <w:r w:rsidR="00373F04">
        <w:rPr>
          <w:rFonts w:ascii="Calibri" w:eastAsia="Times New Roman" w:hAnsi="Calibri" w:cs="Calibri"/>
          <w:kern w:val="0"/>
          <w14:ligatures w14:val="none"/>
        </w:rPr>
        <w:t>915,731</w:t>
      </w:r>
      <w:r w:rsidR="00B94E3B">
        <w:rPr>
          <w:rFonts w:ascii="Calibri" w:eastAsia="Times New Roman" w:hAnsi="Calibri" w:cs="Calibri"/>
          <w:kern w:val="0"/>
          <w14:ligatures w14:val="none"/>
        </w:rPr>
        <w:t>, as indicated in the table below</w:t>
      </w:r>
      <w:r w:rsidR="00373F04">
        <w:rPr>
          <w:rFonts w:ascii="Calibri" w:eastAsia="Times New Roman" w:hAnsi="Calibri" w:cs="Calibri"/>
          <w:kern w:val="0"/>
          <w14:ligatures w14:val="none"/>
        </w:rPr>
        <w:t>:</w:t>
      </w:r>
    </w:p>
    <w:p w:rsidR="00784AC2" w:rsidP="00843E05" w14:paraId="2F8F995B" w14:textId="77777777">
      <w:pPr>
        <w:spacing w:after="0" w:line="240" w:lineRule="auto"/>
        <w:ind w:left="-870" w:right="-870"/>
        <w:textAlignment w:val="baseline"/>
        <w:rPr>
          <w:rFonts w:ascii="Calibri" w:eastAsia="Times New Roman" w:hAnsi="Calibri" w:cs="Calibri"/>
          <w:b/>
          <w:bCs/>
          <w:i/>
          <w:iCs/>
          <w:kern w:val="0"/>
          <w14:ligatures w14:val="none"/>
        </w:rPr>
      </w:pPr>
    </w:p>
    <w:tbl>
      <w:tblPr>
        <w:tblStyle w:val="TableGrid"/>
        <w:tblW w:w="0" w:type="auto"/>
        <w:jc w:val="center"/>
        <w:tblLook w:val="04A0"/>
      </w:tblPr>
      <w:tblGrid>
        <w:gridCol w:w="2337"/>
        <w:gridCol w:w="2337"/>
        <w:gridCol w:w="2338"/>
        <w:gridCol w:w="2338"/>
      </w:tblGrid>
      <w:tr w14:paraId="2B482EA6" w14:textId="77777777" w:rsidTr="338B005A">
        <w:tblPrEx>
          <w:tblW w:w="0" w:type="auto"/>
          <w:jc w:val="center"/>
          <w:tblLook w:val="04A0"/>
        </w:tblPrEx>
        <w:trPr>
          <w:jc w:val="center"/>
        </w:trPr>
        <w:tc>
          <w:tcPr>
            <w:tcW w:w="2337" w:type="dxa"/>
          </w:tcPr>
          <w:p w:rsidR="00F358CB" w:rsidRPr="00F358CB" w:rsidP="00F358CB" w14:paraId="33A47482" w14:textId="1C21F88B">
            <w:pPr>
              <w:ind w:right="-108"/>
              <w:jc w:val="center"/>
              <w:textAlignment w:val="baseline"/>
              <w:rPr>
                <w:rFonts w:ascii="Calibri" w:eastAsia="Times New Roman" w:hAnsi="Calibri" w:cs="Calibri"/>
                <w:kern w:val="0"/>
                <w14:ligatures w14:val="none"/>
              </w:rPr>
            </w:pPr>
            <w:r>
              <w:rPr>
                <w:rFonts w:ascii="Calibri" w:eastAsia="Times New Roman" w:hAnsi="Calibri" w:cs="Calibri"/>
                <w:kern w:val="0"/>
                <w14:ligatures w14:val="none"/>
              </w:rPr>
              <w:t>Type of Staff</w:t>
            </w:r>
          </w:p>
        </w:tc>
        <w:tc>
          <w:tcPr>
            <w:tcW w:w="2337" w:type="dxa"/>
          </w:tcPr>
          <w:p w:rsidR="00F358CB" w:rsidRPr="00F358CB" w:rsidP="00F358CB" w14:paraId="4716667C" w14:textId="7AB51FCF">
            <w:pPr>
              <w:ind w:right="-108"/>
              <w:jc w:val="center"/>
              <w:textAlignment w:val="baseline"/>
              <w:rPr>
                <w:rFonts w:ascii="Calibri" w:eastAsia="Times New Roman" w:hAnsi="Calibri" w:cs="Calibri"/>
                <w:kern w:val="0"/>
                <w14:ligatures w14:val="none"/>
              </w:rPr>
            </w:pPr>
            <w:r w:rsidRPr="00F358CB">
              <w:rPr>
                <w:rFonts w:ascii="Calibri" w:eastAsia="Times New Roman" w:hAnsi="Calibri" w:cs="Calibri"/>
                <w:kern w:val="0"/>
                <w14:ligatures w14:val="none"/>
              </w:rPr>
              <w:t>Total Estimated Number of Burden Hours</w:t>
            </w:r>
          </w:p>
        </w:tc>
        <w:tc>
          <w:tcPr>
            <w:tcW w:w="2338" w:type="dxa"/>
          </w:tcPr>
          <w:p w:rsidR="00F358CB" w:rsidRPr="00F358CB" w:rsidP="00F358CB" w14:paraId="416672EC" w14:textId="49B4AB76">
            <w:pPr>
              <w:ind w:right="-108"/>
              <w:jc w:val="center"/>
              <w:textAlignment w:val="baseline"/>
              <w:rPr>
                <w:rFonts w:ascii="Calibri" w:eastAsia="Times New Roman" w:hAnsi="Calibri" w:cs="Calibri"/>
                <w:kern w:val="0"/>
                <w14:ligatures w14:val="none"/>
              </w:rPr>
            </w:pPr>
            <w:r w:rsidRPr="00F358CB">
              <w:rPr>
                <w:rFonts w:ascii="Calibri" w:eastAsia="Times New Roman" w:hAnsi="Calibri" w:cs="Calibri"/>
                <w:kern w:val="0"/>
                <w14:ligatures w14:val="none"/>
              </w:rPr>
              <w:t>Estimated Hourly Cost</w:t>
            </w:r>
          </w:p>
        </w:tc>
        <w:tc>
          <w:tcPr>
            <w:tcW w:w="2338" w:type="dxa"/>
          </w:tcPr>
          <w:p w:rsidR="00F358CB" w:rsidRPr="00F358CB" w:rsidP="00F358CB" w14:paraId="12539357" w14:textId="6A0BED54">
            <w:pPr>
              <w:ind w:right="-116"/>
              <w:jc w:val="center"/>
              <w:textAlignment w:val="baseline"/>
              <w:rPr>
                <w:rFonts w:ascii="Calibri" w:eastAsia="Times New Roman" w:hAnsi="Calibri" w:cs="Calibri"/>
                <w:kern w:val="0"/>
                <w14:ligatures w14:val="none"/>
              </w:rPr>
            </w:pPr>
            <w:r w:rsidRPr="00F358CB">
              <w:rPr>
                <w:rFonts w:ascii="Calibri" w:eastAsia="Times New Roman" w:hAnsi="Calibri" w:cs="Calibri"/>
                <w:kern w:val="0"/>
                <w14:ligatures w14:val="none"/>
              </w:rPr>
              <w:t>Total Costs (Rounded to the Nearest Dollar)</w:t>
            </w:r>
          </w:p>
        </w:tc>
      </w:tr>
      <w:tr w14:paraId="253DA242" w14:textId="77777777" w:rsidTr="338B005A">
        <w:tblPrEx>
          <w:tblW w:w="0" w:type="auto"/>
          <w:jc w:val="center"/>
          <w:tblLook w:val="04A0"/>
        </w:tblPrEx>
        <w:trPr>
          <w:jc w:val="center"/>
        </w:trPr>
        <w:tc>
          <w:tcPr>
            <w:tcW w:w="2337" w:type="dxa"/>
          </w:tcPr>
          <w:p w:rsidR="00F358CB" w:rsidRPr="00F358CB" w:rsidP="00F358CB" w14:paraId="0B325912" w14:textId="049D095E">
            <w:pPr>
              <w:ind w:right="-108"/>
              <w:jc w:val="center"/>
              <w:textAlignment w:val="baseline"/>
              <w:rPr>
                <w:rFonts w:ascii="Calibri" w:eastAsia="Times New Roman" w:hAnsi="Calibri" w:cs="Calibri"/>
                <w:kern w:val="0"/>
                <w14:ligatures w14:val="none"/>
              </w:rPr>
            </w:pPr>
            <w:r w:rsidRPr="00F358CB">
              <w:rPr>
                <w:rFonts w:ascii="Calibri" w:eastAsia="Times New Roman" w:hAnsi="Calibri" w:cs="Calibri"/>
                <w:kern w:val="0"/>
                <w14:ligatures w14:val="none"/>
              </w:rPr>
              <w:t>Professional</w:t>
            </w:r>
          </w:p>
        </w:tc>
        <w:tc>
          <w:tcPr>
            <w:tcW w:w="2337" w:type="dxa"/>
          </w:tcPr>
          <w:p w:rsidR="00F358CB" w:rsidRPr="00F358CB" w:rsidP="338B005A" w14:paraId="258FB4F3" w14:textId="181737CF">
            <w:pPr>
              <w:ind w:right="-108"/>
              <w:jc w:val="center"/>
            </w:pPr>
            <w:r>
              <w:rPr>
                <w:rFonts w:ascii="Calibri" w:eastAsia="Times New Roman" w:hAnsi="Calibri" w:cs="Calibri"/>
              </w:rPr>
              <w:t>12,190</w:t>
            </w:r>
          </w:p>
        </w:tc>
        <w:tc>
          <w:tcPr>
            <w:tcW w:w="2338" w:type="dxa"/>
          </w:tcPr>
          <w:p w:rsidR="00F358CB" w:rsidRPr="00F358CB" w:rsidP="00F358CB" w14:paraId="151D849A" w14:textId="607E2092">
            <w:pPr>
              <w:ind w:right="-108"/>
              <w:jc w:val="center"/>
              <w:textAlignment w:val="baseline"/>
              <w:rPr>
                <w:rFonts w:ascii="Calibri" w:eastAsia="Times New Roman" w:hAnsi="Calibri" w:cs="Calibri"/>
                <w:kern w:val="0"/>
                <w14:ligatures w14:val="none"/>
              </w:rPr>
            </w:pPr>
            <w:r>
              <w:rPr>
                <w:rFonts w:ascii="Calibri" w:eastAsia="Times New Roman" w:hAnsi="Calibri" w:cs="Calibri"/>
                <w:kern w:val="0"/>
                <w14:ligatures w14:val="none"/>
              </w:rPr>
              <w:t>$72.47</w:t>
            </w:r>
          </w:p>
        </w:tc>
        <w:tc>
          <w:tcPr>
            <w:tcW w:w="2338" w:type="dxa"/>
          </w:tcPr>
          <w:p w:rsidR="00F358CB" w:rsidRPr="00F358CB" w:rsidP="338B005A" w14:paraId="2874D5DF" w14:textId="4DC4AC7B">
            <w:pPr>
              <w:ind w:right="-116"/>
              <w:jc w:val="center"/>
              <w:textAlignment w:val="baseline"/>
              <w:rPr>
                <w:rFonts w:eastAsia="Times New Roman"/>
                <w:kern w:val="0"/>
                <w14:ligatures w14:val="none"/>
              </w:rPr>
            </w:pPr>
            <w:r w:rsidRPr="338B005A">
              <w:rPr>
                <w:rFonts w:eastAsia="Times New Roman"/>
              </w:rPr>
              <w:t>$</w:t>
            </w:r>
            <w:r w:rsidR="00320D1A">
              <w:rPr>
                <w:rFonts w:eastAsia="Times New Roman"/>
              </w:rPr>
              <w:t>883,409</w:t>
            </w:r>
          </w:p>
        </w:tc>
      </w:tr>
    </w:tbl>
    <w:p w:rsidR="00F358CB" w:rsidP="00F358CB" w14:paraId="3BB19FB3" w14:textId="77777777">
      <w:pPr>
        <w:spacing w:after="0" w:line="240" w:lineRule="auto"/>
        <w:ind w:left="-870" w:right="-870"/>
        <w:jc w:val="center"/>
        <w:textAlignment w:val="baseline"/>
        <w:rPr>
          <w:rFonts w:ascii="Calibri" w:eastAsia="Times New Roman" w:hAnsi="Calibri" w:cs="Calibri"/>
          <w:b/>
          <w:bCs/>
          <w:kern w:val="0"/>
          <w14:ligatures w14:val="none"/>
        </w:rPr>
      </w:pPr>
    </w:p>
    <w:p w:rsidR="00843E05" w:rsidRPr="00843E05" w:rsidP="00843E05" w14:paraId="0D6C4285" w14:textId="12BB1E8C">
      <w:pPr>
        <w:spacing w:after="0" w:line="240" w:lineRule="auto"/>
        <w:ind w:left="-870" w:right="-870"/>
        <w:textAlignment w:val="baseline"/>
        <w:rPr>
          <w:rFonts w:ascii="Segoe UI" w:eastAsia="Times New Roman" w:hAnsi="Segoe UI" w:cs="Segoe UI"/>
          <w:kern w:val="0"/>
          <w:sz w:val="18"/>
          <w:szCs w:val="18"/>
          <w14:ligatures w14:val="none"/>
        </w:rPr>
      </w:pPr>
      <w:r w:rsidRPr="00843E05">
        <w:rPr>
          <w:rFonts w:ascii="Calibri" w:eastAsia="Times New Roman" w:hAnsi="Calibri" w:cs="Calibri"/>
          <w:b/>
          <w:bCs/>
          <w:i/>
          <w:iCs/>
          <w:kern w:val="0"/>
          <w14:ligatures w14:val="none"/>
        </w:rPr>
        <w:t xml:space="preserve">Please ensure the annual total burden, respondents and response match those entered in IC Data Parts 1 and 2, and the response per respondent matches the Paperwork Burden Statement that must be included </w:t>
      </w:r>
      <w:r w:rsidRPr="00843E05">
        <w:rPr>
          <w:rFonts w:ascii="Calibri" w:eastAsia="Times New Roman" w:hAnsi="Calibri" w:cs="Calibri"/>
          <w:b/>
          <w:bCs/>
          <w:i/>
          <w:iCs/>
          <w:kern w:val="0"/>
          <w14:ligatures w14:val="none"/>
        </w:rPr>
        <w:t>on</w:t>
      </w:r>
      <w:r w:rsidRPr="00843E05">
        <w:rPr>
          <w:rFonts w:ascii="Calibri" w:eastAsia="Times New Roman" w:hAnsi="Calibri" w:cs="Calibri"/>
          <w:b/>
          <w:bCs/>
          <w:i/>
          <w:iCs/>
          <w:kern w:val="0"/>
          <w14:ligatures w14:val="none"/>
        </w:rPr>
        <w:t xml:space="preserve"> all forms.</w:t>
      </w:r>
      <w:r w:rsidRPr="00843E05">
        <w:rPr>
          <w:rFonts w:ascii="Calibri" w:eastAsia="Times New Roman" w:hAnsi="Calibri" w:cs="Calibri"/>
          <w:kern w:val="0"/>
          <w14:ligatures w14:val="none"/>
        </w:rPr>
        <w:t> </w:t>
      </w:r>
    </w:p>
    <w:p w:rsidR="00843E05" w:rsidRPr="00843E05" w:rsidP="00843E05" w14:paraId="0D40B366" w14:textId="77777777">
      <w:pPr>
        <w:spacing w:after="0" w:line="240" w:lineRule="auto"/>
        <w:textAlignment w:val="baseline"/>
        <w:rPr>
          <w:rFonts w:ascii="Segoe UI" w:eastAsia="Times New Roman" w:hAnsi="Segoe UI" w:cs="Segoe UI"/>
          <w:kern w:val="0"/>
          <w:sz w:val="18"/>
          <w:szCs w:val="18"/>
          <w14:ligatures w14:val="none"/>
        </w:rPr>
      </w:pPr>
      <w:r w:rsidRPr="00843E05">
        <w:rPr>
          <w:rFonts w:ascii="Calibri" w:eastAsia="Times New Roman" w:hAnsi="Calibri" w:cs="Calibri"/>
          <w:kern w:val="0"/>
          <w14:ligatures w14:val="none"/>
        </w:rPr>
        <w:t> </w:t>
      </w:r>
    </w:p>
    <w:p w:rsidR="00843E05" w:rsidRPr="00843E05" w:rsidP="00843E05" w14:paraId="4464B5C8" w14:textId="77777777">
      <w:pPr>
        <w:numPr>
          <w:ilvl w:val="0"/>
          <w:numId w:val="28"/>
        </w:numPr>
      </w:pPr>
      <w:r w:rsidRPr="00843E05">
        <w:rPr>
          <w:b/>
          <w:bCs/>
        </w:rPr>
        <w:t>Provide an estimate of the total annual cost burden to respondents or record keepers resulting from the collection of information.  (Do not include the cost of any hour burden shown in Items 12 and 14.)</w:t>
      </w:r>
      <w:r w:rsidRPr="00843E05">
        <w:t> </w:t>
      </w:r>
    </w:p>
    <w:p w:rsidR="00843E05" w:rsidRPr="00843E05" w:rsidP="00843E05" w14:paraId="669E9D29" w14:textId="77777777">
      <w:pPr>
        <w:numPr>
          <w:ilvl w:val="0"/>
          <w:numId w:val="29"/>
        </w:numPr>
        <w:tabs>
          <w:tab w:val="clear" w:pos="720"/>
          <w:tab w:val="num" w:pos="1080"/>
        </w:tabs>
        <w:ind w:left="1080"/>
      </w:pPr>
      <w:r w:rsidRPr="00843E05">
        <w:rPr>
          <w:b/>
          <w:bCs/>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843E05">
        <w:rPr>
          <w:b/>
          <w:bCs/>
        </w:rPr>
        <w:t>take into account</w:t>
      </w:r>
      <w:r w:rsidRPr="00843E05">
        <w:rPr>
          <w:b/>
          <w:bCs/>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843E05">
        <w:rPr>
          <w:b/>
          <w:bCs/>
        </w:rPr>
        <w:t>time period</w:t>
      </w:r>
      <w:r w:rsidRPr="00843E05">
        <w:rPr>
          <w:b/>
          <w:bCs/>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r w:rsidRPr="00843E05">
        <w:t> </w:t>
      </w:r>
    </w:p>
    <w:p w:rsidR="00843E05" w:rsidRPr="00843E05" w:rsidP="00843E05" w14:paraId="6E00101F" w14:textId="77777777">
      <w:pPr>
        <w:numPr>
          <w:ilvl w:val="0"/>
          <w:numId w:val="30"/>
        </w:numPr>
        <w:tabs>
          <w:tab w:val="clear" w:pos="720"/>
          <w:tab w:val="num" w:pos="1080"/>
        </w:tabs>
        <w:ind w:left="1080"/>
      </w:pPr>
      <w:r w:rsidRPr="00843E05">
        <w:rPr>
          <w:b/>
          <w:bCs/>
        </w:rPr>
        <w:t xml:space="preserve">If cost estimates are expected to vary widely, agencies should present ranges of cost burdens and explain the reasons for the variance.  The cost of </w:t>
      </w:r>
      <w:r w:rsidRPr="00843E05">
        <w:rPr>
          <w:b/>
          <w:bCs/>
        </w:rPr>
        <w:t>contracting out</w:t>
      </w:r>
      <w:r w:rsidRPr="00843E05">
        <w:rPr>
          <w:b/>
          <w:bCs/>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w:t>
      </w:r>
      <w:r w:rsidRPr="00843E05">
        <w:rPr>
          <w:b/>
          <w:bCs/>
        </w:rPr>
        <w:t>or regulatory impact analysis associated with the rulemaking containing the information collection, as appropriate.</w:t>
      </w:r>
      <w:r w:rsidRPr="00843E05">
        <w:t> </w:t>
      </w:r>
    </w:p>
    <w:p w:rsidR="00843E05" w:rsidRPr="00843E05" w:rsidP="00843E05" w14:paraId="13777A7D" w14:textId="77777777">
      <w:pPr>
        <w:numPr>
          <w:ilvl w:val="0"/>
          <w:numId w:val="31"/>
        </w:numPr>
        <w:tabs>
          <w:tab w:val="clear" w:pos="720"/>
          <w:tab w:val="num" w:pos="1080"/>
        </w:tabs>
        <w:ind w:left="1080"/>
      </w:pPr>
      <w:r w:rsidRPr="00843E05">
        <w:rPr>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Pr="00843E05">
        <w:t> </w:t>
      </w:r>
    </w:p>
    <w:p w:rsidR="00843E05" w:rsidRPr="00843E05" w:rsidP="00843E05" w14:paraId="69A2BF63" w14:textId="550F972A">
      <w:pPr>
        <w:ind w:left="360"/>
      </w:pPr>
      <w:r w:rsidRPr="00843E05">
        <w:rPr>
          <w:b/>
          <w:bCs/>
        </w:rPr>
        <w:t>Total Annualized Capital/Startup Cost</w:t>
      </w:r>
      <w:r w:rsidRPr="00843E05">
        <w:tab/>
      </w:r>
      <w:r w:rsidRPr="00843E05">
        <w:rPr>
          <w:b/>
          <w:bCs/>
        </w:rPr>
        <w:t>:</w:t>
      </w:r>
      <w:r w:rsidRPr="00843E05">
        <w:t> </w:t>
      </w:r>
      <w:r w:rsidR="00EB5FF5">
        <w:t>$0</w:t>
      </w:r>
    </w:p>
    <w:p w:rsidR="00843E05" w:rsidRPr="00843E05" w:rsidP="00843E05" w14:paraId="239518BA" w14:textId="60C7FC34">
      <w:pPr>
        <w:ind w:left="360"/>
      </w:pPr>
      <w:r w:rsidRPr="00843E05">
        <w:rPr>
          <w:b/>
          <w:bCs/>
        </w:rPr>
        <w:t>Total Annual Costs (O&amp;M)</w:t>
      </w:r>
      <w:r w:rsidRPr="00843E05">
        <w:tab/>
      </w:r>
      <w:r w:rsidRPr="00843E05">
        <w:tab/>
      </w:r>
      <w:r w:rsidRPr="00843E05">
        <w:tab/>
        <w:t>:</w:t>
      </w:r>
      <w:r w:rsidRPr="00EB5FF5" w:rsidR="00EB5FF5">
        <w:t xml:space="preserve"> $0</w:t>
      </w:r>
    </w:p>
    <w:p w:rsidR="00843E05" w:rsidP="00843E05" w14:paraId="29E2504B" w14:textId="016E91B3">
      <w:pPr>
        <w:ind w:left="360"/>
      </w:pPr>
      <w:r w:rsidRPr="00843E05">
        <w:rPr>
          <w:b/>
          <w:bCs/>
        </w:rPr>
        <w:t>Total Annualized Costs Requested</w:t>
      </w:r>
      <w:r w:rsidRPr="00843E05">
        <w:tab/>
      </w:r>
      <w:r w:rsidRPr="00843E05">
        <w:tab/>
      </w:r>
      <w:r w:rsidRPr="00843E05">
        <w:rPr>
          <w:b/>
          <w:bCs/>
        </w:rPr>
        <w:t>:</w:t>
      </w:r>
      <w:r w:rsidRPr="00843E05">
        <w:t> </w:t>
      </w:r>
      <w:r w:rsidR="00EB5FF5">
        <w:t>$0</w:t>
      </w:r>
      <w:r w:rsidR="00EB5FF5">
        <w:br/>
      </w:r>
    </w:p>
    <w:p w:rsidR="00EB5FF5" w:rsidRPr="00843E05" w:rsidP="00843E05" w14:paraId="481F97CF" w14:textId="72FC7531">
      <w:pPr>
        <w:ind w:left="360"/>
      </w:pPr>
      <w:r>
        <w:t xml:space="preserve">The total for the capital and start-up cost components for this information collection is zero.  The information collection will not require the purchase of any capital equipment nor create any start-up costs.  </w:t>
      </w:r>
      <w:r>
        <w:t>Computer</w:t>
      </w:r>
      <w:r>
        <w:t xml:space="preserve"> and software used to complete this information collection are part of the respondents’ customary and usual business or private </w:t>
      </w:r>
      <w:r>
        <w:t>practices, and</w:t>
      </w:r>
      <w:r>
        <w:t xml:space="preserve"> therefore </w:t>
      </w:r>
      <w:r>
        <w:t>is</w:t>
      </w:r>
      <w:r>
        <w:t xml:space="preserve"> not included in this estimate.  The total operation and maintenance and purchase of service components</w:t>
      </w:r>
      <w:r w:rsidR="009F3783">
        <w:t xml:space="preserve"> for this collection is also zero.  The information collection will not create costs associated with generating, maintaining, and disclosing or providing the information that is not already identified in item 12 of this supporting statement.</w:t>
      </w:r>
    </w:p>
    <w:p w:rsidR="00843E05" w:rsidP="00843E05" w14:paraId="377006CB" w14:textId="73293CCD">
      <w:pPr>
        <w:numPr>
          <w:ilvl w:val="0"/>
          <w:numId w:val="32"/>
        </w:numPr>
      </w:pPr>
      <w:r w:rsidRPr="00843E05">
        <w:rPr>
          <w:b/>
          <w:bCs/>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843E05">
        <w:rPr>
          <w:b/>
          <w:bCs/>
        </w:rPr>
        <w:t>expense</w:t>
      </w:r>
      <w:r w:rsidRPr="00843E05">
        <w:rPr>
          <w:b/>
          <w:bCs/>
        </w:rPr>
        <w:t xml:space="preserve"> that would not have been incurred without this collection of information.  Agencies also may aggregate cost estimates from Items 12, 13, and 14 in a single table.</w:t>
      </w:r>
      <w:r w:rsidRPr="00843E05">
        <w:t> </w:t>
      </w:r>
      <w:r w:rsidR="0091137C">
        <w:br/>
      </w:r>
    </w:p>
    <w:p w:rsidR="0091137C" w:rsidRPr="00843E05" w:rsidP="0091137C" w14:paraId="14F9B592" w14:textId="77777777">
      <w:pPr>
        <w:ind w:left="720"/>
      </w:pPr>
    </w:p>
    <w:tbl>
      <w:tblPr>
        <w:tblW w:w="9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70"/>
        <w:gridCol w:w="1305"/>
        <w:gridCol w:w="1290"/>
        <w:gridCol w:w="1245"/>
        <w:gridCol w:w="1290"/>
        <w:gridCol w:w="1455"/>
      </w:tblGrid>
      <w:tr w14:paraId="02FC250E" w14:textId="77777777" w:rsidTr="00273B70">
        <w:tblPrEx>
          <w:tblW w:w="9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2670" w:type="dxa"/>
            <w:tcBorders>
              <w:top w:val="single" w:sz="6" w:space="0" w:color="auto"/>
              <w:left w:val="single" w:sz="6" w:space="0" w:color="auto"/>
              <w:bottom w:val="single" w:sz="6" w:space="0" w:color="auto"/>
              <w:right w:val="single" w:sz="6" w:space="0" w:color="auto"/>
            </w:tcBorders>
            <w:vAlign w:val="center"/>
            <w:hideMark/>
          </w:tcPr>
          <w:p w:rsidR="00843E05" w:rsidRPr="00843E05" w:rsidP="008F0BA2" w14:paraId="5246A695" w14:textId="05C71B3C">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Number of Employees</w:t>
            </w:r>
          </w:p>
        </w:tc>
        <w:tc>
          <w:tcPr>
            <w:tcW w:w="1305" w:type="dxa"/>
            <w:tcBorders>
              <w:top w:val="single" w:sz="6" w:space="0" w:color="auto"/>
              <w:left w:val="nil"/>
              <w:bottom w:val="single" w:sz="6" w:space="0" w:color="auto"/>
              <w:right w:val="single" w:sz="6" w:space="0" w:color="auto"/>
            </w:tcBorders>
            <w:vAlign w:val="center"/>
            <w:hideMark/>
          </w:tcPr>
          <w:p w:rsidR="00843E05" w:rsidRPr="00843E05" w:rsidP="008F0BA2" w14:paraId="7B718136" w14:textId="426C8897">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Employee Grade</w:t>
            </w:r>
          </w:p>
        </w:tc>
        <w:tc>
          <w:tcPr>
            <w:tcW w:w="1290" w:type="dxa"/>
            <w:tcBorders>
              <w:top w:val="single" w:sz="6" w:space="0" w:color="auto"/>
              <w:left w:val="nil"/>
              <w:bottom w:val="single" w:sz="6" w:space="0" w:color="auto"/>
              <w:right w:val="single" w:sz="6" w:space="0" w:color="auto"/>
            </w:tcBorders>
            <w:vAlign w:val="center"/>
            <w:hideMark/>
          </w:tcPr>
          <w:p w:rsidR="00843E05" w:rsidRPr="00843E05" w:rsidP="008F0BA2" w14:paraId="4C76E1B6" w14:textId="58C0E0BF">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 xml:space="preserve">Estimated </w:t>
            </w:r>
            <w:r w:rsidR="0091137C">
              <w:rPr>
                <w:rFonts w:ascii="Calibri" w:eastAsia="Times New Roman" w:hAnsi="Calibri" w:cs="Calibri"/>
                <w:color w:val="000000"/>
                <w:kern w:val="0"/>
                <w14:ligatures w14:val="none"/>
              </w:rPr>
              <w:t>N</w:t>
            </w:r>
            <w:r w:rsidRPr="00843E05">
              <w:rPr>
                <w:rFonts w:ascii="Calibri" w:eastAsia="Times New Roman" w:hAnsi="Calibri" w:cs="Calibri"/>
                <w:color w:val="000000"/>
                <w:kern w:val="0"/>
                <w14:ligatures w14:val="none"/>
              </w:rPr>
              <w:t xml:space="preserve">umber of </w:t>
            </w:r>
            <w:r w:rsidR="00A53330">
              <w:rPr>
                <w:rFonts w:ascii="Calibri" w:eastAsia="Times New Roman" w:hAnsi="Calibri" w:cs="Calibri"/>
                <w:color w:val="000000"/>
                <w:kern w:val="0"/>
                <w14:ligatures w14:val="none"/>
              </w:rPr>
              <w:t>H</w:t>
            </w:r>
            <w:r w:rsidRPr="00843E05">
              <w:rPr>
                <w:rFonts w:ascii="Calibri" w:eastAsia="Times New Roman" w:hAnsi="Calibri" w:cs="Calibri"/>
                <w:color w:val="000000"/>
                <w:kern w:val="0"/>
                <w14:ligatures w14:val="none"/>
              </w:rPr>
              <w:t xml:space="preserve">ours per </w:t>
            </w:r>
            <w:r w:rsidR="00A53330">
              <w:rPr>
                <w:rFonts w:ascii="Calibri" w:eastAsia="Times New Roman" w:hAnsi="Calibri" w:cs="Calibri"/>
                <w:color w:val="000000"/>
                <w:kern w:val="0"/>
                <w14:ligatures w14:val="none"/>
              </w:rPr>
              <w:t>E</w:t>
            </w:r>
            <w:r w:rsidRPr="00843E05">
              <w:rPr>
                <w:rFonts w:ascii="Calibri" w:eastAsia="Times New Roman" w:hAnsi="Calibri" w:cs="Calibri"/>
                <w:color w:val="000000"/>
                <w:kern w:val="0"/>
                <w14:ligatures w14:val="none"/>
              </w:rPr>
              <w:t>mployee</w:t>
            </w:r>
          </w:p>
        </w:tc>
        <w:tc>
          <w:tcPr>
            <w:tcW w:w="1245" w:type="dxa"/>
            <w:tcBorders>
              <w:top w:val="single" w:sz="6" w:space="0" w:color="auto"/>
              <w:left w:val="nil"/>
              <w:bottom w:val="single" w:sz="6" w:space="0" w:color="auto"/>
              <w:right w:val="single" w:sz="6" w:space="0" w:color="auto"/>
            </w:tcBorders>
            <w:vAlign w:val="center"/>
            <w:hideMark/>
          </w:tcPr>
          <w:p w:rsidR="00843E05" w:rsidRPr="00843E05" w:rsidP="008F0BA2" w14:paraId="07BDEEF1" w14:textId="7A7ADBB2">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 xml:space="preserve">Total </w:t>
            </w:r>
            <w:r w:rsidR="0091137C">
              <w:rPr>
                <w:rFonts w:ascii="Calibri" w:eastAsia="Times New Roman" w:hAnsi="Calibri" w:cs="Calibri"/>
                <w:color w:val="000000"/>
                <w:kern w:val="0"/>
                <w14:ligatures w14:val="none"/>
              </w:rPr>
              <w:t>N</w:t>
            </w:r>
            <w:r w:rsidRPr="00843E05">
              <w:rPr>
                <w:rFonts w:ascii="Calibri" w:eastAsia="Times New Roman" w:hAnsi="Calibri" w:cs="Calibri"/>
                <w:color w:val="000000"/>
                <w:kern w:val="0"/>
                <w14:ligatures w14:val="none"/>
              </w:rPr>
              <w:t xml:space="preserve">umber of </w:t>
            </w:r>
            <w:r w:rsidR="00A53330">
              <w:rPr>
                <w:rFonts w:ascii="Calibri" w:eastAsia="Times New Roman" w:hAnsi="Calibri" w:cs="Calibri"/>
                <w:color w:val="000000"/>
                <w:kern w:val="0"/>
                <w14:ligatures w14:val="none"/>
              </w:rPr>
              <w:t>E</w:t>
            </w:r>
            <w:r w:rsidRPr="00843E05">
              <w:rPr>
                <w:rFonts w:ascii="Calibri" w:eastAsia="Times New Roman" w:hAnsi="Calibri" w:cs="Calibri"/>
                <w:color w:val="000000"/>
                <w:kern w:val="0"/>
                <w14:ligatures w14:val="none"/>
              </w:rPr>
              <w:t xml:space="preserve">stimated </w:t>
            </w:r>
            <w:r w:rsidR="00A53330">
              <w:rPr>
                <w:rFonts w:ascii="Calibri" w:eastAsia="Times New Roman" w:hAnsi="Calibri" w:cs="Calibri"/>
                <w:color w:val="000000"/>
                <w:kern w:val="0"/>
                <w14:ligatures w14:val="none"/>
              </w:rPr>
              <w:t>H</w:t>
            </w:r>
            <w:r w:rsidRPr="00843E05">
              <w:rPr>
                <w:rFonts w:ascii="Calibri" w:eastAsia="Times New Roman" w:hAnsi="Calibri" w:cs="Calibri"/>
                <w:color w:val="000000"/>
                <w:kern w:val="0"/>
                <w14:ligatures w14:val="none"/>
              </w:rPr>
              <w:t>ours</w:t>
            </w:r>
          </w:p>
        </w:tc>
        <w:tc>
          <w:tcPr>
            <w:tcW w:w="1290" w:type="dxa"/>
            <w:tcBorders>
              <w:top w:val="single" w:sz="6" w:space="0" w:color="auto"/>
              <w:left w:val="nil"/>
              <w:bottom w:val="single" w:sz="6" w:space="0" w:color="auto"/>
              <w:right w:val="single" w:sz="6" w:space="0" w:color="auto"/>
            </w:tcBorders>
            <w:vAlign w:val="center"/>
            <w:hideMark/>
          </w:tcPr>
          <w:p w:rsidR="00843E05" w:rsidRPr="00843E05" w:rsidP="008F0BA2" w14:paraId="1C8455A4" w14:textId="564B3379">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 xml:space="preserve">Estimated </w:t>
            </w:r>
            <w:r w:rsidR="0091137C">
              <w:rPr>
                <w:rFonts w:ascii="Calibri" w:eastAsia="Times New Roman" w:hAnsi="Calibri" w:cs="Calibri"/>
                <w:color w:val="000000"/>
                <w:kern w:val="0"/>
                <w14:ligatures w14:val="none"/>
              </w:rPr>
              <w:t>H</w:t>
            </w:r>
            <w:r w:rsidRPr="00843E05">
              <w:rPr>
                <w:rFonts w:ascii="Calibri" w:eastAsia="Times New Roman" w:hAnsi="Calibri" w:cs="Calibri"/>
                <w:color w:val="000000"/>
                <w:kern w:val="0"/>
                <w14:ligatures w14:val="none"/>
              </w:rPr>
              <w:t>ourly Cost</w:t>
            </w:r>
          </w:p>
        </w:tc>
        <w:tc>
          <w:tcPr>
            <w:tcW w:w="1455" w:type="dxa"/>
            <w:tcBorders>
              <w:top w:val="single" w:sz="6" w:space="0" w:color="auto"/>
              <w:left w:val="nil"/>
              <w:bottom w:val="single" w:sz="6" w:space="0" w:color="auto"/>
              <w:right w:val="single" w:sz="6" w:space="0" w:color="auto"/>
            </w:tcBorders>
            <w:vAlign w:val="center"/>
            <w:hideMark/>
          </w:tcPr>
          <w:p w:rsidR="00843E05" w:rsidRPr="00843E05" w:rsidP="008F0BA2" w14:paraId="1BD63000" w14:textId="1E0293E2">
            <w:pPr>
              <w:spacing w:after="0" w:line="240" w:lineRule="auto"/>
              <w:jc w:val="center"/>
              <w:textAlignment w:val="baseline"/>
              <w:rPr>
                <w:rFonts w:ascii="Segoe UI" w:eastAsia="Times New Roman" w:hAnsi="Segoe UI" w:cs="Segoe UI"/>
                <w:kern w:val="0"/>
                <w:sz w:val="18"/>
                <w:szCs w:val="18"/>
                <w14:ligatures w14:val="none"/>
              </w:rPr>
            </w:pPr>
            <w:r w:rsidRPr="00843E05">
              <w:rPr>
                <w:rFonts w:ascii="Calibri" w:eastAsia="Times New Roman" w:hAnsi="Calibri" w:cs="Calibri"/>
                <w:color w:val="000000"/>
                <w:kern w:val="0"/>
                <w14:ligatures w14:val="none"/>
              </w:rPr>
              <w:t>Total Annualized Costs</w:t>
            </w:r>
          </w:p>
        </w:tc>
      </w:tr>
      <w:tr w14:paraId="49BD3215" w14:textId="77777777" w:rsidTr="00273B70">
        <w:tblPrEx>
          <w:tblW w:w="9255" w:type="dxa"/>
          <w:tblCellMar>
            <w:left w:w="0" w:type="dxa"/>
            <w:right w:w="0" w:type="dxa"/>
          </w:tblCellMar>
          <w:tblLook w:val="04A0"/>
        </w:tblPrEx>
        <w:trPr>
          <w:trHeight w:val="300"/>
        </w:trPr>
        <w:tc>
          <w:tcPr>
            <w:tcW w:w="2670" w:type="dxa"/>
            <w:tcBorders>
              <w:top w:val="nil"/>
              <w:left w:val="single" w:sz="6" w:space="0" w:color="auto"/>
              <w:bottom w:val="single" w:sz="6" w:space="0" w:color="auto"/>
              <w:right w:val="single" w:sz="6" w:space="0" w:color="auto"/>
            </w:tcBorders>
            <w:vAlign w:val="center"/>
            <w:hideMark/>
          </w:tcPr>
          <w:p w:rsidR="00843E05" w:rsidRPr="00843E05" w:rsidP="00843E05" w14:paraId="1E262E47" w14:textId="0D19D1F0">
            <w:pPr>
              <w:spacing w:after="0" w:line="240" w:lineRule="auto"/>
              <w:jc w:val="center"/>
              <w:textAlignment w:val="baseline"/>
              <w:rPr>
                <w:rFonts w:eastAsia="Times New Roman" w:cstheme="minorHAnsi"/>
                <w:kern w:val="0"/>
                <w14:ligatures w14:val="none"/>
              </w:rPr>
            </w:pPr>
            <w:r>
              <w:rPr>
                <w:rFonts w:eastAsia="Times New Roman" w:cstheme="minorHAnsi"/>
                <w:color w:val="000000"/>
                <w:kern w:val="0"/>
                <w14:ligatures w14:val="none"/>
              </w:rPr>
              <w:t>2</w:t>
            </w:r>
            <w:r w:rsidRPr="00843E05">
              <w:rPr>
                <w:rFonts w:eastAsia="Times New Roman" w:cstheme="minorHAnsi"/>
                <w:color w:val="000000"/>
                <w:kern w:val="0"/>
                <w14:ligatures w14:val="none"/>
              </w:rPr>
              <w:t> </w:t>
            </w:r>
          </w:p>
        </w:tc>
        <w:tc>
          <w:tcPr>
            <w:tcW w:w="1305" w:type="dxa"/>
            <w:tcBorders>
              <w:top w:val="nil"/>
              <w:left w:val="nil"/>
              <w:bottom w:val="single" w:sz="6" w:space="0" w:color="auto"/>
              <w:right w:val="single" w:sz="6" w:space="0" w:color="auto"/>
            </w:tcBorders>
            <w:vAlign w:val="center"/>
            <w:hideMark/>
          </w:tcPr>
          <w:p w:rsidR="00843E05" w:rsidRPr="00843E05" w:rsidP="00843E05" w14:paraId="39CA295F" w14:textId="77777777">
            <w:pPr>
              <w:spacing w:after="0" w:line="240" w:lineRule="auto"/>
              <w:textAlignment w:val="baseline"/>
              <w:rPr>
                <w:rFonts w:eastAsia="Times New Roman" w:cstheme="minorHAnsi"/>
                <w:kern w:val="0"/>
                <w14:ligatures w14:val="none"/>
              </w:rPr>
            </w:pPr>
            <w:r w:rsidRPr="00843E05">
              <w:rPr>
                <w:rFonts w:eastAsia="Times New Roman" w:cstheme="minorHAnsi"/>
                <w:color w:val="000000"/>
                <w:kern w:val="0"/>
                <w14:ligatures w14:val="none"/>
              </w:rPr>
              <w:t>GS-14 </w:t>
            </w:r>
          </w:p>
        </w:tc>
        <w:tc>
          <w:tcPr>
            <w:tcW w:w="1290" w:type="dxa"/>
            <w:tcBorders>
              <w:top w:val="nil"/>
              <w:left w:val="nil"/>
              <w:bottom w:val="single" w:sz="6" w:space="0" w:color="auto"/>
              <w:right w:val="single" w:sz="6" w:space="0" w:color="auto"/>
            </w:tcBorders>
            <w:vAlign w:val="center"/>
          </w:tcPr>
          <w:p w:rsidR="00843E05" w:rsidRPr="00843E05" w:rsidP="00510456" w14:paraId="1BA1E83F" w14:textId="3297A334">
            <w:pPr>
              <w:spacing w:after="0" w:line="240" w:lineRule="auto"/>
              <w:ind w:right="42"/>
              <w:jc w:val="right"/>
              <w:textAlignment w:val="baseline"/>
              <w:rPr>
                <w:rFonts w:eastAsia="Times New Roman" w:cstheme="minorHAnsi"/>
                <w:kern w:val="0"/>
                <w14:ligatures w14:val="none"/>
              </w:rPr>
            </w:pPr>
            <w:r>
              <w:rPr>
                <w:rFonts w:eastAsia="Times New Roman" w:cstheme="minorHAnsi"/>
                <w:kern w:val="0"/>
                <w14:ligatures w14:val="none"/>
              </w:rPr>
              <w:t>200</w:t>
            </w:r>
          </w:p>
        </w:tc>
        <w:tc>
          <w:tcPr>
            <w:tcW w:w="1245" w:type="dxa"/>
            <w:tcBorders>
              <w:top w:val="nil"/>
              <w:left w:val="nil"/>
              <w:bottom w:val="single" w:sz="6" w:space="0" w:color="auto"/>
              <w:right w:val="single" w:sz="6" w:space="0" w:color="auto"/>
            </w:tcBorders>
            <w:vAlign w:val="center"/>
          </w:tcPr>
          <w:p w:rsidR="00843E05" w:rsidRPr="00843E05" w:rsidP="00510456" w14:paraId="2D577E59" w14:textId="7E5CD283">
            <w:pPr>
              <w:spacing w:after="0" w:line="240" w:lineRule="auto"/>
              <w:ind w:right="42"/>
              <w:jc w:val="right"/>
              <w:textAlignment w:val="baseline"/>
              <w:rPr>
                <w:rFonts w:eastAsia="Times New Roman" w:cstheme="minorHAnsi"/>
                <w:kern w:val="0"/>
                <w14:ligatures w14:val="none"/>
              </w:rPr>
            </w:pPr>
            <w:r>
              <w:rPr>
                <w:rFonts w:eastAsia="Times New Roman" w:cstheme="minorHAnsi"/>
                <w:kern w:val="0"/>
                <w14:ligatures w14:val="none"/>
              </w:rPr>
              <w:t>400</w:t>
            </w:r>
          </w:p>
        </w:tc>
        <w:tc>
          <w:tcPr>
            <w:tcW w:w="1290" w:type="dxa"/>
            <w:tcBorders>
              <w:top w:val="nil"/>
              <w:left w:val="nil"/>
              <w:bottom w:val="single" w:sz="6" w:space="0" w:color="auto"/>
              <w:right w:val="single" w:sz="6" w:space="0" w:color="auto"/>
            </w:tcBorders>
            <w:vAlign w:val="center"/>
            <w:hideMark/>
          </w:tcPr>
          <w:p w:rsidR="00843E05" w:rsidRPr="00843E05" w:rsidP="00843E05" w14:paraId="1096DE6C" w14:textId="77777777">
            <w:pPr>
              <w:spacing w:after="0" w:line="240" w:lineRule="auto"/>
              <w:jc w:val="right"/>
              <w:textAlignment w:val="baseline"/>
              <w:rPr>
                <w:rFonts w:eastAsia="Times New Roman" w:cstheme="minorHAnsi"/>
                <w:kern w:val="0"/>
                <w14:ligatures w14:val="none"/>
              </w:rPr>
            </w:pPr>
            <w:r w:rsidRPr="00843E05">
              <w:rPr>
                <w:rFonts w:eastAsia="Times New Roman" w:cstheme="minorHAnsi"/>
                <w:color w:val="000000"/>
                <w:kern w:val="0"/>
                <w14:ligatures w14:val="none"/>
              </w:rPr>
              <w:t>$75.70  </w:t>
            </w:r>
          </w:p>
        </w:tc>
        <w:tc>
          <w:tcPr>
            <w:tcW w:w="1455" w:type="dxa"/>
            <w:tcBorders>
              <w:top w:val="nil"/>
              <w:left w:val="nil"/>
              <w:bottom w:val="single" w:sz="6" w:space="0" w:color="auto"/>
              <w:right w:val="single" w:sz="6" w:space="0" w:color="auto"/>
            </w:tcBorders>
            <w:vAlign w:val="center"/>
          </w:tcPr>
          <w:p w:rsidR="00843E05" w:rsidRPr="00843E05" w:rsidP="00510456" w14:paraId="06DF90A8" w14:textId="4A04D683">
            <w:pPr>
              <w:spacing w:after="0" w:line="240" w:lineRule="auto"/>
              <w:ind w:right="79"/>
              <w:jc w:val="right"/>
              <w:textAlignment w:val="baseline"/>
              <w:rPr>
                <w:rFonts w:eastAsia="Times New Roman" w:cstheme="minorHAnsi"/>
                <w:kern w:val="0"/>
                <w14:ligatures w14:val="none"/>
              </w:rPr>
            </w:pPr>
            <w:r w:rsidRPr="00096259">
              <w:rPr>
                <w:rFonts w:eastAsia="Times New Roman" w:cstheme="minorHAnsi"/>
                <w:kern w:val="0"/>
                <w14:ligatures w14:val="none"/>
              </w:rPr>
              <w:t>$</w:t>
            </w:r>
            <w:r w:rsidR="00CB1866">
              <w:rPr>
                <w:rFonts w:eastAsia="Times New Roman" w:cstheme="minorHAnsi"/>
                <w:kern w:val="0"/>
                <w14:ligatures w14:val="none"/>
              </w:rPr>
              <w:t>30,280</w:t>
            </w:r>
          </w:p>
        </w:tc>
      </w:tr>
      <w:tr w14:paraId="6D87D7D8" w14:textId="77777777" w:rsidTr="00A02A6A">
        <w:tblPrEx>
          <w:tblW w:w="9255" w:type="dxa"/>
          <w:tblCellMar>
            <w:left w:w="0" w:type="dxa"/>
            <w:right w:w="0" w:type="dxa"/>
          </w:tblCellMar>
          <w:tblLook w:val="04A0"/>
        </w:tblPrEx>
        <w:trPr>
          <w:trHeight w:val="300"/>
        </w:trPr>
        <w:tc>
          <w:tcPr>
            <w:tcW w:w="2670" w:type="dxa"/>
            <w:tcBorders>
              <w:top w:val="nil"/>
              <w:left w:val="single" w:sz="6" w:space="0" w:color="auto"/>
              <w:bottom w:val="single" w:sz="6" w:space="0" w:color="auto"/>
              <w:right w:val="single" w:sz="6" w:space="0" w:color="auto"/>
            </w:tcBorders>
            <w:vAlign w:val="center"/>
          </w:tcPr>
          <w:p w:rsidR="00843E05" w:rsidRPr="00843E05" w:rsidP="00843E05" w14:paraId="7A371A2E" w14:textId="36A64139">
            <w:pPr>
              <w:spacing w:after="0" w:line="240" w:lineRule="auto"/>
              <w:jc w:val="center"/>
              <w:textAlignment w:val="baseline"/>
              <w:rPr>
                <w:rFonts w:eastAsia="Times New Roman" w:cstheme="minorHAnsi"/>
                <w:kern w:val="0"/>
                <w14:ligatures w14:val="none"/>
              </w:rPr>
            </w:pPr>
          </w:p>
        </w:tc>
        <w:tc>
          <w:tcPr>
            <w:tcW w:w="1305" w:type="dxa"/>
            <w:tcBorders>
              <w:top w:val="nil"/>
              <w:left w:val="nil"/>
              <w:bottom w:val="single" w:sz="6" w:space="0" w:color="auto"/>
              <w:right w:val="single" w:sz="6" w:space="0" w:color="auto"/>
            </w:tcBorders>
            <w:vAlign w:val="center"/>
          </w:tcPr>
          <w:p w:rsidR="00843E05" w:rsidRPr="00843E05" w:rsidP="00843E05" w14:paraId="2EF44CA6" w14:textId="2320F52F">
            <w:pPr>
              <w:spacing w:after="0" w:line="240" w:lineRule="auto"/>
              <w:textAlignment w:val="baseline"/>
              <w:rPr>
                <w:rFonts w:eastAsia="Times New Roman" w:cstheme="minorHAnsi"/>
                <w:kern w:val="0"/>
                <w14:ligatures w14:val="none"/>
              </w:rPr>
            </w:pPr>
          </w:p>
        </w:tc>
        <w:tc>
          <w:tcPr>
            <w:tcW w:w="1290" w:type="dxa"/>
            <w:tcBorders>
              <w:top w:val="nil"/>
              <w:left w:val="nil"/>
              <w:bottom w:val="single" w:sz="6" w:space="0" w:color="auto"/>
              <w:right w:val="single" w:sz="6" w:space="0" w:color="auto"/>
            </w:tcBorders>
            <w:vAlign w:val="center"/>
          </w:tcPr>
          <w:p w:rsidR="00843E05" w:rsidRPr="00843E05" w:rsidP="00510456" w14:paraId="6D2D528B" w14:textId="426ADEDF">
            <w:pPr>
              <w:spacing w:after="0" w:line="240" w:lineRule="auto"/>
              <w:ind w:right="42"/>
              <w:jc w:val="right"/>
              <w:textAlignment w:val="baseline"/>
              <w:rPr>
                <w:rFonts w:eastAsia="Times New Roman" w:cstheme="minorHAnsi"/>
                <w:kern w:val="0"/>
                <w14:ligatures w14:val="none"/>
              </w:rPr>
            </w:pPr>
          </w:p>
        </w:tc>
        <w:tc>
          <w:tcPr>
            <w:tcW w:w="1245" w:type="dxa"/>
            <w:tcBorders>
              <w:top w:val="nil"/>
              <w:left w:val="nil"/>
              <w:bottom w:val="single" w:sz="6" w:space="0" w:color="auto"/>
              <w:right w:val="single" w:sz="6" w:space="0" w:color="auto"/>
            </w:tcBorders>
            <w:vAlign w:val="center"/>
          </w:tcPr>
          <w:p w:rsidR="00843E05" w:rsidRPr="00843E05" w:rsidP="00510456" w14:paraId="7EC4A151" w14:textId="18F4DFD7">
            <w:pPr>
              <w:spacing w:after="0" w:line="240" w:lineRule="auto"/>
              <w:ind w:right="42"/>
              <w:jc w:val="right"/>
              <w:textAlignment w:val="baseline"/>
              <w:rPr>
                <w:rFonts w:eastAsia="Times New Roman" w:cstheme="minorHAnsi"/>
                <w:kern w:val="0"/>
                <w14:ligatures w14:val="none"/>
              </w:rPr>
            </w:pPr>
          </w:p>
        </w:tc>
        <w:tc>
          <w:tcPr>
            <w:tcW w:w="1290" w:type="dxa"/>
            <w:tcBorders>
              <w:top w:val="nil"/>
              <w:left w:val="nil"/>
              <w:bottom w:val="single" w:sz="6" w:space="0" w:color="auto"/>
              <w:right w:val="single" w:sz="6" w:space="0" w:color="auto"/>
            </w:tcBorders>
            <w:vAlign w:val="center"/>
          </w:tcPr>
          <w:p w:rsidR="00843E05" w:rsidRPr="00843E05" w:rsidP="00843E05" w14:paraId="586DA652" w14:textId="053BF1E2">
            <w:pPr>
              <w:spacing w:after="0" w:line="240" w:lineRule="auto"/>
              <w:jc w:val="right"/>
              <w:textAlignment w:val="baseline"/>
              <w:rPr>
                <w:rFonts w:eastAsia="Times New Roman" w:cstheme="minorHAnsi"/>
                <w:kern w:val="0"/>
                <w14:ligatures w14:val="none"/>
              </w:rPr>
            </w:pPr>
          </w:p>
        </w:tc>
        <w:tc>
          <w:tcPr>
            <w:tcW w:w="1455" w:type="dxa"/>
            <w:tcBorders>
              <w:top w:val="nil"/>
              <w:left w:val="nil"/>
              <w:bottom w:val="single" w:sz="6" w:space="0" w:color="auto"/>
              <w:right w:val="single" w:sz="6" w:space="0" w:color="auto"/>
            </w:tcBorders>
            <w:vAlign w:val="center"/>
          </w:tcPr>
          <w:p w:rsidR="00843E05" w:rsidRPr="00843E05" w:rsidP="00510456" w14:paraId="01928869" w14:textId="0F4C140E">
            <w:pPr>
              <w:spacing w:after="0" w:line="240" w:lineRule="auto"/>
              <w:ind w:right="79"/>
              <w:jc w:val="right"/>
              <w:textAlignment w:val="baseline"/>
              <w:rPr>
                <w:rFonts w:eastAsia="Times New Roman" w:cstheme="minorHAnsi"/>
                <w:kern w:val="0"/>
                <w14:ligatures w14:val="none"/>
              </w:rPr>
            </w:pPr>
          </w:p>
        </w:tc>
      </w:tr>
      <w:tr w14:paraId="5B848A1C" w14:textId="77777777" w:rsidTr="008B2706">
        <w:tblPrEx>
          <w:tblW w:w="9255" w:type="dxa"/>
          <w:tblCellMar>
            <w:left w:w="0" w:type="dxa"/>
            <w:right w:w="0" w:type="dxa"/>
          </w:tblCellMar>
          <w:tblLook w:val="04A0"/>
        </w:tblPrEx>
        <w:trPr>
          <w:trHeight w:val="300"/>
        </w:trPr>
        <w:tc>
          <w:tcPr>
            <w:tcW w:w="2670" w:type="dxa"/>
            <w:tcBorders>
              <w:top w:val="nil"/>
              <w:left w:val="single" w:sz="6" w:space="0" w:color="auto"/>
              <w:bottom w:val="single" w:sz="6" w:space="0" w:color="auto"/>
              <w:right w:val="single" w:sz="6" w:space="0" w:color="auto"/>
            </w:tcBorders>
            <w:vAlign w:val="center"/>
          </w:tcPr>
          <w:p w:rsidR="00EA58D9" w:rsidRPr="00843E05" w:rsidP="00843E05" w14:paraId="0EAE5E4C" w14:textId="3BBAF04A">
            <w:pPr>
              <w:spacing w:after="0" w:line="240" w:lineRule="auto"/>
              <w:jc w:val="center"/>
              <w:textAlignment w:val="baseline"/>
              <w:rPr>
                <w:rFonts w:eastAsia="Times New Roman" w:cstheme="minorHAnsi"/>
                <w:color w:val="000000"/>
                <w:kern w:val="0"/>
                <w14:ligatures w14:val="none"/>
              </w:rPr>
            </w:pPr>
            <w:r>
              <w:rPr>
                <w:rFonts w:eastAsia="Times New Roman" w:cstheme="minorHAnsi"/>
                <w:color w:val="000000"/>
                <w:kern w:val="0"/>
                <w14:ligatures w14:val="none"/>
              </w:rPr>
              <w:t>Total Staff Cost</w:t>
            </w:r>
          </w:p>
        </w:tc>
        <w:tc>
          <w:tcPr>
            <w:tcW w:w="5130" w:type="dxa"/>
            <w:gridSpan w:val="4"/>
            <w:tcBorders>
              <w:top w:val="nil"/>
              <w:left w:val="nil"/>
              <w:bottom w:val="single" w:sz="6" w:space="0" w:color="auto"/>
              <w:right w:val="single" w:sz="6" w:space="0" w:color="auto"/>
            </w:tcBorders>
            <w:vAlign w:val="center"/>
          </w:tcPr>
          <w:p w:rsidR="00EA58D9" w:rsidRPr="00843E05" w:rsidP="00843E05" w14:paraId="6980A11A" w14:textId="77777777">
            <w:pPr>
              <w:spacing w:after="0" w:line="240" w:lineRule="auto"/>
              <w:jc w:val="right"/>
              <w:textAlignment w:val="baseline"/>
              <w:rPr>
                <w:rFonts w:eastAsia="Times New Roman" w:cstheme="minorHAnsi"/>
                <w:color w:val="000000"/>
                <w:kern w:val="0"/>
                <w14:ligatures w14:val="none"/>
              </w:rPr>
            </w:pPr>
          </w:p>
        </w:tc>
        <w:tc>
          <w:tcPr>
            <w:tcW w:w="1455" w:type="dxa"/>
            <w:tcBorders>
              <w:top w:val="nil"/>
              <w:left w:val="nil"/>
              <w:bottom w:val="single" w:sz="6" w:space="0" w:color="auto"/>
              <w:right w:val="single" w:sz="6" w:space="0" w:color="auto"/>
            </w:tcBorders>
            <w:vAlign w:val="center"/>
          </w:tcPr>
          <w:p w:rsidR="00EA58D9" w:rsidRPr="00096259" w:rsidP="00510456" w14:paraId="06B15131" w14:textId="74AA156E">
            <w:pPr>
              <w:spacing w:after="0" w:line="240" w:lineRule="auto"/>
              <w:ind w:right="79"/>
              <w:jc w:val="right"/>
              <w:textAlignment w:val="baseline"/>
              <w:rPr>
                <w:rFonts w:eastAsia="Times New Roman" w:cstheme="minorHAnsi"/>
                <w:kern w:val="0"/>
                <w14:ligatures w14:val="none"/>
              </w:rPr>
            </w:pPr>
            <w:r>
              <w:rPr>
                <w:rFonts w:eastAsia="Times New Roman" w:cstheme="minorHAnsi"/>
                <w:kern w:val="0"/>
                <w14:ligatures w14:val="none"/>
              </w:rPr>
              <w:t>$30,</w:t>
            </w:r>
            <w:r w:rsidR="00CB1866">
              <w:rPr>
                <w:rFonts w:eastAsia="Times New Roman" w:cstheme="minorHAnsi"/>
                <w:kern w:val="0"/>
                <w14:ligatures w14:val="none"/>
              </w:rPr>
              <w:t>208</w:t>
            </w:r>
          </w:p>
        </w:tc>
      </w:tr>
      <w:tr w14:paraId="7B71180D" w14:textId="77777777" w:rsidTr="008B2706">
        <w:tblPrEx>
          <w:tblW w:w="9255" w:type="dxa"/>
          <w:tblCellMar>
            <w:left w:w="0" w:type="dxa"/>
            <w:right w:w="0" w:type="dxa"/>
          </w:tblCellMar>
          <w:tblLook w:val="04A0"/>
        </w:tblPrEx>
        <w:trPr>
          <w:trHeight w:val="300"/>
        </w:trPr>
        <w:tc>
          <w:tcPr>
            <w:tcW w:w="2670" w:type="dxa"/>
            <w:tcBorders>
              <w:top w:val="nil"/>
              <w:left w:val="single" w:sz="6" w:space="0" w:color="auto"/>
              <w:bottom w:val="single" w:sz="6" w:space="0" w:color="auto"/>
              <w:right w:val="single" w:sz="6" w:space="0" w:color="auto"/>
            </w:tcBorders>
            <w:vAlign w:val="center"/>
          </w:tcPr>
          <w:p w:rsidR="00EA58D9" w:rsidP="00843E05" w14:paraId="187020B1" w14:textId="232D4050">
            <w:pPr>
              <w:spacing w:after="0" w:line="240" w:lineRule="auto"/>
              <w:jc w:val="center"/>
              <w:textAlignment w:val="baseline"/>
              <w:rPr>
                <w:rFonts w:eastAsia="Times New Roman" w:cstheme="minorHAnsi"/>
                <w:color w:val="000000"/>
                <w:kern w:val="0"/>
                <w14:ligatures w14:val="none"/>
              </w:rPr>
            </w:pPr>
            <w:r>
              <w:rPr>
                <w:rFonts w:eastAsia="Times New Roman" w:cstheme="minorHAnsi"/>
                <w:color w:val="000000"/>
                <w:kern w:val="0"/>
                <w14:ligatures w14:val="none"/>
              </w:rPr>
              <w:t>Contractor Estimate</w:t>
            </w:r>
          </w:p>
        </w:tc>
        <w:tc>
          <w:tcPr>
            <w:tcW w:w="5130" w:type="dxa"/>
            <w:gridSpan w:val="4"/>
            <w:tcBorders>
              <w:top w:val="nil"/>
              <w:left w:val="nil"/>
              <w:bottom w:val="single" w:sz="6" w:space="0" w:color="auto"/>
              <w:right w:val="single" w:sz="6" w:space="0" w:color="auto"/>
            </w:tcBorders>
            <w:vAlign w:val="center"/>
          </w:tcPr>
          <w:p w:rsidR="00EA58D9" w:rsidRPr="00843E05" w:rsidP="00843E05" w14:paraId="20A2D249" w14:textId="77777777">
            <w:pPr>
              <w:spacing w:after="0" w:line="240" w:lineRule="auto"/>
              <w:jc w:val="right"/>
              <w:textAlignment w:val="baseline"/>
              <w:rPr>
                <w:rFonts w:eastAsia="Times New Roman" w:cstheme="minorHAnsi"/>
                <w:color w:val="000000"/>
                <w:kern w:val="0"/>
                <w14:ligatures w14:val="none"/>
              </w:rPr>
            </w:pPr>
          </w:p>
        </w:tc>
        <w:tc>
          <w:tcPr>
            <w:tcW w:w="1455" w:type="dxa"/>
            <w:tcBorders>
              <w:top w:val="nil"/>
              <w:left w:val="nil"/>
              <w:bottom w:val="single" w:sz="6" w:space="0" w:color="auto"/>
              <w:right w:val="single" w:sz="6" w:space="0" w:color="auto"/>
            </w:tcBorders>
            <w:vAlign w:val="center"/>
          </w:tcPr>
          <w:p w:rsidR="00EA58D9" w:rsidP="00510456" w14:paraId="216A05E6" w14:textId="5F53B0FB">
            <w:pPr>
              <w:spacing w:after="0" w:line="240" w:lineRule="auto"/>
              <w:ind w:right="79"/>
              <w:jc w:val="right"/>
              <w:textAlignment w:val="baseline"/>
              <w:rPr>
                <w:rFonts w:eastAsia="Times New Roman" w:cstheme="minorHAnsi"/>
                <w:kern w:val="0"/>
                <w14:ligatures w14:val="none"/>
              </w:rPr>
            </w:pPr>
            <w:r>
              <w:rPr>
                <w:rFonts w:eastAsia="Times New Roman" w:cstheme="minorHAnsi"/>
                <w:kern w:val="0"/>
                <w14:ligatures w14:val="none"/>
              </w:rPr>
              <w:t>$30,000</w:t>
            </w:r>
          </w:p>
        </w:tc>
      </w:tr>
      <w:tr w14:paraId="2AE52FE4" w14:textId="77777777" w:rsidTr="00273B70">
        <w:tblPrEx>
          <w:tblW w:w="9255" w:type="dxa"/>
          <w:tblCellMar>
            <w:left w:w="0" w:type="dxa"/>
            <w:right w:w="0" w:type="dxa"/>
          </w:tblCellMar>
          <w:tblLook w:val="04A0"/>
        </w:tblPrEx>
        <w:trPr>
          <w:trHeight w:val="372"/>
        </w:trPr>
        <w:tc>
          <w:tcPr>
            <w:tcW w:w="7800" w:type="dxa"/>
            <w:gridSpan w:val="5"/>
            <w:tcBorders>
              <w:top w:val="nil"/>
              <w:left w:val="single" w:sz="6" w:space="0" w:color="auto"/>
              <w:bottom w:val="single" w:sz="6" w:space="0" w:color="auto"/>
              <w:right w:val="single" w:sz="6" w:space="0" w:color="auto"/>
            </w:tcBorders>
            <w:vAlign w:val="center"/>
            <w:hideMark/>
          </w:tcPr>
          <w:p w:rsidR="00273B70" w:rsidRPr="00843E05" w:rsidP="00273B70" w14:paraId="4328A690" w14:textId="2CB69F2D">
            <w:pPr>
              <w:spacing w:after="0" w:line="240" w:lineRule="auto"/>
              <w:jc w:val="right"/>
              <w:textAlignment w:val="baseline"/>
              <w:rPr>
                <w:rFonts w:eastAsia="Times New Roman" w:cstheme="minorHAnsi"/>
                <w:kern w:val="0"/>
                <w14:ligatures w14:val="none"/>
              </w:rPr>
            </w:pPr>
            <w:r w:rsidRPr="00843E05">
              <w:rPr>
                <w:rFonts w:eastAsia="Times New Roman" w:cstheme="minorHAnsi"/>
                <w:color w:val="000000"/>
                <w:kern w:val="0"/>
                <w14:ligatures w14:val="none"/>
              </w:rPr>
              <w:t>Total Federal Costs </w:t>
            </w:r>
          </w:p>
        </w:tc>
        <w:tc>
          <w:tcPr>
            <w:tcW w:w="1455" w:type="dxa"/>
            <w:tcBorders>
              <w:top w:val="nil"/>
              <w:left w:val="nil"/>
              <w:bottom w:val="single" w:sz="6" w:space="0" w:color="auto"/>
              <w:right w:val="single" w:sz="6" w:space="0" w:color="auto"/>
            </w:tcBorders>
            <w:vAlign w:val="bottom"/>
            <w:hideMark/>
          </w:tcPr>
          <w:p w:rsidR="00273B70" w:rsidRPr="00843E05" w:rsidP="00510456" w14:paraId="098ABF9A" w14:textId="3C050D94">
            <w:pPr>
              <w:spacing w:after="0" w:line="240" w:lineRule="auto"/>
              <w:ind w:right="79"/>
              <w:jc w:val="right"/>
              <w:textAlignment w:val="baseline"/>
              <w:rPr>
                <w:rFonts w:eastAsia="Times New Roman" w:cstheme="minorHAnsi"/>
                <w:kern w:val="0"/>
                <w14:ligatures w14:val="none"/>
              </w:rPr>
            </w:pPr>
            <w:r w:rsidRPr="008113CE">
              <w:rPr>
                <w:rFonts w:eastAsia="Times New Roman" w:cstheme="minorHAnsi"/>
                <w:kern w:val="0"/>
                <w14:ligatures w14:val="none"/>
              </w:rPr>
              <w:t>$</w:t>
            </w:r>
            <w:r w:rsidR="00BF6019">
              <w:rPr>
                <w:rFonts w:eastAsia="Times New Roman" w:cstheme="minorHAnsi"/>
                <w:kern w:val="0"/>
                <w14:ligatures w14:val="none"/>
              </w:rPr>
              <w:t>60,</w:t>
            </w:r>
            <w:r w:rsidR="00CB1866">
              <w:rPr>
                <w:rFonts w:eastAsia="Times New Roman" w:cstheme="minorHAnsi"/>
                <w:kern w:val="0"/>
                <w14:ligatures w14:val="none"/>
              </w:rPr>
              <w:t>280</w:t>
            </w:r>
          </w:p>
        </w:tc>
      </w:tr>
    </w:tbl>
    <w:p w:rsidR="00843E05" w:rsidP="00843E05" w14:paraId="5FC176BB" w14:textId="25DE634A">
      <w:pPr>
        <w:ind w:left="360"/>
        <w:jc w:val="center"/>
      </w:pPr>
    </w:p>
    <w:p w:rsidR="00843E05" w:rsidRPr="00843E05" w:rsidP="00843E05" w14:paraId="0D7EE3BD" w14:textId="77777777">
      <w:pPr>
        <w:numPr>
          <w:ilvl w:val="0"/>
          <w:numId w:val="33"/>
        </w:numPr>
      </w:pPr>
      <w:r w:rsidRPr="00843E05">
        <w:rPr>
          <w:b/>
          <w:bCs/>
        </w:rPr>
        <w:t xml:space="preserve">Explain the reasons for any program changes or adjustments. Generally, adjustments in burden result from re-estimating burden and/or from economic phenomenon outside of an </w:t>
      </w:r>
      <w:r w:rsidRPr="00843E05">
        <w:rPr>
          <w:b/>
          <w:bCs/>
        </w:rPr>
        <w:t xml:space="preserve">agency’s control (e.g., correcting a burden estimate or an organic increase in the size of the reporting universe). </w:t>
      </w:r>
      <w:r w:rsidRPr="00843E05">
        <w:rPr>
          <w:b/>
          <w:bCs/>
        </w:rPr>
        <w:t>Program</w:t>
      </w:r>
      <w:r w:rsidRPr="00843E05">
        <w:rPr>
          <w:b/>
          <w:bCs/>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 </w:t>
      </w:r>
      <w:r w:rsidRPr="00843E05">
        <w:t> </w:t>
      </w:r>
    </w:p>
    <w:p w:rsidR="00843E05" w:rsidRPr="00843E05" w:rsidP="00843E05" w14:paraId="57F38347" w14:textId="77777777">
      <w:pPr>
        <w:ind w:left="360"/>
      </w:pPr>
      <w:r w:rsidRPr="00843E05">
        <w:rPr>
          <w:b/>
          <w:bCs/>
        </w:rPr>
        <w:t>Provide a descriptive narrative for the reasons of any change in addition to completing the table with the burden hour change(s) here.</w:t>
      </w:r>
      <w:r w:rsidRPr="00843E05">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27"/>
        <w:gridCol w:w="2024"/>
        <w:gridCol w:w="2793"/>
        <w:gridCol w:w="2500"/>
      </w:tblGrid>
      <w:tr w14:paraId="6C0CB8F9" w14:textId="77777777" w:rsidTr="338B005A">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2027"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843E05" w:rsidRPr="00843E05" w:rsidP="00843E05" w14:paraId="1DFCB5EA" w14:textId="6288DC22">
            <w:pPr>
              <w:ind w:left="360"/>
            </w:pPr>
            <w:r w:rsidRPr="00843E05">
              <w:t>  </w:t>
            </w:r>
          </w:p>
        </w:tc>
        <w:tc>
          <w:tcPr>
            <w:tcW w:w="2024" w:type="dxa"/>
            <w:tcBorders>
              <w:top w:val="single" w:sz="6" w:space="0" w:color="auto"/>
              <w:left w:val="single" w:sz="6" w:space="0" w:color="auto"/>
              <w:bottom w:val="single" w:sz="6" w:space="0" w:color="auto"/>
              <w:right w:val="single" w:sz="6" w:space="0" w:color="auto"/>
            </w:tcBorders>
            <w:hideMark/>
          </w:tcPr>
          <w:p w:rsidR="00843E05" w:rsidRPr="00843E05" w:rsidP="00843E05" w14:paraId="02DB8989" w14:textId="77777777">
            <w:pPr>
              <w:ind w:left="360"/>
            </w:pPr>
            <w:r w:rsidRPr="00843E05">
              <w:t>Program Change Due to New Statute </w:t>
            </w:r>
          </w:p>
        </w:tc>
        <w:tc>
          <w:tcPr>
            <w:tcW w:w="2793" w:type="dxa"/>
            <w:tcBorders>
              <w:top w:val="single" w:sz="6" w:space="0" w:color="auto"/>
              <w:left w:val="single" w:sz="6" w:space="0" w:color="auto"/>
              <w:bottom w:val="single" w:sz="6" w:space="0" w:color="auto"/>
              <w:right w:val="single" w:sz="6" w:space="0" w:color="auto"/>
            </w:tcBorders>
            <w:hideMark/>
          </w:tcPr>
          <w:p w:rsidR="00843E05" w:rsidRPr="00843E05" w:rsidP="00843E05" w14:paraId="3B37F0BC" w14:textId="77777777">
            <w:pPr>
              <w:ind w:left="360"/>
            </w:pPr>
            <w:r w:rsidRPr="00843E05">
              <w:t>Program Change Due to Agency Discretion </w:t>
            </w:r>
          </w:p>
        </w:tc>
        <w:tc>
          <w:tcPr>
            <w:tcW w:w="2500" w:type="dxa"/>
            <w:tcBorders>
              <w:top w:val="single" w:sz="6" w:space="0" w:color="auto"/>
              <w:left w:val="single" w:sz="6" w:space="0" w:color="auto"/>
              <w:bottom w:val="single" w:sz="6" w:space="0" w:color="auto"/>
              <w:right w:val="single" w:sz="6" w:space="0" w:color="auto"/>
            </w:tcBorders>
            <w:hideMark/>
          </w:tcPr>
          <w:p w:rsidR="00843E05" w:rsidRPr="00843E05" w:rsidP="00843E05" w14:paraId="6C1B3D54" w14:textId="77777777">
            <w:pPr>
              <w:ind w:left="360"/>
            </w:pPr>
            <w:r w:rsidRPr="00843E05">
              <w:t>Change Due to Adjustment in Agency Estimate </w:t>
            </w:r>
          </w:p>
        </w:tc>
      </w:tr>
      <w:tr w14:paraId="5EFE3457" w14:textId="77777777" w:rsidTr="338B005A">
        <w:tblPrEx>
          <w:tblW w:w="9344" w:type="dxa"/>
          <w:tblCellMar>
            <w:left w:w="0" w:type="dxa"/>
            <w:right w:w="0" w:type="dxa"/>
          </w:tblCellMar>
          <w:tblLook w:val="04A0"/>
        </w:tblPrEx>
        <w:trPr>
          <w:trHeight w:val="300"/>
        </w:trPr>
        <w:tc>
          <w:tcPr>
            <w:tcW w:w="2027" w:type="dxa"/>
            <w:tcBorders>
              <w:top w:val="single" w:sz="6" w:space="0" w:color="auto"/>
              <w:left w:val="single" w:sz="6" w:space="0" w:color="auto"/>
              <w:bottom w:val="single" w:sz="6" w:space="0" w:color="auto"/>
              <w:right w:val="single" w:sz="6" w:space="0" w:color="auto"/>
            </w:tcBorders>
            <w:hideMark/>
          </w:tcPr>
          <w:p w:rsidR="00843E05" w:rsidRPr="00843E05" w:rsidP="00843E05" w14:paraId="3F21133B" w14:textId="40C85007">
            <w:pPr>
              <w:ind w:left="360"/>
            </w:pPr>
            <w:r>
              <w:t>Annual Burden</w:t>
            </w:r>
            <w:r w:rsidRPr="00843E05">
              <w:t> </w:t>
            </w:r>
          </w:p>
        </w:tc>
        <w:tc>
          <w:tcPr>
            <w:tcW w:w="2024" w:type="dxa"/>
            <w:tcBorders>
              <w:top w:val="single" w:sz="6" w:space="0" w:color="auto"/>
              <w:left w:val="single" w:sz="6" w:space="0" w:color="auto"/>
              <w:bottom w:val="single" w:sz="6" w:space="0" w:color="auto"/>
              <w:right w:val="single" w:sz="6" w:space="0" w:color="auto"/>
            </w:tcBorders>
            <w:hideMark/>
          </w:tcPr>
          <w:p w:rsidR="00843E05" w:rsidRPr="00843E05" w:rsidP="001559AF" w14:paraId="72EB9220" w14:textId="503A5321">
            <w:pPr>
              <w:ind w:left="360" w:right="271"/>
              <w:jc w:val="center"/>
            </w:pPr>
            <w:r>
              <w:t>N/A</w:t>
            </w:r>
          </w:p>
        </w:tc>
        <w:tc>
          <w:tcPr>
            <w:tcW w:w="2793" w:type="dxa"/>
            <w:tcBorders>
              <w:top w:val="single" w:sz="6" w:space="0" w:color="auto"/>
              <w:left w:val="single" w:sz="6" w:space="0" w:color="auto"/>
              <w:bottom w:val="single" w:sz="6" w:space="0" w:color="auto"/>
              <w:right w:val="single" w:sz="6" w:space="0" w:color="auto"/>
            </w:tcBorders>
          </w:tcPr>
          <w:p w:rsidR="00843E05" w:rsidRPr="00843E05" w:rsidP="001559AF" w14:paraId="5251D1B5" w14:textId="0235E343">
            <w:pPr>
              <w:ind w:left="360" w:right="370"/>
              <w:jc w:val="center"/>
            </w:pPr>
            <w:r>
              <w:t>N/A</w:t>
            </w:r>
          </w:p>
        </w:tc>
        <w:tc>
          <w:tcPr>
            <w:tcW w:w="2500" w:type="dxa"/>
            <w:tcBorders>
              <w:top w:val="single" w:sz="6" w:space="0" w:color="auto"/>
              <w:left w:val="single" w:sz="6" w:space="0" w:color="auto"/>
              <w:bottom w:val="single" w:sz="6" w:space="0" w:color="auto"/>
              <w:right w:val="single" w:sz="6" w:space="0" w:color="auto"/>
            </w:tcBorders>
          </w:tcPr>
          <w:p w:rsidR="00843E05" w:rsidRPr="00843E05" w:rsidP="001559AF" w14:paraId="27E6DECD" w14:textId="4E47A896">
            <w:pPr>
              <w:ind w:left="360" w:right="521"/>
              <w:jc w:val="center"/>
            </w:pPr>
            <w:r>
              <w:t>-</w:t>
            </w:r>
            <w:r w:rsidR="67898FE6">
              <w:t>4</w:t>
            </w:r>
            <w:r w:rsidR="59F40C9C">
              <w:t>86</w:t>
            </w:r>
          </w:p>
        </w:tc>
      </w:tr>
      <w:tr w14:paraId="1944FD07" w14:textId="77777777" w:rsidTr="338B005A">
        <w:tblPrEx>
          <w:tblW w:w="9344" w:type="dxa"/>
          <w:tblCellMar>
            <w:left w:w="0" w:type="dxa"/>
            <w:right w:w="0" w:type="dxa"/>
          </w:tblCellMar>
          <w:tblLook w:val="04A0"/>
        </w:tblPrEx>
        <w:trPr>
          <w:trHeight w:val="300"/>
        </w:trPr>
        <w:tc>
          <w:tcPr>
            <w:tcW w:w="2027" w:type="dxa"/>
            <w:tcBorders>
              <w:top w:val="single" w:sz="6" w:space="0" w:color="auto"/>
              <w:left w:val="single" w:sz="6" w:space="0" w:color="auto"/>
              <w:bottom w:val="single" w:sz="6" w:space="0" w:color="auto"/>
              <w:right w:val="single" w:sz="6" w:space="0" w:color="auto"/>
            </w:tcBorders>
            <w:hideMark/>
          </w:tcPr>
          <w:p w:rsidR="00996A3C" w:rsidRPr="00843E05" w:rsidP="00996A3C" w14:paraId="592ACD96" w14:textId="5F5FBABE">
            <w:pPr>
              <w:ind w:left="360"/>
            </w:pPr>
            <w:r>
              <w:t>Annual Responses</w:t>
            </w:r>
            <w:r w:rsidRPr="00843E05">
              <w:t> </w:t>
            </w:r>
          </w:p>
        </w:tc>
        <w:tc>
          <w:tcPr>
            <w:tcW w:w="2024" w:type="dxa"/>
            <w:tcBorders>
              <w:top w:val="single" w:sz="6" w:space="0" w:color="auto"/>
              <w:left w:val="single" w:sz="6" w:space="0" w:color="auto"/>
              <w:bottom w:val="single" w:sz="6" w:space="0" w:color="auto"/>
              <w:right w:val="single" w:sz="6" w:space="0" w:color="auto"/>
            </w:tcBorders>
            <w:hideMark/>
          </w:tcPr>
          <w:p w:rsidR="00996A3C" w:rsidRPr="00843E05" w:rsidP="001559AF" w14:paraId="5A1DE77B" w14:textId="069A88A4">
            <w:pPr>
              <w:ind w:left="360" w:right="271"/>
              <w:jc w:val="center"/>
            </w:pPr>
            <w:r>
              <w:t>N/A</w:t>
            </w:r>
          </w:p>
        </w:tc>
        <w:tc>
          <w:tcPr>
            <w:tcW w:w="2793" w:type="dxa"/>
            <w:tcBorders>
              <w:top w:val="single" w:sz="6" w:space="0" w:color="auto"/>
              <w:left w:val="single" w:sz="6" w:space="0" w:color="auto"/>
              <w:bottom w:val="single" w:sz="6" w:space="0" w:color="auto"/>
              <w:right w:val="single" w:sz="6" w:space="0" w:color="auto"/>
            </w:tcBorders>
          </w:tcPr>
          <w:p w:rsidR="00996A3C" w:rsidRPr="00843E05" w:rsidP="001559AF" w14:paraId="48463A6A" w14:textId="7178A54F">
            <w:pPr>
              <w:ind w:left="360" w:right="370"/>
              <w:jc w:val="center"/>
            </w:pPr>
            <w:r w:rsidRPr="00D61816">
              <w:t>N/A</w:t>
            </w:r>
          </w:p>
        </w:tc>
        <w:tc>
          <w:tcPr>
            <w:tcW w:w="2500" w:type="dxa"/>
            <w:tcBorders>
              <w:top w:val="single" w:sz="6" w:space="0" w:color="auto"/>
              <w:left w:val="single" w:sz="6" w:space="0" w:color="auto"/>
              <w:bottom w:val="single" w:sz="6" w:space="0" w:color="auto"/>
              <w:right w:val="single" w:sz="6" w:space="0" w:color="auto"/>
            </w:tcBorders>
          </w:tcPr>
          <w:p w:rsidR="00996A3C" w:rsidRPr="00843E05" w:rsidP="001559AF" w14:paraId="493BE174" w14:textId="3C6ACE92">
            <w:pPr>
              <w:ind w:left="360" w:right="431"/>
              <w:jc w:val="center"/>
            </w:pPr>
            <w:r w:rsidRPr="00D61816">
              <w:t>N/A</w:t>
            </w:r>
          </w:p>
        </w:tc>
      </w:tr>
    </w:tbl>
    <w:p w:rsidR="00843E05" w:rsidP="00843E05" w14:paraId="5C83B44B" w14:textId="77777777">
      <w:pPr>
        <w:ind w:left="360"/>
      </w:pPr>
    </w:p>
    <w:p w:rsidR="00FC42DD" w:rsidP="001559AF" w14:paraId="1D154008" w14:textId="505D42EF">
      <w:r w:rsidRPr="00843E05">
        <w:rPr>
          <w:u w:val="single"/>
        </w:rPr>
        <w:t>Changes Due to Adjustment in Agency</w:t>
      </w:r>
      <w:r w:rsidR="007734B7">
        <w:rPr>
          <w:u w:val="single"/>
        </w:rPr>
        <w:t xml:space="preserve"> </w:t>
      </w:r>
      <w:r w:rsidRPr="00843E05">
        <w:rPr>
          <w:u w:val="single"/>
        </w:rPr>
        <w:t>Estimate</w:t>
      </w:r>
      <w:r w:rsidRPr="00843E05">
        <w:t> </w:t>
      </w:r>
    </w:p>
    <w:p w:rsidR="009B4466" w:rsidRPr="009B4466" w:rsidP="009B4466" w14:paraId="79672DEF" w14:textId="794F954C">
      <w:pPr>
        <w:spacing w:line="257" w:lineRule="auto"/>
        <w:rPr>
          <w:rFonts w:ascii="Calibri" w:eastAsia="Calibri" w:hAnsi="Calibri" w:cs="Calibri"/>
        </w:rPr>
      </w:pPr>
      <w:r>
        <w:t xml:space="preserve">The recent authorization for this information collection had a burden of </w:t>
      </w:r>
      <w:r w:rsidR="00875D92">
        <w:t>12,636</w:t>
      </w:r>
      <w:r>
        <w:t xml:space="preserve"> hours.  </w:t>
      </w:r>
      <w:r w:rsidR="008E2DFB">
        <w:t>The</w:t>
      </w:r>
      <w:r w:rsidR="00384D07">
        <w:t xml:space="preserve"> total burden hour decrease of </w:t>
      </w:r>
      <w:r w:rsidR="008E2DFB">
        <w:t xml:space="preserve">216 </w:t>
      </w:r>
      <w:r w:rsidR="00384D07">
        <w:t>hours</w:t>
      </w:r>
      <w:r w:rsidR="008E2DFB">
        <w:t xml:space="preserve"> is</w:t>
      </w:r>
      <w:r w:rsidR="00384D07">
        <w:t xml:space="preserve"> associated with the proposed </w:t>
      </w:r>
      <w:r>
        <w:t xml:space="preserve">adjustments to </w:t>
      </w:r>
      <w:r w:rsidRPr="009B4466">
        <w:rPr>
          <w:rFonts w:ascii="Calibri" w:eastAsia="Calibri" w:hAnsi="Calibri" w:cs="Calibri"/>
        </w:rPr>
        <w:t xml:space="preserve">the FSRs </w:t>
      </w:r>
      <w:r>
        <w:rPr>
          <w:rFonts w:ascii="Calibri" w:eastAsia="Calibri" w:hAnsi="Calibri" w:cs="Calibri"/>
        </w:rPr>
        <w:t xml:space="preserve">which </w:t>
      </w:r>
      <w:r w:rsidRPr="009B4466">
        <w:rPr>
          <w:rFonts w:ascii="Calibri" w:eastAsia="Calibri" w:hAnsi="Calibri" w:cs="Calibri"/>
        </w:rPr>
        <w:t>have been reduced from 11 reporting columns to only five (5) and 12 reporting rows to nine (9).</w:t>
      </w:r>
    </w:p>
    <w:p w:rsidR="00843E05" w:rsidP="00843E05" w14:paraId="18040CA8" w14:textId="77777777">
      <w:pPr>
        <w:numPr>
          <w:ilvl w:val="0"/>
          <w:numId w:val="34"/>
        </w:numPr>
      </w:pPr>
      <w:r w:rsidRPr="00843E05">
        <w:rPr>
          <w:b/>
          <w:b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843E05">
        <w:t> </w:t>
      </w:r>
    </w:p>
    <w:p w:rsidR="00AA6041" w:rsidP="00AA6041" w14:paraId="6578B92C" w14:textId="43505937">
      <w:r>
        <w:t xml:space="preserve">An annual report to Congress is prepared and published using the information collected in the CAR instrument.  Enrollment and accountability data are also made available on </w:t>
      </w:r>
      <w:r>
        <w:t xml:space="preserve">the </w:t>
      </w:r>
      <w:r w:rsidR="009B4466">
        <w:t>OCTAE’s</w:t>
      </w:r>
      <w:r w:rsidR="009B4466">
        <w:t xml:space="preserve"> website at octae.ed.gov</w:t>
      </w:r>
      <w:r>
        <w:t xml:space="preserve">.  On </w:t>
      </w:r>
      <w:r w:rsidR="009B4466">
        <w:t>octae.ed.gov</w:t>
      </w:r>
      <w:r>
        <w:t xml:space="preserve">, interested parties can view data for individual States, as well as run customized reports with aggregated and disaggregated data on the students who participate and concentrate </w:t>
      </w:r>
      <w:r>
        <w:t>in</w:t>
      </w:r>
      <w:r>
        <w:t xml:space="preserve"> CTE programs across the nation.</w:t>
      </w:r>
    </w:p>
    <w:tbl>
      <w:tblPr>
        <w:tblStyle w:val="TableGrid"/>
        <w:tblW w:w="0" w:type="auto"/>
        <w:tblLook w:val="04A0"/>
      </w:tblPr>
      <w:tblGrid>
        <w:gridCol w:w="1525"/>
        <w:gridCol w:w="7825"/>
      </w:tblGrid>
      <w:tr w14:paraId="59D42B50" w14:textId="77777777" w:rsidTr="005868AD">
        <w:tblPrEx>
          <w:tblW w:w="0" w:type="auto"/>
          <w:tblLook w:val="04A0"/>
        </w:tblPrEx>
        <w:tc>
          <w:tcPr>
            <w:tcW w:w="1525" w:type="dxa"/>
          </w:tcPr>
          <w:p w:rsidR="005868AD" w:rsidP="005868AD" w14:paraId="262449C0" w14:textId="29C7E2A6">
            <w:pPr>
              <w:jc w:val="center"/>
            </w:pPr>
            <w:r>
              <w:t>Timeline</w:t>
            </w:r>
          </w:p>
        </w:tc>
        <w:tc>
          <w:tcPr>
            <w:tcW w:w="7825" w:type="dxa"/>
          </w:tcPr>
          <w:p w:rsidR="005868AD" w:rsidP="005868AD" w14:paraId="592E21D1" w14:textId="777CC1CF">
            <w:pPr>
              <w:jc w:val="center"/>
            </w:pPr>
            <w:r>
              <w:t>Actions</w:t>
            </w:r>
          </w:p>
        </w:tc>
      </w:tr>
      <w:tr w14:paraId="10D9CE53" w14:textId="77777777" w:rsidTr="005868AD">
        <w:tblPrEx>
          <w:tblW w:w="0" w:type="auto"/>
          <w:tblLook w:val="04A0"/>
        </w:tblPrEx>
        <w:tc>
          <w:tcPr>
            <w:tcW w:w="1525" w:type="dxa"/>
          </w:tcPr>
          <w:p w:rsidR="005868AD" w:rsidP="0034699C" w14:paraId="3B8E747A" w14:textId="0119D5ED">
            <w:r>
              <w:t>October 1 – January 31</w:t>
            </w:r>
          </w:p>
        </w:tc>
        <w:tc>
          <w:tcPr>
            <w:tcW w:w="7825" w:type="dxa"/>
          </w:tcPr>
          <w:p w:rsidR="005868AD" w:rsidP="0034699C" w14:paraId="6317530C" w14:textId="219FB162">
            <w:r>
              <w:t>States submit CAR data during the reporting window.</w:t>
            </w:r>
          </w:p>
        </w:tc>
      </w:tr>
      <w:tr w14:paraId="093FC8A4" w14:textId="77777777" w:rsidTr="005868AD">
        <w:tblPrEx>
          <w:tblW w:w="0" w:type="auto"/>
          <w:tblLook w:val="04A0"/>
        </w:tblPrEx>
        <w:tc>
          <w:tcPr>
            <w:tcW w:w="1525" w:type="dxa"/>
          </w:tcPr>
          <w:p w:rsidR="005868AD" w:rsidP="0034699C" w14:paraId="0ECD0D43" w14:textId="02315533">
            <w:r>
              <w:t>February 1 – April 15</w:t>
            </w:r>
          </w:p>
        </w:tc>
        <w:tc>
          <w:tcPr>
            <w:tcW w:w="7825" w:type="dxa"/>
          </w:tcPr>
          <w:p w:rsidR="005868AD" w:rsidP="0034699C" w14:paraId="6B828546" w14:textId="7C7B6C37">
            <w:r>
              <w:t xml:space="preserve">OCTAE </w:t>
            </w:r>
            <w:r w:rsidR="00AA6041">
              <w:t>staff review States’ CAR submissions.</w:t>
            </w:r>
          </w:p>
        </w:tc>
      </w:tr>
      <w:tr w14:paraId="2BCE2E96" w14:textId="77777777" w:rsidTr="005868AD">
        <w:tblPrEx>
          <w:tblW w:w="0" w:type="auto"/>
          <w:tblLook w:val="04A0"/>
        </w:tblPrEx>
        <w:tc>
          <w:tcPr>
            <w:tcW w:w="1525" w:type="dxa"/>
          </w:tcPr>
          <w:p w:rsidR="005868AD" w:rsidP="0034699C" w14:paraId="6F00F8F1" w14:textId="26A405FC">
            <w:r>
              <w:t>April 15</w:t>
            </w:r>
          </w:p>
        </w:tc>
        <w:tc>
          <w:tcPr>
            <w:tcW w:w="7825" w:type="dxa"/>
          </w:tcPr>
          <w:p w:rsidR="005868AD" w:rsidP="0034699C" w14:paraId="135B2CB1" w14:textId="644B3552">
            <w:r>
              <w:t>States receive notification on the approval status of their CAR submissions.</w:t>
            </w:r>
          </w:p>
        </w:tc>
      </w:tr>
      <w:tr w14:paraId="359EAD06" w14:textId="77777777" w:rsidTr="005868AD">
        <w:tblPrEx>
          <w:tblW w:w="0" w:type="auto"/>
          <w:tblLook w:val="04A0"/>
        </w:tblPrEx>
        <w:tc>
          <w:tcPr>
            <w:tcW w:w="1525" w:type="dxa"/>
          </w:tcPr>
          <w:p w:rsidR="005868AD" w:rsidP="0034699C" w14:paraId="1FDDF162" w14:textId="631DF873">
            <w:r>
              <w:t>April 15 – May 15</w:t>
            </w:r>
          </w:p>
        </w:tc>
        <w:tc>
          <w:tcPr>
            <w:tcW w:w="7825" w:type="dxa"/>
          </w:tcPr>
          <w:p w:rsidR="005868AD" w:rsidP="0034699C" w14:paraId="2081FB9E" w14:textId="25F386FF">
            <w:r>
              <w:t xml:space="preserve">OCTAE </w:t>
            </w:r>
            <w:r w:rsidR="00802FF2">
              <w:t>staff, in collaboration with contractors, tabulate data and prepare individual State reports and a national summary.</w:t>
            </w:r>
          </w:p>
        </w:tc>
      </w:tr>
      <w:tr w14:paraId="5B42E9DA" w14:textId="77777777" w:rsidTr="005868AD">
        <w:tblPrEx>
          <w:tblW w:w="0" w:type="auto"/>
          <w:tblLook w:val="04A0"/>
        </w:tblPrEx>
        <w:tc>
          <w:tcPr>
            <w:tcW w:w="1525" w:type="dxa"/>
          </w:tcPr>
          <w:p w:rsidR="005868AD" w:rsidP="0034699C" w14:paraId="236083BE" w14:textId="56295ECC">
            <w:r>
              <w:t>June 15</w:t>
            </w:r>
          </w:p>
        </w:tc>
        <w:tc>
          <w:tcPr>
            <w:tcW w:w="7825" w:type="dxa"/>
          </w:tcPr>
          <w:p w:rsidR="005868AD" w:rsidP="0034699C" w14:paraId="48AACB37" w14:textId="0A8EB8C9">
            <w:r>
              <w:t xml:space="preserve">OCTAE </w:t>
            </w:r>
            <w:r w:rsidR="001536C7">
              <w:t>staff develops the draft report to Congress.</w:t>
            </w:r>
          </w:p>
        </w:tc>
      </w:tr>
      <w:tr w14:paraId="146B51A1" w14:textId="77777777" w:rsidTr="005868AD">
        <w:tblPrEx>
          <w:tblW w:w="0" w:type="auto"/>
          <w:tblLook w:val="04A0"/>
        </w:tblPrEx>
        <w:tc>
          <w:tcPr>
            <w:tcW w:w="1525" w:type="dxa"/>
          </w:tcPr>
          <w:p w:rsidR="001536C7" w:rsidP="0034699C" w14:paraId="44DBCB41" w14:textId="123FB887">
            <w:r>
              <w:t>July 1</w:t>
            </w:r>
          </w:p>
        </w:tc>
        <w:tc>
          <w:tcPr>
            <w:tcW w:w="7825" w:type="dxa"/>
          </w:tcPr>
          <w:p w:rsidR="001536C7" w:rsidP="0034699C" w14:paraId="3F114405" w14:textId="2053A9D3">
            <w:r>
              <w:t xml:space="preserve">OCTAE </w:t>
            </w:r>
            <w:r>
              <w:t>staff submits the final draft of the report to Congress for Departmental clearance.</w:t>
            </w:r>
          </w:p>
        </w:tc>
      </w:tr>
      <w:tr w14:paraId="1A609598" w14:textId="77777777" w:rsidTr="005868AD">
        <w:tblPrEx>
          <w:tblW w:w="0" w:type="auto"/>
          <w:tblLook w:val="04A0"/>
        </w:tblPrEx>
        <w:tc>
          <w:tcPr>
            <w:tcW w:w="1525" w:type="dxa"/>
          </w:tcPr>
          <w:p w:rsidR="001536C7" w:rsidP="0034699C" w14:paraId="6B95EAC9" w14:textId="2F376159">
            <w:r>
              <w:t>July 31</w:t>
            </w:r>
          </w:p>
        </w:tc>
        <w:tc>
          <w:tcPr>
            <w:tcW w:w="7825" w:type="dxa"/>
          </w:tcPr>
          <w:p w:rsidR="001536C7" w:rsidP="0034699C" w14:paraId="715D10F6" w14:textId="44A6BCF9">
            <w:r>
              <w:t xml:space="preserve">OCTAE </w:t>
            </w:r>
            <w:r>
              <w:t xml:space="preserve">staff submits the final report to Congress </w:t>
            </w:r>
            <w:r w:rsidR="0013748D">
              <w:t>to the</w:t>
            </w:r>
            <w:r>
              <w:t xml:space="preserve"> Office of Communications and Outreach for final editing</w:t>
            </w:r>
            <w:r w:rsidR="0013748D">
              <w:t>.</w:t>
            </w:r>
          </w:p>
        </w:tc>
      </w:tr>
      <w:tr w14:paraId="1817F950" w14:textId="77777777" w:rsidTr="005868AD">
        <w:tblPrEx>
          <w:tblW w:w="0" w:type="auto"/>
          <w:tblLook w:val="04A0"/>
        </w:tblPrEx>
        <w:tc>
          <w:tcPr>
            <w:tcW w:w="1525" w:type="dxa"/>
          </w:tcPr>
          <w:p w:rsidR="002537C3" w:rsidP="0034699C" w14:paraId="3AD32094" w14:textId="044A84C9">
            <w:r>
              <w:t>August 15</w:t>
            </w:r>
          </w:p>
        </w:tc>
        <w:tc>
          <w:tcPr>
            <w:tcW w:w="7825" w:type="dxa"/>
          </w:tcPr>
          <w:p w:rsidR="002537C3" w:rsidP="0034699C" w14:paraId="5095A641" w14:textId="4BAC7493">
            <w:r>
              <w:t xml:space="preserve">OCTAE </w:t>
            </w:r>
            <w:r>
              <w:t>staff submits the final report to Congress.</w:t>
            </w:r>
          </w:p>
        </w:tc>
      </w:tr>
    </w:tbl>
    <w:p w:rsidR="005868AD" w:rsidP="005868AD" w14:paraId="6DD12AC1" w14:textId="77777777">
      <w:pPr>
        <w:jc w:val="center"/>
      </w:pPr>
    </w:p>
    <w:p w:rsidR="00F169CC" w:rsidP="00F169CC" w14:paraId="0C5DCD92" w14:textId="3200F642">
      <w:r>
        <w:t xml:space="preserve">State plans are integrated with other State information that now appears on the Department’s website at </w:t>
      </w:r>
      <w:r w:rsidRPr="005F0C44" w:rsidR="005F0C44">
        <w:t>https://octae.ed.gov/pcrn/profile/fiscal/national</w:t>
      </w:r>
      <w:r>
        <w:t>.</w:t>
      </w:r>
    </w:p>
    <w:p w:rsidR="00843E05" w:rsidP="00843E05" w14:paraId="65408E27" w14:textId="0684DEFC">
      <w:pPr>
        <w:numPr>
          <w:ilvl w:val="0"/>
          <w:numId w:val="35"/>
        </w:numPr>
      </w:pPr>
      <w:r w:rsidRPr="00843E05">
        <w:t> </w:t>
      </w:r>
      <w:r w:rsidRPr="00843E05">
        <w:rPr>
          <w:b/>
          <w:bCs/>
        </w:rPr>
        <w:t>If seeking approval to not display the expiration date for OMB approval of the information collection, explain the reasons that display would be inappropriate.</w:t>
      </w:r>
      <w:r w:rsidRPr="00843E05">
        <w:t> </w:t>
      </w:r>
    </w:p>
    <w:p w:rsidR="00F169CC" w:rsidRPr="00843E05" w:rsidP="00F169CC" w14:paraId="769E85DC" w14:textId="19CF51F4">
      <w:r>
        <w:t>We are not seeking this approval.</w:t>
      </w:r>
    </w:p>
    <w:p w:rsidR="00843E05" w:rsidRPr="00843E05" w:rsidP="00843E05" w14:paraId="789A5797" w14:textId="77777777">
      <w:pPr>
        <w:numPr>
          <w:ilvl w:val="0"/>
          <w:numId w:val="36"/>
        </w:numPr>
      </w:pPr>
      <w:r w:rsidRPr="00843E05">
        <w:rPr>
          <w:b/>
          <w:bCs/>
        </w:rPr>
        <w:t>Explain each exception to the certification statement identified in the Certification of Paperwork Reduction Act.</w:t>
      </w:r>
      <w:r w:rsidRPr="00843E05">
        <w:t> </w:t>
      </w:r>
    </w:p>
    <w:p w:rsidR="00843E05" w:rsidRPr="00843E05" w:rsidP="00F169CC" w14:paraId="541F2B7F" w14:textId="4475BD69">
      <w:r>
        <w:t xml:space="preserve">There are no exceptions to </w:t>
      </w:r>
      <w:r>
        <w:t>the certification</w:t>
      </w:r>
      <w:r>
        <w:t xml:space="preserve"> statement identified in the Certification of the Paperwork Reduction Act.</w:t>
      </w:r>
    </w:p>
    <w:p w:rsidR="00843E05" w:rsidP="00843E05" w14:paraId="6E664888" w14:textId="591F1D8E">
      <w:pPr>
        <w:ind w:left="360"/>
      </w:pPr>
    </w:p>
    <w:p w:rsidR="00047597" w14:paraId="576C67C8"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6F3B" w:rsidP="00784AC2" w14:paraId="7C3F049A" w14:textId="77777777">
      <w:pPr>
        <w:spacing w:after="0" w:line="240" w:lineRule="auto"/>
      </w:pPr>
      <w:r>
        <w:separator/>
      </w:r>
    </w:p>
  </w:footnote>
  <w:footnote w:type="continuationSeparator" w:id="1">
    <w:p w:rsidR="00306F3B" w:rsidP="00784AC2" w14:paraId="5F8E82D4" w14:textId="77777777">
      <w:pPr>
        <w:spacing w:after="0" w:line="240" w:lineRule="auto"/>
      </w:pPr>
      <w:r>
        <w:continuationSeparator/>
      </w:r>
    </w:p>
  </w:footnote>
  <w:footnote w:type="continuationNotice" w:id="2">
    <w:p w:rsidR="00306F3B" w14:paraId="579D99BC" w14:textId="77777777">
      <w:pPr>
        <w:spacing w:after="0" w:line="240" w:lineRule="auto"/>
      </w:pPr>
    </w:p>
  </w:footnote>
  <w:footnote w:id="3">
    <w:p w:rsidR="00784AC2" w14:paraId="6A15FE5B" w14:textId="502915D2">
      <w:pPr>
        <w:pStyle w:val="FootnoteText"/>
      </w:pPr>
      <w:r>
        <w:rPr>
          <w:rStyle w:val="FootnoteReference"/>
        </w:rPr>
        <w:footnoteRef/>
      </w:r>
      <w:r>
        <w:t xml:space="preserve"> Bureau of Labor Statistics, U.S. Department of Labor, Employer Costs for Employee Compensation Historical Listing, National Compensation Survey, retrieved from https://www.bls.gov/web/ecec/ecec-government-dataset.xlsx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A40160"/>
    <w:multiLevelType w:val="hybridMultilevel"/>
    <w:tmpl w:val="F1F62F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B360C4"/>
    <w:multiLevelType w:val="multilevel"/>
    <w:tmpl w:val="3A16A7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D52F3"/>
    <w:multiLevelType w:val="multilevel"/>
    <w:tmpl w:val="FCBEB8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77116"/>
    <w:multiLevelType w:val="multilevel"/>
    <w:tmpl w:val="405C5C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5F23DB"/>
    <w:multiLevelType w:val="multilevel"/>
    <w:tmpl w:val="A06E3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70791B"/>
    <w:multiLevelType w:val="multilevel"/>
    <w:tmpl w:val="B41C12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BA06F4"/>
    <w:multiLevelType w:val="multilevel"/>
    <w:tmpl w:val="CBE47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896475"/>
    <w:multiLevelType w:val="multilevel"/>
    <w:tmpl w:val="4336E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970FF3"/>
    <w:multiLevelType w:val="hybridMultilevel"/>
    <w:tmpl w:val="01BCC3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753D31"/>
    <w:multiLevelType w:val="multilevel"/>
    <w:tmpl w:val="78C236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9918B2"/>
    <w:multiLevelType w:val="multilevel"/>
    <w:tmpl w:val="15F6CFF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7820E7"/>
    <w:multiLevelType w:val="hybridMultilevel"/>
    <w:tmpl w:val="0422FC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DD27B6E"/>
    <w:multiLevelType w:val="multilevel"/>
    <w:tmpl w:val="1D9E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F7015F"/>
    <w:multiLevelType w:val="multilevel"/>
    <w:tmpl w:val="B3541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34631DF"/>
    <w:multiLevelType w:val="multilevel"/>
    <w:tmpl w:val="F8FC85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6FF1A4D"/>
    <w:multiLevelType w:val="multilevel"/>
    <w:tmpl w:val="4496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9B169A7"/>
    <w:multiLevelType w:val="multilevel"/>
    <w:tmpl w:val="184672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0F6677"/>
    <w:multiLevelType w:val="multilevel"/>
    <w:tmpl w:val="3B360F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F8653C"/>
    <w:multiLevelType w:val="multilevel"/>
    <w:tmpl w:val="F34E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D5349CD"/>
    <w:multiLevelType w:val="multilevel"/>
    <w:tmpl w:val="ED9644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D9E1F70"/>
    <w:multiLevelType w:val="multilevel"/>
    <w:tmpl w:val="63621E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CF322C"/>
    <w:multiLevelType w:val="multilevel"/>
    <w:tmpl w:val="1E2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099649C"/>
    <w:multiLevelType w:val="multilevel"/>
    <w:tmpl w:val="200240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A37A57"/>
    <w:multiLevelType w:val="multilevel"/>
    <w:tmpl w:val="7FFC77E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A76183"/>
    <w:multiLevelType w:val="multilevel"/>
    <w:tmpl w:val="54907C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DE40AA"/>
    <w:multiLevelType w:val="multilevel"/>
    <w:tmpl w:val="E18071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297E35"/>
    <w:multiLevelType w:val="multilevel"/>
    <w:tmpl w:val="1E6EB7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031475"/>
    <w:multiLevelType w:val="multilevel"/>
    <w:tmpl w:val="FFFAB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313197"/>
    <w:multiLevelType w:val="multilevel"/>
    <w:tmpl w:val="7BE819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D46A03"/>
    <w:multiLevelType w:val="multilevel"/>
    <w:tmpl w:val="7B9EC8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DB354A4"/>
    <w:multiLevelType w:val="multilevel"/>
    <w:tmpl w:val="AFE0D55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E912390"/>
    <w:multiLevelType w:val="multilevel"/>
    <w:tmpl w:val="0BE012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1F420DC"/>
    <w:multiLevelType w:val="multilevel"/>
    <w:tmpl w:val="B14EAC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EB7751"/>
    <w:multiLevelType w:val="multilevel"/>
    <w:tmpl w:val="50FA0B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BC354C9"/>
    <w:multiLevelType w:val="multilevel"/>
    <w:tmpl w:val="F30214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554390"/>
    <w:multiLevelType w:val="multilevel"/>
    <w:tmpl w:val="81AC48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192A77"/>
    <w:multiLevelType w:val="multilevel"/>
    <w:tmpl w:val="A9FCBA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CE2AFA"/>
    <w:multiLevelType w:val="multilevel"/>
    <w:tmpl w:val="E7AC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5BE4775"/>
    <w:multiLevelType w:val="multilevel"/>
    <w:tmpl w:val="0E2E73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4155BC"/>
    <w:multiLevelType w:val="multilevel"/>
    <w:tmpl w:val="BF5803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E4484F"/>
    <w:multiLevelType w:val="multilevel"/>
    <w:tmpl w:val="A3DCBE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209586">
    <w:abstractNumId w:val="27"/>
  </w:num>
  <w:num w:numId="2" w16cid:durableId="2059550469">
    <w:abstractNumId w:val="4"/>
  </w:num>
  <w:num w:numId="3" w16cid:durableId="681906017">
    <w:abstractNumId w:val="6"/>
  </w:num>
  <w:num w:numId="4" w16cid:durableId="1488739907">
    <w:abstractNumId w:val="19"/>
  </w:num>
  <w:num w:numId="5" w16cid:durableId="2053459477">
    <w:abstractNumId w:val="5"/>
  </w:num>
  <w:num w:numId="6" w16cid:durableId="164904380">
    <w:abstractNumId w:val="22"/>
  </w:num>
  <w:num w:numId="7" w16cid:durableId="1682007048">
    <w:abstractNumId w:val="35"/>
  </w:num>
  <w:num w:numId="8" w16cid:durableId="615136861">
    <w:abstractNumId w:val="40"/>
  </w:num>
  <w:num w:numId="9" w16cid:durableId="1792481692">
    <w:abstractNumId w:val="17"/>
  </w:num>
  <w:num w:numId="10" w16cid:durableId="520045657">
    <w:abstractNumId w:val="20"/>
  </w:num>
  <w:num w:numId="11" w16cid:durableId="2108118439">
    <w:abstractNumId w:val="24"/>
  </w:num>
  <w:num w:numId="12" w16cid:durableId="2059818561">
    <w:abstractNumId w:val="2"/>
  </w:num>
  <w:num w:numId="13" w16cid:durableId="1154108123">
    <w:abstractNumId w:val="16"/>
  </w:num>
  <w:num w:numId="14" w16cid:durableId="1745420514">
    <w:abstractNumId w:val="29"/>
  </w:num>
  <w:num w:numId="15" w16cid:durableId="761489190">
    <w:abstractNumId w:val="15"/>
  </w:num>
  <w:num w:numId="16" w16cid:durableId="1542790836">
    <w:abstractNumId w:val="13"/>
  </w:num>
  <w:num w:numId="17" w16cid:durableId="901985569">
    <w:abstractNumId w:val="21"/>
  </w:num>
  <w:num w:numId="18" w16cid:durableId="810250509">
    <w:abstractNumId w:val="12"/>
  </w:num>
  <w:num w:numId="19" w16cid:durableId="1468815064">
    <w:abstractNumId w:val="33"/>
  </w:num>
  <w:num w:numId="20" w16cid:durableId="379017193">
    <w:abstractNumId w:val="25"/>
  </w:num>
  <w:num w:numId="21" w16cid:durableId="2024286598">
    <w:abstractNumId w:val="14"/>
  </w:num>
  <w:num w:numId="22" w16cid:durableId="777026879">
    <w:abstractNumId w:val="32"/>
  </w:num>
  <w:num w:numId="23" w16cid:durableId="2086564437">
    <w:abstractNumId w:val="7"/>
  </w:num>
  <w:num w:numId="24" w16cid:durableId="388724754">
    <w:abstractNumId w:val="39"/>
  </w:num>
  <w:num w:numId="25" w16cid:durableId="749036295">
    <w:abstractNumId w:val="26"/>
  </w:num>
  <w:num w:numId="26" w16cid:durableId="704447419">
    <w:abstractNumId w:val="38"/>
  </w:num>
  <w:num w:numId="27" w16cid:durableId="899680025">
    <w:abstractNumId w:val="28"/>
  </w:num>
  <w:num w:numId="28" w16cid:durableId="366414164">
    <w:abstractNumId w:val="31"/>
  </w:num>
  <w:num w:numId="29" w16cid:durableId="1756588927">
    <w:abstractNumId w:val="34"/>
  </w:num>
  <w:num w:numId="30" w16cid:durableId="949777765">
    <w:abstractNumId w:val="9"/>
  </w:num>
  <w:num w:numId="31" w16cid:durableId="1138960080">
    <w:abstractNumId w:val="1"/>
  </w:num>
  <w:num w:numId="32" w16cid:durableId="1297032369">
    <w:abstractNumId w:val="3"/>
  </w:num>
  <w:num w:numId="33" w16cid:durableId="754864446">
    <w:abstractNumId w:val="36"/>
  </w:num>
  <w:num w:numId="34" w16cid:durableId="294526850">
    <w:abstractNumId w:val="23"/>
  </w:num>
  <w:num w:numId="35" w16cid:durableId="357396322">
    <w:abstractNumId w:val="10"/>
  </w:num>
  <w:num w:numId="36" w16cid:durableId="482938542">
    <w:abstractNumId w:val="30"/>
  </w:num>
  <w:num w:numId="37" w16cid:durableId="2062823668">
    <w:abstractNumId w:val="11"/>
  </w:num>
  <w:num w:numId="38" w16cid:durableId="423234573">
    <w:abstractNumId w:val="0"/>
  </w:num>
  <w:num w:numId="39" w16cid:durableId="278294725">
    <w:abstractNumId w:val="18"/>
  </w:num>
  <w:num w:numId="40" w16cid:durableId="1194340772">
    <w:abstractNumId w:val="37"/>
  </w:num>
  <w:num w:numId="41" w16cid:durableId="629702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05"/>
    <w:rsid w:val="00004DBF"/>
    <w:rsid w:val="00007043"/>
    <w:rsid w:val="00022A4F"/>
    <w:rsid w:val="000374AE"/>
    <w:rsid w:val="00044FF5"/>
    <w:rsid w:val="00045FE4"/>
    <w:rsid w:val="00047597"/>
    <w:rsid w:val="00056F0A"/>
    <w:rsid w:val="00070F81"/>
    <w:rsid w:val="000722AE"/>
    <w:rsid w:val="00091C68"/>
    <w:rsid w:val="00096259"/>
    <w:rsid w:val="000B05DB"/>
    <w:rsid w:val="000B4E37"/>
    <w:rsid w:val="000C580D"/>
    <w:rsid w:val="000D2268"/>
    <w:rsid w:val="000F110F"/>
    <w:rsid w:val="000F48CE"/>
    <w:rsid w:val="000F6A43"/>
    <w:rsid w:val="00111DCA"/>
    <w:rsid w:val="001265E9"/>
    <w:rsid w:val="00131FEE"/>
    <w:rsid w:val="0013748D"/>
    <w:rsid w:val="001536C7"/>
    <w:rsid w:val="001559AF"/>
    <w:rsid w:val="0017382F"/>
    <w:rsid w:val="001827F3"/>
    <w:rsid w:val="001B496E"/>
    <w:rsid w:val="001C0BD6"/>
    <w:rsid w:val="001C2081"/>
    <w:rsid w:val="001C503D"/>
    <w:rsid w:val="001C7E54"/>
    <w:rsid w:val="001E6948"/>
    <w:rsid w:val="00203ACB"/>
    <w:rsid w:val="00231CD5"/>
    <w:rsid w:val="00240779"/>
    <w:rsid w:val="00243541"/>
    <w:rsid w:val="0024569C"/>
    <w:rsid w:val="0025288F"/>
    <w:rsid w:val="002537C3"/>
    <w:rsid w:val="00256906"/>
    <w:rsid w:val="00271606"/>
    <w:rsid w:val="00272A33"/>
    <w:rsid w:val="00273B70"/>
    <w:rsid w:val="00292433"/>
    <w:rsid w:val="002940C3"/>
    <w:rsid w:val="002C02A6"/>
    <w:rsid w:val="002C1276"/>
    <w:rsid w:val="002C65BC"/>
    <w:rsid w:val="002D4C31"/>
    <w:rsid w:val="002D4E48"/>
    <w:rsid w:val="002F7A6A"/>
    <w:rsid w:val="00306F3B"/>
    <w:rsid w:val="00307C38"/>
    <w:rsid w:val="00307D3E"/>
    <w:rsid w:val="00320D1A"/>
    <w:rsid w:val="0033152A"/>
    <w:rsid w:val="0034699C"/>
    <w:rsid w:val="00354441"/>
    <w:rsid w:val="00360016"/>
    <w:rsid w:val="0036230B"/>
    <w:rsid w:val="00373F04"/>
    <w:rsid w:val="00374FB2"/>
    <w:rsid w:val="00384BB9"/>
    <w:rsid w:val="00384D07"/>
    <w:rsid w:val="00391740"/>
    <w:rsid w:val="00391C57"/>
    <w:rsid w:val="003932F9"/>
    <w:rsid w:val="003C0F50"/>
    <w:rsid w:val="003E77EC"/>
    <w:rsid w:val="00410798"/>
    <w:rsid w:val="00416891"/>
    <w:rsid w:val="00427C04"/>
    <w:rsid w:val="00431163"/>
    <w:rsid w:val="00442155"/>
    <w:rsid w:val="00453CB3"/>
    <w:rsid w:val="00455BC2"/>
    <w:rsid w:val="004609A9"/>
    <w:rsid w:val="00466D4D"/>
    <w:rsid w:val="00470F49"/>
    <w:rsid w:val="00477C95"/>
    <w:rsid w:val="004965A6"/>
    <w:rsid w:val="004B53E3"/>
    <w:rsid w:val="004D53CA"/>
    <w:rsid w:val="004E2F4C"/>
    <w:rsid w:val="004F099E"/>
    <w:rsid w:val="004F19F1"/>
    <w:rsid w:val="005056C7"/>
    <w:rsid w:val="005077DB"/>
    <w:rsid w:val="00510456"/>
    <w:rsid w:val="00512A52"/>
    <w:rsid w:val="00517E4A"/>
    <w:rsid w:val="005301B3"/>
    <w:rsid w:val="00531244"/>
    <w:rsid w:val="00534E64"/>
    <w:rsid w:val="005527C5"/>
    <w:rsid w:val="005544B6"/>
    <w:rsid w:val="00557EB3"/>
    <w:rsid w:val="0056751D"/>
    <w:rsid w:val="005868AD"/>
    <w:rsid w:val="00594987"/>
    <w:rsid w:val="005A6081"/>
    <w:rsid w:val="005B1493"/>
    <w:rsid w:val="005B3417"/>
    <w:rsid w:val="005C6726"/>
    <w:rsid w:val="005D4F3E"/>
    <w:rsid w:val="005E3D9F"/>
    <w:rsid w:val="005F0C44"/>
    <w:rsid w:val="005F778B"/>
    <w:rsid w:val="00602D2B"/>
    <w:rsid w:val="00631AE6"/>
    <w:rsid w:val="00641B8E"/>
    <w:rsid w:val="006443B8"/>
    <w:rsid w:val="0065255B"/>
    <w:rsid w:val="00667DA5"/>
    <w:rsid w:val="00672AE8"/>
    <w:rsid w:val="006730BD"/>
    <w:rsid w:val="00687FFD"/>
    <w:rsid w:val="006A148D"/>
    <w:rsid w:val="006B6860"/>
    <w:rsid w:val="006C2CC8"/>
    <w:rsid w:val="006C47B4"/>
    <w:rsid w:val="006D4A84"/>
    <w:rsid w:val="006E3939"/>
    <w:rsid w:val="006E5531"/>
    <w:rsid w:val="006F7CC0"/>
    <w:rsid w:val="00720E4C"/>
    <w:rsid w:val="0072305A"/>
    <w:rsid w:val="00731AA6"/>
    <w:rsid w:val="007322D0"/>
    <w:rsid w:val="00747ACC"/>
    <w:rsid w:val="0075023A"/>
    <w:rsid w:val="00751339"/>
    <w:rsid w:val="0075537D"/>
    <w:rsid w:val="007734B7"/>
    <w:rsid w:val="0077386A"/>
    <w:rsid w:val="00777DBB"/>
    <w:rsid w:val="00780D63"/>
    <w:rsid w:val="00783D2F"/>
    <w:rsid w:val="00784AC2"/>
    <w:rsid w:val="00787D4C"/>
    <w:rsid w:val="007A2027"/>
    <w:rsid w:val="007A7515"/>
    <w:rsid w:val="007C0543"/>
    <w:rsid w:val="007D216F"/>
    <w:rsid w:val="007D42CD"/>
    <w:rsid w:val="007D74A8"/>
    <w:rsid w:val="007D791E"/>
    <w:rsid w:val="007E3237"/>
    <w:rsid w:val="007F69FC"/>
    <w:rsid w:val="007F7C94"/>
    <w:rsid w:val="00802FF2"/>
    <w:rsid w:val="008113CE"/>
    <w:rsid w:val="00817A79"/>
    <w:rsid w:val="00826B56"/>
    <w:rsid w:val="00837703"/>
    <w:rsid w:val="00841C12"/>
    <w:rsid w:val="00843E05"/>
    <w:rsid w:val="00844ED6"/>
    <w:rsid w:val="0085164E"/>
    <w:rsid w:val="00860923"/>
    <w:rsid w:val="0087115E"/>
    <w:rsid w:val="00874CF0"/>
    <w:rsid w:val="00875D92"/>
    <w:rsid w:val="00894968"/>
    <w:rsid w:val="008969F2"/>
    <w:rsid w:val="008A2DE4"/>
    <w:rsid w:val="008A7161"/>
    <w:rsid w:val="008B162F"/>
    <w:rsid w:val="008B4F43"/>
    <w:rsid w:val="008B70B4"/>
    <w:rsid w:val="008C0184"/>
    <w:rsid w:val="008E2DFB"/>
    <w:rsid w:val="008F0BA2"/>
    <w:rsid w:val="008F65A0"/>
    <w:rsid w:val="00906D69"/>
    <w:rsid w:val="0091137C"/>
    <w:rsid w:val="009137E2"/>
    <w:rsid w:val="00923085"/>
    <w:rsid w:val="00930F63"/>
    <w:rsid w:val="00937A07"/>
    <w:rsid w:val="009442B7"/>
    <w:rsid w:val="009544B1"/>
    <w:rsid w:val="009602E9"/>
    <w:rsid w:val="00965594"/>
    <w:rsid w:val="00977607"/>
    <w:rsid w:val="009874F9"/>
    <w:rsid w:val="00987950"/>
    <w:rsid w:val="00991E06"/>
    <w:rsid w:val="00993DD3"/>
    <w:rsid w:val="00996082"/>
    <w:rsid w:val="00996A3C"/>
    <w:rsid w:val="00996B62"/>
    <w:rsid w:val="009A2577"/>
    <w:rsid w:val="009A7769"/>
    <w:rsid w:val="009B422F"/>
    <w:rsid w:val="009B4466"/>
    <w:rsid w:val="009B58A8"/>
    <w:rsid w:val="009C08D8"/>
    <w:rsid w:val="009D233C"/>
    <w:rsid w:val="009D5112"/>
    <w:rsid w:val="009F185C"/>
    <w:rsid w:val="009F3783"/>
    <w:rsid w:val="009F4B5F"/>
    <w:rsid w:val="00A02963"/>
    <w:rsid w:val="00A02A6A"/>
    <w:rsid w:val="00A0716E"/>
    <w:rsid w:val="00A12652"/>
    <w:rsid w:val="00A401A4"/>
    <w:rsid w:val="00A53330"/>
    <w:rsid w:val="00A7564F"/>
    <w:rsid w:val="00A850BD"/>
    <w:rsid w:val="00A956AA"/>
    <w:rsid w:val="00AA6041"/>
    <w:rsid w:val="00AA6840"/>
    <w:rsid w:val="00AA6FE8"/>
    <w:rsid w:val="00AA78A4"/>
    <w:rsid w:val="00AB4CC5"/>
    <w:rsid w:val="00AC0B92"/>
    <w:rsid w:val="00AD6DB2"/>
    <w:rsid w:val="00AE720C"/>
    <w:rsid w:val="00AF4AD1"/>
    <w:rsid w:val="00B03907"/>
    <w:rsid w:val="00B043EA"/>
    <w:rsid w:val="00B114D8"/>
    <w:rsid w:val="00B17F7B"/>
    <w:rsid w:val="00B23D75"/>
    <w:rsid w:val="00B24CB5"/>
    <w:rsid w:val="00B4063A"/>
    <w:rsid w:val="00B72358"/>
    <w:rsid w:val="00B91908"/>
    <w:rsid w:val="00B94E3B"/>
    <w:rsid w:val="00B96EED"/>
    <w:rsid w:val="00B979CF"/>
    <w:rsid w:val="00BA481A"/>
    <w:rsid w:val="00BA5DEE"/>
    <w:rsid w:val="00BA711D"/>
    <w:rsid w:val="00BA7712"/>
    <w:rsid w:val="00BB7E7A"/>
    <w:rsid w:val="00BD0F02"/>
    <w:rsid w:val="00BD6A6E"/>
    <w:rsid w:val="00BE7562"/>
    <w:rsid w:val="00BF368A"/>
    <w:rsid w:val="00BF6019"/>
    <w:rsid w:val="00BF6E61"/>
    <w:rsid w:val="00C07E56"/>
    <w:rsid w:val="00C13E3B"/>
    <w:rsid w:val="00C35FC3"/>
    <w:rsid w:val="00C56798"/>
    <w:rsid w:val="00C63B9D"/>
    <w:rsid w:val="00C73D9E"/>
    <w:rsid w:val="00C761DF"/>
    <w:rsid w:val="00C81334"/>
    <w:rsid w:val="00C86C51"/>
    <w:rsid w:val="00C92655"/>
    <w:rsid w:val="00C97CD7"/>
    <w:rsid w:val="00CA6594"/>
    <w:rsid w:val="00CB1866"/>
    <w:rsid w:val="00CB19F1"/>
    <w:rsid w:val="00CB5794"/>
    <w:rsid w:val="00CB68BF"/>
    <w:rsid w:val="00CC3F06"/>
    <w:rsid w:val="00CD3C1C"/>
    <w:rsid w:val="00CE2D13"/>
    <w:rsid w:val="00CF2477"/>
    <w:rsid w:val="00CF24AE"/>
    <w:rsid w:val="00D04E76"/>
    <w:rsid w:val="00D064A4"/>
    <w:rsid w:val="00D1496C"/>
    <w:rsid w:val="00D27BCF"/>
    <w:rsid w:val="00D33A7F"/>
    <w:rsid w:val="00D45F7A"/>
    <w:rsid w:val="00D57A45"/>
    <w:rsid w:val="00D61816"/>
    <w:rsid w:val="00D670A4"/>
    <w:rsid w:val="00D705CD"/>
    <w:rsid w:val="00D75FA4"/>
    <w:rsid w:val="00D77627"/>
    <w:rsid w:val="00D80413"/>
    <w:rsid w:val="00D90F10"/>
    <w:rsid w:val="00D912B1"/>
    <w:rsid w:val="00DA2875"/>
    <w:rsid w:val="00DB2B39"/>
    <w:rsid w:val="00DB4113"/>
    <w:rsid w:val="00DB6735"/>
    <w:rsid w:val="00DD0D3A"/>
    <w:rsid w:val="00DD2985"/>
    <w:rsid w:val="00DE133B"/>
    <w:rsid w:val="00DE3BA7"/>
    <w:rsid w:val="00DE460D"/>
    <w:rsid w:val="00E16762"/>
    <w:rsid w:val="00E20DD1"/>
    <w:rsid w:val="00E26D86"/>
    <w:rsid w:val="00E334CD"/>
    <w:rsid w:val="00E5709B"/>
    <w:rsid w:val="00E57A0C"/>
    <w:rsid w:val="00E60B9B"/>
    <w:rsid w:val="00E62A1A"/>
    <w:rsid w:val="00E62F0D"/>
    <w:rsid w:val="00E76B10"/>
    <w:rsid w:val="00E83956"/>
    <w:rsid w:val="00E862C2"/>
    <w:rsid w:val="00E869F3"/>
    <w:rsid w:val="00E90BEE"/>
    <w:rsid w:val="00E965B0"/>
    <w:rsid w:val="00EA151F"/>
    <w:rsid w:val="00EA58D9"/>
    <w:rsid w:val="00EA7C4B"/>
    <w:rsid w:val="00EA7CEE"/>
    <w:rsid w:val="00EB057C"/>
    <w:rsid w:val="00EB5FF5"/>
    <w:rsid w:val="00EB7B4B"/>
    <w:rsid w:val="00EC701D"/>
    <w:rsid w:val="00ED585E"/>
    <w:rsid w:val="00ED7DDA"/>
    <w:rsid w:val="00EE0FF1"/>
    <w:rsid w:val="00EE69EC"/>
    <w:rsid w:val="00EE6A9D"/>
    <w:rsid w:val="00EF6C62"/>
    <w:rsid w:val="00F03BAB"/>
    <w:rsid w:val="00F051E7"/>
    <w:rsid w:val="00F075C8"/>
    <w:rsid w:val="00F14B53"/>
    <w:rsid w:val="00F169CC"/>
    <w:rsid w:val="00F32842"/>
    <w:rsid w:val="00F358CB"/>
    <w:rsid w:val="00F3724D"/>
    <w:rsid w:val="00F408A1"/>
    <w:rsid w:val="00F60A2E"/>
    <w:rsid w:val="00F72AE7"/>
    <w:rsid w:val="00FA2805"/>
    <w:rsid w:val="00FA2AC9"/>
    <w:rsid w:val="00FB144E"/>
    <w:rsid w:val="00FC42DD"/>
    <w:rsid w:val="00FC65E9"/>
    <w:rsid w:val="00FE79AD"/>
    <w:rsid w:val="00FF007E"/>
    <w:rsid w:val="04C2A978"/>
    <w:rsid w:val="0505EBD1"/>
    <w:rsid w:val="16E0FC86"/>
    <w:rsid w:val="17CA5243"/>
    <w:rsid w:val="19E12B64"/>
    <w:rsid w:val="1D3B845E"/>
    <w:rsid w:val="20360253"/>
    <w:rsid w:val="294E7AE3"/>
    <w:rsid w:val="338B005A"/>
    <w:rsid w:val="357AC8D8"/>
    <w:rsid w:val="3797FEB5"/>
    <w:rsid w:val="396B3683"/>
    <w:rsid w:val="50434ECE"/>
    <w:rsid w:val="5665EACA"/>
    <w:rsid w:val="570384CA"/>
    <w:rsid w:val="58E40226"/>
    <w:rsid w:val="59F40C9C"/>
    <w:rsid w:val="5BBA1FB7"/>
    <w:rsid w:val="609D40CB"/>
    <w:rsid w:val="660E3AD1"/>
    <w:rsid w:val="67898FE6"/>
    <w:rsid w:val="6BC58AA9"/>
    <w:rsid w:val="701D2E47"/>
    <w:rsid w:val="71F9CA9C"/>
    <w:rsid w:val="77F11FA8"/>
    <w:rsid w:val="7AF512F3"/>
    <w:rsid w:val="7B2B36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26DE99"/>
  <w15:chartTrackingRefBased/>
  <w15:docId w15:val="{F4597CAC-2080-4AC2-973F-9B58CE10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43E0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43E05"/>
  </w:style>
  <w:style w:type="character" w:customStyle="1" w:styleId="eop">
    <w:name w:val="eop"/>
    <w:basedOn w:val="DefaultParagraphFont"/>
    <w:rsid w:val="00843E05"/>
  </w:style>
  <w:style w:type="character" w:styleId="Hyperlink">
    <w:name w:val="Hyperlink"/>
    <w:basedOn w:val="DefaultParagraphFont"/>
    <w:uiPriority w:val="99"/>
    <w:unhideWhenUsed/>
    <w:rsid w:val="00843E05"/>
    <w:rPr>
      <w:color w:val="0563C1" w:themeColor="hyperlink"/>
      <w:u w:val="single"/>
    </w:rPr>
  </w:style>
  <w:style w:type="character" w:styleId="UnresolvedMention">
    <w:name w:val="Unresolved Mention"/>
    <w:basedOn w:val="DefaultParagraphFont"/>
    <w:uiPriority w:val="99"/>
    <w:semiHidden/>
    <w:unhideWhenUsed/>
    <w:rsid w:val="00843E05"/>
    <w:rPr>
      <w:color w:val="605E5C"/>
      <w:shd w:val="clear" w:color="auto" w:fill="E1DFDD"/>
    </w:rPr>
  </w:style>
  <w:style w:type="character" w:styleId="CommentReference">
    <w:name w:val="annotation reference"/>
    <w:basedOn w:val="DefaultParagraphFont"/>
    <w:uiPriority w:val="99"/>
    <w:semiHidden/>
    <w:unhideWhenUsed/>
    <w:rsid w:val="00843E05"/>
    <w:rPr>
      <w:sz w:val="16"/>
      <w:szCs w:val="16"/>
    </w:rPr>
  </w:style>
  <w:style w:type="paragraph" w:styleId="CommentText">
    <w:name w:val="annotation text"/>
    <w:basedOn w:val="Normal"/>
    <w:link w:val="CommentTextChar"/>
    <w:uiPriority w:val="99"/>
    <w:unhideWhenUsed/>
    <w:rsid w:val="00843E05"/>
    <w:pPr>
      <w:spacing w:line="240" w:lineRule="auto"/>
    </w:pPr>
    <w:rPr>
      <w:sz w:val="20"/>
      <w:szCs w:val="20"/>
    </w:rPr>
  </w:style>
  <w:style w:type="character" w:customStyle="1" w:styleId="CommentTextChar">
    <w:name w:val="Comment Text Char"/>
    <w:basedOn w:val="DefaultParagraphFont"/>
    <w:link w:val="CommentText"/>
    <w:uiPriority w:val="99"/>
    <w:rsid w:val="00843E05"/>
    <w:rPr>
      <w:sz w:val="20"/>
      <w:szCs w:val="20"/>
    </w:rPr>
  </w:style>
  <w:style w:type="paragraph" w:styleId="CommentSubject">
    <w:name w:val="annotation subject"/>
    <w:basedOn w:val="CommentText"/>
    <w:next w:val="CommentText"/>
    <w:link w:val="CommentSubjectChar"/>
    <w:uiPriority w:val="99"/>
    <w:semiHidden/>
    <w:unhideWhenUsed/>
    <w:rsid w:val="00843E05"/>
    <w:rPr>
      <w:b/>
      <w:bCs/>
    </w:rPr>
  </w:style>
  <w:style w:type="character" w:customStyle="1" w:styleId="CommentSubjectChar">
    <w:name w:val="Comment Subject Char"/>
    <w:basedOn w:val="CommentTextChar"/>
    <w:link w:val="CommentSubject"/>
    <w:uiPriority w:val="99"/>
    <w:semiHidden/>
    <w:rsid w:val="00843E05"/>
    <w:rPr>
      <w:b/>
      <w:bCs/>
      <w:sz w:val="20"/>
      <w:szCs w:val="20"/>
    </w:rPr>
  </w:style>
  <w:style w:type="paragraph" w:styleId="ListParagraph">
    <w:name w:val="List Paragraph"/>
    <w:basedOn w:val="Normal"/>
    <w:uiPriority w:val="34"/>
    <w:qFormat/>
    <w:rsid w:val="001C7E54"/>
    <w:pPr>
      <w:ind w:left="720"/>
      <w:contextualSpacing/>
    </w:pPr>
  </w:style>
  <w:style w:type="paragraph" w:styleId="FootnoteText">
    <w:name w:val="footnote text"/>
    <w:basedOn w:val="Normal"/>
    <w:link w:val="FootnoteTextChar"/>
    <w:uiPriority w:val="99"/>
    <w:semiHidden/>
    <w:unhideWhenUsed/>
    <w:rsid w:val="00784A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AC2"/>
    <w:rPr>
      <w:sz w:val="20"/>
      <w:szCs w:val="20"/>
    </w:rPr>
  </w:style>
  <w:style w:type="character" w:styleId="FootnoteReference">
    <w:name w:val="footnote reference"/>
    <w:basedOn w:val="DefaultParagraphFont"/>
    <w:uiPriority w:val="99"/>
    <w:semiHidden/>
    <w:unhideWhenUsed/>
    <w:rsid w:val="00784AC2"/>
    <w:rPr>
      <w:vertAlign w:val="superscript"/>
    </w:rPr>
  </w:style>
  <w:style w:type="table" w:styleId="TableGrid">
    <w:name w:val="Table Grid"/>
    <w:basedOn w:val="TableNormal"/>
    <w:uiPriority w:val="39"/>
    <w:rsid w:val="00F35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6A6E"/>
    <w:pPr>
      <w:spacing w:after="0" w:line="240" w:lineRule="auto"/>
    </w:pPr>
  </w:style>
  <w:style w:type="paragraph" w:styleId="Revision">
    <w:name w:val="Revision"/>
    <w:hidden/>
    <w:uiPriority w:val="99"/>
    <w:semiHidden/>
    <w:rsid w:val="003932F9"/>
    <w:pPr>
      <w:spacing w:after="0" w:line="240" w:lineRule="auto"/>
    </w:pPr>
  </w:style>
  <w:style w:type="paragraph" w:styleId="Header">
    <w:name w:val="header"/>
    <w:basedOn w:val="Normal"/>
    <w:link w:val="HeaderChar"/>
    <w:uiPriority w:val="99"/>
    <w:semiHidden/>
    <w:unhideWhenUsed/>
    <w:rsid w:val="007553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537D"/>
  </w:style>
  <w:style w:type="paragraph" w:styleId="Footer">
    <w:name w:val="footer"/>
    <w:basedOn w:val="Normal"/>
    <w:link w:val="FooterChar"/>
    <w:uiPriority w:val="99"/>
    <w:semiHidden/>
    <w:unhideWhenUsed/>
    <w:rsid w:val="007553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5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OCTAE&#8217;s" TargetMode="External" /><Relationship Id="rId11" Type="http://schemas.openxmlformats.org/officeDocument/2006/relationships/hyperlink" Target="https://perkins.ed.gov" TargetMode="External" /><Relationship Id="rId12" Type="http://schemas.openxmlformats.org/officeDocument/2006/relationships/hyperlink" Target="https://www.bls.gov/oes/current/oes_nat.html"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perkins.ed.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905E9B17257344A422F0EB5D5A7C38" ma:contentTypeVersion="18" ma:contentTypeDescription="Create a new document." ma:contentTypeScope="" ma:versionID="3890d6997d2cb28d745ac623cc2e644e">
  <xsd:schema xmlns:xsd="http://www.w3.org/2001/XMLSchema" xmlns:xs="http://www.w3.org/2001/XMLSchema" xmlns:p="http://schemas.microsoft.com/office/2006/metadata/properties" xmlns:ns2="6ed4f710-a888-49b6-a3ba-a65a9384835f" xmlns:ns3="ffcb171c-5eb6-4b7e-bff7-850b4441ed9e" xmlns:ns4="2a2db8c4-56ab-4882-a5d0-0fe8165c6658" targetNamespace="http://schemas.microsoft.com/office/2006/metadata/properties" ma:root="true" ma:fieldsID="584c4f46b4765846396fe99f3a3ca17b" ns2:_="" ns3:_="" ns4:_="">
    <xsd:import namespace="6ed4f710-a888-49b6-a3ba-a65a9384835f"/>
    <xsd:import namespace="ffcb171c-5eb6-4b7e-bff7-850b4441ed9e"/>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4f710-a888-49b6-a3ba-a65a9384835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cb171c-5eb6-4b7e-bff7-850b4441ed9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28dccee-2e6f-46a6-a0eb-8e22817c525e}" ma:internalName="TaxCatchAll" ma:showField="CatchAllData" ma:web="ffcb171c-5eb6-4b7e-bff7-850b4441ed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d4f710-a888-49b6-a3ba-a65a9384835f">
      <Terms xmlns="http://schemas.microsoft.com/office/infopath/2007/PartnerControls"/>
    </lcf76f155ced4ddcb4097134ff3c332f>
    <TaxCatchAll xmlns="2a2db8c4-56ab-4882-a5d0-0fe8165c6658" xsi:nil="true"/>
  </documentManagement>
</p:properties>
</file>

<file path=customXml/itemProps1.xml><?xml version="1.0" encoding="utf-8"?>
<ds:datastoreItem xmlns:ds="http://schemas.openxmlformats.org/officeDocument/2006/customXml" ds:itemID="{384E1F9B-C5FE-41E2-81A0-FE422C7BD143}">
  <ds:schemaRefs>
    <ds:schemaRef ds:uri="http://schemas.microsoft.com/sharepoint/v3/contenttype/forms"/>
  </ds:schemaRefs>
</ds:datastoreItem>
</file>

<file path=customXml/itemProps2.xml><?xml version="1.0" encoding="utf-8"?>
<ds:datastoreItem xmlns:ds="http://schemas.openxmlformats.org/officeDocument/2006/customXml" ds:itemID="{C395859B-F06C-49BD-84DF-BB207BF40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4f710-a888-49b6-a3ba-a65a9384835f"/>
    <ds:schemaRef ds:uri="ffcb171c-5eb6-4b7e-bff7-850b4441ed9e"/>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29BF60-652D-439C-B113-15AB456CF7B4}">
  <ds:schemaRefs>
    <ds:schemaRef ds:uri="http://schemas.openxmlformats.org/officeDocument/2006/bibliography"/>
  </ds:schemaRefs>
</ds:datastoreItem>
</file>

<file path=customXml/itemProps4.xml><?xml version="1.0" encoding="utf-8"?>
<ds:datastoreItem xmlns:ds="http://schemas.openxmlformats.org/officeDocument/2006/customXml" ds:itemID="{2ECB724F-03C0-4914-833D-7850EE790A85}">
  <ds:schemaRefs>
    <ds:schemaRef ds:uri="http://schemas.microsoft.com/office/2006/metadata/properties"/>
    <ds:schemaRef ds:uri="http://schemas.microsoft.com/office/infopath/2007/PartnerControls"/>
    <ds:schemaRef ds:uri="6ed4f710-a888-49b6-a3ba-a65a9384835f"/>
    <ds:schemaRef ds:uri="2a2db8c4-56ab-4882-a5d0-0fe8165c6658"/>
  </ds:schemaRefs>
</ds:datastoreItem>
</file>

<file path=docProps/app.xml><?xml version="1.0" encoding="utf-8"?>
<Properties xmlns="http://schemas.openxmlformats.org/officeDocument/2006/extended-properties" xmlns:vt="http://schemas.openxmlformats.org/officeDocument/2006/docPropsVTypes">
  <Template>Normal</Template>
  <TotalTime>6108</TotalTime>
  <Pages>11</Pages>
  <Words>4577</Words>
  <Characters>24992</Characters>
  <Application>Microsoft Office Word</Application>
  <DocSecurity>0</DocSecurity>
  <Lines>1190</Lines>
  <Paragraphs>448</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29121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Flynn-Tabloff, Adam</dc:creator>
  <cp:lastModifiedBy>Flynn-Tabloff, Adam</cp:lastModifiedBy>
  <cp:revision>5</cp:revision>
  <cp:lastPrinted>2025-02-06T17:11:00Z</cp:lastPrinted>
  <dcterms:created xsi:type="dcterms:W3CDTF">2026-07-31T16:25:00Z</dcterms:created>
  <dcterms:modified xsi:type="dcterms:W3CDTF">2026-08-11T15:50:00Z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0x01010045905E9B17257344A422F0EB5D5A7C38</vt:lpwstr>
  </property>
  <property fmtid="{D5CDD505-2E9C-101B-9397-08002B2CF9AE}" pid="3" name="MediaServiceImageTags">
    <vt:lpwstr/>
  </property>
</Properties>
</file>