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86890" w:rsidRPr="00C30AEF" w:rsidP="549EAD48" w14:paraId="1D3AF36B" w14:textId="77777777">
      <w:pPr>
        <w:jc w:val="center"/>
        <w:rPr>
          <w:szCs w:val="26"/>
        </w:rPr>
      </w:pPr>
      <w:r w:rsidRPr="00C30AEF">
        <w:rPr>
          <w:szCs w:val="26"/>
        </w:rPr>
        <w:t>UNITED STATES OF AMERICA</w:t>
      </w:r>
    </w:p>
    <w:p w:rsidR="00F86890" w:rsidRPr="00C30AEF" w:rsidP="549EAD48" w14:paraId="79992091" w14:textId="77777777">
      <w:pPr>
        <w:jc w:val="center"/>
        <w:rPr>
          <w:szCs w:val="26"/>
        </w:rPr>
      </w:pPr>
      <w:r w:rsidRPr="00C30AEF">
        <w:rPr>
          <w:szCs w:val="26"/>
        </w:rPr>
        <w:t>FEDERAL ENERGY REGULATORY COMMISSION</w:t>
      </w:r>
    </w:p>
    <w:p w:rsidR="00F86890" w:rsidRPr="00C30AEF" w:rsidP="549EAD48" w14:paraId="02834C92" w14:textId="77777777">
      <w:pPr>
        <w:rPr>
          <w:szCs w:val="26"/>
        </w:rPr>
      </w:pPr>
    </w:p>
    <w:p w:rsidR="00F86890" w:rsidRPr="00C30AEF" w:rsidP="549EAD48" w14:paraId="021D341E" w14:textId="0B4C976E">
      <w:pPr>
        <w:jc w:val="center"/>
        <w:rPr>
          <w:szCs w:val="26"/>
        </w:rPr>
      </w:pPr>
      <w:r w:rsidRPr="00C30AEF">
        <w:rPr>
          <w:szCs w:val="26"/>
        </w:rPr>
        <w:t xml:space="preserve">[Docket No. </w:t>
      </w:r>
      <w:r w:rsidRPr="00C30AEF" w:rsidR="00462DBE">
        <w:rPr>
          <w:szCs w:val="26"/>
        </w:rPr>
        <w:t>IC</w:t>
      </w:r>
      <w:r w:rsidRPr="00C30AEF" w:rsidR="00161EEC">
        <w:rPr>
          <w:szCs w:val="26"/>
        </w:rPr>
        <w:t>26</w:t>
      </w:r>
      <w:r w:rsidRPr="00C30AEF" w:rsidR="00462DBE">
        <w:rPr>
          <w:szCs w:val="26"/>
        </w:rPr>
        <w:t>-</w:t>
      </w:r>
      <w:r w:rsidRPr="00C30AEF" w:rsidR="00161EEC">
        <w:rPr>
          <w:szCs w:val="26"/>
        </w:rPr>
        <w:t>27</w:t>
      </w:r>
      <w:r w:rsidRPr="00C30AEF">
        <w:rPr>
          <w:szCs w:val="26"/>
        </w:rPr>
        <w:t>-000]</w:t>
      </w:r>
    </w:p>
    <w:p w:rsidR="00F86890" w:rsidRPr="00C30AEF" w:rsidP="549EAD48" w14:paraId="3565036C" w14:textId="77777777">
      <w:pPr>
        <w:rPr>
          <w:szCs w:val="26"/>
        </w:rPr>
      </w:pPr>
    </w:p>
    <w:p w:rsidR="00F86890" w:rsidRPr="00C30AEF" w:rsidP="549EAD48" w14:paraId="7F410A43" w14:textId="145A0F4F">
      <w:pPr>
        <w:jc w:val="center"/>
        <w:rPr>
          <w:szCs w:val="26"/>
        </w:rPr>
      </w:pPr>
      <w:r w:rsidRPr="00C30AEF">
        <w:rPr>
          <w:szCs w:val="26"/>
        </w:rPr>
        <w:t>COMMISSION INFORMATION COLLECTION ACTIVITIES (FERC-</w:t>
      </w:r>
      <w:r w:rsidRPr="00C30AEF" w:rsidR="00781A38">
        <w:rPr>
          <w:szCs w:val="26"/>
        </w:rPr>
        <w:t>516</w:t>
      </w:r>
      <w:r w:rsidRPr="00C30AEF">
        <w:rPr>
          <w:szCs w:val="26"/>
        </w:rPr>
        <w:t>);</w:t>
      </w:r>
    </w:p>
    <w:p w:rsidR="00F86890" w:rsidRPr="00C30AEF" w:rsidP="16DF4E6C" w14:paraId="7D33A233" w14:textId="3D7480F7">
      <w:pPr>
        <w:jc w:val="center"/>
        <w:rPr>
          <w:szCs w:val="26"/>
        </w:rPr>
      </w:pPr>
      <w:r w:rsidRPr="00C30AEF">
        <w:rPr>
          <w:szCs w:val="26"/>
        </w:rPr>
        <w:t>COMMENT REQUEST;</w:t>
      </w:r>
      <w:r w:rsidRPr="00C30AEF" w:rsidR="1D9D8D52">
        <w:rPr>
          <w:szCs w:val="26"/>
        </w:rPr>
        <w:t xml:space="preserve"> MERGER;</w:t>
      </w:r>
      <w:r w:rsidRPr="00C30AEF">
        <w:rPr>
          <w:szCs w:val="26"/>
        </w:rPr>
        <w:t xml:space="preserve"> EXTENSION</w:t>
      </w:r>
    </w:p>
    <w:p w:rsidR="00F86890" w:rsidRPr="00C30AEF" w:rsidP="549EAD48" w14:paraId="40E27417" w14:textId="77777777">
      <w:pPr>
        <w:rPr>
          <w:szCs w:val="26"/>
        </w:rPr>
      </w:pPr>
    </w:p>
    <w:p w:rsidR="00C30AEF" w:rsidRPr="00C30AEF" w:rsidP="00C30AEF" w14:paraId="30C736DF" w14:textId="77777777">
      <w:pPr>
        <w:jc w:val="center"/>
        <w:rPr>
          <w:szCs w:val="26"/>
        </w:rPr>
      </w:pPr>
      <w:r w:rsidRPr="00C30AEF">
        <w:rPr>
          <w:szCs w:val="26"/>
        </w:rPr>
        <w:t>(June 22, 2026)</w:t>
      </w:r>
    </w:p>
    <w:p w:rsidR="00C30AEF" w:rsidRPr="00C30AEF" w:rsidP="00C30AEF" w14:paraId="7FFD1227" w14:textId="77777777">
      <w:pPr>
        <w:jc w:val="center"/>
        <w:rPr>
          <w:szCs w:val="26"/>
        </w:rPr>
      </w:pPr>
    </w:p>
    <w:p w:rsidR="00F86890" w:rsidRPr="00C30AEF" w:rsidP="00C30AEF" w14:paraId="08B34019" w14:textId="06FCF171">
      <w:pPr>
        <w:rPr>
          <w:szCs w:val="26"/>
        </w:rPr>
      </w:pPr>
      <w:r w:rsidRPr="00C30AEF">
        <w:rPr>
          <w:b/>
          <w:bCs/>
          <w:szCs w:val="26"/>
        </w:rPr>
        <w:t>AGENCY:</w:t>
      </w:r>
      <w:r w:rsidRPr="00C30AEF">
        <w:rPr>
          <w:szCs w:val="26"/>
        </w:rPr>
        <w:t xml:space="preserve">  </w:t>
      </w:r>
      <w:r w:rsidRPr="00C30AEF">
        <w:rPr>
          <w:szCs w:val="26"/>
        </w:rPr>
        <w:t>Federal Energy Regulatory Commission.</w:t>
      </w:r>
    </w:p>
    <w:p w:rsidR="00C30AEF" w:rsidRPr="00C30AEF" w:rsidP="00C30AEF" w14:paraId="654B9ADB" w14:textId="77777777">
      <w:pPr>
        <w:rPr>
          <w:szCs w:val="26"/>
        </w:rPr>
      </w:pPr>
    </w:p>
    <w:p w:rsidR="00F86890" w:rsidRPr="00C30AEF" w:rsidP="549EAD48" w14:paraId="5FAEBA59" w14:textId="77777777">
      <w:pPr>
        <w:spacing w:line="480" w:lineRule="auto"/>
        <w:rPr>
          <w:szCs w:val="26"/>
        </w:rPr>
      </w:pPr>
      <w:r w:rsidRPr="00C30AEF">
        <w:rPr>
          <w:b/>
          <w:bCs/>
          <w:szCs w:val="26"/>
        </w:rPr>
        <w:t>ACTION:</w:t>
      </w:r>
      <w:r w:rsidRPr="00C30AEF">
        <w:rPr>
          <w:szCs w:val="26"/>
        </w:rPr>
        <w:t xml:space="preserve">  </w:t>
      </w:r>
      <w:r w:rsidRPr="00C30AEF">
        <w:rPr>
          <w:szCs w:val="26"/>
        </w:rPr>
        <w:t>Notice of information collection and request for comments.</w:t>
      </w:r>
    </w:p>
    <w:p w:rsidR="00F86890" w:rsidRPr="00C30AEF" w:rsidP="16DF4E6C" w14:paraId="4D2FDC2C" w14:textId="2BA1EF30">
      <w:pPr>
        <w:spacing w:line="480" w:lineRule="auto"/>
        <w:rPr>
          <w:rFonts w:eastAsia="Calibri"/>
          <w:szCs w:val="26"/>
        </w:rPr>
      </w:pPr>
      <w:r w:rsidRPr="00C30AEF">
        <w:rPr>
          <w:b/>
          <w:bCs/>
          <w:szCs w:val="26"/>
        </w:rPr>
        <w:t>SUMMARY:</w:t>
      </w:r>
      <w:r w:rsidRPr="00C30AEF">
        <w:rPr>
          <w:szCs w:val="26"/>
        </w:rPr>
        <w:t xml:space="preserve">  In compliance with the requirements of </w:t>
      </w:r>
      <w:r w:rsidRPr="00C30AEF" w:rsidR="00DA7F57">
        <w:rPr>
          <w:szCs w:val="26"/>
        </w:rPr>
        <w:t xml:space="preserve">the </w:t>
      </w:r>
      <w:r w:rsidRPr="00C30AEF" w:rsidR="0005366B">
        <w:rPr>
          <w:szCs w:val="26"/>
        </w:rPr>
        <w:t>Paperwork Reduction Act of 1995</w:t>
      </w:r>
      <w:r w:rsidRPr="00C30AEF" w:rsidR="00002127">
        <w:rPr>
          <w:szCs w:val="26"/>
        </w:rPr>
        <w:t>, 44 USC 3506(</w:t>
      </w:r>
      <w:r w:rsidRPr="00C30AEF" w:rsidR="00672BEA">
        <w:rPr>
          <w:szCs w:val="26"/>
        </w:rPr>
        <w:t>c</w:t>
      </w:r>
      <w:r w:rsidRPr="00C30AEF" w:rsidR="00002127">
        <w:rPr>
          <w:szCs w:val="26"/>
        </w:rPr>
        <w:t>)(2)(A)</w:t>
      </w:r>
      <w:r w:rsidRPr="00C30AEF">
        <w:rPr>
          <w:szCs w:val="26"/>
        </w:rPr>
        <w:t xml:space="preserve">, the Federal Energy Regulatory Commission (Commission or FERC) is soliciting public comment on the </w:t>
      </w:r>
      <w:r w:rsidRPr="00C30AEF" w:rsidR="00E146ED">
        <w:rPr>
          <w:szCs w:val="26"/>
        </w:rPr>
        <w:t>currently approved information collection,</w:t>
      </w:r>
      <w:r w:rsidRPr="00C30AEF" w:rsidR="00A704E3">
        <w:rPr>
          <w:szCs w:val="26"/>
        </w:rPr>
        <w:t xml:space="preserve"> </w:t>
      </w:r>
      <w:r w:rsidRPr="00C30AEF" w:rsidR="00916A80">
        <w:rPr>
          <w:szCs w:val="26"/>
        </w:rPr>
        <w:t>FERC-516: Electric Rates and Tariffs</w:t>
      </w:r>
      <w:r w:rsidRPr="00C30AEF">
        <w:rPr>
          <w:szCs w:val="26"/>
        </w:rPr>
        <w:t xml:space="preserve">. </w:t>
      </w:r>
      <w:r w:rsidRPr="00C30AEF" w:rsidR="049B7877">
        <w:rPr>
          <w:szCs w:val="26"/>
        </w:rPr>
        <w:t>The Commission is proposing to</w:t>
      </w:r>
      <w:r w:rsidRPr="00C30AEF" w:rsidR="21307B1E">
        <w:rPr>
          <w:szCs w:val="26"/>
        </w:rPr>
        <w:t xml:space="preserve"> renew and</w:t>
      </w:r>
      <w:r w:rsidRPr="00C30AEF" w:rsidR="049B7877">
        <w:rPr>
          <w:szCs w:val="26"/>
        </w:rPr>
        <w:t xml:space="preserve"> consolidate a number of electric tariff collections under FERC-516</w:t>
      </w:r>
      <w:r w:rsidRPr="00C30AEF" w:rsidR="4C829EDC">
        <w:rPr>
          <w:szCs w:val="26"/>
        </w:rPr>
        <w:t>.</w:t>
      </w:r>
      <w:r w:rsidRPr="00C30AEF" w:rsidR="049B7877">
        <w:rPr>
          <w:szCs w:val="26"/>
        </w:rPr>
        <w:t xml:space="preserve"> </w:t>
      </w:r>
      <w:r w:rsidRPr="00C30AEF" w:rsidR="6C3EC725">
        <w:rPr>
          <w:color w:val="000000" w:themeColor="text1"/>
          <w:szCs w:val="26"/>
        </w:rPr>
        <w:t>There are no proposed changes to</w:t>
      </w:r>
      <w:r w:rsidRPr="00C30AEF" w:rsidR="3C601906">
        <w:rPr>
          <w:color w:val="000000" w:themeColor="text1"/>
          <w:szCs w:val="26"/>
        </w:rPr>
        <w:t xml:space="preserve"> any of</w:t>
      </w:r>
      <w:r w:rsidRPr="00C30AEF" w:rsidR="6C3EC725">
        <w:rPr>
          <w:color w:val="000000" w:themeColor="text1"/>
          <w:szCs w:val="26"/>
        </w:rPr>
        <w:t xml:space="preserve"> the </w:t>
      </w:r>
      <w:r w:rsidRPr="00C30AEF" w:rsidR="0080408F">
        <w:rPr>
          <w:color w:val="000000" w:themeColor="text1"/>
          <w:szCs w:val="26"/>
        </w:rPr>
        <w:t xml:space="preserve">ongoing </w:t>
      </w:r>
      <w:r w:rsidRPr="00C30AEF" w:rsidR="6C3EC725">
        <w:rPr>
          <w:color w:val="000000" w:themeColor="text1"/>
          <w:szCs w:val="26"/>
        </w:rPr>
        <w:t>reporting requirements</w:t>
      </w:r>
      <w:r w:rsidRPr="00C30AEF" w:rsidR="001007DD">
        <w:rPr>
          <w:color w:val="000000" w:themeColor="text1"/>
          <w:szCs w:val="26"/>
        </w:rPr>
        <w:t>;</w:t>
      </w:r>
      <w:r w:rsidRPr="00C30AEF" w:rsidR="00D02B9A">
        <w:rPr>
          <w:color w:val="000000" w:themeColor="text1"/>
          <w:szCs w:val="26"/>
        </w:rPr>
        <w:t xml:space="preserve"> however</w:t>
      </w:r>
      <w:r w:rsidRPr="00C30AEF" w:rsidR="001007DD">
        <w:rPr>
          <w:color w:val="000000" w:themeColor="text1"/>
          <w:szCs w:val="26"/>
        </w:rPr>
        <w:t>,</w:t>
      </w:r>
      <w:r w:rsidRPr="00C30AEF" w:rsidR="506AB337">
        <w:rPr>
          <w:color w:val="000000" w:themeColor="text1"/>
          <w:szCs w:val="26"/>
        </w:rPr>
        <w:t xml:space="preserve"> the </w:t>
      </w:r>
      <w:r w:rsidRPr="00C30AEF" w:rsidR="3DD427CB">
        <w:rPr>
          <w:color w:val="000000" w:themeColor="text1"/>
          <w:szCs w:val="26"/>
        </w:rPr>
        <w:t>collection</w:t>
      </w:r>
      <w:r w:rsidRPr="00C30AEF" w:rsidR="506AB337">
        <w:rPr>
          <w:color w:val="000000" w:themeColor="text1"/>
          <w:szCs w:val="26"/>
        </w:rPr>
        <w:t xml:space="preserve"> is being updated to remove a number of one-time collections that no longer need to be submitted</w:t>
      </w:r>
      <w:r w:rsidRPr="00C30AEF" w:rsidR="6FF579A2">
        <w:rPr>
          <w:color w:val="000000" w:themeColor="text1"/>
          <w:szCs w:val="26"/>
        </w:rPr>
        <w:t>.</w:t>
      </w:r>
      <w:r w:rsidRPr="00C30AEF" w:rsidR="506AB337">
        <w:rPr>
          <w:color w:val="000000" w:themeColor="text1"/>
          <w:szCs w:val="26"/>
        </w:rPr>
        <w:t xml:space="preserve"> </w:t>
      </w:r>
      <w:r w:rsidRPr="00C30AEF" w:rsidR="00D02B9A">
        <w:rPr>
          <w:color w:val="000000" w:themeColor="text1"/>
          <w:szCs w:val="26"/>
        </w:rPr>
        <w:t xml:space="preserve"> </w:t>
      </w:r>
    </w:p>
    <w:p w:rsidR="740D4924" w:rsidRPr="00C30AEF" w:rsidP="549EAD48" w14:paraId="6F41C539" w14:textId="2BC37DF2">
      <w:pPr>
        <w:spacing w:line="480" w:lineRule="auto"/>
        <w:rPr>
          <w:color w:val="000000" w:themeColor="text1"/>
          <w:szCs w:val="26"/>
        </w:rPr>
      </w:pPr>
      <w:r w:rsidRPr="00C30AEF">
        <w:rPr>
          <w:b/>
          <w:bCs/>
          <w:color w:val="000000" w:themeColor="text1"/>
          <w:szCs w:val="26"/>
        </w:rPr>
        <w:t>DATES:</w:t>
      </w:r>
      <w:r w:rsidRPr="00C30AEF">
        <w:rPr>
          <w:color w:val="000000" w:themeColor="text1"/>
          <w:szCs w:val="26"/>
        </w:rPr>
        <w:t xml:space="preserve"> </w:t>
      </w:r>
      <w:r w:rsidRPr="00C30AEF" w:rsidR="00515941">
        <w:rPr>
          <w:color w:val="000000" w:themeColor="text1"/>
          <w:szCs w:val="26"/>
        </w:rPr>
        <w:t xml:space="preserve"> </w:t>
      </w:r>
      <w:r w:rsidRPr="00C30AEF">
        <w:rPr>
          <w:color w:val="000000" w:themeColor="text1"/>
          <w:szCs w:val="26"/>
        </w:rPr>
        <w:t>Comments on the collections of information are due [</w:t>
      </w:r>
      <w:r w:rsidRPr="00C30AEF">
        <w:rPr>
          <w:b/>
          <w:bCs/>
          <w:color w:val="000000" w:themeColor="text1"/>
          <w:szCs w:val="26"/>
        </w:rPr>
        <w:t>INSERT DATE 60 DAYS AFTER DATE OF PUBLICATION IN THE FEDERAL REGISTER</w:t>
      </w:r>
      <w:r w:rsidRPr="00C30AEF">
        <w:rPr>
          <w:color w:val="000000" w:themeColor="text1"/>
          <w:szCs w:val="26"/>
        </w:rPr>
        <w:t xml:space="preserve">]. </w:t>
      </w:r>
    </w:p>
    <w:p w:rsidR="740D4924" w:rsidRPr="00C30AEF" w:rsidP="549EAD48" w14:paraId="5DD1A881" w14:textId="0EB369F7">
      <w:pPr>
        <w:spacing w:line="480" w:lineRule="auto"/>
        <w:rPr>
          <w:color w:val="000000" w:themeColor="text1"/>
          <w:szCs w:val="26"/>
        </w:rPr>
      </w:pPr>
      <w:r w:rsidRPr="00C30AEF">
        <w:rPr>
          <w:b/>
          <w:bCs/>
          <w:color w:val="000000" w:themeColor="text1"/>
          <w:szCs w:val="26"/>
        </w:rPr>
        <w:t>ADDRESSES:</w:t>
      </w:r>
      <w:r w:rsidRPr="00C30AEF">
        <w:rPr>
          <w:color w:val="000000" w:themeColor="text1"/>
          <w:szCs w:val="26"/>
        </w:rPr>
        <w:t xml:space="preserve"> </w:t>
      </w:r>
      <w:r w:rsidRPr="00C30AEF" w:rsidR="00515941">
        <w:rPr>
          <w:color w:val="000000" w:themeColor="text1"/>
          <w:szCs w:val="26"/>
        </w:rPr>
        <w:t xml:space="preserve"> </w:t>
      </w:r>
      <w:r w:rsidRPr="00C30AEF">
        <w:rPr>
          <w:color w:val="000000" w:themeColor="text1"/>
          <w:szCs w:val="26"/>
        </w:rPr>
        <w:t xml:space="preserve">Please submit comments via email to </w:t>
      </w:r>
      <w:hyperlink r:id="rId11">
        <w:r w:rsidRPr="00C30AEF">
          <w:rPr>
            <w:rStyle w:val="Hyperlink"/>
            <w:szCs w:val="26"/>
          </w:rPr>
          <w:t>DataClearance@FERC.gov</w:t>
        </w:r>
      </w:hyperlink>
      <w:r w:rsidRPr="00C30AEF">
        <w:rPr>
          <w:color w:val="000000" w:themeColor="text1"/>
          <w:szCs w:val="26"/>
        </w:rPr>
        <w:t>. You must specify the Docket No. (IC2</w:t>
      </w:r>
      <w:r w:rsidRPr="00C30AEF" w:rsidR="00161EEC">
        <w:rPr>
          <w:color w:val="000000" w:themeColor="text1"/>
          <w:szCs w:val="26"/>
        </w:rPr>
        <w:t>6</w:t>
      </w:r>
      <w:r w:rsidRPr="00C30AEF">
        <w:rPr>
          <w:color w:val="000000" w:themeColor="text1"/>
          <w:szCs w:val="26"/>
        </w:rPr>
        <w:t>-</w:t>
      </w:r>
      <w:r w:rsidRPr="00C30AEF" w:rsidR="00161EEC">
        <w:rPr>
          <w:color w:val="000000" w:themeColor="text1"/>
          <w:szCs w:val="26"/>
        </w:rPr>
        <w:t>27</w:t>
      </w:r>
      <w:r w:rsidRPr="00C30AEF">
        <w:rPr>
          <w:color w:val="000000" w:themeColor="text1"/>
          <w:szCs w:val="26"/>
        </w:rPr>
        <w:t>-000) and the FERC Information Collection</w:t>
      </w:r>
      <w:r w:rsidRPr="00C30AEF">
        <w:rPr>
          <w:b/>
          <w:bCs/>
          <w:color w:val="000000" w:themeColor="text1"/>
          <w:szCs w:val="26"/>
        </w:rPr>
        <w:t xml:space="preserve"> </w:t>
      </w:r>
      <w:r w:rsidRPr="00C30AEF">
        <w:rPr>
          <w:color w:val="000000" w:themeColor="text1"/>
          <w:szCs w:val="26"/>
        </w:rPr>
        <w:t>number (FERC-5</w:t>
      </w:r>
      <w:r w:rsidRPr="00C30AEF" w:rsidR="006E5EBC">
        <w:rPr>
          <w:color w:val="000000" w:themeColor="text1"/>
          <w:szCs w:val="26"/>
        </w:rPr>
        <w:t>16</w:t>
      </w:r>
      <w:r w:rsidRPr="00C30AEF">
        <w:rPr>
          <w:color w:val="000000" w:themeColor="text1"/>
          <w:szCs w:val="26"/>
        </w:rPr>
        <w:t>) in your email. If you are unable to file electronically, comments may be filed by USPS mail or by hand (including courier) delivery:</w:t>
      </w:r>
    </w:p>
    <w:p w:rsidR="740D4924" w:rsidRPr="00C30AEF" w:rsidP="549EAD48" w14:paraId="5C517DCB" w14:textId="0B9E4010">
      <w:pPr>
        <w:pStyle w:val="ListParagraph"/>
        <w:numPr>
          <w:ilvl w:val="0"/>
          <w:numId w:val="2"/>
        </w:numPr>
        <w:spacing w:line="480" w:lineRule="auto"/>
        <w:rPr>
          <w:color w:val="000000" w:themeColor="text1"/>
          <w:szCs w:val="26"/>
        </w:rPr>
      </w:pPr>
      <w:r w:rsidRPr="00C30AEF">
        <w:rPr>
          <w:color w:val="000000" w:themeColor="text1"/>
          <w:szCs w:val="26"/>
        </w:rPr>
        <w:t>Mail via U.S. Postal Service only, addressed to: Federal Energy Regulatory Commission, Secretary of the Commission, 888 First Street, N.E., Washington, DC 20426.</w:t>
      </w:r>
    </w:p>
    <w:p w:rsidR="740D4924" w:rsidRPr="00C30AEF" w:rsidP="549EAD48" w14:paraId="16D4AAD1" w14:textId="7DB05EA1">
      <w:pPr>
        <w:pStyle w:val="ListParagraph"/>
        <w:numPr>
          <w:ilvl w:val="0"/>
          <w:numId w:val="2"/>
        </w:numPr>
        <w:spacing w:line="480" w:lineRule="auto"/>
        <w:rPr>
          <w:color w:val="000000" w:themeColor="text1"/>
          <w:szCs w:val="26"/>
        </w:rPr>
      </w:pPr>
      <w:r w:rsidRPr="00C30AEF">
        <w:rPr>
          <w:color w:val="000000" w:themeColor="text1"/>
          <w:szCs w:val="26"/>
        </w:rPr>
        <w:t>Hand (including courier) delivery to: Federal Energy Regulatory Commission, 12225 Wilkins Avenue, Rockville, MD 20852.</w:t>
      </w:r>
    </w:p>
    <w:p w:rsidR="740D4924" w:rsidRPr="00C30AEF" w:rsidP="7E143282" w14:paraId="6A9D81C1" w14:textId="26164AEF">
      <w:pPr>
        <w:spacing w:line="480" w:lineRule="auto"/>
        <w:rPr>
          <w:color w:val="000000" w:themeColor="text1"/>
          <w:szCs w:val="26"/>
        </w:rPr>
      </w:pPr>
      <w:r w:rsidRPr="00C30AEF">
        <w:rPr>
          <w:i/>
          <w:iCs/>
          <w:color w:val="000000" w:themeColor="text1"/>
          <w:szCs w:val="26"/>
        </w:rPr>
        <w:t>Docket:</w:t>
      </w:r>
      <w:r w:rsidRPr="00C30AEF">
        <w:rPr>
          <w:color w:val="000000" w:themeColor="text1"/>
          <w:szCs w:val="26"/>
        </w:rPr>
        <w:t xml:space="preserve"> To view comments and issuances in this docket, please visit </w:t>
      </w:r>
      <w:hyperlink r:id="rId12">
        <w:r w:rsidRPr="00C30AEF">
          <w:rPr>
            <w:rStyle w:val="Hyperlink"/>
            <w:szCs w:val="26"/>
          </w:rPr>
          <w:t>https://elibrary.ferc.gov/eLibrary/search</w:t>
        </w:r>
      </w:hyperlink>
      <w:r w:rsidRPr="00C30AEF">
        <w:rPr>
          <w:color w:val="000000" w:themeColor="text1"/>
          <w:szCs w:val="26"/>
        </w:rPr>
        <w:t>.</w:t>
      </w:r>
    </w:p>
    <w:p w:rsidR="740D4924" w:rsidRPr="00C30AEF" w:rsidP="549EAD48" w14:paraId="6720A0BA" w14:textId="48466C90">
      <w:pPr>
        <w:spacing w:line="480" w:lineRule="auto"/>
        <w:rPr>
          <w:color w:val="000000" w:themeColor="text1"/>
          <w:szCs w:val="26"/>
        </w:rPr>
      </w:pPr>
      <w:r w:rsidRPr="00C30AEF">
        <w:rPr>
          <w:b/>
          <w:bCs/>
          <w:color w:val="000000" w:themeColor="text1"/>
          <w:szCs w:val="26"/>
        </w:rPr>
        <w:t>FOR FURTHER INFORMATION:</w:t>
      </w:r>
      <w:r w:rsidRPr="00C30AEF">
        <w:rPr>
          <w:color w:val="000000" w:themeColor="text1"/>
          <w:szCs w:val="26"/>
        </w:rPr>
        <w:t xml:space="preserve"> </w:t>
      </w:r>
      <w:r w:rsidRPr="00C30AEF" w:rsidR="00455C20">
        <w:rPr>
          <w:color w:val="000000" w:themeColor="text1"/>
          <w:szCs w:val="26"/>
        </w:rPr>
        <w:t xml:space="preserve"> </w:t>
      </w:r>
      <w:r w:rsidRPr="00C30AEF">
        <w:rPr>
          <w:color w:val="000000" w:themeColor="text1"/>
          <w:szCs w:val="26"/>
        </w:rPr>
        <w:t xml:space="preserve">Kayla Williams may be reached by e-mail at </w:t>
      </w:r>
      <w:hyperlink r:id="rId11">
        <w:r w:rsidRPr="00C30AEF">
          <w:rPr>
            <w:rStyle w:val="Hyperlink"/>
            <w:szCs w:val="26"/>
          </w:rPr>
          <w:t>DataClearance@FERC.gov</w:t>
        </w:r>
      </w:hyperlink>
      <w:r w:rsidRPr="00C30AEF">
        <w:rPr>
          <w:color w:val="000000" w:themeColor="text1"/>
          <w:szCs w:val="26"/>
        </w:rPr>
        <w:t>, or by telephone at (202)</w:t>
      </w:r>
      <w:r w:rsidRPr="00C30AEF" w:rsidR="00455C20">
        <w:rPr>
          <w:color w:val="000000" w:themeColor="text1"/>
          <w:szCs w:val="26"/>
        </w:rPr>
        <w:t xml:space="preserve"> </w:t>
      </w:r>
      <w:r w:rsidRPr="00C30AEF">
        <w:rPr>
          <w:color w:val="000000" w:themeColor="text1"/>
          <w:szCs w:val="26"/>
        </w:rPr>
        <w:t>502-6468.</w:t>
      </w:r>
    </w:p>
    <w:p w:rsidR="00C056FE" w:rsidRPr="00C30AEF" w:rsidP="549EAD48" w14:paraId="20207DF2" w14:textId="77777777">
      <w:pPr>
        <w:spacing w:line="480" w:lineRule="auto"/>
        <w:rPr>
          <w:szCs w:val="26"/>
        </w:rPr>
      </w:pPr>
      <w:r w:rsidRPr="00C30AEF">
        <w:rPr>
          <w:szCs w:val="26"/>
        </w:rPr>
        <w:t xml:space="preserve"> </w:t>
      </w:r>
      <w:r w:rsidRPr="00C30AEF">
        <w:rPr>
          <w:b/>
          <w:bCs/>
          <w:szCs w:val="26"/>
        </w:rPr>
        <w:t>SUPPLEMENTARY INFORMATION:</w:t>
      </w:r>
      <w:r w:rsidRPr="00C30AEF">
        <w:rPr>
          <w:szCs w:val="26"/>
        </w:rPr>
        <w:t xml:space="preserve">  </w:t>
      </w:r>
    </w:p>
    <w:p w:rsidR="00C056FE" w:rsidRPr="00C30AEF" w:rsidP="549EAD48" w14:paraId="198C6D21" w14:textId="5E701CFE">
      <w:pPr>
        <w:spacing w:line="480" w:lineRule="auto"/>
        <w:rPr>
          <w:i/>
          <w:iCs/>
          <w:szCs w:val="26"/>
        </w:rPr>
      </w:pPr>
      <w:r w:rsidRPr="00C30AEF">
        <w:rPr>
          <w:i/>
          <w:iCs/>
          <w:szCs w:val="26"/>
        </w:rPr>
        <w:t>Title:</w:t>
      </w:r>
      <w:r w:rsidRPr="00C30AEF" w:rsidR="00CD787F">
        <w:rPr>
          <w:i/>
          <w:iCs/>
          <w:szCs w:val="26"/>
        </w:rPr>
        <w:t xml:space="preserve"> </w:t>
      </w:r>
      <w:r w:rsidRPr="00C30AEF" w:rsidR="00963B49">
        <w:rPr>
          <w:szCs w:val="26"/>
        </w:rPr>
        <w:t>Electric Rate Schedules and Tariff Filings </w:t>
      </w:r>
    </w:p>
    <w:p w:rsidR="00C056FE" w:rsidRPr="00C30AEF" w:rsidP="549EAD48" w14:paraId="3B435804" w14:textId="0892637F">
      <w:pPr>
        <w:spacing w:line="480" w:lineRule="auto"/>
        <w:rPr>
          <w:szCs w:val="26"/>
        </w:rPr>
      </w:pPr>
      <w:r w:rsidRPr="00C30AEF">
        <w:rPr>
          <w:i/>
          <w:iCs/>
          <w:szCs w:val="26"/>
        </w:rPr>
        <w:t>OMB Control No.:</w:t>
      </w:r>
      <w:r w:rsidRPr="00C30AEF" w:rsidR="00F50EDA">
        <w:rPr>
          <w:szCs w:val="26"/>
        </w:rPr>
        <w:t xml:space="preserve"> </w:t>
      </w:r>
      <w:r w:rsidRPr="00C30AEF" w:rsidR="00A345F1">
        <w:rPr>
          <w:szCs w:val="26"/>
        </w:rPr>
        <w:t>1902-0096</w:t>
      </w:r>
    </w:p>
    <w:p w:rsidR="00C056FE" w:rsidRPr="00C30AEF" w:rsidP="16DF4E6C" w14:paraId="219460CE" w14:textId="2964BA95">
      <w:pPr>
        <w:spacing w:line="480" w:lineRule="auto"/>
        <w:rPr>
          <w:szCs w:val="26"/>
        </w:rPr>
      </w:pPr>
      <w:r w:rsidRPr="00C30AEF">
        <w:rPr>
          <w:i/>
          <w:iCs/>
          <w:szCs w:val="26"/>
        </w:rPr>
        <w:t>Type of Request:</w:t>
      </w:r>
      <w:r w:rsidRPr="00C30AEF">
        <w:rPr>
          <w:szCs w:val="26"/>
        </w:rPr>
        <w:t xml:space="preserve"> Three-year extension of the FERC-</w:t>
      </w:r>
      <w:r w:rsidRPr="00C30AEF" w:rsidR="00A345F1">
        <w:rPr>
          <w:szCs w:val="26"/>
        </w:rPr>
        <w:t>516</w:t>
      </w:r>
      <w:r w:rsidRPr="00C30AEF">
        <w:rPr>
          <w:szCs w:val="26"/>
        </w:rPr>
        <w:t xml:space="preserve"> information collection </w:t>
      </w:r>
      <w:r w:rsidRPr="00C30AEF" w:rsidR="009447D3">
        <w:rPr>
          <w:szCs w:val="26"/>
        </w:rPr>
        <w:t xml:space="preserve">requirements </w:t>
      </w:r>
      <w:r w:rsidRPr="00C30AEF" w:rsidR="004D57E6">
        <w:rPr>
          <w:szCs w:val="26"/>
        </w:rPr>
        <w:t xml:space="preserve">together with </w:t>
      </w:r>
      <w:r w:rsidRPr="00C30AEF" w:rsidR="00CC2A11">
        <w:rPr>
          <w:szCs w:val="26"/>
        </w:rPr>
        <w:t>merging</w:t>
      </w:r>
      <w:r w:rsidRPr="00C30AEF" w:rsidR="004D57E6">
        <w:rPr>
          <w:szCs w:val="26"/>
        </w:rPr>
        <w:t xml:space="preserve"> </w:t>
      </w:r>
      <w:r w:rsidRPr="00C30AEF" w:rsidR="00CC2A11">
        <w:rPr>
          <w:szCs w:val="26"/>
        </w:rPr>
        <w:t xml:space="preserve">the </w:t>
      </w:r>
      <w:r w:rsidRPr="00C30AEF" w:rsidR="024F8121">
        <w:rPr>
          <w:szCs w:val="26"/>
        </w:rPr>
        <w:t>following collections</w:t>
      </w:r>
      <w:r w:rsidRPr="00C30AEF" w:rsidR="00CC2A11">
        <w:rPr>
          <w:szCs w:val="26"/>
        </w:rPr>
        <w:t xml:space="preserve"> into FERC-516</w:t>
      </w:r>
      <w:r w:rsidRPr="00C30AEF" w:rsidR="6D26D134">
        <w:rPr>
          <w:szCs w:val="26"/>
        </w:rPr>
        <w:t>: Electric Rate Schedules and Tariff Filings</w:t>
      </w:r>
      <w:r w:rsidRPr="00C30AEF" w:rsidR="00DC14E6">
        <w:rPr>
          <w:szCs w:val="26"/>
        </w:rPr>
        <w:t xml:space="preserve"> and removing outdated requirements</w:t>
      </w:r>
      <w:r w:rsidRPr="00C30AEF" w:rsidR="00CC2A11">
        <w:rPr>
          <w:szCs w:val="26"/>
        </w:rPr>
        <w:t xml:space="preserve">. </w:t>
      </w:r>
    </w:p>
    <w:p w:rsidR="3C5B5F7D" w:rsidRPr="00C30AEF" w:rsidP="16DF4E6C" w14:paraId="1FC7105C" w14:textId="174247A7">
      <w:pPr>
        <w:pStyle w:val="ListParagraph"/>
        <w:numPr>
          <w:ilvl w:val="0"/>
          <w:numId w:val="1"/>
        </w:numPr>
        <w:spacing w:line="480" w:lineRule="auto"/>
        <w:rPr>
          <w:szCs w:val="26"/>
        </w:rPr>
      </w:pPr>
      <w:r w:rsidRPr="00C30AEF">
        <w:rPr>
          <w:szCs w:val="26"/>
        </w:rPr>
        <w:t>FERC-516A (OMB 1902-0203)</w:t>
      </w:r>
      <w:r w:rsidRPr="00C30AEF" w:rsidR="12C06DEF">
        <w:rPr>
          <w:szCs w:val="26"/>
        </w:rPr>
        <w:t>: Standardization of Small Generator Interconnection Agreements and Procedures [SGIA and SGIP]</w:t>
      </w:r>
    </w:p>
    <w:p w:rsidR="3C5B5F7D" w:rsidRPr="00C30AEF" w:rsidP="16DF4E6C" w14:paraId="05AD593E" w14:textId="647352F5">
      <w:pPr>
        <w:pStyle w:val="ListParagraph"/>
        <w:numPr>
          <w:ilvl w:val="0"/>
          <w:numId w:val="1"/>
        </w:numPr>
        <w:spacing w:line="480" w:lineRule="auto"/>
        <w:rPr>
          <w:szCs w:val="26"/>
        </w:rPr>
      </w:pPr>
      <w:r w:rsidRPr="00C30AEF">
        <w:rPr>
          <w:szCs w:val="26"/>
        </w:rPr>
        <w:t>FERC-516E (OMB 1902-0290)</w:t>
      </w:r>
      <w:r w:rsidRPr="00C30AEF" w:rsidR="34E16958">
        <w:rPr>
          <w:szCs w:val="26"/>
        </w:rPr>
        <w:t>: Electric Rate Schedules and Tariff Filings - NAESB Standards - Electric</w:t>
      </w:r>
    </w:p>
    <w:p w:rsidR="3C5B5F7D" w:rsidRPr="00C30AEF" w:rsidP="16DF4E6C" w14:paraId="204ADA5F" w14:textId="5720A21D">
      <w:pPr>
        <w:pStyle w:val="ListParagraph"/>
        <w:numPr>
          <w:ilvl w:val="0"/>
          <w:numId w:val="1"/>
        </w:numPr>
        <w:spacing w:line="480" w:lineRule="auto"/>
        <w:rPr>
          <w:szCs w:val="26"/>
        </w:rPr>
      </w:pPr>
      <w:r w:rsidRPr="00C30AEF">
        <w:rPr>
          <w:szCs w:val="26"/>
        </w:rPr>
        <w:t>FERC-516H (OMB 1902-0303)</w:t>
      </w:r>
      <w:r w:rsidRPr="00C30AEF" w:rsidR="33754BF1">
        <w:rPr>
          <w:szCs w:val="26"/>
        </w:rPr>
        <w:t xml:space="preserve">: </w:t>
      </w:r>
      <w:r w:rsidRPr="00C30AEF" w:rsidR="47E4FAC7">
        <w:rPr>
          <w:szCs w:val="26"/>
        </w:rPr>
        <w:t>Electric Rate Schedules and Tariff Filings Pro Forma Open Access Transmission Tariff</w:t>
      </w:r>
    </w:p>
    <w:p w:rsidR="3C5B5F7D" w:rsidRPr="00C30AEF" w:rsidP="16DF4E6C" w14:paraId="0E39AA9E" w14:textId="717C44DD">
      <w:pPr>
        <w:pStyle w:val="ListParagraph"/>
        <w:numPr>
          <w:ilvl w:val="0"/>
          <w:numId w:val="1"/>
        </w:numPr>
        <w:spacing w:line="480" w:lineRule="auto"/>
        <w:rPr>
          <w:szCs w:val="26"/>
        </w:rPr>
      </w:pPr>
      <w:r w:rsidRPr="00C30AEF">
        <w:rPr>
          <w:szCs w:val="26"/>
        </w:rPr>
        <w:t>FERC-516J (OMB 1902-0332</w:t>
      </w:r>
      <w:r w:rsidRPr="00C30AEF" w:rsidR="4A5F629A">
        <w:rPr>
          <w:szCs w:val="26"/>
        </w:rPr>
        <w:t>)</w:t>
      </w:r>
      <w:r w:rsidRPr="00C30AEF" w:rsidR="35A31C99">
        <w:rPr>
          <w:szCs w:val="26"/>
        </w:rPr>
        <w:t>: Electric Rate Schedules and Tariff Filings (Temp. No. PL24-1-000)</w:t>
      </w:r>
    </w:p>
    <w:p w:rsidR="35A31C99" w:rsidRPr="00C30AEF" w:rsidP="16DF4E6C" w14:paraId="43EB56BD" w14:textId="24D3CF68">
      <w:pPr>
        <w:pStyle w:val="ListParagraph"/>
        <w:numPr>
          <w:ilvl w:val="0"/>
          <w:numId w:val="1"/>
        </w:numPr>
        <w:spacing w:line="480" w:lineRule="auto"/>
        <w:rPr>
          <w:szCs w:val="26"/>
        </w:rPr>
      </w:pPr>
      <w:r w:rsidRPr="00C30AEF">
        <w:rPr>
          <w:szCs w:val="26"/>
        </w:rPr>
        <w:t>FERC-717 (OMB-0173)</w:t>
      </w:r>
      <w:r w:rsidRPr="00C30AEF" w:rsidR="758DDAA4">
        <w:rPr>
          <w:szCs w:val="26"/>
        </w:rPr>
        <w:t>: Standards for Bus. Prac</w:t>
      </w:r>
      <w:r w:rsidRPr="00C30AEF" w:rsidR="00DC14E6">
        <w:rPr>
          <w:szCs w:val="26"/>
        </w:rPr>
        <w:t>tices</w:t>
      </w:r>
      <w:r w:rsidRPr="00C30AEF" w:rsidR="758DDAA4">
        <w:rPr>
          <w:szCs w:val="26"/>
        </w:rPr>
        <w:t xml:space="preserve"> &amp; Communication (Real Time Information Networks/Stan. Cond.)</w:t>
      </w:r>
    </w:p>
    <w:p w:rsidR="3C5B5F7D" w:rsidRPr="00C30AEF" w:rsidP="16DF4E6C" w14:paraId="1AC25C8F" w14:textId="48FFC731">
      <w:pPr>
        <w:pStyle w:val="ListParagraph"/>
        <w:numPr>
          <w:ilvl w:val="0"/>
          <w:numId w:val="1"/>
        </w:numPr>
        <w:spacing w:line="480" w:lineRule="auto"/>
        <w:rPr>
          <w:szCs w:val="26"/>
        </w:rPr>
      </w:pPr>
      <w:r w:rsidRPr="00C30AEF">
        <w:rPr>
          <w:szCs w:val="26"/>
        </w:rPr>
        <w:t>FERC-917 (OMB 1902-</w:t>
      </w:r>
      <w:r w:rsidRPr="00C30AEF" w:rsidR="0D5F57E5">
        <w:rPr>
          <w:szCs w:val="26"/>
        </w:rPr>
        <w:t>0233)</w:t>
      </w:r>
      <w:r w:rsidRPr="00C30AEF" w:rsidR="56F537F5">
        <w:rPr>
          <w:szCs w:val="26"/>
        </w:rPr>
        <w:t xml:space="preserve"> Electric Transmission Facilities: Standards for Business Practices and Communication Protocols for Public Utilities.</w:t>
      </w:r>
    </w:p>
    <w:p w:rsidR="3C5B5F7D" w:rsidRPr="00C30AEF" w:rsidP="16DF4E6C" w14:paraId="584ED632" w14:textId="52216F72">
      <w:pPr>
        <w:pStyle w:val="ListParagraph"/>
        <w:numPr>
          <w:ilvl w:val="0"/>
          <w:numId w:val="1"/>
        </w:numPr>
        <w:spacing w:line="480" w:lineRule="auto"/>
        <w:rPr>
          <w:szCs w:val="26"/>
        </w:rPr>
      </w:pPr>
      <w:r w:rsidRPr="00C30AEF">
        <w:rPr>
          <w:szCs w:val="26"/>
        </w:rPr>
        <w:t>FERC-919 (OMB 1902-</w:t>
      </w:r>
      <w:r w:rsidRPr="00C30AEF" w:rsidR="0B884B31">
        <w:rPr>
          <w:szCs w:val="26"/>
        </w:rPr>
        <w:t>0234)</w:t>
      </w:r>
      <w:r w:rsidRPr="00C30AEF" w:rsidR="507AB3DE">
        <w:rPr>
          <w:szCs w:val="26"/>
        </w:rPr>
        <w:t>: Market-Based Rates for Wholesale Sales of Electric Energy, Capacity, and Ancillary Services by Public Utilities</w:t>
      </w:r>
    </w:p>
    <w:p w:rsidR="00F50EDA" w:rsidRPr="00C30AEF" w:rsidP="16DF4E6C" w14:paraId="2B7FB08D" w14:textId="6688432D">
      <w:pPr>
        <w:spacing w:line="480" w:lineRule="auto"/>
        <w:rPr>
          <w:szCs w:val="26"/>
        </w:rPr>
      </w:pPr>
      <w:r w:rsidRPr="00C30AEF">
        <w:rPr>
          <w:i/>
          <w:iCs/>
          <w:szCs w:val="26"/>
        </w:rPr>
        <w:t>Abstract:</w:t>
      </w:r>
    </w:p>
    <w:p w:rsidR="00157C5A" w:rsidRPr="00C30AEF" w:rsidP="00427ABF" w14:paraId="2CDC44F3" w14:textId="2AACC25F">
      <w:pPr>
        <w:spacing w:line="480" w:lineRule="auto"/>
        <w:ind w:firstLine="720"/>
        <w:rPr>
          <w:szCs w:val="26"/>
        </w:rPr>
      </w:pPr>
      <w:r w:rsidRPr="00C30AEF">
        <w:rPr>
          <w:szCs w:val="26"/>
        </w:rPr>
        <w:t xml:space="preserve">The Commission is obligated under Section 205 and Section 206 of the Federal Power Act </w:t>
      </w:r>
      <w:r w:rsidRPr="00C30AEF" w:rsidR="003A7E0F">
        <w:rPr>
          <w:szCs w:val="26"/>
        </w:rPr>
        <w:t xml:space="preserve">(FPA) </w:t>
      </w:r>
      <w:r w:rsidRPr="00C30AEF">
        <w:rPr>
          <w:szCs w:val="26"/>
        </w:rPr>
        <w:t>to regulate electric rates and tariffs. The FERC-516 information collection is associated with filings that are submitted to the Commission to regulate electric rates and tariffs</w:t>
      </w:r>
      <w:r w:rsidRPr="00C30AEF" w:rsidR="003226C4">
        <w:rPr>
          <w:szCs w:val="26"/>
        </w:rPr>
        <w:t>, which</w:t>
      </w:r>
      <w:r w:rsidRPr="00C30AEF">
        <w:rPr>
          <w:szCs w:val="26"/>
        </w:rPr>
        <w:t xml:space="preserve"> </w:t>
      </w:r>
      <w:r w:rsidRPr="00C30AEF" w:rsidR="00CE4A44">
        <w:rPr>
          <w:szCs w:val="26"/>
        </w:rPr>
        <w:t xml:space="preserve">provide the Commission and the public with information regarding utility rates and service conditions. Without tariffs, FERC and the public would not be able to properly evaluate rates. </w:t>
      </w:r>
      <w:r w:rsidRPr="00C30AEF">
        <w:rPr>
          <w:szCs w:val="26"/>
        </w:rPr>
        <w:t xml:space="preserve">This collection currently consists of 15 information collection activities that support regulating the electric rates and tariffs.  </w:t>
      </w:r>
    </w:p>
    <w:p w:rsidR="00F50EDA" w:rsidRPr="00C30AEF" w:rsidP="00427ABF" w14:paraId="240850DA" w14:textId="6D9F1D33">
      <w:pPr>
        <w:spacing w:line="480" w:lineRule="auto"/>
        <w:ind w:firstLine="720"/>
        <w:rPr>
          <w:color w:val="000000" w:themeColor="text1"/>
          <w:szCs w:val="26"/>
        </w:rPr>
      </w:pPr>
      <w:r w:rsidRPr="00C30AEF">
        <w:rPr>
          <w:color w:val="000000" w:themeColor="text1"/>
          <w:szCs w:val="26"/>
        </w:rPr>
        <w:t>The Commission conducted an in</w:t>
      </w:r>
      <w:r w:rsidRPr="00C30AEF" w:rsidR="000E3759">
        <w:rPr>
          <w:color w:val="000000" w:themeColor="text1"/>
          <w:szCs w:val="26"/>
        </w:rPr>
        <w:t>-</w:t>
      </w:r>
      <w:r w:rsidRPr="00C30AEF">
        <w:rPr>
          <w:color w:val="000000" w:themeColor="text1"/>
          <w:szCs w:val="26"/>
        </w:rPr>
        <w:t xml:space="preserve">depth review of information collections related to electric tariffs and identified </w:t>
      </w:r>
      <w:r w:rsidRPr="00C30AEF" w:rsidR="000400A2">
        <w:rPr>
          <w:color w:val="000000" w:themeColor="text1"/>
          <w:szCs w:val="26"/>
        </w:rPr>
        <w:t>several</w:t>
      </w:r>
      <w:r w:rsidRPr="00C30AEF" w:rsidR="00195021">
        <w:rPr>
          <w:color w:val="000000" w:themeColor="text1"/>
          <w:szCs w:val="26"/>
        </w:rPr>
        <w:t xml:space="preserve"> </w:t>
      </w:r>
      <w:r w:rsidRPr="00C30AEF">
        <w:rPr>
          <w:color w:val="000000" w:themeColor="text1"/>
          <w:szCs w:val="26"/>
        </w:rPr>
        <w:t xml:space="preserve">collections that were unnecessarily separated </w:t>
      </w:r>
      <w:r w:rsidRPr="00C30AEF" w:rsidR="00323EF7">
        <w:rPr>
          <w:color w:val="000000" w:themeColor="text1"/>
          <w:szCs w:val="26"/>
        </w:rPr>
        <w:t xml:space="preserve">into </w:t>
      </w:r>
      <w:r w:rsidRPr="00C30AEF" w:rsidR="000400A2">
        <w:rPr>
          <w:color w:val="000000" w:themeColor="text1"/>
          <w:szCs w:val="26"/>
        </w:rPr>
        <w:t xml:space="preserve">distinct </w:t>
      </w:r>
      <w:r w:rsidRPr="00C30AEF" w:rsidR="00323EF7">
        <w:rPr>
          <w:color w:val="000000" w:themeColor="text1"/>
          <w:szCs w:val="26"/>
        </w:rPr>
        <w:t>collections</w:t>
      </w:r>
      <w:r w:rsidRPr="00C30AEF" w:rsidR="00195021">
        <w:rPr>
          <w:color w:val="000000" w:themeColor="text1"/>
          <w:szCs w:val="26"/>
        </w:rPr>
        <w:t>,</w:t>
      </w:r>
      <w:r w:rsidRPr="00C30AEF" w:rsidR="00323EF7">
        <w:rPr>
          <w:color w:val="000000" w:themeColor="text1"/>
          <w:szCs w:val="26"/>
        </w:rPr>
        <w:t xml:space="preserve"> </w:t>
      </w:r>
      <w:r w:rsidRPr="00C30AEF" w:rsidR="4C417280">
        <w:rPr>
          <w:color w:val="000000" w:themeColor="text1"/>
          <w:szCs w:val="26"/>
        </w:rPr>
        <w:t>as well as information collection instruments that were completed or no longer needed. The Commission proposes to consolidate these information collection</w:t>
      </w:r>
      <w:r w:rsidRPr="00C30AEF" w:rsidR="00B2161E">
        <w:rPr>
          <w:color w:val="000000" w:themeColor="text1"/>
          <w:szCs w:val="26"/>
        </w:rPr>
        <w:t xml:space="preserve"> activities</w:t>
      </w:r>
      <w:r w:rsidRPr="00C30AEF" w:rsidR="4C417280">
        <w:rPr>
          <w:color w:val="000000" w:themeColor="text1"/>
          <w:szCs w:val="26"/>
        </w:rPr>
        <w:t xml:space="preserve"> under </w:t>
      </w:r>
      <w:r w:rsidRPr="00C30AEF" w:rsidR="00662CE7">
        <w:rPr>
          <w:color w:val="000000" w:themeColor="text1"/>
          <w:szCs w:val="26"/>
        </w:rPr>
        <w:t xml:space="preserve">FERC-516, </w:t>
      </w:r>
      <w:r w:rsidRPr="00C30AEF" w:rsidR="4C417280">
        <w:rPr>
          <w:color w:val="000000" w:themeColor="text1"/>
          <w:szCs w:val="26"/>
        </w:rPr>
        <w:t>its primary electric tariff</w:t>
      </w:r>
      <w:r w:rsidRPr="00C30AEF" w:rsidR="00662CE7">
        <w:rPr>
          <w:color w:val="000000" w:themeColor="text1"/>
          <w:szCs w:val="26"/>
        </w:rPr>
        <w:t xml:space="preserve"> information collection,</w:t>
      </w:r>
      <w:r w:rsidRPr="00C30AEF" w:rsidR="4C417280">
        <w:rPr>
          <w:color w:val="000000" w:themeColor="text1"/>
          <w:szCs w:val="26"/>
        </w:rPr>
        <w:t xml:space="preserve"> </w:t>
      </w:r>
      <w:r w:rsidRPr="00C30AEF" w:rsidR="2B8D93F2">
        <w:rPr>
          <w:color w:val="000000" w:themeColor="text1"/>
          <w:szCs w:val="26"/>
        </w:rPr>
        <w:t>so that we can accurately reflect the burden placed on the public.</w:t>
      </w:r>
      <w:r w:rsidRPr="00C30AEF" w:rsidR="0078048E">
        <w:rPr>
          <w:color w:val="000000" w:themeColor="text1"/>
          <w:szCs w:val="26"/>
        </w:rPr>
        <w:t xml:space="preserve"> In addition, </w:t>
      </w:r>
      <w:r w:rsidRPr="00C30AEF" w:rsidR="60B1F36E">
        <w:rPr>
          <w:color w:val="000000" w:themeColor="text1"/>
          <w:szCs w:val="26"/>
        </w:rPr>
        <w:t xml:space="preserve">the Commission is </w:t>
      </w:r>
      <w:r w:rsidRPr="00C30AEF" w:rsidR="60B1F36E">
        <w:rPr>
          <w:rFonts w:eastAsia="Calibri"/>
          <w:szCs w:val="26"/>
        </w:rPr>
        <w:t>merging the burden of</w:t>
      </w:r>
      <w:r w:rsidRPr="00C30AEF" w:rsidR="00147E1C">
        <w:rPr>
          <w:rFonts w:eastAsia="Calibri"/>
          <w:szCs w:val="26"/>
        </w:rPr>
        <w:t xml:space="preserve"> </w:t>
      </w:r>
      <w:r w:rsidRPr="00C30AEF" w:rsidR="00533394">
        <w:rPr>
          <w:rFonts w:eastAsia="Calibri"/>
          <w:szCs w:val="26"/>
        </w:rPr>
        <w:t>the temporary collection</w:t>
      </w:r>
      <w:r w:rsidRPr="00C30AEF" w:rsidR="00172D8D">
        <w:rPr>
          <w:rFonts w:eastAsia="Calibri"/>
          <w:szCs w:val="26"/>
        </w:rPr>
        <w:t>s</w:t>
      </w:r>
      <w:r w:rsidRPr="00C30AEF" w:rsidR="00533394">
        <w:rPr>
          <w:rFonts w:eastAsia="Calibri"/>
          <w:szCs w:val="26"/>
        </w:rPr>
        <w:t xml:space="preserve"> </w:t>
      </w:r>
      <w:r w:rsidRPr="00C30AEF" w:rsidR="00172D8D">
        <w:rPr>
          <w:rFonts w:eastAsia="Calibri"/>
          <w:szCs w:val="26"/>
        </w:rPr>
        <w:t>FERC-516E (</w:t>
      </w:r>
      <w:r w:rsidRPr="00C30AEF" w:rsidR="00172D8D">
        <w:rPr>
          <w:szCs w:val="26"/>
        </w:rPr>
        <w:t>Electric Rate Schedules and Tariff Filings - NAESB Standards - Electric</w:t>
      </w:r>
      <w:r w:rsidRPr="00C30AEF" w:rsidR="00172D8D">
        <w:rPr>
          <w:rFonts w:eastAsia="Calibri"/>
          <w:szCs w:val="26"/>
        </w:rPr>
        <w:t xml:space="preserve">) and </w:t>
      </w:r>
      <w:r w:rsidRPr="00C30AEF" w:rsidR="60B1F36E">
        <w:rPr>
          <w:rFonts w:eastAsia="Calibri"/>
          <w:szCs w:val="26"/>
        </w:rPr>
        <w:t xml:space="preserve">FERC-516J (Project Area Labor Wage Data) </w:t>
      </w:r>
      <w:r w:rsidRPr="00C30AEF" w:rsidR="00147E1C">
        <w:rPr>
          <w:rFonts w:eastAsia="Calibri"/>
          <w:szCs w:val="26"/>
        </w:rPr>
        <w:t>into FERC-516.</w:t>
      </w:r>
      <w:r w:rsidRPr="00C30AEF" w:rsidR="00E06997">
        <w:rPr>
          <w:rFonts w:eastAsia="Calibri"/>
          <w:szCs w:val="26"/>
        </w:rPr>
        <w:t xml:space="preserve"> FERC is also </w:t>
      </w:r>
      <w:r w:rsidRPr="00C30AEF" w:rsidR="009A2DDA">
        <w:rPr>
          <w:rFonts w:eastAsia="Calibri"/>
          <w:szCs w:val="26"/>
        </w:rPr>
        <w:t>renewing all of the relevant information collections to harmonize their expiration dates under FERC-516.</w:t>
      </w:r>
      <w:r w:rsidRPr="00C30AEF" w:rsidR="00147E1C">
        <w:rPr>
          <w:rFonts w:eastAsia="Calibri"/>
          <w:szCs w:val="26"/>
        </w:rPr>
        <w:t xml:space="preserve"> </w:t>
      </w:r>
      <w:r w:rsidRPr="00C30AEF" w:rsidR="005933D5">
        <w:rPr>
          <w:rFonts w:eastAsia="Calibri"/>
          <w:szCs w:val="26"/>
        </w:rPr>
        <w:t xml:space="preserve">Once the information collection activities are incorporated into FERC-516, then the Commission will </w:t>
      </w:r>
      <w:r w:rsidRPr="00C30AEF" w:rsidR="00355DD2">
        <w:rPr>
          <w:rFonts w:eastAsia="Calibri"/>
          <w:szCs w:val="26"/>
        </w:rPr>
        <w:t>discontinue t</w:t>
      </w:r>
      <w:r w:rsidRPr="00C30AEF" w:rsidR="00941636">
        <w:rPr>
          <w:rFonts w:eastAsia="Calibri"/>
          <w:szCs w:val="26"/>
        </w:rPr>
        <w:t xml:space="preserve">he </w:t>
      </w:r>
      <w:r w:rsidRPr="00C30AEF" w:rsidR="00355DD2">
        <w:rPr>
          <w:rFonts w:eastAsia="Calibri"/>
          <w:szCs w:val="26"/>
        </w:rPr>
        <w:t>other collections as they will no longer be needed.</w:t>
      </w:r>
    </w:p>
    <w:p w:rsidR="00941636" w:rsidRPr="00C30AEF" w:rsidP="002530ED" w14:paraId="68CA5595" w14:textId="77777777">
      <w:pPr>
        <w:spacing w:line="480" w:lineRule="auto"/>
        <w:rPr>
          <w:szCs w:val="26"/>
        </w:rPr>
      </w:pPr>
    </w:p>
    <w:p w:rsidR="002530ED" w:rsidRPr="00C30AEF" w:rsidP="00941636" w14:paraId="0AB595BD" w14:textId="7403105E">
      <w:pPr>
        <w:pStyle w:val="ListParagraph"/>
        <w:numPr>
          <w:ilvl w:val="0"/>
          <w:numId w:val="8"/>
        </w:numPr>
        <w:spacing w:line="480" w:lineRule="auto"/>
        <w:rPr>
          <w:szCs w:val="26"/>
        </w:rPr>
      </w:pPr>
      <w:r w:rsidRPr="00C30AEF">
        <w:rPr>
          <w:szCs w:val="26"/>
        </w:rPr>
        <w:t>FERC-516</w:t>
      </w:r>
      <w:r w:rsidRPr="00C30AEF" w:rsidR="003E1362">
        <w:rPr>
          <w:szCs w:val="26"/>
        </w:rPr>
        <w:t xml:space="preserve"> (OMB</w:t>
      </w:r>
      <w:r w:rsidRPr="00C30AEF" w:rsidR="001C2FFF">
        <w:rPr>
          <w:szCs w:val="26"/>
        </w:rPr>
        <w:t xml:space="preserve"> 1902-0096 Exp 11/30/2026)</w:t>
      </w:r>
      <w:r w:rsidRPr="00C30AEF">
        <w:rPr>
          <w:szCs w:val="26"/>
        </w:rPr>
        <w:t>: Electric Rates and Tariffs</w:t>
      </w:r>
    </w:p>
    <w:p w:rsidR="00F44620" w:rsidRPr="00C30AEF" w:rsidP="00E5123C" w14:paraId="647367E1" w14:textId="4B20C91D">
      <w:pPr>
        <w:spacing w:line="480" w:lineRule="auto"/>
        <w:ind w:left="720"/>
        <w:rPr>
          <w:szCs w:val="26"/>
        </w:rPr>
      </w:pPr>
      <w:r w:rsidRPr="00C30AEF">
        <w:rPr>
          <w:szCs w:val="26"/>
        </w:rPr>
        <w:t xml:space="preserve">Section 206 of the FPA, 16 USC 824e, obligates the Commission to remedy unjust, unreasonable, and unduly discriminatory or preferential rates, terms, and conditions of transmission service. </w:t>
      </w:r>
      <w:r w:rsidRPr="00C30AEF" w:rsidR="00E5123C">
        <w:rPr>
          <w:bCs/>
          <w:szCs w:val="26"/>
        </w:rPr>
        <w:t xml:space="preserve">The Commission uses information provided through the FERC-516 collection to analyze proposed changes to tariffs, rates, fares, and charges of public utilities providing electric interstate transmission and other jurisdictional services.   </w:t>
      </w:r>
    </w:p>
    <w:p w:rsidR="002530ED" w:rsidRPr="00C30AEF" w:rsidP="00941636" w14:paraId="36D9874A" w14:textId="485DACAD">
      <w:pPr>
        <w:pStyle w:val="ListParagraph"/>
        <w:numPr>
          <w:ilvl w:val="0"/>
          <w:numId w:val="8"/>
        </w:numPr>
        <w:spacing w:line="480" w:lineRule="auto"/>
        <w:rPr>
          <w:szCs w:val="26"/>
        </w:rPr>
      </w:pPr>
      <w:r w:rsidRPr="00C30AEF">
        <w:rPr>
          <w:szCs w:val="26"/>
        </w:rPr>
        <w:t>FERC-516A (OMB 1902-0203</w:t>
      </w:r>
      <w:r w:rsidRPr="00C30AEF" w:rsidR="001C2FFF">
        <w:rPr>
          <w:szCs w:val="26"/>
        </w:rPr>
        <w:t xml:space="preserve"> Exp 11/30/2026</w:t>
      </w:r>
      <w:r w:rsidRPr="00C30AEF">
        <w:rPr>
          <w:szCs w:val="26"/>
        </w:rPr>
        <w:t>): Standardization of Small Generator Interconnection Agreements and Procedures [SGIA and SGIP]</w:t>
      </w:r>
    </w:p>
    <w:p w:rsidR="00AE32B6" w:rsidRPr="00C30AEF" w:rsidP="0001572B" w14:paraId="6921E52A" w14:textId="76433446">
      <w:pPr>
        <w:spacing w:line="480" w:lineRule="auto"/>
        <w:ind w:left="720"/>
        <w:rPr>
          <w:szCs w:val="26"/>
        </w:rPr>
      </w:pPr>
      <w:r w:rsidRPr="00C30AEF">
        <w:rPr>
          <w:szCs w:val="26"/>
        </w:rPr>
        <w:t>The regulation</w:t>
      </w:r>
      <w:r w:rsidRPr="00C30AEF" w:rsidR="00356F76">
        <w:rPr>
          <w:szCs w:val="26"/>
        </w:rPr>
        <w:t>s</w:t>
      </w:r>
      <w:r w:rsidRPr="00C30AEF">
        <w:rPr>
          <w:szCs w:val="26"/>
        </w:rPr>
        <w:t xml:space="preserve"> at 18 </w:t>
      </w:r>
      <w:r w:rsidRPr="00C30AEF" w:rsidR="00343DF4">
        <w:rPr>
          <w:szCs w:val="26"/>
        </w:rPr>
        <w:t xml:space="preserve">Code of Federal Regulations (CFR) </w:t>
      </w:r>
      <w:r w:rsidRPr="00C30AEF">
        <w:rPr>
          <w:szCs w:val="26"/>
        </w:rPr>
        <w:t>35.28(f)(1) require transmission providers to include the following information in their open-access transmission tariffs (OATTs):</w:t>
      </w:r>
      <w:r>
        <w:rPr>
          <w:rStyle w:val="FootnoteReference"/>
        </w:rPr>
        <w:footnoteReference w:id="2"/>
      </w:r>
      <w:r w:rsidRPr="00C30AEF">
        <w:rPr>
          <w:szCs w:val="26"/>
        </w:rPr>
        <w:t> </w:t>
      </w:r>
    </w:p>
    <w:p w:rsidR="00AE32B6" w:rsidRPr="00C30AEF" w:rsidP="0001572B" w14:paraId="54617019" w14:textId="77777777">
      <w:pPr>
        <w:numPr>
          <w:ilvl w:val="0"/>
          <w:numId w:val="6"/>
        </w:numPr>
        <w:tabs>
          <w:tab w:val="clear" w:pos="720"/>
          <w:tab w:val="num" w:pos="1440"/>
        </w:tabs>
        <w:spacing w:line="480" w:lineRule="auto"/>
        <w:ind w:left="1440"/>
        <w:rPr>
          <w:szCs w:val="26"/>
        </w:rPr>
      </w:pPr>
      <w:r w:rsidRPr="00C30AEF">
        <w:rPr>
          <w:szCs w:val="26"/>
        </w:rPr>
        <w:t>Commission-approved, standard, </w:t>
      </w:r>
      <w:r w:rsidRPr="00C30AEF">
        <w:rPr>
          <w:i/>
          <w:iCs/>
          <w:szCs w:val="26"/>
        </w:rPr>
        <w:t>pro forma</w:t>
      </w:r>
      <w:r w:rsidRPr="00C30AEF">
        <w:rPr>
          <w:szCs w:val="26"/>
        </w:rPr>
        <w:t> interconnection procedures (i.e., small generator interconnection procedures or SGIP); and </w:t>
      </w:r>
    </w:p>
    <w:p w:rsidR="00AE32B6" w:rsidRPr="00C30AEF" w:rsidP="0001572B" w14:paraId="391641E1" w14:textId="77777777">
      <w:pPr>
        <w:numPr>
          <w:ilvl w:val="0"/>
          <w:numId w:val="7"/>
        </w:numPr>
        <w:tabs>
          <w:tab w:val="clear" w:pos="720"/>
          <w:tab w:val="num" w:pos="1440"/>
        </w:tabs>
        <w:spacing w:line="480" w:lineRule="auto"/>
        <w:ind w:left="1440"/>
        <w:rPr>
          <w:szCs w:val="26"/>
        </w:rPr>
      </w:pPr>
      <w:r w:rsidRPr="00C30AEF">
        <w:rPr>
          <w:szCs w:val="26"/>
        </w:rPr>
        <w:t>A single, uniformly applicable interconnection agreement (i.e., a small generator interconnection agreement or SGIA). </w:t>
      </w:r>
    </w:p>
    <w:p w:rsidR="00AE32B6" w:rsidRPr="00C30AEF" w:rsidP="0001572B" w14:paraId="25EA2391" w14:textId="77777777">
      <w:pPr>
        <w:spacing w:line="480" w:lineRule="auto"/>
        <w:ind w:left="720"/>
        <w:rPr>
          <w:szCs w:val="26"/>
        </w:rPr>
      </w:pPr>
      <w:r w:rsidRPr="00C30AEF">
        <w:rPr>
          <w:szCs w:val="26"/>
        </w:rPr>
        <w:t>This information helps the Commission ensure that transmission providers consider and process interconnection requests by small generators consistently and in compliance with the FPA. </w:t>
      </w:r>
    </w:p>
    <w:p w:rsidR="002530ED" w:rsidRPr="00C30AEF" w:rsidP="00941636" w14:paraId="522804F0" w14:textId="259227B5">
      <w:pPr>
        <w:pStyle w:val="ListParagraph"/>
        <w:numPr>
          <w:ilvl w:val="0"/>
          <w:numId w:val="8"/>
        </w:numPr>
        <w:spacing w:line="480" w:lineRule="auto"/>
        <w:rPr>
          <w:szCs w:val="26"/>
        </w:rPr>
      </w:pPr>
      <w:r w:rsidRPr="00C30AEF">
        <w:rPr>
          <w:szCs w:val="26"/>
        </w:rPr>
        <w:t>FERC-516E (OMB 1902-0290</w:t>
      </w:r>
      <w:r w:rsidRPr="00C30AEF" w:rsidR="001C2FFF">
        <w:rPr>
          <w:szCs w:val="26"/>
        </w:rPr>
        <w:t xml:space="preserve"> Exp 4/30/2028</w:t>
      </w:r>
      <w:r w:rsidRPr="00C30AEF">
        <w:rPr>
          <w:szCs w:val="26"/>
        </w:rPr>
        <w:t xml:space="preserve">): Electric Rate Schedules and Tariff Filings - NAESB Standards </w:t>
      </w:r>
      <w:r w:rsidRPr="00C30AEF" w:rsidR="006D1D93">
        <w:rPr>
          <w:szCs w:val="26"/>
        </w:rPr>
        <w:t>-</w:t>
      </w:r>
      <w:r w:rsidRPr="00C30AEF">
        <w:rPr>
          <w:szCs w:val="26"/>
        </w:rPr>
        <w:t xml:space="preserve"> Electric</w:t>
      </w:r>
    </w:p>
    <w:p w:rsidR="004329AE" w:rsidRPr="00C30AEF" w:rsidP="004329AE" w14:paraId="17CA8FB1" w14:textId="6CA7F70E">
      <w:pPr>
        <w:pStyle w:val="ListParagraph"/>
        <w:spacing w:line="480" w:lineRule="auto"/>
        <w:rPr>
          <w:szCs w:val="26"/>
        </w:rPr>
      </w:pPr>
      <w:r w:rsidRPr="00C30AEF">
        <w:rPr>
          <w:szCs w:val="26"/>
        </w:rPr>
        <w:t>This was a temporary collection</w:t>
      </w:r>
      <w:r w:rsidRPr="00C30AEF" w:rsidR="00D525E6">
        <w:rPr>
          <w:szCs w:val="26"/>
        </w:rPr>
        <w:t xml:space="preserve">, implemented solely because another item was pending for FERC-516. </w:t>
      </w:r>
      <w:r w:rsidRPr="00C30AEF" w:rsidR="00707923">
        <w:rPr>
          <w:szCs w:val="26"/>
        </w:rPr>
        <w:t>Merging the collection into FERC-516</w:t>
      </w:r>
      <w:r w:rsidRPr="00C30AEF" w:rsidR="006C398F">
        <w:rPr>
          <w:szCs w:val="26"/>
        </w:rPr>
        <w:t xml:space="preserve"> </w:t>
      </w:r>
      <w:r w:rsidRPr="00C30AEF" w:rsidR="006E5EED">
        <w:rPr>
          <w:szCs w:val="26"/>
        </w:rPr>
        <w:t>resolves this administrative situation. T</w:t>
      </w:r>
      <w:r w:rsidRPr="00C30AEF">
        <w:rPr>
          <w:szCs w:val="26"/>
        </w:rPr>
        <w:t>he Commission</w:t>
      </w:r>
      <w:r w:rsidRPr="00C30AEF" w:rsidR="006E5EED">
        <w:rPr>
          <w:szCs w:val="26"/>
        </w:rPr>
        <w:t>’s</w:t>
      </w:r>
      <w:r w:rsidRPr="00C30AEF">
        <w:rPr>
          <w:szCs w:val="26"/>
        </w:rPr>
        <w:t xml:space="preserve"> regulations incorporate by reference, with certain enumerated exceptions, the latest version (Version 004) of the Standards for Business Practices and Communication Protocols for Public Utilities adopted by the Wholesale Electric Quadrant (WEQ) of the North American Energy Standards Board (NAESB)  (WEQ Version 004 Standards) applicable to the wholesale electric industry.</w:t>
      </w:r>
    </w:p>
    <w:p w:rsidR="00ED7D0C" w:rsidRPr="00C30AEF" w:rsidP="007B4E90" w14:paraId="3AAD10CE" w14:textId="786E129B">
      <w:pPr>
        <w:pStyle w:val="ListParagraph"/>
        <w:spacing w:line="480" w:lineRule="auto"/>
        <w:rPr>
          <w:szCs w:val="26"/>
        </w:rPr>
      </w:pPr>
      <w:r w:rsidRPr="00C30AEF">
        <w:rPr>
          <w:szCs w:val="26"/>
        </w:rPr>
        <w:t xml:space="preserve">The WEQ Version 004 Standards include standards to support cybersecurity for the wholesale electric industry, </w:t>
      </w:r>
      <w:r w:rsidRPr="00C30AEF" w:rsidR="00544908">
        <w:rPr>
          <w:szCs w:val="26"/>
        </w:rPr>
        <w:t>and</w:t>
      </w:r>
      <w:r w:rsidRPr="00C30AEF">
        <w:rPr>
          <w:szCs w:val="26"/>
        </w:rPr>
        <w:t xml:space="preserve"> complement the NERC Reliability Standards, </w:t>
      </w:r>
      <w:r w:rsidRPr="00C30AEF">
        <w:rPr>
          <w:szCs w:val="26"/>
        </w:rPr>
        <w:t>the NAESB R</w:t>
      </w:r>
      <w:r w:rsidRPr="00C30AEF" w:rsidR="006D1D93">
        <w:rPr>
          <w:szCs w:val="26"/>
        </w:rPr>
        <w:t xml:space="preserve">enewable </w:t>
      </w:r>
      <w:r w:rsidRPr="00C30AEF">
        <w:rPr>
          <w:szCs w:val="26"/>
        </w:rPr>
        <w:t>E</w:t>
      </w:r>
      <w:r w:rsidRPr="00C30AEF" w:rsidR="006D1D93">
        <w:rPr>
          <w:szCs w:val="26"/>
        </w:rPr>
        <w:t xml:space="preserve">nergy </w:t>
      </w:r>
      <w:r w:rsidRPr="00C30AEF">
        <w:rPr>
          <w:szCs w:val="26"/>
        </w:rPr>
        <w:t>C</w:t>
      </w:r>
      <w:r w:rsidRPr="00C30AEF" w:rsidR="00DF14E1">
        <w:rPr>
          <w:szCs w:val="26"/>
        </w:rPr>
        <w:t>ertificates</w:t>
      </w:r>
      <w:r w:rsidRPr="00C30AEF">
        <w:rPr>
          <w:szCs w:val="26"/>
        </w:rPr>
        <w:t xml:space="preserve"> Contract, and standards to identify definitions for common grid services to support distributed energy resource interactions. Additionally</w:t>
      </w:r>
      <w:r w:rsidRPr="00C30AEF" w:rsidR="00FA369F">
        <w:rPr>
          <w:szCs w:val="26"/>
        </w:rPr>
        <w:t>,</w:t>
      </w:r>
      <w:r w:rsidRPr="00C30AEF">
        <w:rPr>
          <w:szCs w:val="26"/>
        </w:rPr>
        <w:t xml:space="preserve"> WEQ Version 004 Standards include </w:t>
      </w:r>
      <w:r w:rsidRPr="00C30AEF" w:rsidR="00AB79F5">
        <w:rPr>
          <w:szCs w:val="26"/>
        </w:rPr>
        <w:t xml:space="preserve">Open Access Same-time Information System ​(OASIS) </w:t>
      </w:r>
      <w:r w:rsidRPr="00C30AEF">
        <w:rPr>
          <w:szCs w:val="26"/>
        </w:rPr>
        <w:t xml:space="preserve">Business Practice Standards, the Coordinate Interchange Business Practice Standards, and the Abbreviations, Acronyms, and Defined Terms. Industry-wide business practice standards help the industry achieve increased levels of efficiency.  </w:t>
      </w:r>
    </w:p>
    <w:p w:rsidR="002530ED" w:rsidRPr="00C30AEF" w:rsidP="00941636" w14:paraId="645249F8" w14:textId="30DAF226">
      <w:pPr>
        <w:pStyle w:val="ListParagraph"/>
        <w:numPr>
          <w:ilvl w:val="0"/>
          <w:numId w:val="8"/>
        </w:numPr>
        <w:spacing w:line="480" w:lineRule="auto"/>
        <w:rPr>
          <w:szCs w:val="26"/>
        </w:rPr>
      </w:pPr>
      <w:r w:rsidRPr="00C30AEF">
        <w:rPr>
          <w:szCs w:val="26"/>
        </w:rPr>
        <w:t>FERC-516H (OMB 1902-0303</w:t>
      </w:r>
      <w:r w:rsidRPr="00C30AEF" w:rsidR="001C2FFF">
        <w:rPr>
          <w:szCs w:val="26"/>
        </w:rPr>
        <w:t xml:space="preserve"> Exp </w:t>
      </w:r>
      <w:r w:rsidRPr="00C30AEF" w:rsidR="009163DC">
        <w:rPr>
          <w:szCs w:val="26"/>
        </w:rPr>
        <w:t>3</w:t>
      </w:r>
      <w:r w:rsidRPr="00C30AEF" w:rsidR="001C2FFF">
        <w:rPr>
          <w:szCs w:val="26"/>
        </w:rPr>
        <w:t>/3</w:t>
      </w:r>
      <w:r w:rsidRPr="00C30AEF" w:rsidR="009163DC">
        <w:rPr>
          <w:szCs w:val="26"/>
        </w:rPr>
        <w:t>1</w:t>
      </w:r>
      <w:r w:rsidRPr="00C30AEF" w:rsidR="001C2FFF">
        <w:rPr>
          <w:szCs w:val="26"/>
        </w:rPr>
        <w:t>/202</w:t>
      </w:r>
      <w:r w:rsidRPr="00C30AEF" w:rsidR="009163DC">
        <w:rPr>
          <w:szCs w:val="26"/>
        </w:rPr>
        <w:t>7</w:t>
      </w:r>
      <w:r w:rsidRPr="00C30AEF">
        <w:rPr>
          <w:szCs w:val="26"/>
        </w:rPr>
        <w:t>): Electric Rate Schedules and Tariff Filings Pro Forma Open Access Transmission Tariff</w:t>
      </w:r>
    </w:p>
    <w:p w:rsidR="00555021" w:rsidRPr="00C30AEF" w:rsidP="008719DC" w14:paraId="7608079F" w14:textId="5B6DBC40">
      <w:pPr>
        <w:spacing w:line="480" w:lineRule="auto"/>
        <w:ind w:left="720"/>
        <w:rPr>
          <w:szCs w:val="26"/>
        </w:rPr>
      </w:pPr>
      <w:r w:rsidRPr="00C30AEF">
        <w:rPr>
          <w:szCs w:val="26"/>
        </w:rPr>
        <w:t xml:space="preserve">This collection </w:t>
      </w:r>
      <w:r w:rsidRPr="00C30AEF" w:rsidR="00841B5B">
        <w:rPr>
          <w:szCs w:val="26"/>
        </w:rPr>
        <w:t>covers the requirement for t</w:t>
      </w:r>
      <w:r w:rsidRPr="00C30AEF" w:rsidR="00777114">
        <w:rPr>
          <w:szCs w:val="26"/>
        </w:rPr>
        <w:t xml:space="preserve">ransmission owners </w:t>
      </w:r>
      <w:r w:rsidRPr="00C30AEF" w:rsidR="00841B5B">
        <w:rPr>
          <w:szCs w:val="26"/>
        </w:rPr>
        <w:t xml:space="preserve">to </w:t>
      </w:r>
      <w:r w:rsidRPr="00C30AEF" w:rsidR="00777114">
        <w:rPr>
          <w:szCs w:val="26"/>
        </w:rPr>
        <w:t>update</w:t>
      </w:r>
      <w:r w:rsidRPr="00C30AEF" w:rsidR="00660642">
        <w:rPr>
          <w:szCs w:val="26"/>
        </w:rPr>
        <w:t xml:space="preserve"> their OATT</w:t>
      </w:r>
      <w:r w:rsidRPr="00C30AEF" w:rsidR="004C4F28">
        <w:rPr>
          <w:szCs w:val="26"/>
        </w:rPr>
        <w:t>,</w:t>
      </w:r>
      <w:r w:rsidRPr="00C30AEF" w:rsidR="00660642">
        <w:rPr>
          <w:szCs w:val="26"/>
        </w:rPr>
        <w:t xml:space="preserve"> which includes</w:t>
      </w:r>
      <w:r w:rsidRPr="00C30AEF" w:rsidR="00777114">
        <w:rPr>
          <w:szCs w:val="26"/>
        </w:rPr>
        <w:t xml:space="preserve"> forecasts and ratings, and share </w:t>
      </w:r>
      <w:r w:rsidRPr="00C30AEF" w:rsidR="005D57BE">
        <w:rPr>
          <w:szCs w:val="26"/>
        </w:rPr>
        <w:t>transmission</w:t>
      </w:r>
      <w:r w:rsidRPr="00C30AEF" w:rsidR="00777114">
        <w:rPr>
          <w:szCs w:val="26"/>
        </w:rPr>
        <w:t xml:space="preserve"> line ratings and facilities ratings methodologies w</w:t>
      </w:r>
      <w:r w:rsidRPr="00C30AEF" w:rsidR="000660DA">
        <w:rPr>
          <w:szCs w:val="26"/>
        </w:rPr>
        <w:t>ith</w:t>
      </w:r>
      <w:r w:rsidRPr="00C30AEF" w:rsidR="00777114">
        <w:rPr>
          <w:szCs w:val="26"/>
        </w:rPr>
        <w:t xml:space="preserve"> transmission providers, RTOs/ISOs</w:t>
      </w:r>
      <w:r w:rsidRPr="00C30AEF" w:rsidR="000660DA">
        <w:rPr>
          <w:szCs w:val="26"/>
        </w:rPr>
        <w:t>,</w:t>
      </w:r>
      <w:r w:rsidRPr="00C30AEF" w:rsidR="00777114">
        <w:rPr>
          <w:szCs w:val="26"/>
        </w:rPr>
        <w:t xml:space="preserve"> </w:t>
      </w:r>
      <w:r w:rsidRPr="00C30AEF" w:rsidR="000660DA">
        <w:rPr>
          <w:szCs w:val="26"/>
        </w:rPr>
        <w:t>and</w:t>
      </w:r>
      <w:r w:rsidRPr="00C30AEF" w:rsidR="00777114">
        <w:rPr>
          <w:szCs w:val="26"/>
        </w:rPr>
        <w:t xml:space="preserve"> market monitors</w:t>
      </w:r>
      <w:r w:rsidRPr="00C30AEF">
        <w:rPr>
          <w:szCs w:val="26"/>
        </w:rPr>
        <w:t>.</w:t>
      </w:r>
      <w:r w:rsidRPr="00C30AEF" w:rsidR="008719DC">
        <w:rPr>
          <w:szCs w:val="26"/>
        </w:rPr>
        <w:t xml:space="preserve"> </w:t>
      </w:r>
      <w:r w:rsidRPr="00C30AEF">
        <w:rPr>
          <w:szCs w:val="26"/>
        </w:rPr>
        <w:t>This collection also include</w:t>
      </w:r>
      <w:r w:rsidRPr="00C30AEF" w:rsidR="00884585">
        <w:rPr>
          <w:szCs w:val="26"/>
        </w:rPr>
        <w:t>d</w:t>
      </w:r>
      <w:r w:rsidRPr="00C30AEF">
        <w:rPr>
          <w:szCs w:val="26"/>
        </w:rPr>
        <w:t xml:space="preserve"> a one-time </w:t>
      </w:r>
      <w:r w:rsidRPr="00C30AEF" w:rsidR="002B263B">
        <w:rPr>
          <w:szCs w:val="26"/>
        </w:rPr>
        <w:t>update to</w:t>
      </w:r>
      <w:r w:rsidRPr="00C30AEF" w:rsidR="00CC411B">
        <w:rPr>
          <w:szCs w:val="26"/>
        </w:rPr>
        <w:t xml:space="preserve"> their</w:t>
      </w:r>
      <w:r w:rsidRPr="00C30AEF" w:rsidR="006B1BED">
        <w:rPr>
          <w:szCs w:val="26"/>
        </w:rPr>
        <w:t xml:space="preserve"> </w:t>
      </w:r>
      <w:r w:rsidRPr="00C30AEF" w:rsidR="002B263B">
        <w:rPr>
          <w:szCs w:val="26"/>
        </w:rPr>
        <w:t xml:space="preserve">OATT </w:t>
      </w:r>
      <w:r w:rsidRPr="00C30AEF" w:rsidR="006B1BED">
        <w:rPr>
          <w:szCs w:val="26"/>
        </w:rPr>
        <w:t>related to rulemaking RM22-2-000</w:t>
      </w:r>
      <w:r w:rsidRPr="00C30AEF" w:rsidR="002B263B">
        <w:rPr>
          <w:szCs w:val="26"/>
        </w:rPr>
        <w:t xml:space="preserve"> in which the Commission revised Schedule 2 of its </w:t>
      </w:r>
      <w:r w:rsidRPr="00C30AEF" w:rsidR="002B263B">
        <w:rPr>
          <w:i/>
          <w:iCs/>
          <w:szCs w:val="26"/>
        </w:rPr>
        <w:t>pro forma</w:t>
      </w:r>
      <w:r w:rsidRPr="00C30AEF" w:rsidR="00CC411B">
        <w:rPr>
          <w:szCs w:val="26"/>
        </w:rPr>
        <w:t xml:space="preserve"> OATT</w:t>
      </w:r>
      <w:r w:rsidRPr="00C30AEF" w:rsidR="002B263B">
        <w:rPr>
          <w:szCs w:val="26"/>
        </w:rPr>
        <w:t xml:space="preserve">, section 9.6.3 of its </w:t>
      </w:r>
      <w:r w:rsidRPr="00C30AEF" w:rsidR="002B263B">
        <w:rPr>
          <w:i/>
          <w:iCs/>
          <w:szCs w:val="26"/>
        </w:rPr>
        <w:t>pro forma</w:t>
      </w:r>
      <w:r w:rsidRPr="00C30AEF" w:rsidR="002B263B">
        <w:rPr>
          <w:szCs w:val="26"/>
        </w:rPr>
        <w:t xml:space="preserve"> large generator interconnection agreement (LGIA), and section 1.8.2 of its </w:t>
      </w:r>
      <w:r w:rsidRPr="00C30AEF" w:rsidR="002B263B">
        <w:rPr>
          <w:i/>
          <w:iCs/>
          <w:szCs w:val="26"/>
        </w:rPr>
        <w:t>pro forma</w:t>
      </w:r>
      <w:r w:rsidRPr="00C30AEF" w:rsidR="002B263B">
        <w:rPr>
          <w:szCs w:val="26"/>
        </w:rPr>
        <w:t xml:space="preserve"> SGIA to prohibit the inclusion in transmission rates of any charges related to the provision of reactive power within the standard power factor range by generating facilities.</w:t>
      </w:r>
      <w:r w:rsidRPr="00C30AEF" w:rsidR="00884585">
        <w:rPr>
          <w:szCs w:val="26"/>
        </w:rPr>
        <w:t xml:space="preserve"> This one-time filing has been completed and will no longer be included in the burden estimate.</w:t>
      </w:r>
    </w:p>
    <w:p w:rsidR="002530ED" w:rsidRPr="00C30AEF" w:rsidP="00941636" w14:paraId="43ECA6AE" w14:textId="2DDDCEF4">
      <w:pPr>
        <w:pStyle w:val="ListParagraph"/>
        <w:numPr>
          <w:ilvl w:val="0"/>
          <w:numId w:val="8"/>
        </w:numPr>
        <w:spacing w:line="480" w:lineRule="auto"/>
        <w:rPr>
          <w:szCs w:val="26"/>
        </w:rPr>
      </w:pPr>
      <w:r w:rsidRPr="00C30AEF">
        <w:rPr>
          <w:szCs w:val="26"/>
        </w:rPr>
        <w:t>FERC-516J (OMB 1902-0332</w:t>
      </w:r>
      <w:r w:rsidRPr="00C30AEF" w:rsidR="009163DC">
        <w:rPr>
          <w:szCs w:val="26"/>
        </w:rPr>
        <w:t xml:space="preserve"> Exp 6/30/2027</w:t>
      </w:r>
      <w:r w:rsidRPr="00C30AEF">
        <w:rPr>
          <w:szCs w:val="26"/>
        </w:rPr>
        <w:t>): Electric Rate Schedules and Tariff Filings</w:t>
      </w:r>
    </w:p>
    <w:p w:rsidR="00DB54AE" w:rsidRPr="00C30AEF" w:rsidP="00FD0807" w14:paraId="44125E76" w14:textId="722D02E3">
      <w:pPr>
        <w:spacing w:line="480" w:lineRule="auto"/>
        <w:ind w:left="720"/>
        <w:rPr>
          <w:szCs w:val="26"/>
        </w:rPr>
      </w:pPr>
      <w:r w:rsidRPr="00C30AEF">
        <w:rPr>
          <w:szCs w:val="26"/>
        </w:rPr>
        <w:t xml:space="preserve">This was a temporary collection, implemented solely because another item was pending for FERC-516. Merging the collection into FERC-516 resolves this administrative situation. </w:t>
      </w:r>
      <w:r w:rsidRPr="00C30AEF" w:rsidR="00FD0807">
        <w:rPr>
          <w:szCs w:val="26"/>
        </w:rPr>
        <w:t xml:space="preserve">The Commission clarified it will look to applicable collective-bargaining agreements or Project Labor Agreements as an appropriate default source of project-area wage standards because collectively bargained wages reflect actual wage and fringe benefit rates paid to the project workforce. Collective-bargaining agreements reflect the actual labor cost that should be included in public utilities’ cost-of-service rate filings and depreciation studies filed pursuant FPA sections 205 and 206. </w:t>
      </w:r>
    </w:p>
    <w:p w:rsidR="002530ED" w:rsidRPr="00C30AEF" w:rsidP="00941636" w14:paraId="68C33727" w14:textId="2B304296">
      <w:pPr>
        <w:pStyle w:val="ListParagraph"/>
        <w:numPr>
          <w:ilvl w:val="0"/>
          <w:numId w:val="8"/>
        </w:numPr>
        <w:spacing w:line="480" w:lineRule="auto"/>
        <w:rPr>
          <w:szCs w:val="26"/>
        </w:rPr>
      </w:pPr>
      <w:r w:rsidRPr="00C30AEF">
        <w:rPr>
          <w:szCs w:val="26"/>
        </w:rPr>
        <w:t>FERC-717 (OMB</w:t>
      </w:r>
      <w:r w:rsidRPr="00C30AEF" w:rsidR="00087549">
        <w:rPr>
          <w:szCs w:val="26"/>
        </w:rPr>
        <w:t xml:space="preserve"> 1902</w:t>
      </w:r>
      <w:r w:rsidRPr="00C30AEF">
        <w:rPr>
          <w:szCs w:val="26"/>
        </w:rPr>
        <w:t>-0173</w:t>
      </w:r>
      <w:r w:rsidRPr="00C30AEF" w:rsidR="009163DC">
        <w:rPr>
          <w:szCs w:val="26"/>
        </w:rPr>
        <w:t xml:space="preserve"> Exp </w:t>
      </w:r>
      <w:r w:rsidRPr="00C30AEF" w:rsidR="00BC4244">
        <w:rPr>
          <w:szCs w:val="26"/>
        </w:rPr>
        <w:t>4</w:t>
      </w:r>
      <w:r w:rsidRPr="00C30AEF" w:rsidR="009163DC">
        <w:rPr>
          <w:szCs w:val="26"/>
        </w:rPr>
        <w:t>/30/202</w:t>
      </w:r>
      <w:r w:rsidRPr="00C30AEF" w:rsidR="00BC4244">
        <w:rPr>
          <w:szCs w:val="26"/>
        </w:rPr>
        <w:t>8</w:t>
      </w:r>
      <w:r w:rsidRPr="00C30AEF">
        <w:rPr>
          <w:szCs w:val="26"/>
        </w:rPr>
        <w:t>): Standards for Bus. Practices &amp; Communication (Real Time Information Networks/Stan. Cond.)</w:t>
      </w:r>
    </w:p>
    <w:p w:rsidR="008D5C77" w:rsidRPr="00C30AEF" w:rsidP="004F692F" w14:paraId="06202D51" w14:textId="1263739D">
      <w:pPr>
        <w:pStyle w:val="ListParagraph"/>
        <w:spacing w:line="480" w:lineRule="auto"/>
        <w:rPr>
          <w:szCs w:val="26"/>
        </w:rPr>
      </w:pPr>
      <w:r w:rsidRPr="00C30AEF">
        <w:rPr>
          <w:szCs w:val="26"/>
        </w:rPr>
        <w:t xml:space="preserve">OASIS is an Internet-based tool for sharing information on transmission prices and product availability. </w:t>
      </w:r>
      <w:r w:rsidRPr="00C30AEF" w:rsidR="004F692F">
        <w:rPr>
          <w:szCs w:val="26"/>
        </w:rPr>
        <w:t>In Order No. 889, the Commission required public utilities to establish OASIS sites to provide transmission customers with equal and timely access to information about transmission and ancillary services provided in the tariffs. This requirement was established because the Commission has determined that transmission customers must have simultaneous access to the same information available to the Transmission Provider in order to achieve nondiscriminatory transmission services.</w:t>
      </w:r>
      <w:r w:rsidRPr="00C30AEF" w:rsidR="00AC6E82">
        <w:rPr>
          <w:szCs w:val="26"/>
        </w:rPr>
        <w:t xml:space="preserve"> This is part of the Commission’s </w:t>
      </w:r>
      <w:r w:rsidRPr="00C30AEF" w:rsidR="00E74B91">
        <w:rPr>
          <w:szCs w:val="26"/>
        </w:rPr>
        <w:t>requirements under t</w:t>
      </w:r>
      <w:r w:rsidRPr="00C30AEF" w:rsidR="00AC6E82">
        <w:rPr>
          <w:szCs w:val="26"/>
        </w:rPr>
        <w:t xml:space="preserve">he </w:t>
      </w:r>
      <w:r w:rsidRPr="00C30AEF" w:rsidR="00663C27">
        <w:rPr>
          <w:szCs w:val="26"/>
        </w:rPr>
        <w:t>FPA</w:t>
      </w:r>
      <w:r w:rsidRPr="00C30AEF" w:rsidR="00AC6E82">
        <w:rPr>
          <w:szCs w:val="26"/>
        </w:rPr>
        <w:t xml:space="preserve"> </w:t>
      </w:r>
      <w:r w:rsidRPr="00C30AEF" w:rsidR="00663C27">
        <w:rPr>
          <w:szCs w:val="26"/>
        </w:rPr>
        <w:t>s</w:t>
      </w:r>
      <w:r w:rsidRPr="00C30AEF" w:rsidR="00AC6E82">
        <w:rPr>
          <w:szCs w:val="26"/>
        </w:rPr>
        <w:t>ection 205 to ensure that the rates and charges for the wholesale sale of electric energy are just and reasonable</w:t>
      </w:r>
      <w:r w:rsidRPr="00C30AEF" w:rsidR="00E74B91">
        <w:rPr>
          <w:szCs w:val="26"/>
        </w:rPr>
        <w:t xml:space="preserve">, and that </w:t>
      </w:r>
      <w:r w:rsidRPr="00C30AEF" w:rsidR="00AC6E82">
        <w:rPr>
          <w:szCs w:val="26"/>
        </w:rPr>
        <w:t xml:space="preserve">the rules and </w:t>
      </w:r>
      <w:r w:rsidRPr="00C30AEF" w:rsidR="00AC6E82">
        <w:rPr>
          <w:szCs w:val="26"/>
        </w:rPr>
        <w:t xml:space="preserve">regulations affecting or pertaining to the rates and charges for the wholesale sale of electric energy </w:t>
      </w:r>
      <w:r w:rsidRPr="00C30AEF" w:rsidR="00562EAC">
        <w:rPr>
          <w:szCs w:val="26"/>
        </w:rPr>
        <w:t>are</w:t>
      </w:r>
      <w:r w:rsidRPr="00C30AEF" w:rsidR="00AC6E82">
        <w:rPr>
          <w:szCs w:val="26"/>
        </w:rPr>
        <w:t xml:space="preserve"> just and reasonable.  </w:t>
      </w:r>
    </w:p>
    <w:p w:rsidR="002530ED" w:rsidRPr="00C30AEF" w:rsidP="00941636" w14:paraId="2427BA1F" w14:textId="7549FBB7">
      <w:pPr>
        <w:pStyle w:val="ListParagraph"/>
        <w:numPr>
          <w:ilvl w:val="0"/>
          <w:numId w:val="8"/>
        </w:numPr>
        <w:spacing w:line="480" w:lineRule="auto"/>
        <w:rPr>
          <w:szCs w:val="26"/>
        </w:rPr>
      </w:pPr>
      <w:r w:rsidRPr="00C30AEF">
        <w:rPr>
          <w:szCs w:val="26"/>
        </w:rPr>
        <w:t>FERC-917 (OMB 1902-0233</w:t>
      </w:r>
      <w:r w:rsidRPr="00C30AEF" w:rsidR="00BC4244">
        <w:rPr>
          <w:szCs w:val="26"/>
        </w:rPr>
        <w:t xml:space="preserve"> Exp 10/31/2027</w:t>
      </w:r>
      <w:r w:rsidRPr="00C30AEF">
        <w:rPr>
          <w:szCs w:val="26"/>
        </w:rPr>
        <w:t>) Electric Transmission Facilities: Standards for Business Practices and Communication Protocols for Public Utilities.</w:t>
      </w:r>
    </w:p>
    <w:p w:rsidR="00DB54AE" w:rsidRPr="00C30AEF" w:rsidP="00ED642D" w14:paraId="18B38196" w14:textId="4CBB3F92">
      <w:pPr>
        <w:spacing w:line="480" w:lineRule="auto"/>
        <w:ind w:left="720"/>
        <w:rPr>
          <w:szCs w:val="26"/>
        </w:rPr>
      </w:pPr>
      <w:r w:rsidRPr="00C30AEF">
        <w:rPr>
          <w:szCs w:val="26"/>
        </w:rPr>
        <w:t xml:space="preserve">Section 206 of the FPA, 16 </w:t>
      </w:r>
      <w:r w:rsidRPr="00C30AEF" w:rsidR="00D966B7">
        <w:rPr>
          <w:szCs w:val="26"/>
        </w:rPr>
        <w:t>USC</w:t>
      </w:r>
      <w:r w:rsidRPr="00C30AEF" w:rsidR="003C49CC">
        <w:rPr>
          <w:szCs w:val="26"/>
        </w:rPr>
        <w:t xml:space="preserve"> </w:t>
      </w:r>
      <w:r w:rsidRPr="00C30AEF">
        <w:rPr>
          <w:szCs w:val="26"/>
        </w:rPr>
        <w:t>824e, obligates the Commission to remedy unjust, unreasonable, and unduly discriminatory or preferential rates, terms, and conditions of transmission service.</w:t>
      </w:r>
      <w:r w:rsidRPr="00C30AEF" w:rsidR="003266BF">
        <w:rPr>
          <w:szCs w:val="26"/>
        </w:rPr>
        <w:t xml:space="preserve"> FERC-917 </w:t>
      </w:r>
      <w:r w:rsidRPr="00C30AEF" w:rsidR="00A13D9F">
        <w:rPr>
          <w:szCs w:val="26"/>
        </w:rPr>
        <w:t xml:space="preserve">supports the </w:t>
      </w:r>
      <w:r w:rsidRPr="00C30AEF">
        <w:rPr>
          <w:szCs w:val="26"/>
        </w:rPr>
        <w:t xml:space="preserve">Commission implementation of </w:t>
      </w:r>
      <w:r w:rsidRPr="00C30AEF" w:rsidR="0002757F">
        <w:rPr>
          <w:szCs w:val="26"/>
        </w:rPr>
        <w:t xml:space="preserve">FPA </w:t>
      </w:r>
      <w:r w:rsidRPr="00C30AEF">
        <w:rPr>
          <w:szCs w:val="26"/>
        </w:rPr>
        <w:t xml:space="preserve">section 206 </w:t>
      </w:r>
      <w:r w:rsidRPr="00C30AEF" w:rsidR="00A13D9F">
        <w:rPr>
          <w:szCs w:val="26"/>
        </w:rPr>
        <w:t xml:space="preserve">via </w:t>
      </w:r>
      <w:r w:rsidRPr="00C30AEF">
        <w:rPr>
          <w:szCs w:val="26"/>
        </w:rPr>
        <w:t>18 CFR 35.28 (“Non-Discriminatory Open Access Transmission Tariff”) and</w:t>
      </w:r>
      <w:r w:rsidRPr="00C30AEF" w:rsidR="004235E1">
        <w:rPr>
          <w:szCs w:val="26"/>
        </w:rPr>
        <w:t xml:space="preserve"> t</w:t>
      </w:r>
      <w:r w:rsidRPr="00C30AEF">
        <w:rPr>
          <w:szCs w:val="26"/>
        </w:rPr>
        <w:t xml:space="preserve">he </w:t>
      </w:r>
      <w:r w:rsidRPr="00C30AEF">
        <w:rPr>
          <w:i/>
          <w:iCs/>
          <w:szCs w:val="26"/>
        </w:rPr>
        <w:t>pro forma</w:t>
      </w:r>
      <w:r w:rsidRPr="00C30AEF">
        <w:rPr>
          <w:szCs w:val="26"/>
        </w:rPr>
        <w:t xml:space="preserve"> OATT.</w:t>
      </w:r>
      <w:r w:rsidRPr="00C30AEF" w:rsidR="004235E1">
        <w:rPr>
          <w:szCs w:val="26"/>
        </w:rPr>
        <w:t xml:space="preserve"> </w:t>
      </w:r>
      <w:r w:rsidRPr="00C30AEF">
        <w:rPr>
          <w:szCs w:val="26"/>
        </w:rPr>
        <w:t>The Commission’s regulations at 18 CFR 35.28 require certain types of entities to have on file an OATT that contains minimum terms and conditions of non-discriminatory transmission service. This requirement applies to all public utilities</w:t>
      </w:r>
      <w:r>
        <w:rPr>
          <w:b/>
          <w:bCs/>
          <w:szCs w:val="26"/>
          <w:vertAlign w:val="superscript"/>
        </w:rPr>
        <w:footnoteReference w:id="3"/>
      </w:r>
      <w:r w:rsidRPr="00C30AEF">
        <w:rPr>
          <w:szCs w:val="26"/>
        </w:rPr>
        <w:t xml:space="preserve"> that own, control, or operate facilities used for transmitting electric energy in interstate commerce. Other provisions in section 35.28 of the Commission’s regulations apply to non-public utilities, but only if they seek voluntary compliance with jurisdictional transmission tariff reciprocity conditions.  </w:t>
      </w:r>
    </w:p>
    <w:p w:rsidR="002530ED" w:rsidRPr="00C30AEF" w:rsidP="00941636" w14:paraId="231C00C5" w14:textId="48AD9021">
      <w:pPr>
        <w:pStyle w:val="ListParagraph"/>
        <w:numPr>
          <w:ilvl w:val="0"/>
          <w:numId w:val="8"/>
        </w:numPr>
        <w:spacing w:line="480" w:lineRule="auto"/>
        <w:rPr>
          <w:szCs w:val="26"/>
        </w:rPr>
      </w:pPr>
      <w:r w:rsidRPr="00C30AEF">
        <w:rPr>
          <w:szCs w:val="26"/>
        </w:rPr>
        <w:t>FERC-919 (OMB 1902-0234</w:t>
      </w:r>
      <w:r w:rsidRPr="00C30AEF" w:rsidR="009B1691">
        <w:rPr>
          <w:szCs w:val="26"/>
        </w:rPr>
        <w:t xml:space="preserve"> Exp 11/30/2026</w:t>
      </w:r>
      <w:r w:rsidRPr="00C30AEF">
        <w:rPr>
          <w:szCs w:val="26"/>
        </w:rPr>
        <w:t>): Market-Based Rates for Wholesale Sales of Electric Energy, Capacity, and Ancillary Services by Public Utilities</w:t>
      </w:r>
    </w:p>
    <w:p w:rsidR="00EE524D" w:rsidRPr="00C30AEF" w:rsidP="002B7F59" w14:paraId="28F4FDF8" w14:textId="6AD1CBD2">
      <w:pPr>
        <w:spacing w:line="480" w:lineRule="auto"/>
        <w:ind w:left="720"/>
        <w:rPr>
          <w:szCs w:val="26"/>
        </w:rPr>
      </w:pPr>
      <w:r w:rsidRPr="00C30AEF">
        <w:rPr>
          <w:szCs w:val="26"/>
        </w:rPr>
        <w:t>The FERC–919 collection is necessary to ensure that market-based rates charged by public utilities are just and reasonable as mandated by FPA sections 205 and 206.  Section 205 of the FPA requires just and reasonable rates and charges.  Section 206 allows the Commission to revoke a seller’s market-based rate authorization if it determines that the seller may have gained market power since it was originally granted market-based rate authorization by the Commission.</w:t>
      </w:r>
      <w:r w:rsidRPr="00C30AEF" w:rsidR="00C45C25">
        <w:rPr>
          <w:szCs w:val="26"/>
        </w:rPr>
        <w:t xml:space="preserve"> Under</w:t>
      </w:r>
      <w:r w:rsidRPr="00C30AEF">
        <w:rPr>
          <w:szCs w:val="26"/>
        </w:rPr>
        <w:t xml:space="preserve"> FERC-919, as stated in 18 CFR Part 35, Subpart H, the Commission codifies market-based rate standards for generating electric utilities for use in the Commission’s determination of whether a wholesale seller of electric energy, capacity, or ancillary services qualify for market-based rate authority. Subpart H mandates that sellers submit market power analyses and related filings. Market power analyses must address both horizontal and vertical market power.   </w:t>
      </w:r>
    </w:p>
    <w:p w:rsidR="009679E3" w:rsidRPr="00C30AEF" w:rsidP="549EAD48" w14:paraId="7C064110" w14:textId="2E195892">
      <w:pPr>
        <w:spacing w:line="480" w:lineRule="auto"/>
        <w:rPr>
          <w:szCs w:val="26"/>
        </w:rPr>
      </w:pPr>
      <w:r w:rsidRPr="00C30AEF">
        <w:rPr>
          <w:i/>
          <w:iCs/>
          <w:szCs w:val="26"/>
        </w:rPr>
        <w:t>Type of Respondents:</w:t>
      </w:r>
      <w:r w:rsidRPr="00C30AEF" w:rsidR="00ED1EBC">
        <w:rPr>
          <w:i/>
          <w:iCs/>
          <w:szCs w:val="26"/>
        </w:rPr>
        <w:t xml:space="preserve"> </w:t>
      </w:r>
      <w:r w:rsidRPr="00C30AEF" w:rsidR="00ED1EBC">
        <w:rPr>
          <w:szCs w:val="26"/>
        </w:rPr>
        <w:t>Jurisdictional Public Utilities and</w:t>
      </w:r>
      <w:r w:rsidRPr="00C30AEF">
        <w:rPr>
          <w:i/>
          <w:iCs/>
          <w:szCs w:val="26"/>
        </w:rPr>
        <w:t xml:space="preserve"> </w:t>
      </w:r>
      <w:r w:rsidRPr="00C30AEF" w:rsidR="005B6394">
        <w:rPr>
          <w:szCs w:val="26"/>
        </w:rPr>
        <w:t xml:space="preserve">Electric </w:t>
      </w:r>
      <w:r w:rsidRPr="00C30AEF" w:rsidR="00FC00AC">
        <w:rPr>
          <w:szCs w:val="26"/>
        </w:rPr>
        <w:t xml:space="preserve">Transmission </w:t>
      </w:r>
      <w:r w:rsidRPr="00C30AEF" w:rsidR="004B0F34">
        <w:rPr>
          <w:szCs w:val="26"/>
        </w:rPr>
        <w:t>Companies</w:t>
      </w:r>
      <w:r w:rsidRPr="00C30AEF">
        <w:rPr>
          <w:szCs w:val="26"/>
        </w:rPr>
        <w:t xml:space="preserve"> </w:t>
      </w:r>
    </w:p>
    <w:p w:rsidR="00696A1D" w:rsidRPr="00C30AEF" w:rsidP="549EAD48" w14:paraId="16FB0FAE" w14:textId="50FE62C8">
      <w:pPr>
        <w:spacing w:line="480" w:lineRule="auto"/>
        <w:rPr>
          <w:szCs w:val="26"/>
        </w:rPr>
      </w:pPr>
      <w:r w:rsidRPr="00C30AEF">
        <w:rPr>
          <w:i/>
          <w:iCs/>
          <w:szCs w:val="26"/>
        </w:rPr>
        <w:t>Estimate of Annual Burden</w:t>
      </w:r>
      <w:r>
        <w:rPr>
          <w:rStyle w:val="FootnoteReference"/>
          <w:i/>
          <w:iCs/>
        </w:rPr>
        <w:footnoteReference w:id="4"/>
      </w:r>
      <w:r w:rsidRPr="00C30AEF">
        <w:rPr>
          <w:i/>
          <w:iCs/>
          <w:szCs w:val="26"/>
        </w:rPr>
        <w:t xml:space="preserve">: </w:t>
      </w:r>
      <w:r w:rsidRPr="00C30AEF" w:rsidR="000F3B82">
        <w:rPr>
          <w:szCs w:val="26"/>
        </w:rPr>
        <w:t xml:space="preserve">As part of </w:t>
      </w:r>
      <w:r w:rsidRPr="00C30AEF" w:rsidR="00EA25AE">
        <w:rPr>
          <w:szCs w:val="26"/>
        </w:rPr>
        <w:t>its in</w:t>
      </w:r>
      <w:r w:rsidRPr="00C30AEF" w:rsidR="00E9262A">
        <w:rPr>
          <w:szCs w:val="26"/>
        </w:rPr>
        <w:t>-</w:t>
      </w:r>
      <w:r w:rsidRPr="00C30AEF" w:rsidR="00EA25AE">
        <w:rPr>
          <w:szCs w:val="26"/>
        </w:rPr>
        <w:t>depth review of th</w:t>
      </w:r>
      <w:r w:rsidRPr="00C30AEF" w:rsidR="00E9262A">
        <w:rPr>
          <w:szCs w:val="26"/>
        </w:rPr>
        <w:t>ese</w:t>
      </w:r>
      <w:r w:rsidRPr="00C30AEF" w:rsidR="00EA25AE">
        <w:rPr>
          <w:szCs w:val="26"/>
        </w:rPr>
        <w:t xml:space="preserve"> information collection</w:t>
      </w:r>
      <w:r w:rsidRPr="00C30AEF" w:rsidR="00E9262A">
        <w:rPr>
          <w:szCs w:val="26"/>
        </w:rPr>
        <w:t xml:space="preserve"> activities</w:t>
      </w:r>
      <w:r w:rsidRPr="00C30AEF" w:rsidR="00F70906">
        <w:rPr>
          <w:szCs w:val="26"/>
        </w:rPr>
        <w:t>, FERC</w:t>
      </w:r>
      <w:r w:rsidRPr="00C30AEF" w:rsidR="00E9262A">
        <w:rPr>
          <w:szCs w:val="26"/>
        </w:rPr>
        <w:t xml:space="preserve"> </w:t>
      </w:r>
      <w:r w:rsidRPr="00C30AEF" w:rsidR="00106814">
        <w:rPr>
          <w:szCs w:val="26"/>
        </w:rPr>
        <w:t xml:space="preserve">identified three categories of </w:t>
      </w:r>
      <w:r w:rsidRPr="00C30AEF" w:rsidR="00AF35D8">
        <w:rPr>
          <w:szCs w:val="26"/>
        </w:rPr>
        <w:t xml:space="preserve">information collection </w:t>
      </w:r>
      <w:r w:rsidRPr="00C30AEF" w:rsidR="00AF35D8">
        <w:rPr>
          <w:szCs w:val="26"/>
        </w:rPr>
        <w:t>requirements</w:t>
      </w:r>
      <w:r w:rsidRPr="00C30AEF" w:rsidR="00B0724D">
        <w:rPr>
          <w:szCs w:val="26"/>
        </w:rPr>
        <w:t xml:space="preserve"> </w:t>
      </w:r>
      <w:r w:rsidRPr="00C30AEF" w:rsidR="000B1918">
        <w:rPr>
          <w:szCs w:val="26"/>
        </w:rPr>
        <w:t xml:space="preserve">that cover </w:t>
      </w:r>
      <w:r w:rsidRPr="00C30AEF" w:rsidR="00B30A01">
        <w:rPr>
          <w:szCs w:val="26"/>
        </w:rPr>
        <w:t xml:space="preserve">all </w:t>
      </w:r>
      <w:r w:rsidRPr="00C30AEF" w:rsidR="00E0385A">
        <w:rPr>
          <w:szCs w:val="26"/>
        </w:rPr>
        <w:t>previous</w:t>
      </w:r>
      <w:r w:rsidRPr="00C30AEF" w:rsidR="00FC51F6">
        <w:rPr>
          <w:szCs w:val="26"/>
        </w:rPr>
        <w:t xml:space="preserve"> information collection activities</w:t>
      </w:r>
      <w:r w:rsidRPr="00C30AEF" w:rsidR="00AF35D8">
        <w:rPr>
          <w:szCs w:val="26"/>
        </w:rPr>
        <w:t xml:space="preserve">: Electric Tariff Filings, Compliance Filings, and Information Sharing Requirements. </w:t>
      </w:r>
      <w:r w:rsidRPr="00C30AEF" w:rsidR="00E56929">
        <w:rPr>
          <w:szCs w:val="26"/>
        </w:rPr>
        <w:t>The</w:t>
      </w:r>
      <w:r w:rsidRPr="00C30AEF" w:rsidR="00BF706B">
        <w:rPr>
          <w:szCs w:val="26"/>
        </w:rPr>
        <w:t xml:space="preserve"> </w:t>
      </w:r>
      <w:r w:rsidRPr="00C30AEF" w:rsidR="007D1065">
        <w:rPr>
          <w:szCs w:val="26"/>
        </w:rPr>
        <w:t xml:space="preserve">Electric Tariff </w:t>
      </w:r>
      <w:r w:rsidRPr="00C30AEF" w:rsidR="00B912FB">
        <w:rPr>
          <w:szCs w:val="26"/>
        </w:rPr>
        <w:t xml:space="preserve">and Compliance </w:t>
      </w:r>
      <w:r w:rsidRPr="00C30AEF" w:rsidR="007D1065">
        <w:rPr>
          <w:szCs w:val="26"/>
        </w:rPr>
        <w:t>F</w:t>
      </w:r>
      <w:r w:rsidRPr="00C30AEF" w:rsidR="008F5EE8">
        <w:rPr>
          <w:szCs w:val="26"/>
        </w:rPr>
        <w:t>iling</w:t>
      </w:r>
      <w:r w:rsidRPr="00C30AEF" w:rsidR="00B912FB">
        <w:rPr>
          <w:szCs w:val="26"/>
        </w:rPr>
        <w:t>s</w:t>
      </w:r>
      <w:r w:rsidRPr="00C30AEF" w:rsidR="008F5EE8">
        <w:rPr>
          <w:szCs w:val="26"/>
        </w:rPr>
        <w:t xml:space="preserve"> </w:t>
      </w:r>
      <w:r w:rsidRPr="00C30AEF" w:rsidR="007D1065">
        <w:rPr>
          <w:szCs w:val="26"/>
        </w:rPr>
        <w:t>are triggered b</w:t>
      </w:r>
      <w:r w:rsidRPr="00C30AEF" w:rsidR="00E56929">
        <w:rPr>
          <w:szCs w:val="26"/>
        </w:rPr>
        <w:t>y a respondent</w:t>
      </w:r>
      <w:r w:rsidRPr="00C30AEF" w:rsidR="00BA1919">
        <w:rPr>
          <w:szCs w:val="26"/>
        </w:rPr>
        <w:t>’</w:t>
      </w:r>
      <w:r w:rsidRPr="00C30AEF" w:rsidR="00E56929">
        <w:rPr>
          <w:szCs w:val="26"/>
        </w:rPr>
        <w:t>s activities</w:t>
      </w:r>
      <w:r w:rsidRPr="00C30AEF" w:rsidR="007D1065">
        <w:rPr>
          <w:szCs w:val="26"/>
        </w:rPr>
        <w:t xml:space="preserve"> </w:t>
      </w:r>
      <w:r w:rsidRPr="00C30AEF" w:rsidR="00932E19">
        <w:rPr>
          <w:szCs w:val="26"/>
        </w:rPr>
        <w:t>rather than a predictable schedule based on the number of potential respondents.</w:t>
      </w:r>
      <w:r w:rsidRPr="00C30AEF" w:rsidR="00516F04">
        <w:rPr>
          <w:szCs w:val="26"/>
        </w:rPr>
        <w:t xml:space="preserve"> The previous approach overestimated the burden because it </w:t>
      </w:r>
      <w:r w:rsidRPr="00C30AEF" w:rsidR="006D6923">
        <w:rPr>
          <w:szCs w:val="26"/>
        </w:rPr>
        <w:t>did not account for the frequency of responses based on FERC’s historical records.</w:t>
      </w:r>
      <w:r w:rsidRPr="00C30AEF" w:rsidR="00E56929">
        <w:rPr>
          <w:szCs w:val="26"/>
        </w:rPr>
        <w:t xml:space="preserve"> </w:t>
      </w:r>
      <w:r w:rsidRPr="00C30AEF" w:rsidR="00B912FB">
        <w:rPr>
          <w:szCs w:val="26"/>
        </w:rPr>
        <w:t xml:space="preserve">Therefore, </w:t>
      </w:r>
      <w:r w:rsidRPr="00C30AEF" w:rsidR="009E6753">
        <w:rPr>
          <w:szCs w:val="26"/>
        </w:rPr>
        <w:t xml:space="preserve">FERC </w:t>
      </w:r>
      <w:r w:rsidRPr="00C30AEF" w:rsidR="00E9262A">
        <w:rPr>
          <w:szCs w:val="26"/>
        </w:rPr>
        <w:t xml:space="preserve">determined </w:t>
      </w:r>
      <w:r w:rsidRPr="00C30AEF" w:rsidR="00525D30">
        <w:rPr>
          <w:szCs w:val="26"/>
        </w:rPr>
        <w:t xml:space="preserve">that it could more accurately reflect the </w:t>
      </w:r>
      <w:r w:rsidRPr="00C30AEF" w:rsidR="006C69E2">
        <w:rPr>
          <w:szCs w:val="26"/>
        </w:rPr>
        <w:t>number of respondents</w:t>
      </w:r>
      <w:r w:rsidRPr="00C30AEF" w:rsidR="00227421">
        <w:rPr>
          <w:szCs w:val="26"/>
        </w:rPr>
        <w:t xml:space="preserve"> </w:t>
      </w:r>
      <w:r w:rsidRPr="00C30AEF" w:rsidR="006C69E2">
        <w:rPr>
          <w:szCs w:val="26"/>
        </w:rPr>
        <w:t>for</w:t>
      </w:r>
      <w:r w:rsidRPr="00C30AEF" w:rsidR="00227421">
        <w:rPr>
          <w:szCs w:val="26"/>
        </w:rPr>
        <w:t xml:space="preserve"> these information collection activities</w:t>
      </w:r>
      <w:r w:rsidRPr="00C30AEF" w:rsidR="00656B29">
        <w:rPr>
          <w:szCs w:val="26"/>
        </w:rPr>
        <w:t xml:space="preserve"> </w:t>
      </w:r>
      <w:r w:rsidRPr="00C30AEF" w:rsidR="00BA1919">
        <w:rPr>
          <w:szCs w:val="26"/>
        </w:rPr>
        <w:t>by</w:t>
      </w:r>
      <w:r w:rsidRPr="00C30AEF" w:rsidR="00525D30">
        <w:rPr>
          <w:szCs w:val="26"/>
        </w:rPr>
        <w:t xml:space="preserve"> using </w:t>
      </w:r>
      <w:r w:rsidRPr="00C30AEF" w:rsidR="00DC599C">
        <w:rPr>
          <w:szCs w:val="26"/>
        </w:rPr>
        <w:t>the number of</w:t>
      </w:r>
      <w:r w:rsidRPr="00C30AEF" w:rsidR="002656C4">
        <w:rPr>
          <w:szCs w:val="26"/>
        </w:rPr>
        <w:t xml:space="preserve"> </w:t>
      </w:r>
      <w:r w:rsidRPr="00C30AEF" w:rsidR="002557DD">
        <w:rPr>
          <w:szCs w:val="26"/>
        </w:rPr>
        <w:t xml:space="preserve">actual </w:t>
      </w:r>
      <w:r w:rsidRPr="00C30AEF" w:rsidR="002656C4">
        <w:rPr>
          <w:szCs w:val="26"/>
        </w:rPr>
        <w:t>submissions</w:t>
      </w:r>
      <w:r w:rsidRPr="00C30AEF" w:rsidR="002557DD">
        <w:rPr>
          <w:szCs w:val="26"/>
        </w:rPr>
        <w:t xml:space="preserve"> from previous years</w:t>
      </w:r>
      <w:r w:rsidRPr="00C30AEF" w:rsidR="00DC599C">
        <w:rPr>
          <w:szCs w:val="26"/>
        </w:rPr>
        <w:t>.</w:t>
      </w:r>
      <w:r w:rsidRPr="00C30AEF" w:rsidR="001F0C38">
        <w:rPr>
          <w:szCs w:val="26"/>
        </w:rPr>
        <w:t xml:space="preserve"> </w:t>
      </w:r>
      <w:r w:rsidRPr="00C30AEF" w:rsidR="004D123B">
        <w:rPr>
          <w:szCs w:val="26"/>
        </w:rPr>
        <w:t xml:space="preserve">FERC also reviewed the estimated number of hours for each </w:t>
      </w:r>
      <w:r w:rsidRPr="00C30AEF" w:rsidR="00487CE9">
        <w:rPr>
          <w:szCs w:val="26"/>
        </w:rPr>
        <w:t xml:space="preserve">information collection activity and </w:t>
      </w:r>
      <w:r w:rsidRPr="00C30AEF" w:rsidR="00BA155B">
        <w:rPr>
          <w:szCs w:val="26"/>
        </w:rPr>
        <w:t xml:space="preserve">determined that </w:t>
      </w:r>
      <w:r w:rsidRPr="00C30AEF" w:rsidR="00F477C5">
        <w:rPr>
          <w:szCs w:val="26"/>
        </w:rPr>
        <w:t>the</w:t>
      </w:r>
      <w:r w:rsidRPr="00C30AEF" w:rsidR="00F027C9">
        <w:rPr>
          <w:szCs w:val="26"/>
        </w:rPr>
        <w:t xml:space="preserve"> burden hours are </w:t>
      </w:r>
      <w:r w:rsidRPr="00C30AEF" w:rsidR="00BA155B">
        <w:rPr>
          <w:szCs w:val="26"/>
        </w:rPr>
        <w:t>driven</w:t>
      </w:r>
      <w:r w:rsidRPr="00C30AEF" w:rsidR="00F027C9">
        <w:rPr>
          <w:szCs w:val="26"/>
        </w:rPr>
        <w:t xml:space="preserve"> by</w:t>
      </w:r>
      <w:r w:rsidRPr="00C30AEF" w:rsidR="00F477C5">
        <w:rPr>
          <w:szCs w:val="26"/>
        </w:rPr>
        <w:t xml:space="preserve"> complexity of an entit</w:t>
      </w:r>
      <w:r w:rsidRPr="00C30AEF" w:rsidR="003D3AEF">
        <w:rPr>
          <w:szCs w:val="26"/>
        </w:rPr>
        <w:t>y’s</w:t>
      </w:r>
      <w:r w:rsidRPr="00C30AEF" w:rsidR="00F477C5">
        <w:rPr>
          <w:szCs w:val="26"/>
        </w:rPr>
        <w:t xml:space="preserve"> </w:t>
      </w:r>
      <w:r w:rsidRPr="00C30AEF" w:rsidR="00C56183">
        <w:rPr>
          <w:szCs w:val="26"/>
        </w:rPr>
        <w:t>proposed change</w:t>
      </w:r>
      <w:r w:rsidRPr="00C30AEF" w:rsidR="00BA155B">
        <w:rPr>
          <w:szCs w:val="26"/>
        </w:rPr>
        <w:t xml:space="preserve">, which </w:t>
      </w:r>
      <w:r w:rsidRPr="00C30AEF" w:rsidR="00B8260E">
        <w:rPr>
          <w:szCs w:val="26"/>
        </w:rPr>
        <w:t>cannot be predicted by FERC.</w:t>
      </w:r>
      <w:r w:rsidRPr="00C30AEF" w:rsidR="00BA155B">
        <w:rPr>
          <w:szCs w:val="26"/>
        </w:rPr>
        <w:t xml:space="preserve"> As such, FERC </w:t>
      </w:r>
      <w:r w:rsidRPr="00C30AEF" w:rsidR="007668AC">
        <w:rPr>
          <w:szCs w:val="26"/>
        </w:rPr>
        <w:t xml:space="preserve">is confident that </w:t>
      </w:r>
      <w:r w:rsidRPr="00C30AEF" w:rsidR="00AB0282">
        <w:rPr>
          <w:szCs w:val="26"/>
        </w:rPr>
        <w:t>an average across this wider group of activities</w:t>
      </w:r>
      <w:r w:rsidRPr="00C30AEF" w:rsidR="00F477C5">
        <w:rPr>
          <w:szCs w:val="26"/>
        </w:rPr>
        <w:t xml:space="preserve"> </w:t>
      </w:r>
      <w:r w:rsidRPr="00C30AEF" w:rsidR="00147AD7">
        <w:rPr>
          <w:szCs w:val="26"/>
        </w:rPr>
        <w:t>still represents an appropriate estimated burden.</w:t>
      </w:r>
      <w:r w:rsidRPr="00C30AEF" w:rsidR="00550481">
        <w:rPr>
          <w:szCs w:val="26"/>
        </w:rPr>
        <w:t xml:space="preserve"> The Information Sharing Requirements are based on the number of entities subject to </w:t>
      </w:r>
      <w:r w:rsidRPr="00C30AEF" w:rsidR="00496D9C">
        <w:rPr>
          <w:szCs w:val="26"/>
        </w:rPr>
        <w:t>an</w:t>
      </w:r>
      <w:r w:rsidRPr="00C30AEF" w:rsidR="00550481">
        <w:rPr>
          <w:szCs w:val="26"/>
        </w:rPr>
        <w:t xml:space="preserve"> </w:t>
      </w:r>
      <w:r w:rsidRPr="00C30AEF" w:rsidR="00092802">
        <w:rPr>
          <w:szCs w:val="26"/>
        </w:rPr>
        <w:t>information sharing</w:t>
      </w:r>
      <w:r w:rsidRPr="00C30AEF" w:rsidR="00496D9C">
        <w:rPr>
          <w:szCs w:val="26"/>
        </w:rPr>
        <w:t xml:space="preserve"> requirement</w:t>
      </w:r>
      <w:r w:rsidRPr="00C30AEF" w:rsidR="00092802">
        <w:rPr>
          <w:szCs w:val="26"/>
        </w:rPr>
        <w:t>.</w:t>
      </w:r>
      <w:r w:rsidRPr="00C30AEF" w:rsidR="00106814">
        <w:rPr>
          <w:szCs w:val="26"/>
        </w:rPr>
        <w:t xml:space="preserve"> </w:t>
      </w:r>
      <w:r w:rsidRPr="00C30AEF">
        <w:rPr>
          <w:szCs w:val="26"/>
        </w:rPr>
        <w:t xml:space="preserve">The Commission estimates the annual public reporting burden for the </w:t>
      </w:r>
      <w:r w:rsidRPr="00C30AEF" w:rsidR="00092802">
        <w:rPr>
          <w:szCs w:val="26"/>
        </w:rPr>
        <w:t>combined</w:t>
      </w:r>
      <w:r w:rsidRPr="00C30AEF" w:rsidR="00496D9C">
        <w:rPr>
          <w:szCs w:val="26"/>
        </w:rPr>
        <w:t xml:space="preserve"> FERC-516</w:t>
      </w:r>
      <w:r w:rsidRPr="00C30AEF" w:rsidR="00092802">
        <w:rPr>
          <w:szCs w:val="26"/>
        </w:rPr>
        <w:t xml:space="preserve"> </w:t>
      </w:r>
      <w:r w:rsidRPr="00C30AEF">
        <w:rPr>
          <w:szCs w:val="26"/>
        </w:rPr>
        <w:t>information collection as:</w:t>
      </w:r>
    </w:p>
    <w:tbl>
      <w:tblPr>
        <w:tblW w:w="544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38"/>
        <w:gridCol w:w="1169"/>
        <w:gridCol w:w="1501"/>
        <w:gridCol w:w="10"/>
        <w:gridCol w:w="1158"/>
        <w:gridCol w:w="8"/>
        <w:gridCol w:w="1225"/>
        <w:gridCol w:w="8"/>
        <w:gridCol w:w="1783"/>
        <w:gridCol w:w="8"/>
        <w:gridCol w:w="1162"/>
        <w:gridCol w:w="8"/>
      </w:tblGrid>
      <w:tr w14:paraId="2C2C003D" w14:textId="77777777" w:rsidTr="0095233D">
        <w:tblPrEx>
          <w:tblW w:w="544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After w:val="1"/>
          <w:wAfter w:w="4" w:type="dxa"/>
          <w:cantSplit/>
        </w:trPr>
        <w:tc>
          <w:tcPr>
            <w:tcW w:w="1050" w:type="pct"/>
            <w:shd w:val="clear" w:color="auto" w:fill="D9D9D9" w:themeFill="background1" w:themeFillShade="D9"/>
          </w:tcPr>
          <w:p w:rsidR="00933116" w:rsidRPr="00C30AEF" w14:paraId="57D1B36E" w14:textId="77777777">
            <w:pPr>
              <w:jc w:val="center"/>
              <w:rPr>
                <w:rFonts w:eastAsia="Calibri"/>
                <w:b/>
                <w:bCs/>
                <w:szCs w:val="26"/>
              </w:rPr>
            </w:pPr>
          </w:p>
        </w:tc>
        <w:tc>
          <w:tcPr>
            <w:tcW w:w="574" w:type="pct"/>
            <w:shd w:val="clear" w:color="auto" w:fill="D9D9D9" w:themeFill="background1" w:themeFillShade="D9"/>
            <w:vAlign w:val="bottom"/>
          </w:tcPr>
          <w:p w:rsidR="00933116" w:rsidRPr="00C30AEF" w14:paraId="22DD63B2" w14:textId="781BC72F">
            <w:pPr>
              <w:jc w:val="center"/>
              <w:rPr>
                <w:rFonts w:eastAsia="Calibri"/>
                <w:b/>
                <w:bCs/>
                <w:szCs w:val="26"/>
              </w:rPr>
            </w:pPr>
            <w:r w:rsidRPr="00C30AEF">
              <w:rPr>
                <w:rFonts w:eastAsia="Calibri"/>
                <w:b/>
                <w:bCs/>
                <w:szCs w:val="26"/>
              </w:rPr>
              <w:t>Number of Respondents</w:t>
            </w:r>
            <w:r w:rsidRPr="00C30AEF">
              <w:rPr>
                <w:szCs w:val="26"/>
              </w:rPr>
              <w:br/>
            </w:r>
            <w:r w:rsidRPr="00C30AEF">
              <w:rPr>
                <w:rFonts w:eastAsia="Calibri"/>
                <w:b/>
                <w:bCs/>
                <w:szCs w:val="26"/>
              </w:rPr>
              <w:t>(1)</w:t>
            </w:r>
          </w:p>
        </w:tc>
        <w:tc>
          <w:tcPr>
            <w:tcW w:w="737" w:type="pct"/>
            <w:shd w:val="clear" w:color="auto" w:fill="D9D9D9" w:themeFill="background1" w:themeFillShade="D9"/>
            <w:vAlign w:val="bottom"/>
          </w:tcPr>
          <w:p w:rsidR="00933116" w:rsidRPr="00C30AEF" w14:paraId="22466A40" w14:textId="77777777">
            <w:pPr>
              <w:jc w:val="center"/>
              <w:rPr>
                <w:rFonts w:eastAsia="Calibri"/>
                <w:b/>
                <w:bCs/>
                <w:szCs w:val="26"/>
              </w:rPr>
            </w:pPr>
            <w:r w:rsidRPr="00C30AEF">
              <w:rPr>
                <w:rFonts w:eastAsia="Calibri"/>
                <w:b/>
                <w:bCs/>
                <w:szCs w:val="26"/>
              </w:rPr>
              <w:t>Annual Number of Responses per Respondent</w:t>
            </w:r>
          </w:p>
          <w:p w:rsidR="00933116" w:rsidRPr="00C30AEF" w14:paraId="0266D0C7" w14:textId="77777777">
            <w:pPr>
              <w:jc w:val="center"/>
              <w:rPr>
                <w:rFonts w:eastAsia="Calibri"/>
                <w:b/>
                <w:bCs/>
                <w:szCs w:val="26"/>
              </w:rPr>
            </w:pPr>
            <w:r w:rsidRPr="00C30AEF">
              <w:rPr>
                <w:rFonts w:eastAsia="Calibri"/>
                <w:b/>
                <w:bCs/>
                <w:szCs w:val="26"/>
              </w:rPr>
              <w:t>(2)</w:t>
            </w:r>
          </w:p>
        </w:tc>
        <w:tc>
          <w:tcPr>
            <w:tcW w:w="574" w:type="pct"/>
            <w:gridSpan w:val="2"/>
            <w:shd w:val="clear" w:color="auto" w:fill="D9D9D9" w:themeFill="background1" w:themeFillShade="D9"/>
            <w:vAlign w:val="bottom"/>
          </w:tcPr>
          <w:p w:rsidR="00933116" w:rsidRPr="00C30AEF" w14:paraId="3D640642" w14:textId="77777777">
            <w:pPr>
              <w:jc w:val="center"/>
              <w:rPr>
                <w:rFonts w:eastAsia="Calibri"/>
                <w:b/>
                <w:bCs/>
                <w:szCs w:val="26"/>
              </w:rPr>
            </w:pPr>
            <w:r w:rsidRPr="00C30AEF">
              <w:rPr>
                <w:rFonts w:eastAsia="Calibri"/>
                <w:b/>
                <w:bCs/>
                <w:szCs w:val="26"/>
              </w:rPr>
              <w:t>Total Number of Responses (1)*(2)=(3)</w:t>
            </w:r>
          </w:p>
        </w:tc>
        <w:tc>
          <w:tcPr>
            <w:tcW w:w="606" w:type="pct"/>
            <w:gridSpan w:val="2"/>
            <w:shd w:val="clear" w:color="auto" w:fill="D9D9D9" w:themeFill="background1" w:themeFillShade="D9"/>
            <w:vAlign w:val="bottom"/>
          </w:tcPr>
          <w:p w:rsidR="00933116" w:rsidRPr="00C30AEF" w14:paraId="4150F303" w14:textId="77777777">
            <w:pPr>
              <w:jc w:val="center"/>
              <w:rPr>
                <w:rFonts w:eastAsia="Calibri"/>
                <w:b/>
                <w:bCs/>
                <w:szCs w:val="26"/>
              </w:rPr>
            </w:pPr>
            <w:r w:rsidRPr="00C30AEF">
              <w:rPr>
                <w:rFonts w:eastAsia="Calibri"/>
                <w:b/>
                <w:bCs/>
                <w:szCs w:val="26"/>
              </w:rPr>
              <w:t>Average Burden &amp; Cost Per Response</w:t>
            </w:r>
            <w:r>
              <w:rPr>
                <w:rFonts w:eastAsia="Calibri"/>
                <w:b/>
                <w:bCs/>
                <w:szCs w:val="26"/>
                <w:vertAlign w:val="superscript"/>
              </w:rPr>
              <w:footnoteReference w:id="5"/>
            </w:r>
          </w:p>
          <w:p w:rsidR="00933116" w:rsidRPr="00C30AEF" w14:paraId="59878D2F" w14:textId="77777777">
            <w:pPr>
              <w:jc w:val="center"/>
              <w:rPr>
                <w:rFonts w:eastAsia="Calibri"/>
                <w:b/>
                <w:bCs/>
                <w:szCs w:val="26"/>
              </w:rPr>
            </w:pPr>
            <w:r w:rsidRPr="00C30AEF">
              <w:rPr>
                <w:rFonts w:eastAsia="Calibri"/>
                <w:b/>
                <w:bCs/>
                <w:szCs w:val="26"/>
              </w:rPr>
              <w:t>(4)</w:t>
            </w:r>
          </w:p>
        </w:tc>
        <w:tc>
          <w:tcPr>
            <w:tcW w:w="880" w:type="pct"/>
            <w:gridSpan w:val="2"/>
            <w:shd w:val="clear" w:color="auto" w:fill="D9D9D9" w:themeFill="background1" w:themeFillShade="D9"/>
            <w:vAlign w:val="bottom"/>
          </w:tcPr>
          <w:p w:rsidR="00933116" w:rsidRPr="00C30AEF" w14:paraId="40402EC6" w14:textId="77777777">
            <w:pPr>
              <w:jc w:val="center"/>
              <w:rPr>
                <w:rFonts w:eastAsia="Calibri"/>
                <w:b/>
                <w:bCs/>
                <w:szCs w:val="26"/>
              </w:rPr>
            </w:pPr>
            <w:r w:rsidRPr="00C30AEF">
              <w:rPr>
                <w:rFonts w:eastAsia="Calibri"/>
                <w:b/>
                <w:bCs/>
                <w:szCs w:val="26"/>
              </w:rPr>
              <w:t>Total Annual Burden Hours &amp; Total Annual Cost</w:t>
            </w:r>
          </w:p>
          <w:p w:rsidR="00933116" w:rsidRPr="00C30AEF" w14:paraId="794F2E94" w14:textId="77777777">
            <w:pPr>
              <w:jc w:val="center"/>
              <w:rPr>
                <w:rFonts w:eastAsia="Calibri"/>
                <w:b/>
                <w:bCs/>
                <w:szCs w:val="26"/>
              </w:rPr>
            </w:pPr>
            <w:r w:rsidRPr="00C30AEF">
              <w:rPr>
                <w:rFonts w:eastAsia="Calibri"/>
                <w:b/>
                <w:bCs/>
                <w:szCs w:val="26"/>
              </w:rPr>
              <w:t>(3)*(4)=(5)</w:t>
            </w:r>
          </w:p>
        </w:tc>
        <w:tc>
          <w:tcPr>
            <w:tcW w:w="575" w:type="pct"/>
            <w:gridSpan w:val="2"/>
            <w:shd w:val="clear" w:color="auto" w:fill="D9D9D9" w:themeFill="background1" w:themeFillShade="D9"/>
            <w:vAlign w:val="bottom"/>
          </w:tcPr>
          <w:p w:rsidR="00933116" w:rsidRPr="00C30AEF" w14:paraId="6DBADCFF" w14:textId="77777777">
            <w:pPr>
              <w:jc w:val="center"/>
              <w:rPr>
                <w:rFonts w:eastAsia="Calibri"/>
                <w:b/>
                <w:bCs/>
                <w:szCs w:val="26"/>
              </w:rPr>
            </w:pPr>
            <w:r w:rsidRPr="00C30AEF">
              <w:rPr>
                <w:rFonts w:eastAsia="Calibri"/>
                <w:b/>
                <w:bCs/>
                <w:szCs w:val="26"/>
              </w:rPr>
              <w:t>Cost per Respondent</w:t>
            </w:r>
          </w:p>
          <w:p w:rsidR="00933116" w:rsidRPr="00C30AEF" w14:paraId="34BD1EF2" w14:textId="77777777">
            <w:pPr>
              <w:jc w:val="center"/>
              <w:rPr>
                <w:rFonts w:eastAsia="Calibri"/>
                <w:b/>
                <w:bCs/>
                <w:szCs w:val="26"/>
              </w:rPr>
            </w:pPr>
            <w:r w:rsidRPr="00C30AEF">
              <w:rPr>
                <w:rFonts w:eastAsia="Calibri"/>
                <w:b/>
                <w:bCs/>
                <w:szCs w:val="26"/>
              </w:rPr>
              <w:t xml:space="preserve"> ($)</w:t>
            </w:r>
          </w:p>
          <w:p w:rsidR="00933116" w:rsidRPr="00C30AEF" w14:paraId="5658EA93" w14:textId="77777777">
            <w:pPr>
              <w:jc w:val="center"/>
              <w:rPr>
                <w:rFonts w:eastAsia="Calibri"/>
                <w:b/>
                <w:bCs/>
                <w:szCs w:val="26"/>
              </w:rPr>
            </w:pPr>
            <w:r w:rsidRPr="00C30AEF">
              <w:rPr>
                <w:rFonts w:eastAsia="Calibri"/>
                <w:b/>
                <w:bCs/>
                <w:szCs w:val="26"/>
              </w:rPr>
              <w:t>(5)÷(1)</w:t>
            </w:r>
          </w:p>
        </w:tc>
      </w:tr>
      <w:tr w14:paraId="2DB97C82" w14:textId="77777777" w:rsidTr="0095233D">
        <w:tblPrEx>
          <w:tblW w:w="5443" w:type="pct"/>
          <w:tblInd w:w="-72" w:type="dxa"/>
          <w:tblLayout w:type="fixed"/>
          <w:tblLook w:val="01E0"/>
        </w:tblPrEx>
        <w:trPr>
          <w:gridAfter w:val="1"/>
          <w:wAfter w:w="4" w:type="dxa"/>
          <w:cantSplit/>
        </w:trPr>
        <w:tc>
          <w:tcPr>
            <w:tcW w:w="1050" w:type="pct"/>
          </w:tcPr>
          <w:p w:rsidR="0095233D" w:rsidRPr="00C30AEF" w:rsidP="0095233D" w14:paraId="2D085A48" w14:textId="4A5ACE65">
            <w:pPr>
              <w:rPr>
                <w:rFonts w:eastAsia="Calibri"/>
                <w:szCs w:val="26"/>
              </w:rPr>
            </w:pPr>
            <w:r w:rsidRPr="00C30AEF">
              <w:rPr>
                <w:rFonts w:eastAsia="Calibri"/>
                <w:szCs w:val="26"/>
              </w:rPr>
              <w:t>Electric Tariff Filings – Common filings</w:t>
            </w:r>
          </w:p>
        </w:tc>
        <w:tc>
          <w:tcPr>
            <w:tcW w:w="574" w:type="pct"/>
          </w:tcPr>
          <w:p w:rsidR="0095233D" w:rsidRPr="00C30AEF" w:rsidP="0095233D" w14:paraId="219A0233" w14:textId="6D69CE6A">
            <w:pPr>
              <w:jc w:val="right"/>
              <w:rPr>
                <w:rFonts w:eastAsia="Calibri"/>
                <w:szCs w:val="26"/>
              </w:rPr>
            </w:pPr>
            <w:r w:rsidRPr="00C30AEF">
              <w:rPr>
                <w:rFonts w:eastAsia="Calibri"/>
                <w:szCs w:val="26"/>
              </w:rPr>
              <w:t>4,355</w:t>
            </w:r>
          </w:p>
        </w:tc>
        <w:tc>
          <w:tcPr>
            <w:tcW w:w="737" w:type="pct"/>
          </w:tcPr>
          <w:p w:rsidR="0095233D" w:rsidRPr="00C30AEF" w:rsidP="0095233D" w14:paraId="2C531514" w14:textId="073631C7">
            <w:pPr>
              <w:jc w:val="right"/>
              <w:rPr>
                <w:rFonts w:eastAsia="Calibri"/>
                <w:szCs w:val="26"/>
              </w:rPr>
            </w:pPr>
            <w:r w:rsidRPr="00C30AEF">
              <w:rPr>
                <w:rFonts w:eastAsia="Calibri"/>
                <w:szCs w:val="26"/>
              </w:rPr>
              <w:t>1</w:t>
            </w:r>
          </w:p>
        </w:tc>
        <w:tc>
          <w:tcPr>
            <w:tcW w:w="574" w:type="pct"/>
            <w:gridSpan w:val="2"/>
          </w:tcPr>
          <w:p w:rsidR="0095233D" w:rsidRPr="00C30AEF" w:rsidP="0095233D" w14:paraId="0A5C5CBD" w14:textId="6AC76B99">
            <w:pPr>
              <w:jc w:val="right"/>
              <w:rPr>
                <w:rFonts w:eastAsia="Calibri"/>
                <w:szCs w:val="26"/>
              </w:rPr>
            </w:pPr>
            <w:r w:rsidRPr="00C30AEF">
              <w:rPr>
                <w:rFonts w:eastAsia="Calibri"/>
                <w:szCs w:val="26"/>
              </w:rPr>
              <w:t>4,355</w:t>
            </w:r>
          </w:p>
        </w:tc>
        <w:tc>
          <w:tcPr>
            <w:tcW w:w="606" w:type="pct"/>
            <w:gridSpan w:val="2"/>
          </w:tcPr>
          <w:p w:rsidR="0095233D" w:rsidRPr="00C30AEF" w:rsidP="0095233D" w14:paraId="145E622E" w14:textId="42FED268">
            <w:pPr>
              <w:jc w:val="right"/>
              <w:rPr>
                <w:rFonts w:eastAsia="Calibri"/>
                <w:szCs w:val="26"/>
              </w:rPr>
            </w:pPr>
            <w:r w:rsidRPr="00C30AEF">
              <w:rPr>
                <w:rFonts w:eastAsia="Calibri"/>
                <w:szCs w:val="26"/>
              </w:rPr>
              <w:t>100 hrs.</w:t>
            </w:r>
          </w:p>
          <w:p w:rsidR="0095233D" w:rsidRPr="00C30AEF" w:rsidP="0095233D" w14:paraId="03E935F0" w14:textId="419D1EF3">
            <w:pPr>
              <w:jc w:val="right"/>
              <w:rPr>
                <w:rFonts w:eastAsia="Calibri"/>
                <w:szCs w:val="26"/>
              </w:rPr>
            </w:pPr>
            <w:r w:rsidRPr="00C30AEF">
              <w:rPr>
                <w:rFonts w:eastAsia="Calibri"/>
                <w:szCs w:val="26"/>
              </w:rPr>
              <w:t>$10,200</w:t>
            </w:r>
          </w:p>
        </w:tc>
        <w:tc>
          <w:tcPr>
            <w:tcW w:w="880" w:type="pct"/>
            <w:gridSpan w:val="2"/>
          </w:tcPr>
          <w:p w:rsidR="0095233D" w:rsidRPr="00C30AEF" w:rsidP="0095233D" w14:paraId="24C6E6A5" w14:textId="55AECAC7">
            <w:pPr>
              <w:jc w:val="right"/>
              <w:rPr>
                <w:rFonts w:eastAsia="Calibri"/>
                <w:szCs w:val="26"/>
              </w:rPr>
            </w:pPr>
            <w:r w:rsidRPr="00C30AEF">
              <w:rPr>
                <w:rFonts w:eastAsia="Calibri"/>
                <w:szCs w:val="26"/>
              </w:rPr>
              <w:t xml:space="preserve"> </w:t>
            </w:r>
            <w:r w:rsidRPr="00C30AEF" w:rsidR="00261BF7">
              <w:rPr>
                <w:rFonts w:eastAsia="Calibri"/>
                <w:szCs w:val="26"/>
              </w:rPr>
              <w:t>435,500</w:t>
            </w:r>
            <w:r w:rsidRPr="00C30AEF">
              <w:rPr>
                <w:rFonts w:eastAsia="Calibri"/>
                <w:szCs w:val="26"/>
              </w:rPr>
              <w:t xml:space="preserve"> hrs.</w:t>
            </w:r>
          </w:p>
          <w:p w:rsidR="0095233D" w:rsidRPr="00C30AEF" w:rsidP="0095233D" w14:paraId="7D8B1317" w14:textId="3244E14B">
            <w:pPr>
              <w:jc w:val="right"/>
              <w:rPr>
                <w:rFonts w:eastAsia="Calibri"/>
                <w:szCs w:val="26"/>
              </w:rPr>
            </w:pPr>
            <w:r w:rsidRPr="00C30AEF">
              <w:rPr>
                <w:rFonts w:eastAsia="Calibri"/>
                <w:szCs w:val="26"/>
              </w:rPr>
              <w:t>$</w:t>
            </w:r>
            <w:r w:rsidRPr="00C30AEF" w:rsidR="005F69AA">
              <w:rPr>
                <w:rFonts w:eastAsia="Calibri"/>
                <w:szCs w:val="26"/>
              </w:rPr>
              <w:t>44,421,000</w:t>
            </w:r>
          </w:p>
        </w:tc>
        <w:tc>
          <w:tcPr>
            <w:tcW w:w="575" w:type="pct"/>
            <w:gridSpan w:val="2"/>
          </w:tcPr>
          <w:p w:rsidR="0095233D" w:rsidRPr="00C30AEF" w:rsidP="0095233D" w14:paraId="5B6860AD" w14:textId="50AF3950">
            <w:pPr>
              <w:jc w:val="right"/>
              <w:rPr>
                <w:rFonts w:eastAsia="Calibri"/>
                <w:szCs w:val="26"/>
              </w:rPr>
            </w:pPr>
            <w:r w:rsidRPr="00C30AEF">
              <w:rPr>
                <w:rFonts w:eastAsia="Calibri"/>
                <w:szCs w:val="26"/>
              </w:rPr>
              <w:t>$10,200</w:t>
            </w:r>
          </w:p>
          <w:p w:rsidR="0095233D" w:rsidRPr="00C30AEF" w:rsidP="0095233D" w14:paraId="4E51A87C" w14:textId="77777777">
            <w:pPr>
              <w:jc w:val="right"/>
              <w:rPr>
                <w:rFonts w:eastAsia="Calibri"/>
                <w:szCs w:val="26"/>
              </w:rPr>
            </w:pPr>
          </w:p>
        </w:tc>
      </w:tr>
      <w:tr w14:paraId="5A0D1F75" w14:textId="77777777" w:rsidTr="0095233D">
        <w:tblPrEx>
          <w:tblW w:w="5443" w:type="pct"/>
          <w:tblInd w:w="-72" w:type="dxa"/>
          <w:tblLayout w:type="fixed"/>
          <w:tblLook w:val="01E0"/>
        </w:tblPrEx>
        <w:trPr>
          <w:gridAfter w:val="1"/>
          <w:wAfter w:w="4" w:type="dxa"/>
          <w:cantSplit/>
        </w:trPr>
        <w:tc>
          <w:tcPr>
            <w:tcW w:w="1050" w:type="pct"/>
          </w:tcPr>
          <w:p w:rsidR="0095233D" w:rsidRPr="00C30AEF" w:rsidP="0095233D" w14:paraId="18C3B525" w14:textId="26BB2302">
            <w:pPr>
              <w:rPr>
                <w:rFonts w:eastAsia="Calibri"/>
                <w:szCs w:val="26"/>
              </w:rPr>
            </w:pPr>
            <w:r w:rsidRPr="00C30AEF">
              <w:rPr>
                <w:rFonts w:eastAsia="Calibri"/>
                <w:szCs w:val="26"/>
              </w:rPr>
              <w:t>Electric Tariff Filings – Long Term Transmission</w:t>
            </w:r>
          </w:p>
        </w:tc>
        <w:tc>
          <w:tcPr>
            <w:tcW w:w="574" w:type="pct"/>
          </w:tcPr>
          <w:p w:rsidR="0095233D" w:rsidRPr="00C30AEF" w:rsidP="0095233D" w14:paraId="2268085A" w14:textId="71D2EB92">
            <w:pPr>
              <w:jc w:val="right"/>
              <w:rPr>
                <w:rFonts w:eastAsia="Calibri"/>
                <w:szCs w:val="26"/>
              </w:rPr>
            </w:pPr>
            <w:r w:rsidRPr="00C30AEF">
              <w:rPr>
                <w:rFonts w:eastAsia="Calibri"/>
                <w:szCs w:val="26"/>
              </w:rPr>
              <w:t>1</w:t>
            </w:r>
          </w:p>
        </w:tc>
        <w:tc>
          <w:tcPr>
            <w:tcW w:w="737" w:type="pct"/>
          </w:tcPr>
          <w:p w:rsidR="0095233D" w:rsidRPr="00C30AEF" w:rsidP="0095233D" w14:paraId="0C152536" w14:textId="5CFC8D29">
            <w:pPr>
              <w:jc w:val="right"/>
              <w:rPr>
                <w:rFonts w:eastAsia="Calibri"/>
                <w:szCs w:val="26"/>
              </w:rPr>
            </w:pPr>
            <w:r w:rsidRPr="00C30AEF">
              <w:rPr>
                <w:rFonts w:eastAsia="Calibri"/>
                <w:szCs w:val="26"/>
              </w:rPr>
              <w:t>1</w:t>
            </w:r>
          </w:p>
        </w:tc>
        <w:tc>
          <w:tcPr>
            <w:tcW w:w="574" w:type="pct"/>
            <w:gridSpan w:val="2"/>
          </w:tcPr>
          <w:p w:rsidR="0095233D" w:rsidRPr="00C30AEF" w:rsidP="0095233D" w14:paraId="22414B28" w14:textId="0843BF80">
            <w:pPr>
              <w:jc w:val="right"/>
              <w:rPr>
                <w:rFonts w:eastAsia="Calibri"/>
                <w:szCs w:val="26"/>
              </w:rPr>
            </w:pPr>
            <w:r w:rsidRPr="00C30AEF">
              <w:rPr>
                <w:rFonts w:eastAsia="Calibri"/>
                <w:szCs w:val="26"/>
              </w:rPr>
              <w:t>1</w:t>
            </w:r>
          </w:p>
        </w:tc>
        <w:tc>
          <w:tcPr>
            <w:tcW w:w="606" w:type="pct"/>
            <w:gridSpan w:val="2"/>
          </w:tcPr>
          <w:p w:rsidR="0095233D" w:rsidRPr="00C30AEF" w:rsidP="0095233D" w14:paraId="18A09630" w14:textId="77777777">
            <w:pPr>
              <w:jc w:val="right"/>
              <w:rPr>
                <w:rFonts w:eastAsia="Calibri"/>
                <w:szCs w:val="26"/>
              </w:rPr>
            </w:pPr>
            <w:r w:rsidRPr="00C30AEF">
              <w:rPr>
                <w:rFonts w:eastAsia="Calibri"/>
                <w:szCs w:val="26"/>
              </w:rPr>
              <w:t>1,180 hrs.</w:t>
            </w:r>
          </w:p>
          <w:p w:rsidR="0095233D" w:rsidRPr="00C30AEF" w:rsidP="0095233D" w14:paraId="3DECFC66" w14:textId="5D99D6DC">
            <w:pPr>
              <w:jc w:val="right"/>
              <w:rPr>
                <w:rFonts w:eastAsia="Calibri"/>
                <w:szCs w:val="26"/>
              </w:rPr>
            </w:pPr>
            <w:r w:rsidRPr="00C30AEF">
              <w:rPr>
                <w:rFonts w:eastAsia="Calibri"/>
                <w:szCs w:val="26"/>
              </w:rPr>
              <w:t>$120,360</w:t>
            </w:r>
          </w:p>
        </w:tc>
        <w:tc>
          <w:tcPr>
            <w:tcW w:w="880" w:type="pct"/>
            <w:gridSpan w:val="2"/>
          </w:tcPr>
          <w:p w:rsidR="0095233D" w:rsidRPr="00C30AEF" w:rsidP="0095233D" w14:paraId="5643EE73" w14:textId="77777777">
            <w:pPr>
              <w:jc w:val="right"/>
              <w:rPr>
                <w:rFonts w:eastAsia="Calibri"/>
                <w:szCs w:val="26"/>
              </w:rPr>
            </w:pPr>
            <w:r w:rsidRPr="00C30AEF">
              <w:rPr>
                <w:rFonts w:eastAsia="Calibri"/>
                <w:szCs w:val="26"/>
              </w:rPr>
              <w:t>1,180 hrs.</w:t>
            </w:r>
          </w:p>
          <w:p w:rsidR="0095233D" w:rsidRPr="00C30AEF" w:rsidP="0095233D" w14:paraId="479B97BE" w14:textId="071F8D1E">
            <w:pPr>
              <w:jc w:val="right"/>
              <w:rPr>
                <w:rFonts w:eastAsia="Calibri"/>
                <w:szCs w:val="26"/>
              </w:rPr>
            </w:pPr>
            <w:r w:rsidRPr="00C30AEF">
              <w:rPr>
                <w:rFonts w:eastAsia="Calibri"/>
                <w:szCs w:val="26"/>
              </w:rPr>
              <w:t>$120,360</w:t>
            </w:r>
          </w:p>
        </w:tc>
        <w:tc>
          <w:tcPr>
            <w:tcW w:w="575" w:type="pct"/>
            <w:gridSpan w:val="2"/>
          </w:tcPr>
          <w:p w:rsidR="0095233D" w:rsidRPr="00C30AEF" w:rsidP="0095233D" w14:paraId="371920D3" w14:textId="610E691A">
            <w:pPr>
              <w:jc w:val="right"/>
              <w:rPr>
                <w:rFonts w:eastAsia="Calibri"/>
                <w:szCs w:val="26"/>
              </w:rPr>
            </w:pPr>
            <w:r w:rsidRPr="00C30AEF">
              <w:rPr>
                <w:rFonts w:eastAsia="Calibri"/>
                <w:szCs w:val="26"/>
              </w:rPr>
              <w:t>$120,360</w:t>
            </w:r>
          </w:p>
        </w:tc>
      </w:tr>
      <w:tr w14:paraId="1FDD183F" w14:textId="77777777" w:rsidTr="0095233D">
        <w:tblPrEx>
          <w:tblW w:w="5443" w:type="pct"/>
          <w:tblInd w:w="-72" w:type="dxa"/>
          <w:tblLayout w:type="fixed"/>
          <w:tblLook w:val="01E0"/>
        </w:tblPrEx>
        <w:trPr>
          <w:gridAfter w:val="1"/>
          <w:wAfter w:w="4" w:type="dxa"/>
          <w:cantSplit/>
        </w:trPr>
        <w:tc>
          <w:tcPr>
            <w:tcW w:w="1050" w:type="pct"/>
          </w:tcPr>
          <w:p w:rsidR="0095233D" w:rsidRPr="00C30AEF" w:rsidP="0095233D" w14:paraId="69BCE993" w14:textId="68E59AB1">
            <w:pPr>
              <w:rPr>
                <w:rFonts w:eastAsia="Calibri"/>
                <w:szCs w:val="26"/>
              </w:rPr>
            </w:pPr>
            <w:r w:rsidRPr="00C30AEF">
              <w:rPr>
                <w:rFonts w:eastAsia="Calibri"/>
                <w:szCs w:val="26"/>
              </w:rPr>
              <w:t>Compliance Filings – Common Filings</w:t>
            </w:r>
          </w:p>
        </w:tc>
        <w:tc>
          <w:tcPr>
            <w:tcW w:w="574" w:type="pct"/>
          </w:tcPr>
          <w:p w:rsidR="0095233D" w:rsidRPr="00C30AEF" w:rsidP="0095233D" w14:paraId="0F59AEEE" w14:textId="3360FC7E">
            <w:pPr>
              <w:jc w:val="right"/>
              <w:rPr>
                <w:rFonts w:eastAsia="Calibri"/>
                <w:szCs w:val="26"/>
              </w:rPr>
            </w:pPr>
            <w:r w:rsidRPr="00C30AEF">
              <w:rPr>
                <w:rFonts w:eastAsia="Calibri"/>
                <w:szCs w:val="26"/>
              </w:rPr>
              <w:t>3,377</w:t>
            </w:r>
          </w:p>
        </w:tc>
        <w:tc>
          <w:tcPr>
            <w:tcW w:w="737" w:type="pct"/>
          </w:tcPr>
          <w:p w:rsidR="0095233D" w:rsidRPr="00C30AEF" w:rsidP="0095233D" w14:paraId="7E98A3F8" w14:textId="63581B4F">
            <w:pPr>
              <w:jc w:val="right"/>
              <w:rPr>
                <w:rFonts w:eastAsia="Calibri"/>
                <w:szCs w:val="26"/>
              </w:rPr>
            </w:pPr>
            <w:r w:rsidRPr="00C30AEF">
              <w:rPr>
                <w:rFonts w:eastAsia="Calibri"/>
                <w:szCs w:val="26"/>
              </w:rPr>
              <w:t>1</w:t>
            </w:r>
          </w:p>
        </w:tc>
        <w:tc>
          <w:tcPr>
            <w:tcW w:w="574" w:type="pct"/>
            <w:gridSpan w:val="2"/>
          </w:tcPr>
          <w:p w:rsidR="0095233D" w:rsidRPr="00C30AEF" w:rsidP="0095233D" w14:paraId="40D7542F" w14:textId="08ADD544">
            <w:pPr>
              <w:jc w:val="right"/>
              <w:rPr>
                <w:rFonts w:eastAsia="Calibri"/>
                <w:szCs w:val="26"/>
              </w:rPr>
            </w:pPr>
            <w:r w:rsidRPr="00C30AEF">
              <w:rPr>
                <w:rFonts w:eastAsia="Calibri"/>
                <w:szCs w:val="26"/>
              </w:rPr>
              <w:t>3,377</w:t>
            </w:r>
          </w:p>
        </w:tc>
        <w:tc>
          <w:tcPr>
            <w:tcW w:w="606" w:type="pct"/>
            <w:gridSpan w:val="2"/>
          </w:tcPr>
          <w:p w:rsidR="0095233D" w:rsidRPr="00C30AEF" w:rsidP="0095233D" w14:paraId="0E297722" w14:textId="718D41B2">
            <w:pPr>
              <w:jc w:val="right"/>
              <w:rPr>
                <w:rFonts w:eastAsia="Calibri"/>
                <w:szCs w:val="26"/>
              </w:rPr>
            </w:pPr>
            <w:r w:rsidRPr="00C30AEF">
              <w:rPr>
                <w:rFonts w:eastAsia="Calibri"/>
                <w:szCs w:val="26"/>
              </w:rPr>
              <w:t>12 hrs.</w:t>
            </w:r>
          </w:p>
          <w:p w:rsidR="0095233D" w:rsidRPr="00C30AEF" w:rsidP="0095233D" w14:paraId="1FC568EA" w14:textId="731545E7">
            <w:pPr>
              <w:jc w:val="right"/>
              <w:rPr>
                <w:rFonts w:eastAsia="Calibri"/>
                <w:szCs w:val="26"/>
              </w:rPr>
            </w:pPr>
            <w:r w:rsidRPr="00C30AEF">
              <w:rPr>
                <w:rFonts w:eastAsia="Calibri"/>
                <w:szCs w:val="26"/>
              </w:rPr>
              <w:t>$1,224</w:t>
            </w:r>
          </w:p>
        </w:tc>
        <w:tc>
          <w:tcPr>
            <w:tcW w:w="880" w:type="pct"/>
            <w:gridSpan w:val="2"/>
          </w:tcPr>
          <w:p w:rsidR="0095233D" w:rsidRPr="00C30AEF" w:rsidP="0095233D" w14:paraId="3FDC9148" w14:textId="0FDB5152">
            <w:pPr>
              <w:jc w:val="right"/>
              <w:rPr>
                <w:rFonts w:eastAsia="Calibri"/>
                <w:szCs w:val="26"/>
              </w:rPr>
            </w:pPr>
            <w:r w:rsidRPr="00C30AEF">
              <w:rPr>
                <w:rFonts w:eastAsia="Calibri"/>
                <w:szCs w:val="26"/>
              </w:rPr>
              <w:t>40,524</w:t>
            </w:r>
            <w:r w:rsidRPr="00C30AEF">
              <w:rPr>
                <w:rFonts w:eastAsia="Calibri"/>
                <w:szCs w:val="26"/>
              </w:rPr>
              <w:t xml:space="preserve"> hrs.</w:t>
            </w:r>
          </w:p>
          <w:p w:rsidR="0095233D" w:rsidRPr="00C30AEF" w:rsidP="0095233D" w14:paraId="7356AAAD" w14:textId="2B4ED437">
            <w:pPr>
              <w:jc w:val="right"/>
              <w:rPr>
                <w:rFonts w:eastAsia="Calibri"/>
                <w:szCs w:val="26"/>
              </w:rPr>
            </w:pPr>
            <w:r w:rsidRPr="00C30AEF">
              <w:rPr>
                <w:rFonts w:eastAsia="Calibri"/>
                <w:szCs w:val="26"/>
              </w:rPr>
              <w:t>$</w:t>
            </w:r>
            <w:r w:rsidRPr="00C30AEF" w:rsidR="005F69AA">
              <w:rPr>
                <w:rFonts w:eastAsia="Calibri"/>
                <w:szCs w:val="26"/>
              </w:rPr>
              <w:t>4,133,448</w:t>
            </w:r>
          </w:p>
        </w:tc>
        <w:tc>
          <w:tcPr>
            <w:tcW w:w="575" w:type="pct"/>
            <w:gridSpan w:val="2"/>
          </w:tcPr>
          <w:p w:rsidR="0095233D" w:rsidRPr="00C30AEF" w:rsidP="0095233D" w14:paraId="5EDEAE99" w14:textId="235B7BFE">
            <w:pPr>
              <w:jc w:val="right"/>
              <w:rPr>
                <w:rFonts w:eastAsia="Calibri"/>
                <w:szCs w:val="26"/>
              </w:rPr>
            </w:pPr>
            <w:r w:rsidRPr="00C30AEF">
              <w:rPr>
                <w:rFonts w:eastAsia="Calibri"/>
                <w:szCs w:val="26"/>
              </w:rPr>
              <w:t>$1,224</w:t>
            </w:r>
          </w:p>
        </w:tc>
      </w:tr>
      <w:tr w14:paraId="07E5D60F" w14:textId="77777777" w:rsidTr="0095233D">
        <w:tblPrEx>
          <w:tblW w:w="5443" w:type="pct"/>
          <w:tblInd w:w="-72" w:type="dxa"/>
          <w:tblLayout w:type="fixed"/>
          <w:tblLook w:val="01E0"/>
        </w:tblPrEx>
        <w:trPr>
          <w:gridAfter w:val="1"/>
          <w:wAfter w:w="4" w:type="dxa"/>
          <w:cantSplit/>
        </w:trPr>
        <w:tc>
          <w:tcPr>
            <w:tcW w:w="1050" w:type="pct"/>
          </w:tcPr>
          <w:p w:rsidR="0095233D" w:rsidRPr="00C30AEF" w:rsidP="0095233D" w14:paraId="10CF5D03" w14:textId="7548FEE4">
            <w:pPr>
              <w:rPr>
                <w:rFonts w:eastAsia="Calibri"/>
                <w:szCs w:val="26"/>
              </w:rPr>
            </w:pPr>
            <w:r w:rsidRPr="00C30AEF">
              <w:rPr>
                <w:rFonts w:eastAsia="Calibri"/>
                <w:szCs w:val="26"/>
              </w:rPr>
              <w:t>Compliance Filings – Regional Planning with OATT</w:t>
            </w:r>
          </w:p>
        </w:tc>
        <w:tc>
          <w:tcPr>
            <w:tcW w:w="574" w:type="pct"/>
          </w:tcPr>
          <w:p w:rsidR="0095233D" w:rsidRPr="00C30AEF" w:rsidP="0095233D" w14:paraId="7E2FF6C2" w14:textId="4C57BF4C">
            <w:pPr>
              <w:jc w:val="right"/>
              <w:rPr>
                <w:rFonts w:eastAsia="Calibri"/>
                <w:szCs w:val="26"/>
              </w:rPr>
            </w:pPr>
            <w:r w:rsidRPr="00C30AEF">
              <w:rPr>
                <w:rFonts w:eastAsia="Calibri"/>
                <w:szCs w:val="26"/>
              </w:rPr>
              <w:t>221</w:t>
            </w:r>
          </w:p>
        </w:tc>
        <w:tc>
          <w:tcPr>
            <w:tcW w:w="737" w:type="pct"/>
          </w:tcPr>
          <w:p w:rsidR="0095233D" w:rsidRPr="00C30AEF" w:rsidP="0095233D" w14:paraId="111A5E70" w14:textId="1DBF70FA">
            <w:pPr>
              <w:jc w:val="right"/>
              <w:rPr>
                <w:rFonts w:eastAsia="Calibri"/>
                <w:szCs w:val="26"/>
              </w:rPr>
            </w:pPr>
            <w:r w:rsidRPr="00C30AEF">
              <w:rPr>
                <w:rFonts w:eastAsia="Calibri"/>
                <w:szCs w:val="26"/>
              </w:rPr>
              <w:t>1</w:t>
            </w:r>
          </w:p>
        </w:tc>
        <w:tc>
          <w:tcPr>
            <w:tcW w:w="574" w:type="pct"/>
            <w:gridSpan w:val="2"/>
          </w:tcPr>
          <w:p w:rsidR="0095233D" w:rsidRPr="00C30AEF" w:rsidP="0095233D" w14:paraId="3BA5A469" w14:textId="50B84498">
            <w:pPr>
              <w:jc w:val="right"/>
              <w:rPr>
                <w:rFonts w:eastAsia="Calibri"/>
                <w:szCs w:val="26"/>
              </w:rPr>
            </w:pPr>
            <w:r w:rsidRPr="00C30AEF">
              <w:rPr>
                <w:rFonts w:eastAsia="Calibri"/>
                <w:szCs w:val="26"/>
              </w:rPr>
              <w:t>221</w:t>
            </w:r>
          </w:p>
        </w:tc>
        <w:tc>
          <w:tcPr>
            <w:tcW w:w="606" w:type="pct"/>
            <w:gridSpan w:val="2"/>
          </w:tcPr>
          <w:p w:rsidR="0095233D" w:rsidRPr="00C30AEF" w:rsidP="0095233D" w14:paraId="4B81E3EB" w14:textId="6D66457B">
            <w:pPr>
              <w:jc w:val="right"/>
              <w:rPr>
                <w:rFonts w:eastAsia="Calibri"/>
                <w:szCs w:val="26"/>
              </w:rPr>
            </w:pPr>
            <w:r w:rsidRPr="00C30AEF">
              <w:rPr>
                <w:rFonts w:eastAsia="Calibri"/>
                <w:szCs w:val="26"/>
              </w:rPr>
              <w:t>1,434 hrs.</w:t>
            </w:r>
          </w:p>
          <w:p w:rsidR="0095233D" w:rsidRPr="00C30AEF" w:rsidP="0095233D" w14:paraId="5CA1330C" w14:textId="3CEDAF56">
            <w:pPr>
              <w:jc w:val="right"/>
              <w:rPr>
                <w:rFonts w:eastAsia="Calibri"/>
                <w:szCs w:val="26"/>
              </w:rPr>
            </w:pPr>
            <w:r w:rsidRPr="00C30AEF">
              <w:rPr>
                <w:rFonts w:eastAsia="Calibri"/>
                <w:szCs w:val="26"/>
              </w:rPr>
              <w:t>$146,268</w:t>
            </w:r>
          </w:p>
        </w:tc>
        <w:tc>
          <w:tcPr>
            <w:tcW w:w="880" w:type="pct"/>
            <w:gridSpan w:val="2"/>
          </w:tcPr>
          <w:p w:rsidR="0095233D" w:rsidRPr="00C30AEF" w:rsidP="0095233D" w14:paraId="67808B93" w14:textId="482C5C40">
            <w:pPr>
              <w:jc w:val="right"/>
              <w:rPr>
                <w:rFonts w:eastAsia="Calibri"/>
                <w:szCs w:val="26"/>
              </w:rPr>
            </w:pPr>
            <w:r w:rsidRPr="00C30AEF">
              <w:rPr>
                <w:rFonts w:eastAsia="Calibri"/>
                <w:szCs w:val="26"/>
              </w:rPr>
              <w:t>316,914</w:t>
            </w:r>
            <w:r w:rsidRPr="00C30AEF">
              <w:rPr>
                <w:rFonts w:eastAsia="Calibri"/>
                <w:szCs w:val="26"/>
              </w:rPr>
              <w:t xml:space="preserve"> hrs.</w:t>
            </w:r>
          </w:p>
          <w:p w:rsidR="0095233D" w:rsidRPr="00C30AEF" w:rsidP="0095233D" w14:paraId="2F304A92" w14:textId="07F5B6A6">
            <w:pPr>
              <w:jc w:val="right"/>
              <w:rPr>
                <w:rFonts w:eastAsia="Calibri"/>
                <w:szCs w:val="26"/>
              </w:rPr>
            </w:pPr>
            <w:r w:rsidRPr="00C30AEF">
              <w:rPr>
                <w:rFonts w:eastAsia="Calibri"/>
                <w:szCs w:val="26"/>
              </w:rPr>
              <w:t>$</w:t>
            </w:r>
            <w:r w:rsidRPr="00C30AEF" w:rsidR="006B5C6C">
              <w:rPr>
                <w:rFonts w:eastAsia="Calibri"/>
                <w:szCs w:val="26"/>
              </w:rPr>
              <w:t>32,325,228</w:t>
            </w:r>
          </w:p>
        </w:tc>
        <w:tc>
          <w:tcPr>
            <w:tcW w:w="575" w:type="pct"/>
            <w:gridSpan w:val="2"/>
          </w:tcPr>
          <w:p w:rsidR="0095233D" w:rsidRPr="00C30AEF" w:rsidP="0095233D" w14:paraId="6AA99C80" w14:textId="4DE0D1BD">
            <w:pPr>
              <w:jc w:val="right"/>
              <w:rPr>
                <w:rFonts w:eastAsia="Calibri"/>
                <w:szCs w:val="26"/>
              </w:rPr>
            </w:pPr>
            <w:r w:rsidRPr="00C30AEF">
              <w:rPr>
                <w:rFonts w:eastAsia="Calibri"/>
                <w:szCs w:val="26"/>
              </w:rPr>
              <w:t>$146,268</w:t>
            </w:r>
          </w:p>
        </w:tc>
      </w:tr>
      <w:tr w14:paraId="39C4AE29" w14:textId="77777777" w:rsidTr="0095233D">
        <w:tblPrEx>
          <w:tblW w:w="5443" w:type="pct"/>
          <w:tblInd w:w="-72" w:type="dxa"/>
          <w:tblLayout w:type="fixed"/>
          <w:tblLook w:val="01E0"/>
        </w:tblPrEx>
        <w:trPr>
          <w:gridAfter w:val="1"/>
          <w:wAfter w:w="4" w:type="dxa"/>
          <w:cantSplit/>
        </w:trPr>
        <w:tc>
          <w:tcPr>
            <w:tcW w:w="1050" w:type="pct"/>
          </w:tcPr>
          <w:p w:rsidR="0095233D" w:rsidRPr="00C30AEF" w:rsidP="0095233D" w14:paraId="6D94BC02" w14:textId="1AB0B2F4">
            <w:pPr>
              <w:rPr>
                <w:rFonts w:eastAsia="Calibri"/>
                <w:szCs w:val="26"/>
              </w:rPr>
            </w:pPr>
            <w:r w:rsidRPr="00C30AEF">
              <w:rPr>
                <w:rFonts w:eastAsia="Calibri"/>
                <w:szCs w:val="26"/>
              </w:rPr>
              <w:t>Information Sharing Requirements</w:t>
            </w:r>
          </w:p>
        </w:tc>
        <w:tc>
          <w:tcPr>
            <w:tcW w:w="574" w:type="pct"/>
          </w:tcPr>
          <w:p w:rsidR="0095233D" w:rsidRPr="00C30AEF" w:rsidP="0095233D" w14:paraId="7DFD78C8" w14:textId="4B5AC3A1">
            <w:pPr>
              <w:jc w:val="right"/>
              <w:rPr>
                <w:rFonts w:eastAsia="Calibri"/>
                <w:szCs w:val="26"/>
              </w:rPr>
            </w:pPr>
            <w:r w:rsidRPr="00C30AEF">
              <w:rPr>
                <w:rFonts w:eastAsia="Calibri"/>
                <w:szCs w:val="26"/>
              </w:rPr>
              <w:t>1,879</w:t>
            </w:r>
          </w:p>
        </w:tc>
        <w:tc>
          <w:tcPr>
            <w:tcW w:w="737" w:type="pct"/>
          </w:tcPr>
          <w:p w:rsidR="0095233D" w:rsidRPr="00C30AEF" w:rsidP="0095233D" w14:paraId="000F8BC5" w14:textId="6C17553C">
            <w:pPr>
              <w:jc w:val="right"/>
              <w:rPr>
                <w:rFonts w:eastAsia="Calibri"/>
                <w:szCs w:val="26"/>
              </w:rPr>
            </w:pPr>
            <w:r w:rsidRPr="00C30AEF">
              <w:rPr>
                <w:rFonts w:eastAsia="Calibri"/>
                <w:szCs w:val="26"/>
              </w:rPr>
              <w:t>1</w:t>
            </w:r>
          </w:p>
        </w:tc>
        <w:tc>
          <w:tcPr>
            <w:tcW w:w="574" w:type="pct"/>
            <w:gridSpan w:val="2"/>
          </w:tcPr>
          <w:p w:rsidR="0095233D" w:rsidRPr="00C30AEF" w:rsidP="0095233D" w14:paraId="6F71A276" w14:textId="2FE06B3B">
            <w:pPr>
              <w:jc w:val="right"/>
              <w:rPr>
                <w:rFonts w:eastAsia="Calibri"/>
                <w:szCs w:val="26"/>
              </w:rPr>
            </w:pPr>
            <w:r w:rsidRPr="00C30AEF">
              <w:rPr>
                <w:rFonts w:eastAsia="Calibri"/>
                <w:szCs w:val="26"/>
              </w:rPr>
              <w:t>1,879</w:t>
            </w:r>
          </w:p>
        </w:tc>
        <w:tc>
          <w:tcPr>
            <w:tcW w:w="606" w:type="pct"/>
            <w:gridSpan w:val="2"/>
          </w:tcPr>
          <w:p w:rsidR="0095233D" w:rsidRPr="00C30AEF" w:rsidP="0095233D" w14:paraId="10723846" w14:textId="77777777">
            <w:pPr>
              <w:jc w:val="right"/>
              <w:rPr>
                <w:rFonts w:eastAsia="Calibri"/>
                <w:szCs w:val="26"/>
              </w:rPr>
            </w:pPr>
            <w:r w:rsidRPr="00C30AEF">
              <w:rPr>
                <w:rFonts w:eastAsia="Calibri"/>
                <w:szCs w:val="26"/>
              </w:rPr>
              <w:t>95 hrs.</w:t>
            </w:r>
          </w:p>
          <w:p w:rsidR="0095233D" w:rsidRPr="00C30AEF" w:rsidP="0095233D" w14:paraId="757274EA" w14:textId="4F4B9CF9">
            <w:pPr>
              <w:jc w:val="right"/>
              <w:rPr>
                <w:rFonts w:eastAsia="Calibri"/>
                <w:szCs w:val="26"/>
              </w:rPr>
            </w:pPr>
            <w:r w:rsidRPr="00C30AEF">
              <w:rPr>
                <w:rFonts w:eastAsia="Calibri"/>
                <w:szCs w:val="26"/>
              </w:rPr>
              <w:t>$9,690</w:t>
            </w:r>
          </w:p>
        </w:tc>
        <w:tc>
          <w:tcPr>
            <w:tcW w:w="880" w:type="pct"/>
            <w:gridSpan w:val="2"/>
          </w:tcPr>
          <w:p w:rsidR="0095233D" w:rsidRPr="00C30AEF" w:rsidP="0095233D" w14:paraId="2DE160FF" w14:textId="4F7E7AC5">
            <w:pPr>
              <w:jc w:val="right"/>
              <w:rPr>
                <w:rFonts w:eastAsia="Calibri"/>
                <w:szCs w:val="26"/>
              </w:rPr>
            </w:pPr>
            <w:r w:rsidRPr="00C30AEF">
              <w:rPr>
                <w:rFonts w:eastAsia="Calibri"/>
                <w:szCs w:val="26"/>
              </w:rPr>
              <w:t>178,505</w:t>
            </w:r>
          </w:p>
          <w:p w:rsidR="0095233D" w:rsidRPr="00C30AEF" w:rsidP="0095233D" w14:paraId="42FC19C9" w14:textId="6EAC1A69">
            <w:pPr>
              <w:jc w:val="right"/>
              <w:rPr>
                <w:rFonts w:eastAsia="Calibri"/>
                <w:szCs w:val="26"/>
              </w:rPr>
            </w:pPr>
            <w:r w:rsidRPr="00C30AEF">
              <w:rPr>
                <w:rFonts w:eastAsia="Calibri"/>
                <w:szCs w:val="26"/>
              </w:rPr>
              <w:t>$</w:t>
            </w:r>
            <w:r w:rsidRPr="00C30AEF" w:rsidR="00F24E52">
              <w:rPr>
                <w:rFonts w:eastAsia="Calibri"/>
                <w:szCs w:val="26"/>
              </w:rPr>
              <w:t>18,207,510</w:t>
            </w:r>
          </w:p>
        </w:tc>
        <w:tc>
          <w:tcPr>
            <w:tcW w:w="575" w:type="pct"/>
            <w:gridSpan w:val="2"/>
          </w:tcPr>
          <w:p w:rsidR="0095233D" w:rsidRPr="00C30AEF" w:rsidP="0095233D" w14:paraId="5C7619B2" w14:textId="2828AD63">
            <w:pPr>
              <w:jc w:val="right"/>
              <w:rPr>
                <w:rFonts w:eastAsia="Calibri"/>
                <w:szCs w:val="26"/>
              </w:rPr>
            </w:pPr>
            <w:r w:rsidRPr="00C30AEF">
              <w:rPr>
                <w:rFonts w:eastAsia="Calibri"/>
                <w:szCs w:val="26"/>
              </w:rPr>
              <w:t>$9,690</w:t>
            </w:r>
          </w:p>
        </w:tc>
      </w:tr>
      <w:tr w14:paraId="46C1205A" w14:textId="77777777" w:rsidTr="0095233D">
        <w:tblPrEx>
          <w:tblW w:w="5443" w:type="pct"/>
          <w:tblInd w:w="-72" w:type="dxa"/>
          <w:tblLayout w:type="fixed"/>
          <w:tblLook w:val="01E0"/>
        </w:tblPrEx>
        <w:trPr>
          <w:cantSplit/>
          <w:trHeight w:val="485"/>
        </w:trPr>
        <w:tc>
          <w:tcPr>
            <w:tcW w:w="1050" w:type="pct"/>
            <w:tcBorders>
              <w:bottom w:val="single" w:sz="4" w:space="0" w:color="auto"/>
            </w:tcBorders>
          </w:tcPr>
          <w:p w:rsidR="00933116" w:rsidRPr="00C30AEF" w14:paraId="257138C3" w14:textId="77777777">
            <w:pPr>
              <w:rPr>
                <w:rFonts w:eastAsia="Calibri"/>
                <w:b/>
                <w:bCs/>
                <w:szCs w:val="26"/>
              </w:rPr>
            </w:pPr>
            <w:r w:rsidRPr="00C30AEF">
              <w:rPr>
                <w:rFonts w:eastAsia="Calibri"/>
                <w:b/>
                <w:bCs/>
                <w:szCs w:val="26"/>
              </w:rPr>
              <w:t>TOTAL</w:t>
            </w:r>
          </w:p>
        </w:tc>
        <w:tc>
          <w:tcPr>
            <w:tcW w:w="1316" w:type="pct"/>
            <w:gridSpan w:val="3"/>
            <w:tcBorders>
              <w:bottom w:val="single" w:sz="4" w:space="0" w:color="auto"/>
            </w:tcBorders>
            <w:shd w:val="clear" w:color="auto" w:fill="D9D9D9" w:themeFill="background1" w:themeFillShade="D9"/>
          </w:tcPr>
          <w:p w:rsidR="00933116" w:rsidRPr="00C30AEF" w14:paraId="039B692F" w14:textId="6AB33543">
            <w:pPr>
              <w:jc w:val="right"/>
              <w:rPr>
                <w:rFonts w:eastAsia="Calibri"/>
                <w:szCs w:val="26"/>
              </w:rPr>
            </w:pPr>
          </w:p>
        </w:tc>
        <w:tc>
          <w:tcPr>
            <w:tcW w:w="573" w:type="pct"/>
            <w:gridSpan w:val="2"/>
            <w:tcBorders>
              <w:bottom w:val="single" w:sz="4" w:space="0" w:color="auto"/>
            </w:tcBorders>
            <w:shd w:val="clear" w:color="auto" w:fill="D9D9D9" w:themeFill="background1" w:themeFillShade="D9"/>
          </w:tcPr>
          <w:p w:rsidR="00933116" w:rsidRPr="00C30AEF" w14:paraId="7C1EE977" w14:textId="2FE2E2D6">
            <w:pPr>
              <w:jc w:val="right"/>
              <w:rPr>
                <w:rFonts w:eastAsia="Calibri"/>
                <w:b/>
                <w:bCs/>
                <w:szCs w:val="26"/>
              </w:rPr>
            </w:pPr>
            <w:r w:rsidRPr="00C30AEF">
              <w:rPr>
                <w:rFonts w:eastAsia="Calibri"/>
                <w:b/>
                <w:bCs/>
                <w:szCs w:val="26"/>
              </w:rPr>
              <w:t>9,833</w:t>
            </w:r>
          </w:p>
          <w:p w:rsidR="00933116" w:rsidRPr="00C30AEF" w14:paraId="48EF7FAD" w14:textId="77777777">
            <w:pPr>
              <w:jc w:val="right"/>
              <w:rPr>
                <w:rFonts w:eastAsia="Calibri"/>
                <w:b/>
                <w:bCs/>
                <w:szCs w:val="26"/>
              </w:rPr>
            </w:pPr>
            <w:r w:rsidRPr="00C30AEF">
              <w:rPr>
                <w:rFonts w:eastAsia="Calibri"/>
                <w:b/>
                <w:bCs/>
                <w:szCs w:val="26"/>
              </w:rPr>
              <w:t xml:space="preserve"> </w:t>
            </w:r>
          </w:p>
        </w:tc>
        <w:tc>
          <w:tcPr>
            <w:tcW w:w="606" w:type="pct"/>
            <w:gridSpan w:val="2"/>
            <w:tcBorders>
              <w:bottom w:val="single" w:sz="4" w:space="0" w:color="auto"/>
            </w:tcBorders>
            <w:shd w:val="clear" w:color="auto" w:fill="D9D9D9" w:themeFill="background1" w:themeFillShade="D9"/>
          </w:tcPr>
          <w:p w:rsidR="00933116" w:rsidRPr="00C30AEF" w14:paraId="2701FD05" w14:textId="77777777">
            <w:pPr>
              <w:jc w:val="right"/>
              <w:rPr>
                <w:rFonts w:eastAsia="Calibri"/>
                <w:szCs w:val="26"/>
              </w:rPr>
            </w:pPr>
          </w:p>
        </w:tc>
        <w:tc>
          <w:tcPr>
            <w:tcW w:w="880" w:type="pct"/>
            <w:gridSpan w:val="2"/>
            <w:tcBorders>
              <w:bottom w:val="single" w:sz="4" w:space="0" w:color="auto"/>
            </w:tcBorders>
            <w:shd w:val="clear" w:color="auto" w:fill="D9D9D9" w:themeFill="background1" w:themeFillShade="D9"/>
          </w:tcPr>
          <w:p w:rsidR="00933116" w:rsidRPr="00C30AEF" w:rsidP="00E24026" w14:paraId="145044AB" w14:textId="37B3E3D1">
            <w:pPr>
              <w:jc w:val="right"/>
              <w:rPr>
                <w:rFonts w:eastAsia="Calibri"/>
                <w:b/>
                <w:bCs/>
                <w:szCs w:val="26"/>
              </w:rPr>
            </w:pPr>
            <w:r w:rsidRPr="00C30AEF">
              <w:rPr>
                <w:rFonts w:eastAsia="Calibri"/>
                <w:b/>
                <w:bCs/>
                <w:szCs w:val="26"/>
              </w:rPr>
              <w:t>972,623</w:t>
            </w:r>
            <w:r w:rsidRPr="00C30AEF" w:rsidR="000B40C4">
              <w:rPr>
                <w:rFonts w:eastAsia="Calibri"/>
                <w:b/>
                <w:bCs/>
                <w:szCs w:val="26"/>
              </w:rPr>
              <w:t xml:space="preserve"> </w:t>
            </w:r>
            <w:r w:rsidRPr="00C30AEF">
              <w:rPr>
                <w:rFonts w:eastAsia="Calibri"/>
                <w:b/>
                <w:bCs/>
                <w:szCs w:val="26"/>
              </w:rPr>
              <w:t>hrs.</w:t>
            </w:r>
            <w:r w:rsidRPr="00C30AEF">
              <w:rPr>
                <w:rFonts w:eastAsia="Calibri"/>
                <w:b/>
                <w:bCs/>
                <w:szCs w:val="26"/>
              </w:rPr>
              <w:t xml:space="preserve"> </w:t>
            </w:r>
          </w:p>
          <w:p w:rsidR="00933116" w:rsidRPr="00C30AEF" w14:paraId="1254753F" w14:textId="07BF0DB7">
            <w:pPr>
              <w:jc w:val="right"/>
              <w:rPr>
                <w:b/>
                <w:bCs/>
                <w:szCs w:val="26"/>
              </w:rPr>
            </w:pPr>
            <w:r w:rsidRPr="00C30AEF">
              <w:rPr>
                <w:rFonts w:eastAsia="Calibri"/>
                <w:b/>
                <w:bCs/>
                <w:szCs w:val="26"/>
              </w:rPr>
              <w:t>$</w:t>
            </w:r>
            <w:r w:rsidRPr="00C30AEF" w:rsidR="00230916">
              <w:rPr>
                <w:b/>
                <w:bCs/>
                <w:szCs w:val="26"/>
              </w:rPr>
              <w:t>99,207,546</w:t>
            </w:r>
          </w:p>
        </w:tc>
        <w:tc>
          <w:tcPr>
            <w:tcW w:w="575" w:type="pct"/>
            <w:gridSpan w:val="2"/>
            <w:tcBorders>
              <w:bottom w:val="single" w:sz="4" w:space="0" w:color="auto"/>
            </w:tcBorders>
            <w:shd w:val="clear" w:color="auto" w:fill="D9D9D9" w:themeFill="background1" w:themeFillShade="D9"/>
          </w:tcPr>
          <w:p w:rsidR="00933116" w:rsidRPr="00C30AEF" w14:paraId="4D22AFDA" w14:textId="7BB59C04">
            <w:pPr>
              <w:jc w:val="right"/>
              <w:rPr>
                <w:rFonts w:eastAsia="Calibri"/>
                <w:b/>
                <w:bCs/>
                <w:szCs w:val="26"/>
              </w:rPr>
            </w:pPr>
          </w:p>
        </w:tc>
      </w:tr>
    </w:tbl>
    <w:p w:rsidR="00147AD7" w:rsidRPr="00C30AEF" w:rsidP="549EAD48" w14:paraId="555F3B55" w14:textId="77777777">
      <w:pPr>
        <w:spacing w:line="480" w:lineRule="auto"/>
        <w:rPr>
          <w:b/>
          <w:bCs/>
          <w:szCs w:val="26"/>
        </w:rPr>
      </w:pPr>
    </w:p>
    <w:p w:rsidR="00147AD7" w:rsidRPr="00C30AEF" w:rsidP="549EAD48" w14:paraId="5C933CA3" w14:textId="26437AAF">
      <w:pPr>
        <w:spacing w:line="480" w:lineRule="auto"/>
        <w:rPr>
          <w:b/>
          <w:bCs/>
          <w:szCs w:val="26"/>
        </w:rPr>
      </w:pPr>
      <w:r w:rsidRPr="00C30AEF">
        <w:rPr>
          <w:b/>
          <w:bCs/>
          <w:szCs w:val="26"/>
        </w:rPr>
        <w:t>Electric Tariff Filings</w:t>
      </w:r>
      <w:r w:rsidRPr="00C30AEF" w:rsidR="00CE571E">
        <w:rPr>
          <w:b/>
          <w:bCs/>
          <w:szCs w:val="26"/>
        </w:rPr>
        <w:t xml:space="preserve"> category</w:t>
      </w:r>
      <w:r w:rsidRPr="00C30AEF" w:rsidR="007D5699">
        <w:rPr>
          <w:b/>
          <w:bCs/>
          <w:szCs w:val="26"/>
        </w:rPr>
        <w:t xml:space="preserve"> </w:t>
      </w:r>
      <w:r w:rsidRPr="00C30AEF">
        <w:rPr>
          <w:b/>
          <w:bCs/>
          <w:szCs w:val="26"/>
        </w:rPr>
        <w:t>–</w:t>
      </w:r>
      <w:r w:rsidRPr="00C30AEF" w:rsidR="007D5699">
        <w:rPr>
          <w:b/>
          <w:bCs/>
          <w:szCs w:val="26"/>
        </w:rPr>
        <w:t xml:space="preserve"> </w:t>
      </w:r>
    </w:p>
    <w:p w:rsidR="007F0B26" w:rsidRPr="00C30AEF" w:rsidP="00DC76A2" w14:paraId="1A47AE41" w14:textId="454CC774">
      <w:pPr>
        <w:spacing w:line="480" w:lineRule="auto"/>
        <w:rPr>
          <w:szCs w:val="26"/>
        </w:rPr>
      </w:pPr>
      <w:r w:rsidRPr="00C30AEF">
        <w:rPr>
          <w:szCs w:val="26"/>
        </w:rPr>
        <w:t xml:space="preserve">The Electric Tariff Filings category includes </w:t>
      </w:r>
      <w:r w:rsidRPr="00C30AEF" w:rsidR="007E2668">
        <w:rPr>
          <w:szCs w:val="26"/>
        </w:rPr>
        <w:t>all tariff</w:t>
      </w:r>
      <w:r w:rsidRPr="00C30AEF" w:rsidR="00E95070">
        <w:rPr>
          <w:szCs w:val="26"/>
        </w:rPr>
        <w:t xml:space="preserve"> requests</w:t>
      </w:r>
      <w:r w:rsidRPr="00C30AEF" w:rsidR="007E2668">
        <w:rPr>
          <w:szCs w:val="26"/>
        </w:rPr>
        <w:t>, tariff revisions and rate change applications</w:t>
      </w:r>
      <w:r w:rsidRPr="00C30AEF" w:rsidR="00E95070">
        <w:rPr>
          <w:szCs w:val="26"/>
        </w:rPr>
        <w:t>, as well as</w:t>
      </w:r>
      <w:r w:rsidRPr="00C30AEF" w:rsidR="00C35C0B">
        <w:rPr>
          <w:szCs w:val="26"/>
        </w:rPr>
        <w:t xml:space="preserve"> </w:t>
      </w:r>
      <w:r w:rsidRPr="00C30AEF" w:rsidR="00E95070">
        <w:rPr>
          <w:szCs w:val="26"/>
        </w:rPr>
        <w:t>C</w:t>
      </w:r>
      <w:r w:rsidRPr="00C30AEF" w:rsidR="007A2893">
        <w:rPr>
          <w:szCs w:val="26"/>
        </w:rPr>
        <w:t>hange in Status Filings, Triennial Filings, and Notices of Succession and Cancellation for sellers with existing authorization.</w:t>
      </w:r>
      <w:r w:rsidRPr="00C30AEF" w:rsidR="00A03E66">
        <w:rPr>
          <w:szCs w:val="26"/>
        </w:rPr>
        <w:t xml:space="preserve"> These filings </w:t>
      </w:r>
      <w:r w:rsidRPr="00C30AEF" w:rsidR="00DC76A2">
        <w:rPr>
          <w:szCs w:val="26"/>
        </w:rPr>
        <w:t xml:space="preserve">are part of the </w:t>
      </w:r>
      <w:r w:rsidRPr="00C30AEF" w:rsidR="00C35C0B">
        <w:rPr>
          <w:szCs w:val="26"/>
        </w:rPr>
        <w:t>Commission</w:t>
      </w:r>
      <w:r w:rsidRPr="00C30AEF" w:rsidR="00DC76A2">
        <w:rPr>
          <w:szCs w:val="26"/>
        </w:rPr>
        <w:t>’s</w:t>
      </w:r>
      <w:r w:rsidRPr="00C30AEF" w:rsidR="00C35C0B">
        <w:rPr>
          <w:szCs w:val="26"/>
        </w:rPr>
        <w:t xml:space="preserve"> </w:t>
      </w:r>
      <w:r w:rsidRPr="00C30AEF" w:rsidR="00DC76A2">
        <w:rPr>
          <w:szCs w:val="26"/>
        </w:rPr>
        <w:t xml:space="preserve">processes to </w:t>
      </w:r>
      <w:r w:rsidRPr="00C30AEF" w:rsidR="00C35C0B">
        <w:rPr>
          <w:szCs w:val="26"/>
        </w:rPr>
        <w:t>grant market-based rate authorization for wholesale sales of electric energy, capacity</w:t>
      </w:r>
      <w:r w:rsidRPr="00C30AEF" w:rsidR="00C140FB">
        <w:rPr>
          <w:szCs w:val="26"/>
        </w:rPr>
        <w:t>,</w:t>
      </w:r>
      <w:r w:rsidRPr="00C30AEF" w:rsidR="00C35C0B">
        <w:rPr>
          <w:szCs w:val="26"/>
        </w:rPr>
        <w:t xml:space="preserve"> and ancillary services by sellers that can demonstrate that they and their affiliates lack or have adequately mitigated horizontal and vertical market power. </w:t>
      </w:r>
    </w:p>
    <w:p w:rsidR="00B12DA7" w:rsidRPr="00C30AEF" w:rsidP="00DC76A2" w14:paraId="39BF27E0" w14:textId="77777777">
      <w:pPr>
        <w:spacing w:line="480" w:lineRule="auto"/>
        <w:rPr>
          <w:szCs w:val="26"/>
        </w:rPr>
      </w:pPr>
    </w:p>
    <w:p w:rsidR="00D02187" w:rsidRPr="00C30AEF" w:rsidP="00476344" w14:paraId="2A15730A" w14:textId="75D9B5CF">
      <w:pPr>
        <w:keepNext/>
        <w:spacing w:line="480" w:lineRule="auto"/>
        <w:rPr>
          <w:b/>
          <w:bCs/>
          <w:szCs w:val="26"/>
        </w:rPr>
      </w:pPr>
      <w:r w:rsidRPr="00C30AEF">
        <w:rPr>
          <w:b/>
          <w:bCs/>
          <w:szCs w:val="26"/>
        </w:rPr>
        <w:t>Electric Tariff Filings category</w:t>
      </w:r>
      <w:r w:rsidRPr="00C30AEF" w:rsidR="00432525">
        <w:rPr>
          <w:b/>
          <w:bCs/>
          <w:szCs w:val="26"/>
        </w:rPr>
        <w:t xml:space="preserve"> – Common Filings</w:t>
      </w:r>
      <w:r w:rsidRPr="00C30AEF" w:rsidR="00B12DA7">
        <w:rPr>
          <w:b/>
          <w:bCs/>
          <w:szCs w:val="26"/>
        </w:rPr>
        <w:t xml:space="preserve"> – Previous Information Collection activities</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53EE9254" w14:textId="77777777" w:rsidTr="00476344">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08576C" w:rsidRPr="00C30AEF" w:rsidP="000E0D9C" w14:paraId="1DEE2FC1" w14:textId="5924778F">
            <w:pPr>
              <w:jc w:val="center"/>
              <w:rPr>
                <w:rFonts w:eastAsia="Calibri"/>
                <w:b/>
                <w:bCs/>
                <w:szCs w:val="26"/>
              </w:rPr>
            </w:pPr>
            <w:r w:rsidRPr="00C30AEF">
              <w:rPr>
                <w:rFonts w:eastAsia="Calibri"/>
                <w:b/>
                <w:bCs/>
                <w:szCs w:val="26"/>
              </w:rPr>
              <w:t>Previous FERC Form</w:t>
            </w:r>
          </w:p>
        </w:tc>
        <w:tc>
          <w:tcPr>
            <w:tcW w:w="1132" w:type="pct"/>
            <w:shd w:val="clear" w:color="auto" w:fill="D9D9D9" w:themeFill="background1" w:themeFillShade="D9"/>
          </w:tcPr>
          <w:p w:rsidR="0008576C" w:rsidRPr="00C30AEF" w:rsidP="000E0D9C" w14:paraId="057CEAE3" w14:textId="78EF2A84">
            <w:pPr>
              <w:jc w:val="center"/>
              <w:rPr>
                <w:rFonts w:eastAsia="Calibri"/>
                <w:b/>
                <w:bCs/>
                <w:szCs w:val="26"/>
              </w:rPr>
            </w:pPr>
            <w:r w:rsidRPr="00C30AEF">
              <w:rPr>
                <w:rFonts w:eastAsia="Calibri"/>
                <w:b/>
                <w:bCs/>
                <w:szCs w:val="26"/>
              </w:rPr>
              <w:t>Title</w:t>
            </w:r>
          </w:p>
        </w:tc>
        <w:tc>
          <w:tcPr>
            <w:tcW w:w="666" w:type="pct"/>
            <w:shd w:val="clear" w:color="auto" w:fill="D9D9D9" w:themeFill="background1" w:themeFillShade="D9"/>
          </w:tcPr>
          <w:p w:rsidR="0008576C" w:rsidRPr="00C30AEF" w:rsidP="000E0D9C" w14:paraId="55AAB4FC" w14:textId="2BF8DE82">
            <w:pPr>
              <w:jc w:val="center"/>
              <w:rPr>
                <w:rFonts w:eastAsia="Calibri"/>
                <w:b/>
                <w:bCs/>
                <w:szCs w:val="26"/>
              </w:rPr>
            </w:pPr>
            <w:r w:rsidRPr="00C30AEF">
              <w:rPr>
                <w:rFonts w:eastAsia="Calibri"/>
                <w:b/>
                <w:bCs/>
                <w:szCs w:val="26"/>
              </w:rPr>
              <w:t>Number of Respondents</w:t>
            </w:r>
            <w:r w:rsidRPr="00C30AEF">
              <w:rPr>
                <w:szCs w:val="26"/>
              </w:rPr>
              <w:br/>
            </w:r>
            <w:r w:rsidRPr="00C30AEF">
              <w:rPr>
                <w:rFonts w:eastAsia="Calibri"/>
                <w:b/>
                <w:bCs/>
                <w:szCs w:val="26"/>
              </w:rPr>
              <w:t>(1)</w:t>
            </w:r>
          </w:p>
        </w:tc>
        <w:tc>
          <w:tcPr>
            <w:tcW w:w="668" w:type="pct"/>
            <w:shd w:val="clear" w:color="auto" w:fill="D9D9D9" w:themeFill="background1" w:themeFillShade="D9"/>
          </w:tcPr>
          <w:p w:rsidR="0008576C" w:rsidRPr="00C30AEF" w:rsidP="000E0D9C" w14:paraId="10EE1864" w14:textId="77777777">
            <w:pPr>
              <w:jc w:val="center"/>
              <w:rPr>
                <w:rFonts w:eastAsia="Calibri"/>
                <w:b/>
                <w:bCs/>
                <w:szCs w:val="26"/>
              </w:rPr>
            </w:pPr>
            <w:r w:rsidRPr="00C30AEF">
              <w:rPr>
                <w:rFonts w:eastAsia="Calibri"/>
                <w:b/>
                <w:bCs/>
                <w:szCs w:val="26"/>
              </w:rPr>
              <w:t>Annual Number of Responses per Respondent</w:t>
            </w:r>
          </w:p>
          <w:p w:rsidR="0008576C" w:rsidRPr="00C30AEF" w:rsidP="000E0D9C" w14:paraId="192A7CF0" w14:textId="77777777">
            <w:pPr>
              <w:jc w:val="center"/>
              <w:rPr>
                <w:rFonts w:eastAsia="Calibri"/>
                <w:b/>
                <w:bCs/>
                <w:szCs w:val="26"/>
              </w:rPr>
            </w:pPr>
            <w:r w:rsidRPr="00C30AEF">
              <w:rPr>
                <w:rFonts w:eastAsia="Calibri"/>
                <w:b/>
                <w:bCs/>
                <w:szCs w:val="26"/>
              </w:rPr>
              <w:t>(2)</w:t>
            </w:r>
          </w:p>
        </w:tc>
        <w:tc>
          <w:tcPr>
            <w:tcW w:w="520" w:type="pct"/>
            <w:shd w:val="clear" w:color="auto" w:fill="D9D9D9" w:themeFill="background1" w:themeFillShade="D9"/>
          </w:tcPr>
          <w:p w:rsidR="0008576C" w:rsidRPr="00C30AEF" w:rsidP="000E0D9C" w14:paraId="0E07B70B" w14:textId="77777777">
            <w:pPr>
              <w:jc w:val="center"/>
              <w:rPr>
                <w:rFonts w:eastAsia="Calibri"/>
                <w:b/>
                <w:bCs/>
                <w:szCs w:val="26"/>
              </w:rPr>
            </w:pPr>
            <w:r w:rsidRPr="00C30AEF">
              <w:rPr>
                <w:rFonts w:eastAsia="Calibri"/>
                <w:b/>
                <w:bCs/>
                <w:szCs w:val="26"/>
              </w:rPr>
              <w:t>Total Number of Responses (1)*(2)=(3)</w:t>
            </w:r>
          </w:p>
        </w:tc>
        <w:tc>
          <w:tcPr>
            <w:tcW w:w="640" w:type="pct"/>
            <w:shd w:val="clear" w:color="auto" w:fill="D9D9D9" w:themeFill="background1" w:themeFillShade="D9"/>
          </w:tcPr>
          <w:p w:rsidR="0008576C" w:rsidRPr="00C30AEF" w:rsidP="000E0D9C" w14:paraId="5905C8C8" w14:textId="25F565A8">
            <w:pPr>
              <w:jc w:val="center"/>
              <w:rPr>
                <w:rFonts w:eastAsia="Calibri"/>
                <w:b/>
                <w:bCs/>
                <w:szCs w:val="26"/>
              </w:rPr>
            </w:pPr>
            <w:r w:rsidRPr="00C30AEF">
              <w:rPr>
                <w:rFonts w:eastAsia="Calibri"/>
                <w:b/>
                <w:bCs/>
                <w:szCs w:val="26"/>
              </w:rPr>
              <w:t xml:space="preserve">Average Burden </w:t>
            </w:r>
            <w:r w:rsidRPr="00C30AEF" w:rsidR="00C804F2">
              <w:rPr>
                <w:rFonts w:eastAsia="Calibri"/>
                <w:b/>
                <w:bCs/>
                <w:szCs w:val="26"/>
              </w:rPr>
              <w:t>per response</w:t>
            </w:r>
          </w:p>
          <w:p w:rsidR="0008576C" w:rsidRPr="00C30AEF" w:rsidP="000E0D9C" w14:paraId="4DF48BCE" w14:textId="77777777">
            <w:pPr>
              <w:jc w:val="center"/>
              <w:rPr>
                <w:rFonts w:eastAsia="Calibri"/>
                <w:b/>
                <w:bCs/>
                <w:szCs w:val="26"/>
              </w:rPr>
            </w:pPr>
            <w:r w:rsidRPr="00C30AEF">
              <w:rPr>
                <w:rFonts w:eastAsia="Calibri"/>
                <w:b/>
                <w:bCs/>
                <w:szCs w:val="26"/>
              </w:rPr>
              <w:t>(4)</w:t>
            </w:r>
          </w:p>
        </w:tc>
        <w:tc>
          <w:tcPr>
            <w:tcW w:w="797" w:type="pct"/>
            <w:shd w:val="clear" w:color="auto" w:fill="D9D9D9" w:themeFill="background1" w:themeFillShade="D9"/>
          </w:tcPr>
          <w:p w:rsidR="0008576C" w:rsidRPr="00C30AEF" w:rsidP="000E0D9C" w14:paraId="39A42DEF" w14:textId="57A02412">
            <w:pPr>
              <w:jc w:val="center"/>
              <w:rPr>
                <w:rFonts w:eastAsia="Calibri"/>
                <w:b/>
                <w:bCs/>
                <w:szCs w:val="26"/>
              </w:rPr>
            </w:pPr>
            <w:r w:rsidRPr="00C30AEF">
              <w:rPr>
                <w:rFonts w:eastAsia="Calibri"/>
                <w:b/>
                <w:bCs/>
                <w:szCs w:val="26"/>
              </w:rPr>
              <w:t xml:space="preserve">Total Annual Burden Hours </w:t>
            </w:r>
          </w:p>
          <w:p w:rsidR="0008576C" w:rsidRPr="00C30AEF" w:rsidP="000E0D9C" w14:paraId="6A830A54" w14:textId="77777777">
            <w:pPr>
              <w:jc w:val="center"/>
              <w:rPr>
                <w:rFonts w:eastAsia="Calibri"/>
                <w:b/>
                <w:bCs/>
                <w:szCs w:val="26"/>
              </w:rPr>
            </w:pPr>
            <w:r w:rsidRPr="00C30AEF">
              <w:rPr>
                <w:rFonts w:eastAsia="Calibri"/>
                <w:b/>
                <w:bCs/>
                <w:szCs w:val="26"/>
              </w:rPr>
              <w:t>(3)*(4)=(5)</w:t>
            </w:r>
          </w:p>
        </w:tc>
      </w:tr>
      <w:tr w14:paraId="692B6FED" w14:textId="77777777" w:rsidTr="00476344">
        <w:tblPrEx>
          <w:tblW w:w="5314" w:type="pct"/>
          <w:tblInd w:w="-72" w:type="dxa"/>
          <w:tblLayout w:type="fixed"/>
          <w:tblLook w:val="01E0"/>
        </w:tblPrEx>
        <w:trPr>
          <w:cantSplit/>
        </w:trPr>
        <w:tc>
          <w:tcPr>
            <w:tcW w:w="577" w:type="pct"/>
          </w:tcPr>
          <w:p w:rsidR="0064172D" w:rsidRPr="00C30AEF" w:rsidP="0064172D" w14:paraId="02707411" w14:textId="16B699E1">
            <w:pPr>
              <w:rPr>
                <w:szCs w:val="26"/>
              </w:rPr>
            </w:pPr>
            <w:r w:rsidRPr="00C30AEF">
              <w:rPr>
                <w:szCs w:val="26"/>
              </w:rPr>
              <w:t>516</w:t>
            </w:r>
          </w:p>
        </w:tc>
        <w:tc>
          <w:tcPr>
            <w:tcW w:w="1132" w:type="pct"/>
          </w:tcPr>
          <w:p w:rsidR="0064172D" w:rsidRPr="00C30AEF" w:rsidP="0064172D" w14:paraId="4F4B66E0" w14:textId="00B83C16">
            <w:pPr>
              <w:rPr>
                <w:szCs w:val="26"/>
              </w:rPr>
            </w:pPr>
            <w:r w:rsidRPr="00C30AEF">
              <w:rPr>
                <w:szCs w:val="26"/>
              </w:rPr>
              <w:t>Electric Rate Schedules and Tariff Filings (Ongoing Filing)</w:t>
            </w:r>
          </w:p>
        </w:tc>
        <w:tc>
          <w:tcPr>
            <w:tcW w:w="666" w:type="pct"/>
          </w:tcPr>
          <w:p w:rsidR="0064172D" w:rsidRPr="00C30AEF" w:rsidP="0064172D" w14:paraId="2F215198" w14:textId="72C8F368">
            <w:pPr>
              <w:jc w:val="right"/>
              <w:rPr>
                <w:rFonts w:eastAsia="Calibri"/>
                <w:szCs w:val="26"/>
              </w:rPr>
            </w:pPr>
            <w:r w:rsidRPr="00C30AEF">
              <w:rPr>
                <w:szCs w:val="26"/>
              </w:rPr>
              <w:t>1,230</w:t>
            </w:r>
          </w:p>
        </w:tc>
        <w:tc>
          <w:tcPr>
            <w:tcW w:w="668" w:type="pct"/>
          </w:tcPr>
          <w:p w:rsidR="0064172D" w:rsidRPr="00C30AEF" w:rsidP="0064172D" w14:paraId="2C440E83" w14:textId="22F9B36D">
            <w:pPr>
              <w:jc w:val="right"/>
              <w:rPr>
                <w:rFonts w:eastAsia="Calibri"/>
                <w:szCs w:val="26"/>
              </w:rPr>
            </w:pPr>
            <w:r w:rsidRPr="00C30AEF">
              <w:rPr>
                <w:szCs w:val="26"/>
              </w:rPr>
              <w:t>4</w:t>
            </w:r>
          </w:p>
        </w:tc>
        <w:tc>
          <w:tcPr>
            <w:tcW w:w="520" w:type="pct"/>
          </w:tcPr>
          <w:p w:rsidR="0064172D" w:rsidRPr="00C30AEF" w:rsidP="0064172D" w14:paraId="49ED7D59" w14:textId="222EC010">
            <w:pPr>
              <w:jc w:val="right"/>
              <w:rPr>
                <w:rFonts w:eastAsia="Calibri"/>
                <w:szCs w:val="26"/>
              </w:rPr>
            </w:pPr>
            <w:r w:rsidRPr="00C30AEF">
              <w:rPr>
                <w:color w:val="000000"/>
                <w:szCs w:val="26"/>
              </w:rPr>
              <w:t>4,920</w:t>
            </w:r>
          </w:p>
        </w:tc>
        <w:tc>
          <w:tcPr>
            <w:tcW w:w="640" w:type="pct"/>
          </w:tcPr>
          <w:p w:rsidR="0064172D" w:rsidRPr="00C30AEF" w:rsidP="0064172D" w14:paraId="7B15178A" w14:textId="32C11E2C">
            <w:pPr>
              <w:jc w:val="right"/>
              <w:rPr>
                <w:rFonts w:eastAsia="Calibri"/>
                <w:szCs w:val="26"/>
              </w:rPr>
            </w:pPr>
            <w:r w:rsidRPr="00C30AEF">
              <w:rPr>
                <w:color w:val="000000"/>
                <w:szCs w:val="26"/>
              </w:rPr>
              <w:t>103</w:t>
            </w:r>
          </w:p>
        </w:tc>
        <w:tc>
          <w:tcPr>
            <w:tcW w:w="797" w:type="pct"/>
          </w:tcPr>
          <w:p w:rsidR="0064172D" w:rsidRPr="00C30AEF" w:rsidP="0064172D" w14:paraId="5529D49C" w14:textId="768AF336">
            <w:pPr>
              <w:jc w:val="right"/>
              <w:rPr>
                <w:rFonts w:eastAsia="Calibri"/>
                <w:szCs w:val="26"/>
              </w:rPr>
            </w:pPr>
            <w:r w:rsidRPr="00C30AEF">
              <w:rPr>
                <w:color w:val="000000"/>
                <w:szCs w:val="26"/>
              </w:rPr>
              <w:t>506,760</w:t>
            </w:r>
          </w:p>
        </w:tc>
      </w:tr>
      <w:tr w14:paraId="488C773E" w14:textId="77777777" w:rsidTr="005D3F76">
        <w:tblPrEx>
          <w:tblW w:w="5314" w:type="pct"/>
          <w:tblInd w:w="-72" w:type="dxa"/>
          <w:tblLayout w:type="fixed"/>
          <w:tblLook w:val="01E0"/>
        </w:tblPrEx>
        <w:trPr>
          <w:cantSplit/>
        </w:trPr>
        <w:tc>
          <w:tcPr>
            <w:tcW w:w="577" w:type="pct"/>
          </w:tcPr>
          <w:p w:rsidR="00F1031C" w:rsidRPr="00C30AEF" w:rsidP="00F1031C" w14:paraId="7EDC0901" w14:textId="6B994EDF">
            <w:pPr>
              <w:rPr>
                <w:szCs w:val="26"/>
              </w:rPr>
            </w:pPr>
            <w:r w:rsidRPr="00C30AEF">
              <w:rPr>
                <w:szCs w:val="26"/>
              </w:rPr>
              <w:t>516A</w:t>
            </w:r>
          </w:p>
        </w:tc>
        <w:tc>
          <w:tcPr>
            <w:tcW w:w="1132" w:type="pct"/>
          </w:tcPr>
          <w:p w:rsidR="00F1031C" w:rsidRPr="00C30AEF" w:rsidP="00F1031C" w14:paraId="5A525995" w14:textId="7947F4EA">
            <w:pPr>
              <w:rPr>
                <w:szCs w:val="26"/>
              </w:rPr>
            </w:pPr>
            <w:r w:rsidRPr="00C30AEF">
              <w:rPr>
                <w:szCs w:val="26"/>
              </w:rPr>
              <w:t>Standardization of Small Generator Interconnection Agreements and Procedures</w:t>
            </w:r>
          </w:p>
        </w:tc>
        <w:tc>
          <w:tcPr>
            <w:tcW w:w="666" w:type="pct"/>
          </w:tcPr>
          <w:p w:rsidR="00F1031C" w:rsidRPr="00C30AEF" w:rsidP="00F1031C" w14:paraId="24438A76" w14:textId="30AEE4D3">
            <w:pPr>
              <w:jc w:val="right"/>
              <w:rPr>
                <w:szCs w:val="26"/>
              </w:rPr>
            </w:pPr>
            <w:r w:rsidRPr="00C30AEF">
              <w:rPr>
                <w:szCs w:val="26"/>
              </w:rPr>
              <w:t>141</w:t>
            </w:r>
          </w:p>
        </w:tc>
        <w:tc>
          <w:tcPr>
            <w:tcW w:w="668" w:type="pct"/>
          </w:tcPr>
          <w:p w:rsidR="00F1031C" w:rsidRPr="00C30AEF" w:rsidP="00F1031C" w14:paraId="4E23A8D5" w14:textId="408D357D">
            <w:pPr>
              <w:jc w:val="right"/>
              <w:rPr>
                <w:szCs w:val="26"/>
              </w:rPr>
            </w:pPr>
            <w:r w:rsidRPr="00C30AEF">
              <w:rPr>
                <w:szCs w:val="26"/>
              </w:rPr>
              <w:t>1</w:t>
            </w:r>
          </w:p>
        </w:tc>
        <w:tc>
          <w:tcPr>
            <w:tcW w:w="520" w:type="pct"/>
          </w:tcPr>
          <w:p w:rsidR="00F1031C" w:rsidRPr="00C30AEF" w:rsidP="00F1031C" w14:paraId="4910D6A9" w14:textId="0449D727">
            <w:pPr>
              <w:jc w:val="right"/>
              <w:rPr>
                <w:color w:val="000000"/>
                <w:szCs w:val="26"/>
              </w:rPr>
            </w:pPr>
            <w:r w:rsidRPr="00C30AEF">
              <w:rPr>
                <w:color w:val="000000"/>
                <w:szCs w:val="26"/>
              </w:rPr>
              <w:t>141</w:t>
            </w:r>
          </w:p>
        </w:tc>
        <w:tc>
          <w:tcPr>
            <w:tcW w:w="640" w:type="pct"/>
          </w:tcPr>
          <w:p w:rsidR="00F1031C" w:rsidRPr="00C30AEF" w:rsidP="00F1031C" w14:paraId="2607DEB9" w14:textId="5C38015B">
            <w:pPr>
              <w:jc w:val="right"/>
              <w:rPr>
                <w:color w:val="000000"/>
                <w:szCs w:val="26"/>
              </w:rPr>
            </w:pPr>
            <w:r w:rsidRPr="00C30AEF">
              <w:rPr>
                <w:color w:val="000000"/>
                <w:szCs w:val="26"/>
              </w:rPr>
              <w:t>16.84</w:t>
            </w:r>
          </w:p>
        </w:tc>
        <w:tc>
          <w:tcPr>
            <w:tcW w:w="797" w:type="pct"/>
          </w:tcPr>
          <w:p w:rsidR="00F1031C" w:rsidRPr="00C30AEF" w:rsidP="00F1031C" w14:paraId="16F82412" w14:textId="0A369907">
            <w:pPr>
              <w:jc w:val="right"/>
              <w:rPr>
                <w:color w:val="000000"/>
                <w:szCs w:val="26"/>
              </w:rPr>
            </w:pPr>
            <w:r w:rsidRPr="00C30AEF">
              <w:rPr>
                <w:color w:val="000000"/>
                <w:szCs w:val="26"/>
              </w:rPr>
              <w:t>2,421</w:t>
            </w:r>
          </w:p>
        </w:tc>
      </w:tr>
      <w:tr w14:paraId="44A9D156" w14:textId="77777777" w:rsidTr="00476344">
        <w:tblPrEx>
          <w:tblW w:w="5314" w:type="pct"/>
          <w:tblInd w:w="-72" w:type="dxa"/>
          <w:tblLayout w:type="fixed"/>
          <w:tblLook w:val="01E0"/>
        </w:tblPrEx>
        <w:trPr>
          <w:cantSplit/>
        </w:trPr>
        <w:tc>
          <w:tcPr>
            <w:tcW w:w="577" w:type="pct"/>
          </w:tcPr>
          <w:p w:rsidR="00683B9B" w:rsidRPr="00C30AEF" w:rsidP="00683B9B" w14:paraId="70614381" w14:textId="163667D9">
            <w:pPr>
              <w:rPr>
                <w:szCs w:val="26"/>
              </w:rPr>
            </w:pPr>
            <w:r w:rsidRPr="00C30AEF">
              <w:rPr>
                <w:szCs w:val="26"/>
              </w:rPr>
              <w:t>516J</w:t>
            </w:r>
          </w:p>
        </w:tc>
        <w:tc>
          <w:tcPr>
            <w:tcW w:w="1132" w:type="pct"/>
          </w:tcPr>
          <w:p w:rsidR="00683B9B" w:rsidRPr="00C30AEF" w:rsidP="00683B9B" w14:paraId="5E67A0AD" w14:textId="66C8D2AA">
            <w:pPr>
              <w:rPr>
                <w:szCs w:val="26"/>
              </w:rPr>
            </w:pPr>
            <w:r w:rsidRPr="00C30AEF">
              <w:rPr>
                <w:szCs w:val="26"/>
              </w:rPr>
              <w:t>Project Area Labor Wage</w:t>
            </w:r>
          </w:p>
        </w:tc>
        <w:tc>
          <w:tcPr>
            <w:tcW w:w="666" w:type="pct"/>
          </w:tcPr>
          <w:p w:rsidR="00683B9B" w:rsidRPr="00C30AEF" w:rsidP="00683B9B" w14:paraId="488BED94" w14:textId="52D24E53">
            <w:pPr>
              <w:jc w:val="right"/>
              <w:rPr>
                <w:rFonts w:eastAsia="Calibri"/>
                <w:szCs w:val="26"/>
              </w:rPr>
            </w:pPr>
            <w:r w:rsidRPr="00C30AEF">
              <w:rPr>
                <w:szCs w:val="26"/>
              </w:rPr>
              <w:t>6</w:t>
            </w:r>
          </w:p>
        </w:tc>
        <w:tc>
          <w:tcPr>
            <w:tcW w:w="668" w:type="pct"/>
          </w:tcPr>
          <w:p w:rsidR="00683B9B" w:rsidRPr="00C30AEF" w:rsidP="00683B9B" w14:paraId="3B2633B6" w14:textId="6913A815">
            <w:pPr>
              <w:jc w:val="right"/>
              <w:rPr>
                <w:rFonts w:eastAsia="Calibri"/>
                <w:szCs w:val="26"/>
              </w:rPr>
            </w:pPr>
            <w:r w:rsidRPr="00C30AEF">
              <w:rPr>
                <w:szCs w:val="26"/>
              </w:rPr>
              <w:t>1</w:t>
            </w:r>
          </w:p>
        </w:tc>
        <w:tc>
          <w:tcPr>
            <w:tcW w:w="520" w:type="pct"/>
          </w:tcPr>
          <w:p w:rsidR="00683B9B" w:rsidRPr="00C30AEF" w:rsidP="00683B9B" w14:paraId="439AAB01" w14:textId="322416FB">
            <w:pPr>
              <w:jc w:val="right"/>
              <w:rPr>
                <w:rFonts w:eastAsia="Calibri"/>
                <w:szCs w:val="26"/>
              </w:rPr>
            </w:pPr>
            <w:r w:rsidRPr="00C30AEF">
              <w:rPr>
                <w:color w:val="000000"/>
                <w:szCs w:val="26"/>
              </w:rPr>
              <w:t>6</w:t>
            </w:r>
          </w:p>
        </w:tc>
        <w:tc>
          <w:tcPr>
            <w:tcW w:w="640" w:type="pct"/>
          </w:tcPr>
          <w:p w:rsidR="00683B9B" w:rsidRPr="00C30AEF" w:rsidP="00683B9B" w14:paraId="1F9F0FB2" w14:textId="2D925D7F">
            <w:pPr>
              <w:jc w:val="right"/>
              <w:rPr>
                <w:rFonts w:eastAsia="Calibri"/>
                <w:szCs w:val="26"/>
              </w:rPr>
            </w:pPr>
            <w:r w:rsidRPr="00C30AEF">
              <w:rPr>
                <w:color w:val="000000"/>
                <w:szCs w:val="26"/>
              </w:rPr>
              <w:t>15</w:t>
            </w:r>
          </w:p>
        </w:tc>
        <w:tc>
          <w:tcPr>
            <w:tcW w:w="797" w:type="pct"/>
          </w:tcPr>
          <w:p w:rsidR="00683B9B" w:rsidRPr="00C30AEF" w:rsidP="00683B9B" w14:paraId="3429DA55" w14:textId="55CDD50C">
            <w:pPr>
              <w:jc w:val="right"/>
              <w:rPr>
                <w:rFonts w:eastAsia="Calibri"/>
                <w:szCs w:val="26"/>
              </w:rPr>
            </w:pPr>
            <w:r w:rsidRPr="00C30AEF">
              <w:rPr>
                <w:color w:val="000000"/>
                <w:szCs w:val="26"/>
              </w:rPr>
              <w:t>90</w:t>
            </w:r>
          </w:p>
        </w:tc>
      </w:tr>
      <w:tr w14:paraId="449B632E" w14:textId="77777777" w:rsidTr="00476344">
        <w:tblPrEx>
          <w:tblW w:w="5314" w:type="pct"/>
          <w:tblInd w:w="-72" w:type="dxa"/>
          <w:tblLayout w:type="fixed"/>
          <w:tblLook w:val="01E0"/>
        </w:tblPrEx>
        <w:trPr>
          <w:cantSplit/>
        </w:trPr>
        <w:tc>
          <w:tcPr>
            <w:tcW w:w="577" w:type="pct"/>
          </w:tcPr>
          <w:p w:rsidR="007F7CDF" w:rsidRPr="00C30AEF" w:rsidP="007F7CDF" w14:paraId="3B185201" w14:textId="4DE828D5">
            <w:pPr>
              <w:rPr>
                <w:szCs w:val="26"/>
              </w:rPr>
            </w:pPr>
            <w:r w:rsidRPr="00C30AEF">
              <w:rPr>
                <w:szCs w:val="26"/>
              </w:rPr>
              <w:t>919</w:t>
            </w:r>
          </w:p>
        </w:tc>
        <w:tc>
          <w:tcPr>
            <w:tcW w:w="1132" w:type="pct"/>
          </w:tcPr>
          <w:p w:rsidR="007F7CDF" w:rsidRPr="00C30AEF" w:rsidP="007F7CDF" w14:paraId="2F0EB8AC" w14:textId="3929FF3D">
            <w:pPr>
              <w:rPr>
                <w:szCs w:val="26"/>
              </w:rPr>
            </w:pPr>
            <w:r w:rsidRPr="00C30AEF">
              <w:rPr>
                <w:szCs w:val="26"/>
              </w:rPr>
              <w:t>Change in Status Filings (18 CFR 35.42(a))</w:t>
            </w:r>
          </w:p>
        </w:tc>
        <w:tc>
          <w:tcPr>
            <w:tcW w:w="666" w:type="pct"/>
          </w:tcPr>
          <w:p w:rsidR="007F7CDF" w:rsidRPr="00C30AEF" w:rsidP="007F7CDF" w14:paraId="62CF5CD3" w14:textId="76CF569C">
            <w:pPr>
              <w:jc w:val="right"/>
              <w:rPr>
                <w:rFonts w:eastAsia="Calibri"/>
                <w:szCs w:val="26"/>
              </w:rPr>
            </w:pPr>
            <w:r w:rsidRPr="00C30AEF">
              <w:rPr>
                <w:szCs w:val="26"/>
              </w:rPr>
              <w:t>149</w:t>
            </w:r>
          </w:p>
        </w:tc>
        <w:tc>
          <w:tcPr>
            <w:tcW w:w="668" w:type="pct"/>
          </w:tcPr>
          <w:p w:rsidR="007F7CDF" w:rsidRPr="00C30AEF" w:rsidP="007F7CDF" w14:paraId="4828E949" w14:textId="7CF352F2">
            <w:pPr>
              <w:jc w:val="right"/>
              <w:rPr>
                <w:rFonts w:eastAsia="Calibri"/>
                <w:szCs w:val="26"/>
              </w:rPr>
            </w:pPr>
            <w:r w:rsidRPr="00C30AEF">
              <w:rPr>
                <w:szCs w:val="26"/>
              </w:rPr>
              <w:t>1</w:t>
            </w:r>
          </w:p>
        </w:tc>
        <w:tc>
          <w:tcPr>
            <w:tcW w:w="520" w:type="pct"/>
          </w:tcPr>
          <w:p w:rsidR="007F7CDF" w:rsidRPr="00C30AEF" w:rsidP="007F7CDF" w14:paraId="648A7F2B" w14:textId="756394E5">
            <w:pPr>
              <w:jc w:val="right"/>
              <w:rPr>
                <w:rFonts w:eastAsia="Calibri"/>
                <w:szCs w:val="26"/>
              </w:rPr>
            </w:pPr>
            <w:r w:rsidRPr="00C30AEF">
              <w:rPr>
                <w:color w:val="000000"/>
                <w:szCs w:val="26"/>
              </w:rPr>
              <w:t>149</w:t>
            </w:r>
          </w:p>
        </w:tc>
        <w:tc>
          <w:tcPr>
            <w:tcW w:w="640" w:type="pct"/>
          </w:tcPr>
          <w:p w:rsidR="007F7CDF" w:rsidRPr="00C30AEF" w:rsidP="007F7CDF" w14:paraId="303D72CF" w14:textId="1656AD1E">
            <w:pPr>
              <w:jc w:val="right"/>
              <w:rPr>
                <w:rFonts w:eastAsia="Calibri"/>
                <w:szCs w:val="26"/>
              </w:rPr>
            </w:pPr>
            <w:r w:rsidRPr="00C30AEF">
              <w:rPr>
                <w:color w:val="000000"/>
                <w:szCs w:val="26"/>
              </w:rPr>
              <w:t>49</w:t>
            </w:r>
          </w:p>
        </w:tc>
        <w:tc>
          <w:tcPr>
            <w:tcW w:w="797" w:type="pct"/>
          </w:tcPr>
          <w:p w:rsidR="007F7CDF" w:rsidRPr="00C30AEF" w:rsidP="007F7CDF" w14:paraId="406A2F0A" w14:textId="690A2835">
            <w:pPr>
              <w:jc w:val="right"/>
              <w:rPr>
                <w:rFonts w:eastAsia="Calibri"/>
                <w:szCs w:val="26"/>
              </w:rPr>
            </w:pPr>
            <w:r w:rsidRPr="00C30AEF">
              <w:rPr>
                <w:color w:val="000000"/>
                <w:szCs w:val="26"/>
              </w:rPr>
              <w:t>7,301</w:t>
            </w:r>
          </w:p>
        </w:tc>
      </w:tr>
      <w:tr w14:paraId="32123B50" w14:textId="77777777" w:rsidTr="00476344">
        <w:tblPrEx>
          <w:tblW w:w="5314" w:type="pct"/>
          <w:tblInd w:w="-72" w:type="dxa"/>
          <w:tblLayout w:type="fixed"/>
          <w:tblLook w:val="01E0"/>
        </w:tblPrEx>
        <w:trPr>
          <w:cantSplit/>
        </w:trPr>
        <w:tc>
          <w:tcPr>
            <w:tcW w:w="577" w:type="pct"/>
          </w:tcPr>
          <w:p w:rsidR="005446B2" w:rsidRPr="00C30AEF" w:rsidP="005446B2" w14:paraId="2EDFABF9" w14:textId="00502DF4">
            <w:pPr>
              <w:rPr>
                <w:szCs w:val="26"/>
              </w:rPr>
            </w:pPr>
            <w:r w:rsidRPr="00C30AEF">
              <w:rPr>
                <w:szCs w:val="26"/>
              </w:rPr>
              <w:t>919</w:t>
            </w:r>
          </w:p>
        </w:tc>
        <w:tc>
          <w:tcPr>
            <w:tcW w:w="1132" w:type="pct"/>
          </w:tcPr>
          <w:p w:rsidR="005446B2" w:rsidRPr="00C30AEF" w:rsidP="005446B2" w14:paraId="55D54699" w14:textId="513092BC">
            <w:pPr>
              <w:rPr>
                <w:szCs w:val="26"/>
              </w:rPr>
            </w:pPr>
            <w:r w:rsidRPr="00C30AEF">
              <w:rPr>
                <w:szCs w:val="26"/>
              </w:rPr>
              <w:t>Market power analysis in new applications for market-based rates (18 CFR 35.37a)</w:t>
            </w:r>
          </w:p>
        </w:tc>
        <w:tc>
          <w:tcPr>
            <w:tcW w:w="666" w:type="pct"/>
          </w:tcPr>
          <w:p w:rsidR="005446B2" w:rsidRPr="00C30AEF" w:rsidP="005446B2" w14:paraId="72023EEF" w14:textId="44B99DA4">
            <w:pPr>
              <w:jc w:val="right"/>
              <w:rPr>
                <w:rFonts w:eastAsia="Calibri"/>
                <w:szCs w:val="26"/>
              </w:rPr>
            </w:pPr>
            <w:r w:rsidRPr="00C30AEF">
              <w:rPr>
                <w:szCs w:val="26"/>
              </w:rPr>
              <w:t>144</w:t>
            </w:r>
          </w:p>
        </w:tc>
        <w:tc>
          <w:tcPr>
            <w:tcW w:w="668" w:type="pct"/>
          </w:tcPr>
          <w:p w:rsidR="005446B2" w:rsidRPr="00C30AEF" w:rsidP="005446B2" w14:paraId="5B35517B" w14:textId="43E74B66">
            <w:pPr>
              <w:jc w:val="right"/>
              <w:rPr>
                <w:rFonts w:eastAsia="Calibri"/>
                <w:szCs w:val="26"/>
              </w:rPr>
            </w:pPr>
            <w:r w:rsidRPr="00C30AEF">
              <w:rPr>
                <w:szCs w:val="26"/>
              </w:rPr>
              <w:t>1</w:t>
            </w:r>
          </w:p>
        </w:tc>
        <w:tc>
          <w:tcPr>
            <w:tcW w:w="520" w:type="pct"/>
          </w:tcPr>
          <w:p w:rsidR="005446B2" w:rsidRPr="00C30AEF" w:rsidP="005446B2" w14:paraId="2783C2DD" w14:textId="39A3E584">
            <w:pPr>
              <w:jc w:val="right"/>
              <w:rPr>
                <w:rFonts w:eastAsia="Calibri"/>
                <w:szCs w:val="26"/>
              </w:rPr>
            </w:pPr>
            <w:r w:rsidRPr="00C30AEF">
              <w:rPr>
                <w:color w:val="000000"/>
                <w:szCs w:val="26"/>
              </w:rPr>
              <w:t>144</w:t>
            </w:r>
          </w:p>
        </w:tc>
        <w:tc>
          <w:tcPr>
            <w:tcW w:w="640" w:type="pct"/>
          </w:tcPr>
          <w:p w:rsidR="005446B2" w:rsidRPr="00C30AEF" w:rsidP="005446B2" w14:paraId="04D75056" w14:textId="189284B0">
            <w:pPr>
              <w:jc w:val="right"/>
              <w:rPr>
                <w:rFonts w:eastAsia="Calibri"/>
                <w:szCs w:val="26"/>
              </w:rPr>
            </w:pPr>
            <w:r w:rsidRPr="00C30AEF">
              <w:rPr>
                <w:color w:val="000000"/>
                <w:szCs w:val="26"/>
              </w:rPr>
              <w:t>135</w:t>
            </w:r>
          </w:p>
        </w:tc>
        <w:tc>
          <w:tcPr>
            <w:tcW w:w="797" w:type="pct"/>
          </w:tcPr>
          <w:p w:rsidR="005446B2" w:rsidRPr="00C30AEF" w:rsidP="005446B2" w14:paraId="5331A19F" w14:textId="1FA527D6">
            <w:pPr>
              <w:jc w:val="right"/>
              <w:rPr>
                <w:rFonts w:eastAsia="Calibri"/>
                <w:szCs w:val="26"/>
              </w:rPr>
            </w:pPr>
            <w:r w:rsidRPr="00C30AEF">
              <w:rPr>
                <w:color w:val="000000"/>
                <w:szCs w:val="26"/>
              </w:rPr>
              <w:t>19,440</w:t>
            </w:r>
          </w:p>
        </w:tc>
      </w:tr>
      <w:tr w14:paraId="3F468EA2" w14:textId="77777777" w:rsidTr="00476344">
        <w:tblPrEx>
          <w:tblW w:w="5314" w:type="pct"/>
          <w:tblInd w:w="-72" w:type="dxa"/>
          <w:tblLayout w:type="fixed"/>
          <w:tblLook w:val="01E0"/>
        </w:tblPrEx>
        <w:trPr>
          <w:cantSplit/>
        </w:trPr>
        <w:tc>
          <w:tcPr>
            <w:tcW w:w="577" w:type="pct"/>
          </w:tcPr>
          <w:p w:rsidR="007F7CDF" w:rsidRPr="00C30AEF" w:rsidP="007F7CDF" w14:paraId="7993E634" w14:textId="343E1812">
            <w:pPr>
              <w:rPr>
                <w:szCs w:val="26"/>
              </w:rPr>
            </w:pPr>
            <w:r w:rsidRPr="00C30AEF">
              <w:rPr>
                <w:szCs w:val="26"/>
              </w:rPr>
              <w:t>919</w:t>
            </w:r>
          </w:p>
        </w:tc>
        <w:tc>
          <w:tcPr>
            <w:tcW w:w="1132" w:type="pct"/>
          </w:tcPr>
          <w:p w:rsidR="007F7CDF" w:rsidRPr="00C30AEF" w:rsidP="007F7CDF" w14:paraId="39F360E3" w14:textId="2333644A">
            <w:pPr>
              <w:rPr>
                <w:szCs w:val="26"/>
              </w:rPr>
            </w:pPr>
            <w:r w:rsidRPr="00C30AEF">
              <w:rPr>
                <w:szCs w:val="26"/>
              </w:rPr>
              <w:t>Triennial market power analysis in category 2 seller updates (18 CFR 35.37a)</w:t>
            </w:r>
          </w:p>
        </w:tc>
        <w:tc>
          <w:tcPr>
            <w:tcW w:w="666" w:type="pct"/>
          </w:tcPr>
          <w:p w:rsidR="007F7CDF" w:rsidRPr="00C30AEF" w:rsidP="007F7CDF" w14:paraId="48D8B204" w14:textId="241F30B4">
            <w:pPr>
              <w:jc w:val="right"/>
              <w:rPr>
                <w:rFonts w:eastAsia="Calibri"/>
                <w:szCs w:val="26"/>
              </w:rPr>
            </w:pPr>
            <w:r w:rsidRPr="00C30AEF">
              <w:rPr>
                <w:szCs w:val="26"/>
              </w:rPr>
              <w:t>65</w:t>
            </w:r>
          </w:p>
        </w:tc>
        <w:tc>
          <w:tcPr>
            <w:tcW w:w="668" w:type="pct"/>
          </w:tcPr>
          <w:p w:rsidR="007F7CDF" w:rsidRPr="00C30AEF" w:rsidP="007F7CDF" w14:paraId="3C321D38" w14:textId="59445B07">
            <w:pPr>
              <w:jc w:val="right"/>
              <w:rPr>
                <w:rFonts w:eastAsia="Calibri"/>
                <w:szCs w:val="26"/>
              </w:rPr>
            </w:pPr>
            <w:r w:rsidRPr="00C30AEF">
              <w:rPr>
                <w:szCs w:val="26"/>
              </w:rPr>
              <w:t>1</w:t>
            </w:r>
          </w:p>
        </w:tc>
        <w:tc>
          <w:tcPr>
            <w:tcW w:w="520" w:type="pct"/>
          </w:tcPr>
          <w:p w:rsidR="007F7CDF" w:rsidRPr="00C30AEF" w:rsidP="007F7CDF" w14:paraId="6997B80C" w14:textId="6720ED6C">
            <w:pPr>
              <w:jc w:val="right"/>
              <w:rPr>
                <w:rFonts w:eastAsia="Calibri"/>
                <w:szCs w:val="26"/>
              </w:rPr>
            </w:pPr>
            <w:r w:rsidRPr="00C30AEF">
              <w:rPr>
                <w:color w:val="000000"/>
                <w:szCs w:val="26"/>
              </w:rPr>
              <w:t>65</w:t>
            </w:r>
          </w:p>
        </w:tc>
        <w:tc>
          <w:tcPr>
            <w:tcW w:w="640" w:type="pct"/>
          </w:tcPr>
          <w:p w:rsidR="007F7CDF" w:rsidRPr="00C30AEF" w:rsidP="007F7CDF" w14:paraId="7C7C81DE" w14:textId="28FD1338">
            <w:pPr>
              <w:jc w:val="right"/>
              <w:rPr>
                <w:rFonts w:eastAsia="Calibri"/>
                <w:szCs w:val="26"/>
              </w:rPr>
            </w:pPr>
            <w:r w:rsidRPr="00C30AEF">
              <w:rPr>
                <w:color w:val="000000"/>
                <w:szCs w:val="26"/>
              </w:rPr>
              <w:t>133</w:t>
            </w:r>
            <w:r w:rsidRPr="00C30AEF" w:rsidR="00DC3B57">
              <w:rPr>
                <w:color w:val="000000"/>
                <w:szCs w:val="26"/>
              </w:rPr>
              <w:t>.23</w:t>
            </w:r>
          </w:p>
        </w:tc>
        <w:tc>
          <w:tcPr>
            <w:tcW w:w="797" w:type="pct"/>
          </w:tcPr>
          <w:p w:rsidR="007F7CDF" w:rsidRPr="00C30AEF" w:rsidP="007F7CDF" w14:paraId="4F8F15DD" w14:textId="66D6427B">
            <w:pPr>
              <w:jc w:val="right"/>
              <w:rPr>
                <w:rFonts w:eastAsia="Calibri"/>
                <w:szCs w:val="26"/>
              </w:rPr>
            </w:pPr>
            <w:r w:rsidRPr="00C30AEF">
              <w:rPr>
                <w:color w:val="000000"/>
                <w:szCs w:val="26"/>
              </w:rPr>
              <w:t>8,660</w:t>
            </w:r>
          </w:p>
        </w:tc>
      </w:tr>
      <w:tr w14:paraId="35A19D37" w14:textId="77777777" w:rsidTr="00476344">
        <w:tblPrEx>
          <w:tblW w:w="5314" w:type="pct"/>
          <w:tblInd w:w="-72" w:type="dxa"/>
          <w:tblLayout w:type="fixed"/>
          <w:tblLook w:val="01E0"/>
        </w:tblPrEx>
        <w:trPr>
          <w:cantSplit/>
          <w:trHeight w:val="485"/>
        </w:trPr>
        <w:tc>
          <w:tcPr>
            <w:tcW w:w="577" w:type="pct"/>
            <w:tcBorders>
              <w:bottom w:val="single" w:sz="4" w:space="0" w:color="auto"/>
            </w:tcBorders>
          </w:tcPr>
          <w:p w:rsidR="007F7CDF" w:rsidRPr="00C30AEF" w:rsidP="007F7CDF" w14:paraId="3C080344" w14:textId="77777777">
            <w:pPr>
              <w:rPr>
                <w:rFonts w:eastAsia="Calibri"/>
                <w:b/>
                <w:bCs/>
                <w:szCs w:val="26"/>
              </w:rPr>
            </w:pPr>
            <w:r w:rsidRPr="00C30AEF">
              <w:rPr>
                <w:rFonts w:eastAsia="Calibri"/>
                <w:b/>
                <w:bCs/>
                <w:szCs w:val="26"/>
              </w:rPr>
              <w:t>TOTAL</w:t>
            </w:r>
          </w:p>
        </w:tc>
        <w:tc>
          <w:tcPr>
            <w:tcW w:w="1132" w:type="pct"/>
            <w:tcBorders>
              <w:bottom w:val="single" w:sz="4" w:space="0" w:color="auto"/>
            </w:tcBorders>
            <w:shd w:val="clear" w:color="auto" w:fill="D9D9D9" w:themeFill="background1" w:themeFillShade="D9"/>
          </w:tcPr>
          <w:p w:rsidR="007F7CDF" w:rsidRPr="00C30AEF" w:rsidP="007F7CDF" w14:paraId="7C528424" w14:textId="77777777">
            <w:pPr>
              <w:jc w:val="right"/>
              <w:rPr>
                <w:rFonts w:eastAsia="Calibri"/>
                <w:szCs w:val="26"/>
              </w:rPr>
            </w:pPr>
          </w:p>
        </w:tc>
        <w:tc>
          <w:tcPr>
            <w:tcW w:w="1334" w:type="pct"/>
            <w:gridSpan w:val="2"/>
            <w:tcBorders>
              <w:bottom w:val="single" w:sz="4" w:space="0" w:color="auto"/>
            </w:tcBorders>
            <w:shd w:val="clear" w:color="auto" w:fill="D9D9D9" w:themeFill="background1" w:themeFillShade="D9"/>
          </w:tcPr>
          <w:p w:rsidR="007F7CDF" w:rsidRPr="00C30AEF" w:rsidP="007F7CDF" w14:paraId="1A721854" w14:textId="35B1AD4F">
            <w:pPr>
              <w:jc w:val="right"/>
              <w:rPr>
                <w:rFonts w:eastAsia="Calibri"/>
                <w:szCs w:val="26"/>
              </w:rPr>
            </w:pPr>
          </w:p>
        </w:tc>
        <w:tc>
          <w:tcPr>
            <w:tcW w:w="520" w:type="pct"/>
            <w:tcBorders>
              <w:bottom w:val="single" w:sz="4" w:space="0" w:color="auto"/>
            </w:tcBorders>
          </w:tcPr>
          <w:p w:rsidR="007F7CDF" w:rsidRPr="00C30AEF" w:rsidP="007F7CDF" w14:paraId="1E14A176" w14:textId="5F12321C">
            <w:pPr>
              <w:jc w:val="right"/>
              <w:rPr>
                <w:rFonts w:eastAsia="Calibri"/>
                <w:b/>
                <w:bCs/>
                <w:szCs w:val="26"/>
              </w:rPr>
            </w:pPr>
            <w:r w:rsidRPr="00C30AEF">
              <w:rPr>
                <w:rFonts w:eastAsia="Calibri"/>
                <w:b/>
                <w:bCs/>
                <w:szCs w:val="26"/>
              </w:rPr>
              <w:t>5,425</w:t>
            </w:r>
            <w:r w:rsidRPr="00C30AEF">
              <w:rPr>
                <w:rFonts w:eastAsia="Calibri"/>
                <w:b/>
                <w:bCs/>
                <w:szCs w:val="26"/>
              </w:rPr>
              <w:t xml:space="preserve"> </w:t>
            </w:r>
          </w:p>
        </w:tc>
        <w:tc>
          <w:tcPr>
            <w:tcW w:w="640" w:type="pct"/>
            <w:tcBorders>
              <w:bottom w:val="single" w:sz="4" w:space="0" w:color="auto"/>
            </w:tcBorders>
            <w:shd w:val="clear" w:color="auto" w:fill="D9D9D9" w:themeFill="background1" w:themeFillShade="D9"/>
          </w:tcPr>
          <w:p w:rsidR="007F7CDF" w:rsidRPr="00C30AEF" w:rsidP="007F7CDF" w14:paraId="1882F261" w14:textId="77777777">
            <w:pPr>
              <w:jc w:val="right"/>
              <w:rPr>
                <w:rFonts w:eastAsia="Calibri"/>
                <w:szCs w:val="26"/>
              </w:rPr>
            </w:pPr>
          </w:p>
        </w:tc>
        <w:tc>
          <w:tcPr>
            <w:tcW w:w="797" w:type="pct"/>
            <w:tcBorders>
              <w:bottom w:val="single" w:sz="4" w:space="0" w:color="auto"/>
            </w:tcBorders>
          </w:tcPr>
          <w:p w:rsidR="007F7CDF" w:rsidRPr="00C30AEF" w:rsidP="007F7CDF" w14:paraId="77FEF131" w14:textId="71DF97AF">
            <w:pPr>
              <w:jc w:val="right"/>
              <w:rPr>
                <w:rFonts w:eastAsia="Calibri"/>
                <w:b/>
                <w:bCs/>
                <w:szCs w:val="26"/>
              </w:rPr>
            </w:pPr>
            <w:r w:rsidRPr="00C30AEF">
              <w:rPr>
                <w:rFonts w:eastAsia="Calibri"/>
                <w:b/>
                <w:bCs/>
                <w:szCs w:val="26"/>
              </w:rPr>
              <w:t>544,672 hrs.</w:t>
            </w:r>
            <w:r w:rsidRPr="00C30AEF">
              <w:rPr>
                <w:rFonts w:eastAsia="Calibri"/>
                <w:b/>
                <w:bCs/>
                <w:szCs w:val="26"/>
              </w:rPr>
              <w:t xml:space="preserve"> </w:t>
            </w:r>
          </w:p>
        </w:tc>
      </w:tr>
    </w:tbl>
    <w:p w:rsidR="004A0620" w:rsidRPr="00C30AEF" w14:paraId="47A2EBAA" w14:textId="07A7E849">
      <w:pPr>
        <w:rPr>
          <w:szCs w:val="26"/>
        </w:rPr>
      </w:pPr>
    </w:p>
    <w:p w:rsidR="004A0620" w:rsidRPr="00C30AEF" w:rsidP="00476344" w14:paraId="1198FDBD" w14:textId="461DEB79">
      <w:pPr>
        <w:keepNext/>
        <w:rPr>
          <w:b/>
          <w:bCs/>
          <w:szCs w:val="26"/>
        </w:rPr>
      </w:pPr>
      <w:r w:rsidRPr="00C30AEF">
        <w:rPr>
          <w:rFonts w:eastAsia="Calibri"/>
          <w:b/>
          <w:bCs/>
          <w:szCs w:val="26"/>
        </w:rPr>
        <w:t>Electric Tariff Filings – Long Term Transmission</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41B690BC" w14:textId="77777777" w:rsidTr="00476344">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4A0620" w:rsidRPr="00C30AEF" w14:paraId="5037AF39" w14:textId="77777777">
            <w:pPr>
              <w:jc w:val="center"/>
              <w:rPr>
                <w:rFonts w:eastAsia="Calibri"/>
                <w:b/>
                <w:bCs/>
                <w:szCs w:val="26"/>
              </w:rPr>
            </w:pPr>
            <w:r w:rsidRPr="00C30AEF">
              <w:rPr>
                <w:rFonts w:eastAsia="Calibri"/>
                <w:b/>
                <w:bCs/>
                <w:szCs w:val="26"/>
              </w:rPr>
              <w:t>Previous FERC Form</w:t>
            </w:r>
          </w:p>
        </w:tc>
        <w:tc>
          <w:tcPr>
            <w:tcW w:w="1132" w:type="pct"/>
            <w:shd w:val="clear" w:color="auto" w:fill="D9D9D9" w:themeFill="background1" w:themeFillShade="D9"/>
          </w:tcPr>
          <w:p w:rsidR="004A0620" w:rsidRPr="00C30AEF" w14:paraId="034A0F14" w14:textId="77777777">
            <w:pPr>
              <w:jc w:val="center"/>
              <w:rPr>
                <w:rFonts w:eastAsia="Calibri"/>
                <w:b/>
                <w:bCs/>
                <w:szCs w:val="26"/>
              </w:rPr>
            </w:pPr>
            <w:r w:rsidRPr="00C30AEF">
              <w:rPr>
                <w:rFonts w:eastAsia="Calibri"/>
                <w:b/>
                <w:bCs/>
                <w:szCs w:val="26"/>
              </w:rPr>
              <w:t>Title</w:t>
            </w:r>
          </w:p>
        </w:tc>
        <w:tc>
          <w:tcPr>
            <w:tcW w:w="666" w:type="pct"/>
            <w:shd w:val="clear" w:color="auto" w:fill="D9D9D9" w:themeFill="background1" w:themeFillShade="D9"/>
          </w:tcPr>
          <w:p w:rsidR="004A0620" w:rsidRPr="00C30AEF" w14:paraId="4B311EEC" w14:textId="77777777">
            <w:pPr>
              <w:jc w:val="center"/>
              <w:rPr>
                <w:rFonts w:eastAsia="Calibri"/>
                <w:b/>
                <w:bCs/>
                <w:szCs w:val="26"/>
              </w:rPr>
            </w:pPr>
            <w:r w:rsidRPr="00C30AEF">
              <w:rPr>
                <w:rFonts w:eastAsia="Calibri"/>
                <w:b/>
                <w:bCs/>
                <w:szCs w:val="26"/>
              </w:rPr>
              <w:t>Number of Respondents</w:t>
            </w:r>
            <w:r w:rsidRPr="00C30AEF">
              <w:rPr>
                <w:szCs w:val="26"/>
              </w:rPr>
              <w:br/>
            </w:r>
            <w:r w:rsidRPr="00C30AEF">
              <w:rPr>
                <w:rFonts w:eastAsia="Calibri"/>
                <w:b/>
                <w:bCs/>
                <w:szCs w:val="26"/>
              </w:rPr>
              <w:t>(1)</w:t>
            </w:r>
          </w:p>
        </w:tc>
        <w:tc>
          <w:tcPr>
            <w:tcW w:w="668" w:type="pct"/>
            <w:shd w:val="clear" w:color="auto" w:fill="D9D9D9" w:themeFill="background1" w:themeFillShade="D9"/>
          </w:tcPr>
          <w:p w:rsidR="004A0620" w:rsidRPr="00C30AEF" w14:paraId="367C2778" w14:textId="77777777">
            <w:pPr>
              <w:jc w:val="center"/>
              <w:rPr>
                <w:rFonts w:eastAsia="Calibri"/>
                <w:b/>
                <w:bCs/>
                <w:szCs w:val="26"/>
              </w:rPr>
            </w:pPr>
            <w:r w:rsidRPr="00C30AEF">
              <w:rPr>
                <w:rFonts w:eastAsia="Calibri"/>
                <w:b/>
                <w:bCs/>
                <w:szCs w:val="26"/>
              </w:rPr>
              <w:t>Annual Number of Responses per Respondent</w:t>
            </w:r>
          </w:p>
          <w:p w:rsidR="004A0620" w:rsidRPr="00C30AEF" w14:paraId="5402E801" w14:textId="77777777">
            <w:pPr>
              <w:jc w:val="center"/>
              <w:rPr>
                <w:rFonts w:eastAsia="Calibri"/>
                <w:b/>
                <w:bCs/>
                <w:szCs w:val="26"/>
              </w:rPr>
            </w:pPr>
            <w:r w:rsidRPr="00C30AEF">
              <w:rPr>
                <w:rFonts w:eastAsia="Calibri"/>
                <w:b/>
                <w:bCs/>
                <w:szCs w:val="26"/>
              </w:rPr>
              <w:t>(2)</w:t>
            </w:r>
          </w:p>
        </w:tc>
        <w:tc>
          <w:tcPr>
            <w:tcW w:w="520" w:type="pct"/>
            <w:shd w:val="clear" w:color="auto" w:fill="D9D9D9" w:themeFill="background1" w:themeFillShade="D9"/>
          </w:tcPr>
          <w:p w:rsidR="004A0620" w:rsidRPr="00C30AEF" w14:paraId="0E8B5E29" w14:textId="77777777">
            <w:pPr>
              <w:jc w:val="center"/>
              <w:rPr>
                <w:rFonts w:eastAsia="Calibri"/>
                <w:b/>
                <w:bCs/>
                <w:szCs w:val="26"/>
              </w:rPr>
            </w:pPr>
            <w:r w:rsidRPr="00C30AEF">
              <w:rPr>
                <w:rFonts w:eastAsia="Calibri"/>
                <w:b/>
                <w:bCs/>
                <w:szCs w:val="26"/>
              </w:rPr>
              <w:t>Total Number of Responses (1)*(2)=(3)</w:t>
            </w:r>
          </w:p>
        </w:tc>
        <w:tc>
          <w:tcPr>
            <w:tcW w:w="640" w:type="pct"/>
            <w:shd w:val="clear" w:color="auto" w:fill="D9D9D9" w:themeFill="background1" w:themeFillShade="D9"/>
          </w:tcPr>
          <w:p w:rsidR="004A0620" w:rsidRPr="00C30AEF" w14:paraId="13A7FEAC" w14:textId="634BBF72">
            <w:pPr>
              <w:jc w:val="center"/>
              <w:rPr>
                <w:rFonts w:eastAsia="Calibri"/>
                <w:b/>
                <w:bCs/>
                <w:szCs w:val="26"/>
              </w:rPr>
            </w:pPr>
            <w:r w:rsidRPr="00C30AEF">
              <w:rPr>
                <w:rFonts w:eastAsia="Calibri"/>
                <w:b/>
                <w:bCs/>
                <w:szCs w:val="26"/>
              </w:rPr>
              <w:t>Average Burden per response</w:t>
            </w:r>
          </w:p>
          <w:p w:rsidR="004A0620" w:rsidRPr="00C30AEF" w14:paraId="2EE1D3AB" w14:textId="77777777">
            <w:pPr>
              <w:jc w:val="center"/>
              <w:rPr>
                <w:rFonts w:eastAsia="Calibri"/>
                <w:b/>
                <w:bCs/>
                <w:szCs w:val="26"/>
              </w:rPr>
            </w:pPr>
            <w:r w:rsidRPr="00C30AEF">
              <w:rPr>
                <w:rFonts w:eastAsia="Calibri"/>
                <w:b/>
                <w:bCs/>
                <w:szCs w:val="26"/>
              </w:rPr>
              <w:t>(4)</w:t>
            </w:r>
          </w:p>
        </w:tc>
        <w:tc>
          <w:tcPr>
            <w:tcW w:w="797" w:type="pct"/>
            <w:shd w:val="clear" w:color="auto" w:fill="D9D9D9" w:themeFill="background1" w:themeFillShade="D9"/>
          </w:tcPr>
          <w:p w:rsidR="004A0620" w:rsidRPr="00C30AEF" w14:paraId="28821007" w14:textId="77777777">
            <w:pPr>
              <w:jc w:val="center"/>
              <w:rPr>
                <w:rFonts w:eastAsia="Calibri"/>
                <w:b/>
                <w:bCs/>
                <w:szCs w:val="26"/>
              </w:rPr>
            </w:pPr>
            <w:r w:rsidRPr="00C30AEF">
              <w:rPr>
                <w:rFonts w:eastAsia="Calibri"/>
                <w:b/>
                <w:bCs/>
                <w:szCs w:val="26"/>
              </w:rPr>
              <w:t xml:space="preserve">Total Annual Burden Hours </w:t>
            </w:r>
          </w:p>
          <w:p w:rsidR="004A0620" w:rsidRPr="00C30AEF" w14:paraId="20ADAC45" w14:textId="77777777">
            <w:pPr>
              <w:jc w:val="center"/>
              <w:rPr>
                <w:rFonts w:eastAsia="Calibri"/>
                <w:b/>
                <w:bCs/>
                <w:szCs w:val="26"/>
              </w:rPr>
            </w:pPr>
            <w:r w:rsidRPr="00C30AEF">
              <w:rPr>
                <w:rFonts w:eastAsia="Calibri"/>
                <w:b/>
                <w:bCs/>
                <w:szCs w:val="26"/>
              </w:rPr>
              <w:t>(3)*(4)=(5)</w:t>
            </w:r>
          </w:p>
        </w:tc>
      </w:tr>
      <w:tr w14:paraId="65FF2A40" w14:textId="77777777" w:rsidTr="00476344">
        <w:tblPrEx>
          <w:tblW w:w="5314" w:type="pct"/>
          <w:tblInd w:w="-72" w:type="dxa"/>
          <w:tblLayout w:type="fixed"/>
          <w:tblLook w:val="01E0"/>
        </w:tblPrEx>
        <w:trPr>
          <w:cantSplit/>
        </w:trPr>
        <w:tc>
          <w:tcPr>
            <w:tcW w:w="577" w:type="pct"/>
          </w:tcPr>
          <w:p w:rsidR="004A0620" w:rsidRPr="00C30AEF" w14:paraId="4267790A" w14:textId="77777777">
            <w:pPr>
              <w:rPr>
                <w:szCs w:val="26"/>
              </w:rPr>
            </w:pPr>
            <w:r w:rsidRPr="00C30AEF">
              <w:rPr>
                <w:szCs w:val="26"/>
              </w:rPr>
              <w:t>516</w:t>
            </w:r>
          </w:p>
        </w:tc>
        <w:tc>
          <w:tcPr>
            <w:tcW w:w="1132" w:type="pct"/>
          </w:tcPr>
          <w:p w:rsidR="004A0620" w:rsidRPr="00C30AEF" w14:paraId="169B4DA7" w14:textId="77777777">
            <w:pPr>
              <w:rPr>
                <w:szCs w:val="26"/>
              </w:rPr>
            </w:pPr>
            <w:r w:rsidRPr="00C30AEF">
              <w:rPr>
                <w:szCs w:val="26"/>
              </w:rPr>
              <w:t xml:space="preserve">Long-Term Firm Transmission Rights in Organized Electricity Markets </w:t>
            </w:r>
          </w:p>
        </w:tc>
        <w:tc>
          <w:tcPr>
            <w:tcW w:w="666" w:type="pct"/>
          </w:tcPr>
          <w:p w:rsidR="004A0620" w:rsidRPr="00C30AEF" w14:paraId="5EFEAB0D" w14:textId="77777777">
            <w:pPr>
              <w:jc w:val="right"/>
              <w:rPr>
                <w:rFonts w:eastAsia="Calibri"/>
                <w:szCs w:val="26"/>
              </w:rPr>
            </w:pPr>
            <w:r w:rsidRPr="00C30AEF">
              <w:rPr>
                <w:szCs w:val="26"/>
              </w:rPr>
              <w:t>1</w:t>
            </w:r>
          </w:p>
        </w:tc>
        <w:tc>
          <w:tcPr>
            <w:tcW w:w="668" w:type="pct"/>
          </w:tcPr>
          <w:p w:rsidR="004A0620" w:rsidRPr="00C30AEF" w14:paraId="6AF4F214" w14:textId="77777777">
            <w:pPr>
              <w:jc w:val="right"/>
              <w:rPr>
                <w:rFonts w:eastAsia="Calibri"/>
                <w:szCs w:val="26"/>
              </w:rPr>
            </w:pPr>
            <w:r w:rsidRPr="00C30AEF">
              <w:rPr>
                <w:szCs w:val="26"/>
              </w:rPr>
              <w:t>1,180</w:t>
            </w:r>
          </w:p>
        </w:tc>
        <w:tc>
          <w:tcPr>
            <w:tcW w:w="520" w:type="pct"/>
          </w:tcPr>
          <w:p w:rsidR="004A0620" w:rsidRPr="00C30AEF" w14:paraId="51F7D9BB" w14:textId="77777777">
            <w:pPr>
              <w:jc w:val="right"/>
              <w:rPr>
                <w:rFonts w:eastAsia="Calibri"/>
                <w:szCs w:val="26"/>
              </w:rPr>
            </w:pPr>
            <w:r w:rsidRPr="00C30AEF">
              <w:rPr>
                <w:color w:val="000000"/>
                <w:szCs w:val="26"/>
              </w:rPr>
              <w:t>1</w:t>
            </w:r>
          </w:p>
        </w:tc>
        <w:tc>
          <w:tcPr>
            <w:tcW w:w="640" w:type="pct"/>
          </w:tcPr>
          <w:p w:rsidR="004A0620" w:rsidRPr="00C30AEF" w14:paraId="2C68CD80" w14:textId="77777777">
            <w:pPr>
              <w:jc w:val="right"/>
              <w:rPr>
                <w:rFonts w:eastAsia="Calibri"/>
                <w:szCs w:val="26"/>
              </w:rPr>
            </w:pPr>
            <w:r w:rsidRPr="00C30AEF">
              <w:rPr>
                <w:color w:val="000000"/>
                <w:szCs w:val="26"/>
              </w:rPr>
              <w:t>1,180</w:t>
            </w:r>
          </w:p>
        </w:tc>
        <w:tc>
          <w:tcPr>
            <w:tcW w:w="797" w:type="pct"/>
          </w:tcPr>
          <w:p w:rsidR="004A0620" w:rsidRPr="00C30AEF" w14:paraId="4BA076EC" w14:textId="4CEBA864">
            <w:pPr>
              <w:jc w:val="right"/>
              <w:rPr>
                <w:rFonts w:eastAsia="Calibri"/>
                <w:szCs w:val="26"/>
              </w:rPr>
            </w:pPr>
            <w:r w:rsidRPr="00C30AEF">
              <w:rPr>
                <w:color w:val="000000"/>
                <w:szCs w:val="26"/>
              </w:rPr>
              <w:t>1,180</w:t>
            </w:r>
          </w:p>
        </w:tc>
      </w:tr>
      <w:tr w14:paraId="1D10902E" w14:textId="77777777" w:rsidTr="00476344">
        <w:tblPrEx>
          <w:tblW w:w="5314" w:type="pct"/>
          <w:tblInd w:w="-72" w:type="dxa"/>
          <w:tblLayout w:type="fixed"/>
          <w:tblLook w:val="01E0"/>
        </w:tblPrEx>
        <w:trPr>
          <w:cantSplit/>
        </w:trPr>
        <w:tc>
          <w:tcPr>
            <w:tcW w:w="577" w:type="pct"/>
          </w:tcPr>
          <w:p w:rsidR="004A0620" w:rsidRPr="00C30AEF" w:rsidP="004A0620" w14:paraId="3CAC524E" w14:textId="1E605A88">
            <w:pPr>
              <w:rPr>
                <w:szCs w:val="26"/>
              </w:rPr>
            </w:pPr>
            <w:r w:rsidRPr="00C30AEF">
              <w:rPr>
                <w:rFonts w:eastAsia="Calibri"/>
                <w:b/>
                <w:bCs/>
                <w:szCs w:val="26"/>
              </w:rPr>
              <w:t>TOTAL</w:t>
            </w:r>
          </w:p>
        </w:tc>
        <w:tc>
          <w:tcPr>
            <w:tcW w:w="1132" w:type="pct"/>
            <w:shd w:val="clear" w:color="auto" w:fill="D9D9D9" w:themeFill="background1" w:themeFillShade="D9"/>
          </w:tcPr>
          <w:p w:rsidR="004A0620" w:rsidRPr="00C30AEF" w:rsidP="004A0620" w14:paraId="39DE53F3" w14:textId="77777777">
            <w:pPr>
              <w:rPr>
                <w:szCs w:val="26"/>
              </w:rPr>
            </w:pPr>
          </w:p>
        </w:tc>
        <w:tc>
          <w:tcPr>
            <w:tcW w:w="666" w:type="pct"/>
            <w:shd w:val="clear" w:color="auto" w:fill="D9D9D9" w:themeFill="background1" w:themeFillShade="D9"/>
          </w:tcPr>
          <w:p w:rsidR="004A0620" w:rsidRPr="00C30AEF" w:rsidP="004A0620" w14:paraId="21477469" w14:textId="77777777">
            <w:pPr>
              <w:jc w:val="right"/>
              <w:rPr>
                <w:szCs w:val="26"/>
              </w:rPr>
            </w:pPr>
          </w:p>
        </w:tc>
        <w:tc>
          <w:tcPr>
            <w:tcW w:w="668" w:type="pct"/>
            <w:shd w:val="clear" w:color="auto" w:fill="D9D9D9" w:themeFill="background1" w:themeFillShade="D9"/>
          </w:tcPr>
          <w:p w:rsidR="004A0620" w:rsidRPr="00C30AEF" w:rsidP="004A0620" w14:paraId="4D499F89" w14:textId="7B81A69B">
            <w:pPr>
              <w:jc w:val="right"/>
              <w:rPr>
                <w:szCs w:val="26"/>
              </w:rPr>
            </w:pPr>
          </w:p>
        </w:tc>
        <w:tc>
          <w:tcPr>
            <w:tcW w:w="520" w:type="pct"/>
          </w:tcPr>
          <w:p w:rsidR="004A0620" w:rsidRPr="00C30AEF" w:rsidP="004A0620" w14:paraId="1C7A17E0" w14:textId="4B8F4B02">
            <w:pPr>
              <w:jc w:val="right"/>
              <w:rPr>
                <w:b/>
                <w:bCs/>
                <w:color w:val="000000"/>
                <w:szCs w:val="26"/>
              </w:rPr>
            </w:pPr>
            <w:r w:rsidRPr="00C30AEF">
              <w:rPr>
                <w:b/>
                <w:bCs/>
                <w:color w:val="000000"/>
                <w:szCs w:val="26"/>
              </w:rPr>
              <w:t>1</w:t>
            </w:r>
          </w:p>
        </w:tc>
        <w:tc>
          <w:tcPr>
            <w:tcW w:w="640" w:type="pct"/>
            <w:shd w:val="clear" w:color="auto" w:fill="D9D9D9" w:themeFill="background1" w:themeFillShade="D9"/>
          </w:tcPr>
          <w:p w:rsidR="004A0620" w:rsidRPr="00C30AEF" w:rsidP="004A0620" w14:paraId="12F29C55" w14:textId="026AA1C4">
            <w:pPr>
              <w:jc w:val="right"/>
              <w:rPr>
                <w:b/>
                <w:bCs/>
                <w:color w:val="000000"/>
                <w:szCs w:val="26"/>
              </w:rPr>
            </w:pPr>
          </w:p>
        </w:tc>
        <w:tc>
          <w:tcPr>
            <w:tcW w:w="797" w:type="pct"/>
          </w:tcPr>
          <w:p w:rsidR="004A0620" w:rsidRPr="00C30AEF" w:rsidP="004A0620" w14:paraId="006425F3" w14:textId="0AEA97C4">
            <w:pPr>
              <w:jc w:val="right"/>
              <w:rPr>
                <w:b/>
                <w:bCs/>
                <w:color w:val="000000"/>
                <w:szCs w:val="26"/>
              </w:rPr>
            </w:pPr>
            <w:r w:rsidRPr="00C30AEF">
              <w:rPr>
                <w:b/>
                <w:bCs/>
                <w:color w:val="000000"/>
                <w:szCs w:val="26"/>
              </w:rPr>
              <w:t>1,180</w:t>
            </w:r>
          </w:p>
        </w:tc>
      </w:tr>
    </w:tbl>
    <w:p w:rsidR="00AC4659" w:rsidRPr="00C30AEF" w14:paraId="67ABCB74" w14:textId="16F171AE">
      <w:pPr>
        <w:rPr>
          <w:b/>
          <w:bCs/>
          <w:szCs w:val="26"/>
        </w:rPr>
      </w:pPr>
    </w:p>
    <w:p w:rsidR="00D42A00" w:rsidRPr="00C30AEF" w:rsidP="00696BBF" w14:paraId="59966566" w14:textId="500D74A8">
      <w:pPr>
        <w:spacing w:line="480" w:lineRule="auto"/>
        <w:rPr>
          <w:b/>
          <w:bCs/>
          <w:szCs w:val="26"/>
        </w:rPr>
      </w:pPr>
      <w:r w:rsidRPr="00C30AEF">
        <w:rPr>
          <w:b/>
          <w:bCs/>
          <w:szCs w:val="26"/>
        </w:rPr>
        <w:t>Compliance Filings category</w:t>
      </w:r>
      <w:r w:rsidRPr="00C30AEF" w:rsidR="00B12DA7">
        <w:rPr>
          <w:b/>
          <w:bCs/>
          <w:szCs w:val="26"/>
        </w:rPr>
        <w:t xml:space="preserve"> –</w:t>
      </w:r>
    </w:p>
    <w:p w:rsidR="0082615E" w:rsidRPr="00C30AEF" w:rsidP="0082615E" w14:paraId="1E988FF2" w14:textId="05AA8751">
      <w:pPr>
        <w:spacing w:line="480" w:lineRule="auto"/>
        <w:rPr>
          <w:szCs w:val="26"/>
        </w:rPr>
      </w:pPr>
      <w:r w:rsidRPr="00C30AEF">
        <w:rPr>
          <w:szCs w:val="26"/>
        </w:rPr>
        <w:t>FERC’s electric tariff compliance filings are a core regulatory mechanism through which jurisdictional utilities, RTOs/ISOs, and other market participants demonstrate adherence to Commission</w:t>
      </w:r>
      <w:r w:rsidRPr="00C30AEF">
        <w:rPr>
          <w:szCs w:val="26"/>
        </w:rPr>
        <w:noBreakHyphen/>
        <w:t xml:space="preserve">approved requirements under the </w:t>
      </w:r>
      <w:r w:rsidRPr="00C30AEF" w:rsidR="00B12DA7">
        <w:rPr>
          <w:szCs w:val="26"/>
        </w:rPr>
        <w:t>FPA</w:t>
      </w:r>
      <w:r w:rsidRPr="00C30AEF">
        <w:rPr>
          <w:szCs w:val="26"/>
        </w:rPr>
        <w:t xml:space="preserve"> Act and Title 18 of the </w:t>
      </w:r>
      <w:r w:rsidRPr="00C30AEF" w:rsidR="00B12DA7">
        <w:rPr>
          <w:szCs w:val="26"/>
        </w:rPr>
        <w:t>CFR</w:t>
      </w:r>
      <w:r w:rsidRPr="00C30AEF">
        <w:rPr>
          <w:szCs w:val="26"/>
        </w:rPr>
        <w:t>. These filings ensure that the terms, rates, and conditions of wholesale electric service remain just, reasonable, and not unduly discriminatory, and that changes mandated by Commission orders or rulemakings are accurately implemented.</w:t>
      </w:r>
      <w:r w:rsidRPr="00C30AEF" w:rsidR="00965023">
        <w:rPr>
          <w:szCs w:val="26"/>
        </w:rPr>
        <w:t xml:space="preserve"> </w:t>
      </w:r>
    </w:p>
    <w:p w:rsidR="00D64BEA" w:rsidRPr="00C30AEF" w:rsidP="0082615E" w14:paraId="10FF9C1F" w14:textId="2161B559">
      <w:pPr>
        <w:spacing w:line="480" w:lineRule="auto"/>
        <w:rPr>
          <w:szCs w:val="26"/>
        </w:rPr>
      </w:pPr>
      <w:r w:rsidRPr="00C30AEF">
        <w:rPr>
          <w:szCs w:val="26"/>
        </w:rPr>
        <w:t xml:space="preserve">Relevant </w:t>
      </w:r>
      <w:r w:rsidRPr="00C30AEF" w:rsidR="00AA560D">
        <w:rPr>
          <w:szCs w:val="26"/>
        </w:rPr>
        <w:t>j</w:t>
      </w:r>
      <w:r w:rsidRPr="00C30AEF">
        <w:rPr>
          <w:szCs w:val="26"/>
        </w:rPr>
        <w:t>urisdictional public utilities and electric transmission providers must submit compliance filings when the Commission issues an order or rule that directs specific tariff changes or requires utilities to update previously filed tariff records. These filings are triggered by the utility’s activities and the timing of FERC directives rather than by a predetermined schedule, and they must be submitted within the deadlines established in the relevant order or regulation.</w:t>
      </w:r>
      <w:r w:rsidRPr="00C30AEF" w:rsidR="002526C5">
        <w:rPr>
          <w:szCs w:val="26"/>
        </w:rPr>
        <w:t xml:space="preserve"> </w:t>
      </w:r>
      <w:r w:rsidRPr="00C30AEF" w:rsidR="00BF1F4A">
        <w:rPr>
          <w:szCs w:val="26"/>
        </w:rPr>
        <w:t xml:space="preserve">The </w:t>
      </w:r>
      <w:r w:rsidRPr="00C30AEF">
        <w:rPr>
          <w:szCs w:val="26"/>
        </w:rPr>
        <w:t xml:space="preserve">burden for any compliance filing </w:t>
      </w:r>
      <w:r w:rsidRPr="00C30AEF" w:rsidR="00AA560D">
        <w:rPr>
          <w:szCs w:val="26"/>
        </w:rPr>
        <w:t xml:space="preserve">depends on the </w:t>
      </w:r>
      <w:r w:rsidRPr="00C30AEF" w:rsidR="00AA560D">
        <w:rPr>
          <w:szCs w:val="26"/>
        </w:rPr>
        <w:t xml:space="preserve">individual </w:t>
      </w:r>
      <w:r w:rsidRPr="00C30AEF" w:rsidR="00345400">
        <w:rPr>
          <w:szCs w:val="26"/>
        </w:rPr>
        <w:t xml:space="preserve">entity’s circumstances </w:t>
      </w:r>
      <w:r w:rsidRPr="00C30AEF" w:rsidR="003C5D16">
        <w:rPr>
          <w:szCs w:val="26"/>
        </w:rPr>
        <w:t xml:space="preserve">and the complexity of their </w:t>
      </w:r>
      <w:r w:rsidRPr="00C30AEF" w:rsidR="004F2402">
        <w:rPr>
          <w:szCs w:val="26"/>
        </w:rPr>
        <w:t xml:space="preserve">filing </w:t>
      </w:r>
      <w:r w:rsidRPr="00C30AEF" w:rsidR="009C48AC">
        <w:rPr>
          <w:szCs w:val="26"/>
        </w:rPr>
        <w:t xml:space="preserve">related to the </w:t>
      </w:r>
      <w:r w:rsidRPr="00C30AEF" w:rsidR="00435D83">
        <w:rPr>
          <w:szCs w:val="26"/>
        </w:rPr>
        <w:t>directive or regulation.</w:t>
      </w:r>
    </w:p>
    <w:p w:rsidR="00D42A00" w:rsidRPr="00C30AEF" w:rsidP="00696BBF" w14:paraId="08DC162F" w14:textId="77777777">
      <w:pPr>
        <w:spacing w:line="480" w:lineRule="auto"/>
        <w:rPr>
          <w:b/>
          <w:bCs/>
          <w:szCs w:val="26"/>
        </w:rPr>
      </w:pPr>
    </w:p>
    <w:p w:rsidR="00696BBF" w:rsidRPr="00C30AEF" w:rsidP="00476344" w14:paraId="69B40922" w14:textId="5070039D">
      <w:pPr>
        <w:keepNext/>
        <w:spacing w:line="480" w:lineRule="auto"/>
        <w:rPr>
          <w:b/>
          <w:bCs/>
          <w:szCs w:val="26"/>
        </w:rPr>
      </w:pPr>
      <w:r w:rsidRPr="00C30AEF">
        <w:rPr>
          <w:b/>
          <w:bCs/>
          <w:szCs w:val="26"/>
        </w:rPr>
        <w:t>Compliance Filings category</w:t>
      </w:r>
      <w:r w:rsidRPr="00C30AEF" w:rsidR="007C736A">
        <w:rPr>
          <w:b/>
          <w:bCs/>
          <w:szCs w:val="26"/>
        </w:rPr>
        <w:t xml:space="preserve"> – Common Filings</w:t>
      </w:r>
      <w:r w:rsidRPr="00C30AEF">
        <w:rPr>
          <w:b/>
          <w:bCs/>
          <w:szCs w:val="26"/>
        </w:rPr>
        <w:t xml:space="preserve"> </w:t>
      </w:r>
      <w:r w:rsidRPr="00C30AEF" w:rsidR="00F7351A">
        <w:rPr>
          <w:b/>
          <w:bCs/>
          <w:szCs w:val="26"/>
        </w:rPr>
        <w:t>–</w:t>
      </w:r>
      <w:r w:rsidRPr="00C30AEF">
        <w:rPr>
          <w:b/>
          <w:bCs/>
          <w:szCs w:val="26"/>
        </w:rPr>
        <w:t xml:space="preserve"> Previous Information Collection activities</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11917875" w14:textId="77777777" w:rsidTr="00C86A31">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696BBF" w:rsidRPr="00C30AEF" w14:paraId="3ACF3EAF" w14:textId="77777777">
            <w:pPr>
              <w:jc w:val="center"/>
              <w:rPr>
                <w:rFonts w:eastAsia="Calibri"/>
                <w:b/>
                <w:bCs/>
                <w:szCs w:val="26"/>
              </w:rPr>
            </w:pPr>
            <w:r w:rsidRPr="00C30AEF">
              <w:rPr>
                <w:rFonts w:eastAsia="Calibri"/>
                <w:b/>
                <w:bCs/>
                <w:szCs w:val="26"/>
              </w:rPr>
              <w:t>Previous FERC Form</w:t>
            </w:r>
          </w:p>
        </w:tc>
        <w:tc>
          <w:tcPr>
            <w:tcW w:w="1132" w:type="pct"/>
            <w:shd w:val="clear" w:color="auto" w:fill="D9D9D9" w:themeFill="background1" w:themeFillShade="D9"/>
          </w:tcPr>
          <w:p w:rsidR="00696BBF" w:rsidRPr="00C30AEF" w14:paraId="3BA4978A" w14:textId="77777777">
            <w:pPr>
              <w:jc w:val="center"/>
              <w:rPr>
                <w:rFonts w:eastAsia="Calibri"/>
                <w:b/>
                <w:bCs/>
                <w:szCs w:val="26"/>
              </w:rPr>
            </w:pPr>
            <w:r w:rsidRPr="00C30AEF">
              <w:rPr>
                <w:rFonts w:eastAsia="Calibri"/>
                <w:b/>
                <w:bCs/>
                <w:szCs w:val="26"/>
              </w:rPr>
              <w:t>Title</w:t>
            </w:r>
          </w:p>
        </w:tc>
        <w:tc>
          <w:tcPr>
            <w:tcW w:w="666" w:type="pct"/>
            <w:shd w:val="clear" w:color="auto" w:fill="D9D9D9" w:themeFill="background1" w:themeFillShade="D9"/>
          </w:tcPr>
          <w:p w:rsidR="00696BBF" w:rsidRPr="00C30AEF" w14:paraId="34566C6A" w14:textId="77777777">
            <w:pPr>
              <w:jc w:val="center"/>
              <w:rPr>
                <w:rFonts w:eastAsia="Calibri"/>
                <w:b/>
                <w:bCs/>
                <w:szCs w:val="26"/>
              </w:rPr>
            </w:pPr>
            <w:r w:rsidRPr="00C30AEF">
              <w:rPr>
                <w:rFonts w:eastAsia="Calibri"/>
                <w:b/>
                <w:bCs/>
                <w:szCs w:val="26"/>
              </w:rPr>
              <w:t>Number of Respondents</w:t>
            </w:r>
            <w:r w:rsidRPr="00C30AEF">
              <w:rPr>
                <w:szCs w:val="26"/>
              </w:rPr>
              <w:br/>
            </w:r>
            <w:r w:rsidRPr="00C30AEF">
              <w:rPr>
                <w:rFonts w:eastAsia="Calibri"/>
                <w:b/>
                <w:bCs/>
                <w:szCs w:val="26"/>
              </w:rPr>
              <w:t>(1)</w:t>
            </w:r>
          </w:p>
        </w:tc>
        <w:tc>
          <w:tcPr>
            <w:tcW w:w="668" w:type="pct"/>
            <w:shd w:val="clear" w:color="auto" w:fill="D9D9D9" w:themeFill="background1" w:themeFillShade="D9"/>
          </w:tcPr>
          <w:p w:rsidR="00696BBF" w:rsidRPr="00C30AEF" w14:paraId="7289EBD5" w14:textId="77777777">
            <w:pPr>
              <w:jc w:val="center"/>
              <w:rPr>
                <w:rFonts w:eastAsia="Calibri"/>
                <w:b/>
                <w:bCs/>
                <w:szCs w:val="26"/>
              </w:rPr>
            </w:pPr>
            <w:r w:rsidRPr="00C30AEF">
              <w:rPr>
                <w:rFonts w:eastAsia="Calibri"/>
                <w:b/>
                <w:bCs/>
                <w:szCs w:val="26"/>
              </w:rPr>
              <w:t>Annual Number of Responses per Respondent</w:t>
            </w:r>
          </w:p>
          <w:p w:rsidR="00696BBF" w:rsidRPr="00C30AEF" w14:paraId="3029359A" w14:textId="77777777">
            <w:pPr>
              <w:jc w:val="center"/>
              <w:rPr>
                <w:rFonts w:eastAsia="Calibri"/>
                <w:b/>
                <w:bCs/>
                <w:szCs w:val="26"/>
              </w:rPr>
            </w:pPr>
            <w:r w:rsidRPr="00C30AEF">
              <w:rPr>
                <w:rFonts w:eastAsia="Calibri"/>
                <w:b/>
                <w:bCs/>
                <w:szCs w:val="26"/>
              </w:rPr>
              <w:t>(2)</w:t>
            </w:r>
          </w:p>
        </w:tc>
        <w:tc>
          <w:tcPr>
            <w:tcW w:w="520" w:type="pct"/>
            <w:shd w:val="clear" w:color="auto" w:fill="D9D9D9" w:themeFill="background1" w:themeFillShade="D9"/>
          </w:tcPr>
          <w:p w:rsidR="00696BBF" w:rsidRPr="00C30AEF" w14:paraId="37FA2C16" w14:textId="77777777">
            <w:pPr>
              <w:jc w:val="center"/>
              <w:rPr>
                <w:rFonts w:eastAsia="Calibri"/>
                <w:b/>
                <w:bCs/>
                <w:szCs w:val="26"/>
              </w:rPr>
            </w:pPr>
            <w:r w:rsidRPr="00C30AEF">
              <w:rPr>
                <w:rFonts w:eastAsia="Calibri"/>
                <w:b/>
                <w:bCs/>
                <w:szCs w:val="26"/>
              </w:rPr>
              <w:t>Total Number of Responses (1)*(2)=(3)</w:t>
            </w:r>
          </w:p>
        </w:tc>
        <w:tc>
          <w:tcPr>
            <w:tcW w:w="640" w:type="pct"/>
            <w:shd w:val="clear" w:color="auto" w:fill="D9D9D9" w:themeFill="background1" w:themeFillShade="D9"/>
          </w:tcPr>
          <w:p w:rsidR="00696BBF" w:rsidRPr="00C30AEF" w14:paraId="137A2B5A" w14:textId="4FBA055A">
            <w:pPr>
              <w:jc w:val="center"/>
              <w:rPr>
                <w:rFonts w:eastAsia="Calibri"/>
                <w:b/>
                <w:bCs/>
                <w:szCs w:val="26"/>
              </w:rPr>
            </w:pPr>
            <w:r w:rsidRPr="00C30AEF">
              <w:rPr>
                <w:rFonts w:eastAsia="Calibri"/>
                <w:b/>
                <w:bCs/>
                <w:szCs w:val="26"/>
              </w:rPr>
              <w:t>Average Burden per response</w:t>
            </w:r>
          </w:p>
          <w:p w:rsidR="00696BBF" w:rsidRPr="00C30AEF" w14:paraId="50DDC9A0" w14:textId="77777777">
            <w:pPr>
              <w:jc w:val="center"/>
              <w:rPr>
                <w:rFonts w:eastAsia="Calibri"/>
                <w:b/>
                <w:bCs/>
                <w:szCs w:val="26"/>
              </w:rPr>
            </w:pPr>
            <w:r w:rsidRPr="00C30AEF">
              <w:rPr>
                <w:rFonts w:eastAsia="Calibri"/>
                <w:b/>
                <w:bCs/>
                <w:szCs w:val="26"/>
              </w:rPr>
              <w:t>(4)</w:t>
            </w:r>
          </w:p>
        </w:tc>
        <w:tc>
          <w:tcPr>
            <w:tcW w:w="797" w:type="pct"/>
            <w:shd w:val="clear" w:color="auto" w:fill="D9D9D9" w:themeFill="background1" w:themeFillShade="D9"/>
          </w:tcPr>
          <w:p w:rsidR="00696BBF" w:rsidRPr="00C30AEF" w14:paraId="678CE639" w14:textId="77777777">
            <w:pPr>
              <w:jc w:val="center"/>
              <w:rPr>
                <w:rFonts w:eastAsia="Calibri"/>
                <w:b/>
                <w:bCs/>
                <w:szCs w:val="26"/>
              </w:rPr>
            </w:pPr>
            <w:r w:rsidRPr="00C30AEF">
              <w:rPr>
                <w:rFonts w:eastAsia="Calibri"/>
                <w:b/>
                <w:bCs/>
                <w:szCs w:val="26"/>
              </w:rPr>
              <w:t xml:space="preserve">Total Annual Burden Hours </w:t>
            </w:r>
          </w:p>
          <w:p w:rsidR="00696BBF" w:rsidRPr="00C30AEF" w14:paraId="23691684" w14:textId="77777777">
            <w:pPr>
              <w:jc w:val="center"/>
              <w:rPr>
                <w:rFonts w:eastAsia="Calibri"/>
                <w:b/>
                <w:bCs/>
                <w:szCs w:val="26"/>
              </w:rPr>
            </w:pPr>
            <w:r w:rsidRPr="00C30AEF">
              <w:rPr>
                <w:rFonts w:eastAsia="Calibri"/>
                <w:b/>
                <w:bCs/>
                <w:szCs w:val="26"/>
              </w:rPr>
              <w:t>(3)*(4)=(5)</w:t>
            </w:r>
          </w:p>
        </w:tc>
      </w:tr>
      <w:tr w14:paraId="0583473C" w14:textId="77777777" w:rsidTr="00696BBF">
        <w:tblPrEx>
          <w:tblW w:w="5314" w:type="pct"/>
          <w:tblInd w:w="-72" w:type="dxa"/>
          <w:tblLayout w:type="fixed"/>
          <w:tblLook w:val="01E0"/>
        </w:tblPrEx>
        <w:trPr>
          <w:cantSplit/>
        </w:trPr>
        <w:tc>
          <w:tcPr>
            <w:tcW w:w="577" w:type="pct"/>
          </w:tcPr>
          <w:p w:rsidR="00711054" w:rsidRPr="00C30AEF" w:rsidP="00711054" w14:paraId="14C6E451" w14:textId="6A7718A4">
            <w:pPr>
              <w:rPr>
                <w:szCs w:val="26"/>
              </w:rPr>
            </w:pPr>
            <w:r w:rsidRPr="00C30AEF">
              <w:rPr>
                <w:szCs w:val="26"/>
              </w:rPr>
              <w:t>516</w:t>
            </w:r>
          </w:p>
        </w:tc>
        <w:tc>
          <w:tcPr>
            <w:tcW w:w="1132" w:type="pct"/>
          </w:tcPr>
          <w:p w:rsidR="00711054" w:rsidRPr="00C30AEF" w:rsidP="00711054" w14:paraId="2D31B9AA" w14:textId="77530F88">
            <w:pPr>
              <w:rPr>
                <w:szCs w:val="26"/>
              </w:rPr>
            </w:pPr>
            <w:r w:rsidRPr="00C30AEF">
              <w:rPr>
                <w:szCs w:val="26"/>
              </w:rPr>
              <w:t>Ongoing Uplift Reporting (previously approved under 516G)</w:t>
            </w:r>
          </w:p>
        </w:tc>
        <w:tc>
          <w:tcPr>
            <w:tcW w:w="666" w:type="pct"/>
          </w:tcPr>
          <w:p w:rsidR="00711054" w:rsidRPr="00C30AEF" w:rsidP="00711054" w14:paraId="67AC781C" w14:textId="1ECEAC98">
            <w:pPr>
              <w:jc w:val="right"/>
              <w:rPr>
                <w:rFonts w:eastAsia="Calibri"/>
                <w:szCs w:val="26"/>
              </w:rPr>
            </w:pPr>
            <w:r w:rsidRPr="00C30AEF">
              <w:rPr>
                <w:szCs w:val="26"/>
              </w:rPr>
              <w:t>6</w:t>
            </w:r>
          </w:p>
        </w:tc>
        <w:tc>
          <w:tcPr>
            <w:tcW w:w="668" w:type="pct"/>
          </w:tcPr>
          <w:p w:rsidR="00711054" w:rsidRPr="00C30AEF" w:rsidP="00711054" w14:paraId="5E88C3B4" w14:textId="54707BF2">
            <w:pPr>
              <w:jc w:val="right"/>
              <w:rPr>
                <w:rFonts w:eastAsia="Calibri"/>
                <w:szCs w:val="26"/>
              </w:rPr>
            </w:pPr>
            <w:r w:rsidRPr="00C30AEF">
              <w:rPr>
                <w:szCs w:val="26"/>
              </w:rPr>
              <w:t>12</w:t>
            </w:r>
          </w:p>
        </w:tc>
        <w:tc>
          <w:tcPr>
            <w:tcW w:w="520" w:type="pct"/>
          </w:tcPr>
          <w:p w:rsidR="00711054" w:rsidRPr="00C30AEF" w:rsidP="00711054" w14:paraId="3FC8C20F" w14:textId="6645ED8E">
            <w:pPr>
              <w:jc w:val="right"/>
              <w:rPr>
                <w:rFonts w:eastAsia="Calibri"/>
                <w:szCs w:val="26"/>
              </w:rPr>
            </w:pPr>
            <w:r w:rsidRPr="00C30AEF">
              <w:rPr>
                <w:szCs w:val="26"/>
              </w:rPr>
              <w:t>72</w:t>
            </w:r>
          </w:p>
        </w:tc>
        <w:tc>
          <w:tcPr>
            <w:tcW w:w="640" w:type="pct"/>
          </w:tcPr>
          <w:p w:rsidR="00711054" w:rsidRPr="00C30AEF" w:rsidP="00711054" w14:paraId="13C981FC" w14:textId="48B928B7">
            <w:pPr>
              <w:jc w:val="right"/>
              <w:rPr>
                <w:rFonts w:eastAsia="Calibri"/>
                <w:szCs w:val="26"/>
              </w:rPr>
            </w:pPr>
            <w:r w:rsidRPr="00C30AEF">
              <w:rPr>
                <w:szCs w:val="26"/>
              </w:rPr>
              <w:t>3</w:t>
            </w:r>
          </w:p>
        </w:tc>
        <w:tc>
          <w:tcPr>
            <w:tcW w:w="797" w:type="pct"/>
          </w:tcPr>
          <w:p w:rsidR="00711054" w:rsidRPr="00C30AEF" w:rsidP="00711054" w14:paraId="348C4D6E" w14:textId="1865A1B0">
            <w:pPr>
              <w:jc w:val="right"/>
              <w:rPr>
                <w:rFonts w:eastAsia="Calibri"/>
                <w:szCs w:val="26"/>
              </w:rPr>
            </w:pPr>
            <w:r w:rsidRPr="00C30AEF">
              <w:rPr>
                <w:szCs w:val="26"/>
              </w:rPr>
              <w:t>216</w:t>
            </w:r>
          </w:p>
        </w:tc>
      </w:tr>
      <w:tr w14:paraId="4BBAA1C5" w14:textId="77777777" w:rsidTr="00696BBF">
        <w:tblPrEx>
          <w:tblW w:w="5314" w:type="pct"/>
          <w:tblInd w:w="-72" w:type="dxa"/>
          <w:tblLayout w:type="fixed"/>
          <w:tblLook w:val="01E0"/>
        </w:tblPrEx>
        <w:trPr>
          <w:cantSplit/>
        </w:trPr>
        <w:tc>
          <w:tcPr>
            <w:tcW w:w="577" w:type="pct"/>
          </w:tcPr>
          <w:p w:rsidR="00711054" w:rsidRPr="00C30AEF" w:rsidP="00711054" w14:paraId="18508D36" w14:textId="131CA2F2">
            <w:pPr>
              <w:rPr>
                <w:szCs w:val="26"/>
              </w:rPr>
            </w:pPr>
            <w:r w:rsidRPr="00C30AEF">
              <w:rPr>
                <w:szCs w:val="26"/>
              </w:rPr>
              <w:t>516</w:t>
            </w:r>
          </w:p>
        </w:tc>
        <w:tc>
          <w:tcPr>
            <w:tcW w:w="1132" w:type="pct"/>
          </w:tcPr>
          <w:p w:rsidR="00711054" w:rsidRPr="00C30AEF" w:rsidP="00711054" w14:paraId="6545FDDF" w14:textId="44C70DF0">
            <w:pPr>
              <w:rPr>
                <w:szCs w:val="26"/>
              </w:rPr>
            </w:pPr>
            <w:r w:rsidRPr="00C30AEF">
              <w:rPr>
                <w:szCs w:val="26"/>
              </w:rPr>
              <w:t>Annual Update of ADIT Worksheet, RM19-5 (Ongoing Filing)</w:t>
            </w:r>
          </w:p>
        </w:tc>
        <w:tc>
          <w:tcPr>
            <w:tcW w:w="666" w:type="pct"/>
          </w:tcPr>
          <w:p w:rsidR="00711054" w:rsidRPr="00C30AEF" w:rsidP="00711054" w14:paraId="49294920" w14:textId="637E1708">
            <w:pPr>
              <w:jc w:val="right"/>
              <w:rPr>
                <w:rFonts w:eastAsia="Calibri"/>
                <w:szCs w:val="26"/>
              </w:rPr>
            </w:pPr>
            <w:r w:rsidRPr="00C30AEF">
              <w:rPr>
                <w:szCs w:val="26"/>
              </w:rPr>
              <w:t>106</w:t>
            </w:r>
          </w:p>
        </w:tc>
        <w:tc>
          <w:tcPr>
            <w:tcW w:w="668" w:type="pct"/>
          </w:tcPr>
          <w:p w:rsidR="00711054" w:rsidRPr="00C30AEF" w:rsidP="00711054" w14:paraId="4FE726CB" w14:textId="651AA422">
            <w:pPr>
              <w:jc w:val="right"/>
              <w:rPr>
                <w:rFonts w:eastAsia="Calibri"/>
                <w:szCs w:val="26"/>
              </w:rPr>
            </w:pPr>
            <w:r w:rsidRPr="00C30AEF">
              <w:rPr>
                <w:szCs w:val="26"/>
              </w:rPr>
              <w:t>1</w:t>
            </w:r>
          </w:p>
        </w:tc>
        <w:tc>
          <w:tcPr>
            <w:tcW w:w="520" w:type="pct"/>
          </w:tcPr>
          <w:p w:rsidR="00711054" w:rsidRPr="00C30AEF" w:rsidP="00711054" w14:paraId="71C80F3D" w14:textId="04304FB8">
            <w:pPr>
              <w:jc w:val="right"/>
              <w:rPr>
                <w:rFonts w:eastAsia="Calibri"/>
                <w:szCs w:val="26"/>
              </w:rPr>
            </w:pPr>
            <w:r w:rsidRPr="00C30AEF">
              <w:rPr>
                <w:szCs w:val="26"/>
              </w:rPr>
              <w:t>106</w:t>
            </w:r>
          </w:p>
        </w:tc>
        <w:tc>
          <w:tcPr>
            <w:tcW w:w="640" w:type="pct"/>
          </w:tcPr>
          <w:p w:rsidR="00711054" w:rsidRPr="00C30AEF" w:rsidP="00711054" w14:paraId="22FD7AAB" w14:textId="55BEEEB9">
            <w:pPr>
              <w:jc w:val="right"/>
              <w:rPr>
                <w:rFonts w:eastAsia="Calibri"/>
                <w:szCs w:val="26"/>
              </w:rPr>
            </w:pPr>
            <w:r w:rsidRPr="00C30AEF">
              <w:rPr>
                <w:szCs w:val="26"/>
              </w:rPr>
              <w:t>4</w:t>
            </w:r>
          </w:p>
        </w:tc>
        <w:tc>
          <w:tcPr>
            <w:tcW w:w="797" w:type="pct"/>
          </w:tcPr>
          <w:p w:rsidR="00711054" w:rsidRPr="00C30AEF" w:rsidP="00711054" w14:paraId="7157ADFC" w14:textId="59F4DAC1">
            <w:pPr>
              <w:jc w:val="right"/>
              <w:rPr>
                <w:rFonts w:eastAsia="Calibri"/>
                <w:szCs w:val="26"/>
              </w:rPr>
            </w:pPr>
            <w:r w:rsidRPr="00C30AEF">
              <w:rPr>
                <w:szCs w:val="26"/>
              </w:rPr>
              <w:t>424</w:t>
            </w:r>
          </w:p>
        </w:tc>
      </w:tr>
      <w:tr w14:paraId="37D8D77A" w14:textId="77777777" w:rsidTr="00696BBF">
        <w:tblPrEx>
          <w:tblW w:w="5314" w:type="pct"/>
          <w:tblInd w:w="-72" w:type="dxa"/>
          <w:tblLayout w:type="fixed"/>
          <w:tblLook w:val="01E0"/>
        </w:tblPrEx>
        <w:trPr>
          <w:cantSplit/>
        </w:trPr>
        <w:tc>
          <w:tcPr>
            <w:tcW w:w="577" w:type="pct"/>
          </w:tcPr>
          <w:p w:rsidR="00711054" w:rsidRPr="00C30AEF" w:rsidP="00711054" w14:paraId="51DCDAE8" w14:textId="3973D5D0">
            <w:pPr>
              <w:rPr>
                <w:szCs w:val="26"/>
              </w:rPr>
            </w:pPr>
            <w:r w:rsidRPr="00C30AEF">
              <w:rPr>
                <w:szCs w:val="26"/>
              </w:rPr>
              <w:t>516</w:t>
            </w:r>
          </w:p>
        </w:tc>
        <w:tc>
          <w:tcPr>
            <w:tcW w:w="1132" w:type="pct"/>
          </w:tcPr>
          <w:p w:rsidR="00711054" w:rsidRPr="00C30AEF" w:rsidP="00711054" w14:paraId="20C6D60B" w14:textId="0CA6DF21">
            <w:pPr>
              <w:rPr>
                <w:szCs w:val="26"/>
              </w:rPr>
            </w:pPr>
            <w:r w:rsidRPr="00C30AEF">
              <w:rPr>
                <w:szCs w:val="26"/>
              </w:rPr>
              <w:t>Compliance Filing Rehearing</w:t>
            </w:r>
          </w:p>
        </w:tc>
        <w:tc>
          <w:tcPr>
            <w:tcW w:w="666" w:type="pct"/>
          </w:tcPr>
          <w:p w:rsidR="00711054" w:rsidRPr="00C30AEF" w:rsidP="00711054" w14:paraId="070E1CB8" w14:textId="1373DA79">
            <w:pPr>
              <w:jc w:val="right"/>
              <w:rPr>
                <w:rFonts w:eastAsia="Calibri"/>
                <w:szCs w:val="26"/>
              </w:rPr>
            </w:pPr>
            <w:r w:rsidRPr="00C30AEF">
              <w:rPr>
                <w:szCs w:val="26"/>
              </w:rPr>
              <w:t>44</w:t>
            </w:r>
          </w:p>
        </w:tc>
        <w:tc>
          <w:tcPr>
            <w:tcW w:w="668" w:type="pct"/>
          </w:tcPr>
          <w:p w:rsidR="00711054" w:rsidRPr="00C30AEF" w:rsidP="00711054" w14:paraId="43708594" w14:textId="7CEDFDF5">
            <w:pPr>
              <w:jc w:val="right"/>
              <w:rPr>
                <w:rFonts w:eastAsia="Calibri"/>
                <w:szCs w:val="26"/>
              </w:rPr>
            </w:pPr>
            <w:r w:rsidRPr="00C30AEF">
              <w:rPr>
                <w:szCs w:val="26"/>
              </w:rPr>
              <w:t>11</w:t>
            </w:r>
          </w:p>
        </w:tc>
        <w:tc>
          <w:tcPr>
            <w:tcW w:w="520" w:type="pct"/>
          </w:tcPr>
          <w:p w:rsidR="00711054" w:rsidRPr="00C30AEF" w:rsidP="00711054" w14:paraId="4EC14439" w14:textId="6BB09A76">
            <w:pPr>
              <w:jc w:val="right"/>
              <w:rPr>
                <w:rFonts w:eastAsia="Calibri"/>
                <w:szCs w:val="26"/>
              </w:rPr>
            </w:pPr>
            <w:r w:rsidRPr="00C30AEF">
              <w:rPr>
                <w:szCs w:val="26"/>
              </w:rPr>
              <w:t>484</w:t>
            </w:r>
          </w:p>
        </w:tc>
        <w:tc>
          <w:tcPr>
            <w:tcW w:w="640" w:type="pct"/>
          </w:tcPr>
          <w:p w:rsidR="00711054" w:rsidRPr="00C30AEF" w:rsidP="00711054" w14:paraId="67632728" w14:textId="4FBD39CD">
            <w:pPr>
              <w:jc w:val="right"/>
              <w:rPr>
                <w:rFonts w:eastAsia="Calibri"/>
                <w:szCs w:val="26"/>
              </w:rPr>
            </w:pPr>
            <w:r w:rsidRPr="00C30AEF">
              <w:rPr>
                <w:szCs w:val="26"/>
              </w:rPr>
              <w:t>1</w:t>
            </w:r>
            <w:r w:rsidRPr="00C30AEF" w:rsidR="002D2511">
              <w:rPr>
                <w:szCs w:val="26"/>
              </w:rPr>
              <w:t>.45</w:t>
            </w:r>
          </w:p>
        </w:tc>
        <w:tc>
          <w:tcPr>
            <w:tcW w:w="797" w:type="pct"/>
          </w:tcPr>
          <w:p w:rsidR="00711054" w:rsidRPr="00C30AEF" w:rsidP="00711054" w14:paraId="61E20B50" w14:textId="3AC22923">
            <w:pPr>
              <w:jc w:val="right"/>
              <w:rPr>
                <w:rFonts w:eastAsia="Calibri"/>
                <w:szCs w:val="26"/>
              </w:rPr>
            </w:pPr>
            <w:r w:rsidRPr="00C30AEF">
              <w:rPr>
                <w:szCs w:val="26"/>
              </w:rPr>
              <w:t>704</w:t>
            </w:r>
          </w:p>
        </w:tc>
      </w:tr>
      <w:tr w14:paraId="5E72E3D3" w14:textId="77777777" w:rsidTr="00696BBF">
        <w:tblPrEx>
          <w:tblW w:w="5314" w:type="pct"/>
          <w:tblInd w:w="-72" w:type="dxa"/>
          <w:tblLayout w:type="fixed"/>
          <w:tblLook w:val="01E0"/>
        </w:tblPrEx>
        <w:trPr>
          <w:cantSplit/>
        </w:trPr>
        <w:tc>
          <w:tcPr>
            <w:tcW w:w="577" w:type="pct"/>
          </w:tcPr>
          <w:p w:rsidR="00711054" w:rsidRPr="00C30AEF" w:rsidP="00711054" w14:paraId="14CF2DE0" w14:textId="309D5209">
            <w:pPr>
              <w:rPr>
                <w:szCs w:val="26"/>
              </w:rPr>
            </w:pPr>
            <w:r w:rsidRPr="00C30AEF">
              <w:rPr>
                <w:szCs w:val="26"/>
              </w:rPr>
              <w:t>516</w:t>
            </w:r>
          </w:p>
        </w:tc>
        <w:tc>
          <w:tcPr>
            <w:tcW w:w="1132" w:type="pct"/>
          </w:tcPr>
          <w:p w:rsidR="00711054" w:rsidRPr="00C30AEF" w:rsidP="00711054" w14:paraId="6B1FB9F2" w14:textId="0A64E6A4">
            <w:pPr>
              <w:rPr>
                <w:szCs w:val="26"/>
              </w:rPr>
            </w:pPr>
            <w:r w:rsidRPr="00C30AEF">
              <w:rPr>
                <w:szCs w:val="26"/>
              </w:rPr>
              <w:t>Interconnection Reform_RM22-14_Reasonable Efforts Standard (Ongoing)</w:t>
            </w:r>
          </w:p>
        </w:tc>
        <w:tc>
          <w:tcPr>
            <w:tcW w:w="666" w:type="pct"/>
          </w:tcPr>
          <w:p w:rsidR="00711054" w:rsidRPr="00C30AEF" w:rsidP="00711054" w14:paraId="3B2D755F" w14:textId="403316E1">
            <w:pPr>
              <w:jc w:val="right"/>
              <w:rPr>
                <w:rFonts w:eastAsia="Calibri"/>
                <w:szCs w:val="26"/>
              </w:rPr>
            </w:pPr>
            <w:r w:rsidRPr="00C30AEF">
              <w:rPr>
                <w:szCs w:val="26"/>
              </w:rPr>
              <w:t>44</w:t>
            </w:r>
          </w:p>
        </w:tc>
        <w:tc>
          <w:tcPr>
            <w:tcW w:w="668" w:type="pct"/>
          </w:tcPr>
          <w:p w:rsidR="00711054" w:rsidRPr="00C30AEF" w:rsidP="00711054" w14:paraId="59FC8C1C" w14:textId="6F3B636F">
            <w:pPr>
              <w:jc w:val="right"/>
              <w:rPr>
                <w:rFonts w:eastAsia="Calibri"/>
                <w:szCs w:val="26"/>
              </w:rPr>
            </w:pPr>
            <w:r w:rsidRPr="00C30AEF">
              <w:rPr>
                <w:szCs w:val="26"/>
              </w:rPr>
              <w:t>4</w:t>
            </w:r>
          </w:p>
        </w:tc>
        <w:tc>
          <w:tcPr>
            <w:tcW w:w="520" w:type="pct"/>
          </w:tcPr>
          <w:p w:rsidR="00711054" w:rsidRPr="00C30AEF" w:rsidP="00711054" w14:paraId="4897FCC4" w14:textId="62F11803">
            <w:pPr>
              <w:jc w:val="right"/>
              <w:rPr>
                <w:rFonts w:eastAsia="Calibri"/>
                <w:szCs w:val="26"/>
              </w:rPr>
            </w:pPr>
            <w:r w:rsidRPr="00C30AEF">
              <w:rPr>
                <w:szCs w:val="26"/>
              </w:rPr>
              <w:t>176</w:t>
            </w:r>
          </w:p>
        </w:tc>
        <w:tc>
          <w:tcPr>
            <w:tcW w:w="640" w:type="pct"/>
          </w:tcPr>
          <w:p w:rsidR="00711054" w:rsidRPr="00C30AEF" w:rsidP="00711054" w14:paraId="09C8C8F1" w14:textId="029DDE9B">
            <w:pPr>
              <w:jc w:val="right"/>
              <w:rPr>
                <w:rFonts w:eastAsia="Calibri"/>
                <w:szCs w:val="26"/>
              </w:rPr>
            </w:pPr>
            <w:r w:rsidRPr="00C30AEF">
              <w:rPr>
                <w:szCs w:val="26"/>
              </w:rPr>
              <w:t>4</w:t>
            </w:r>
          </w:p>
        </w:tc>
        <w:tc>
          <w:tcPr>
            <w:tcW w:w="797" w:type="pct"/>
          </w:tcPr>
          <w:p w:rsidR="00711054" w:rsidRPr="00C30AEF" w:rsidP="00711054" w14:paraId="76D181F1" w14:textId="085C41EA">
            <w:pPr>
              <w:jc w:val="right"/>
              <w:rPr>
                <w:rFonts w:eastAsia="Calibri"/>
                <w:szCs w:val="26"/>
              </w:rPr>
            </w:pPr>
            <w:r w:rsidRPr="00C30AEF">
              <w:rPr>
                <w:szCs w:val="26"/>
              </w:rPr>
              <w:t>704</w:t>
            </w:r>
          </w:p>
        </w:tc>
      </w:tr>
      <w:tr w14:paraId="16AC25F6" w14:textId="77777777" w:rsidTr="00696BBF">
        <w:tblPrEx>
          <w:tblW w:w="5314" w:type="pct"/>
          <w:tblInd w:w="-72" w:type="dxa"/>
          <w:tblLayout w:type="fixed"/>
          <w:tblLook w:val="01E0"/>
        </w:tblPrEx>
        <w:trPr>
          <w:cantSplit/>
        </w:trPr>
        <w:tc>
          <w:tcPr>
            <w:tcW w:w="577" w:type="pct"/>
          </w:tcPr>
          <w:p w:rsidR="00711054" w:rsidRPr="00C30AEF" w:rsidP="00711054" w14:paraId="789AF76E" w14:textId="3E6ADECE">
            <w:pPr>
              <w:rPr>
                <w:szCs w:val="26"/>
              </w:rPr>
            </w:pPr>
            <w:r w:rsidRPr="00C30AEF">
              <w:rPr>
                <w:szCs w:val="26"/>
              </w:rPr>
              <w:t>516</w:t>
            </w:r>
          </w:p>
        </w:tc>
        <w:tc>
          <w:tcPr>
            <w:tcW w:w="1132" w:type="pct"/>
          </w:tcPr>
          <w:p w:rsidR="00711054" w:rsidRPr="00C30AEF" w:rsidP="00711054" w14:paraId="6C1338BC" w14:textId="009CEABB">
            <w:pPr>
              <w:rPr>
                <w:szCs w:val="26"/>
              </w:rPr>
            </w:pPr>
            <w:r w:rsidRPr="00C30AEF">
              <w:rPr>
                <w:szCs w:val="26"/>
              </w:rPr>
              <w:t>Interconnection Reforms_RM22-14_First Ready First Served (Ongoing)</w:t>
            </w:r>
          </w:p>
        </w:tc>
        <w:tc>
          <w:tcPr>
            <w:tcW w:w="666" w:type="pct"/>
          </w:tcPr>
          <w:p w:rsidR="00711054" w:rsidRPr="00C30AEF" w:rsidP="00711054" w14:paraId="38747537" w14:textId="6F28333F">
            <w:pPr>
              <w:jc w:val="right"/>
              <w:rPr>
                <w:rFonts w:eastAsia="Calibri"/>
                <w:szCs w:val="26"/>
              </w:rPr>
            </w:pPr>
            <w:r w:rsidRPr="00C30AEF">
              <w:rPr>
                <w:szCs w:val="26"/>
              </w:rPr>
              <w:t>44</w:t>
            </w:r>
          </w:p>
        </w:tc>
        <w:tc>
          <w:tcPr>
            <w:tcW w:w="668" w:type="pct"/>
          </w:tcPr>
          <w:p w:rsidR="00711054" w:rsidRPr="00C30AEF" w:rsidP="00711054" w14:paraId="66C18EA1" w14:textId="446757EB">
            <w:pPr>
              <w:jc w:val="right"/>
              <w:rPr>
                <w:rFonts w:eastAsia="Calibri"/>
                <w:szCs w:val="26"/>
              </w:rPr>
            </w:pPr>
            <w:r w:rsidRPr="00C30AEF">
              <w:rPr>
                <w:szCs w:val="26"/>
              </w:rPr>
              <w:t>4</w:t>
            </w:r>
          </w:p>
        </w:tc>
        <w:tc>
          <w:tcPr>
            <w:tcW w:w="520" w:type="pct"/>
          </w:tcPr>
          <w:p w:rsidR="00711054" w:rsidRPr="00C30AEF" w:rsidP="00711054" w14:paraId="2A89938D" w14:textId="05477E20">
            <w:pPr>
              <w:jc w:val="right"/>
              <w:rPr>
                <w:rFonts w:eastAsia="Calibri"/>
                <w:szCs w:val="26"/>
              </w:rPr>
            </w:pPr>
            <w:r w:rsidRPr="00C30AEF">
              <w:rPr>
                <w:szCs w:val="26"/>
              </w:rPr>
              <w:t>176</w:t>
            </w:r>
          </w:p>
        </w:tc>
        <w:tc>
          <w:tcPr>
            <w:tcW w:w="640" w:type="pct"/>
          </w:tcPr>
          <w:p w:rsidR="00711054" w:rsidRPr="00C30AEF" w:rsidP="00711054" w14:paraId="7AEE52A0" w14:textId="7634A1B8">
            <w:pPr>
              <w:jc w:val="right"/>
              <w:rPr>
                <w:rFonts w:eastAsia="Calibri"/>
                <w:szCs w:val="26"/>
              </w:rPr>
            </w:pPr>
            <w:r w:rsidRPr="00C30AEF">
              <w:rPr>
                <w:szCs w:val="26"/>
              </w:rPr>
              <w:t>4</w:t>
            </w:r>
          </w:p>
        </w:tc>
        <w:tc>
          <w:tcPr>
            <w:tcW w:w="797" w:type="pct"/>
          </w:tcPr>
          <w:p w:rsidR="00711054" w:rsidRPr="00C30AEF" w:rsidP="00711054" w14:paraId="23E4AC21" w14:textId="4948DD09">
            <w:pPr>
              <w:jc w:val="right"/>
              <w:rPr>
                <w:rFonts w:eastAsia="Calibri"/>
                <w:szCs w:val="26"/>
              </w:rPr>
            </w:pPr>
            <w:r w:rsidRPr="00C30AEF">
              <w:rPr>
                <w:szCs w:val="26"/>
              </w:rPr>
              <w:t>704</w:t>
            </w:r>
          </w:p>
        </w:tc>
      </w:tr>
      <w:tr w14:paraId="2DAD1423" w14:textId="77777777" w:rsidTr="00696BBF">
        <w:tblPrEx>
          <w:tblW w:w="5314" w:type="pct"/>
          <w:tblInd w:w="-72" w:type="dxa"/>
          <w:tblLayout w:type="fixed"/>
          <w:tblLook w:val="01E0"/>
        </w:tblPrEx>
        <w:trPr>
          <w:cantSplit/>
        </w:trPr>
        <w:tc>
          <w:tcPr>
            <w:tcW w:w="577" w:type="pct"/>
          </w:tcPr>
          <w:p w:rsidR="00711054" w:rsidRPr="00C30AEF" w:rsidP="00711054" w14:paraId="65391C24" w14:textId="431BB07E">
            <w:pPr>
              <w:rPr>
                <w:szCs w:val="26"/>
              </w:rPr>
            </w:pPr>
            <w:r w:rsidRPr="00C30AEF">
              <w:rPr>
                <w:szCs w:val="26"/>
              </w:rPr>
              <w:t>516</w:t>
            </w:r>
          </w:p>
        </w:tc>
        <w:tc>
          <w:tcPr>
            <w:tcW w:w="1132" w:type="pct"/>
          </w:tcPr>
          <w:p w:rsidR="00711054" w:rsidRPr="00C30AEF" w:rsidP="00711054" w14:paraId="5AF97FBF" w14:textId="1A5FF723">
            <w:pPr>
              <w:rPr>
                <w:szCs w:val="26"/>
              </w:rPr>
            </w:pPr>
            <w:r w:rsidRPr="00C30AEF">
              <w:rPr>
                <w:szCs w:val="26"/>
              </w:rPr>
              <w:t>Interconnection Reforms_RM22-14_Interconnection Info. Access (Ongoing)</w:t>
            </w:r>
          </w:p>
        </w:tc>
        <w:tc>
          <w:tcPr>
            <w:tcW w:w="666" w:type="pct"/>
          </w:tcPr>
          <w:p w:rsidR="00711054" w:rsidRPr="00C30AEF" w:rsidP="00711054" w14:paraId="30A6A717" w14:textId="72C01C64">
            <w:pPr>
              <w:jc w:val="right"/>
              <w:rPr>
                <w:rFonts w:eastAsia="Calibri"/>
                <w:szCs w:val="26"/>
              </w:rPr>
            </w:pPr>
            <w:r w:rsidRPr="00C30AEF">
              <w:rPr>
                <w:szCs w:val="26"/>
              </w:rPr>
              <w:t>44</w:t>
            </w:r>
          </w:p>
        </w:tc>
        <w:tc>
          <w:tcPr>
            <w:tcW w:w="668" w:type="pct"/>
          </w:tcPr>
          <w:p w:rsidR="00711054" w:rsidRPr="00C30AEF" w:rsidP="00711054" w14:paraId="0464FBFE" w14:textId="6CDF7F08">
            <w:pPr>
              <w:jc w:val="right"/>
              <w:rPr>
                <w:rFonts w:eastAsia="Calibri"/>
                <w:szCs w:val="26"/>
              </w:rPr>
            </w:pPr>
            <w:r w:rsidRPr="00C30AEF">
              <w:rPr>
                <w:szCs w:val="26"/>
              </w:rPr>
              <w:t>2</w:t>
            </w:r>
          </w:p>
        </w:tc>
        <w:tc>
          <w:tcPr>
            <w:tcW w:w="520" w:type="pct"/>
          </w:tcPr>
          <w:p w:rsidR="00711054" w:rsidRPr="00C30AEF" w:rsidP="00711054" w14:paraId="3124028F" w14:textId="448B4A10">
            <w:pPr>
              <w:jc w:val="right"/>
              <w:rPr>
                <w:rFonts w:eastAsia="Calibri"/>
                <w:szCs w:val="26"/>
              </w:rPr>
            </w:pPr>
            <w:r w:rsidRPr="00C30AEF">
              <w:rPr>
                <w:szCs w:val="26"/>
              </w:rPr>
              <w:t>88</w:t>
            </w:r>
          </w:p>
        </w:tc>
        <w:tc>
          <w:tcPr>
            <w:tcW w:w="640" w:type="pct"/>
          </w:tcPr>
          <w:p w:rsidR="00711054" w:rsidRPr="00C30AEF" w:rsidP="00711054" w14:paraId="4D830622" w14:textId="12505B17">
            <w:pPr>
              <w:jc w:val="right"/>
              <w:rPr>
                <w:rFonts w:eastAsia="Calibri"/>
                <w:szCs w:val="26"/>
              </w:rPr>
            </w:pPr>
            <w:r w:rsidRPr="00C30AEF">
              <w:rPr>
                <w:szCs w:val="26"/>
              </w:rPr>
              <w:t>4</w:t>
            </w:r>
          </w:p>
        </w:tc>
        <w:tc>
          <w:tcPr>
            <w:tcW w:w="797" w:type="pct"/>
          </w:tcPr>
          <w:p w:rsidR="00711054" w:rsidRPr="00C30AEF" w:rsidP="00711054" w14:paraId="368F2C8E" w14:textId="6FD9F505">
            <w:pPr>
              <w:jc w:val="right"/>
              <w:rPr>
                <w:rFonts w:eastAsia="Calibri"/>
                <w:szCs w:val="26"/>
              </w:rPr>
            </w:pPr>
            <w:r w:rsidRPr="00C30AEF">
              <w:rPr>
                <w:szCs w:val="26"/>
              </w:rPr>
              <w:t>352</w:t>
            </w:r>
          </w:p>
        </w:tc>
      </w:tr>
      <w:tr w14:paraId="2BE61E70" w14:textId="77777777" w:rsidTr="00696BBF">
        <w:tblPrEx>
          <w:tblW w:w="5314" w:type="pct"/>
          <w:tblInd w:w="-72" w:type="dxa"/>
          <w:tblLayout w:type="fixed"/>
          <w:tblLook w:val="01E0"/>
        </w:tblPrEx>
        <w:trPr>
          <w:cantSplit/>
        </w:trPr>
        <w:tc>
          <w:tcPr>
            <w:tcW w:w="577" w:type="pct"/>
          </w:tcPr>
          <w:p w:rsidR="00C86A31" w:rsidRPr="00C30AEF" w:rsidP="00C86A31" w14:paraId="52AEAA89" w14:textId="710DE2ED">
            <w:pPr>
              <w:rPr>
                <w:szCs w:val="26"/>
              </w:rPr>
            </w:pPr>
            <w:r w:rsidRPr="00C30AEF">
              <w:rPr>
                <w:szCs w:val="26"/>
              </w:rPr>
              <w:t>516A</w:t>
            </w:r>
          </w:p>
        </w:tc>
        <w:tc>
          <w:tcPr>
            <w:tcW w:w="1132" w:type="pct"/>
          </w:tcPr>
          <w:p w:rsidR="00C86A31" w:rsidRPr="00C30AEF" w:rsidP="00C86A31" w14:paraId="11D1312C" w14:textId="6C150571">
            <w:pPr>
              <w:rPr>
                <w:szCs w:val="26"/>
              </w:rPr>
            </w:pPr>
            <w:r w:rsidRPr="00C30AEF">
              <w:rPr>
                <w:szCs w:val="26"/>
              </w:rPr>
              <w:t>Ongoing Mandatory Pre-Application Report, Supplemental Review, and Review of Required Upgrades (RM13-2)</w:t>
            </w:r>
          </w:p>
        </w:tc>
        <w:tc>
          <w:tcPr>
            <w:tcW w:w="666" w:type="pct"/>
          </w:tcPr>
          <w:p w:rsidR="00C86A31" w:rsidRPr="00C30AEF" w:rsidP="00C86A31" w14:paraId="215831F0" w14:textId="7D7EA13B">
            <w:pPr>
              <w:jc w:val="right"/>
              <w:rPr>
                <w:szCs w:val="26"/>
              </w:rPr>
            </w:pPr>
            <w:r w:rsidRPr="00C30AEF">
              <w:rPr>
                <w:szCs w:val="26"/>
              </w:rPr>
              <w:t>426</w:t>
            </w:r>
          </w:p>
        </w:tc>
        <w:tc>
          <w:tcPr>
            <w:tcW w:w="668" w:type="pct"/>
          </w:tcPr>
          <w:p w:rsidR="00C86A31" w:rsidRPr="00C30AEF" w:rsidP="00C86A31" w14:paraId="4F808C91" w14:textId="7DFC44E6">
            <w:pPr>
              <w:jc w:val="right"/>
              <w:rPr>
                <w:szCs w:val="26"/>
              </w:rPr>
            </w:pPr>
            <w:r w:rsidRPr="00C30AEF">
              <w:rPr>
                <w:szCs w:val="26"/>
              </w:rPr>
              <w:t>4</w:t>
            </w:r>
          </w:p>
        </w:tc>
        <w:tc>
          <w:tcPr>
            <w:tcW w:w="520" w:type="pct"/>
          </w:tcPr>
          <w:p w:rsidR="00C86A31" w:rsidRPr="00C30AEF" w:rsidP="00C86A31" w14:paraId="119D825A" w14:textId="346A0203">
            <w:pPr>
              <w:jc w:val="right"/>
              <w:rPr>
                <w:szCs w:val="26"/>
              </w:rPr>
            </w:pPr>
            <w:r w:rsidRPr="00C30AEF">
              <w:rPr>
                <w:szCs w:val="26"/>
              </w:rPr>
              <w:t>1</w:t>
            </w:r>
            <w:r w:rsidRPr="00C30AEF" w:rsidR="00216AAB">
              <w:rPr>
                <w:szCs w:val="26"/>
              </w:rPr>
              <w:t>,</w:t>
            </w:r>
            <w:r w:rsidRPr="00C30AEF">
              <w:rPr>
                <w:szCs w:val="26"/>
              </w:rPr>
              <w:t>602</w:t>
            </w:r>
          </w:p>
        </w:tc>
        <w:tc>
          <w:tcPr>
            <w:tcW w:w="640" w:type="pct"/>
          </w:tcPr>
          <w:p w:rsidR="00C86A31" w:rsidRPr="00C30AEF" w:rsidP="00C86A31" w14:paraId="629E6AD8" w14:textId="6CF2E1BA">
            <w:pPr>
              <w:jc w:val="right"/>
              <w:rPr>
                <w:szCs w:val="26"/>
              </w:rPr>
            </w:pPr>
            <w:r w:rsidRPr="00C30AEF">
              <w:rPr>
                <w:szCs w:val="26"/>
              </w:rPr>
              <w:t>7.88</w:t>
            </w:r>
          </w:p>
        </w:tc>
        <w:tc>
          <w:tcPr>
            <w:tcW w:w="797" w:type="pct"/>
          </w:tcPr>
          <w:p w:rsidR="00C86A31" w:rsidRPr="00C30AEF" w:rsidP="00C86A31" w14:paraId="7275CA7D" w14:textId="12EF9353">
            <w:pPr>
              <w:jc w:val="right"/>
              <w:rPr>
                <w:szCs w:val="26"/>
              </w:rPr>
            </w:pPr>
            <w:r w:rsidRPr="00C30AEF">
              <w:rPr>
                <w:szCs w:val="26"/>
              </w:rPr>
              <w:t>12</w:t>
            </w:r>
            <w:r w:rsidRPr="00C30AEF" w:rsidR="00216AAB">
              <w:rPr>
                <w:szCs w:val="26"/>
              </w:rPr>
              <w:t>,</w:t>
            </w:r>
            <w:r w:rsidRPr="00C30AEF">
              <w:rPr>
                <w:szCs w:val="26"/>
              </w:rPr>
              <w:t>630</w:t>
            </w:r>
          </w:p>
        </w:tc>
      </w:tr>
      <w:tr w14:paraId="05B45D00" w14:textId="77777777" w:rsidTr="00696BBF">
        <w:tblPrEx>
          <w:tblW w:w="5314" w:type="pct"/>
          <w:tblInd w:w="-72" w:type="dxa"/>
          <w:tblLayout w:type="fixed"/>
          <w:tblLook w:val="01E0"/>
        </w:tblPrEx>
        <w:trPr>
          <w:cantSplit/>
        </w:trPr>
        <w:tc>
          <w:tcPr>
            <w:tcW w:w="577" w:type="pct"/>
          </w:tcPr>
          <w:p w:rsidR="00C86A31" w:rsidRPr="00C30AEF" w:rsidP="00C86A31" w14:paraId="321EE396" w14:textId="0E85B157">
            <w:pPr>
              <w:rPr>
                <w:szCs w:val="26"/>
              </w:rPr>
            </w:pPr>
            <w:r w:rsidRPr="00C30AEF">
              <w:rPr>
                <w:szCs w:val="26"/>
              </w:rPr>
              <w:t>516A</w:t>
            </w:r>
          </w:p>
        </w:tc>
        <w:tc>
          <w:tcPr>
            <w:tcW w:w="1132" w:type="pct"/>
          </w:tcPr>
          <w:p w:rsidR="00C86A31" w:rsidRPr="00C30AEF" w:rsidP="00C86A31" w14:paraId="660DC064" w14:textId="2AE094FD">
            <w:pPr>
              <w:rPr>
                <w:szCs w:val="26"/>
              </w:rPr>
            </w:pPr>
            <w:r w:rsidRPr="00C30AEF">
              <w:rPr>
                <w:szCs w:val="26"/>
              </w:rPr>
              <w:t>Ongoing Voluntary Pre-Application Report, Supplemental Review, and Review of Required Upgrades (RM13-2)</w:t>
            </w:r>
          </w:p>
        </w:tc>
        <w:tc>
          <w:tcPr>
            <w:tcW w:w="666" w:type="pct"/>
          </w:tcPr>
          <w:p w:rsidR="00C86A31" w:rsidRPr="00C30AEF" w:rsidP="00C86A31" w14:paraId="389AA06F" w14:textId="04C07279">
            <w:pPr>
              <w:jc w:val="right"/>
              <w:rPr>
                <w:szCs w:val="26"/>
              </w:rPr>
            </w:pPr>
            <w:r w:rsidRPr="00C30AEF">
              <w:rPr>
                <w:szCs w:val="26"/>
              </w:rPr>
              <w:t>800</w:t>
            </w:r>
          </w:p>
        </w:tc>
        <w:tc>
          <w:tcPr>
            <w:tcW w:w="668" w:type="pct"/>
          </w:tcPr>
          <w:p w:rsidR="00C86A31" w:rsidRPr="00C30AEF" w:rsidP="00C86A31" w14:paraId="1F098F94" w14:textId="65F44726">
            <w:pPr>
              <w:jc w:val="right"/>
              <w:rPr>
                <w:szCs w:val="26"/>
              </w:rPr>
            </w:pPr>
            <w:r w:rsidRPr="00C30AEF">
              <w:rPr>
                <w:szCs w:val="26"/>
              </w:rPr>
              <w:t>2</w:t>
            </w:r>
          </w:p>
        </w:tc>
        <w:tc>
          <w:tcPr>
            <w:tcW w:w="520" w:type="pct"/>
          </w:tcPr>
          <w:p w:rsidR="00C86A31" w:rsidRPr="00C30AEF" w:rsidP="00C86A31" w14:paraId="4CD5DEA8" w14:textId="242BD4E2">
            <w:pPr>
              <w:jc w:val="right"/>
              <w:rPr>
                <w:szCs w:val="26"/>
              </w:rPr>
            </w:pPr>
            <w:r w:rsidRPr="00C30AEF">
              <w:rPr>
                <w:szCs w:val="26"/>
              </w:rPr>
              <w:t>1</w:t>
            </w:r>
            <w:r w:rsidRPr="00C30AEF" w:rsidR="00216AAB">
              <w:rPr>
                <w:szCs w:val="26"/>
              </w:rPr>
              <w:t>,</w:t>
            </w:r>
            <w:r w:rsidRPr="00C30AEF">
              <w:rPr>
                <w:szCs w:val="26"/>
              </w:rPr>
              <w:t>550</w:t>
            </w:r>
          </w:p>
        </w:tc>
        <w:tc>
          <w:tcPr>
            <w:tcW w:w="640" w:type="pct"/>
          </w:tcPr>
          <w:p w:rsidR="00C86A31" w:rsidRPr="00C30AEF" w:rsidP="00C86A31" w14:paraId="43CBAE38" w14:textId="2610DE29">
            <w:pPr>
              <w:jc w:val="right"/>
              <w:rPr>
                <w:szCs w:val="26"/>
              </w:rPr>
            </w:pPr>
            <w:r w:rsidRPr="00C30AEF">
              <w:rPr>
                <w:szCs w:val="26"/>
              </w:rPr>
              <w:t>0.83</w:t>
            </w:r>
          </w:p>
        </w:tc>
        <w:tc>
          <w:tcPr>
            <w:tcW w:w="797" w:type="pct"/>
          </w:tcPr>
          <w:p w:rsidR="00C86A31" w:rsidRPr="00C30AEF" w:rsidP="00C86A31" w14:paraId="77E7765A" w14:textId="7E365FBA">
            <w:pPr>
              <w:jc w:val="right"/>
              <w:rPr>
                <w:szCs w:val="26"/>
              </w:rPr>
            </w:pPr>
            <w:r w:rsidRPr="00C30AEF">
              <w:rPr>
                <w:szCs w:val="26"/>
              </w:rPr>
              <w:t>1</w:t>
            </w:r>
            <w:r w:rsidRPr="00C30AEF" w:rsidR="00216AAB">
              <w:rPr>
                <w:szCs w:val="26"/>
              </w:rPr>
              <w:t>,</w:t>
            </w:r>
            <w:r w:rsidRPr="00C30AEF">
              <w:rPr>
                <w:szCs w:val="26"/>
              </w:rPr>
              <w:t>300</w:t>
            </w:r>
          </w:p>
        </w:tc>
      </w:tr>
      <w:tr w14:paraId="21D98829" w14:textId="77777777" w:rsidTr="00696BBF">
        <w:tblPrEx>
          <w:tblW w:w="5314" w:type="pct"/>
          <w:tblInd w:w="-72" w:type="dxa"/>
          <w:tblLayout w:type="fixed"/>
          <w:tblLook w:val="01E0"/>
        </w:tblPrEx>
        <w:trPr>
          <w:cantSplit/>
        </w:trPr>
        <w:tc>
          <w:tcPr>
            <w:tcW w:w="577" w:type="pct"/>
          </w:tcPr>
          <w:p w:rsidR="00C86A31" w:rsidRPr="00C30AEF" w:rsidP="00C86A31" w14:paraId="13DAF201" w14:textId="46E04343">
            <w:pPr>
              <w:rPr>
                <w:szCs w:val="26"/>
              </w:rPr>
            </w:pPr>
            <w:r w:rsidRPr="00C30AEF">
              <w:rPr>
                <w:szCs w:val="26"/>
              </w:rPr>
              <w:t>516E</w:t>
            </w:r>
          </w:p>
        </w:tc>
        <w:tc>
          <w:tcPr>
            <w:tcW w:w="1132" w:type="pct"/>
          </w:tcPr>
          <w:p w:rsidR="00C86A31" w:rsidRPr="00C30AEF" w:rsidP="00C86A31" w14:paraId="5182C6C3" w14:textId="24E80960">
            <w:pPr>
              <w:rPr>
                <w:szCs w:val="26"/>
              </w:rPr>
            </w:pPr>
            <w:r w:rsidRPr="00C30AEF">
              <w:rPr>
                <w:szCs w:val="26"/>
              </w:rPr>
              <w:t>NAESB Version 4</w:t>
            </w:r>
          </w:p>
        </w:tc>
        <w:tc>
          <w:tcPr>
            <w:tcW w:w="666" w:type="pct"/>
          </w:tcPr>
          <w:p w:rsidR="00C86A31" w:rsidRPr="00C30AEF" w:rsidP="00C86A31" w14:paraId="210FFBBC" w14:textId="74BC66D0">
            <w:pPr>
              <w:jc w:val="right"/>
              <w:rPr>
                <w:szCs w:val="26"/>
              </w:rPr>
            </w:pPr>
            <w:r w:rsidRPr="00C30AEF">
              <w:rPr>
                <w:szCs w:val="26"/>
              </w:rPr>
              <w:t>216</w:t>
            </w:r>
          </w:p>
        </w:tc>
        <w:tc>
          <w:tcPr>
            <w:tcW w:w="668" w:type="pct"/>
          </w:tcPr>
          <w:p w:rsidR="00C86A31" w:rsidRPr="00C30AEF" w:rsidP="00C86A31" w14:paraId="7D392D6A" w14:textId="7AC14094">
            <w:pPr>
              <w:jc w:val="right"/>
              <w:rPr>
                <w:szCs w:val="26"/>
              </w:rPr>
            </w:pPr>
            <w:r w:rsidRPr="00C30AEF">
              <w:rPr>
                <w:szCs w:val="26"/>
              </w:rPr>
              <w:t>1</w:t>
            </w:r>
          </w:p>
        </w:tc>
        <w:tc>
          <w:tcPr>
            <w:tcW w:w="520" w:type="pct"/>
          </w:tcPr>
          <w:p w:rsidR="00C86A31" w:rsidRPr="00C30AEF" w:rsidP="00C86A31" w14:paraId="15903EB6" w14:textId="62D77A41">
            <w:pPr>
              <w:jc w:val="right"/>
              <w:rPr>
                <w:szCs w:val="26"/>
              </w:rPr>
            </w:pPr>
            <w:r w:rsidRPr="00C30AEF">
              <w:rPr>
                <w:szCs w:val="26"/>
              </w:rPr>
              <w:t>216</w:t>
            </w:r>
          </w:p>
        </w:tc>
        <w:tc>
          <w:tcPr>
            <w:tcW w:w="640" w:type="pct"/>
          </w:tcPr>
          <w:p w:rsidR="00C86A31" w:rsidRPr="00C30AEF" w:rsidP="00C86A31" w14:paraId="59C281B1" w14:textId="7F79FFA1">
            <w:pPr>
              <w:jc w:val="right"/>
              <w:rPr>
                <w:szCs w:val="26"/>
              </w:rPr>
            </w:pPr>
            <w:r w:rsidRPr="00C30AEF">
              <w:rPr>
                <w:szCs w:val="26"/>
              </w:rPr>
              <w:t>6</w:t>
            </w:r>
          </w:p>
        </w:tc>
        <w:tc>
          <w:tcPr>
            <w:tcW w:w="797" w:type="pct"/>
          </w:tcPr>
          <w:p w:rsidR="00C86A31" w:rsidRPr="00C30AEF" w:rsidP="00C86A31" w14:paraId="15F63846" w14:textId="70628C6D">
            <w:pPr>
              <w:jc w:val="right"/>
              <w:rPr>
                <w:szCs w:val="26"/>
              </w:rPr>
            </w:pPr>
            <w:r w:rsidRPr="00C30AEF">
              <w:rPr>
                <w:szCs w:val="26"/>
              </w:rPr>
              <w:t>1</w:t>
            </w:r>
            <w:r w:rsidRPr="00C30AEF" w:rsidR="00216AAB">
              <w:rPr>
                <w:szCs w:val="26"/>
              </w:rPr>
              <w:t>,</w:t>
            </w:r>
            <w:r w:rsidRPr="00C30AEF">
              <w:rPr>
                <w:szCs w:val="26"/>
              </w:rPr>
              <w:t>296</w:t>
            </w:r>
          </w:p>
        </w:tc>
      </w:tr>
      <w:tr w14:paraId="790AD476" w14:textId="77777777" w:rsidTr="00696BBF">
        <w:tblPrEx>
          <w:tblW w:w="5314" w:type="pct"/>
          <w:tblInd w:w="-72" w:type="dxa"/>
          <w:tblLayout w:type="fixed"/>
          <w:tblLook w:val="01E0"/>
        </w:tblPrEx>
        <w:trPr>
          <w:cantSplit/>
        </w:trPr>
        <w:tc>
          <w:tcPr>
            <w:tcW w:w="577" w:type="pct"/>
          </w:tcPr>
          <w:p w:rsidR="00C86A31" w:rsidRPr="00C30AEF" w:rsidP="00C86A31" w14:paraId="48C9DD86" w14:textId="77F3E419">
            <w:pPr>
              <w:rPr>
                <w:szCs w:val="26"/>
              </w:rPr>
            </w:pPr>
            <w:r w:rsidRPr="00C30AEF">
              <w:rPr>
                <w:szCs w:val="26"/>
              </w:rPr>
              <w:t>516H</w:t>
            </w:r>
          </w:p>
        </w:tc>
        <w:tc>
          <w:tcPr>
            <w:tcW w:w="1132" w:type="pct"/>
          </w:tcPr>
          <w:p w:rsidR="00C86A31" w:rsidRPr="00C30AEF" w:rsidP="00C86A31" w14:paraId="03444802" w14:textId="4658421B">
            <w:pPr>
              <w:rPr>
                <w:szCs w:val="26"/>
              </w:rPr>
            </w:pPr>
            <w:r w:rsidRPr="00C30AEF">
              <w:rPr>
                <w:szCs w:val="26"/>
              </w:rPr>
              <w:t>Compliance Filing - Transmission Providers (One-Time)</w:t>
            </w:r>
          </w:p>
        </w:tc>
        <w:tc>
          <w:tcPr>
            <w:tcW w:w="666" w:type="pct"/>
          </w:tcPr>
          <w:p w:rsidR="00C86A31" w:rsidRPr="00C30AEF" w:rsidP="00C86A31" w14:paraId="6D8B1E89" w14:textId="42ECF108">
            <w:pPr>
              <w:jc w:val="right"/>
              <w:rPr>
                <w:szCs w:val="26"/>
              </w:rPr>
            </w:pPr>
            <w:r w:rsidRPr="00C30AEF">
              <w:rPr>
                <w:szCs w:val="26"/>
              </w:rPr>
              <w:t>40</w:t>
            </w:r>
          </w:p>
        </w:tc>
        <w:tc>
          <w:tcPr>
            <w:tcW w:w="668" w:type="pct"/>
          </w:tcPr>
          <w:p w:rsidR="00C86A31" w:rsidRPr="00C30AEF" w:rsidP="00C86A31" w14:paraId="0D1F5540" w14:textId="16E796FA">
            <w:pPr>
              <w:jc w:val="right"/>
              <w:rPr>
                <w:szCs w:val="26"/>
              </w:rPr>
            </w:pPr>
            <w:r w:rsidRPr="00C30AEF">
              <w:rPr>
                <w:szCs w:val="26"/>
              </w:rPr>
              <w:t>1</w:t>
            </w:r>
          </w:p>
        </w:tc>
        <w:tc>
          <w:tcPr>
            <w:tcW w:w="520" w:type="pct"/>
          </w:tcPr>
          <w:p w:rsidR="00C86A31" w:rsidRPr="00C30AEF" w:rsidP="00C86A31" w14:paraId="06163CD0" w14:textId="4D97AAD8">
            <w:pPr>
              <w:jc w:val="right"/>
              <w:rPr>
                <w:szCs w:val="26"/>
              </w:rPr>
            </w:pPr>
            <w:r w:rsidRPr="00C30AEF">
              <w:rPr>
                <w:szCs w:val="26"/>
              </w:rPr>
              <w:t>40</w:t>
            </w:r>
          </w:p>
        </w:tc>
        <w:tc>
          <w:tcPr>
            <w:tcW w:w="640" w:type="pct"/>
          </w:tcPr>
          <w:p w:rsidR="00C86A31" w:rsidRPr="00C30AEF" w:rsidP="00C86A31" w14:paraId="1E27B2C2" w14:textId="4E81F8E2">
            <w:pPr>
              <w:jc w:val="right"/>
              <w:rPr>
                <w:szCs w:val="26"/>
              </w:rPr>
            </w:pPr>
            <w:r w:rsidRPr="00C30AEF">
              <w:rPr>
                <w:szCs w:val="26"/>
              </w:rPr>
              <w:t>4</w:t>
            </w:r>
          </w:p>
        </w:tc>
        <w:tc>
          <w:tcPr>
            <w:tcW w:w="797" w:type="pct"/>
          </w:tcPr>
          <w:p w:rsidR="00C86A31" w:rsidRPr="00C30AEF" w:rsidP="00C86A31" w14:paraId="740182FB" w14:textId="086A7AC1">
            <w:pPr>
              <w:jc w:val="right"/>
              <w:rPr>
                <w:szCs w:val="26"/>
              </w:rPr>
            </w:pPr>
            <w:r w:rsidRPr="00C30AEF">
              <w:rPr>
                <w:szCs w:val="26"/>
              </w:rPr>
              <w:t>160</w:t>
            </w:r>
          </w:p>
        </w:tc>
      </w:tr>
      <w:tr w14:paraId="09BA39DF" w14:textId="77777777" w:rsidTr="00696BBF">
        <w:tblPrEx>
          <w:tblW w:w="5314" w:type="pct"/>
          <w:tblInd w:w="-72" w:type="dxa"/>
          <w:tblLayout w:type="fixed"/>
          <w:tblLook w:val="01E0"/>
        </w:tblPrEx>
        <w:trPr>
          <w:cantSplit/>
        </w:trPr>
        <w:tc>
          <w:tcPr>
            <w:tcW w:w="577" w:type="pct"/>
          </w:tcPr>
          <w:p w:rsidR="00C86A31" w:rsidRPr="00C30AEF" w:rsidP="00C86A31" w14:paraId="34702A09" w14:textId="3EE57FA2">
            <w:pPr>
              <w:rPr>
                <w:szCs w:val="26"/>
              </w:rPr>
            </w:pPr>
            <w:r w:rsidRPr="00C30AEF">
              <w:rPr>
                <w:szCs w:val="26"/>
              </w:rPr>
              <w:t>917</w:t>
            </w:r>
          </w:p>
        </w:tc>
        <w:tc>
          <w:tcPr>
            <w:tcW w:w="1132" w:type="pct"/>
          </w:tcPr>
          <w:p w:rsidR="00C86A31" w:rsidRPr="00C30AEF" w:rsidP="00C86A31" w14:paraId="4E0961B4" w14:textId="055E3A1B">
            <w:pPr>
              <w:rPr>
                <w:szCs w:val="26"/>
              </w:rPr>
            </w:pPr>
            <w:r w:rsidRPr="00C30AEF">
              <w:rPr>
                <w:szCs w:val="26"/>
              </w:rPr>
              <w:t>RM21-17: Revise the regional transmission planning process - Right-sizing transmission (with OATT) (Ongoing))</w:t>
            </w:r>
          </w:p>
        </w:tc>
        <w:tc>
          <w:tcPr>
            <w:tcW w:w="666" w:type="pct"/>
          </w:tcPr>
          <w:p w:rsidR="00C86A31" w:rsidRPr="00C30AEF" w:rsidP="00C86A31" w14:paraId="58F60657" w14:textId="0AE7BF88">
            <w:pPr>
              <w:jc w:val="right"/>
              <w:rPr>
                <w:szCs w:val="26"/>
              </w:rPr>
            </w:pPr>
            <w:r w:rsidRPr="00C30AEF">
              <w:rPr>
                <w:szCs w:val="26"/>
              </w:rPr>
              <w:t>48</w:t>
            </w:r>
          </w:p>
        </w:tc>
        <w:tc>
          <w:tcPr>
            <w:tcW w:w="668" w:type="pct"/>
          </w:tcPr>
          <w:p w:rsidR="00C86A31" w:rsidRPr="00C30AEF" w:rsidP="00C86A31" w14:paraId="715E0A2C" w14:textId="77AB6DD7">
            <w:pPr>
              <w:jc w:val="right"/>
              <w:rPr>
                <w:szCs w:val="26"/>
              </w:rPr>
            </w:pPr>
            <w:r w:rsidRPr="00C30AEF">
              <w:rPr>
                <w:szCs w:val="26"/>
              </w:rPr>
              <w:t>1</w:t>
            </w:r>
          </w:p>
        </w:tc>
        <w:tc>
          <w:tcPr>
            <w:tcW w:w="520" w:type="pct"/>
          </w:tcPr>
          <w:p w:rsidR="00C86A31" w:rsidRPr="00C30AEF" w:rsidP="00C86A31" w14:paraId="3FB940A2" w14:textId="06A1BC1B">
            <w:pPr>
              <w:jc w:val="right"/>
              <w:rPr>
                <w:color w:val="000000"/>
                <w:szCs w:val="26"/>
              </w:rPr>
            </w:pPr>
            <w:r w:rsidRPr="00C30AEF">
              <w:rPr>
                <w:szCs w:val="26"/>
              </w:rPr>
              <w:t>48</w:t>
            </w:r>
          </w:p>
        </w:tc>
        <w:tc>
          <w:tcPr>
            <w:tcW w:w="640" w:type="pct"/>
          </w:tcPr>
          <w:p w:rsidR="00C86A31" w:rsidRPr="00C30AEF" w:rsidP="00C86A31" w14:paraId="40F14A10" w14:textId="05BA19F9">
            <w:pPr>
              <w:jc w:val="right"/>
              <w:rPr>
                <w:color w:val="000000"/>
                <w:szCs w:val="26"/>
              </w:rPr>
            </w:pPr>
            <w:r w:rsidRPr="00C30AEF">
              <w:rPr>
                <w:szCs w:val="26"/>
              </w:rPr>
              <w:t>120</w:t>
            </w:r>
          </w:p>
        </w:tc>
        <w:tc>
          <w:tcPr>
            <w:tcW w:w="797" w:type="pct"/>
          </w:tcPr>
          <w:p w:rsidR="00C86A31" w:rsidRPr="00C30AEF" w:rsidP="00C86A31" w14:paraId="03B31F08" w14:textId="16DD2CCF">
            <w:pPr>
              <w:jc w:val="right"/>
              <w:rPr>
                <w:color w:val="000000"/>
                <w:szCs w:val="26"/>
              </w:rPr>
            </w:pPr>
            <w:r w:rsidRPr="00C30AEF">
              <w:rPr>
                <w:szCs w:val="26"/>
              </w:rPr>
              <w:t>5</w:t>
            </w:r>
            <w:r w:rsidRPr="00C30AEF" w:rsidR="006E14A6">
              <w:rPr>
                <w:szCs w:val="26"/>
              </w:rPr>
              <w:t>,</w:t>
            </w:r>
            <w:r w:rsidRPr="00C30AEF">
              <w:rPr>
                <w:szCs w:val="26"/>
              </w:rPr>
              <w:t>760</w:t>
            </w:r>
          </w:p>
        </w:tc>
      </w:tr>
      <w:tr w14:paraId="290F7FCD" w14:textId="77777777" w:rsidTr="00696BBF">
        <w:tblPrEx>
          <w:tblW w:w="5314" w:type="pct"/>
          <w:tblInd w:w="-72" w:type="dxa"/>
          <w:tblLayout w:type="fixed"/>
          <w:tblLook w:val="01E0"/>
        </w:tblPrEx>
        <w:trPr>
          <w:cantSplit/>
        </w:trPr>
        <w:tc>
          <w:tcPr>
            <w:tcW w:w="577" w:type="pct"/>
          </w:tcPr>
          <w:p w:rsidR="00C86A31" w:rsidRPr="00C30AEF" w:rsidP="00C86A31" w14:paraId="7A207C16" w14:textId="759C60C2">
            <w:pPr>
              <w:rPr>
                <w:szCs w:val="26"/>
              </w:rPr>
            </w:pPr>
            <w:r w:rsidRPr="00C30AEF">
              <w:rPr>
                <w:szCs w:val="26"/>
              </w:rPr>
              <w:t>917</w:t>
            </w:r>
          </w:p>
        </w:tc>
        <w:tc>
          <w:tcPr>
            <w:tcW w:w="1132" w:type="pct"/>
          </w:tcPr>
          <w:p w:rsidR="00C86A31" w:rsidRPr="00C30AEF" w:rsidP="00C86A31" w14:paraId="4B455D84" w14:textId="0B38E3C6">
            <w:pPr>
              <w:rPr>
                <w:szCs w:val="26"/>
              </w:rPr>
            </w:pPr>
            <w:r w:rsidRPr="00C30AEF">
              <w:rPr>
                <w:szCs w:val="26"/>
              </w:rPr>
              <w:t>RM21-17: Evaluating Alternative Transmission Technologies (with OATT)</w:t>
            </w:r>
          </w:p>
        </w:tc>
        <w:tc>
          <w:tcPr>
            <w:tcW w:w="666" w:type="pct"/>
          </w:tcPr>
          <w:p w:rsidR="00C86A31" w:rsidRPr="00C30AEF" w:rsidP="00C86A31" w14:paraId="3F215ECE" w14:textId="2086C89F">
            <w:pPr>
              <w:jc w:val="right"/>
              <w:rPr>
                <w:szCs w:val="26"/>
              </w:rPr>
            </w:pPr>
            <w:r w:rsidRPr="00C30AEF">
              <w:rPr>
                <w:szCs w:val="26"/>
              </w:rPr>
              <w:t>48</w:t>
            </w:r>
          </w:p>
        </w:tc>
        <w:tc>
          <w:tcPr>
            <w:tcW w:w="668" w:type="pct"/>
          </w:tcPr>
          <w:p w:rsidR="00C86A31" w:rsidRPr="00C30AEF" w:rsidP="00C86A31" w14:paraId="7E3ED41B" w14:textId="6DCB3D3F">
            <w:pPr>
              <w:jc w:val="right"/>
              <w:rPr>
                <w:szCs w:val="26"/>
              </w:rPr>
            </w:pPr>
            <w:r w:rsidRPr="00C30AEF">
              <w:rPr>
                <w:szCs w:val="26"/>
              </w:rPr>
              <w:t>1</w:t>
            </w:r>
          </w:p>
        </w:tc>
        <w:tc>
          <w:tcPr>
            <w:tcW w:w="520" w:type="pct"/>
          </w:tcPr>
          <w:p w:rsidR="00C86A31" w:rsidRPr="00C30AEF" w:rsidP="00C86A31" w14:paraId="4B5C16C1" w14:textId="28F990A6">
            <w:pPr>
              <w:jc w:val="right"/>
              <w:rPr>
                <w:color w:val="000000"/>
                <w:szCs w:val="26"/>
              </w:rPr>
            </w:pPr>
            <w:r w:rsidRPr="00C30AEF">
              <w:rPr>
                <w:szCs w:val="26"/>
              </w:rPr>
              <w:t>48</w:t>
            </w:r>
          </w:p>
        </w:tc>
        <w:tc>
          <w:tcPr>
            <w:tcW w:w="640" w:type="pct"/>
          </w:tcPr>
          <w:p w:rsidR="00C86A31" w:rsidRPr="00C30AEF" w:rsidP="00C86A31" w14:paraId="26E1C933" w14:textId="092F0667">
            <w:pPr>
              <w:jc w:val="right"/>
              <w:rPr>
                <w:color w:val="000000"/>
                <w:szCs w:val="26"/>
              </w:rPr>
            </w:pPr>
            <w:r w:rsidRPr="00C30AEF">
              <w:rPr>
                <w:szCs w:val="26"/>
              </w:rPr>
              <w:t>100</w:t>
            </w:r>
          </w:p>
        </w:tc>
        <w:tc>
          <w:tcPr>
            <w:tcW w:w="797" w:type="pct"/>
          </w:tcPr>
          <w:p w:rsidR="00C86A31" w:rsidRPr="00C30AEF" w:rsidP="00C86A31" w14:paraId="3EF07043" w14:textId="4DFDF274">
            <w:pPr>
              <w:jc w:val="right"/>
              <w:rPr>
                <w:color w:val="000000"/>
                <w:szCs w:val="26"/>
              </w:rPr>
            </w:pPr>
            <w:r w:rsidRPr="00C30AEF">
              <w:rPr>
                <w:szCs w:val="26"/>
              </w:rPr>
              <w:t>4</w:t>
            </w:r>
            <w:r w:rsidRPr="00C30AEF" w:rsidR="006E14A6">
              <w:rPr>
                <w:szCs w:val="26"/>
              </w:rPr>
              <w:t>,</w:t>
            </w:r>
            <w:r w:rsidRPr="00C30AEF">
              <w:rPr>
                <w:szCs w:val="26"/>
              </w:rPr>
              <w:t>800</w:t>
            </w:r>
          </w:p>
        </w:tc>
      </w:tr>
      <w:tr w14:paraId="51BBFEB1" w14:textId="77777777" w:rsidTr="00696BBF">
        <w:tblPrEx>
          <w:tblW w:w="5314" w:type="pct"/>
          <w:tblInd w:w="-72" w:type="dxa"/>
          <w:tblLayout w:type="fixed"/>
          <w:tblLook w:val="01E0"/>
        </w:tblPrEx>
        <w:trPr>
          <w:cantSplit/>
        </w:trPr>
        <w:tc>
          <w:tcPr>
            <w:tcW w:w="577" w:type="pct"/>
          </w:tcPr>
          <w:p w:rsidR="00C86A31" w:rsidRPr="00C30AEF" w:rsidP="00C86A31" w14:paraId="010D9DAC" w14:textId="071B2665">
            <w:pPr>
              <w:rPr>
                <w:szCs w:val="26"/>
              </w:rPr>
            </w:pPr>
            <w:r w:rsidRPr="00C30AEF">
              <w:rPr>
                <w:szCs w:val="26"/>
              </w:rPr>
              <w:t>917</w:t>
            </w:r>
          </w:p>
        </w:tc>
        <w:tc>
          <w:tcPr>
            <w:tcW w:w="1132" w:type="pct"/>
          </w:tcPr>
          <w:p w:rsidR="00C86A31" w:rsidRPr="00C30AEF" w:rsidP="00C86A31" w14:paraId="02666F55" w14:textId="379CAC43">
            <w:pPr>
              <w:rPr>
                <w:szCs w:val="26"/>
              </w:rPr>
            </w:pPr>
            <w:r w:rsidRPr="00C30AEF">
              <w:rPr>
                <w:szCs w:val="26"/>
              </w:rPr>
              <w:t>RM21-17-001: Requirement for transmission providers to consult with states prior to amendment of cost allocation methods on file with the Commission (ongoing)</w:t>
            </w:r>
          </w:p>
        </w:tc>
        <w:tc>
          <w:tcPr>
            <w:tcW w:w="666" w:type="pct"/>
          </w:tcPr>
          <w:p w:rsidR="00C86A31" w:rsidRPr="00C30AEF" w:rsidP="00C86A31" w14:paraId="2EC9CAED" w14:textId="10894954">
            <w:pPr>
              <w:jc w:val="right"/>
              <w:rPr>
                <w:szCs w:val="26"/>
              </w:rPr>
            </w:pPr>
            <w:r w:rsidRPr="00C30AEF">
              <w:rPr>
                <w:szCs w:val="26"/>
              </w:rPr>
              <w:t>48</w:t>
            </w:r>
          </w:p>
        </w:tc>
        <w:tc>
          <w:tcPr>
            <w:tcW w:w="668" w:type="pct"/>
          </w:tcPr>
          <w:p w:rsidR="00C86A31" w:rsidRPr="00C30AEF" w:rsidP="00C86A31" w14:paraId="0E7AAA2C" w14:textId="7DCEDDD3">
            <w:pPr>
              <w:jc w:val="right"/>
              <w:rPr>
                <w:szCs w:val="26"/>
              </w:rPr>
            </w:pPr>
            <w:r w:rsidRPr="00C30AEF">
              <w:rPr>
                <w:szCs w:val="26"/>
              </w:rPr>
              <w:t>1</w:t>
            </w:r>
          </w:p>
        </w:tc>
        <w:tc>
          <w:tcPr>
            <w:tcW w:w="520" w:type="pct"/>
          </w:tcPr>
          <w:p w:rsidR="00C86A31" w:rsidRPr="00C30AEF" w:rsidP="00C86A31" w14:paraId="12DF0A6E" w14:textId="0420DE58">
            <w:pPr>
              <w:jc w:val="right"/>
              <w:rPr>
                <w:color w:val="000000"/>
                <w:szCs w:val="26"/>
              </w:rPr>
            </w:pPr>
            <w:r w:rsidRPr="00C30AEF">
              <w:rPr>
                <w:szCs w:val="26"/>
              </w:rPr>
              <w:t>48</w:t>
            </w:r>
          </w:p>
        </w:tc>
        <w:tc>
          <w:tcPr>
            <w:tcW w:w="640" w:type="pct"/>
          </w:tcPr>
          <w:p w:rsidR="00C86A31" w:rsidRPr="00C30AEF" w:rsidP="00C86A31" w14:paraId="119FCEC8" w14:textId="7BFE7EA7">
            <w:pPr>
              <w:jc w:val="right"/>
              <w:rPr>
                <w:color w:val="000000"/>
                <w:szCs w:val="26"/>
              </w:rPr>
            </w:pPr>
            <w:r w:rsidRPr="00C30AEF">
              <w:rPr>
                <w:szCs w:val="26"/>
              </w:rPr>
              <w:t>39</w:t>
            </w:r>
          </w:p>
        </w:tc>
        <w:tc>
          <w:tcPr>
            <w:tcW w:w="797" w:type="pct"/>
          </w:tcPr>
          <w:p w:rsidR="00C86A31" w:rsidRPr="00C30AEF" w:rsidP="00C86A31" w14:paraId="3ACC7BF3" w14:textId="26031333">
            <w:pPr>
              <w:jc w:val="right"/>
              <w:rPr>
                <w:color w:val="000000"/>
                <w:szCs w:val="26"/>
              </w:rPr>
            </w:pPr>
            <w:r w:rsidRPr="00C30AEF">
              <w:rPr>
                <w:szCs w:val="26"/>
              </w:rPr>
              <w:t>1</w:t>
            </w:r>
            <w:r w:rsidRPr="00C30AEF" w:rsidR="006E14A6">
              <w:rPr>
                <w:szCs w:val="26"/>
              </w:rPr>
              <w:t>,</w:t>
            </w:r>
            <w:r w:rsidRPr="00C30AEF">
              <w:rPr>
                <w:szCs w:val="26"/>
              </w:rPr>
              <w:t>872</w:t>
            </w:r>
          </w:p>
        </w:tc>
      </w:tr>
      <w:tr w14:paraId="17ACE79A" w14:textId="77777777" w:rsidTr="00696BBF">
        <w:tblPrEx>
          <w:tblW w:w="5314" w:type="pct"/>
          <w:tblInd w:w="-72" w:type="dxa"/>
          <w:tblLayout w:type="fixed"/>
          <w:tblLook w:val="01E0"/>
        </w:tblPrEx>
        <w:trPr>
          <w:cantSplit/>
        </w:trPr>
        <w:tc>
          <w:tcPr>
            <w:tcW w:w="577" w:type="pct"/>
          </w:tcPr>
          <w:p w:rsidR="00C86A31" w:rsidRPr="00C30AEF" w:rsidP="00C86A31" w14:paraId="5DB6BFE9" w14:textId="5A9A1146">
            <w:pPr>
              <w:rPr>
                <w:szCs w:val="26"/>
              </w:rPr>
            </w:pPr>
            <w:r w:rsidRPr="00C30AEF">
              <w:rPr>
                <w:szCs w:val="26"/>
              </w:rPr>
              <w:t>917</w:t>
            </w:r>
          </w:p>
        </w:tc>
        <w:tc>
          <w:tcPr>
            <w:tcW w:w="1132" w:type="pct"/>
          </w:tcPr>
          <w:p w:rsidR="00C86A31" w:rsidRPr="00C30AEF" w:rsidP="00C86A31" w14:paraId="46ED2982" w14:textId="63959D71">
            <w:pPr>
              <w:rPr>
                <w:szCs w:val="26"/>
              </w:rPr>
            </w:pPr>
            <w:r w:rsidRPr="00C30AEF">
              <w:rPr>
                <w:szCs w:val="26"/>
              </w:rPr>
              <w:t>RM21-17: Consider in the regional transmission planning processes regional transmission facilities that address certain interconnection-related needs</w:t>
            </w:r>
          </w:p>
        </w:tc>
        <w:tc>
          <w:tcPr>
            <w:tcW w:w="666" w:type="pct"/>
          </w:tcPr>
          <w:p w:rsidR="00C86A31" w:rsidRPr="00C30AEF" w:rsidP="00C86A31" w14:paraId="135E2E3B" w14:textId="7DC5F148">
            <w:pPr>
              <w:jc w:val="right"/>
              <w:rPr>
                <w:szCs w:val="26"/>
              </w:rPr>
            </w:pPr>
            <w:r w:rsidRPr="00C30AEF">
              <w:rPr>
                <w:szCs w:val="26"/>
              </w:rPr>
              <w:t>48</w:t>
            </w:r>
          </w:p>
        </w:tc>
        <w:tc>
          <w:tcPr>
            <w:tcW w:w="668" w:type="pct"/>
          </w:tcPr>
          <w:p w:rsidR="00C86A31" w:rsidRPr="00C30AEF" w:rsidP="00C86A31" w14:paraId="1F204449" w14:textId="2DC65350">
            <w:pPr>
              <w:jc w:val="right"/>
              <w:rPr>
                <w:szCs w:val="26"/>
              </w:rPr>
            </w:pPr>
            <w:r w:rsidRPr="00C30AEF">
              <w:rPr>
                <w:szCs w:val="26"/>
              </w:rPr>
              <w:t>1</w:t>
            </w:r>
          </w:p>
        </w:tc>
        <w:tc>
          <w:tcPr>
            <w:tcW w:w="520" w:type="pct"/>
          </w:tcPr>
          <w:p w:rsidR="00C86A31" w:rsidRPr="00C30AEF" w:rsidP="00C86A31" w14:paraId="33E8567F" w14:textId="2C76FD27">
            <w:pPr>
              <w:jc w:val="right"/>
              <w:rPr>
                <w:color w:val="000000"/>
                <w:szCs w:val="26"/>
              </w:rPr>
            </w:pPr>
            <w:r w:rsidRPr="00C30AEF">
              <w:rPr>
                <w:szCs w:val="26"/>
              </w:rPr>
              <w:t>48</w:t>
            </w:r>
          </w:p>
        </w:tc>
        <w:tc>
          <w:tcPr>
            <w:tcW w:w="640" w:type="pct"/>
          </w:tcPr>
          <w:p w:rsidR="00C86A31" w:rsidRPr="00C30AEF" w:rsidP="00C86A31" w14:paraId="734B25E4" w14:textId="6BDA99E1">
            <w:pPr>
              <w:jc w:val="right"/>
              <w:rPr>
                <w:color w:val="000000"/>
                <w:szCs w:val="26"/>
              </w:rPr>
            </w:pPr>
            <w:r w:rsidRPr="00C30AEF">
              <w:rPr>
                <w:szCs w:val="26"/>
              </w:rPr>
              <w:t>50</w:t>
            </w:r>
          </w:p>
        </w:tc>
        <w:tc>
          <w:tcPr>
            <w:tcW w:w="797" w:type="pct"/>
          </w:tcPr>
          <w:p w:rsidR="00C86A31" w:rsidRPr="00C30AEF" w:rsidP="00C86A31" w14:paraId="24F9A147" w14:textId="654B87BF">
            <w:pPr>
              <w:jc w:val="right"/>
              <w:rPr>
                <w:color w:val="000000"/>
                <w:szCs w:val="26"/>
              </w:rPr>
            </w:pPr>
            <w:r w:rsidRPr="00C30AEF">
              <w:rPr>
                <w:szCs w:val="26"/>
              </w:rPr>
              <w:t>2</w:t>
            </w:r>
            <w:r w:rsidRPr="00C30AEF" w:rsidR="006E14A6">
              <w:rPr>
                <w:szCs w:val="26"/>
              </w:rPr>
              <w:t>,</w:t>
            </w:r>
            <w:r w:rsidRPr="00C30AEF">
              <w:rPr>
                <w:szCs w:val="26"/>
              </w:rPr>
              <w:t>400</w:t>
            </w:r>
          </w:p>
        </w:tc>
      </w:tr>
      <w:tr w14:paraId="19858317" w14:textId="77777777" w:rsidTr="00696BBF">
        <w:tblPrEx>
          <w:tblW w:w="5314" w:type="pct"/>
          <w:tblInd w:w="-72" w:type="dxa"/>
          <w:tblLayout w:type="fixed"/>
          <w:tblLook w:val="01E0"/>
        </w:tblPrEx>
        <w:trPr>
          <w:cantSplit/>
        </w:trPr>
        <w:tc>
          <w:tcPr>
            <w:tcW w:w="577" w:type="pct"/>
          </w:tcPr>
          <w:p w:rsidR="00C86A31" w:rsidRPr="00C30AEF" w:rsidP="00C86A31" w14:paraId="1E61820D" w14:textId="31A9E672">
            <w:pPr>
              <w:rPr>
                <w:szCs w:val="26"/>
              </w:rPr>
            </w:pPr>
            <w:r w:rsidRPr="00C30AEF">
              <w:rPr>
                <w:szCs w:val="26"/>
              </w:rPr>
              <w:t>917</w:t>
            </w:r>
          </w:p>
        </w:tc>
        <w:tc>
          <w:tcPr>
            <w:tcW w:w="1132" w:type="pct"/>
          </w:tcPr>
          <w:p w:rsidR="00C86A31" w:rsidRPr="00C30AEF" w:rsidP="00C86A31" w14:paraId="1DC6E2F9" w14:textId="5DFA735C">
            <w:pPr>
              <w:rPr>
                <w:szCs w:val="26"/>
              </w:rPr>
            </w:pPr>
            <w:r w:rsidRPr="00C30AEF">
              <w:rPr>
                <w:szCs w:val="26"/>
              </w:rPr>
              <w:t>RM21-17: Sharing Information between planning regions</w:t>
            </w:r>
          </w:p>
        </w:tc>
        <w:tc>
          <w:tcPr>
            <w:tcW w:w="666" w:type="pct"/>
          </w:tcPr>
          <w:p w:rsidR="00C86A31" w:rsidRPr="00C30AEF" w:rsidP="00C86A31" w14:paraId="71FE3169" w14:textId="6C28895B">
            <w:pPr>
              <w:jc w:val="right"/>
              <w:rPr>
                <w:szCs w:val="26"/>
              </w:rPr>
            </w:pPr>
            <w:r w:rsidRPr="00C30AEF">
              <w:rPr>
                <w:szCs w:val="26"/>
              </w:rPr>
              <w:t>48</w:t>
            </w:r>
          </w:p>
        </w:tc>
        <w:tc>
          <w:tcPr>
            <w:tcW w:w="668" w:type="pct"/>
          </w:tcPr>
          <w:p w:rsidR="00C86A31" w:rsidRPr="00C30AEF" w:rsidP="00C86A31" w14:paraId="3FBA89DF" w14:textId="6A2A4857">
            <w:pPr>
              <w:jc w:val="right"/>
              <w:rPr>
                <w:szCs w:val="26"/>
              </w:rPr>
            </w:pPr>
            <w:r w:rsidRPr="00C30AEF">
              <w:rPr>
                <w:szCs w:val="26"/>
              </w:rPr>
              <w:t>1</w:t>
            </w:r>
          </w:p>
        </w:tc>
        <w:tc>
          <w:tcPr>
            <w:tcW w:w="520" w:type="pct"/>
          </w:tcPr>
          <w:p w:rsidR="00C86A31" w:rsidRPr="00C30AEF" w:rsidP="00C86A31" w14:paraId="72480C3F" w14:textId="73261B2D">
            <w:pPr>
              <w:jc w:val="right"/>
              <w:rPr>
                <w:color w:val="000000"/>
                <w:szCs w:val="26"/>
              </w:rPr>
            </w:pPr>
            <w:r w:rsidRPr="00C30AEF">
              <w:rPr>
                <w:szCs w:val="26"/>
              </w:rPr>
              <w:t>48</w:t>
            </w:r>
          </w:p>
        </w:tc>
        <w:tc>
          <w:tcPr>
            <w:tcW w:w="640" w:type="pct"/>
          </w:tcPr>
          <w:p w:rsidR="00C86A31" w:rsidRPr="00C30AEF" w:rsidP="00C86A31" w14:paraId="510ABDBA" w14:textId="17ED8AEE">
            <w:pPr>
              <w:jc w:val="right"/>
              <w:rPr>
                <w:color w:val="000000"/>
                <w:szCs w:val="26"/>
              </w:rPr>
            </w:pPr>
            <w:r w:rsidRPr="00C30AEF">
              <w:rPr>
                <w:szCs w:val="26"/>
              </w:rPr>
              <w:t>25</w:t>
            </w:r>
          </w:p>
        </w:tc>
        <w:tc>
          <w:tcPr>
            <w:tcW w:w="797" w:type="pct"/>
          </w:tcPr>
          <w:p w:rsidR="00C86A31" w:rsidRPr="00C30AEF" w:rsidP="00C86A31" w14:paraId="241D77B1" w14:textId="08DDCDFC">
            <w:pPr>
              <w:jc w:val="right"/>
              <w:rPr>
                <w:color w:val="000000"/>
                <w:szCs w:val="26"/>
              </w:rPr>
            </w:pPr>
            <w:r w:rsidRPr="00C30AEF">
              <w:rPr>
                <w:szCs w:val="26"/>
              </w:rPr>
              <w:t>1</w:t>
            </w:r>
            <w:r w:rsidRPr="00C30AEF" w:rsidR="006E14A6">
              <w:rPr>
                <w:szCs w:val="26"/>
              </w:rPr>
              <w:t>,</w:t>
            </w:r>
            <w:r w:rsidRPr="00C30AEF">
              <w:rPr>
                <w:szCs w:val="26"/>
              </w:rPr>
              <w:t>200</w:t>
            </w:r>
          </w:p>
        </w:tc>
      </w:tr>
      <w:tr w14:paraId="42AF5B9C" w14:textId="77777777" w:rsidTr="00696BBF">
        <w:tblPrEx>
          <w:tblW w:w="5314" w:type="pct"/>
          <w:tblInd w:w="-72" w:type="dxa"/>
          <w:tblLayout w:type="fixed"/>
          <w:tblLook w:val="01E0"/>
        </w:tblPrEx>
        <w:trPr>
          <w:cantSplit/>
        </w:trPr>
        <w:tc>
          <w:tcPr>
            <w:tcW w:w="577" w:type="pct"/>
          </w:tcPr>
          <w:p w:rsidR="00C86A31" w:rsidRPr="00C30AEF" w:rsidP="00C86A31" w14:paraId="075A29D7" w14:textId="4A6C4F68">
            <w:pPr>
              <w:rPr>
                <w:szCs w:val="26"/>
              </w:rPr>
            </w:pPr>
            <w:r w:rsidRPr="00C30AEF">
              <w:rPr>
                <w:szCs w:val="26"/>
              </w:rPr>
              <w:t>917</w:t>
            </w:r>
          </w:p>
        </w:tc>
        <w:tc>
          <w:tcPr>
            <w:tcW w:w="1132" w:type="pct"/>
          </w:tcPr>
          <w:p w:rsidR="00C86A31" w:rsidRPr="00C30AEF" w:rsidP="00C86A31" w14:paraId="2903D2FB" w14:textId="382F3042">
            <w:pPr>
              <w:rPr>
                <w:szCs w:val="26"/>
              </w:rPr>
            </w:pPr>
            <w:r w:rsidRPr="00C30AEF">
              <w:rPr>
                <w:szCs w:val="26"/>
              </w:rPr>
              <w:t>RM21-17: Revise the regional transmission planning process - Right-sizing transmission (with OATT) (One-time)</w:t>
            </w:r>
          </w:p>
        </w:tc>
        <w:tc>
          <w:tcPr>
            <w:tcW w:w="666" w:type="pct"/>
          </w:tcPr>
          <w:p w:rsidR="00C86A31" w:rsidRPr="00C30AEF" w:rsidP="00C86A31" w14:paraId="12C1B1AA" w14:textId="055B27E6">
            <w:pPr>
              <w:jc w:val="right"/>
              <w:rPr>
                <w:szCs w:val="26"/>
              </w:rPr>
            </w:pPr>
            <w:r w:rsidRPr="00C30AEF">
              <w:rPr>
                <w:szCs w:val="26"/>
              </w:rPr>
              <w:t>48</w:t>
            </w:r>
          </w:p>
        </w:tc>
        <w:tc>
          <w:tcPr>
            <w:tcW w:w="668" w:type="pct"/>
          </w:tcPr>
          <w:p w:rsidR="00C86A31" w:rsidRPr="00C30AEF" w:rsidP="00C86A31" w14:paraId="2BC98F5D" w14:textId="151666D1">
            <w:pPr>
              <w:jc w:val="right"/>
              <w:rPr>
                <w:szCs w:val="26"/>
              </w:rPr>
            </w:pPr>
            <w:r w:rsidRPr="00C30AEF">
              <w:rPr>
                <w:szCs w:val="26"/>
              </w:rPr>
              <w:t>1</w:t>
            </w:r>
          </w:p>
        </w:tc>
        <w:tc>
          <w:tcPr>
            <w:tcW w:w="520" w:type="pct"/>
          </w:tcPr>
          <w:p w:rsidR="00C86A31" w:rsidRPr="00C30AEF" w:rsidP="00C86A31" w14:paraId="6E8DBCFF" w14:textId="1773259D">
            <w:pPr>
              <w:jc w:val="right"/>
              <w:rPr>
                <w:color w:val="000000"/>
                <w:szCs w:val="26"/>
              </w:rPr>
            </w:pPr>
            <w:r w:rsidRPr="00C30AEF">
              <w:rPr>
                <w:szCs w:val="26"/>
              </w:rPr>
              <w:t>48</w:t>
            </w:r>
          </w:p>
        </w:tc>
        <w:tc>
          <w:tcPr>
            <w:tcW w:w="640" w:type="pct"/>
          </w:tcPr>
          <w:p w:rsidR="00C86A31" w:rsidRPr="00C30AEF" w:rsidP="00C86A31" w14:paraId="4E987726" w14:textId="3776A8AA">
            <w:pPr>
              <w:jc w:val="right"/>
              <w:rPr>
                <w:color w:val="000000"/>
                <w:szCs w:val="26"/>
              </w:rPr>
            </w:pPr>
            <w:r w:rsidRPr="00C30AEF">
              <w:rPr>
                <w:szCs w:val="26"/>
              </w:rPr>
              <w:t>30</w:t>
            </w:r>
          </w:p>
        </w:tc>
        <w:tc>
          <w:tcPr>
            <w:tcW w:w="797" w:type="pct"/>
          </w:tcPr>
          <w:p w:rsidR="00C86A31" w:rsidRPr="00C30AEF" w:rsidP="00C86A31" w14:paraId="4A1FD807" w14:textId="1B6F7566">
            <w:pPr>
              <w:jc w:val="right"/>
              <w:rPr>
                <w:color w:val="000000"/>
                <w:szCs w:val="26"/>
              </w:rPr>
            </w:pPr>
            <w:r w:rsidRPr="00C30AEF">
              <w:rPr>
                <w:szCs w:val="26"/>
              </w:rPr>
              <w:t>1</w:t>
            </w:r>
            <w:r w:rsidRPr="00C30AEF" w:rsidR="006E14A6">
              <w:rPr>
                <w:szCs w:val="26"/>
              </w:rPr>
              <w:t>,</w:t>
            </w:r>
            <w:r w:rsidRPr="00C30AEF">
              <w:rPr>
                <w:szCs w:val="26"/>
              </w:rPr>
              <w:t>440</w:t>
            </w:r>
          </w:p>
        </w:tc>
      </w:tr>
      <w:tr w14:paraId="684007AA" w14:textId="77777777" w:rsidTr="00696BBF">
        <w:tblPrEx>
          <w:tblW w:w="5314" w:type="pct"/>
          <w:tblInd w:w="-72" w:type="dxa"/>
          <w:tblLayout w:type="fixed"/>
          <w:tblLook w:val="01E0"/>
        </w:tblPrEx>
        <w:trPr>
          <w:cantSplit/>
        </w:trPr>
        <w:tc>
          <w:tcPr>
            <w:tcW w:w="577" w:type="pct"/>
          </w:tcPr>
          <w:p w:rsidR="00C86A31" w:rsidRPr="00C30AEF" w:rsidP="00C86A31" w14:paraId="3AE7E06A" w14:textId="25EA35E3">
            <w:pPr>
              <w:rPr>
                <w:szCs w:val="26"/>
              </w:rPr>
            </w:pPr>
            <w:r w:rsidRPr="00C30AEF">
              <w:rPr>
                <w:szCs w:val="26"/>
              </w:rPr>
              <w:t>917</w:t>
            </w:r>
          </w:p>
        </w:tc>
        <w:tc>
          <w:tcPr>
            <w:tcW w:w="1132" w:type="pct"/>
          </w:tcPr>
          <w:p w:rsidR="00C86A31" w:rsidRPr="00C30AEF" w:rsidP="00C86A31" w14:paraId="6C9906B1" w14:textId="25220575">
            <w:pPr>
              <w:rPr>
                <w:szCs w:val="26"/>
              </w:rPr>
            </w:pPr>
            <w:r w:rsidRPr="00C30AEF">
              <w:rPr>
                <w:szCs w:val="26"/>
              </w:rPr>
              <w:t>RM21-17: Participate in Long-Term Regional Transmission Planning (Without OATT))</w:t>
            </w:r>
          </w:p>
        </w:tc>
        <w:tc>
          <w:tcPr>
            <w:tcW w:w="666" w:type="pct"/>
          </w:tcPr>
          <w:p w:rsidR="00C86A31" w:rsidRPr="00C30AEF" w:rsidP="00C86A31" w14:paraId="45A29961" w14:textId="253811A1">
            <w:pPr>
              <w:jc w:val="right"/>
              <w:rPr>
                <w:szCs w:val="26"/>
              </w:rPr>
            </w:pPr>
            <w:r w:rsidRPr="00C30AEF">
              <w:rPr>
                <w:szCs w:val="26"/>
              </w:rPr>
              <w:t>77</w:t>
            </w:r>
          </w:p>
        </w:tc>
        <w:tc>
          <w:tcPr>
            <w:tcW w:w="668" w:type="pct"/>
          </w:tcPr>
          <w:p w:rsidR="00C86A31" w:rsidRPr="00C30AEF" w:rsidP="00C86A31" w14:paraId="09E2F96E" w14:textId="730902D6">
            <w:pPr>
              <w:jc w:val="right"/>
              <w:rPr>
                <w:szCs w:val="26"/>
              </w:rPr>
            </w:pPr>
            <w:r w:rsidRPr="00C30AEF">
              <w:rPr>
                <w:szCs w:val="26"/>
              </w:rPr>
              <w:t>1</w:t>
            </w:r>
          </w:p>
        </w:tc>
        <w:tc>
          <w:tcPr>
            <w:tcW w:w="520" w:type="pct"/>
          </w:tcPr>
          <w:p w:rsidR="00C86A31" w:rsidRPr="00C30AEF" w:rsidP="00C86A31" w14:paraId="6387A69C" w14:textId="3BBEB22B">
            <w:pPr>
              <w:jc w:val="right"/>
              <w:rPr>
                <w:color w:val="000000"/>
                <w:szCs w:val="26"/>
              </w:rPr>
            </w:pPr>
            <w:r w:rsidRPr="00C30AEF">
              <w:rPr>
                <w:szCs w:val="26"/>
              </w:rPr>
              <w:t>77</w:t>
            </w:r>
          </w:p>
        </w:tc>
        <w:tc>
          <w:tcPr>
            <w:tcW w:w="640" w:type="pct"/>
          </w:tcPr>
          <w:p w:rsidR="00C86A31" w:rsidRPr="00C30AEF" w:rsidP="00C86A31" w14:paraId="660F8A9B" w14:textId="1DC60127">
            <w:pPr>
              <w:jc w:val="right"/>
              <w:rPr>
                <w:color w:val="000000"/>
                <w:szCs w:val="26"/>
              </w:rPr>
            </w:pPr>
            <w:r w:rsidRPr="00C30AEF">
              <w:rPr>
                <w:szCs w:val="26"/>
              </w:rPr>
              <w:t>202</w:t>
            </w:r>
          </w:p>
        </w:tc>
        <w:tc>
          <w:tcPr>
            <w:tcW w:w="797" w:type="pct"/>
          </w:tcPr>
          <w:p w:rsidR="00C86A31" w:rsidRPr="00C30AEF" w:rsidP="00C86A31" w14:paraId="7D4557A3" w14:textId="37FCB11B">
            <w:pPr>
              <w:jc w:val="right"/>
              <w:rPr>
                <w:color w:val="000000"/>
                <w:szCs w:val="26"/>
              </w:rPr>
            </w:pPr>
            <w:r w:rsidRPr="00C30AEF">
              <w:rPr>
                <w:szCs w:val="26"/>
              </w:rPr>
              <w:t>15</w:t>
            </w:r>
            <w:r w:rsidRPr="00C30AEF" w:rsidR="006E14A6">
              <w:rPr>
                <w:szCs w:val="26"/>
              </w:rPr>
              <w:t>,</w:t>
            </w:r>
            <w:r w:rsidRPr="00C30AEF">
              <w:rPr>
                <w:szCs w:val="26"/>
              </w:rPr>
              <w:t>554</w:t>
            </w:r>
          </w:p>
        </w:tc>
      </w:tr>
      <w:tr w14:paraId="20FA828E" w14:textId="77777777" w:rsidTr="00696BBF">
        <w:tblPrEx>
          <w:tblW w:w="5314" w:type="pct"/>
          <w:tblInd w:w="-72" w:type="dxa"/>
          <w:tblLayout w:type="fixed"/>
          <w:tblLook w:val="01E0"/>
        </w:tblPrEx>
        <w:trPr>
          <w:cantSplit/>
        </w:trPr>
        <w:tc>
          <w:tcPr>
            <w:tcW w:w="577" w:type="pct"/>
          </w:tcPr>
          <w:p w:rsidR="00C86A31" w:rsidRPr="00C30AEF" w:rsidP="00C86A31" w14:paraId="10EE132F" w14:textId="006CEB78">
            <w:pPr>
              <w:rPr>
                <w:szCs w:val="26"/>
              </w:rPr>
            </w:pPr>
            <w:r w:rsidRPr="00C30AEF">
              <w:rPr>
                <w:szCs w:val="26"/>
              </w:rPr>
              <w:t>917</w:t>
            </w:r>
          </w:p>
        </w:tc>
        <w:tc>
          <w:tcPr>
            <w:tcW w:w="1132" w:type="pct"/>
          </w:tcPr>
          <w:p w:rsidR="00C86A31" w:rsidRPr="00C30AEF" w:rsidP="00C86A31" w14:paraId="1862A554" w14:textId="6D921689">
            <w:pPr>
              <w:rPr>
                <w:szCs w:val="26"/>
              </w:rPr>
            </w:pPr>
            <w:r w:rsidRPr="00C30AEF">
              <w:rPr>
                <w:szCs w:val="26"/>
              </w:rPr>
              <w:t>RM21-17: Evaluating Alternative Transmission Technologies (without OATT)</w:t>
            </w:r>
          </w:p>
        </w:tc>
        <w:tc>
          <w:tcPr>
            <w:tcW w:w="666" w:type="pct"/>
          </w:tcPr>
          <w:p w:rsidR="00C86A31" w:rsidRPr="00C30AEF" w:rsidP="00C86A31" w14:paraId="1B6D4449" w14:textId="18776B9A">
            <w:pPr>
              <w:jc w:val="right"/>
              <w:rPr>
                <w:szCs w:val="26"/>
              </w:rPr>
            </w:pPr>
            <w:r w:rsidRPr="00C30AEF">
              <w:rPr>
                <w:szCs w:val="26"/>
              </w:rPr>
              <w:t>77</w:t>
            </w:r>
          </w:p>
        </w:tc>
        <w:tc>
          <w:tcPr>
            <w:tcW w:w="668" w:type="pct"/>
          </w:tcPr>
          <w:p w:rsidR="00C86A31" w:rsidRPr="00C30AEF" w:rsidP="00C86A31" w14:paraId="49E163E9" w14:textId="3867AC44">
            <w:pPr>
              <w:jc w:val="right"/>
              <w:rPr>
                <w:szCs w:val="26"/>
              </w:rPr>
            </w:pPr>
            <w:r w:rsidRPr="00C30AEF">
              <w:rPr>
                <w:szCs w:val="26"/>
              </w:rPr>
              <w:t>1</w:t>
            </w:r>
          </w:p>
        </w:tc>
        <w:tc>
          <w:tcPr>
            <w:tcW w:w="520" w:type="pct"/>
          </w:tcPr>
          <w:p w:rsidR="00C86A31" w:rsidRPr="00C30AEF" w:rsidP="00C86A31" w14:paraId="66C2AEBE" w14:textId="7C4884D1">
            <w:pPr>
              <w:jc w:val="right"/>
              <w:rPr>
                <w:color w:val="000000"/>
                <w:szCs w:val="26"/>
              </w:rPr>
            </w:pPr>
            <w:r w:rsidRPr="00C30AEF">
              <w:rPr>
                <w:szCs w:val="26"/>
              </w:rPr>
              <w:t>77</w:t>
            </w:r>
          </w:p>
        </w:tc>
        <w:tc>
          <w:tcPr>
            <w:tcW w:w="640" w:type="pct"/>
          </w:tcPr>
          <w:p w:rsidR="00C86A31" w:rsidRPr="00C30AEF" w:rsidP="00C86A31" w14:paraId="55B6ABB4" w14:textId="051C3725">
            <w:pPr>
              <w:jc w:val="right"/>
              <w:rPr>
                <w:color w:val="000000"/>
                <w:szCs w:val="26"/>
              </w:rPr>
            </w:pPr>
            <w:r w:rsidRPr="00C30AEF">
              <w:rPr>
                <w:szCs w:val="26"/>
              </w:rPr>
              <w:t>20</w:t>
            </w:r>
          </w:p>
        </w:tc>
        <w:tc>
          <w:tcPr>
            <w:tcW w:w="797" w:type="pct"/>
          </w:tcPr>
          <w:p w:rsidR="00C86A31" w:rsidRPr="00C30AEF" w:rsidP="00C86A31" w14:paraId="5BE5FBD2" w14:textId="79137259">
            <w:pPr>
              <w:jc w:val="right"/>
              <w:rPr>
                <w:color w:val="000000"/>
                <w:szCs w:val="26"/>
              </w:rPr>
            </w:pPr>
            <w:r w:rsidRPr="00C30AEF">
              <w:rPr>
                <w:szCs w:val="26"/>
              </w:rPr>
              <w:t>1</w:t>
            </w:r>
            <w:r w:rsidRPr="00C30AEF" w:rsidR="006E14A6">
              <w:rPr>
                <w:szCs w:val="26"/>
              </w:rPr>
              <w:t>,</w:t>
            </w:r>
            <w:r w:rsidRPr="00C30AEF">
              <w:rPr>
                <w:szCs w:val="26"/>
              </w:rPr>
              <w:t>540</w:t>
            </w:r>
          </w:p>
        </w:tc>
      </w:tr>
      <w:tr w14:paraId="24624C71" w14:textId="77777777" w:rsidTr="00696BBF">
        <w:tblPrEx>
          <w:tblW w:w="5314" w:type="pct"/>
          <w:tblInd w:w="-72" w:type="dxa"/>
          <w:tblLayout w:type="fixed"/>
          <w:tblLook w:val="01E0"/>
        </w:tblPrEx>
        <w:trPr>
          <w:cantSplit/>
        </w:trPr>
        <w:tc>
          <w:tcPr>
            <w:tcW w:w="577" w:type="pct"/>
          </w:tcPr>
          <w:p w:rsidR="00C86A31" w:rsidRPr="00C30AEF" w:rsidP="00C86A31" w14:paraId="21C36733" w14:textId="096D1F87">
            <w:pPr>
              <w:rPr>
                <w:szCs w:val="26"/>
              </w:rPr>
            </w:pPr>
            <w:r w:rsidRPr="00C30AEF">
              <w:rPr>
                <w:szCs w:val="26"/>
              </w:rPr>
              <w:t>917</w:t>
            </w:r>
          </w:p>
        </w:tc>
        <w:tc>
          <w:tcPr>
            <w:tcW w:w="1132" w:type="pct"/>
          </w:tcPr>
          <w:p w:rsidR="00C86A31" w:rsidRPr="00C30AEF" w:rsidP="00C86A31" w14:paraId="605ACD57" w14:textId="3A5F2395">
            <w:pPr>
              <w:rPr>
                <w:szCs w:val="26"/>
              </w:rPr>
            </w:pPr>
            <w:r w:rsidRPr="00C30AEF">
              <w:rPr>
                <w:szCs w:val="26"/>
              </w:rPr>
              <w:t>RM21-17: Revise the regional transmission planning process - Right-sizing transmission (without OATT) (One-Time))</w:t>
            </w:r>
          </w:p>
        </w:tc>
        <w:tc>
          <w:tcPr>
            <w:tcW w:w="666" w:type="pct"/>
          </w:tcPr>
          <w:p w:rsidR="00C86A31" w:rsidRPr="00C30AEF" w:rsidP="00C86A31" w14:paraId="16847D31" w14:textId="6EE4E50A">
            <w:pPr>
              <w:jc w:val="right"/>
              <w:rPr>
                <w:szCs w:val="26"/>
              </w:rPr>
            </w:pPr>
            <w:r w:rsidRPr="00C30AEF">
              <w:rPr>
                <w:szCs w:val="26"/>
              </w:rPr>
              <w:t>77</w:t>
            </w:r>
          </w:p>
        </w:tc>
        <w:tc>
          <w:tcPr>
            <w:tcW w:w="668" w:type="pct"/>
          </w:tcPr>
          <w:p w:rsidR="00C86A31" w:rsidRPr="00C30AEF" w:rsidP="00C86A31" w14:paraId="73C37A91" w14:textId="5E33AFA2">
            <w:pPr>
              <w:jc w:val="right"/>
              <w:rPr>
                <w:szCs w:val="26"/>
              </w:rPr>
            </w:pPr>
            <w:r w:rsidRPr="00C30AEF">
              <w:rPr>
                <w:szCs w:val="26"/>
              </w:rPr>
              <w:t>1</w:t>
            </w:r>
          </w:p>
        </w:tc>
        <w:tc>
          <w:tcPr>
            <w:tcW w:w="520" w:type="pct"/>
          </w:tcPr>
          <w:p w:rsidR="00C86A31" w:rsidRPr="00C30AEF" w:rsidP="00C86A31" w14:paraId="2D420E9A" w14:textId="7FE5D58E">
            <w:pPr>
              <w:jc w:val="right"/>
              <w:rPr>
                <w:color w:val="000000"/>
                <w:szCs w:val="26"/>
              </w:rPr>
            </w:pPr>
            <w:r w:rsidRPr="00C30AEF">
              <w:rPr>
                <w:szCs w:val="26"/>
              </w:rPr>
              <w:t>77</w:t>
            </w:r>
          </w:p>
        </w:tc>
        <w:tc>
          <w:tcPr>
            <w:tcW w:w="640" w:type="pct"/>
          </w:tcPr>
          <w:p w:rsidR="00C86A31" w:rsidRPr="00C30AEF" w:rsidP="00C86A31" w14:paraId="5A370296" w14:textId="2F3EA485">
            <w:pPr>
              <w:jc w:val="right"/>
              <w:rPr>
                <w:color w:val="000000"/>
                <w:szCs w:val="26"/>
              </w:rPr>
            </w:pPr>
            <w:r w:rsidRPr="00C30AEF">
              <w:rPr>
                <w:szCs w:val="26"/>
              </w:rPr>
              <w:t>20</w:t>
            </w:r>
          </w:p>
        </w:tc>
        <w:tc>
          <w:tcPr>
            <w:tcW w:w="797" w:type="pct"/>
          </w:tcPr>
          <w:p w:rsidR="00C86A31" w:rsidRPr="00C30AEF" w:rsidP="00C86A31" w14:paraId="0B6B09C4" w14:textId="4AF3EC94">
            <w:pPr>
              <w:jc w:val="right"/>
              <w:rPr>
                <w:color w:val="000000"/>
                <w:szCs w:val="26"/>
              </w:rPr>
            </w:pPr>
            <w:r w:rsidRPr="00C30AEF">
              <w:rPr>
                <w:szCs w:val="26"/>
              </w:rPr>
              <w:t>1</w:t>
            </w:r>
            <w:r w:rsidRPr="00C30AEF" w:rsidR="006E14A6">
              <w:rPr>
                <w:szCs w:val="26"/>
              </w:rPr>
              <w:t>,</w:t>
            </w:r>
            <w:r w:rsidRPr="00C30AEF">
              <w:rPr>
                <w:szCs w:val="26"/>
              </w:rPr>
              <w:t>540</w:t>
            </w:r>
          </w:p>
        </w:tc>
      </w:tr>
      <w:tr w14:paraId="6827A816" w14:textId="77777777" w:rsidTr="00696BBF">
        <w:tblPrEx>
          <w:tblW w:w="5314" w:type="pct"/>
          <w:tblInd w:w="-72" w:type="dxa"/>
          <w:tblLayout w:type="fixed"/>
          <w:tblLook w:val="01E0"/>
        </w:tblPrEx>
        <w:trPr>
          <w:cantSplit/>
        </w:trPr>
        <w:tc>
          <w:tcPr>
            <w:tcW w:w="577" w:type="pct"/>
          </w:tcPr>
          <w:p w:rsidR="00C86A31" w:rsidRPr="00C30AEF" w:rsidP="00C86A31" w14:paraId="2056F093" w14:textId="03B26174">
            <w:pPr>
              <w:rPr>
                <w:szCs w:val="26"/>
              </w:rPr>
            </w:pPr>
            <w:r w:rsidRPr="00C30AEF">
              <w:rPr>
                <w:szCs w:val="26"/>
              </w:rPr>
              <w:t>917</w:t>
            </w:r>
          </w:p>
        </w:tc>
        <w:tc>
          <w:tcPr>
            <w:tcW w:w="1132" w:type="pct"/>
          </w:tcPr>
          <w:p w:rsidR="00C86A31" w:rsidRPr="00C30AEF" w:rsidP="00C86A31" w14:paraId="4257EAE1" w14:textId="6D514FC4">
            <w:pPr>
              <w:rPr>
                <w:szCs w:val="26"/>
              </w:rPr>
            </w:pPr>
            <w:r w:rsidRPr="00C30AEF">
              <w:rPr>
                <w:szCs w:val="26"/>
              </w:rPr>
              <w:t>RM21-17: Revise the regional transmission planning process - Right-sizing transmission (without OATT) (Ongoing)</w:t>
            </w:r>
          </w:p>
        </w:tc>
        <w:tc>
          <w:tcPr>
            <w:tcW w:w="666" w:type="pct"/>
          </w:tcPr>
          <w:p w:rsidR="00C86A31" w:rsidRPr="00C30AEF" w:rsidP="00C86A31" w14:paraId="41DA8B69" w14:textId="636E0DFC">
            <w:pPr>
              <w:jc w:val="right"/>
              <w:rPr>
                <w:szCs w:val="26"/>
              </w:rPr>
            </w:pPr>
            <w:r w:rsidRPr="00C30AEF">
              <w:rPr>
                <w:szCs w:val="26"/>
              </w:rPr>
              <w:t>77</w:t>
            </w:r>
          </w:p>
        </w:tc>
        <w:tc>
          <w:tcPr>
            <w:tcW w:w="668" w:type="pct"/>
          </w:tcPr>
          <w:p w:rsidR="00C86A31" w:rsidRPr="00C30AEF" w:rsidP="00C86A31" w14:paraId="78231488" w14:textId="101B5916">
            <w:pPr>
              <w:jc w:val="right"/>
              <w:rPr>
                <w:szCs w:val="26"/>
              </w:rPr>
            </w:pPr>
            <w:r w:rsidRPr="00C30AEF">
              <w:rPr>
                <w:szCs w:val="26"/>
              </w:rPr>
              <w:t>1</w:t>
            </w:r>
          </w:p>
        </w:tc>
        <w:tc>
          <w:tcPr>
            <w:tcW w:w="520" w:type="pct"/>
          </w:tcPr>
          <w:p w:rsidR="00C86A31" w:rsidRPr="00C30AEF" w:rsidP="00C86A31" w14:paraId="74D799FE" w14:textId="043560FC">
            <w:pPr>
              <w:jc w:val="right"/>
              <w:rPr>
                <w:color w:val="000000"/>
                <w:szCs w:val="26"/>
              </w:rPr>
            </w:pPr>
            <w:r w:rsidRPr="00C30AEF">
              <w:rPr>
                <w:szCs w:val="26"/>
              </w:rPr>
              <w:t>77</w:t>
            </w:r>
          </w:p>
        </w:tc>
        <w:tc>
          <w:tcPr>
            <w:tcW w:w="640" w:type="pct"/>
          </w:tcPr>
          <w:p w:rsidR="00C86A31" w:rsidRPr="00C30AEF" w:rsidP="00C86A31" w14:paraId="0E3B9765" w14:textId="0ED65BAC">
            <w:pPr>
              <w:jc w:val="right"/>
              <w:rPr>
                <w:color w:val="000000"/>
                <w:szCs w:val="26"/>
              </w:rPr>
            </w:pPr>
            <w:r w:rsidRPr="00C30AEF">
              <w:rPr>
                <w:szCs w:val="26"/>
              </w:rPr>
              <w:t>40</w:t>
            </w:r>
          </w:p>
        </w:tc>
        <w:tc>
          <w:tcPr>
            <w:tcW w:w="797" w:type="pct"/>
          </w:tcPr>
          <w:p w:rsidR="00C86A31" w:rsidRPr="00C30AEF" w:rsidP="00C86A31" w14:paraId="1F2BA362" w14:textId="69C11706">
            <w:pPr>
              <w:jc w:val="right"/>
              <w:rPr>
                <w:color w:val="000000"/>
                <w:szCs w:val="26"/>
              </w:rPr>
            </w:pPr>
            <w:r w:rsidRPr="00C30AEF">
              <w:rPr>
                <w:szCs w:val="26"/>
              </w:rPr>
              <w:t>3</w:t>
            </w:r>
            <w:r w:rsidRPr="00C30AEF" w:rsidR="006E14A6">
              <w:rPr>
                <w:szCs w:val="26"/>
              </w:rPr>
              <w:t>,</w:t>
            </w:r>
            <w:r w:rsidRPr="00C30AEF">
              <w:rPr>
                <w:szCs w:val="26"/>
              </w:rPr>
              <w:t>080</w:t>
            </w:r>
          </w:p>
        </w:tc>
      </w:tr>
      <w:tr w14:paraId="749AC78B" w14:textId="77777777" w:rsidTr="00696BBF">
        <w:tblPrEx>
          <w:tblW w:w="5314" w:type="pct"/>
          <w:tblInd w:w="-72" w:type="dxa"/>
          <w:tblLayout w:type="fixed"/>
          <w:tblLook w:val="01E0"/>
        </w:tblPrEx>
        <w:trPr>
          <w:cantSplit/>
        </w:trPr>
        <w:tc>
          <w:tcPr>
            <w:tcW w:w="577" w:type="pct"/>
          </w:tcPr>
          <w:p w:rsidR="00C86A31" w:rsidRPr="00C30AEF" w:rsidP="00C86A31" w14:paraId="5C914FDB" w14:textId="7AE5F3CD">
            <w:pPr>
              <w:rPr>
                <w:szCs w:val="26"/>
              </w:rPr>
            </w:pPr>
            <w:r w:rsidRPr="00C30AEF">
              <w:rPr>
                <w:szCs w:val="26"/>
              </w:rPr>
              <w:t>919</w:t>
            </w:r>
          </w:p>
        </w:tc>
        <w:tc>
          <w:tcPr>
            <w:tcW w:w="1132" w:type="pct"/>
          </w:tcPr>
          <w:p w:rsidR="00C86A31" w:rsidRPr="00C30AEF" w:rsidP="00C86A31" w14:paraId="4DB16CB5" w14:textId="62C70B49">
            <w:pPr>
              <w:rPr>
                <w:szCs w:val="26"/>
              </w:rPr>
            </w:pPr>
            <w:r w:rsidRPr="00C30AEF">
              <w:rPr>
                <w:szCs w:val="26"/>
              </w:rPr>
              <w:t>Order 860A Upstream Affiliates</w:t>
            </w:r>
          </w:p>
        </w:tc>
        <w:tc>
          <w:tcPr>
            <w:tcW w:w="666" w:type="pct"/>
          </w:tcPr>
          <w:p w:rsidR="00C86A31" w:rsidRPr="00C30AEF" w:rsidP="00C86A31" w14:paraId="2AA44807" w14:textId="0908EDA1">
            <w:pPr>
              <w:jc w:val="right"/>
              <w:rPr>
                <w:szCs w:val="26"/>
              </w:rPr>
            </w:pPr>
            <w:r w:rsidRPr="00C30AEF">
              <w:rPr>
                <w:szCs w:val="26"/>
              </w:rPr>
              <w:t>440</w:t>
            </w:r>
          </w:p>
        </w:tc>
        <w:tc>
          <w:tcPr>
            <w:tcW w:w="668" w:type="pct"/>
          </w:tcPr>
          <w:p w:rsidR="00C86A31" w:rsidRPr="00C30AEF" w:rsidP="00C86A31" w14:paraId="7B6BFA13" w14:textId="3690E180">
            <w:pPr>
              <w:jc w:val="right"/>
              <w:rPr>
                <w:szCs w:val="26"/>
              </w:rPr>
            </w:pPr>
            <w:r w:rsidRPr="00C30AEF">
              <w:rPr>
                <w:szCs w:val="26"/>
              </w:rPr>
              <w:t>1</w:t>
            </w:r>
          </w:p>
        </w:tc>
        <w:tc>
          <w:tcPr>
            <w:tcW w:w="520" w:type="pct"/>
          </w:tcPr>
          <w:p w:rsidR="00C86A31" w:rsidRPr="00C30AEF" w:rsidP="00C86A31" w14:paraId="78659A51" w14:textId="6F27C530">
            <w:pPr>
              <w:jc w:val="right"/>
              <w:rPr>
                <w:color w:val="000000"/>
                <w:szCs w:val="26"/>
              </w:rPr>
            </w:pPr>
            <w:r w:rsidRPr="00C30AEF">
              <w:rPr>
                <w:szCs w:val="26"/>
              </w:rPr>
              <w:t>440</w:t>
            </w:r>
          </w:p>
        </w:tc>
        <w:tc>
          <w:tcPr>
            <w:tcW w:w="640" w:type="pct"/>
          </w:tcPr>
          <w:p w:rsidR="00C86A31" w:rsidRPr="00C30AEF" w:rsidP="00C86A31" w14:paraId="6CDE1986" w14:textId="63C4AC89">
            <w:pPr>
              <w:jc w:val="right"/>
              <w:rPr>
                <w:color w:val="000000"/>
                <w:szCs w:val="26"/>
              </w:rPr>
            </w:pPr>
            <w:r w:rsidRPr="00C30AEF">
              <w:rPr>
                <w:szCs w:val="26"/>
              </w:rPr>
              <w:t>46</w:t>
            </w:r>
          </w:p>
        </w:tc>
        <w:tc>
          <w:tcPr>
            <w:tcW w:w="797" w:type="pct"/>
          </w:tcPr>
          <w:p w:rsidR="00C86A31" w:rsidRPr="00C30AEF" w:rsidP="00C86A31" w14:paraId="1F860C83" w14:textId="42743318">
            <w:pPr>
              <w:jc w:val="right"/>
              <w:rPr>
                <w:color w:val="000000"/>
                <w:szCs w:val="26"/>
              </w:rPr>
            </w:pPr>
            <w:r w:rsidRPr="00C30AEF">
              <w:rPr>
                <w:szCs w:val="26"/>
              </w:rPr>
              <w:t>20</w:t>
            </w:r>
            <w:r w:rsidRPr="00C30AEF" w:rsidR="006E14A6">
              <w:rPr>
                <w:szCs w:val="26"/>
              </w:rPr>
              <w:t>,</w:t>
            </w:r>
            <w:r w:rsidRPr="00C30AEF">
              <w:rPr>
                <w:szCs w:val="26"/>
              </w:rPr>
              <w:t>240</w:t>
            </w:r>
          </w:p>
        </w:tc>
      </w:tr>
      <w:tr w14:paraId="14D0C26C" w14:textId="77777777" w:rsidTr="00696BBF">
        <w:tblPrEx>
          <w:tblW w:w="5314" w:type="pct"/>
          <w:tblInd w:w="-72" w:type="dxa"/>
          <w:tblLayout w:type="fixed"/>
          <w:tblLook w:val="01E0"/>
        </w:tblPrEx>
        <w:trPr>
          <w:cantSplit/>
        </w:trPr>
        <w:tc>
          <w:tcPr>
            <w:tcW w:w="577" w:type="pct"/>
          </w:tcPr>
          <w:p w:rsidR="00C86A31" w:rsidRPr="00C30AEF" w:rsidP="00C86A31" w14:paraId="14FCBAFC" w14:textId="483C6DE5">
            <w:pPr>
              <w:rPr>
                <w:szCs w:val="26"/>
              </w:rPr>
            </w:pPr>
            <w:r w:rsidRPr="00C30AEF">
              <w:rPr>
                <w:szCs w:val="26"/>
              </w:rPr>
              <w:t>919</w:t>
            </w:r>
          </w:p>
        </w:tc>
        <w:tc>
          <w:tcPr>
            <w:tcW w:w="1132" w:type="pct"/>
          </w:tcPr>
          <w:p w:rsidR="00C86A31" w:rsidRPr="00C30AEF" w:rsidP="00C86A31" w14:paraId="3E9E056D" w14:textId="5150BCFD">
            <w:pPr>
              <w:rPr>
                <w:szCs w:val="26"/>
              </w:rPr>
            </w:pPr>
            <w:r w:rsidRPr="00C30AEF">
              <w:rPr>
                <w:szCs w:val="26"/>
              </w:rPr>
              <w:t>Relational Database: Order 860-A Category 1-(Ongoing)</w:t>
            </w:r>
          </w:p>
        </w:tc>
        <w:tc>
          <w:tcPr>
            <w:tcW w:w="666" w:type="pct"/>
          </w:tcPr>
          <w:p w:rsidR="00C86A31" w:rsidRPr="00C30AEF" w:rsidP="00C86A31" w14:paraId="4F43030F" w14:textId="182EFB0A">
            <w:pPr>
              <w:jc w:val="right"/>
              <w:rPr>
                <w:szCs w:val="26"/>
              </w:rPr>
            </w:pPr>
            <w:r w:rsidRPr="00C30AEF">
              <w:rPr>
                <w:szCs w:val="26"/>
              </w:rPr>
              <w:t>1</w:t>
            </w:r>
            <w:r w:rsidRPr="00C30AEF" w:rsidR="006E14A6">
              <w:rPr>
                <w:szCs w:val="26"/>
              </w:rPr>
              <w:t>,</w:t>
            </w:r>
            <w:r w:rsidRPr="00C30AEF">
              <w:rPr>
                <w:szCs w:val="26"/>
              </w:rPr>
              <w:t>000</w:t>
            </w:r>
          </w:p>
        </w:tc>
        <w:tc>
          <w:tcPr>
            <w:tcW w:w="668" w:type="pct"/>
          </w:tcPr>
          <w:p w:rsidR="00C86A31" w:rsidRPr="00C30AEF" w:rsidP="00C86A31" w14:paraId="58D935D5" w14:textId="3B157D6F">
            <w:pPr>
              <w:jc w:val="right"/>
              <w:rPr>
                <w:szCs w:val="26"/>
              </w:rPr>
            </w:pPr>
            <w:r w:rsidRPr="00C30AEF">
              <w:rPr>
                <w:szCs w:val="26"/>
              </w:rPr>
              <w:t>0</w:t>
            </w:r>
          </w:p>
        </w:tc>
        <w:tc>
          <w:tcPr>
            <w:tcW w:w="520" w:type="pct"/>
          </w:tcPr>
          <w:p w:rsidR="00C86A31" w:rsidRPr="00C30AEF" w:rsidP="00C86A31" w14:paraId="1FF30EFD" w14:textId="4279DCB2">
            <w:pPr>
              <w:jc w:val="right"/>
              <w:rPr>
                <w:color w:val="000000"/>
                <w:szCs w:val="26"/>
              </w:rPr>
            </w:pPr>
            <w:r w:rsidRPr="00C30AEF">
              <w:rPr>
                <w:szCs w:val="26"/>
              </w:rPr>
              <w:t>333</w:t>
            </w:r>
          </w:p>
        </w:tc>
        <w:tc>
          <w:tcPr>
            <w:tcW w:w="640" w:type="pct"/>
          </w:tcPr>
          <w:p w:rsidR="00C86A31" w:rsidRPr="00C30AEF" w:rsidP="00C86A31" w14:paraId="4A92B4E2" w14:textId="3F1D39AB">
            <w:pPr>
              <w:jc w:val="right"/>
              <w:rPr>
                <w:color w:val="000000"/>
                <w:szCs w:val="26"/>
              </w:rPr>
            </w:pPr>
            <w:r w:rsidRPr="00C30AEF">
              <w:rPr>
                <w:szCs w:val="26"/>
              </w:rPr>
              <w:t>2</w:t>
            </w:r>
            <w:r w:rsidRPr="00C30AEF" w:rsidR="00092DB4">
              <w:rPr>
                <w:szCs w:val="26"/>
              </w:rPr>
              <w:t>.44</w:t>
            </w:r>
          </w:p>
        </w:tc>
        <w:tc>
          <w:tcPr>
            <w:tcW w:w="797" w:type="pct"/>
          </w:tcPr>
          <w:p w:rsidR="00C86A31" w:rsidRPr="00C30AEF" w:rsidP="00C86A31" w14:paraId="79322C0C" w14:textId="24FABF35">
            <w:pPr>
              <w:jc w:val="right"/>
              <w:rPr>
                <w:color w:val="000000"/>
                <w:szCs w:val="26"/>
              </w:rPr>
            </w:pPr>
            <w:r w:rsidRPr="00C30AEF">
              <w:rPr>
                <w:szCs w:val="26"/>
              </w:rPr>
              <w:t>814</w:t>
            </w:r>
          </w:p>
        </w:tc>
      </w:tr>
      <w:tr w14:paraId="32E0A139" w14:textId="77777777" w:rsidTr="00696BBF">
        <w:tblPrEx>
          <w:tblW w:w="5314" w:type="pct"/>
          <w:tblInd w:w="-72" w:type="dxa"/>
          <w:tblLayout w:type="fixed"/>
          <w:tblLook w:val="01E0"/>
        </w:tblPrEx>
        <w:trPr>
          <w:cantSplit/>
        </w:trPr>
        <w:tc>
          <w:tcPr>
            <w:tcW w:w="577" w:type="pct"/>
          </w:tcPr>
          <w:p w:rsidR="00C86A31" w:rsidRPr="00C30AEF" w:rsidP="00C86A31" w14:paraId="00345FB4" w14:textId="42861E82">
            <w:pPr>
              <w:rPr>
                <w:szCs w:val="26"/>
              </w:rPr>
            </w:pPr>
            <w:r w:rsidRPr="00C30AEF">
              <w:rPr>
                <w:szCs w:val="26"/>
              </w:rPr>
              <w:t>919</w:t>
            </w:r>
          </w:p>
        </w:tc>
        <w:tc>
          <w:tcPr>
            <w:tcW w:w="1132" w:type="pct"/>
          </w:tcPr>
          <w:p w:rsidR="00C86A31" w:rsidRPr="00C30AEF" w:rsidP="00C86A31" w14:paraId="74482719" w14:textId="2E4D3B4B">
            <w:pPr>
              <w:rPr>
                <w:szCs w:val="26"/>
              </w:rPr>
            </w:pPr>
            <w:r w:rsidRPr="00C30AEF">
              <w:rPr>
                <w:szCs w:val="26"/>
              </w:rPr>
              <w:t>Relational Database: Order 860-A Category 2 (Ongoing)</w:t>
            </w:r>
          </w:p>
        </w:tc>
        <w:tc>
          <w:tcPr>
            <w:tcW w:w="666" w:type="pct"/>
          </w:tcPr>
          <w:p w:rsidR="00C86A31" w:rsidRPr="00C30AEF" w:rsidP="00C86A31" w14:paraId="0F10D875" w14:textId="541BB7C9">
            <w:pPr>
              <w:jc w:val="right"/>
              <w:rPr>
                <w:szCs w:val="26"/>
              </w:rPr>
            </w:pPr>
            <w:r w:rsidRPr="00C30AEF">
              <w:rPr>
                <w:szCs w:val="26"/>
              </w:rPr>
              <w:t>1</w:t>
            </w:r>
            <w:r w:rsidRPr="00C30AEF" w:rsidR="006E14A6">
              <w:rPr>
                <w:szCs w:val="26"/>
              </w:rPr>
              <w:t>,</w:t>
            </w:r>
            <w:r w:rsidRPr="00C30AEF">
              <w:rPr>
                <w:szCs w:val="26"/>
              </w:rPr>
              <w:t>500</w:t>
            </w:r>
          </w:p>
        </w:tc>
        <w:tc>
          <w:tcPr>
            <w:tcW w:w="668" w:type="pct"/>
          </w:tcPr>
          <w:p w:rsidR="00C86A31" w:rsidRPr="00C30AEF" w:rsidP="00C86A31" w14:paraId="144CB16F" w14:textId="6695B7E4">
            <w:pPr>
              <w:jc w:val="right"/>
              <w:rPr>
                <w:szCs w:val="26"/>
              </w:rPr>
            </w:pPr>
            <w:r w:rsidRPr="00C30AEF">
              <w:rPr>
                <w:szCs w:val="26"/>
              </w:rPr>
              <w:t>1</w:t>
            </w:r>
          </w:p>
        </w:tc>
        <w:tc>
          <w:tcPr>
            <w:tcW w:w="520" w:type="pct"/>
          </w:tcPr>
          <w:p w:rsidR="00C86A31" w:rsidRPr="00C30AEF" w:rsidP="00C86A31" w14:paraId="5D3FBA40" w14:textId="02538FEF">
            <w:pPr>
              <w:jc w:val="right"/>
              <w:rPr>
                <w:color w:val="000000"/>
                <w:szCs w:val="26"/>
              </w:rPr>
            </w:pPr>
            <w:r w:rsidRPr="00C30AEF">
              <w:rPr>
                <w:szCs w:val="26"/>
              </w:rPr>
              <w:t>1</w:t>
            </w:r>
            <w:r w:rsidRPr="00C30AEF" w:rsidR="006E14A6">
              <w:rPr>
                <w:szCs w:val="26"/>
              </w:rPr>
              <w:t>,</w:t>
            </w:r>
            <w:r w:rsidRPr="00C30AEF">
              <w:rPr>
                <w:szCs w:val="26"/>
              </w:rPr>
              <w:t>500</w:t>
            </w:r>
          </w:p>
        </w:tc>
        <w:tc>
          <w:tcPr>
            <w:tcW w:w="640" w:type="pct"/>
          </w:tcPr>
          <w:p w:rsidR="00C86A31" w:rsidRPr="00C30AEF" w:rsidP="00C86A31" w14:paraId="70D91BAA" w14:textId="79442BAC">
            <w:pPr>
              <w:jc w:val="right"/>
              <w:rPr>
                <w:color w:val="000000"/>
                <w:szCs w:val="26"/>
              </w:rPr>
            </w:pPr>
            <w:r w:rsidRPr="00C30AEF">
              <w:rPr>
                <w:szCs w:val="26"/>
              </w:rPr>
              <w:t>4</w:t>
            </w:r>
            <w:r w:rsidRPr="00C30AEF" w:rsidR="003F1394">
              <w:rPr>
                <w:szCs w:val="26"/>
              </w:rPr>
              <w:t>.1</w:t>
            </w:r>
          </w:p>
        </w:tc>
        <w:tc>
          <w:tcPr>
            <w:tcW w:w="797" w:type="pct"/>
          </w:tcPr>
          <w:p w:rsidR="00C86A31" w:rsidRPr="00C30AEF" w:rsidP="00C86A31" w14:paraId="5407309C" w14:textId="08F2707E">
            <w:pPr>
              <w:jc w:val="right"/>
              <w:rPr>
                <w:color w:val="000000"/>
                <w:szCs w:val="26"/>
              </w:rPr>
            </w:pPr>
            <w:r w:rsidRPr="00C30AEF">
              <w:rPr>
                <w:szCs w:val="26"/>
              </w:rPr>
              <w:t>6</w:t>
            </w:r>
            <w:r w:rsidRPr="00C30AEF" w:rsidR="006E14A6">
              <w:rPr>
                <w:szCs w:val="26"/>
              </w:rPr>
              <w:t>,</w:t>
            </w:r>
            <w:r w:rsidRPr="00C30AEF">
              <w:rPr>
                <w:szCs w:val="26"/>
              </w:rPr>
              <w:t>154</w:t>
            </w:r>
          </w:p>
        </w:tc>
      </w:tr>
      <w:tr w14:paraId="6663F333" w14:textId="77777777" w:rsidTr="00696BBF">
        <w:tblPrEx>
          <w:tblW w:w="5314" w:type="pct"/>
          <w:tblInd w:w="-72" w:type="dxa"/>
          <w:tblLayout w:type="fixed"/>
          <w:tblLook w:val="01E0"/>
        </w:tblPrEx>
        <w:trPr>
          <w:cantSplit/>
          <w:trHeight w:val="485"/>
        </w:trPr>
        <w:tc>
          <w:tcPr>
            <w:tcW w:w="577" w:type="pct"/>
            <w:tcBorders>
              <w:bottom w:val="single" w:sz="4" w:space="0" w:color="auto"/>
            </w:tcBorders>
          </w:tcPr>
          <w:p w:rsidR="00C86A31" w:rsidRPr="00C30AEF" w:rsidP="00C86A31" w14:paraId="07AF005B" w14:textId="77777777">
            <w:pPr>
              <w:rPr>
                <w:rFonts w:eastAsia="Calibri"/>
                <w:b/>
                <w:bCs/>
                <w:szCs w:val="26"/>
              </w:rPr>
            </w:pPr>
            <w:r w:rsidRPr="00C30AEF">
              <w:rPr>
                <w:rFonts w:eastAsia="Calibri"/>
                <w:b/>
                <w:bCs/>
                <w:szCs w:val="26"/>
              </w:rPr>
              <w:t>TOTAL</w:t>
            </w:r>
          </w:p>
        </w:tc>
        <w:tc>
          <w:tcPr>
            <w:tcW w:w="1132" w:type="pct"/>
            <w:tcBorders>
              <w:bottom w:val="single" w:sz="4" w:space="0" w:color="auto"/>
            </w:tcBorders>
            <w:shd w:val="clear" w:color="auto" w:fill="D9D9D9" w:themeFill="background1" w:themeFillShade="D9"/>
          </w:tcPr>
          <w:p w:rsidR="00C86A31" w:rsidRPr="00C30AEF" w:rsidP="00C86A31" w14:paraId="5FAD6585" w14:textId="77777777">
            <w:pPr>
              <w:jc w:val="right"/>
              <w:rPr>
                <w:rFonts w:eastAsia="Calibri"/>
                <w:szCs w:val="26"/>
              </w:rPr>
            </w:pPr>
          </w:p>
        </w:tc>
        <w:tc>
          <w:tcPr>
            <w:tcW w:w="1334" w:type="pct"/>
            <w:gridSpan w:val="2"/>
            <w:tcBorders>
              <w:bottom w:val="single" w:sz="4" w:space="0" w:color="auto"/>
            </w:tcBorders>
            <w:shd w:val="clear" w:color="auto" w:fill="D9D9D9" w:themeFill="background1" w:themeFillShade="D9"/>
          </w:tcPr>
          <w:p w:rsidR="00C86A31" w:rsidRPr="00C30AEF" w:rsidP="00C86A31" w14:paraId="1A1C7D94" w14:textId="77777777">
            <w:pPr>
              <w:jc w:val="right"/>
              <w:rPr>
                <w:rFonts w:eastAsia="Calibri"/>
                <w:szCs w:val="26"/>
              </w:rPr>
            </w:pPr>
          </w:p>
        </w:tc>
        <w:tc>
          <w:tcPr>
            <w:tcW w:w="520" w:type="pct"/>
            <w:tcBorders>
              <w:bottom w:val="single" w:sz="4" w:space="0" w:color="auto"/>
            </w:tcBorders>
          </w:tcPr>
          <w:p w:rsidR="00C86A31" w:rsidRPr="00C30AEF" w:rsidP="00C86A31" w14:paraId="520A5D92" w14:textId="1AA26155">
            <w:pPr>
              <w:jc w:val="right"/>
              <w:rPr>
                <w:rFonts w:eastAsia="Calibri"/>
                <w:b/>
                <w:bCs/>
                <w:szCs w:val="26"/>
              </w:rPr>
            </w:pPr>
            <w:r w:rsidRPr="00C30AEF">
              <w:rPr>
                <w:rFonts w:eastAsia="Calibri"/>
                <w:b/>
                <w:bCs/>
                <w:szCs w:val="26"/>
              </w:rPr>
              <w:t>7,</w:t>
            </w:r>
            <w:r w:rsidRPr="00C30AEF" w:rsidR="007D7685">
              <w:rPr>
                <w:rFonts w:eastAsia="Calibri"/>
                <w:b/>
                <w:bCs/>
                <w:szCs w:val="26"/>
              </w:rPr>
              <w:t>379</w:t>
            </w:r>
            <w:r w:rsidRPr="00C30AEF" w:rsidR="007D7685">
              <w:rPr>
                <w:rFonts w:eastAsia="Calibri"/>
                <w:b/>
                <w:bCs/>
                <w:szCs w:val="26"/>
              </w:rPr>
              <w:t xml:space="preserve"> </w:t>
            </w:r>
          </w:p>
        </w:tc>
        <w:tc>
          <w:tcPr>
            <w:tcW w:w="640" w:type="pct"/>
            <w:tcBorders>
              <w:bottom w:val="single" w:sz="4" w:space="0" w:color="auto"/>
            </w:tcBorders>
            <w:shd w:val="clear" w:color="auto" w:fill="D9D9D9" w:themeFill="background1" w:themeFillShade="D9"/>
          </w:tcPr>
          <w:p w:rsidR="00C86A31" w:rsidRPr="00C30AEF" w:rsidP="00C86A31" w14:paraId="72B49CD4" w14:textId="77777777">
            <w:pPr>
              <w:jc w:val="right"/>
              <w:rPr>
                <w:rFonts w:eastAsia="Calibri"/>
                <w:szCs w:val="26"/>
              </w:rPr>
            </w:pPr>
          </w:p>
        </w:tc>
        <w:tc>
          <w:tcPr>
            <w:tcW w:w="797" w:type="pct"/>
            <w:tcBorders>
              <w:bottom w:val="single" w:sz="4" w:space="0" w:color="auto"/>
            </w:tcBorders>
          </w:tcPr>
          <w:p w:rsidR="00C86A31" w:rsidRPr="00C30AEF" w:rsidP="00C86A31" w14:paraId="15F15559" w14:textId="5429437E">
            <w:pPr>
              <w:jc w:val="right"/>
              <w:rPr>
                <w:rFonts w:eastAsia="Calibri"/>
                <w:b/>
                <w:bCs/>
                <w:szCs w:val="26"/>
              </w:rPr>
            </w:pPr>
            <w:r w:rsidRPr="00C30AEF">
              <w:rPr>
                <w:rFonts w:eastAsia="Calibri"/>
                <w:b/>
                <w:bCs/>
                <w:szCs w:val="26"/>
              </w:rPr>
              <w:t>84,884</w:t>
            </w:r>
            <w:r w:rsidRPr="00C30AEF">
              <w:rPr>
                <w:rFonts w:eastAsia="Calibri"/>
                <w:b/>
                <w:bCs/>
                <w:szCs w:val="26"/>
              </w:rPr>
              <w:t xml:space="preserve"> hrs.</w:t>
            </w:r>
            <w:r w:rsidRPr="00C30AEF">
              <w:rPr>
                <w:rFonts w:eastAsia="Calibri"/>
                <w:b/>
                <w:bCs/>
                <w:szCs w:val="26"/>
              </w:rPr>
              <w:t xml:space="preserve"> </w:t>
            </w:r>
          </w:p>
        </w:tc>
      </w:tr>
    </w:tbl>
    <w:p w:rsidR="003C26BA" w:rsidRPr="00C30AEF" w:rsidP="549EAD48" w14:paraId="25A27E73" w14:textId="77777777">
      <w:pPr>
        <w:spacing w:line="480" w:lineRule="auto"/>
        <w:rPr>
          <w:szCs w:val="26"/>
        </w:rPr>
      </w:pPr>
    </w:p>
    <w:p w:rsidR="00E31346" w:rsidRPr="00C30AEF" w:rsidP="00641773" w14:paraId="1BD76A6A" w14:textId="2882983B">
      <w:pPr>
        <w:keepNext/>
        <w:spacing w:line="480" w:lineRule="auto"/>
        <w:rPr>
          <w:szCs w:val="26"/>
        </w:rPr>
      </w:pPr>
      <w:r w:rsidRPr="00C30AEF">
        <w:rPr>
          <w:b/>
          <w:bCs/>
          <w:szCs w:val="26"/>
        </w:rPr>
        <w:t xml:space="preserve">Compliance Filings category – </w:t>
      </w:r>
      <w:r w:rsidRPr="00C30AEF" w:rsidR="00B71767">
        <w:rPr>
          <w:b/>
          <w:bCs/>
          <w:szCs w:val="26"/>
        </w:rPr>
        <w:t xml:space="preserve">Regional Planning with OATT </w:t>
      </w:r>
      <w:r w:rsidRPr="00C30AEF">
        <w:rPr>
          <w:b/>
          <w:bCs/>
          <w:szCs w:val="26"/>
        </w:rPr>
        <w:t>– Previous Information Collection activities</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6F080BEF" w14:textId="77777777" w:rsidTr="004A4873">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E31346" w:rsidRPr="00C30AEF" w14:paraId="52669A63" w14:textId="77777777">
            <w:pPr>
              <w:jc w:val="center"/>
              <w:rPr>
                <w:rFonts w:eastAsia="Calibri"/>
                <w:b/>
                <w:bCs/>
                <w:szCs w:val="26"/>
              </w:rPr>
            </w:pPr>
            <w:r w:rsidRPr="00C30AEF">
              <w:rPr>
                <w:rFonts w:eastAsia="Calibri"/>
                <w:b/>
                <w:bCs/>
                <w:szCs w:val="26"/>
              </w:rPr>
              <w:t>Previous FERC Form</w:t>
            </w:r>
          </w:p>
        </w:tc>
        <w:tc>
          <w:tcPr>
            <w:tcW w:w="1132" w:type="pct"/>
            <w:shd w:val="clear" w:color="auto" w:fill="D9D9D9" w:themeFill="background1" w:themeFillShade="D9"/>
          </w:tcPr>
          <w:p w:rsidR="00E31346" w:rsidRPr="00C30AEF" w14:paraId="453D9EF5" w14:textId="77777777">
            <w:pPr>
              <w:jc w:val="center"/>
              <w:rPr>
                <w:rFonts w:eastAsia="Calibri"/>
                <w:b/>
                <w:bCs/>
                <w:szCs w:val="26"/>
              </w:rPr>
            </w:pPr>
            <w:r w:rsidRPr="00C30AEF">
              <w:rPr>
                <w:rFonts w:eastAsia="Calibri"/>
                <w:b/>
                <w:bCs/>
                <w:szCs w:val="26"/>
              </w:rPr>
              <w:t>Title</w:t>
            </w:r>
          </w:p>
        </w:tc>
        <w:tc>
          <w:tcPr>
            <w:tcW w:w="666" w:type="pct"/>
            <w:shd w:val="clear" w:color="auto" w:fill="D9D9D9" w:themeFill="background1" w:themeFillShade="D9"/>
          </w:tcPr>
          <w:p w:rsidR="00E31346" w:rsidRPr="00C30AEF" w14:paraId="6807F26C" w14:textId="77777777">
            <w:pPr>
              <w:jc w:val="center"/>
              <w:rPr>
                <w:rFonts w:eastAsia="Calibri"/>
                <w:b/>
                <w:bCs/>
                <w:szCs w:val="26"/>
              </w:rPr>
            </w:pPr>
            <w:r w:rsidRPr="00C30AEF">
              <w:rPr>
                <w:rFonts w:eastAsia="Calibri"/>
                <w:b/>
                <w:bCs/>
                <w:szCs w:val="26"/>
              </w:rPr>
              <w:t>Number of Respondents</w:t>
            </w:r>
            <w:r w:rsidRPr="00C30AEF">
              <w:rPr>
                <w:szCs w:val="26"/>
              </w:rPr>
              <w:br/>
            </w:r>
            <w:r w:rsidRPr="00C30AEF">
              <w:rPr>
                <w:rFonts w:eastAsia="Calibri"/>
                <w:b/>
                <w:bCs/>
                <w:szCs w:val="26"/>
              </w:rPr>
              <w:t>(1)</w:t>
            </w:r>
          </w:p>
        </w:tc>
        <w:tc>
          <w:tcPr>
            <w:tcW w:w="668" w:type="pct"/>
            <w:shd w:val="clear" w:color="auto" w:fill="D9D9D9" w:themeFill="background1" w:themeFillShade="D9"/>
          </w:tcPr>
          <w:p w:rsidR="00E31346" w:rsidRPr="00C30AEF" w14:paraId="13EBF5C6" w14:textId="77777777">
            <w:pPr>
              <w:jc w:val="center"/>
              <w:rPr>
                <w:rFonts w:eastAsia="Calibri"/>
                <w:b/>
                <w:bCs/>
                <w:szCs w:val="26"/>
              </w:rPr>
            </w:pPr>
            <w:r w:rsidRPr="00C30AEF">
              <w:rPr>
                <w:rFonts w:eastAsia="Calibri"/>
                <w:b/>
                <w:bCs/>
                <w:szCs w:val="26"/>
              </w:rPr>
              <w:t>Annual Number of Responses per Respondent</w:t>
            </w:r>
          </w:p>
          <w:p w:rsidR="00E31346" w:rsidRPr="00C30AEF" w14:paraId="5E406CEB" w14:textId="77777777">
            <w:pPr>
              <w:jc w:val="center"/>
              <w:rPr>
                <w:rFonts w:eastAsia="Calibri"/>
                <w:b/>
                <w:bCs/>
                <w:szCs w:val="26"/>
              </w:rPr>
            </w:pPr>
            <w:r w:rsidRPr="00C30AEF">
              <w:rPr>
                <w:rFonts w:eastAsia="Calibri"/>
                <w:b/>
                <w:bCs/>
                <w:szCs w:val="26"/>
              </w:rPr>
              <w:t>(2)</w:t>
            </w:r>
          </w:p>
        </w:tc>
        <w:tc>
          <w:tcPr>
            <w:tcW w:w="520" w:type="pct"/>
            <w:shd w:val="clear" w:color="auto" w:fill="D9D9D9" w:themeFill="background1" w:themeFillShade="D9"/>
          </w:tcPr>
          <w:p w:rsidR="00E31346" w:rsidRPr="00C30AEF" w14:paraId="689F51DB" w14:textId="77777777">
            <w:pPr>
              <w:jc w:val="center"/>
              <w:rPr>
                <w:rFonts w:eastAsia="Calibri"/>
                <w:b/>
                <w:bCs/>
                <w:szCs w:val="26"/>
              </w:rPr>
            </w:pPr>
            <w:r w:rsidRPr="00C30AEF">
              <w:rPr>
                <w:rFonts w:eastAsia="Calibri"/>
                <w:b/>
                <w:bCs/>
                <w:szCs w:val="26"/>
              </w:rPr>
              <w:t>Total Number of Responses (1)*(2)=(3)</w:t>
            </w:r>
          </w:p>
        </w:tc>
        <w:tc>
          <w:tcPr>
            <w:tcW w:w="640" w:type="pct"/>
            <w:shd w:val="clear" w:color="auto" w:fill="D9D9D9" w:themeFill="background1" w:themeFillShade="D9"/>
          </w:tcPr>
          <w:p w:rsidR="00E31346" w:rsidRPr="00C30AEF" w14:paraId="43141A45" w14:textId="7400782A">
            <w:pPr>
              <w:jc w:val="center"/>
              <w:rPr>
                <w:rFonts w:eastAsia="Calibri"/>
                <w:b/>
                <w:bCs/>
                <w:szCs w:val="26"/>
              </w:rPr>
            </w:pPr>
            <w:r w:rsidRPr="00C30AEF">
              <w:rPr>
                <w:rFonts w:eastAsia="Calibri"/>
                <w:b/>
                <w:bCs/>
                <w:szCs w:val="26"/>
              </w:rPr>
              <w:t>Average Burden per response</w:t>
            </w:r>
          </w:p>
          <w:p w:rsidR="00E31346" w:rsidRPr="00C30AEF" w14:paraId="7540AF7E" w14:textId="77777777">
            <w:pPr>
              <w:jc w:val="center"/>
              <w:rPr>
                <w:rFonts w:eastAsia="Calibri"/>
                <w:b/>
                <w:bCs/>
                <w:szCs w:val="26"/>
              </w:rPr>
            </w:pPr>
            <w:r w:rsidRPr="00C30AEF">
              <w:rPr>
                <w:rFonts w:eastAsia="Calibri"/>
                <w:b/>
                <w:bCs/>
                <w:szCs w:val="26"/>
              </w:rPr>
              <w:t>(4)</w:t>
            </w:r>
          </w:p>
        </w:tc>
        <w:tc>
          <w:tcPr>
            <w:tcW w:w="797" w:type="pct"/>
            <w:shd w:val="clear" w:color="auto" w:fill="D9D9D9" w:themeFill="background1" w:themeFillShade="D9"/>
          </w:tcPr>
          <w:p w:rsidR="00E31346" w:rsidRPr="00C30AEF" w14:paraId="4D995A3A" w14:textId="77777777">
            <w:pPr>
              <w:jc w:val="center"/>
              <w:rPr>
                <w:rFonts w:eastAsia="Calibri"/>
                <w:b/>
                <w:bCs/>
                <w:szCs w:val="26"/>
              </w:rPr>
            </w:pPr>
            <w:r w:rsidRPr="00C30AEF">
              <w:rPr>
                <w:rFonts w:eastAsia="Calibri"/>
                <w:b/>
                <w:bCs/>
                <w:szCs w:val="26"/>
              </w:rPr>
              <w:t xml:space="preserve">Total Annual Burden Hours </w:t>
            </w:r>
          </w:p>
          <w:p w:rsidR="00E31346" w:rsidRPr="00C30AEF" w14:paraId="0F273AD1" w14:textId="77777777">
            <w:pPr>
              <w:jc w:val="center"/>
              <w:rPr>
                <w:rFonts w:eastAsia="Calibri"/>
                <w:b/>
                <w:bCs/>
                <w:szCs w:val="26"/>
              </w:rPr>
            </w:pPr>
            <w:r w:rsidRPr="00C30AEF">
              <w:rPr>
                <w:rFonts w:eastAsia="Calibri"/>
                <w:b/>
                <w:bCs/>
                <w:szCs w:val="26"/>
              </w:rPr>
              <w:t>(3)*(4)=(5)</w:t>
            </w:r>
          </w:p>
        </w:tc>
      </w:tr>
      <w:tr w14:paraId="09FE34CF" w14:textId="77777777" w:rsidTr="004A4873">
        <w:tblPrEx>
          <w:tblW w:w="5314" w:type="pct"/>
          <w:tblInd w:w="-72" w:type="dxa"/>
          <w:tblLayout w:type="fixed"/>
          <w:tblLook w:val="01E0"/>
        </w:tblPrEx>
        <w:trPr>
          <w:cantSplit/>
        </w:trPr>
        <w:tc>
          <w:tcPr>
            <w:tcW w:w="577" w:type="pct"/>
          </w:tcPr>
          <w:p w:rsidR="00E31346" w:rsidRPr="00C30AEF" w14:paraId="3831D402" w14:textId="77777777">
            <w:pPr>
              <w:rPr>
                <w:szCs w:val="26"/>
              </w:rPr>
            </w:pPr>
            <w:r w:rsidRPr="00C30AEF">
              <w:rPr>
                <w:szCs w:val="26"/>
              </w:rPr>
              <w:t>917</w:t>
            </w:r>
          </w:p>
        </w:tc>
        <w:tc>
          <w:tcPr>
            <w:tcW w:w="1132" w:type="pct"/>
          </w:tcPr>
          <w:p w:rsidR="00E31346" w:rsidRPr="00C30AEF" w14:paraId="6A9F1D14" w14:textId="77777777">
            <w:pPr>
              <w:rPr>
                <w:szCs w:val="26"/>
              </w:rPr>
            </w:pPr>
            <w:r w:rsidRPr="00C30AEF">
              <w:rPr>
                <w:szCs w:val="26"/>
              </w:rPr>
              <w:t>FERC-917, Non-discriminatory Open Access Transmission Tariff</w:t>
            </w:r>
          </w:p>
        </w:tc>
        <w:tc>
          <w:tcPr>
            <w:tcW w:w="666" w:type="pct"/>
          </w:tcPr>
          <w:p w:rsidR="00E31346" w:rsidRPr="00C30AEF" w14:paraId="752B65A0" w14:textId="77777777">
            <w:pPr>
              <w:jc w:val="right"/>
              <w:rPr>
                <w:szCs w:val="26"/>
              </w:rPr>
            </w:pPr>
            <w:r w:rsidRPr="00C30AEF">
              <w:rPr>
                <w:szCs w:val="26"/>
              </w:rPr>
              <w:t>162</w:t>
            </w:r>
          </w:p>
        </w:tc>
        <w:tc>
          <w:tcPr>
            <w:tcW w:w="668" w:type="pct"/>
          </w:tcPr>
          <w:p w:rsidR="00E31346" w:rsidRPr="00C30AEF" w14:paraId="1CE69168" w14:textId="77777777">
            <w:pPr>
              <w:jc w:val="right"/>
              <w:rPr>
                <w:szCs w:val="26"/>
              </w:rPr>
            </w:pPr>
            <w:r w:rsidRPr="00C30AEF">
              <w:rPr>
                <w:szCs w:val="26"/>
              </w:rPr>
              <w:t>1</w:t>
            </w:r>
          </w:p>
        </w:tc>
        <w:tc>
          <w:tcPr>
            <w:tcW w:w="520" w:type="pct"/>
          </w:tcPr>
          <w:p w:rsidR="00E31346" w:rsidRPr="00C30AEF" w14:paraId="5464F402" w14:textId="77777777">
            <w:pPr>
              <w:jc w:val="right"/>
              <w:rPr>
                <w:color w:val="000000"/>
                <w:szCs w:val="26"/>
              </w:rPr>
            </w:pPr>
            <w:r w:rsidRPr="00C30AEF">
              <w:rPr>
                <w:szCs w:val="26"/>
              </w:rPr>
              <w:t>162</w:t>
            </w:r>
          </w:p>
        </w:tc>
        <w:tc>
          <w:tcPr>
            <w:tcW w:w="640" w:type="pct"/>
          </w:tcPr>
          <w:p w:rsidR="00E31346" w:rsidRPr="00C30AEF" w14:paraId="3FF1D787" w14:textId="77777777">
            <w:pPr>
              <w:jc w:val="right"/>
              <w:rPr>
                <w:color w:val="000000"/>
                <w:szCs w:val="26"/>
              </w:rPr>
            </w:pPr>
            <w:r w:rsidRPr="00C30AEF">
              <w:rPr>
                <w:szCs w:val="26"/>
              </w:rPr>
              <w:t>576</w:t>
            </w:r>
          </w:p>
        </w:tc>
        <w:tc>
          <w:tcPr>
            <w:tcW w:w="797" w:type="pct"/>
          </w:tcPr>
          <w:p w:rsidR="00E31346" w:rsidRPr="00C30AEF" w14:paraId="3BE637FA" w14:textId="77777777">
            <w:pPr>
              <w:jc w:val="right"/>
              <w:rPr>
                <w:color w:val="000000"/>
                <w:szCs w:val="26"/>
              </w:rPr>
            </w:pPr>
            <w:r w:rsidRPr="00C30AEF">
              <w:rPr>
                <w:szCs w:val="26"/>
              </w:rPr>
              <w:t>93,312</w:t>
            </w:r>
          </w:p>
        </w:tc>
      </w:tr>
      <w:tr w14:paraId="04E22960" w14:textId="77777777" w:rsidTr="004A4873">
        <w:tblPrEx>
          <w:tblW w:w="5314" w:type="pct"/>
          <w:tblInd w:w="-72" w:type="dxa"/>
          <w:tblLayout w:type="fixed"/>
          <w:tblLook w:val="01E0"/>
        </w:tblPrEx>
        <w:trPr>
          <w:cantSplit/>
        </w:trPr>
        <w:tc>
          <w:tcPr>
            <w:tcW w:w="577" w:type="pct"/>
          </w:tcPr>
          <w:p w:rsidR="00E31346" w:rsidRPr="00C30AEF" w14:paraId="783CAB82" w14:textId="77777777">
            <w:pPr>
              <w:rPr>
                <w:szCs w:val="26"/>
              </w:rPr>
            </w:pPr>
            <w:r w:rsidRPr="00C30AEF">
              <w:rPr>
                <w:szCs w:val="26"/>
              </w:rPr>
              <w:t>917</w:t>
            </w:r>
          </w:p>
        </w:tc>
        <w:tc>
          <w:tcPr>
            <w:tcW w:w="1132" w:type="pct"/>
          </w:tcPr>
          <w:p w:rsidR="00E31346" w:rsidRPr="00C30AEF" w14:paraId="4A8C90EA" w14:textId="77777777">
            <w:pPr>
              <w:rPr>
                <w:szCs w:val="26"/>
              </w:rPr>
            </w:pPr>
            <w:r w:rsidRPr="00C30AEF">
              <w:rPr>
                <w:szCs w:val="26"/>
              </w:rPr>
              <w:t>RM21-17: Revise OATT to comply with regional transmission planning process (One-Time))</w:t>
            </w:r>
          </w:p>
        </w:tc>
        <w:tc>
          <w:tcPr>
            <w:tcW w:w="666" w:type="pct"/>
          </w:tcPr>
          <w:p w:rsidR="00E31346" w:rsidRPr="00C30AEF" w14:paraId="0DA03010" w14:textId="77777777">
            <w:pPr>
              <w:jc w:val="right"/>
              <w:rPr>
                <w:szCs w:val="26"/>
              </w:rPr>
            </w:pPr>
            <w:r w:rsidRPr="00C30AEF">
              <w:rPr>
                <w:szCs w:val="26"/>
              </w:rPr>
              <w:t>48</w:t>
            </w:r>
          </w:p>
        </w:tc>
        <w:tc>
          <w:tcPr>
            <w:tcW w:w="668" w:type="pct"/>
          </w:tcPr>
          <w:p w:rsidR="00E31346" w:rsidRPr="00C30AEF" w14:paraId="55607B20" w14:textId="77777777">
            <w:pPr>
              <w:jc w:val="right"/>
              <w:rPr>
                <w:szCs w:val="26"/>
              </w:rPr>
            </w:pPr>
            <w:r w:rsidRPr="00C30AEF">
              <w:rPr>
                <w:szCs w:val="26"/>
              </w:rPr>
              <w:t>1</w:t>
            </w:r>
          </w:p>
        </w:tc>
        <w:tc>
          <w:tcPr>
            <w:tcW w:w="520" w:type="pct"/>
          </w:tcPr>
          <w:p w:rsidR="00E31346" w:rsidRPr="00C30AEF" w14:paraId="716065FF" w14:textId="77777777">
            <w:pPr>
              <w:jc w:val="right"/>
              <w:rPr>
                <w:color w:val="000000"/>
                <w:szCs w:val="26"/>
              </w:rPr>
            </w:pPr>
            <w:r w:rsidRPr="00C30AEF">
              <w:rPr>
                <w:szCs w:val="26"/>
              </w:rPr>
              <w:t>48</w:t>
            </w:r>
          </w:p>
        </w:tc>
        <w:tc>
          <w:tcPr>
            <w:tcW w:w="640" w:type="pct"/>
          </w:tcPr>
          <w:p w:rsidR="00E31346" w:rsidRPr="00C30AEF" w14:paraId="1A35CCA5" w14:textId="77777777">
            <w:pPr>
              <w:jc w:val="right"/>
              <w:rPr>
                <w:color w:val="000000"/>
                <w:szCs w:val="26"/>
              </w:rPr>
            </w:pPr>
            <w:r w:rsidRPr="00C30AEF">
              <w:rPr>
                <w:szCs w:val="26"/>
              </w:rPr>
              <w:t>770</w:t>
            </w:r>
          </w:p>
        </w:tc>
        <w:tc>
          <w:tcPr>
            <w:tcW w:w="797" w:type="pct"/>
          </w:tcPr>
          <w:p w:rsidR="00E31346" w:rsidRPr="00C30AEF" w14:paraId="1CF883BA" w14:textId="77777777">
            <w:pPr>
              <w:jc w:val="right"/>
              <w:rPr>
                <w:color w:val="000000"/>
                <w:szCs w:val="26"/>
              </w:rPr>
            </w:pPr>
            <w:r w:rsidRPr="00C30AEF">
              <w:rPr>
                <w:szCs w:val="26"/>
              </w:rPr>
              <w:t>36,960</w:t>
            </w:r>
          </w:p>
        </w:tc>
      </w:tr>
      <w:tr w14:paraId="3DBA6A13" w14:textId="77777777" w:rsidTr="004A4873">
        <w:tblPrEx>
          <w:tblW w:w="5314" w:type="pct"/>
          <w:tblInd w:w="-72" w:type="dxa"/>
          <w:tblLayout w:type="fixed"/>
          <w:tblLook w:val="01E0"/>
        </w:tblPrEx>
        <w:trPr>
          <w:cantSplit/>
        </w:trPr>
        <w:tc>
          <w:tcPr>
            <w:tcW w:w="577" w:type="pct"/>
          </w:tcPr>
          <w:p w:rsidR="00E31346" w:rsidRPr="00C30AEF" w14:paraId="644F6A89" w14:textId="77777777">
            <w:pPr>
              <w:rPr>
                <w:szCs w:val="26"/>
              </w:rPr>
            </w:pPr>
            <w:r w:rsidRPr="00C30AEF">
              <w:rPr>
                <w:szCs w:val="26"/>
              </w:rPr>
              <w:t>917</w:t>
            </w:r>
          </w:p>
        </w:tc>
        <w:tc>
          <w:tcPr>
            <w:tcW w:w="1132" w:type="pct"/>
          </w:tcPr>
          <w:p w:rsidR="00E31346" w:rsidRPr="00C30AEF" w14:paraId="55B6E75B" w14:textId="77777777">
            <w:pPr>
              <w:rPr>
                <w:szCs w:val="26"/>
              </w:rPr>
            </w:pPr>
            <w:r w:rsidRPr="00C30AEF">
              <w:rPr>
                <w:szCs w:val="26"/>
              </w:rPr>
              <w:t>RM21-17: Participate in Long-Term Regional Transmission Planning (With OATT))</w:t>
            </w:r>
          </w:p>
        </w:tc>
        <w:tc>
          <w:tcPr>
            <w:tcW w:w="666" w:type="pct"/>
          </w:tcPr>
          <w:p w:rsidR="00E31346" w:rsidRPr="00C30AEF" w14:paraId="64D662E0" w14:textId="77777777">
            <w:pPr>
              <w:jc w:val="right"/>
              <w:rPr>
                <w:szCs w:val="26"/>
              </w:rPr>
            </w:pPr>
            <w:r w:rsidRPr="00C30AEF">
              <w:rPr>
                <w:szCs w:val="26"/>
              </w:rPr>
              <w:t>48</w:t>
            </w:r>
          </w:p>
        </w:tc>
        <w:tc>
          <w:tcPr>
            <w:tcW w:w="668" w:type="pct"/>
          </w:tcPr>
          <w:p w:rsidR="00E31346" w:rsidRPr="00C30AEF" w14:paraId="0F9C1CE5" w14:textId="77777777">
            <w:pPr>
              <w:jc w:val="right"/>
              <w:rPr>
                <w:szCs w:val="26"/>
              </w:rPr>
            </w:pPr>
            <w:r w:rsidRPr="00C30AEF">
              <w:rPr>
                <w:szCs w:val="26"/>
              </w:rPr>
              <w:t>1</w:t>
            </w:r>
          </w:p>
        </w:tc>
        <w:tc>
          <w:tcPr>
            <w:tcW w:w="520" w:type="pct"/>
          </w:tcPr>
          <w:p w:rsidR="00E31346" w:rsidRPr="00C30AEF" w14:paraId="730D37C8" w14:textId="77777777">
            <w:pPr>
              <w:jc w:val="right"/>
              <w:rPr>
                <w:color w:val="000000"/>
                <w:szCs w:val="26"/>
              </w:rPr>
            </w:pPr>
            <w:r w:rsidRPr="00C30AEF">
              <w:rPr>
                <w:szCs w:val="26"/>
              </w:rPr>
              <w:t>48</w:t>
            </w:r>
          </w:p>
        </w:tc>
        <w:tc>
          <w:tcPr>
            <w:tcW w:w="640" w:type="pct"/>
          </w:tcPr>
          <w:p w:rsidR="00E31346" w:rsidRPr="00C30AEF" w14:paraId="5D21F581" w14:textId="77777777">
            <w:pPr>
              <w:jc w:val="right"/>
              <w:rPr>
                <w:color w:val="000000"/>
                <w:szCs w:val="26"/>
              </w:rPr>
            </w:pPr>
            <w:r w:rsidRPr="00C30AEF">
              <w:rPr>
                <w:szCs w:val="26"/>
              </w:rPr>
              <w:t>4,995</w:t>
            </w:r>
          </w:p>
        </w:tc>
        <w:tc>
          <w:tcPr>
            <w:tcW w:w="797" w:type="pct"/>
          </w:tcPr>
          <w:p w:rsidR="00E31346" w:rsidRPr="00C30AEF" w14:paraId="7AD44DD2" w14:textId="77777777">
            <w:pPr>
              <w:jc w:val="right"/>
              <w:rPr>
                <w:color w:val="000000"/>
                <w:szCs w:val="26"/>
              </w:rPr>
            </w:pPr>
            <w:r w:rsidRPr="00C30AEF">
              <w:rPr>
                <w:szCs w:val="26"/>
              </w:rPr>
              <w:t>239,760</w:t>
            </w:r>
          </w:p>
        </w:tc>
      </w:tr>
      <w:tr w14:paraId="4BEBA527" w14:textId="77777777" w:rsidTr="004A4873">
        <w:tblPrEx>
          <w:tblW w:w="5314" w:type="pct"/>
          <w:tblInd w:w="-72" w:type="dxa"/>
          <w:tblLayout w:type="fixed"/>
          <w:tblLook w:val="01E0"/>
        </w:tblPrEx>
        <w:trPr>
          <w:cantSplit/>
          <w:trHeight w:val="485"/>
        </w:trPr>
        <w:tc>
          <w:tcPr>
            <w:tcW w:w="577" w:type="pct"/>
            <w:tcBorders>
              <w:bottom w:val="single" w:sz="4" w:space="0" w:color="auto"/>
            </w:tcBorders>
          </w:tcPr>
          <w:p w:rsidR="00E31346" w:rsidRPr="00C30AEF" w14:paraId="5FE8B03C" w14:textId="77777777">
            <w:pPr>
              <w:rPr>
                <w:rFonts w:eastAsia="Calibri"/>
                <w:b/>
                <w:bCs/>
                <w:szCs w:val="26"/>
              </w:rPr>
            </w:pPr>
            <w:r w:rsidRPr="00C30AEF">
              <w:rPr>
                <w:rFonts w:eastAsia="Calibri"/>
                <w:b/>
                <w:bCs/>
                <w:szCs w:val="26"/>
              </w:rPr>
              <w:t>TOTAL</w:t>
            </w:r>
          </w:p>
        </w:tc>
        <w:tc>
          <w:tcPr>
            <w:tcW w:w="1132" w:type="pct"/>
            <w:tcBorders>
              <w:bottom w:val="single" w:sz="4" w:space="0" w:color="auto"/>
            </w:tcBorders>
            <w:shd w:val="clear" w:color="auto" w:fill="D9D9D9" w:themeFill="background1" w:themeFillShade="D9"/>
          </w:tcPr>
          <w:p w:rsidR="00E31346" w:rsidRPr="00C30AEF" w14:paraId="7CBDCB9B" w14:textId="77777777">
            <w:pPr>
              <w:jc w:val="right"/>
              <w:rPr>
                <w:rFonts w:eastAsia="Calibri"/>
                <w:szCs w:val="26"/>
              </w:rPr>
            </w:pPr>
          </w:p>
        </w:tc>
        <w:tc>
          <w:tcPr>
            <w:tcW w:w="1334" w:type="pct"/>
            <w:gridSpan w:val="2"/>
            <w:tcBorders>
              <w:bottom w:val="single" w:sz="4" w:space="0" w:color="auto"/>
            </w:tcBorders>
            <w:shd w:val="clear" w:color="auto" w:fill="D9D9D9" w:themeFill="background1" w:themeFillShade="D9"/>
          </w:tcPr>
          <w:p w:rsidR="00E31346" w:rsidRPr="00C30AEF" w14:paraId="1838E309" w14:textId="77777777">
            <w:pPr>
              <w:jc w:val="right"/>
              <w:rPr>
                <w:rFonts w:eastAsia="Calibri"/>
                <w:szCs w:val="26"/>
              </w:rPr>
            </w:pPr>
          </w:p>
        </w:tc>
        <w:tc>
          <w:tcPr>
            <w:tcW w:w="520" w:type="pct"/>
            <w:tcBorders>
              <w:bottom w:val="single" w:sz="4" w:space="0" w:color="auto"/>
            </w:tcBorders>
          </w:tcPr>
          <w:p w:rsidR="00E31346" w:rsidRPr="00C30AEF" w14:paraId="596A8F22" w14:textId="1F89881F">
            <w:pPr>
              <w:jc w:val="right"/>
              <w:rPr>
                <w:rFonts w:eastAsia="Calibri"/>
                <w:b/>
                <w:bCs/>
                <w:szCs w:val="26"/>
              </w:rPr>
            </w:pPr>
            <w:r w:rsidRPr="00C30AEF">
              <w:rPr>
                <w:rFonts w:eastAsia="Calibri"/>
                <w:b/>
                <w:bCs/>
                <w:szCs w:val="26"/>
              </w:rPr>
              <w:t>258</w:t>
            </w:r>
            <w:r w:rsidRPr="00C30AEF">
              <w:rPr>
                <w:rFonts w:eastAsia="Calibri"/>
                <w:b/>
                <w:bCs/>
                <w:szCs w:val="26"/>
              </w:rPr>
              <w:t xml:space="preserve"> </w:t>
            </w:r>
          </w:p>
        </w:tc>
        <w:tc>
          <w:tcPr>
            <w:tcW w:w="640" w:type="pct"/>
            <w:tcBorders>
              <w:bottom w:val="single" w:sz="4" w:space="0" w:color="auto"/>
            </w:tcBorders>
            <w:shd w:val="clear" w:color="auto" w:fill="D9D9D9" w:themeFill="background1" w:themeFillShade="D9"/>
          </w:tcPr>
          <w:p w:rsidR="00E31346" w:rsidRPr="00C30AEF" w14:paraId="6801F466" w14:textId="77777777">
            <w:pPr>
              <w:jc w:val="right"/>
              <w:rPr>
                <w:rFonts w:eastAsia="Calibri"/>
                <w:szCs w:val="26"/>
              </w:rPr>
            </w:pPr>
          </w:p>
        </w:tc>
        <w:tc>
          <w:tcPr>
            <w:tcW w:w="797" w:type="pct"/>
            <w:tcBorders>
              <w:bottom w:val="single" w:sz="4" w:space="0" w:color="auto"/>
            </w:tcBorders>
          </w:tcPr>
          <w:p w:rsidR="00E31346" w:rsidRPr="00C30AEF" w14:paraId="2E09E039" w14:textId="5BB43B9A">
            <w:pPr>
              <w:jc w:val="right"/>
              <w:rPr>
                <w:rFonts w:eastAsia="Calibri"/>
                <w:b/>
                <w:bCs/>
                <w:szCs w:val="26"/>
              </w:rPr>
            </w:pPr>
            <w:r w:rsidRPr="00C30AEF">
              <w:rPr>
                <w:rFonts w:eastAsia="Calibri"/>
                <w:b/>
                <w:bCs/>
                <w:szCs w:val="26"/>
              </w:rPr>
              <w:t>370,032</w:t>
            </w:r>
            <w:r w:rsidRPr="00C30AEF">
              <w:rPr>
                <w:rFonts w:eastAsia="Calibri"/>
                <w:b/>
                <w:bCs/>
                <w:szCs w:val="26"/>
              </w:rPr>
              <w:t xml:space="preserve"> hrs.</w:t>
            </w:r>
            <w:r w:rsidRPr="00C30AEF">
              <w:rPr>
                <w:rFonts w:eastAsia="Calibri"/>
                <w:b/>
                <w:bCs/>
                <w:szCs w:val="26"/>
              </w:rPr>
              <w:t xml:space="preserve"> </w:t>
            </w:r>
          </w:p>
        </w:tc>
      </w:tr>
    </w:tbl>
    <w:p w:rsidR="00E31346" w:rsidRPr="00C30AEF" w:rsidP="549EAD48" w14:paraId="687A05CC" w14:textId="77777777">
      <w:pPr>
        <w:spacing w:line="480" w:lineRule="auto"/>
        <w:rPr>
          <w:szCs w:val="26"/>
        </w:rPr>
      </w:pPr>
    </w:p>
    <w:p w:rsidR="00922A4C" w:rsidRPr="00C30AEF" w:rsidP="549EAD48" w14:paraId="23B9BC58" w14:textId="7186E28A">
      <w:pPr>
        <w:spacing w:line="480" w:lineRule="auto"/>
        <w:rPr>
          <w:b/>
          <w:bCs/>
          <w:szCs w:val="26"/>
        </w:rPr>
      </w:pPr>
      <w:r w:rsidRPr="00C30AEF">
        <w:rPr>
          <w:b/>
          <w:bCs/>
          <w:szCs w:val="26"/>
        </w:rPr>
        <w:t>Information Sharing Requirements category</w:t>
      </w:r>
      <w:r w:rsidRPr="00C30AEF" w:rsidR="00F7351A">
        <w:rPr>
          <w:b/>
          <w:bCs/>
          <w:szCs w:val="26"/>
        </w:rPr>
        <w:t xml:space="preserve"> –</w:t>
      </w:r>
    </w:p>
    <w:p w:rsidR="00B362D8" w:rsidRPr="00C30AEF" w:rsidP="00B362D8" w14:paraId="7CA9306C" w14:textId="03657FEF">
      <w:pPr>
        <w:spacing w:line="480" w:lineRule="auto"/>
        <w:rPr>
          <w:szCs w:val="26"/>
        </w:rPr>
      </w:pPr>
      <w:r w:rsidRPr="00C30AEF">
        <w:rPr>
          <w:szCs w:val="26"/>
        </w:rPr>
        <w:t>FERC’s electric tariff information</w:t>
      </w:r>
      <w:r w:rsidRPr="00C30AEF">
        <w:rPr>
          <w:szCs w:val="26"/>
        </w:rPr>
        <w:noBreakHyphen/>
        <w:t>sharing requirements apply primarily to RTOs and ISOs, which must share credit</w:t>
      </w:r>
      <w:r w:rsidRPr="00C30AEF">
        <w:rPr>
          <w:szCs w:val="26"/>
        </w:rPr>
        <w:noBreakHyphen/>
        <w:t xml:space="preserve">related information with one another so they can accurately assess market participants’ credit exposure and respond quickly to credit events. The rule does not require entities to submit this information to FERC; instead, </w:t>
      </w:r>
      <w:r w:rsidRPr="00C30AEF">
        <w:rPr>
          <w:szCs w:val="26"/>
        </w:rPr>
        <w:t>each RTO/ISO must maintain tariff provisions that enable information sharing and then facilitate that sharing according to its own processes.</w:t>
      </w:r>
      <w:r w:rsidRPr="00C30AEF" w:rsidR="00DF5ADE">
        <w:rPr>
          <w:szCs w:val="26"/>
        </w:rPr>
        <w:t xml:space="preserve"> This includes that public utilities must operate an OASIS site, which provides all transmission customers with equal and timely access to information about transmission availability, prices, and terms of service</w:t>
      </w:r>
      <w:r w:rsidRPr="00C30AEF" w:rsidR="0028521D">
        <w:rPr>
          <w:szCs w:val="26"/>
        </w:rPr>
        <w:t xml:space="preserve"> and </w:t>
      </w:r>
      <w:r w:rsidRPr="00C30AEF" w:rsidR="00DF5ADE">
        <w:rPr>
          <w:szCs w:val="26"/>
        </w:rPr>
        <w:t>ensur</w:t>
      </w:r>
      <w:r w:rsidRPr="00C30AEF" w:rsidR="0028521D">
        <w:rPr>
          <w:szCs w:val="26"/>
        </w:rPr>
        <w:t>es</w:t>
      </w:r>
      <w:r w:rsidRPr="00C30AEF" w:rsidR="00DF5ADE">
        <w:rPr>
          <w:szCs w:val="26"/>
        </w:rPr>
        <w:t xml:space="preserve"> transparency and nondiscriminatory access.</w:t>
      </w:r>
    </w:p>
    <w:p w:rsidR="00922A4C" w:rsidRPr="00C30AEF" w:rsidP="549EAD48" w14:paraId="36A69CFF" w14:textId="77777777">
      <w:pPr>
        <w:spacing w:line="480" w:lineRule="auto"/>
        <w:rPr>
          <w:szCs w:val="26"/>
        </w:rPr>
      </w:pPr>
    </w:p>
    <w:p w:rsidR="00F64FAF" w:rsidRPr="00C30AEF" w:rsidP="00641773" w14:paraId="581DB17C" w14:textId="5A3DF12B">
      <w:pPr>
        <w:keepNext/>
        <w:spacing w:line="480" w:lineRule="auto"/>
        <w:rPr>
          <w:szCs w:val="26"/>
        </w:rPr>
      </w:pPr>
      <w:r w:rsidRPr="00C30AEF">
        <w:rPr>
          <w:b/>
          <w:bCs/>
          <w:szCs w:val="26"/>
        </w:rPr>
        <w:t xml:space="preserve">Information Sharing Requirements category </w:t>
      </w:r>
      <w:r w:rsidRPr="00C30AEF" w:rsidR="00F7351A">
        <w:rPr>
          <w:b/>
          <w:bCs/>
          <w:szCs w:val="26"/>
        </w:rPr>
        <w:t>–</w:t>
      </w:r>
      <w:r w:rsidRPr="00C30AEF">
        <w:rPr>
          <w:b/>
          <w:bCs/>
          <w:szCs w:val="26"/>
        </w:rPr>
        <w:t xml:space="preserve"> Previous Information Collection activities </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1E531F89" w14:textId="77777777" w:rsidTr="00641773">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9C0AC8" w:rsidRPr="00C30AEF" w14:paraId="2F816EB2" w14:textId="77777777">
            <w:pPr>
              <w:jc w:val="center"/>
              <w:rPr>
                <w:rFonts w:eastAsia="Calibri"/>
                <w:b/>
                <w:bCs/>
                <w:szCs w:val="26"/>
              </w:rPr>
            </w:pPr>
            <w:r w:rsidRPr="00C30AEF">
              <w:rPr>
                <w:rFonts w:eastAsia="Calibri"/>
                <w:b/>
                <w:bCs/>
                <w:szCs w:val="26"/>
              </w:rPr>
              <w:t>Previous FERC Form</w:t>
            </w:r>
          </w:p>
        </w:tc>
        <w:tc>
          <w:tcPr>
            <w:tcW w:w="1132" w:type="pct"/>
            <w:shd w:val="clear" w:color="auto" w:fill="D9D9D9" w:themeFill="background1" w:themeFillShade="D9"/>
          </w:tcPr>
          <w:p w:rsidR="009C0AC8" w:rsidRPr="00C30AEF" w14:paraId="13806487" w14:textId="77777777">
            <w:pPr>
              <w:jc w:val="center"/>
              <w:rPr>
                <w:rFonts w:eastAsia="Calibri"/>
                <w:b/>
                <w:bCs/>
                <w:szCs w:val="26"/>
              </w:rPr>
            </w:pPr>
            <w:r w:rsidRPr="00C30AEF">
              <w:rPr>
                <w:rFonts w:eastAsia="Calibri"/>
                <w:b/>
                <w:bCs/>
                <w:szCs w:val="26"/>
              </w:rPr>
              <w:t>Title</w:t>
            </w:r>
          </w:p>
        </w:tc>
        <w:tc>
          <w:tcPr>
            <w:tcW w:w="666" w:type="pct"/>
            <w:shd w:val="clear" w:color="auto" w:fill="D9D9D9" w:themeFill="background1" w:themeFillShade="D9"/>
          </w:tcPr>
          <w:p w:rsidR="009C0AC8" w:rsidRPr="00C30AEF" w14:paraId="3F9D5BEB" w14:textId="77777777">
            <w:pPr>
              <w:jc w:val="center"/>
              <w:rPr>
                <w:rFonts w:eastAsia="Calibri"/>
                <w:b/>
                <w:bCs/>
                <w:szCs w:val="26"/>
              </w:rPr>
            </w:pPr>
            <w:r w:rsidRPr="00C30AEF">
              <w:rPr>
                <w:rFonts w:eastAsia="Calibri"/>
                <w:b/>
                <w:bCs/>
                <w:szCs w:val="26"/>
              </w:rPr>
              <w:t>Number of Respondents</w:t>
            </w:r>
            <w:r w:rsidRPr="00C30AEF">
              <w:rPr>
                <w:szCs w:val="26"/>
              </w:rPr>
              <w:br/>
            </w:r>
            <w:r w:rsidRPr="00C30AEF">
              <w:rPr>
                <w:rFonts w:eastAsia="Calibri"/>
                <w:b/>
                <w:bCs/>
                <w:szCs w:val="26"/>
              </w:rPr>
              <w:t>(1)</w:t>
            </w:r>
          </w:p>
        </w:tc>
        <w:tc>
          <w:tcPr>
            <w:tcW w:w="668" w:type="pct"/>
            <w:shd w:val="clear" w:color="auto" w:fill="D9D9D9" w:themeFill="background1" w:themeFillShade="D9"/>
          </w:tcPr>
          <w:p w:rsidR="009C0AC8" w:rsidRPr="00C30AEF" w14:paraId="12DC2E26" w14:textId="77777777">
            <w:pPr>
              <w:jc w:val="center"/>
              <w:rPr>
                <w:rFonts w:eastAsia="Calibri"/>
                <w:b/>
                <w:bCs/>
                <w:szCs w:val="26"/>
              </w:rPr>
            </w:pPr>
            <w:r w:rsidRPr="00C30AEF">
              <w:rPr>
                <w:rFonts w:eastAsia="Calibri"/>
                <w:b/>
                <w:bCs/>
                <w:szCs w:val="26"/>
              </w:rPr>
              <w:t>Annual Number of Responses per Respondent</w:t>
            </w:r>
          </w:p>
          <w:p w:rsidR="009C0AC8" w:rsidRPr="00C30AEF" w14:paraId="23E3313D" w14:textId="77777777">
            <w:pPr>
              <w:jc w:val="center"/>
              <w:rPr>
                <w:rFonts w:eastAsia="Calibri"/>
                <w:b/>
                <w:bCs/>
                <w:szCs w:val="26"/>
              </w:rPr>
            </w:pPr>
            <w:r w:rsidRPr="00C30AEF">
              <w:rPr>
                <w:rFonts w:eastAsia="Calibri"/>
                <w:b/>
                <w:bCs/>
                <w:szCs w:val="26"/>
              </w:rPr>
              <w:t>(2)</w:t>
            </w:r>
          </w:p>
        </w:tc>
        <w:tc>
          <w:tcPr>
            <w:tcW w:w="520" w:type="pct"/>
            <w:shd w:val="clear" w:color="auto" w:fill="D9D9D9" w:themeFill="background1" w:themeFillShade="D9"/>
          </w:tcPr>
          <w:p w:rsidR="009C0AC8" w:rsidRPr="00C30AEF" w14:paraId="5DE4A4EF" w14:textId="77777777">
            <w:pPr>
              <w:jc w:val="center"/>
              <w:rPr>
                <w:rFonts w:eastAsia="Calibri"/>
                <w:b/>
                <w:bCs/>
                <w:szCs w:val="26"/>
              </w:rPr>
            </w:pPr>
            <w:r w:rsidRPr="00C30AEF">
              <w:rPr>
                <w:rFonts w:eastAsia="Calibri"/>
                <w:b/>
                <w:bCs/>
                <w:szCs w:val="26"/>
              </w:rPr>
              <w:t>Total Number of Responses (1)*(2)=(3)</w:t>
            </w:r>
          </w:p>
        </w:tc>
        <w:tc>
          <w:tcPr>
            <w:tcW w:w="640" w:type="pct"/>
            <w:shd w:val="clear" w:color="auto" w:fill="D9D9D9" w:themeFill="background1" w:themeFillShade="D9"/>
          </w:tcPr>
          <w:p w:rsidR="009C0AC8" w:rsidRPr="00C30AEF" w14:paraId="2798525F" w14:textId="317961D3">
            <w:pPr>
              <w:jc w:val="center"/>
              <w:rPr>
                <w:rFonts w:eastAsia="Calibri"/>
                <w:b/>
                <w:bCs/>
                <w:szCs w:val="26"/>
              </w:rPr>
            </w:pPr>
            <w:r w:rsidRPr="00C30AEF">
              <w:rPr>
                <w:rFonts w:eastAsia="Calibri"/>
                <w:b/>
                <w:bCs/>
                <w:szCs w:val="26"/>
              </w:rPr>
              <w:t>Average Burden per response</w:t>
            </w:r>
          </w:p>
          <w:p w:rsidR="009C0AC8" w:rsidRPr="00C30AEF" w14:paraId="199CCF6B" w14:textId="77777777">
            <w:pPr>
              <w:jc w:val="center"/>
              <w:rPr>
                <w:rFonts w:eastAsia="Calibri"/>
                <w:b/>
                <w:bCs/>
                <w:szCs w:val="26"/>
              </w:rPr>
            </w:pPr>
            <w:r w:rsidRPr="00C30AEF">
              <w:rPr>
                <w:rFonts w:eastAsia="Calibri"/>
                <w:b/>
                <w:bCs/>
                <w:szCs w:val="26"/>
              </w:rPr>
              <w:t>(4)</w:t>
            </w:r>
          </w:p>
        </w:tc>
        <w:tc>
          <w:tcPr>
            <w:tcW w:w="797" w:type="pct"/>
            <w:shd w:val="clear" w:color="auto" w:fill="D9D9D9" w:themeFill="background1" w:themeFillShade="D9"/>
          </w:tcPr>
          <w:p w:rsidR="009C0AC8" w:rsidRPr="00C30AEF" w14:paraId="2FCE0B99" w14:textId="77777777">
            <w:pPr>
              <w:jc w:val="center"/>
              <w:rPr>
                <w:rFonts w:eastAsia="Calibri"/>
                <w:b/>
                <w:bCs/>
                <w:szCs w:val="26"/>
              </w:rPr>
            </w:pPr>
            <w:r w:rsidRPr="00C30AEF">
              <w:rPr>
                <w:rFonts w:eastAsia="Calibri"/>
                <w:b/>
                <w:bCs/>
                <w:szCs w:val="26"/>
              </w:rPr>
              <w:t xml:space="preserve">Total Annual Burden Hours </w:t>
            </w:r>
          </w:p>
          <w:p w:rsidR="009C0AC8" w:rsidRPr="00C30AEF" w14:paraId="0E9FAA40" w14:textId="77777777">
            <w:pPr>
              <w:jc w:val="center"/>
              <w:rPr>
                <w:rFonts w:eastAsia="Calibri"/>
                <w:b/>
                <w:bCs/>
                <w:szCs w:val="26"/>
              </w:rPr>
            </w:pPr>
            <w:r w:rsidRPr="00C30AEF">
              <w:rPr>
                <w:rFonts w:eastAsia="Calibri"/>
                <w:b/>
                <w:bCs/>
                <w:szCs w:val="26"/>
              </w:rPr>
              <w:t>(3)*(4)=(5)</w:t>
            </w:r>
          </w:p>
        </w:tc>
      </w:tr>
      <w:tr w14:paraId="68C204A7" w14:textId="77777777" w:rsidTr="006B764A">
        <w:tblPrEx>
          <w:tblW w:w="5314" w:type="pct"/>
          <w:tblInd w:w="-72" w:type="dxa"/>
          <w:tblLayout w:type="fixed"/>
          <w:tblLook w:val="01E0"/>
        </w:tblPrEx>
        <w:trPr>
          <w:cantSplit/>
        </w:trPr>
        <w:tc>
          <w:tcPr>
            <w:tcW w:w="577" w:type="pct"/>
          </w:tcPr>
          <w:p w:rsidR="005B3CEA" w:rsidRPr="00C30AEF" w:rsidP="005B3CEA" w14:paraId="75ED8CC7" w14:textId="37C9459F">
            <w:pPr>
              <w:rPr>
                <w:szCs w:val="26"/>
              </w:rPr>
            </w:pPr>
            <w:r w:rsidRPr="00C30AEF">
              <w:rPr>
                <w:szCs w:val="26"/>
              </w:rPr>
              <w:t>516</w:t>
            </w:r>
          </w:p>
        </w:tc>
        <w:tc>
          <w:tcPr>
            <w:tcW w:w="1132" w:type="pct"/>
          </w:tcPr>
          <w:p w:rsidR="005B3CEA" w:rsidRPr="00C30AEF" w:rsidP="005B3CEA" w14:paraId="353EAF78" w14:textId="469BE875">
            <w:pPr>
              <w:rPr>
                <w:szCs w:val="26"/>
              </w:rPr>
            </w:pPr>
            <w:r w:rsidRPr="00C30AEF">
              <w:rPr>
                <w:szCs w:val="26"/>
              </w:rPr>
              <w:t>Demand Response, RM10-17 (Ongoing Filing)</w:t>
            </w:r>
          </w:p>
        </w:tc>
        <w:tc>
          <w:tcPr>
            <w:tcW w:w="666" w:type="pct"/>
          </w:tcPr>
          <w:p w:rsidR="005B3CEA" w:rsidRPr="00C30AEF" w:rsidP="005B3CEA" w14:paraId="40DE6E21" w14:textId="1A0D6765">
            <w:pPr>
              <w:jc w:val="right"/>
              <w:rPr>
                <w:rFonts w:eastAsia="Calibri"/>
                <w:szCs w:val="26"/>
              </w:rPr>
            </w:pPr>
            <w:r w:rsidRPr="00C30AEF">
              <w:rPr>
                <w:szCs w:val="26"/>
              </w:rPr>
              <w:t>6</w:t>
            </w:r>
          </w:p>
        </w:tc>
        <w:tc>
          <w:tcPr>
            <w:tcW w:w="668" w:type="pct"/>
          </w:tcPr>
          <w:p w:rsidR="005B3CEA" w:rsidRPr="00C30AEF" w:rsidP="005B3CEA" w14:paraId="3033B22B" w14:textId="491D3970">
            <w:pPr>
              <w:jc w:val="right"/>
              <w:rPr>
                <w:rFonts w:eastAsia="Calibri"/>
                <w:szCs w:val="26"/>
              </w:rPr>
            </w:pPr>
            <w:r w:rsidRPr="00C30AEF">
              <w:rPr>
                <w:szCs w:val="26"/>
              </w:rPr>
              <w:t>12</w:t>
            </w:r>
          </w:p>
        </w:tc>
        <w:tc>
          <w:tcPr>
            <w:tcW w:w="520" w:type="pct"/>
          </w:tcPr>
          <w:p w:rsidR="005B3CEA" w:rsidRPr="00C30AEF" w:rsidP="005B3CEA" w14:paraId="4A46EEB7" w14:textId="5EA9B42F">
            <w:pPr>
              <w:jc w:val="right"/>
              <w:rPr>
                <w:rFonts w:eastAsia="Calibri"/>
                <w:szCs w:val="26"/>
              </w:rPr>
            </w:pPr>
            <w:r w:rsidRPr="00C30AEF">
              <w:rPr>
                <w:szCs w:val="26"/>
              </w:rPr>
              <w:t>72</w:t>
            </w:r>
          </w:p>
        </w:tc>
        <w:tc>
          <w:tcPr>
            <w:tcW w:w="640" w:type="pct"/>
          </w:tcPr>
          <w:p w:rsidR="005B3CEA" w:rsidRPr="00C30AEF" w:rsidP="005B3CEA" w14:paraId="1E40CD2E" w14:textId="52CDC351">
            <w:pPr>
              <w:jc w:val="right"/>
              <w:rPr>
                <w:rFonts w:eastAsia="Calibri"/>
                <w:szCs w:val="26"/>
              </w:rPr>
            </w:pPr>
            <w:r w:rsidRPr="00C30AEF">
              <w:rPr>
                <w:szCs w:val="26"/>
              </w:rPr>
              <w:t>50</w:t>
            </w:r>
          </w:p>
        </w:tc>
        <w:tc>
          <w:tcPr>
            <w:tcW w:w="797" w:type="pct"/>
          </w:tcPr>
          <w:p w:rsidR="005B3CEA" w:rsidRPr="00C30AEF" w:rsidP="005B3CEA" w14:paraId="370C2A5D" w14:textId="5F07E87F">
            <w:pPr>
              <w:jc w:val="right"/>
              <w:rPr>
                <w:rFonts w:eastAsia="Calibri"/>
                <w:szCs w:val="26"/>
              </w:rPr>
            </w:pPr>
            <w:r w:rsidRPr="00C30AEF">
              <w:rPr>
                <w:szCs w:val="26"/>
              </w:rPr>
              <w:t>3</w:t>
            </w:r>
            <w:r w:rsidRPr="00C30AEF" w:rsidR="009B6D0A">
              <w:rPr>
                <w:szCs w:val="26"/>
              </w:rPr>
              <w:t>,</w:t>
            </w:r>
            <w:r w:rsidRPr="00C30AEF">
              <w:rPr>
                <w:szCs w:val="26"/>
              </w:rPr>
              <w:t>600</w:t>
            </w:r>
          </w:p>
        </w:tc>
      </w:tr>
      <w:tr w14:paraId="1AC398DB" w14:textId="77777777" w:rsidTr="006B764A">
        <w:tblPrEx>
          <w:tblW w:w="5314" w:type="pct"/>
          <w:tblInd w:w="-72" w:type="dxa"/>
          <w:tblLayout w:type="fixed"/>
          <w:tblLook w:val="01E0"/>
        </w:tblPrEx>
        <w:trPr>
          <w:cantSplit/>
        </w:trPr>
        <w:tc>
          <w:tcPr>
            <w:tcW w:w="577" w:type="pct"/>
          </w:tcPr>
          <w:p w:rsidR="005B3CEA" w:rsidRPr="00C30AEF" w:rsidP="005B3CEA" w14:paraId="763976D2" w14:textId="4BDEBB53">
            <w:pPr>
              <w:rPr>
                <w:szCs w:val="26"/>
              </w:rPr>
            </w:pPr>
            <w:r w:rsidRPr="00C30AEF">
              <w:rPr>
                <w:szCs w:val="26"/>
              </w:rPr>
              <w:t>516</w:t>
            </w:r>
          </w:p>
        </w:tc>
        <w:tc>
          <w:tcPr>
            <w:tcW w:w="1132" w:type="pct"/>
          </w:tcPr>
          <w:p w:rsidR="005B3CEA" w:rsidRPr="00C30AEF" w:rsidP="005B3CEA" w14:paraId="159055AC" w14:textId="3C47AD03">
            <w:pPr>
              <w:rPr>
                <w:szCs w:val="26"/>
              </w:rPr>
            </w:pPr>
            <w:r w:rsidRPr="00C30AEF">
              <w:rPr>
                <w:szCs w:val="26"/>
              </w:rPr>
              <w:t>Variable Energy Resource Integration Rule, RM10-11 (Ongoing Filing, Voluntary)</w:t>
            </w:r>
          </w:p>
        </w:tc>
        <w:tc>
          <w:tcPr>
            <w:tcW w:w="666" w:type="pct"/>
          </w:tcPr>
          <w:p w:rsidR="005B3CEA" w:rsidRPr="00C30AEF" w:rsidP="005B3CEA" w14:paraId="5D3352DE" w14:textId="3BB71CD7">
            <w:pPr>
              <w:jc w:val="right"/>
              <w:rPr>
                <w:rFonts w:eastAsia="Calibri"/>
                <w:szCs w:val="26"/>
              </w:rPr>
            </w:pPr>
            <w:r w:rsidRPr="00C30AEF">
              <w:rPr>
                <w:szCs w:val="26"/>
              </w:rPr>
              <w:t>162</w:t>
            </w:r>
          </w:p>
        </w:tc>
        <w:tc>
          <w:tcPr>
            <w:tcW w:w="668" w:type="pct"/>
          </w:tcPr>
          <w:p w:rsidR="005B3CEA" w:rsidRPr="00C30AEF" w:rsidP="005B3CEA" w14:paraId="14FEEF02" w14:textId="1E6262CD">
            <w:pPr>
              <w:jc w:val="right"/>
              <w:rPr>
                <w:rFonts w:eastAsia="Calibri"/>
                <w:szCs w:val="26"/>
              </w:rPr>
            </w:pPr>
            <w:r w:rsidRPr="00C30AEF">
              <w:rPr>
                <w:szCs w:val="26"/>
              </w:rPr>
              <w:t>2</w:t>
            </w:r>
          </w:p>
        </w:tc>
        <w:tc>
          <w:tcPr>
            <w:tcW w:w="520" w:type="pct"/>
          </w:tcPr>
          <w:p w:rsidR="005B3CEA" w:rsidRPr="00C30AEF" w:rsidP="005B3CEA" w14:paraId="1323E9D5" w14:textId="07D9884C">
            <w:pPr>
              <w:jc w:val="right"/>
              <w:rPr>
                <w:rFonts w:eastAsia="Calibri"/>
                <w:szCs w:val="26"/>
              </w:rPr>
            </w:pPr>
            <w:r w:rsidRPr="00C30AEF">
              <w:rPr>
                <w:szCs w:val="26"/>
              </w:rPr>
              <w:t>324</w:t>
            </w:r>
          </w:p>
        </w:tc>
        <w:tc>
          <w:tcPr>
            <w:tcW w:w="640" w:type="pct"/>
          </w:tcPr>
          <w:p w:rsidR="005B3CEA" w:rsidRPr="00C30AEF" w:rsidP="005B3CEA" w14:paraId="63CE5C81" w14:textId="422078A5">
            <w:pPr>
              <w:jc w:val="right"/>
              <w:rPr>
                <w:rFonts w:eastAsia="Calibri"/>
                <w:szCs w:val="26"/>
              </w:rPr>
            </w:pPr>
            <w:r w:rsidRPr="00C30AEF">
              <w:rPr>
                <w:szCs w:val="26"/>
              </w:rPr>
              <w:t>30</w:t>
            </w:r>
          </w:p>
        </w:tc>
        <w:tc>
          <w:tcPr>
            <w:tcW w:w="797" w:type="pct"/>
          </w:tcPr>
          <w:p w:rsidR="005B3CEA" w:rsidRPr="00C30AEF" w:rsidP="005B3CEA" w14:paraId="7EBFAFAE" w14:textId="61F37759">
            <w:pPr>
              <w:jc w:val="right"/>
              <w:rPr>
                <w:rFonts w:eastAsia="Calibri"/>
                <w:szCs w:val="26"/>
              </w:rPr>
            </w:pPr>
            <w:r w:rsidRPr="00C30AEF">
              <w:rPr>
                <w:szCs w:val="26"/>
              </w:rPr>
              <w:t>9</w:t>
            </w:r>
            <w:r w:rsidRPr="00C30AEF" w:rsidR="009B6D0A">
              <w:rPr>
                <w:szCs w:val="26"/>
              </w:rPr>
              <w:t>,</w:t>
            </w:r>
            <w:r w:rsidRPr="00C30AEF">
              <w:rPr>
                <w:szCs w:val="26"/>
              </w:rPr>
              <w:t>720</w:t>
            </w:r>
          </w:p>
        </w:tc>
      </w:tr>
      <w:tr w14:paraId="5311276B" w14:textId="77777777" w:rsidTr="006B764A">
        <w:tblPrEx>
          <w:tblW w:w="5314" w:type="pct"/>
          <w:tblInd w:w="-72" w:type="dxa"/>
          <w:tblLayout w:type="fixed"/>
          <w:tblLook w:val="01E0"/>
        </w:tblPrEx>
        <w:trPr>
          <w:cantSplit/>
        </w:trPr>
        <w:tc>
          <w:tcPr>
            <w:tcW w:w="577" w:type="pct"/>
          </w:tcPr>
          <w:p w:rsidR="005B3CEA" w:rsidRPr="00C30AEF" w:rsidP="005B3CEA" w14:paraId="5CCBB9BC" w14:textId="1E19B864">
            <w:pPr>
              <w:rPr>
                <w:szCs w:val="26"/>
              </w:rPr>
            </w:pPr>
            <w:r w:rsidRPr="00C30AEF">
              <w:rPr>
                <w:szCs w:val="26"/>
              </w:rPr>
              <w:t>516</w:t>
            </w:r>
          </w:p>
        </w:tc>
        <w:tc>
          <w:tcPr>
            <w:tcW w:w="1132" w:type="pct"/>
          </w:tcPr>
          <w:p w:rsidR="005B3CEA" w:rsidRPr="00C30AEF" w:rsidP="005B3CEA" w14:paraId="0EA159A3" w14:textId="78462F9B">
            <w:pPr>
              <w:rPr>
                <w:szCs w:val="26"/>
              </w:rPr>
            </w:pPr>
            <w:r w:rsidRPr="00C30AEF">
              <w:rPr>
                <w:szCs w:val="26"/>
              </w:rPr>
              <w:t>Variable Energy Resource Integration Rule, RM10-11 (Ongoing Filing, Mandatory)</w:t>
            </w:r>
          </w:p>
        </w:tc>
        <w:tc>
          <w:tcPr>
            <w:tcW w:w="666" w:type="pct"/>
          </w:tcPr>
          <w:p w:rsidR="005B3CEA" w:rsidRPr="00C30AEF" w:rsidP="005B3CEA" w14:paraId="5EF86AC0" w14:textId="294EA55B">
            <w:pPr>
              <w:jc w:val="right"/>
              <w:rPr>
                <w:rFonts w:eastAsia="Calibri"/>
                <w:szCs w:val="26"/>
              </w:rPr>
            </w:pPr>
            <w:r w:rsidRPr="00C30AEF">
              <w:rPr>
                <w:szCs w:val="26"/>
              </w:rPr>
              <w:t>294</w:t>
            </w:r>
          </w:p>
        </w:tc>
        <w:tc>
          <w:tcPr>
            <w:tcW w:w="668" w:type="pct"/>
          </w:tcPr>
          <w:p w:rsidR="005B3CEA" w:rsidRPr="00C30AEF" w:rsidP="005B3CEA" w14:paraId="7B242BDA" w14:textId="78266BFF">
            <w:pPr>
              <w:jc w:val="right"/>
              <w:rPr>
                <w:rFonts w:eastAsia="Calibri"/>
                <w:szCs w:val="26"/>
              </w:rPr>
            </w:pPr>
            <w:r w:rsidRPr="00C30AEF">
              <w:rPr>
                <w:szCs w:val="26"/>
              </w:rPr>
              <w:t>2</w:t>
            </w:r>
          </w:p>
        </w:tc>
        <w:tc>
          <w:tcPr>
            <w:tcW w:w="520" w:type="pct"/>
          </w:tcPr>
          <w:p w:rsidR="005B3CEA" w:rsidRPr="00C30AEF" w:rsidP="005B3CEA" w14:paraId="35B33DD0" w14:textId="1D25DFC0">
            <w:pPr>
              <w:jc w:val="right"/>
              <w:rPr>
                <w:rFonts w:eastAsia="Calibri"/>
                <w:szCs w:val="26"/>
              </w:rPr>
            </w:pPr>
            <w:r w:rsidRPr="00C30AEF">
              <w:rPr>
                <w:szCs w:val="26"/>
              </w:rPr>
              <w:t>588</w:t>
            </w:r>
          </w:p>
        </w:tc>
        <w:tc>
          <w:tcPr>
            <w:tcW w:w="640" w:type="pct"/>
          </w:tcPr>
          <w:p w:rsidR="005B3CEA" w:rsidRPr="00C30AEF" w:rsidP="005B3CEA" w14:paraId="38571287" w14:textId="5E35E3CE">
            <w:pPr>
              <w:jc w:val="right"/>
              <w:rPr>
                <w:rFonts w:eastAsia="Calibri"/>
                <w:szCs w:val="26"/>
              </w:rPr>
            </w:pPr>
            <w:r w:rsidRPr="00C30AEF">
              <w:rPr>
                <w:szCs w:val="26"/>
              </w:rPr>
              <w:t>31</w:t>
            </w:r>
          </w:p>
        </w:tc>
        <w:tc>
          <w:tcPr>
            <w:tcW w:w="797" w:type="pct"/>
          </w:tcPr>
          <w:p w:rsidR="005B3CEA" w:rsidRPr="00C30AEF" w:rsidP="005B3CEA" w14:paraId="7F6EA732" w14:textId="755F3CB6">
            <w:pPr>
              <w:jc w:val="right"/>
              <w:rPr>
                <w:rFonts w:eastAsia="Calibri"/>
                <w:szCs w:val="26"/>
              </w:rPr>
            </w:pPr>
            <w:r w:rsidRPr="00C30AEF">
              <w:rPr>
                <w:szCs w:val="26"/>
              </w:rPr>
              <w:t>18</w:t>
            </w:r>
            <w:r w:rsidRPr="00C30AEF" w:rsidR="009B6D0A">
              <w:rPr>
                <w:szCs w:val="26"/>
              </w:rPr>
              <w:t>,</w:t>
            </w:r>
            <w:r w:rsidRPr="00C30AEF">
              <w:rPr>
                <w:szCs w:val="26"/>
              </w:rPr>
              <w:t>228</w:t>
            </w:r>
          </w:p>
        </w:tc>
      </w:tr>
      <w:tr w14:paraId="12FE535E" w14:textId="77777777" w:rsidTr="006B764A">
        <w:tblPrEx>
          <w:tblW w:w="5314" w:type="pct"/>
          <w:tblInd w:w="-72" w:type="dxa"/>
          <w:tblLayout w:type="fixed"/>
          <w:tblLook w:val="01E0"/>
        </w:tblPrEx>
        <w:trPr>
          <w:cantSplit/>
        </w:trPr>
        <w:tc>
          <w:tcPr>
            <w:tcW w:w="577" w:type="pct"/>
          </w:tcPr>
          <w:p w:rsidR="009B6D0A" w:rsidRPr="00C30AEF" w:rsidP="009B6D0A" w14:paraId="132A7077" w14:textId="4E7D4BE8">
            <w:pPr>
              <w:rPr>
                <w:szCs w:val="26"/>
              </w:rPr>
            </w:pPr>
            <w:r w:rsidRPr="00C30AEF">
              <w:rPr>
                <w:szCs w:val="26"/>
              </w:rPr>
              <w:t>516H</w:t>
            </w:r>
          </w:p>
        </w:tc>
        <w:tc>
          <w:tcPr>
            <w:tcW w:w="1132" w:type="pct"/>
          </w:tcPr>
          <w:p w:rsidR="009B6D0A" w:rsidRPr="00C30AEF" w:rsidP="009B6D0A" w14:paraId="5E293482" w14:textId="33A0842A">
            <w:pPr>
              <w:rPr>
                <w:szCs w:val="26"/>
              </w:rPr>
            </w:pPr>
            <w:r w:rsidRPr="00C30AEF">
              <w:rPr>
                <w:szCs w:val="26"/>
              </w:rPr>
              <w:t>Transmission owners update forecasts and ratings, and share transmission line ratings and facilities ratings methodologies w/ transmission providers, RTOs/ISOs &amp; market monitors (Year 1 and ongoing)</w:t>
            </w:r>
          </w:p>
        </w:tc>
        <w:tc>
          <w:tcPr>
            <w:tcW w:w="666" w:type="pct"/>
          </w:tcPr>
          <w:p w:rsidR="009B6D0A" w:rsidRPr="00C30AEF" w:rsidP="009B6D0A" w14:paraId="6DD050AA" w14:textId="2FFB1F9E">
            <w:pPr>
              <w:jc w:val="right"/>
              <w:rPr>
                <w:szCs w:val="26"/>
              </w:rPr>
            </w:pPr>
            <w:r w:rsidRPr="00C30AEF">
              <w:rPr>
                <w:szCs w:val="26"/>
              </w:rPr>
              <w:t>289</w:t>
            </w:r>
          </w:p>
        </w:tc>
        <w:tc>
          <w:tcPr>
            <w:tcW w:w="668" w:type="pct"/>
          </w:tcPr>
          <w:p w:rsidR="009B6D0A" w:rsidRPr="00C30AEF" w:rsidP="009B6D0A" w14:paraId="6BB38A1C" w14:textId="4FF8BA80">
            <w:pPr>
              <w:jc w:val="right"/>
              <w:rPr>
                <w:szCs w:val="26"/>
              </w:rPr>
            </w:pPr>
            <w:r w:rsidRPr="00C30AEF">
              <w:rPr>
                <w:szCs w:val="26"/>
              </w:rPr>
              <w:t>1</w:t>
            </w:r>
          </w:p>
        </w:tc>
        <w:tc>
          <w:tcPr>
            <w:tcW w:w="520" w:type="pct"/>
          </w:tcPr>
          <w:p w:rsidR="009B6D0A" w:rsidRPr="00C30AEF" w:rsidP="009B6D0A" w14:paraId="61C633DB" w14:textId="1417B2FE">
            <w:pPr>
              <w:jc w:val="right"/>
              <w:rPr>
                <w:szCs w:val="26"/>
              </w:rPr>
            </w:pPr>
            <w:r w:rsidRPr="00C30AEF">
              <w:rPr>
                <w:szCs w:val="26"/>
              </w:rPr>
              <w:t>289</w:t>
            </w:r>
          </w:p>
        </w:tc>
        <w:tc>
          <w:tcPr>
            <w:tcW w:w="640" w:type="pct"/>
          </w:tcPr>
          <w:p w:rsidR="009B6D0A" w:rsidRPr="00C30AEF" w:rsidP="009B6D0A" w14:paraId="0BC030C1" w14:textId="6C3A82BA">
            <w:pPr>
              <w:jc w:val="right"/>
              <w:rPr>
                <w:szCs w:val="26"/>
              </w:rPr>
            </w:pPr>
            <w:r w:rsidRPr="00C30AEF">
              <w:rPr>
                <w:szCs w:val="26"/>
              </w:rPr>
              <w:t>176</w:t>
            </w:r>
          </w:p>
        </w:tc>
        <w:tc>
          <w:tcPr>
            <w:tcW w:w="797" w:type="pct"/>
          </w:tcPr>
          <w:p w:rsidR="009B6D0A" w:rsidRPr="00C30AEF" w:rsidP="009B6D0A" w14:paraId="671B0792" w14:textId="5E942BC0">
            <w:pPr>
              <w:jc w:val="right"/>
              <w:rPr>
                <w:szCs w:val="26"/>
              </w:rPr>
            </w:pPr>
            <w:r w:rsidRPr="00C30AEF">
              <w:rPr>
                <w:szCs w:val="26"/>
              </w:rPr>
              <w:t>50,864</w:t>
            </w:r>
          </w:p>
        </w:tc>
      </w:tr>
      <w:tr w14:paraId="42A40F20" w14:textId="77777777" w:rsidTr="006B764A">
        <w:tblPrEx>
          <w:tblW w:w="5314" w:type="pct"/>
          <w:tblInd w:w="-72" w:type="dxa"/>
          <w:tblLayout w:type="fixed"/>
          <w:tblLook w:val="01E0"/>
        </w:tblPrEx>
        <w:trPr>
          <w:cantSplit/>
        </w:trPr>
        <w:tc>
          <w:tcPr>
            <w:tcW w:w="577" w:type="pct"/>
          </w:tcPr>
          <w:p w:rsidR="009B6D0A" w:rsidRPr="00C30AEF" w:rsidP="009B6D0A" w14:paraId="54221042" w14:textId="74B553A3">
            <w:pPr>
              <w:rPr>
                <w:szCs w:val="26"/>
              </w:rPr>
            </w:pPr>
            <w:r w:rsidRPr="00C30AEF">
              <w:rPr>
                <w:szCs w:val="26"/>
              </w:rPr>
              <w:t>717</w:t>
            </w:r>
          </w:p>
        </w:tc>
        <w:tc>
          <w:tcPr>
            <w:tcW w:w="1132" w:type="pct"/>
          </w:tcPr>
          <w:p w:rsidR="009B6D0A" w:rsidRPr="00C30AEF" w:rsidP="009B6D0A" w14:paraId="39D68C65" w14:textId="700D86B5">
            <w:pPr>
              <w:rPr>
                <w:szCs w:val="26"/>
              </w:rPr>
            </w:pPr>
            <w:r w:rsidRPr="00C30AEF">
              <w:rPr>
                <w:szCs w:val="26"/>
              </w:rPr>
              <w:t>Open Access Same-Time Information System (OASIS)</w:t>
            </w:r>
          </w:p>
        </w:tc>
        <w:tc>
          <w:tcPr>
            <w:tcW w:w="666" w:type="pct"/>
          </w:tcPr>
          <w:p w:rsidR="009B6D0A" w:rsidRPr="00C30AEF" w:rsidP="009B6D0A" w14:paraId="76D4BF0D" w14:textId="5AE2E4AB">
            <w:pPr>
              <w:jc w:val="right"/>
              <w:rPr>
                <w:rFonts w:eastAsia="Calibri"/>
                <w:szCs w:val="26"/>
              </w:rPr>
            </w:pPr>
            <w:r w:rsidRPr="00C30AEF">
              <w:rPr>
                <w:szCs w:val="26"/>
              </w:rPr>
              <w:t>216</w:t>
            </w:r>
          </w:p>
        </w:tc>
        <w:tc>
          <w:tcPr>
            <w:tcW w:w="668" w:type="pct"/>
          </w:tcPr>
          <w:p w:rsidR="009B6D0A" w:rsidRPr="00C30AEF" w:rsidP="009B6D0A" w14:paraId="5AB2570C" w14:textId="299A7C88">
            <w:pPr>
              <w:jc w:val="right"/>
              <w:rPr>
                <w:rFonts w:eastAsia="Calibri"/>
                <w:szCs w:val="26"/>
              </w:rPr>
            </w:pPr>
            <w:r w:rsidRPr="00C30AEF">
              <w:rPr>
                <w:szCs w:val="26"/>
              </w:rPr>
              <w:t>1</w:t>
            </w:r>
          </w:p>
        </w:tc>
        <w:tc>
          <w:tcPr>
            <w:tcW w:w="520" w:type="pct"/>
          </w:tcPr>
          <w:p w:rsidR="009B6D0A" w:rsidRPr="00C30AEF" w:rsidP="009B6D0A" w14:paraId="06C254FC" w14:textId="1D77D374">
            <w:pPr>
              <w:jc w:val="right"/>
              <w:rPr>
                <w:rFonts w:eastAsia="Calibri"/>
                <w:szCs w:val="26"/>
              </w:rPr>
            </w:pPr>
            <w:r w:rsidRPr="00C30AEF">
              <w:rPr>
                <w:szCs w:val="26"/>
              </w:rPr>
              <w:t>216</w:t>
            </w:r>
          </w:p>
        </w:tc>
        <w:tc>
          <w:tcPr>
            <w:tcW w:w="640" w:type="pct"/>
          </w:tcPr>
          <w:p w:rsidR="009B6D0A" w:rsidRPr="00C30AEF" w:rsidP="009B6D0A" w14:paraId="6842F10E" w14:textId="75B50C6B">
            <w:pPr>
              <w:jc w:val="right"/>
              <w:rPr>
                <w:rFonts w:eastAsia="Calibri"/>
                <w:szCs w:val="26"/>
              </w:rPr>
            </w:pPr>
            <w:r w:rsidRPr="00C30AEF">
              <w:rPr>
                <w:szCs w:val="26"/>
              </w:rPr>
              <w:t>30</w:t>
            </w:r>
          </w:p>
        </w:tc>
        <w:tc>
          <w:tcPr>
            <w:tcW w:w="797" w:type="pct"/>
          </w:tcPr>
          <w:p w:rsidR="009B6D0A" w:rsidRPr="00C30AEF" w:rsidP="009B6D0A" w14:paraId="6B26980D" w14:textId="04C39768">
            <w:pPr>
              <w:jc w:val="right"/>
              <w:rPr>
                <w:rFonts w:eastAsia="Calibri"/>
                <w:szCs w:val="26"/>
              </w:rPr>
            </w:pPr>
            <w:r w:rsidRPr="00C30AEF">
              <w:rPr>
                <w:szCs w:val="26"/>
              </w:rPr>
              <w:t>6,480</w:t>
            </w:r>
          </w:p>
        </w:tc>
      </w:tr>
      <w:tr w14:paraId="2C45B47B" w14:textId="77777777" w:rsidTr="006B764A">
        <w:tblPrEx>
          <w:tblW w:w="5314" w:type="pct"/>
          <w:tblInd w:w="-72" w:type="dxa"/>
          <w:tblLayout w:type="fixed"/>
          <w:tblLook w:val="01E0"/>
        </w:tblPrEx>
        <w:trPr>
          <w:cantSplit/>
        </w:trPr>
        <w:tc>
          <w:tcPr>
            <w:tcW w:w="577" w:type="pct"/>
          </w:tcPr>
          <w:p w:rsidR="009B6D0A" w:rsidRPr="00C30AEF" w:rsidP="009B6D0A" w14:paraId="2AE527C0" w14:textId="1DD65FE3">
            <w:pPr>
              <w:rPr>
                <w:szCs w:val="26"/>
              </w:rPr>
            </w:pPr>
            <w:r w:rsidRPr="00C30AEF">
              <w:rPr>
                <w:szCs w:val="26"/>
              </w:rPr>
              <w:t>917</w:t>
            </w:r>
          </w:p>
        </w:tc>
        <w:tc>
          <w:tcPr>
            <w:tcW w:w="1132" w:type="pct"/>
          </w:tcPr>
          <w:p w:rsidR="009B6D0A" w:rsidRPr="00C30AEF" w:rsidP="009B6D0A" w14:paraId="3432C485" w14:textId="6625E608">
            <w:pPr>
              <w:rPr>
                <w:szCs w:val="26"/>
              </w:rPr>
            </w:pPr>
            <w:r w:rsidRPr="00C30AEF">
              <w:rPr>
                <w:szCs w:val="26"/>
              </w:rPr>
              <w:t>Information to be Posted on the OASIS and Auditing Transmission Service Information (Standards)</w:t>
            </w:r>
          </w:p>
        </w:tc>
        <w:tc>
          <w:tcPr>
            <w:tcW w:w="666" w:type="pct"/>
          </w:tcPr>
          <w:p w:rsidR="009B6D0A" w:rsidRPr="00C30AEF" w:rsidP="009B6D0A" w14:paraId="1AA9FF01" w14:textId="5F030ACE">
            <w:pPr>
              <w:jc w:val="right"/>
              <w:rPr>
                <w:rFonts w:eastAsia="Calibri"/>
                <w:szCs w:val="26"/>
              </w:rPr>
            </w:pPr>
            <w:r w:rsidRPr="00C30AEF">
              <w:rPr>
                <w:szCs w:val="26"/>
              </w:rPr>
              <w:t>162</w:t>
            </w:r>
          </w:p>
        </w:tc>
        <w:tc>
          <w:tcPr>
            <w:tcW w:w="668" w:type="pct"/>
          </w:tcPr>
          <w:p w:rsidR="009B6D0A" w:rsidRPr="00C30AEF" w:rsidP="009B6D0A" w14:paraId="06A8974B" w14:textId="47F1CFEE">
            <w:pPr>
              <w:jc w:val="right"/>
              <w:rPr>
                <w:rFonts w:eastAsia="Calibri"/>
                <w:szCs w:val="26"/>
              </w:rPr>
            </w:pPr>
            <w:r w:rsidRPr="00C30AEF">
              <w:rPr>
                <w:szCs w:val="26"/>
              </w:rPr>
              <w:t>1</w:t>
            </w:r>
          </w:p>
        </w:tc>
        <w:tc>
          <w:tcPr>
            <w:tcW w:w="520" w:type="pct"/>
          </w:tcPr>
          <w:p w:rsidR="009B6D0A" w:rsidRPr="00C30AEF" w:rsidP="009B6D0A" w14:paraId="0CC0C821" w14:textId="22861C14">
            <w:pPr>
              <w:jc w:val="right"/>
              <w:rPr>
                <w:rFonts w:eastAsia="Calibri"/>
                <w:szCs w:val="26"/>
              </w:rPr>
            </w:pPr>
            <w:r w:rsidRPr="00C30AEF">
              <w:rPr>
                <w:szCs w:val="26"/>
              </w:rPr>
              <w:t>162</w:t>
            </w:r>
          </w:p>
        </w:tc>
        <w:tc>
          <w:tcPr>
            <w:tcW w:w="640" w:type="pct"/>
          </w:tcPr>
          <w:p w:rsidR="009B6D0A" w:rsidRPr="00C30AEF" w:rsidP="009B6D0A" w14:paraId="5ACA5016" w14:textId="4920CF96">
            <w:pPr>
              <w:jc w:val="right"/>
              <w:rPr>
                <w:rFonts w:eastAsia="Calibri"/>
                <w:szCs w:val="26"/>
              </w:rPr>
            </w:pPr>
            <w:r w:rsidRPr="00C30AEF">
              <w:rPr>
                <w:szCs w:val="26"/>
              </w:rPr>
              <w:t>421</w:t>
            </w:r>
          </w:p>
        </w:tc>
        <w:tc>
          <w:tcPr>
            <w:tcW w:w="797" w:type="pct"/>
          </w:tcPr>
          <w:p w:rsidR="009B6D0A" w:rsidRPr="00C30AEF" w:rsidP="009B6D0A" w14:paraId="1E6F3B61" w14:textId="6E566DEA">
            <w:pPr>
              <w:jc w:val="right"/>
              <w:rPr>
                <w:rFonts w:eastAsia="Calibri"/>
                <w:szCs w:val="26"/>
              </w:rPr>
            </w:pPr>
            <w:r w:rsidRPr="00C30AEF">
              <w:rPr>
                <w:szCs w:val="26"/>
              </w:rPr>
              <w:t>68,202</w:t>
            </w:r>
          </w:p>
        </w:tc>
      </w:tr>
      <w:tr w14:paraId="2AF13DA1" w14:textId="77777777" w:rsidTr="006B764A">
        <w:tblPrEx>
          <w:tblW w:w="5314" w:type="pct"/>
          <w:tblInd w:w="-72" w:type="dxa"/>
          <w:tblLayout w:type="fixed"/>
          <w:tblLook w:val="01E0"/>
        </w:tblPrEx>
        <w:trPr>
          <w:cantSplit/>
          <w:trHeight w:val="485"/>
        </w:trPr>
        <w:tc>
          <w:tcPr>
            <w:tcW w:w="577" w:type="pct"/>
            <w:tcBorders>
              <w:bottom w:val="single" w:sz="4" w:space="0" w:color="auto"/>
            </w:tcBorders>
          </w:tcPr>
          <w:p w:rsidR="009B6D0A" w:rsidRPr="00C30AEF" w:rsidP="009B6D0A" w14:paraId="1C926C83" w14:textId="77777777">
            <w:pPr>
              <w:rPr>
                <w:rFonts w:eastAsia="Calibri"/>
                <w:b/>
                <w:bCs/>
                <w:szCs w:val="26"/>
              </w:rPr>
            </w:pPr>
            <w:r w:rsidRPr="00C30AEF">
              <w:rPr>
                <w:rFonts w:eastAsia="Calibri"/>
                <w:b/>
                <w:bCs/>
                <w:szCs w:val="26"/>
              </w:rPr>
              <w:t>TOTAL</w:t>
            </w:r>
          </w:p>
        </w:tc>
        <w:tc>
          <w:tcPr>
            <w:tcW w:w="1132" w:type="pct"/>
            <w:tcBorders>
              <w:bottom w:val="single" w:sz="4" w:space="0" w:color="auto"/>
            </w:tcBorders>
            <w:shd w:val="clear" w:color="auto" w:fill="D9D9D9" w:themeFill="background1" w:themeFillShade="D9"/>
          </w:tcPr>
          <w:p w:rsidR="009B6D0A" w:rsidRPr="00C30AEF" w:rsidP="009B6D0A" w14:paraId="3859945D" w14:textId="77777777">
            <w:pPr>
              <w:jc w:val="right"/>
              <w:rPr>
                <w:rFonts w:eastAsia="Calibri"/>
                <w:szCs w:val="26"/>
              </w:rPr>
            </w:pPr>
          </w:p>
        </w:tc>
        <w:tc>
          <w:tcPr>
            <w:tcW w:w="1334" w:type="pct"/>
            <w:gridSpan w:val="2"/>
            <w:tcBorders>
              <w:bottom w:val="single" w:sz="4" w:space="0" w:color="auto"/>
            </w:tcBorders>
            <w:shd w:val="clear" w:color="auto" w:fill="D9D9D9" w:themeFill="background1" w:themeFillShade="D9"/>
          </w:tcPr>
          <w:p w:rsidR="009B6D0A" w:rsidRPr="00C30AEF" w:rsidP="009B6D0A" w14:paraId="5F9D8528" w14:textId="77777777">
            <w:pPr>
              <w:jc w:val="right"/>
              <w:rPr>
                <w:rFonts w:eastAsia="Calibri"/>
                <w:szCs w:val="26"/>
              </w:rPr>
            </w:pPr>
          </w:p>
        </w:tc>
        <w:tc>
          <w:tcPr>
            <w:tcW w:w="520" w:type="pct"/>
            <w:tcBorders>
              <w:bottom w:val="single" w:sz="4" w:space="0" w:color="auto"/>
            </w:tcBorders>
          </w:tcPr>
          <w:p w:rsidR="009B6D0A" w:rsidRPr="00C30AEF" w:rsidP="009B6D0A" w14:paraId="390A3369" w14:textId="7ABC4E89">
            <w:pPr>
              <w:jc w:val="right"/>
              <w:rPr>
                <w:rFonts w:eastAsia="Calibri"/>
                <w:b/>
                <w:bCs/>
                <w:szCs w:val="26"/>
              </w:rPr>
            </w:pPr>
            <w:r w:rsidRPr="00C30AEF">
              <w:rPr>
                <w:rFonts w:eastAsia="Calibri"/>
                <w:b/>
                <w:bCs/>
                <w:szCs w:val="26"/>
              </w:rPr>
              <w:t>1,651</w:t>
            </w:r>
            <w:r w:rsidRPr="00C30AEF">
              <w:rPr>
                <w:rFonts w:eastAsia="Calibri"/>
                <w:b/>
                <w:bCs/>
                <w:szCs w:val="26"/>
              </w:rPr>
              <w:t xml:space="preserve"> </w:t>
            </w:r>
          </w:p>
        </w:tc>
        <w:tc>
          <w:tcPr>
            <w:tcW w:w="640" w:type="pct"/>
            <w:tcBorders>
              <w:bottom w:val="single" w:sz="4" w:space="0" w:color="auto"/>
            </w:tcBorders>
            <w:shd w:val="clear" w:color="auto" w:fill="D9D9D9" w:themeFill="background1" w:themeFillShade="D9"/>
          </w:tcPr>
          <w:p w:rsidR="009B6D0A" w:rsidRPr="00C30AEF" w:rsidP="009B6D0A" w14:paraId="576321DA" w14:textId="77777777">
            <w:pPr>
              <w:jc w:val="right"/>
              <w:rPr>
                <w:rFonts w:eastAsia="Calibri"/>
                <w:szCs w:val="26"/>
              </w:rPr>
            </w:pPr>
          </w:p>
        </w:tc>
        <w:tc>
          <w:tcPr>
            <w:tcW w:w="797" w:type="pct"/>
            <w:tcBorders>
              <w:bottom w:val="single" w:sz="4" w:space="0" w:color="auto"/>
            </w:tcBorders>
          </w:tcPr>
          <w:p w:rsidR="009B6D0A" w:rsidRPr="00C30AEF" w:rsidP="009B6D0A" w14:paraId="111698D1" w14:textId="5A905695">
            <w:pPr>
              <w:jc w:val="right"/>
              <w:rPr>
                <w:rFonts w:eastAsia="Calibri"/>
                <w:b/>
                <w:bCs/>
                <w:szCs w:val="26"/>
              </w:rPr>
            </w:pPr>
            <w:r w:rsidRPr="00C30AEF">
              <w:rPr>
                <w:rFonts w:eastAsia="Calibri"/>
                <w:b/>
                <w:bCs/>
                <w:szCs w:val="26"/>
              </w:rPr>
              <w:t>157,094 hrs.</w:t>
            </w:r>
            <w:r w:rsidRPr="00C30AEF">
              <w:rPr>
                <w:rFonts w:eastAsia="Calibri"/>
                <w:b/>
                <w:bCs/>
                <w:szCs w:val="26"/>
              </w:rPr>
              <w:t xml:space="preserve"> </w:t>
            </w:r>
          </w:p>
        </w:tc>
      </w:tr>
    </w:tbl>
    <w:p w:rsidR="009C0AC8" w:rsidRPr="00C30AEF" w:rsidP="549EAD48" w14:paraId="03719063" w14:textId="77777777">
      <w:pPr>
        <w:spacing w:line="480" w:lineRule="auto"/>
        <w:rPr>
          <w:szCs w:val="26"/>
        </w:rPr>
      </w:pPr>
    </w:p>
    <w:p w:rsidR="003002CE" w:rsidRPr="00C30AEF" w:rsidP="003002CE" w14:paraId="7B9E6747" w14:textId="485C64DE">
      <w:pPr>
        <w:spacing w:line="480" w:lineRule="auto"/>
        <w:rPr>
          <w:b/>
          <w:bCs/>
          <w:szCs w:val="26"/>
        </w:rPr>
      </w:pPr>
      <w:r w:rsidRPr="00C30AEF">
        <w:rPr>
          <w:b/>
          <w:bCs/>
          <w:szCs w:val="26"/>
        </w:rPr>
        <w:t xml:space="preserve">Removed Information Collection activities </w:t>
      </w:r>
    </w:p>
    <w:p w:rsidR="00331610" w:rsidRPr="00C30AEF" w:rsidP="003002CE" w14:paraId="3DD48B43" w14:textId="30B86F00">
      <w:pPr>
        <w:spacing w:line="480" w:lineRule="auto"/>
        <w:rPr>
          <w:szCs w:val="26"/>
        </w:rPr>
      </w:pPr>
      <w:r w:rsidRPr="00C30AEF">
        <w:rPr>
          <w:szCs w:val="26"/>
        </w:rPr>
        <w:t xml:space="preserve">Information collection activities are removed when the underlying regulatory obligations have already been fully completed, or when later rules or policy updates render those </w:t>
      </w:r>
      <w:r w:rsidRPr="00C30AEF">
        <w:rPr>
          <w:szCs w:val="26"/>
        </w:rPr>
        <w:t xml:space="preserve">activities unnecessary or obsolete. FERC </w:t>
      </w:r>
      <w:r w:rsidRPr="00C30AEF" w:rsidR="00E02658">
        <w:rPr>
          <w:szCs w:val="26"/>
        </w:rPr>
        <w:t xml:space="preserve">regularly </w:t>
      </w:r>
      <w:r w:rsidRPr="00C30AEF">
        <w:rPr>
          <w:szCs w:val="26"/>
        </w:rPr>
        <w:t xml:space="preserve">reviews </w:t>
      </w:r>
      <w:r w:rsidRPr="00C30AEF" w:rsidR="000A570E">
        <w:rPr>
          <w:szCs w:val="26"/>
        </w:rPr>
        <w:t xml:space="preserve">information </w:t>
      </w:r>
      <w:r w:rsidRPr="00C30AEF">
        <w:rPr>
          <w:szCs w:val="26"/>
        </w:rPr>
        <w:t>collections to identify those that have been overtaken by regulatory updates, superseded by newer requirements, or no longer needed for oversight</w:t>
      </w:r>
      <w:r w:rsidRPr="00C30AEF" w:rsidR="004200B3">
        <w:rPr>
          <w:szCs w:val="26"/>
        </w:rPr>
        <w:t>.</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0C7AD92B" w14:textId="77777777" w:rsidTr="00174E40">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3002CE" w:rsidRPr="00C30AEF" w14:paraId="06ED0675" w14:textId="77777777">
            <w:pPr>
              <w:jc w:val="center"/>
              <w:rPr>
                <w:rFonts w:eastAsia="Calibri"/>
                <w:b/>
                <w:bCs/>
                <w:szCs w:val="26"/>
              </w:rPr>
            </w:pPr>
            <w:r w:rsidRPr="00C30AEF">
              <w:rPr>
                <w:rFonts w:eastAsia="Calibri"/>
                <w:b/>
                <w:bCs/>
                <w:szCs w:val="26"/>
              </w:rPr>
              <w:t>Previous FERC Form</w:t>
            </w:r>
          </w:p>
        </w:tc>
        <w:tc>
          <w:tcPr>
            <w:tcW w:w="1132" w:type="pct"/>
            <w:shd w:val="clear" w:color="auto" w:fill="D9D9D9" w:themeFill="background1" w:themeFillShade="D9"/>
          </w:tcPr>
          <w:p w:rsidR="003002CE" w:rsidRPr="00C30AEF" w14:paraId="4E1D6D20" w14:textId="77777777">
            <w:pPr>
              <w:jc w:val="center"/>
              <w:rPr>
                <w:rFonts w:eastAsia="Calibri"/>
                <w:b/>
                <w:bCs/>
                <w:szCs w:val="26"/>
              </w:rPr>
            </w:pPr>
            <w:r w:rsidRPr="00C30AEF">
              <w:rPr>
                <w:rFonts w:eastAsia="Calibri"/>
                <w:b/>
                <w:bCs/>
                <w:szCs w:val="26"/>
              </w:rPr>
              <w:t>Title</w:t>
            </w:r>
          </w:p>
        </w:tc>
        <w:tc>
          <w:tcPr>
            <w:tcW w:w="666" w:type="pct"/>
            <w:shd w:val="clear" w:color="auto" w:fill="D9D9D9" w:themeFill="background1" w:themeFillShade="D9"/>
          </w:tcPr>
          <w:p w:rsidR="003002CE" w:rsidRPr="00C30AEF" w14:paraId="59F04E6C" w14:textId="77777777">
            <w:pPr>
              <w:jc w:val="center"/>
              <w:rPr>
                <w:rFonts w:eastAsia="Calibri"/>
                <w:b/>
                <w:bCs/>
                <w:szCs w:val="26"/>
              </w:rPr>
            </w:pPr>
            <w:r w:rsidRPr="00C30AEF">
              <w:rPr>
                <w:rFonts w:eastAsia="Calibri"/>
                <w:b/>
                <w:bCs/>
                <w:szCs w:val="26"/>
              </w:rPr>
              <w:t>Number of Respondents</w:t>
            </w:r>
            <w:r w:rsidRPr="00C30AEF">
              <w:rPr>
                <w:szCs w:val="26"/>
              </w:rPr>
              <w:br/>
            </w:r>
            <w:r w:rsidRPr="00C30AEF">
              <w:rPr>
                <w:rFonts w:eastAsia="Calibri"/>
                <w:b/>
                <w:bCs/>
                <w:szCs w:val="26"/>
              </w:rPr>
              <w:t>(1)</w:t>
            </w:r>
          </w:p>
        </w:tc>
        <w:tc>
          <w:tcPr>
            <w:tcW w:w="668" w:type="pct"/>
            <w:shd w:val="clear" w:color="auto" w:fill="D9D9D9" w:themeFill="background1" w:themeFillShade="D9"/>
          </w:tcPr>
          <w:p w:rsidR="003002CE" w:rsidRPr="00C30AEF" w14:paraId="72FD715A" w14:textId="77777777">
            <w:pPr>
              <w:jc w:val="center"/>
              <w:rPr>
                <w:rFonts w:eastAsia="Calibri"/>
                <w:b/>
                <w:bCs/>
                <w:szCs w:val="26"/>
              </w:rPr>
            </w:pPr>
            <w:r w:rsidRPr="00C30AEF">
              <w:rPr>
                <w:rFonts w:eastAsia="Calibri"/>
                <w:b/>
                <w:bCs/>
                <w:szCs w:val="26"/>
              </w:rPr>
              <w:t>Annual Number of Responses per Respondent</w:t>
            </w:r>
          </w:p>
          <w:p w:rsidR="003002CE" w:rsidRPr="00C30AEF" w14:paraId="7FF28E04" w14:textId="77777777">
            <w:pPr>
              <w:jc w:val="center"/>
              <w:rPr>
                <w:rFonts w:eastAsia="Calibri"/>
                <w:b/>
                <w:bCs/>
                <w:szCs w:val="26"/>
              </w:rPr>
            </w:pPr>
            <w:r w:rsidRPr="00C30AEF">
              <w:rPr>
                <w:rFonts w:eastAsia="Calibri"/>
                <w:b/>
                <w:bCs/>
                <w:szCs w:val="26"/>
              </w:rPr>
              <w:t>(2)</w:t>
            </w:r>
          </w:p>
        </w:tc>
        <w:tc>
          <w:tcPr>
            <w:tcW w:w="520" w:type="pct"/>
            <w:shd w:val="clear" w:color="auto" w:fill="D9D9D9" w:themeFill="background1" w:themeFillShade="D9"/>
          </w:tcPr>
          <w:p w:rsidR="003002CE" w:rsidRPr="00C30AEF" w14:paraId="173F2744" w14:textId="77777777">
            <w:pPr>
              <w:jc w:val="center"/>
              <w:rPr>
                <w:rFonts w:eastAsia="Calibri"/>
                <w:b/>
                <w:bCs/>
                <w:szCs w:val="26"/>
              </w:rPr>
            </w:pPr>
            <w:r w:rsidRPr="00C30AEF">
              <w:rPr>
                <w:rFonts w:eastAsia="Calibri"/>
                <w:b/>
                <w:bCs/>
                <w:szCs w:val="26"/>
              </w:rPr>
              <w:t>Total Number of Responses (1)*(2)=(3)</w:t>
            </w:r>
          </w:p>
        </w:tc>
        <w:tc>
          <w:tcPr>
            <w:tcW w:w="640" w:type="pct"/>
            <w:shd w:val="clear" w:color="auto" w:fill="D9D9D9" w:themeFill="background1" w:themeFillShade="D9"/>
          </w:tcPr>
          <w:p w:rsidR="003002CE" w:rsidRPr="00C30AEF" w14:paraId="6CD22043" w14:textId="77777777">
            <w:pPr>
              <w:jc w:val="center"/>
              <w:rPr>
                <w:rFonts w:eastAsia="Calibri"/>
                <w:b/>
                <w:bCs/>
                <w:szCs w:val="26"/>
              </w:rPr>
            </w:pPr>
            <w:r w:rsidRPr="00C30AEF">
              <w:rPr>
                <w:rFonts w:eastAsia="Calibri"/>
                <w:b/>
                <w:bCs/>
                <w:szCs w:val="26"/>
              </w:rPr>
              <w:t>Average Burden per response</w:t>
            </w:r>
            <w:r>
              <w:rPr>
                <w:rStyle w:val="FootnoteReference"/>
                <w:rFonts w:eastAsia="Calibri"/>
              </w:rPr>
              <w:footnoteReference w:id="6"/>
            </w:r>
          </w:p>
          <w:p w:rsidR="003002CE" w:rsidRPr="00C30AEF" w14:paraId="542C8BE5" w14:textId="77777777">
            <w:pPr>
              <w:jc w:val="center"/>
              <w:rPr>
                <w:rFonts w:eastAsia="Calibri"/>
                <w:b/>
                <w:bCs/>
                <w:szCs w:val="26"/>
              </w:rPr>
            </w:pPr>
            <w:r w:rsidRPr="00C30AEF">
              <w:rPr>
                <w:rFonts w:eastAsia="Calibri"/>
                <w:b/>
                <w:bCs/>
                <w:szCs w:val="26"/>
              </w:rPr>
              <w:t>(4)</w:t>
            </w:r>
          </w:p>
        </w:tc>
        <w:tc>
          <w:tcPr>
            <w:tcW w:w="797" w:type="pct"/>
            <w:shd w:val="clear" w:color="auto" w:fill="D9D9D9" w:themeFill="background1" w:themeFillShade="D9"/>
          </w:tcPr>
          <w:p w:rsidR="003002CE" w:rsidRPr="00C30AEF" w14:paraId="4BFFBD36" w14:textId="77777777">
            <w:pPr>
              <w:jc w:val="center"/>
              <w:rPr>
                <w:rFonts w:eastAsia="Calibri"/>
                <w:b/>
                <w:bCs/>
                <w:szCs w:val="26"/>
              </w:rPr>
            </w:pPr>
            <w:r w:rsidRPr="00C30AEF">
              <w:rPr>
                <w:rFonts w:eastAsia="Calibri"/>
                <w:b/>
                <w:bCs/>
                <w:szCs w:val="26"/>
              </w:rPr>
              <w:t xml:space="preserve">Total Annual Burden Hours </w:t>
            </w:r>
          </w:p>
          <w:p w:rsidR="003002CE" w:rsidRPr="00C30AEF" w14:paraId="2D0AA579" w14:textId="77777777">
            <w:pPr>
              <w:jc w:val="center"/>
              <w:rPr>
                <w:rFonts w:eastAsia="Calibri"/>
                <w:b/>
                <w:bCs/>
                <w:szCs w:val="26"/>
              </w:rPr>
            </w:pPr>
            <w:r w:rsidRPr="00C30AEF">
              <w:rPr>
                <w:rFonts w:eastAsia="Calibri"/>
                <w:b/>
                <w:bCs/>
                <w:szCs w:val="26"/>
              </w:rPr>
              <w:t>(3)*(4)=(5)</w:t>
            </w:r>
          </w:p>
        </w:tc>
      </w:tr>
      <w:tr w14:paraId="1A4AF1E5" w14:textId="77777777">
        <w:tblPrEx>
          <w:tblW w:w="5314" w:type="pct"/>
          <w:tblInd w:w="-72" w:type="dxa"/>
          <w:tblLayout w:type="fixed"/>
          <w:tblLook w:val="01E0"/>
        </w:tblPrEx>
        <w:trPr>
          <w:cantSplit/>
        </w:trPr>
        <w:tc>
          <w:tcPr>
            <w:tcW w:w="577" w:type="pct"/>
          </w:tcPr>
          <w:p w:rsidR="00B64F5F" w:rsidRPr="00C30AEF" w:rsidP="00B64F5F" w14:paraId="5FEA01AA" w14:textId="3BBACC67">
            <w:pPr>
              <w:rPr>
                <w:szCs w:val="26"/>
              </w:rPr>
            </w:pPr>
            <w:r w:rsidRPr="00C30AEF">
              <w:rPr>
                <w:szCs w:val="26"/>
              </w:rPr>
              <w:t>516</w:t>
            </w:r>
          </w:p>
        </w:tc>
        <w:tc>
          <w:tcPr>
            <w:tcW w:w="1132" w:type="pct"/>
          </w:tcPr>
          <w:p w:rsidR="00B64F5F" w:rsidRPr="00C30AEF" w:rsidP="00B64F5F" w14:paraId="2F4EB5B1" w14:textId="298AA5E0">
            <w:pPr>
              <w:rPr>
                <w:szCs w:val="26"/>
              </w:rPr>
            </w:pPr>
            <w:r w:rsidRPr="00C30AEF">
              <w:rPr>
                <w:szCs w:val="26"/>
              </w:rPr>
              <w:t>Reform of Generator Interconnection Procedures and Agreements, RM17-8, Non-RTO/ISO (Ongoing Filing)</w:t>
            </w:r>
          </w:p>
        </w:tc>
        <w:tc>
          <w:tcPr>
            <w:tcW w:w="666" w:type="pct"/>
          </w:tcPr>
          <w:p w:rsidR="00B64F5F" w:rsidRPr="00C30AEF" w:rsidP="00B64F5F" w14:paraId="799D2675" w14:textId="6FBAA71A">
            <w:pPr>
              <w:jc w:val="right"/>
              <w:rPr>
                <w:rFonts w:eastAsia="Calibri"/>
                <w:szCs w:val="26"/>
              </w:rPr>
            </w:pPr>
            <w:r w:rsidRPr="00C30AEF">
              <w:rPr>
                <w:szCs w:val="26"/>
              </w:rPr>
              <w:t>162</w:t>
            </w:r>
          </w:p>
        </w:tc>
        <w:tc>
          <w:tcPr>
            <w:tcW w:w="668" w:type="pct"/>
          </w:tcPr>
          <w:p w:rsidR="00B64F5F" w:rsidRPr="00C30AEF" w:rsidP="00B64F5F" w14:paraId="1CD94A92" w14:textId="1297BC9F">
            <w:pPr>
              <w:jc w:val="right"/>
              <w:rPr>
                <w:rFonts w:eastAsia="Calibri"/>
                <w:szCs w:val="26"/>
              </w:rPr>
            </w:pPr>
            <w:r w:rsidRPr="00C30AEF">
              <w:rPr>
                <w:szCs w:val="26"/>
              </w:rPr>
              <w:t>4</w:t>
            </w:r>
          </w:p>
        </w:tc>
        <w:tc>
          <w:tcPr>
            <w:tcW w:w="520" w:type="pct"/>
          </w:tcPr>
          <w:p w:rsidR="00B64F5F" w:rsidRPr="00C30AEF" w:rsidP="00B64F5F" w14:paraId="570E8473" w14:textId="4A1C5140">
            <w:pPr>
              <w:jc w:val="right"/>
              <w:rPr>
                <w:rFonts w:eastAsia="Calibri"/>
                <w:szCs w:val="26"/>
              </w:rPr>
            </w:pPr>
            <w:r w:rsidRPr="00C30AEF">
              <w:rPr>
                <w:szCs w:val="26"/>
              </w:rPr>
              <w:t>648</w:t>
            </w:r>
          </w:p>
        </w:tc>
        <w:tc>
          <w:tcPr>
            <w:tcW w:w="640" w:type="pct"/>
          </w:tcPr>
          <w:p w:rsidR="00B64F5F" w:rsidRPr="00C30AEF" w:rsidP="00B64F5F" w14:paraId="62FC1F92" w14:textId="7F2F412E">
            <w:pPr>
              <w:jc w:val="right"/>
              <w:rPr>
                <w:rFonts w:eastAsia="Calibri"/>
                <w:szCs w:val="26"/>
              </w:rPr>
            </w:pPr>
            <w:r w:rsidRPr="00C30AEF">
              <w:rPr>
                <w:szCs w:val="26"/>
              </w:rPr>
              <w:t>4</w:t>
            </w:r>
          </w:p>
        </w:tc>
        <w:tc>
          <w:tcPr>
            <w:tcW w:w="797" w:type="pct"/>
          </w:tcPr>
          <w:p w:rsidR="00B64F5F" w:rsidRPr="00C30AEF" w:rsidP="00B64F5F" w14:paraId="7D53FE2D" w14:textId="2F58C7CB">
            <w:pPr>
              <w:jc w:val="right"/>
              <w:rPr>
                <w:rFonts w:eastAsia="Calibri"/>
                <w:szCs w:val="26"/>
              </w:rPr>
            </w:pPr>
            <w:r w:rsidRPr="00C30AEF">
              <w:rPr>
                <w:szCs w:val="26"/>
              </w:rPr>
              <w:t>2,592</w:t>
            </w:r>
          </w:p>
        </w:tc>
      </w:tr>
      <w:tr w14:paraId="4ED86F49" w14:textId="77777777">
        <w:tblPrEx>
          <w:tblW w:w="5314" w:type="pct"/>
          <w:tblInd w:w="-72" w:type="dxa"/>
          <w:tblLayout w:type="fixed"/>
          <w:tblLook w:val="01E0"/>
        </w:tblPrEx>
        <w:trPr>
          <w:cantSplit/>
        </w:trPr>
        <w:tc>
          <w:tcPr>
            <w:tcW w:w="577" w:type="pct"/>
          </w:tcPr>
          <w:p w:rsidR="00B64F5F" w:rsidRPr="00C30AEF" w:rsidP="00B64F5F" w14:paraId="482EA73F" w14:textId="20DAF77F">
            <w:pPr>
              <w:rPr>
                <w:szCs w:val="26"/>
              </w:rPr>
            </w:pPr>
            <w:r w:rsidRPr="00C30AEF">
              <w:rPr>
                <w:szCs w:val="26"/>
              </w:rPr>
              <w:t>516</w:t>
            </w:r>
          </w:p>
        </w:tc>
        <w:tc>
          <w:tcPr>
            <w:tcW w:w="1132" w:type="pct"/>
          </w:tcPr>
          <w:p w:rsidR="00B64F5F" w:rsidRPr="00C30AEF" w:rsidP="00B64F5F" w14:paraId="40D2F98C" w14:textId="6DA7DDAC">
            <w:pPr>
              <w:rPr>
                <w:szCs w:val="26"/>
              </w:rPr>
            </w:pPr>
            <w:r w:rsidRPr="00C30AEF">
              <w:rPr>
                <w:szCs w:val="26"/>
              </w:rPr>
              <w:t>Reform of Generator Interconnection Procedures and Agreements, RM17-8, RTO/ISO (Ongoing Filing)</w:t>
            </w:r>
          </w:p>
        </w:tc>
        <w:tc>
          <w:tcPr>
            <w:tcW w:w="666" w:type="pct"/>
          </w:tcPr>
          <w:p w:rsidR="00B64F5F" w:rsidRPr="00C30AEF" w:rsidP="00B64F5F" w14:paraId="78BC4BA5" w14:textId="21605E3D">
            <w:pPr>
              <w:jc w:val="right"/>
              <w:rPr>
                <w:rFonts w:eastAsia="Calibri"/>
                <w:szCs w:val="26"/>
              </w:rPr>
            </w:pPr>
            <w:r w:rsidRPr="00C30AEF">
              <w:rPr>
                <w:szCs w:val="26"/>
              </w:rPr>
              <w:t>6</w:t>
            </w:r>
          </w:p>
        </w:tc>
        <w:tc>
          <w:tcPr>
            <w:tcW w:w="668" w:type="pct"/>
          </w:tcPr>
          <w:p w:rsidR="00B64F5F" w:rsidRPr="00C30AEF" w:rsidP="00B64F5F" w14:paraId="6AAEE656" w14:textId="2F0225E0">
            <w:pPr>
              <w:jc w:val="right"/>
              <w:rPr>
                <w:rFonts w:eastAsia="Calibri"/>
                <w:szCs w:val="26"/>
              </w:rPr>
            </w:pPr>
            <w:r w:rsidRPr="00C30AEF">
              <w:rPr>
                <w:szCs w:val="26"/>
              </w:rPr>
              <w:t>4</w:t>
            </w:r>
          </w:p>
        </w:tc>
        <w:tc>
          <w:tcPr>
            <w:tcW w:w="520" w:type="pct"/>
          </w:tcPr>
          <w:p w:rsidR="00B64F5F" w:rsidRPr="00C30AEF" w:rsidP="00B64F5F" w14:paraId="52C75293" w14:textId="764FED1C">
            <w:pPr>
              <w:jc w:val="right"/>
              <w:rPr>
                <w:rFonts w:eastAsia="Calibri"/>
                <w:szCs w:val="26"/>
              </w:rPr>
            </w:pPr>
            <w:r w:rsidRPr="00C30AEF">
              <w:rPr>
                <w:szCs w:val="26"/>
              </w:rPr>
              <w:t>24</w:t>
            </w:r>
          </w:p>
        </w:tc>
        <w:tc>
          <w:tcPr>
            <w:tcW w:w="640" w:type="pct"/>
          </w:tcPr>
          <w:p w:rsidR="00B64F5F" w:rsidRPr="00C30AEF" w:rsidP="00B64F5F" w14:paraId="43B7A95E" w14:textId="25022C9E">
            <w:pPr>
              <w:jc w:val="right"/>
              <w:rPr>
                <w:rFonts w:eastAsia="Calibri"/>
                <w:szCs w:val="26"/>
              </w:rPr>
            </w:pPr>
            <w:r w:rsidRPr="00C30AEF">
              <w:rPr>
                <w:szCs w:val="26"/>
              </w:rPr>
              <w:t>4</w:t>
            </w:r>
          </w:p>
        </w:tc>
        <w:tc>
          <w:tcPr>
            <w:tcW w:w="797" w:type="pct"/>
          </w:tcPr>
          <w:p w:rsidR="00B64F5F" w:rsidRPr="00C30AEF" w:rsidP="00B64F5F" w14:paraId="77E95E6D" w14:textId="2B2A8296">
            <w:pPr>
              <w:jc w:val="right"/>
              <w:rPr>
                <w:rFonts w:eastAsia="Calibri"/>
                <w:szCs w:val="26"/>
              </w:rPr>
            </w:pPr>
            <w:r w:rsidRPr="00C30AEF">
              <w:rPr>
                <w:szCs w:val="26"/>
              </w:rPr>
              <w:t>96</w:t>
            </w:r>
          </w:p>
        </w:tc>
      </w:tr>
      <w:tr w14:paraId="29707930" w14:textId="77777777">
        <w:tblPrEx>
          <w:tblW w:w="5314" w:type="pct"/>
          <w:tblInd w:w="-72" w:type="dxa"/>
          <w:tblLayout w:type="fixed"/>
          <w:tblLook w:val="01E0"/>
        </w:tblPrEx>
        <w:trPr>
          <w:cantSplit/>
        </w:trPr>
        <w:tc>
          <w:tcPr>
            <w:tcW w:w="577" w:type="pct"/>
          </w:tcPr>
          <w:p w:rsidR="00B64F5F" w:rsidRPr="00C30AEF" w:rsidP="00B64F5F" w14:paraId="60322EBE" w14:textId="79AFE553">
            <w:pPr>
              <w:rPr>
                <w:szCs w:val="26"/>
              </w:rPr>
            </w:pPr>
            <w:r w:rsidRPr="00C30AEF">
              <w:rPr>
                <w:szCs w:val="26"/>
              </w:rPr>
              <w:t>516</w:t>
            </w:r>
          </w:p>
        </w:tc>
        <w:tc>
          <w:tcPr>
            <w:tcW w:w="1132" w:type="pct"/>
          </w:tcPr>
          <w:p w:rsidR="00B64F5F" w:rsidRPr="00C30AEF" w:rsidP="00B64F5F" w14:paraId="00380618" w14:textId="7A078A1E">
            <w:pPr>
              <w:rPr>
                <w:szCs w:val="26"/>
              </w:rPr>
            </w:pPr>
            <w:r w:rsidRPr="00C30AEF">
              <w:rPr>
                <w:szCs w:val="26"/>
              </w:rPr>
              <w:t>Updates to Interconnection Procedures and Agreements per Final Rule RM22-14 (One-Time)</w:t>
            </w:r>
          </w:p>
        </w:tc>
        <w:tc>
          <w:tcPr>
            <w:tcW w:w="666" w:type="pct"/>
          </w:tcPr>
          <w:p w:rsidR="00B64F5F" w:rsidRPr="00C30AEF" w:rsidP="00B64F5F" w14:paraId="004E7CBF" w14:textId="5C6FDE18">
            <w:pPr>
              <w:jc w:val="right"/>
              <w:rPr>
                <w:rFonts w:eastAsia="Calibri"/>
                <w:szCs w:val="26"/>
              </w:rPr>
            </w:pPr>
            <w:r w:rsidRPr="00C30AEF">
              <w:rPr>
                <w:szCs w:val="26"/>
              </w:rPr>
              <w:t>44</w:t>
            </w:r>
          </w:p>
        </w:tc>
        <w:tc>
          <w:tcPr>
            <w:tcW w:w="668" w:type="pct"/>
          </w:tcPr>
          <w:p w:rsidR="00B64F5F" w:rsidRPr="00C30AEF" w:rsidP="00B64F5F" w14:paraId="5E145D70" w14:textId="2D9D994E">
            <w:pPr>
              <w:jc w:val="right"/>
              <w:rPr>
                <w:rFonts w:eastAsia="Calibri"/>
                <w:szCs w:val="26"/>
              </w:rPr>
            </w:pPr>
            <w:r w:rsidRPr="00C30AEF">
              <w:rPr>
                <w:szCs w:val="26"/>
              </w:rPr>
              <w:t>7</w:t>
            </w:r>
          </w:p>
        </w:tc>
        <w:tc>
          <w:tcPr>
            <w:tcW w:w="520" w:type="pct"/>
          </w:tcPr>
          <w:p w:rsidR="00B64F5F" w:rsidRPr="00C30AEF" w:rsidP="00B64F5F" w14:paraId="4E5186CA" w14:textId="65A25BC1">
            <w:pPr>
              <w:jc w:val="right"/>
              <w:rPr>
                <w:rFonts w:eastAsia="Calibri"/>
                <w:szCs w:val="26"/>
              </w:rPr>
            </w:pPr>
            <w:r w:rsidRPr="00C30AEF">
              <w:rPr>
                <w:szCs w:val="26"/>
              </w:rPr>
              <w:t>308</w:t>
            </w:r>
          </w:p>
        </w:tc>
        <w:tc>
          <w:tcPr>
            <w:tcW w:w="640" w:type="pct"/>
          </w:tcPr>
          <w:p w:rsidR="00B64F5F" w:rsidRPr="00C30AEF" w:rsidP="00B64F5F" w14:paraId="28ACC3EF" w14:textId="01245E7C">
            <w:pPr>
              <w:jc w:val="right"/>
              <w:rPr>
                <w:rFonts w:eastAsia="Calibri"/>
                <w:szCs w:val="26"/>
              </w:rPr>
            </w:pPr>
            <w:r w:rsidRPr="00C30AEF">
              <w:rPr>
                <w:szCs w:val="26"/>
              </w:rPr>
              <w:t>32.95</w:t>
            </w:r>
          </w:p>
        </w:tc>
        <w:tc>
          <w:tcPr>
            <w:tcW w:w="797" w:type="pct"/>
          </w:tcPr>
          <w:p w:rsidR="00B64F5F" w:rsidRPr="00C30AEF" w:rsidP="00B64F5F" w14:paraId="06E5656B" w14:textId="7BF58558">
            <w:pPr>
              <w:jc w:val="right"/>
              <w:rPr>
                <w:rFonts w:eastAsia="Calibri"/>
                <w:szCs w:val="26"/>
              </w:rPr>
            </w:pPr>
            <w:r w:rsidRPr="00C30AEF">
              <w:rPr>
                <w:szCs w:val="26"/>
              </w:rPr>
              <w:t>10,149</w:t>
            </w:r>
          </w:p>
        </w:tc>
      </w:tr>
      <w:tr w14:paraId="2E497575" w14:textId="77777777">
        <w:tblPrEx>
          <w:tblW w:w="5314" w:type="pct"/>
          <w:tblInd w:w="-72" w:type="dxa"/>
          <w:tblLayout w:type="fixed"/>
          <w:tblLook w:val="01E0"/>
        </w:tblPrEx>
        <w:trPr>
          <w:cantSplit/>
        </w:trPr>
        <w:tc>
          <w:tcPr>
            <w:tcW w:w="577" w:type="pct"/>
          </w:tcPr>
          <w:p w:rsidR="00B64F5F" w:rsidRPr="00C30AEF" w:rsidP="00B64F5F" w14:paraId="5AE5EC92" w14:textId="6F02E3C8">
            <w:pPr>
              <w:rPr>
                <w:szCs w:val="26"/>
              </w:rPr>
            </w:pPr>
            <w:r w:rsidRPr="00C30AEF">
              <w:rPr>
                <w:szCs w:val="26"/>
              </w:rPr>
              <w:t>516</w:t>
            </w:r>
          </w:p>
        </w:tc>
        <w:tc>
          <w:tcPr>
            <w:tcW w:w="1132" w:type="pct"/>
          </w:tcPr>
          <w:p w:rsidR="00B64F5F" w:rsidRPr="00C30AEF" w:rsidP="00B64F5F" w14:paraId="41B1777A" w14:textId="0052F53F">
            <w:pPr>
              <w:rPr>
                <w:szCs w:val="26"/>
              </w:rPr>
            </w:pPr>
            <w:r w:rsidRPr="00C30AEF">
              <w:rPr>
                <w:szCs w:val="26"/>
              </w:rPr>
              <w:t>Compliance Filing (FR RM22-2)</w:t>
            </w:r>
          </w:p>
        </w:tc>
        <w:tc>
          <w:tcPr>
            <w:tcW w:w="666" w:type="pct"/>
          </w:tcPr>
          <w:p w:rsidR="00B64F5F" w:rsidRPr="00C30AEF" w:rsidP="00B64F5F" w14:paraId="50416660" w14:textId="04172E44">
            <w:pPr>
              <w:jc w:val="right"/>
              <w:rPr>
                <w:szCs w:val="26"/>
              </w:rPr>
            </w:pPr>
            <w:r w:rsidRPr="00C30AEF">
              <w:rPr>
                <w:szCs w:val="26"/>
              </w:rPr>
              <w:t>43</w:t>
            </w:r>
          </w:p>
        </w:tc>
        <w:tc>
          <w:tcPr>
            <w:tcW w:w="668" w:type="pct"/>
          </w:tcPr>
          <w:p w:rsidR="00B64F5F" w:rsidRPr="00C30AEF" w:rsidP="00B64F5F" w14:paraId="78014FA8" w14:textId="0008CE03">
            <w:pPr>
              <w:jc w:val="right"/>
              <w:rPr>
                <w:szCs w:val="26"/>
              </w:rPr>
            </w:pPr>
            <w:r w:rsidRPr="00C30AEF">
              <w:rPr>
                <w:szCs w:val="26"/>
              </w:rPr>
              <w:t>1</w:t>
            </w:r>
          </w:p>
        </w:tc>
        <w:tc>
          <w:tcPr>
            <w:tcW w:w="520" w:type="pct"/>
          </w:tcPr>
          <w:p w:rsidR="00B64F5F" w:rsidRPr="00C30AEF" w:rsidP="00B64F5F" w14:paraId="6559D79D" w14:textId="1AE04421">
            <w:pPr>
              <w:jc w:val="right"/>
              <w:rPr>
                <w:szCs w:val="26"/>
              </w:rPr>
            </w:pPr>
            <w:r w:rsidRPr="00C30AEF">
              <w:rPr>
                <w:szCs w:val="26"/>
              </w:rPr>
              <w:t>43</w:t>
            </w:r>
          </w:p>
        </w:tc>
        <w:tc>
          <w:tcPr>
            <w:tcW w:w="640" w:type="pct"/>
          </w:tcPr>
          <w:p w:rsidR="00B64F5F" w:rsidRPr="00C30AEF" w:rsidP="00B64F5F" w14:paraId="42B19E57" w14:textId="031B982A">
            <w:pPr>
              <w:jc w:val="right"/>
              <w:rPr>
                <w:szCs w:val="26"/>
              </w:rPr>
            </w:pPr>
            <w:r w:rsidRPr="00C30AEF">
              <w:rPr>
                <w:szCs w:val="26"/>
              </w:rPr>
              <w:t>4</w:t>
            </w:r>
          </w:p>
        </w:tc>
        <w:tc>
          <w:tcPr>
            <w:tcW w:w="797" w:type="pct"/>
          </w:tcPr>
          <w:p w:rsidR="00B64F5F" w:rsidRPr="00C30AEF" w:rsidP="00B64F5F" w14:paraId="3314568F" w14:textId="5197ABB3">
            <w:pPr>
              <w:jc w:val="right"/>
              <w:rPr>
                <w:szCs w:val="26"/>
              </w:rPr>
            </w:pPr>
            <w:r w:rsidRPr="00C30AEF">
              <w:rPr>
                <w:szCs w:val="26"/>
              </w:rPr>
              <w:t>172</w:t>
            </w:r>
          </w:p>
        </w:tc>
      </w:tr>
      <w:tr w14:paraId="4D48A889" w14:textId="77777777">
        <w:tblPrEx>
          <w:tblW w:w="5314" w:type="pct"/>
          <w:tblInd w:w="-72" w:type="dxa"/>
          <w:tblLayout w:type="fixed"/>
          <w:tblLook w:val="01E0"/>
        </w:tblPrEx>
        <w:trPr>
          <w:cantSplit/>
        </w:trPr>
        <w:tc>
          <w:tcPr>
            <w:tcW w:w="577" w:type="pct"/>
          </w:tcPr>
          <w:p w:rsidR="00B64F5F" w:rsidRPr="00C30AEF" w:rsidP="00B64F5F" w14:paraId="532BC43F" w14:textId="7B232D6E">
            <w:pPr>
              <w:rPr>
                <w:szCs w:val="26"/>
              </w:rPr>
            </w:pPr>
            <w:r w:rsidRPr="00C30AEF">
              <w:rPr>
                <w:szCs w:val="26"/>
              </w:rPr>
              <w:t>516</w:t>
            </w:r>
          </w:p>
        </w:tc>
        <w:tc>
          <w:tcPr>
            <w:tcW w:w="1132" w:type="pct"/>
          </w:tcPr>
          <w:p w:rsidR="00B64F5F" w:rsidRPr="00C30AEF" w:rsidP="00B64F5F" w14:paraId="51148E4F" w14:textId="0BC9C375">
            <w:pPr>
              <w:rPr>
                <w:szCs w:val="26"/>
              </w:rPr>
            </w:pPr>
            <w:r w:rsidRPr="00C30AEF">
              <w:rPr>
                <w:szCs w:val="26"/>
              </w:rPr>
              <w:t>Essential Reliability Services and the Evolving Bulk-Power System -- Primary Frequency Response, RM16-6 (Ongoing Filing)</w:t>
            </w:r>
          </w:p>
        </w:tc>
        <w:tc>
          <w:tcPr>
            <w:tcW w:w="666" w:type="pct"/>
          </w:tcPr>
          <w:p w:rsidR="00B64F5F" w:rsidRPr="00C30AEF" w:rsidP="00B64F5F" w14:paraId="1CA45C58" w14:textId="27987E9B">
            <w:pPr>
              <w:jc w:val="right"/>
              <w:rPr>
                <w:rFonts w:eastAsia="Calibri"/>
                <w:szCs w:val="26"/>
              </w:rPr>
            </w:pPr>
            <w:r w:rsidRPr="00C30AEF">
              <w:rPr>
                <w:szCs w:val="26"/>
              </w:rPr>
              <w:t>74</w:t>
            </w:r>
          </w:p>
        </w:tc>
        <w:tc>
          <w:tcPr>
            <w:tcW w:w="668" w:type="pct"/>
          </w:tcPr>
          <w:p w:rsidR="00B64F5F" w:rsidRPr="00C30AEF" w:rsidP="00B64F5F" w14:paraId="6877682B" w14:textId="7B324BA9">
            <w:pPr>
              <w:jc w:val="right"/>
              <w:rPr>
                <w:rFonts w:eastAsia="Calibri"/>
                <w:szCs w:val="26"/>
              </w:rPr>
            </w:pPr>
            <w:r w:rsidRPr="00C30AEF">
              <w:rPr>
                <w:szCs w:val="26"/>
              </w:rPr>
              <w:t>1</w:t>
            </w:r>
          </w:p>
        </w:tc>
        <w:tc>
          <w:tcPr>
            <w:tcW w:w="520" w:type="pct"/>
          </w:tcPr>
          <w:p w:rsidR="00B64F5F" w:rsidRPr="00C30AEF" w:rsidP="00B64F5F" w14:paraId="47E42F69" w14:textId="793AE988">
            <w:pPr>
              <w:jc w:val="right"/>
              <w:rPr>
                <w:rFonts w:eastAsia="Calibri"/>
                <w:szCs w:val="26"/>
              </w:rPr>
            </w:pPr>
            <w:r w:rsidRPr="00C30AEF">
              <w:rPr>
                <w:szCs w:val="26"/>
              </w:rPr>
              <w:t>74</w:t>
            </w:r>
          </w:p>
        </w:tc>
        <w:tc>
          <w:tcPr>
            <w:tcW w:w="640" w:type="pct"/>
          </w:tcPr>
          <w:p w:rsidR="00B64F5F" w:rsidRPr="00C30AEF" w:rsidP="00B64F5F" w14:paraId="17FB974E" w14:textId="79EAC460">
            <w:pPr>
              <w:jc w:val="right"/>
              <w:rPr>
                <w:rFonts w:eastAsia="Calibri"/>
                <w:szCs w:val="26"/>
              </w:rPr>
            </w:pPr>
            <w:r w:rsidRPr="00C30AEF">
              <w:rPr>
                <w:szCs w:val="26"/>
              </w:rPr>
              <w:t>10</w:t>
            </w:r>
          </w:p>
        </w:tc>
        <w:tc>
          <w:tcPr>
            <w:tcW w:w="797" w:type="pct"/>
          </w:tcPr>
          <w:p w:rsidR="00B64F5F" w:rsidRPr="00C30AEF" w:rsidP="00B64F5F" w14:paraId="29E83BBE" w14:textId="4D7B4869">
            <w:pPr>
              <w:jc w:val="right"/>
              <w:rPr>
                <w:rFonts w:eastAsia="Calibri"/>
                <w:szCs w:val="26"/>
              </w:rPr>
            </w:pPr>
            <w:r w:rsidRPr="00C30AEF">
              <w:rPr>
                <w:szCs w:val="26"/>
              </w:rPr>
              <w:t>740</w:t>
            </w:r>
          </w:p>
        </w:tc>
      </w:tr>
      <w:tr w14:paraId="398BA40F" w14:textId="77777777">
        <w:tblPrEx>
          <w:tblW w:w="5314" w:type="pct"/>
          <w:tblInd w:w="-72" w:type="dxa"/>
          <w:tblLayout w:type="fixed"/>
          <w:tblLook w:val="01E0"/>
        </w:tblPrEx>
        <w:trPr>
          <w:cantSplit/>
        </w:trPr>
        <w:tc>
          <w:tcPr>
            <w:tcW w:w="577" w:type="pct"/>
          </w:tcPr>
          <w:p w:rsidR="00B64F5F" w:rsidRPr="00C30AEF" w:rsidP="00B64F5F" w14:paraId="777678AB" w14:textId="4732C0DD">
            <w:pPr>
              <w:rPr>
                <w:szCs w:val="26"/>
              </w:rPr>
            </w:pPr>
            <w:r w:rsidRPr="00C30AEF">
              <w:rPr>
                <w:szCs w:val="26"/>
              </w:rPr>
              <w:t>516A</w:t>
            </w:r>
          </w:p>
        </w:tc>
        <w:tc>
          <w:tcPr>
            <w:tcW w:w="1132" w:type="pct"/>
          </w:tcPr>
          <w:p w:rsidR="00B64F5F" w:rsidRPr="00C30AEF" w:rsidP="00B64F5F" w14:paraId="17001D5A" w14:textId="69E5EF8C">
            <w:pPr>
              <w:rPr>
                <w:szCs w:val="26"/>
              </w:rPr>
            </w:pPr>
            <w:r w:rsidRPr="00C30AEF">
              <w:rPr>
                <w:szCs w:val="26"/>
              </w:rPr>
              <w:t>Compliance Filing (RM22-2) FR</w:t>
            </w:r>
          </w:p>
        </w:tc>
        <w:tc>
          <w:tcPr>
            <w:tcW w:w="666" w:type="pct"/>
          </w:tcPr>
          <w:p w:rsidR="00B64F5F" w:rsidRPr="00C30AEF" w:rsidP="00B64F5F" w14:paraId="7A72C874" w14:textId="38774687">
            <w:pPr>
              <w:jc w:val="right"/>
              <w:rPr>
                <w:rFonts w:eastAsia="Calibri"/>
                <w:szCs w:val="26"/>
              </w:rPr>
            </w:pPr>
            <w:r w:rsidRPr="00C30AEF">
              <w:rPr>
                <w:szCs w:val="26"/>
              </w:rPr>
              <w:t>43</w:t>
            </w:r>
          </w:p>
        </w:tc>
        <w:tc>
          <w:tcPr>
            <w:tcW w:w="668" w:type="pct"/>
          </w:tcPr>
          <w:p w:rsidR="00B64F5F" w:rsidRPr="00C30AEF" w:rsidP="00B64F5F" w14:paraId="20810447" w14:textId="7DD525E4">
            <w:pPr>
              <w:jc w:val="right"/>
              <w:rPr>
                <w:rFonts w:eastAsia="Calibri"/>
                <w:szCs w:val="26"/>
              </w:rPr>
            </w:pPr>
            <w:r w:rsidRPr="00C30AEF">
              <w:rPr>
                <w:szCs w:val="26"/>
              </w:rPr>
              <w:t>1</w:t>
            </w:r>
          </w:p>
        </w:tc>
        <w:tc>
          <w:tcPr>
            <w:tcW w:w="520" w:type="pct"/>
          </w:tcPr>
          <w:p w:rsidR="00B64F5F" w:rsidRPr="00C30AEF" w:rsidP="00B64F5F" w14:paraId="108DCE45" w14:textId="3DE4C02C">
            <w:pPr>
              <w:jc w:val="right"/>
              <w:rPr>
                <w:rFonts w:eastAsia="Calibri"/>
                <w:szCs w:val="26"/>
              </w:rPr>
            </w:pPr>
            <w:r w:rsidRPr="00C30AEF">
              <w:rPr>
                <w:szCs w:val="26"/>
              </w:rPr>
              <w:t>43</w:t>
            </w:r>
          </w:p>
        </w:tc>
        <w:tc>
          <w:tcPr>
            <w:tcW w:w="640" w:type="pct"/>
          </w:tcPr>
          <w:p w:rsidR="00B64F5F" w:rsidRPr="00C30AEF" w:rsidP="00B64F5F" w14:paraId="2B2EE291" w14:textId="4A444877">
            <w:pPr>
              <w:jc w:val="right"/>
              <w:rPr>
                <w:rFonts w:eastAsia="Calibri"/>
                <w:szCs w:val="26"/>
              </w:rPr>
            </w:pPr>
            <w:r w:rsidRPr="00C30AEF">
              <w:rPr>
                <w:szCs w:val="26"/>
              </w:rPr>
              <w:t>4</w:t>
            </w:r>
          </w:p>
        </w:tc>
        <w:tc>
          <w:tcPr>
            <w:tcW w:w="797" w:type="pct"/>
          </w:tcPr>
          <w:p w:rsidR="00B64F5F" w:rsidRPr="00C30AEF" w:rsidP="00B64F5F" w14:paraId="40B6A2AD" w14:textId="3DEF1336">
            <w:pPr>
              <w:jc w:val="right"/>
              <w:rPr>
                <w:rFonts w:eastAsia="Calibri"/>
                <w:szCs w:val="26"/>
              </w:rPr>
            </w:pPr>
            <w:r w:rsidRPr="00C30AEF">
              <w:rPr>
                <w:szCs w:val="26"/>
              </w:rPr>
              <w:t>172</w:t>
            </w:r>
          </w:p>
        </w:tc>
      </w:tr>
      <w:tr w14:paraId="4935F1D3" w14:textId="77777777">
        <w:tblPrEx>
          <w:tblW w:w="5314" w:type="pct"/>
          <w:tblInd w:w="-72" w:type="dxa"/>
          <w:tblLayout w:type="fixed"/>
          <w:tblLook w:val="01E0"/>
        </w:tblPrEx>
        <w:trPr>
          <w:cantSplit/>
        </w:trPr>
        <w:tc>
          <w:tcPr>
            <w:tcW w:w="577" w:type="pct"/>
          </w:tcPr>
          <w:p w:rsidR="00B64F5F" w:rsidRPr="00C30AEF" w:rsidP="00B64F5F" w14:paraId="52AA56A6" w14:textId="17C0CCC5">
            <w:pPr>
              <w:rPr>
                <w:szCs w:val="26"/>
              </w:rPr>
            </w:pPr>
            <w:r w:rsidRPr="00C30AEF">
              <w:rPr>
                <w:szCs w:val="26"/>
              </w:rPr>
              <w:t>516A</w:t>
            </w:r>
          </w:p>
        </w:tc>
        <w:tc>
          <w:tcPr>
            <w:tcW w:w="1132" w:type="pct"/>
          </w:tcPr>
          <w:p w:rsidR="00B64F5F" w:rsidRPr="00C30AEF" w:rsidP="00B64F5F" w14:paraId="6BCB06AD" w14:textId="5A7C6659">
            <w:pPr>
              <w:rPr>
                <w:szCs w:val="26"/>
              </w:rPr>
            </w:pPr>
            <w:r w:rsidRPr="00C30AEF">
              <w:rPr>
                <w:szCs w:val="26"/>
              </w:rPr>
              <w:t>Interconnection Reforms_RM22-14_Alternative Technologies (One-Time)</w:t>
            </w:r>
          </w:p>
        </w:tc>
        <w:tc>
          <w:tcPr>
            <w:tcW w:w="666" w:type="pct"/>
          </w:tcPr>
          <w:p w:rsidR="00B64F5F" w:rsidRPr="00C30AEF" w:rsidP="00B64F5F" w14:paraId="66CC1C06" w14:textId="716F5ACA">
            <w:pPr>
              <w:jc w:val="right"/>
              <w:rPr>
                <w:szCs w:val="26"/>
              </w:rPr>
            </w:pPr>
            <w:r w:rsidRPr="00C30AEF">
              <w:rPr>
                <w:szCs w:val="26"/>
              </w:rPr>
              <w:t>44</w:t>
            </w:r>
          </w:p>
        </w:tc>
        <w:tc>
          <w:tcPr>
            <w:tcW w:w="668" w:type="pct"/>
          </w:tcPr>
          <w:p w:rsidR="00B64F5F" w:rsidRPr="00C30AEF" w:rsidP="00B64F5F" w14:paraId="3F5BF1B7" w14:textId="57FAFE41">
            <w:pPr>
              <w:jc w:val="right"/>
              <w:rPr>
                <w:szCs w:val="26"/>
              </w:rPr>
            </w:pPr>
            <w:r w:rsidRPr="00C30AEF">
              <w:rPr>
                <w:szCs w:val="26"/>
              </w:rPr>
              <w:t>1</w:t>
            </w:r>
          </w:p>
        </w:tc>
        <w:tc>
          <w:tcPr>
            <w:tcW w:w="520" w:type="pct"/>
          </w:tcPr>
          <w:p w:rsidR="00B64F5F" w:rsidRPr="00C30AEF" w:rsidP="00B64F5F" w14:paraId="4554C3A9" w14:textId="52F8DBA7">
            <w:pPr>
              <w:jc w:val="right"/>
              <w:rPr>
                <w:szCs w:val="26"/>
              </w:rPr>
            </w:pPr>
            <w:r w:rsidRPr="00C30AEF">
              <w:rPr>
                <w:szCs w:val="26"/>
              </w:rPr>
              <w:t>44</w:t>
            </w:r>
          </w:p>
        </w:tc>
        <w:tc>
          <w:tcPr>
            <w:tcW w:w="640" w:type="pct"/>
          </w:tcPr>
          <w:p w:rsidR="00B64F5F" w:rsidRPr="00C30AEF" w:rsidP="00B64F5F" w14:paraId="5FE2FD7D" w14:textId="5A834436">
            <w:pPr>
              <w:jc w:val="right"/>
              <w:rPr>
                <w:szCs w:val="26"/>
              </w:rPr>
            </w:pPr>
            <w:r w:rsidRPr="00C30AEF">
              <w:rPr>
                <w:szCs w:val="26"/>
              </w:rPr>
              <w:t>29</w:t>
            </w:r>
            <w:r w:rsidRPr="00C30AEF" w:rsidR="007E542D">
              <w:rPr>
                <w:szCs w:val="26"/>
              </w:rPr>
              <w:t>.33</w:t>
            </w:r>
          </w:p>
        </w:tc>
        <w:tc>
          <w:tcPr>
            <w:tcW w:w="797" w:type="pct"/>
          </w:tcPr>
          <w:p w:rsidR="00B64F5F" w:rsidRPr="00C30AEF" w:rsidP="00B64F5F" w14:paraId="22238F1C" w14:textId="15096F91">
            <w:pPr>
              <w:jc w:val="right"/>
              <w:rPr>
                <w:szCs w:val="26"/>
              </w:rPr>
            </w:pPr>
            <w:r w:rsidRPr="00C30AEF">
              <w:rPr>
                <w:szCs w:val="26"/>
              </w:rPr>
              <w:t>1,291</w:t>
            </w:r>
          </w:p>
        </w:tc>
      </w:tr>
      <w:tr w14:paraId="0F3D6476" w14:textId="77777777">
        <w:tblPrEx>
          <w:tblW w:w="5314" w:type="pct"/>
          <w:tblInd w:w="-72" w:type="dxa"/>
          <w:tblLayout w:type="fixed"/>
          <w:tblLook w:val="01E0"/>
        </w:tblPrEx>
        <w:trPr>
          <w:cantSplit/>
        </w:trPr>
        <w:tc>
          <w:tcPr>
            <w:tcW w:w="577" w:type="pct"/>
          </w:tcPr>
          <w:p w:rsidR="00B64F5F" w:rsidRPr="00C30AEF" w:rsidP="00B64F5F" w14:paraId="689CBE66" w14:textId="0980AA01">
            <w:pPr>
              <w:rPr>
                <w:szCs w:val="26"/>
              </w:rPr>
            </w:pPr>
            <w:r w:rsidRPr="00C30AEF">
              <w:rPr>
                <w:szCs w:val="26"/>
              </w:rPr>
              <w:t>516A</w:t>
            </w:r>
          </w:p>
        </w:tc>
        <w:tc>
          <w:tcPr>
            <w:tcW w:w="1132" w:type="pct"/>
          </w:tcPr>
          <w:p w:rsidR="00B64F5F" w:rsidRPr="00C30AEF" w:rsidP="00B64F5F" w14:paraId="60414EA8" w14:textId="2806958C">
            <w:pPr>
              <w:rPr>
                <w:szCs w:val="26"/>
              </w:rPr>
            </w:pPr>
            <w:r w:rsidRPr="00C30AEF">
              <w:rPr>
                <w:szCs w:val="26"/>
              </w:rPr>
              <w:t>Update Interconnection Procedures and Agreements (Rehearing Order RM22-14)</w:t>
            </w:r>
          </w:p>
        </w:tc>
        <w:tc>
          <w:tcPr>
            <w:tcW w:w="666" w:type="pct"/>
          </w:tcPr>
          <w:p w:rsidR="00B64F5F" w:rsidRPr="00C30AEF" w:rsidP="00B64F5F" w14:paraId="447369AF" w14:textId="1FA3E3A5">
            <w:pPr>
              <w:jc w:val="right"/>
              <w:rPr>
                <w:szCs w:val="26"/>
              </w:rPr>
            </w:pPr>
            <w:r w:rsidRPr="00C30AEF">
              <w:rPr>
                <w:szCs w:val="26"/>
              </w:rPr>
              <w:t>44</w:t>
            </w:r>
          </w:p>
        </w:tc>
        <w:tc>
          <w:tcPr>
            <w:tcW w:w="668" w:type="pct"/>
          </w:tcPr>
          <w:p w:rsidR="00B64F5F" w:rsidRPr="00C30AEF" w:rsidP="00B64F5F" w14:paraId="1AAA3292" w14:textId="6D60E4DD">
            <w:pPr>
              <w:jc w:val="right"/>
              <w:rPr>
                <w:szCs w:val="26"/>
              </w:rPr>
            </w:pPr>
            <w:r w:rsidRPr="00C30AEF">
              <w:rPr>
                <w:szCs w:val="26"/>
              </w:rPr>
              <w:t>2</w:t>
            </w:r>
          </w:p>
        </w:tc>
        <w:tc>
          <w:tcPr>
            <w:tcW w:w="520" w:type="pct"/>
          </w:tcPr>
          <w:p w:rsidR="00B64F5F" w:rsidRPr="00C30AEF" w:rsidP="00B64F5F" w14:paraId="0E62D645" w14:textId="3938EDC5">
            <w:pPr>
              <w:jc w:val="right"/>
              <w:rPr>
                <w:szCs w:val="26"/>
              </w:rPr>
            </w:pPr>
            <w:r w:rsidRPr="00C30AEF">
              <w:rPr>
                <w:szCs w:val="26"/>
              </w:rPr>
              <w:t>88</w:t>
            </w:r>
          </w:p>
        </w:tc>
        <w:tc>
          <w:tcPr>
            <w:tcW w:w="640" w:type="pct"/>
          </w:tcPr>
          <w:p w:rsidR="00B64F5F" w:rsidRPr="00C30AEF" w:rsidP="00B64F5F" w14:paraId="00C2D6A2" w14:textId="47FDDA79">
            <w:pPr>
              <w:jc w:val="right"/>
              <w:rPr>
                <w:szCs w:val="26"/>
              </w:rPr>
            </w:pPr>
            <w:r w:rsidRPr="00C30AEF">
              <w:rPr>
                <w:szCs w:val="26"/>
              </w:rPr>
              <w:t>1</w:t>
            </w:r>
          </w:p>
        </w:tc>
        <w:tc>
          <w:tcPr>
            <w:tcW w:w="797" w:type="pct"/>
          </w:tcPr>
          <w:p w:rsidR="00B64F5F" w:rsidRPr="00C30AEF" w:rsidP="00B64F5F" w14:paraId="4DB0B5DB" w14:textId="07802AE9">
            <w:pPr>
              <w:jc w:val="right"/>
              <w:rPr>
                <w:szCs w:val="26"/>
              </w:rPr>
            </w:pPr>
            <w:r w:rsidRPr="00C30AEF">
              <w:rPr>
                <w:szCs w:val="26"/>
              </w:rPr>
              <w:t>88</w:t>
            </w:r>
          </w:p>
        </w:tc>
      </w:tr>
      <w:tr w14:paraId="5597EFE1" w14:textId="77777777">
        <w:tblPrEx>
          <w:tblW w:w="5314" w:type="pct"/>
          <w:tblInd w:w="-72" w:type="dxa"/>
          <w:tblLayout w:type="fixed"/>
          <w:tblLook w:val="01E0"/>
        </w:tblPrEx>
        <w:trPr>
          <w:cantSplit/>
        </w:trPr>
        <w:tc>
          <w:tcPr>
            <w:tcW w:w="577" w:type="pct"/>
          </w:tcPr>
          <w:p w:rsidR="00B64F5F" w:rsidRPr="00C30AEF" w:rsidP="00B64F5F" w14:paraId="587B3494" w14:textId="5AFAE344">
            <w:pPr>
              <w:rPr>
                <w:szCs w:val="26"/>
              </w:rPr>
            </w:pPr>
            <w:r w:rsidRPr="00C30AEF">
              <w:rPr>
                <w:szCs w:val="26"/>
              </w:rPr>
              <w:t>917</w:t>
            </w:r>
          </w:p>
        </w:tc>
        <w:tc>
          <w:tcPr>
            <w:tcW w:w="1132" w:type="pct"/>
          </w:tcPr>
          <w:p w:rsidR="00B64F5F" w:rsidRPr="00C30AEF" w:rsidP="00B64F5F" w14:paraId="099CE683" w14:textId="65ED9180">
            <w:pPr>
              <w:rPr>
                <w:szCs w:val="26"/>
              </w:rPr>
            </w:pPr>
            <w:r w:rsidRPr="00C30AEF">
              <w:rPr>
                <w:szCs w:val="26"/>
              </w:rPr>
              <w:t>RM21-17: Seek agreement from the states to establish a Long-Term Regional Transmission Cost Allocation Method and/or a State Agreement Process (Year 1)</w:t>
            </w:r>
          </w:p>
        </w:tc>
        <w:tc>
          <w:tcPr>
            <w:tcW w:w="666" w:type="pct"/>
          </w:tcPr>
          <w:p w:rsidR="00B64F5F" w:rsidRPr="00C30AEF" w:rsidP="00B64F5F" w14:paraId="6343F3C6" w14:textId="65F3C79F">
            <w:pPr>
              <w:jc w:val="right"/>
              <w:rPr>
                <w:szCs w:val="26"/>
              </w:rPr>
            </w:pPr>
            <w:r w:rsidRPr="00C30AEF">
              <w:rPr>
                <w:szCs w:val="26"/>
              </w:rPr>
              <w:t>48</w:t>
            </w:r>
          </w:p>
        </w:tc>
        <w:tc>
          <w:tcPr>
            <w:tcW w:w="668" w:type="pct"/>
          </w:tcPr>
          <w:p w:rsidR="00B64F5F" w:rsidRPr="00C30AEF" w:rsidP="00B64F5F" w14:paraId="40EBD802" w14:textId="543DFCB9">
            <w:pPr>
              <w:jc w:val="right"/>
              <w:rPr>
                <w:szCs w:val="26"/>
              </w:rPr>
            </w:pPr>
            <w:r w:rsidRPr="00C30AEF">
              <w:rPr>
                <w:szCs w:val="26"/>
              </w:rPr>
              <w:t>1</w:t>
            </w:r>
          </w:p>
        </w:tc>
        <w:tc>
          <w:tcPr>
            <w:tcW w:w="520" w:type="pct"/>
          </w:tcPr>
          <w:p w:rsidR="00B64F5F" w:rsidRPr="00C30AEF" w:rsidP="00B64F5F" w14:paraId="32CA9FD7" w14:textId="69151681">
            <w:pPr>
              <w:jc w:val="right"/>
              <w:rPr>
                <w:szCs w:val="26"/>
              </w:rPr>
            </w:pPr>
            <w:r w:rsidRPr="00C30AEF">
              <w:rPr>
                <w:szCs w:val="26"/>
              </w:rPr>
              <w:t>48</w:t>
            </w:r>
          </w:p>
        </w:tc>
        <w:tc>
          <w:tcPr>
            <w:tcW w:w="640" w:type="pct"/>
          </w:tcPr>
          <w:p w:rsidR="00B64F5F" w:rsidRPr="00C30AEF" w:rsidP="00B64F5F" w14:paraId="2262D027" w14:textId="2463E31F">
            <w:pPr>
              <w:jc w:val="right"/>
              <w:rPr>
                <w:szCs w:val="26"/>
              </w:rPr>
            </w:pPr>
            <w:r w:rsidRPr="00C30AEF">
              <w:rPr>
                <w:szCs w:val="26"/>
              </w:rPr>
              <w:t>390</w:t>
            </w:r>
          </w:p>
        </w:tc>
        <w:tc>
          <w:tcPr>
            <w:tcW w:w="797" w:type="pct"/>
          </w:tcPr>
          <w:p w:rsidR="00B64F5F" w:rsidRPr="00C30AEF" w:rsidP="00B64F5F" w14:paraId="43D821DD" w14:textId="34A6CD4A">
            <w:pPr>
              <w:jc w:val="right"/>
              <w:rPr>
                <w:szCs w:val="26"/>
              </w:rPr>
            </w:pPr>
            <w:r w:rsidRPr="00C30AEF">
              <w:rPr>
                <w:szCs w:val="26"/>
              </w:rPr>
              <w:t>18,720</w:t>
            </w:r>
          </w:p>
        </w:tc>
      </w:tr>
      <w:tr w14:paraId="62BC1162" w14:textId="77777777">
        <w:tblPrEx>
          <w:tblW w:w="5314" w:type="pct"/>
          <w:tblInd w:w="-72" w:type="dxa"/>
          <w:tblLayout w:type="fixed"/>
          <w:tblLook w:val="01E0"/>
        </w:tblPrEx>
        <w:trPr>
          <w:cantSplit/>
          <w:trHeight w:val="485"/>
        </w:trPr>
        <w:tc>
          <w:tcPr>
            <w:tcW w:w="577" w:type="pct"/>
            <w:tcBorders>
              <w:bottom w:val="single" w:sz="4" w:space="0" w:color="auto"/>
            </w:tcBorders>
          </w:tcPr>
          <w:p w:rsidR="003002CE" w:rsidRPr="00C30AEF" w14:paraId="3D21ABCA" w14:textId="77777777">
            <w:pPr>
              <w:rPr>
                <w:rFonts w:eastAsia="Calibri"/>
                <w:b/>
                <w:bCs/>
                <w:szCs w:val="26"/>
              </w:rPr>
            </w:pPr>
            <w:r w:rsidRPr="00C30AEF">
              <w:rPr>
                <w:rFonts w:eastAsia="Calibri"/>
                <w:b/>
                <w:bCs/>
                <w:szCs w:val="26"/>
              </w:rPr>
              <w:t>TOTAL</w:t>
            </w:r>
          </w:p>
        </w:tc>
        <w:tc>
          <w:tcPr>
            <w:tcW w:w="1132" w:type="pct"/>
            <w:tcBorders>
              <w:bottom w:val="single" w:sz="4" w:space="0" w:color="auto"/>
            </w:tcBorders>
            <w:shd w:val="clear" w:color="auto" w:fill="D9D9D9" w:themeFill="background1" w:themeFillShade="D9"/>
          </w:tcPr>
          <w:p w:rsidR="003002CE" w:rsidRPr="00C30AEF" w14:paraId="4FC84424" w14:textId="77777777">
            <w:pPr>
              <w:jc w:val="right"/>
              <w:rPr>
                <w:rFonts w:eastAsia="Calibri"/>
                <w:szCs w:val="26"/>
              </w:rPr>
            </w:pPr>
          </w:p>
        </w:tc>
        <w:tc>
          <w:tcPr>
            <w:tcW w:w="1334" w:type="pct"/>
            <w:gridSpan w:val="2"/>
            <w:tcBorders>
              <w:bottom w:val="single" w:sz="4" w:space="0" w:color="auto"/>
            </w:tcBorders>
            <w:shd w:val="clear" w:color="auto" w:fill="D9D9D9" w:themeFill="background1" w:themeFillShade="D9"/>
          </w:tcPr>
          <w:p w:rsidR="003002CE" w:rsidRPr="00C30AEF" w14:paraId="50EAF829" w14:textId="77777777">
            <w:pPr>
              <w:jc w:val="right"/>
              <w:rPr>
                <w:rFonts w:eastAsia="Calibri"/>
                <w:szCs w:val="26"/>
              </w:rPr>
            </w:pPr>
          </w:p>
        </w:tc>
        <w:tc>
          <w:tcPr>
            <w:tcW w:w="520" w:type="pct"/>
            <w:tcBorders>
              <w:bottom w:val="single" w:sz="4" w:space="0" w:color="auto"/>
            </w:tcBorders>
          </w:tcPr>
          <w:p w:rsidR="003002CE" w:rsidRPr="00C30AEF" w14:paraId="613F29FD" w14:textId="68DF394F">
            <w:pPr>
              <w:jc w:val="right"/>
              <w:rPr>
                <w:rFonts w:eastAsia="Calibri"/>
                <w:b/>
                <w:bCs/>
                <w:szCs w:val="26"/>
              </w:rPr>
            </w:pPr>
            <w:r w:rsidRPr="00C30AEF">
              <w:rPr>
                <w:rFonts w:eastAsia="Calibri"/>
                <w:b/>
                <w:bCs/>
                <w:szCs w:val="26"/>
              </w:rPr>
              <w:t>1,</w:t>
            </w:r>
            <w:r w:rsidRPr="00C30AEF" w:rsidR="008D67C0">
              <w:rPr>
                <w:rFonts w:eastAsia="Calibri"/>
                <w:b/>
                <w:bCs/>
                <w:szCs w:val="26"/>
              </w:rPr>
              <w:t>320</w:t>
            </w:r>
            <w:r w:rsidRPr="00C30AEF">
              <w:rPr>
                <w:rFonts w:eastAsia="Calibri"/>
                <w:b/>
                <w:bCs/>
                <w:szCs w:val="26"/>
              </w:rPr>
              <w:t xml:space="preserve"> </w:t>
            </w:r>
          </w:p>
        </w:tc>
        <w:tc>
          <w:tcPr>
            <w:tcW w:w="640" w:type="pct"/>
            <w:tcBorders>
              <w:bottom w:val="single" w:sz="4" w:space="0" w:color="auto"/>
            </w:tcBorders>
            <w:shd w:val="clear" w:color="auto" w:fill="D9D9D9" w:themeFill="background1" w:themeFillShade="D9"/>
          </w:tcPr>
          <w:p w:rsidR="003002CE" w:rsidRPr="00C30AEF" w14:paraId="4F3ABABB" w14:textId="77777777">
            <w:pPr>
              <w:jc w:val="right"/>
              <w:rPr>
                <w:rFonts w:eastAsia="Calibri"/>
                <w:szCs w:val="26"/>
              </w:rPr>
            </w:pPr>
          </w:p>
        </w:tc>
        <w:tc>
          <w:tcPr>
            <w:tcW w:w="797" w:type="pct"/>
            <w:tcBorders>
              <w:bottom w:val="single" w:sz="4" w:space="0" w:color="auto"/>
            </w:tcBorders>
          </w:tcPr>
          <w:p w:rsidR="003002CE" w:rsidRPr="00C30AEF" w14:paraId="1B1A8063" w14:textId="4BBD34FE">
            <w:pPr>
              <w:jc w:val="right"/>
              <w:rPr>
                <w:rFonts w:eastAsia="Calibri"/>
                <w:b/>
                <w:bCs/>
                <w:szCs w:val="26"/>
              </w:rPr>
            </w:pPr>
            <w:r w:rsidRPr="00C30AEF">
              <w:rPr>
                <w:rFonts w:eastAsia="Calibri"/>
                <w:b/>
                <w:bCs/>
                <w:szCs w:val="26"/>
              </w:rPr>
              <w:t>34,020</w:t>
            </w:r>
            <w:r w:rsidRPr="00C30AEF">
              <w:rPr>
                <w:rFonts w:eastAsia="Calibri"/>
                <w:b/>
                <w:bCs/>
                <w:szCs w:val="26"/>
              </w:rPr>
              <w:t xml:space="preserve"> hrs.</w:t>
            </w:r>
            <w:r w:rsidRPr="00C30AEF">
              <w:rPr>
                <w:rFonts w:eastAsia="Calibri"/>
                <w:b/>
                <w:bCs/>
                <w:szCs w:val="26"/>
              </w:rPr>
              <w:t xml:space="preserve"> </w:t>
            </w:r>
          </w:p>
        </w:tc>
      </w:tr>
    </w:tbl>
    <w:p w:rsidR="00F86890" w:rsidRPr="00C30AEF" w:rsidP="549EAD48" w14:paraId="4414225D" w14:textId="77777777">
      <w:pPr>
        <w:spacing w:line="480" w:lineRule="auto"/>
        <w:rPr>
          <w:szCs w:val="26"/>
        </w:rPr>
      </w:pPr>
    </w:p>
    <w:p w:rsidR="00F86890" w:rsidRPr="00C30AEF" w:rsidP="549EAD48" w14:paraId="537730BC" w14:textId="2B27B8D2">
      <w:pPr>
        <w:spacing w:line="480" w:lineRule="auto"/>
        <w:rPr>
          <w:szCs w:val="26"/>
        </w:rPr>
      </w:pPr>
      <w:r w:rsidRPr="00C30AEF">
        <w:rPr>
          <w:i/>
          <w:iCs/>
          <w:szCs w:val="26"/>
        </w:rPr>
        <w:t xml:space="preserve">Comments:  </w:t>
      </w:r>
      <w:r w:rsidRPr="00C30AEF">
        <w:rPr>
          <w:szCs w:val="26"/>
        </w:rPr>
        <w:t>Comments are invited on:  (1) whether the collection of information is necessary for the proper performance of the functions of the Commission, including whether the information will have practical utility; (2) the accuracy of the agency</w:t>
      </w:r>
      <w:r w:rsidRPr="00C30AEF" w:rsidR="00B33AD2">
        <w:rPr>
          <w:szCs w:val="26"/>
        </w:rPr>
        <w:t>’</w:t>
      </w:r>
      <w:r w:rsidRPr="00C30AEF">
        <w:rPr>
          <w:szCs w:val="26"/>
        </w:rPr>
        <w:t xml:space="preserve">s estimate of the burden </w:t>
      </w:r>
      <w:r w:rsidRPr="00C30AEF" w:rsidR="009447D3">
        <w:rPr>
          <w:szCs w:val="26"/>
        </w:rPr>
        <w:t xml:space="preserve">and cost </w:t>
      </w:r>
      <w:r w:rsidRPr="00C30AEF">
        <w:rPr>
          <w:szCs w:val="26"/>
        </w:rPr>
        <w:t>of the collection of information, including the validity of the methodology and assumptions used; (3)</w:t>
      </w:r>
      <w:r w:rsidRPr="00C30AEF" w:rsidR="00443D62">
        <w:rPr>
          <w:szCs w:val="26"/>
        </w:rPr>
        <w:t> </w:t>
      </w:r>
      <w:r w:rsidRPr="00C30AEF">
        <w:rPr>
          <w:szCs w:val="26"/>
        </w:rPr>
        <w:t xml:space="preserve">ways to enhance the quality, utility and clarity of the information </w:t>
      </w:r>
      <w:r w:rsidRPr="00C30AEF" w:rsidR="00647B24">
        <w:rPr>
          <w:szCs w:val="26"/>
        </w:rPr>
        <w:t>collection</w:t>
      </w:r>
      <w:r w:rsidRPr="00C30AEF">
        <w:rPr>
          <w:szCs w:val="26"/>
        </w:rPr>
        <w:t>; and (4) ways to minimize the burden of the collection of information on those who are to respond, i</w:t>
      </w:r>
      <w:r w:rsidRPr="00C30AEF" w:rsidR="00647B24">
        <w:rPr>
          <w:szCs w:val="26"/>
        </w:rPr>
        <w:t xml:space="preserve">ncluding the use of </w:t>
      </w:r>
      <w:r w:rsidRPr="00C30AEF">
        <w:rPr>
          <w:szCs w:val="26"/>
        </w:rPr>
        <w:t xml:space="preserve">automated collection techniques or other forms of information technology.  </w:t>
      </w:r>
    </w:p>
    <w:p w:rsidR="004530E0" w:rsidRPr="00C30AEF" w:rsidP="549EAD48" w14:paraId="1E958C2B" w14:textId="77777777">
      <w:pPr>
        <w:spacing w:line="480" w:lineRule="auto"/>
        <w:ind w:firstLine="720"/>
        <w:rPr>
          <w:szCs w:val="26"/>
        </w:rPr>
      </w:pPr>
    </w:p>
    <w:p w:rsidR="004530E0" w:rsidRPr="00C30AEF" w:rsidP="549EAD48" w14:paraId="6A2F085D" w14:textId="77777777">
      <w:pPr>
        <w:rPr>
          <w:szCs w:val="26"/>
        </w:rPr>
      </w:pPr>
    </w:p>
    <w:p w:rsidR="679453F5" w:rsidRPr="00C30AEF" w:rsidP="549EAD48" w14:paraId="72FB0FE5" w14:textId="32B44CE5">
      <w:pPr>
        <w:jc w:val="center"/>
        <w:rPr>
          <w:szCs w:val="26"/>
        </w:rPr>
      </w:pPr>
      <w:r w:rsidRPr="00C30AEF">
        <w:rPr>
          <w:szCs w:val="26"/>
        </w:rPr>
        <w:t xml:space="preserve">Debbie-Anne A. Reese,  </w:t>
      </w:r>
    </w:p>
    <w:p w:rsidR="0078241C" w:rsidRPr="00C30AEF" w:rsidP="549EAD48" w14:paraId="7FE0FDE5" w14:textId="77777777">
      <w:pPr>
        <w:jc w:val="center"/>
        <w:rPr>
          <w:szCs w:val="26"/>
        </w:rPr>
      </w:pPr>
      <w:r w:rsidRPr="00C30AEF">
        <w:rPr>
          <w:szCs w:val="26"/>
        </w:rPr>
        <w:t>Secretary.</w:t>
      </w:r>
    </w:p>
    <w:sectPr w:rsidSect="00EF5878">
      <w:headerReference w:type="even" r:id="rId13"/>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F28A7" w14:paraId="5BE5CF58" w14:textId="77777777">
      <w:r>
        <w:separator/>
      </w:r>
    </w:p>
  </w:footnote>
  <w:footnote w:type="continuationSeparator" w:id="1">
    <w:p w:rsidR="008F28A7" w14:paraId="15D1A500" w14:textId="77777777">
      <w:r>
        <w:continuationSeparator/>
      </w:r>
    </w:p>
  </w:footnote>
  <w:footnote w:id="2">
    <w:p w:rsidR="0095540A" w:rsidRPr="00C30AEF" w:rsidP="00C30AEF" w14:paraId="27CA5F3D" w14:textId="4A392D2E">
      <w:pPr>
        <w:pStyle w:val="FootnoteText"/>
        <w:spacing w:after="260"/>
        <w:ind w:firstLine="720"/>
        <w:rPr>
          <w:sz w:val="26"/>
          <w:szCs w:val="26"/>
        </w:rPr>
      </w:pPr>
      <w:r w:rsidRPr="00C30AEF">
        <w:rPr>
          <w:rStyle w:val="FootnoteReference"/>
        </w:rPr>
        <w:footnoteRef/>
      </w:r>
      <w:r w:rsidRPr="00C30AEF">
        <w:rPr>
          <w:sz w:val="26"/>
          <w:szCs w:val="26"/>
        </w:rPr>
        <w:t xml:space="preserve"> The regulation at 35.28(c)(1) requires an OATT “of general applicability” for every public utility that owns, controls, or operates facilities used for the transmission of electric energy in interstate commerce. The OATT must be the </w:t>
      </w:r>
      <w:r w:rsidRPr="00C30AEF">
        <w:rPr>
          <w:i/>
          <w:iCs/>
          <w:sz w:val="26"/>
          <w:szCs w:val="26"/>
        </w:rPr>
        <w:t>pro forma</w:t>
      </w:r>
      <w:r w:rsidRPr="00C30AEF">
        <w:rPr>
          <w:sz w:val="26"/>
          <w:szCs w:val="26"/>
        </w:rPr>
        <w:t> tariff promulgated by the Commission, as amended from time to time, or such other tariff as may be approved by the Commission consistent with the principles set forth in Commission rulemaking proceedings promulgating and amending the </w:t>
      </w:r>
      <w:r w:rsidRPr="00C30AEF">
        <w:rPr>
          <w:i/>
          <w:iCs/>
          <w:sz w:val="26"/>
          <w:szCs w:val="26"/>
        </w:rPr>
        <w:t>pro forma</w:t>
      </w:r>
      <w:r w:rsidRPr="00C30AEF">
        <w:rPr>
          <w:sz w:val="26"/>
          <w:szCs w:val="26"/>
        </w:rPr>
        <w:t> tariff. </w:t>
      </w:r>
    </w:p>
  </w:footnote>
  <w:footnote w:id="3">
    <w:p w:rsidR="00EC5337" w:rsidRPr="00C30AEF" w:rsidP="00C30AEF" w14:paraId="17DF2796" w14:textId="07EB39A8">
      <w:pPr>
        <w:pStyle w:val="FootnoteText"/>
        <w:spacing w:after="260"/>
        <w:ind w:firstLine="720"/>
        <w:rPr>
          <w:sz w:val="26"/>
          <w:szCs w:val="26"/>
        </w:rPr>
      </w:pPr>
      <w:r w:rsidRPr="00C30AEF">
        <w:rPr>
          <w:rStyle w:val="FootnoteReference"/>
        </w:rPr>
        <w:footnoteRef/>
      </w:r>
      <w:r w:rsidRPr="00C30AEF">
        <w:rPr>
          <w:sz w:val="26"/>
          <w:szCs w:val="26"/>
        </w:rPr>
        <w:t xml:space="preserve"> As defined at 16 USC 824(e), a “public utility” is any person who owns or operates facilities subject to the jurisdiction of the Commission under Subchapters II and III of the FPA.</w:t>
      </w:r>
    </w:p>
  </w:footnote>
  <w:footnote w:id="4">
    <w:p w:rsidR="00696A1D" w:rsidRPr="00C30AEF" w:rsidP="00C30AEF" w14:paraId="1978C3D4" w14:textId="2233F38E">
      <w:pPr>
        <w:pStyle w:val="FootnoteText"/>
        <w:spacing w:after="260"/>
        <w:ind w:firstLine="720"/>
        <w:rPr>
          <w:sz w:val="26"/>
          <w:szCs w:val="26"/>
        </w:rPr>
      </w:pPr>
      <w:r w:rsidRPr="00C30AEF">
        <w:rPr>
          <w:rStyle w:val="FootnoteReference"/>
        </w:rPr>
        <w:footnoteRef/>
      </w:r>
      <w:r w:rsidRPr="00C30AEF">
        <w:rPr>
          <w:sz w:val="26"/>
          <w:szCs w:val="26"/>
        </w:rPr>
        <w:t xml:space="preserve"> The Commission defines burden as the total time, effort, or financial resources expended by persons to generate, maintain, retain, or disclose or provide information to or for a Federal agency. For further explanation of what is included in the information collection burden, reference 5 </w:t>
      </w:r>
      <w:r w:rsidRPr="00C30AEF" w:rsidR="00620F0A">
        <w:rPr>
          <w:sz w:val="26"/>
          <w:szCs w:val="26"/>
        </w:rPr>
        <w:t>CFR</w:t>
      </w:r>
      <w:r w:rsidRPr="00C30AEF">
        <w:rPr>
          <w:sz w:val="26"/>
          <w:szCs w:val="26"/>
        </w:rPr>
        <w:t xml:space="preserve"> 1320.3.</w:t>
      </w:r>
    </w:p>
  </w:footnote>
  <w:footnote w:id="5">
    <w:p w:rsidR="00933116" w:rsidRPr="00C30AEF" w:rsidP="00C30AEF" w14:paraId="31EE9FFF" w14:textId="22F8CF6C">
      <w:pPr>
        <w:pStyle w:val="FootnoteText"/>
        <w:spacing w:after="260"/>
        <w:ind w:firstLine="720"/>
        <w:rPr>
          <w:sz w:val="26"/>
          <w:szCs w:val="26"/>
        </w:rPr>
      </w:pPr>
      <w:r w:rsidRPr="00C30AEF">
        <w:rPr>
          <w:rStyle w:val="FootnoteReference"/>
        </w:rPr>
        <w:footnoteRef/>
      </w:r>
      <w:r w:rsidRPr="00C30AEF">
        <w:rPr>
          <w:sz w:val="26"/>
          <w:szCs w:val="26"/>
        </w:rPr>
        <w:t xml:space="preserve"> The estimates for cost per response are derived using the following formula: Average Burden Hours per Response * $102 per Hour = Average Cost per Response. The hourly cost figure comes from the Commission’s average salary and benefits for FY2026.</w:t>
      </w:r>
      <w:r w:rsidRPr="00C30AEF" w:rsidR="007205B3">
        <w:rPr>
          <w:sz w:val="26"/>
          <w:szCs w:val="26"/>
        </w:rPr>
        <w:t xml:space="preserve"> FERC estimates that </w:t>
      </w:r>
      <w:r w:rsidRPr="00C30AEF" w:rsidR="004E5F40">
        <w:rPr>
          <w:sz w:val="26"/>
          <w:szCs w:val="26"/>
        </w:rPr>
        <w:t>respondents require a similar mix of skill</w:t>
      </w:r>
      <w:r w:rsidRPr="00C30AEF" w:rsidR="00327252">
        <w:rPr>
          <w:sz w:val="26"/>
          <w:szCs w:val="26"/>
        </w:rPr>
        <w:t xml:space="preserve">s as the Commission in responding to </w:t>
      </w:r>
      <w:r w:rsidRPr="00C30AEF" w:rsidR="00B44DBA">
        <w:rPr>
          <w:sz w:val="26"/>
          <w:szCs w:val="26"/>
        </w:rPr>
        <w:t>Information Collections.</w:t>
      </w:r>
    </w:p>
  </w:footnote>
  <w:footnote w:id="6">
    <w:p w:rsidR="003002CE" w:rsidRPr="00C30AEF" w:rsidP="00C30AEF" w14:paraId="63F3B803" w14:textId="77777777">
      <w:pPr>
        <w:pStyle w:val="FootnoteText"/>
        <w:spacing w:after="260"/>
        <w:ind w:firstLine="720"/>
        <w:rPr>
          <w:sz w:val="26"/>
          <w:szCs w:val="26"/>
        </w:rPr>
      </w:pPr>
      <w:r w:rsidRPr="00C30AEF">
        <w:rPr>
          <w:rStyle w:val="FootnoteReference"/>
        </w:rPr>
        <w:footnoteRef/>
      </w:r>
      <w:r w:rsidRPr="00C30AEF">
        <w:rPr>
          <w:sz w:val="26"/>
          <w:szCs w:val="26"/>
        </w:rPr>
        <w:t xml:space="preserve"> These Average Burden Hours estimates are rounded based on previously approved Total Burden Hours and respondents. The Total Annual Burden Hours reflect the already approved levels.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AA" w:rsidP="00920A1C" w14:paraId="167CFFEE"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D79AA" w:rsidP="005E318F" w14:paraId="5473127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AA" w:rsidP="005E318F" w14:paraId="5EB90FBC" w14:textId="36FB046D">
    <w:pPr>
      <w:pStyle w:val="Header"/>
      <w:ind w:right="360"/>
    </w:pPr>
    <w:r>
      <w:t xml:space="preserve">Docket No. </w:t>
    </w:r>
    <w:r w:rsidRPr="00C95774">
      <w:t>IC</w:t>
    </w:r>
    <w:r w:rsidRPr="00C95774" w:rsidR="00161EEC">
      <w:t>26</w:t>
    </w:r>
    <w:r w:rsidRPr="00C95774">
      <w:t>-</w:t>
    </w:r>
    <w:r w:rsidRPr="00C95774" w:rsidR="00161EEC">
      <w:t>27</w:t>
    </w:r>
    <w:r w:rsidRPr="00C95774">
      <w:t>-000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176B22"/>
    <w:multiLevelType w:val="hybridMultilevel"/>
    <w:tmpl w:val="6F1ABE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
    <w:nsid w:val="34026F4C"/>
    <w:multiLevelType w:val="hybridMultilevel"/>
    <w:tmpl w:val="7D803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224339E"/>
    <w:multiLevelType w:val="multilevel"/>
    <w:tmpl w:val="FCFE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4F5709"/>
    <w:multiLevelType w:val="multilevel"/>
    <w:tmpl w:val="7462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EAB0FD9"/>
    <w:multiLevelType w:val="hybridMultilevel"/>
    <w:tmpl w:val="05A037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6E295CA0"/>
    <w:multiLevelType w:val="hybridMultilevel"/>
    <w:tmpl w:val="ABA6B58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9BBF315"/>
    <w:multiLevelType w:val="hybridMultilevel"/>
    <w:tmpl w:val="DD3E2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249776931">
    <w:abstractNumId w:val="3"/>
  </w:num>
  <w:num w:numId="2" w16cid:durableId="570192992">
    <w:abstractNumId w:val="9"/>
  </w:num>
  <w:num w:numId="3" w16cid:durableId="1872111158">
    <w:abstractNumId w:val="7"/>
  </w:num>
  <w:num w:numId="4" w16cid:durableId="126822442">
    <w:abstractNumId w:val="1"/>
  </w:num>
  <w:num w:numId="5" w16cid:durableId="1283345169">
    <w:abstractNumId w:val="2"/>
  </w:num>
  <w:num w:numId="6" w16cid:durableId="843395713">
    <w:abstractNumId w:val="5"/>
  </w:num>
  <w:num w:numId="7" w16cid:durableId="1826780050">
    <w:abstractNumId w:val="4"/>
  </w:num>
  <w:num w:numId="8" w16cid:durableId="126048791">
    <w:abstractNumId w:val="8"/>
  </w:num>
  <w:num w:numId="9" w16cid:durableId="213543870">
    <w:abstractNumId w:val="0"/>
  </w:num>
  <w:num w:numId="10" w16cid:durableId="818815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890"/>
    <w:rsid w:val="0000007C"/>
    <w:rsid w:val="00002127"/>
    <w:rsid w:val="0000305D"/>
    <w:rsid w:val="00003A58"/>
    <w:rsid w:val="00004A34"/>
    <w:rsid w:val="00004D97"/>
    <w:rsid w:val="00004E01"/>
    <w:rsid w:val="00006474"/>
    <w:rsid w:val="000074AF"/>
    <w:rsid w:val="00014E36"/>
    <w:rsid w:val="0001572B"/>
    <w:rsid w:val="00024ECA"/>
    <w:rsid w:val="000264AA"/>
    <w:rsid w:val="0002757F"/>
    <w:rsid w:val="000351F9"/>
    <w:rsid w:val="00036FEC"/>
    <w:rsid w:val="000400A2"/>
    <w:rsid w:val="00040575"/>
    <w:rsid w:val="00041471"/>
    <w:rsid w:val="0004179B"/>
    <w:rsid w:val="00041EBE"/>
    <w:rsid w:val="00043468"/>
    <w:rsid w:val="000436E9"/>
    <w:rsid w:val="0004394D"/>
    <w:rsid w:val="00044413"/>
    <w:rsid w:val="0005366B"/>
    <w:rsid w:val="00055C05"/>
    <w:rsid w:val="0006335A"/>
    <w:rsid w:val="0006507A"/>
    <w:rsid w:val="000660DA"/>
    <w:rsid w:val="0006680B"/>
    <w:rsid w:val="00072256"/>
    <w:rsid w:val="00072448"/>
    <w:rsid w:val="000733AC"/>
    <w:rsid w:val="00077DC4"/>
    <w:rsid w:val="00080D5F"/>
    <w:rsid w:val="000838BE"/>
    <w:rsid w:val="000854B7"/>
    <w:rsid w:val="0008576C"/>
    <w:rsid w:val="0008587A"/>
    <w:rsid w:val="00087549"/>
    <w:rsid w:val="00087BA3"/>
    <w:rsid w:val="000919B3"/>
    <w:rsid w:val="00092802"/>
    <w:rsid w:val="00092DB4"/>
    <w:rsid w:val="00093E92"/>
    <w:rsid w:val="00094972"/>
    <w:rsid w:val="00095217"/>
    <w:rsid w:val="00096927"/>
    <w:rsid w:val="000A27CA"/>
    <w:rsid w:val="000A30FE"/>
    <w:rsid w:val="000A3456"/>
    <w:rsid w:val="000A35E0"/>
    <w:rsid w:val="000A41DA"/>
    <w:rsid w:val="000A5308"/>
    <w:rsid w:val="000A570E"/>
    <w:rsid w:val="000A580F"/>
    <w:rsid w:val="000A5CBA"/>
    <w:rsid w:val="000A7D1F"/>
    <w:rsid w:val="000B00CD"/>
    <w:rsid w:val="000B1918"/>
    <w:rsid w:val="000B1DF8"/>
    <w:rsid w:val="000B40C4"/>
    <w:rsid w:val="000B723A"/>
    <w:rsid w:val="000C22B5"/>
    <w:rsid w:val="000C3E74"/>
    <w:rsid w:val="000C47F2"/>
    <w:rsid w:val="000C56A4"/>
    <w:rsid w:val="000C751D"/>
    <w:rsid w:val="000D134D"/>
    <w:rsid w:val="000D1C16"/>
    <w:rsid w:val="000D3639"/>
    <w:rsid w:val="000D3F0F"/>
    <w:rsid w:val="000D5216"/>
    <w:rsid w:val="000E0D9C"/>
    <w:rsid w:val="000E309C"/>
    <w:rsid w:val="000E3759"/>
    <w:rsid w:val="000F3B82"/>
    <w:rsid w:val="000F3E00"/>
    <w:rsid w:val="000F74A7"/>
    <w:rsid w:val="001007DD"/>
    <w:rsid w:val="00101AAA"/>
    <w:rsid w:val="0010250E"/>
    <w:rsid w:val="00103D50"/>
    <w:rsid w:val="00106814"/>
    <w:rsid w:val="00110ECA"/>
    <w:rsid w:val="0011242C"/>
    <w:rsid w:val="001144E0"/>
    <w:rsid w:val="00114B14"/>
    <w:rsid w:val="0012078D"/>
    <w:rsid w:val="001207E9"/>
    <w:rsid w:val="00120B0E"/>
    <w:rsid w:val="001240FD"/>
    <w:rsid w:val="00125F00"/>
    <w:rsid w:val="00127ED6"/>
    <w:rsid w:val="0013038D"/>
    <w:rsid w:val="001406CA"/>
    <w:rsid w:val="00146600"/>
    <w:rsid w:val="00146B5E"/>
    <w:rsid w:val="001470C0"/>
    <w:rsid w:val="001475FE"/>
    <w:rsid w:val="00147AD7"/>
    <w:rsid w:val="00147E1C"/>
    <w:rsid w:val="00150CA6"/>
    <w:rsid w:val="00157C5A"/>
    <w:rsid w:val="001602EF"/>
    <w:rsid w:val="00161EEC"/>
    <w:rsid w:val="00163879"/>
    <w:rsid w:val="00163BBE"/>
    <w:rsid w:val="00164F36"/>
    <w:rsid w:val="00165D98"/>
    <w:rsid w:val="00165F8B"/>
    <w:rsid w:val="001719FA"/>
    <w:rsid w:val="0017263D"/>
    <w:rsid w:val="00172D8D"/>
    <w:rsid w:val="00173840"/>
    <w:rsid w:val="00173BF2"/>
    <w:rsid w:val="00174E40"/>
    <w:rsid w:val="001756AF"/>
    <w:rsid w:val="00176D66"/>
    <w:rsid w:val="00181F00"/>
    <w:rsid w:val="001826A0"/>
    <w:rsid w:val="00186D8A"/>
    <w:rsid w:val="00191C8A"/>
    <w:rsid w:val="0019407A"/>
    <w:rsid w:val="001946EC"/>
    <w:rsid w:val="00195021"/>
    <w:rsid w:val="0019691F"/>
    <w:rsid w:val="001A29CA"/>
    <w:rsid w:val="001A421C"/>
    <w:rsid w:val="001A4577"/>
    <w:rsid w:val="001A5E0A"/>
    <w:rsid w:val="001A6B7C"/>
    <w:rsid w:val="001A7291"/>
    <w:rsid w:val="001B40FA"/>
    <w:rsid w:val="001B49BD"/>
    <w:rsid w:val="001B6B4A"/>
    <w:rsid w:val="001C2FFF"/>
    <w:rsid w:val="001C3324"/>
    <w:rsid w:val="001C3703"/>
    <w:rsid w:val="001C4D3A"/>
    <w:rsid w:val="001C5D46"/>
    <w:rsid w:val="001D3BB8"/>
    <w:rsid w:val="001E69DB"/>
    <w:rsid w:val="001F0B06"/>
    <w:rsid w:val="001F0C38"/>
    <w:rsid w:val="001F2664"/>
    <w:rsid w:val="001F47CB"/>
    <w:rsid w:val="001F7B2B"/>
    <w:rsid w:val="00204D0F"/>
    <w:rsid w:val="00204F8B"/>
    <w:rsid w:val="0020576D"/>
    <w:rsid w:val="002104A9"/>
    <w:rsid w:val="00210A7C"/>
    <w:rsid w:val="00214B7D"/>
    <w:rsid w:val="00215A17"/>
    <w:rsid w:val="00216AAB"/>
    <w:rsid w:val="002265E9"/>
    <w:rsid w:val="00227421"/>
    <w:rsid w:val="00230916"/>
    <w:rsid w:val="002350AA"/>
    <w:rsid w:val="00241BFD"/>
    <w:rsid w:val="002426BA"/>
    <w:rsid w:val="002474B2"/>
    <w:rsid w:val="00251C88"/>
    <w:rsid w:val="002526C5"/>
    <w:rsid w:val="00252CD0"/>
    <w:rsid w:val="002530ED"/>
    <w:rsid w:val="00253685"/>
    <w:rsid w:val="002557DD"/>
    <w:rsid w:val="00257A03"/>
    <w:rsid w:val="00261BF7"/>
    <w:rsid w:val="002656C4"/>
    <w:rsid w:val="002677D6"/>
    <w:rsid w:val="00271376"/>
    <w:rsid w:val="0027273D"/>
    <w:rsid w:val="00281310"/>
    <w:rsid w:val="00283BDE"/>
    <w:rsid w:val="0028521D"/>
    <w:rsid w:val="00285E62"/>
    <w:rsid w:val="0028677A"/>
    <w:rsid w:val="002867BC"/>
    <w:rsid w:val="00290C91"/>
    <w:rsid w:val="0029476E"/>
    <w:rsid w:val="00296592"/>
    <w:rsid w:val="002A4635"/>
    <w:rsid w:val="002A54E2"/>
    <w:rsid w:val="002A6174"/>
    <w:rsid w:val="002B2257"/>
    <w:rsid w:val="002B263B"/>
    <w:rsid w:val="002B43A6"/>
    <w:rsid w:val="002B553C"/>
    <w:rsid w:val="002B62A0"/>
    <w:rsid w:val="002B7F59"/>
    <w:rsid w:val="002C0ECB"/>
    <w:rsid w:val="002C23E9"/>
    <w:rsid w:val="002C45BE"/>
    <w:rsid w:val="002C6DEE"/>
    <w:rsid w:val="002D0EEF"/>
    <w:rsid w:val="002D2511"/>
    <w:rsid w:val="002D5B1A"/>
    <w:rsid w:val="002F04D5"/>
    <w:rsid w:val="002F25D6"/>
    <w:rsid w:val="002F2932"/>
    <w:rsid w:val="002F428B"/>
    <w:rsid w:val="002F77B8"/>
    <w:rsid w:val="003002CE"/>
    <w:rsid w:val="00306BD6"/>
    <w:rsid w:val="003133C2"/>
    <w:rsid w:val="00315E27"/>
    <w:rsid w:val="00317A96"/>
    <w:rsid w:val="00321EB8"/>
    <w:rsid w:val="003220EC"/>
    <w:rsid w:val="003226C4"/>
    <w:rsid w:val="00323139"/>
    <w:rsid w:val="00323EF7"/>
    <w:rsid w:val="0032424E"/>
    <w:rsid w:val="003266BF"/>
    <w:rsid w:val="00327252"/>
    <w:rsid w:val="003304A3"/>
    <w:rsid w:val="003308F4"/>
    <w:rsid w:val="00331610"/>
    <w:rsid w:val="003337A0"/>
    <w:rsid w:val="00335092"/>
    <w:rsid w:val="00336920"/>
    <w:rsid w:val="00341866"/>
    <w:rsid w:val="00343D75"/>
    <w:rsid w:val="00343DF4"/>
    <w:rsid w:val="00345400"/>
    <w:rsid w:val="00355ABF"/>
    <w:rsid w:val="00355DD2"/>
    <w:rsid w:val="00356E26"/>
    <w:rsid w:val="00356F76"/>
    <w:rsid w:val="00361407"/>
    <w:rsid w:val="00366669"/>
    <w:rsid w:val="00367A29"/>
    <w:rsid w:val="00370763"/>
    <w:rsid w:val="003707A1"/>
    <w:rsid w:val="00371A8F"/>
    <w:rsid w:val="00374409"/>
    <w:rsid w:val="00374654"/>
    <w:rsid w:val="00376671"/>
    <w:rsid w:val="00381700"/>
    <w:rsid w:val="00382D24"/>
    <w:rsid w:val="0038555D"/>
    <w:rsid w:val="00386BED"/>
    <w:rsid w:val="00390680"/>
    <w:rsid w:val="00392FDA"/>
    <w:rsid w:val="00393522"/>
    <w:rsid w:val="003939C2"/>
    <w:rsid w:val="0039434C"/>
    <w:rsid w:val="00397703"/>
    <w:rsid w:val="00397C24"/>
    <w:rsid w:val="003A1D7A"/>
    <w:rsid w:val="003A264D"/>
    <w:rsid w:val="003A3BB6"/>
    <w:rsid w:val="003A4436"/>
    <w:rsid w:val="003A7E0F"/>
    <w:rsid w:val="003A7E1A"/>
    <w:rsid w:val="003B0245"/>
    <w:rsid w:val="003B0FDB"/>
    <w:rsid w:val="003B15A2"/>
    <w:rsid w:val="003B4743"/>
    <w:rsid w:val="003B4D70"/>
    <w:rsid w:val="003B67C1"/>
    <w:rsid w:val="003C1644"/>
    <w:rsid w:val="003C1F91"/>
    <w:rsid w:val="003C26BA"/>
    <w:rsid w:val="003C49CC"/>
    <w:rsid w:val="003C5D16"/>
    <w:rsid w:val="003C6564"/>
    <w:rsid w:val="003C6FE3"/>
    <w:rsid w:val="003D1965"/>
    <w:rsid w:val="003D1BB8"/>
    <w:rsid w:val="003D3AEF"/>
    <w:rsid w:val="003D6813"/>
    <w:rsid w:val="003E1362"/>
    <w:rsid w:val="003E243F"/>
    <w:rsid w:val="003E4D01"/>
    <w:rsid w:val="003E6861"/>
    <w:rsid w:val="003E7F9A"/>
    <w:rsid w:val="003F104D"/>
    <w:rsid w:val="003F1394"/>
    <w:rsid w:val="003F32A9"/>
    <w:rsid w:val="003F5A2A"/>
    <w:rsid w:val="003F6E5F"/>
    <w:rsid w:val="00400A80"/>
    <w:rsid w:val="00406DF4"/>
    <w:rsid w:val="00411FB3"/>
    <w:rsid w:val="004136E8"/>
    <w:rsid w:val="004137D3"/>
    <w:rsid w:val="00414715"/>
    <w:rsid w:val="004164F3"/>
    <w:rsid w:val="004200B3"/>
    <w:rsid w:val="00420A93"/>
    <w:rsid w:val="004230B0"/>
    <w:rsid w:val="004235E1"/>
    <w:rsid w:val="00423C49"/>
    <w:rsid w:val="0042785C"/>
    <w:rsid w:val="00427ABF"/>
    <w:rsid w:val="00430164"/>
    <w:rsid w:val="00432525"/>
    <w:rsid w:val="004329AE"/>
    <w:rsid w:val="00432B57"/>
    <w:rsid w:val="00432C41"/>
    <w:rsid w:val="00432F33"/>
    <w:rsid w:val="0043489E"/>
    <w:rsid w:val="00435D83"/>
    <w:rsid w:val="004406F9"/>
    <w:rsid w:val="00443D62"/>
    <w:rsid w:val="004440CA"/>
    <w:rsid w:val="00445DDF"/>
    <w:rsid w:val="004530E0"/>
    <w:rsid w:val="00453F74"/>
    <w:rsid w:val="00455A33"/>
    <w:rsid w:val="00455C20"/>
    <w:rsid w:val="00455C4D"/>
    <w:rsid w:val="0045719D"/>
    <w:rsid w:val="00462DBE"/>
    <w:rsid w:val="00470106"/>
    <w:rsid w:val="0047321C"/>
    <w:rsid w:val="00476344"/>
    <w:rsid w:val="00476F08"/>
    <w:rsid w:val="00482326"/>
    <w:rsid w:val="004855F2"/>
    <w:rsid w:val="00487256"/>
    <w:rsid w:val="00487CE9"/>
    <w:rsid w:val="00490E50"/>
    <w:rsid w:val="00491EDB"/>
    <w:rsid w:val="004947BE"/>
    <w:rsid w:val="00495397"/>
    <w:rsid w:val="00496D9C"/>
    <w:rsid w:val="004A0620"/>
    <w:rsid w:val="004A4873"/>
    <w:rsid w:val="004A503B"/>
    <w:rsid w:val="004A51DF"/>
    <w:rsid w:val="004A6E59"/>
    <w:rsid w:val="004B0F34"/>
    <w:rsid w:val="004B665B"/>
    <w:rsid w:val="004B7A61"/>
    <w:rsid w:val="004C0A29"/>
    <w:rsid w:val="004C36C3"/>
    <w:rsid w:val="004C3BB0"/>
    <w:rsid w:val="004C3C65"/>
    <w:rsid w:val="004C4F28"/>
    <w:rsid w:val="004D123B"/>
    <w:rsid w:val="004D1EE5"/>
    <w:rsid w:val="004D3C6F"/>
    <w:rsid w:val="004D4613"/>
    <w:rsid w:val="004D4CD3"/>
    <w:rsid w:val="004D53C3"/>
    <w:rsid w:val="004D57E6"/>
    <w:rsid w:val="004D778A"/>
    <w:rsid w:val="004D79AA"/>
    <w:rsid w:val="004E5F40"/>
    <w:rsid w:val="004F0973"/>
    <w:rsid w:val="004F16D7"/>
    <w:rsid w:val="004F2402"/>
    <w:rsid w:val="004F3E67"/>
    <w:rsid w:val="004F692F"/>
    <w:rsid w:val="004F7F93"/>
    <w:rsid w:val="00501292"/>
    <w:rsid w:val="00501DE7"/>
    <w:rsid w:val="0050437A"/>
    <w:rsid w:val="005043ED"/>
    <w:rsid w:val="0050727B"/>
    <w:rsid w:val="00511C20"/>
    <w:rsid w:val="00514EA4"/>
    <w:rsid w:val="00515941"/>
    <w:rsid w:val="00515CA5"/>
    <w:rsid w:val="00516EDE"/>
    <w:rsid w:val="00516F04"/>
    <w:rsid w:val="00517B18"/>
    <w:rsid w:val="00521ABE"/>
    <w:rsid w:val="005232AA"/>
    <w:rsid w:val="00524B22"/>
    <w:rsid w:val="00525D30"/>
    <w:rsid w:val="00530BB4"/>
    <w:rsid w:val="005320C7"/>
    <w:rsid w:val="00533394"/>
    <w:rsid w:val="00533BDB"/>
    <w:rsid w:val="005346F4"/>
    <w:rsid w:val="00534B97"/>
    <w:rsid w:val="00537276"/>
    <w:rsid w:val="00540867"/>
    <w:rsid w:val="005446B2"/>
    <w:rsid w:val="0054477B"/>
    <w:rsid w:val="00544908"/>
    <w:rsid w:val="005474A6"/>
    <w:rsid w:val="005478E0"/>
    <w:rsid w:val="00550481"/>
    <w:rsid w:val="00550A5A"/>
    <w:rsid w:val="0055116F"/>
    <w:rsid w:val="00551B13"/>
    <w:rsid w:val="005521E7"/>
    <w:rsid w:val="00555021"/>
    <w:rsid w:val="00556AC8"/>
    <w:rsid w:val="00557DF0"/>
    <w:rsid w:val="00562EAC"/>
    <w:rsid w:val="005665D1"/>
    <w:rsid w:val="005701E9"/>
    <w:rsid w:val="0057166A"/>
    <w:rsid w:val="005741E7"/>
    <w:rsid w:val="00581552"/>
    <w:rsid w:val="00582E98"/>
    <w:rsid w:val="00583710"/>
    <w:rsid w:val="00584568"/>
    <w:rsid w:val="00586006"/>
    <w:rsid w:val="0058734A"/>
    <w:rsid w:val="0058744A"/>
    <w:rsid w:val="00590C24"/>
    <w:rsid w:val="005916D2"/>
    <w:rsid w:val="0059289E"/>
    <w:rsid w:val="00592AD7"/>
    <w:rsid w:val="005933D5"/>
    <w:rsid w:val="00594550"/>
    <w:rsid w:val="005953A4"/>
    <w:rsid w:val="00596DB9"/>
    <w:rsid w:val="005970C1"/>
    <w:rsid w:val="005979CF"/>
    <w:rsid w:val="005A02C5"/>
    <w:rsid w:val="005A0B5A"/>
    <w:rsid w:val="005A5315"/>
    <w:rsid w:val="005A6D8E"/>
    <w:rsid w:val="005B0E46"/>
    <w:rsid w:val="005B14AE"/>
    <w:rsid w:val="005B3CEA"/>
    <w:rsid w:val="005B6394"/>
    <w:rsid w:val="005C626F"/>
    <w:rsid w:val="005D0272"/>
    <w:rsid w:val="005D236F"/>
    <w:rsid w:val="005D3F76"/>
    <w:rsid w:val="005D57BE"/>
    <w:rsid w:val="005D5C2B"/>
    <w:rsid w:val="005E1C47"/>
    <w:rsid w:val="005E29F2"/>
    <w:rsid w:val="005E318F"/>
    <w:rsid w:val="005E4C40"/>
    <w:rsid w:val="005E6B6B"/>
    <w:rsid w:val="005E7A2C"/>
    <w:rsid w:val="005F69AA"/>
    <w:rsid w:val="006017BF"/>
    <w:rsid w:val="006053B6"/>
    <w:rsid w:val="006053EE"/>
    <w:rsid w:val="006070B9"/>
    <w:rsid w:val="00607DE6"/>
    <w:rsid w:val="006104BC"/>
    <w:rsid w:val="006171B8"/>
    <w:rsid w:val="00617E46"/>
    <w:rsid w:val="0062025E"/>
    <w:rsid w:val="00620F0A"/>
    <w:rsid w:val="00621243"/>
    <w:rsid w:val="00624D82"/>
    <w:rsid w:val="00625882"/>
    <w:rsid w:val="006276C9"/>
    <w:rsid w:val="006305A6"/>
    <w:rsid w:val="00634E18"/>
    <w:rsid w:val="00636FE0"/>
    <w:rsid w:val="006400D4"/>
    <w:rsid w:val="0064172D"/>
    <w:rsid w:val="00641773"/>
    <w:rsid w:val="00641929"/>
    <w:rsid w:val="00642FA0"/>
    <w:rsid w:val="00647B24"/>
    <w:rsid w:val="00656B29"/>
    <w:rsid w:val="00656DF0"/>
    <w:rsid w:val="00657523"/>
    <w:rsid w:val="0065768D"/>
    <w:rsid w:val="00660642"/>
    <w:rsid w:val="00662CE7"/>
    <w:rsid w:val="00663BE1"/>
    <w:rsid w:val="00663C27"/>
    <w:rsid w:val="006716F1"/>
    <w:rsid w:val="00672BEA"/>
    <w:rsid w:val="00675357"/>
    <w:rsid w:val="00676FA5"/>
    <w:rsid w:val="00680F7C"/>
    <w:rsid w:val="00683B9B"/>
    <w:rsid w:val="0068438E"/>
    <w:rsid w:val="0068483B"/>
    <w:rsid w:val="00686C42"/>
    <w:rsid w:val="00687E52"/>
    <w:rsid w:val="006902C3"/>
    <w:rsid w:val="00691392"/>
    <w:rsid w:val="0069142C"/>
    <w:rsid w:val="00694675"/>
    <w:rsid w:val="00695504"/>
    <w:rsid w:val="0069618A"/>
    <w:rsid w:val="00696A1D"/>
    <w:rsid w:val="00696BBF"/>
    <w:rsid w:val="006A02ED"/>
    <w:rsid w:val="006A2074"/>
    <w:rsid w:val="006A4D89"/>
    <w:rsid w:val="006A597B"/>
    <w:rsid w:val="006A64E7"/>
    <w:rsid w:val="006B1BED"/>
    <w:rsid w:val="006B4821"/>
    <w:rsid w:val="006B5185"/>
    <w:rsid w:val="006B5C6C"/>
    <w:rsid w:val="006B764A"/>
    <w:rsid w:val="006C37CE"/>
    <w:rsid w:val="006C398F"/>
    <w:rsid w:val="006C57B1"/>
    <w:rsid w:val="006C6502"/>
    <w:rsid w:val="006C68B5"/>
    <w:rsid w:val="006C69E2"/>
    <w:rsid w:val="006D1D93"/>
    <w:rsid w:val="006D549E"/>
    <w:rsid w:val="006D59CB"/>
    <w:rsid w:val="006D6923"/>
    <w:rsid w:val="006E14A6"/>
    <w:rsid w:val="006E5831"/>
    <w:rsid w:val="006E5EBC"/>
    <w:rsid w:val="006E5EED"/>
    <w:rsid w:val="006E6000"/>
    <w:rsid w:val="006E7FB0"/>
    <w:rsid w:val="006F4A80"/>
    <w:rsid w:val="006F77BE"/>
    <w:rsid w:val="0070048D"/>
    <w:rsid w:val="007031F9"/>
    <w:rsid w:val="00703DFC"/>
    <w:rsid w:val="0070558B"/>
    <w:rsid w:val="00705A80"/>
    <w:rsid w:val="00707923"/>
    <w:rsid w:val="00710A9B"/>
    <w:rsid w:val="00711054"/>
    <w:rsid w:val="0071251E"/>
    <w:rsid w:val="00715910"/>
    <w:rsid w:val="0071653B"/>
    <w:rsid w:val="007205B3"/>
    <w:rsid w:val="00720B54"/>
    <w:rsid w:val="00720E07"/>
    <w:rsid w:val="007228AF"/>
    <w:rsid w:val="00722A4B"/>
    <w:rsid w:val="007233BE"/>
    <w:rsid w:val="007234DB"/>
    <w:rsid w:val="00725908"/>
    <w:rsid w:val="0072643A"/>
    <w:rsid w:val="00733BF8"/>
    <w:rsid w:val="00734CEC"/>
    <w:rsid w:val="007376BD"/>
    <w:rsid w:val="007439C4"/>
    <w:rsid w:val="007459EA"/>
    <w:rsid w:val="00745A33"/>
    <w:rsid w:val="00750A13"/>
    <w:rsid w:val="007534BA"/>
    <w:rsid w:val="007578DF"/>
    <w:rsid w:val="007579B6"/>
    <w:rsid w:val="007639F0"/>
    <w:rsid w:val="00764A91"/>
    <w:rsid w:val="00766823"/>
    <w:rsid w:val="007668AC"/>
    <w:rsid w:val="007720B5"/>
    <w:rsid w:val="007726D7"/>
    <w:rsid w:val="00773856"/>
    <w:rsid w:val="00777114"/>
    <w:rsid w:val="0078015B"/>
    <w:rsid w:val="0078048E"/>
    <w:rsid w:val="00780F2F"/>
    <w:rsid w:val="00781A38"/>
    <w:rsid w:val="00782402"/>
    <w:rsid w:val="0078241C"/>
    <w:rsid w:val="00785CF9"/>
    <w:rsid w:val="0079199E"/>
    <w:rsid w:val="007919A3"/>
    <w:rsid w:val="007957B9"/>
    <w:rsid w:val="00797867"/>
    <w:rsid w:val="007A2893"/>
    <w:rsid w:val="007A46B4"/>
    <w:rsid w:val="007A5C4A"/>
    <w:rsid w:val="007B076D"/>
    <w:rsid w:val="007B0924"/>
    <w:rsid w:val="007B3093"/>
    <w:rsid w:val="007B4E90"/>
    <w:rsid w:val="007C3DAC"/>
    <w:rsid w:val="007C5A19"/>
    <w:rsid w:val="007C736A"/>
    <w:rsid w:val="007D0436"/>
    <w:rsid w:val="007D0531"/>
    <w:rsid w:val="007D1065"/>
    <w:rsid w:val="007D2400"/>
    <w:rsid w:val="007D3E14"/>
    <w:rsid w:val="007D4A4A"/>
    <w:rsid w:val="007D50BA"/>
    <w:rsid w:val="007D5699"/>
    <w:rsid w:val="007D7685"/>
    <w:rsid w:val="007E2668"/>
    <w:rsid w:val="007E52AC"/>
    <w:rsid w:val="007E542D"/>
    <w:rsid w:val="007E6973"/>
    <w:rsid w:val="007E699A"/>
    <w:rsid w:val="007E7573"/>
    <w:rsid w:val="007F0B26"/>
    <w:rsid w:val="007F4F94"/>
    <w:rsid w:val="007F78AB"/>
    <w:rsid w:val="007F7990"/>
    <w:rsid w:val="007F7CDF"/>
    <w:rsid w:val="007F7E3C"/>
    <w:rsid w:val="0080408F"/>
    <w:rsid w:val="008068E8"/>
    <w:rsid w:val="008078D5"/>
    <w:rsid w:val="008118D9"/>
    <w:rsid w:val="0081326C"/>
    <w:rsid w:val="008166A9"/>
    <w:rsid w:val="00816873"/>
    <w:rsid w:val="0082615E"/>
    <w:rsid w:val="0082793A"/>
    <w:rsid w:val="00827DA2"/>
    <w:rsid w:val="00827DE7"/>
    <w:rsid w:val="0083270A"/>
    <w:rsid w:val="0083446E"/>
    <w:rsid w:val="00834B9E"/>
    <w:rsid w:val="0083507A"/>
    <w:rsid w:val="008410EA"/>
    <w:rsid w:val="00841B5B"/>
    <w:rsid w:val="00841CCE"/>
    <w:rsid w:val="00843443"/>
    <w:rsid w:val="008437CC"/>
    <w:rsid w:val="00846526"/>
    <w:rsid w:val="00852671"/>
    <w:rsid w:val="00855434"/>
    <w:rsid w:val="0086417D"/>
    <w:rsid w:val="00865949"/>
    <w:rsid w:val="00865E72"/>
    <w:rsid w:val="008719DC"/>
    <w:rsid w:val="008720D7"/>
    <w:rsid w:val="0087254C"/>
    <w:rsid w:val="008804D3"/>
    <w:rsid w:val="00880E64"/>
    <w:rsid w:val="00880EEA"/>
    <w:rsid w:val="008814F7"/>
    <w:rsid w:val="00884585"/>
    <w:rsid w:val="00891D32"/>
    <w:rsid w:val="00891E91"/>
    <w:rsid w:val="00893FB3"/>
    <w:rsid w:val="008956A4"/>
    <w:rsid w:val="0089701E"/>
    <w:rsid w:val="008A5A0E"/>
    <w:rsid w:val="008B3D6C"/>
    <w:rsid w:val="008B5814"/>
    <w:rsid w:val="008C256D"/>
    <w:rsid w:val="008D006C"/>
    <w:rsid w:val="008D164D"/>
    <w:rsid w:val="008D3568"/>
    <w:rsid w:val="008D5C77"/>
    <w:rsid w:val="008D67C0"/>
    <w:rsid w:val="008D7DF2"/>
    <w:rsid w:val="008E407C"/>
    <w:rsid w:val="008E4197"/>
    <w:rsid w:val="008E4CB7"/>
    <w:rsid w:val="008F28A7"/>
    <w:rsid w:val="008F5EE8"/>
    <w:rsid w:val="008F66AB"/>
    <w:rsid w:val="00905ED4"/>
    <w:rsid w:val="00906BFB"/>
    <w:rsid w:val="00911F9D"/>
    <w:rsid w:val="009124A0"/>
    <w:rsid w:val="00913069"/>
    <w:rsid w:val="009131BC"/>
    <w:rsid w:val="009163DC"/>
    <w:rsid w:val="0091686D"/>
    <w:rsid w:val="00916A80"/>
    <w:rsid w:val="00920A1C"/>
    <w:rsid w:val="00920CDB"/>
    <w:rsid w:val="00922A4C"/>
    <w:rsid w:val="00924145"/>
    <w:rsid w:val="00924B80"/>
    <w:rsid w:val="00932E19"/>
    <w:rsid w:val="00933116"/>
    <w:rsid w:val="00933EDA"/>
    <w:rsid w:val="00934915"/>
    <w:rsid w:val="00937BCD"/>
    <w:rsid w:val="00940515"/>
    <w:rsid w:val="009409C8"/>
    <w:rsid w:val="00941636"/>
    <w:rsid w:val="009447D3"/>
    <w:rsid w:val="00946A95"/>
    <w:rsid w:val="0095233D"/>
    <w:rsid w:val="00953501"/>
    <w:rsid w:val="009537F4"/>
    <w:rsid w:val="00953B63"/>
    <w:rsid w:val="0095540A"/>
    <w:rsid w:val="00956FF9"/>
    <w:rsid w:val="009578ED"/>
    <w:rsid w:val="00961DAE"/>
    <w:rsid w:val="0096269E"/>
    <w:rsid w:val="00963B49"/>
    <w:rsid w:val="00964B78"/>
    <w:rsid w:val="00965023"/>
    <w:rsid w:val="0096537E"/>
    <w:rsid w:val="00966148"/>
    <w:rsid w:val="00966734"/>
    <w:rsid w:val="009679E3"/>
    <w:rsid w:val="00967C0D"/>
    <w:rsid w:val="00970103"/>
    <w:rsid w:val="009713C5"/>
    <w:rsid w:val="0097434D"/>
    <w:rsid w:val="00977E05"/>
    <w:rsid w:val="00983580"/>
    <w:rsid w:val="00984BCB"/>
    <w:rsid w:val="00985292"/>
    <w:rsid w:val="009875FC"/>
    <w:rsid w:val="009876E6"/>
    <w:rsid w:val="00990475"/>
    <w:rsid w:val="00991CB6"/>
    <w:rsid w:val="00991D87"/>
    <w:rsid w:val="00993DA1"/>
    <w:rsid w:val="009947B6"/>
    <w:rsid w:val="00994B38"/>
    <w:rsid w:val="009969E8"/>
    <w:rsid w:val="00997047"/>
    <w:rsid w:val="00997AE4"/>
    <w:rsid w:val="009A2A9C"/>
    <w:rsid w:val="009A2DDA"/>
    <w:rsid w:val="009A61E8"/>
    <w:rsid w:val="009B027F"/>
    <w:rsid w:val="009B1691"/>
    <w:rsid w:val="009B41CE"/>
    <w:rsid w:val="009B6104"/>
    <w:rsid w:val="009B6D0A"/>
    <w:rsid w:val="009B7DFA"/>
    <w:rsid w:val="009C0AC8"/>
    <w:rsid w:val="009C2E1C"/>
    <w:rsid w:val="009C48AC"/>
    <w:rsid w:val="009D505F"/>
    <w:rsid w:val="009D7A0B"/>
    <w:rsid w:val="009E1BD0"/>
    <w:rsid w:val="009E1DA1"/>
    <w:rsid w:val="009E38BE"/>
    <w:rsid w:val="009E661C"/>
    <w:rsid w:val="009E6753"/>
    <w:rsid w:val="009E7D04"/>
    <w:rsid w:val="009F372D"/>
    <w:rsid w:val="009F4AB4"/>
    <w:rsid w:val="009F71DC"/>
    <w:rsid w:val="00A0381B"/>
    <w:rsid w:val="00A039FA"/>
    <w:rsid w:val="00A03E66"/>
    <w:rsid w:val="00A073BB"/>
    <w:rsid w:val="00A0763E"/>
    <w:rsid w:val="00A13D9F"/>
    <w:rsid w:val="00A14036"/>
    <w:rsid w:val="00A15BF1"/>
    <w:rsid w:val="00A15E04"/>
    <w:rsid w:val="00A17794"/>
    <w:rsid w:val="00A226EE"/>
    <w:rsid w:val="00A229C1"/>
    <w:rsid w:val="00A22BF1"/>
    <w:rsid w:val="00A25C09"/>
    <w:rsid w:val="00A30AE7"/>
    <w:rsid w:val="00A34319"/>
    <w:rsid w:val="00A34518"/>
    <w:rsid w:val="00A345F1"/>
    <w:rsid w:val="00A35158"/>
    <w:rsid w:val="00A35641"/>
    <w:rsid w:val="00A3726A"/>
    <w:rsid w:val="00A40B65"/>
    <w:rsid w:val="00A4233F"/>
    <w:rsid w:val="00A4355D"/>
    <w:rsid w:val="00A51FCA"/>
    <w:rsid w:val="00A536DA"/>
    <w:rsid w:val="00A54914"/>
    <w:rsid w:val="00A56980"/>
    <w:rsid w:val="00A60681"/>
    <w:rsid w:val="00A704E3"/>
    <w:rsid w:val="00A718C8"/>
    <w:rsid w:val="00A72F11"/>
    <w:rsid w:val="00A754D8"/>
    <w:rsid w:val="00A80C5F"/>
    <w:rsid w:val="00A84C38"/>
    <w:rsid w:val="00A85DE0"/>
    <w:rsid w:val="00A96311"/>
    <w:rsid w:val="00A9631E"/>
    <w:rsid w:val="00A96B72"/>
    <w:rsid w:val="00A96D07"/>
    <w:rsid w:val="00AA0B73"/>
    <w:rsid w:val="00AA1EC2"/>
    <w:rsid w:val="00AA25D6"/>
    <w:rsid w:val="00AA560D"/>
    <w:rsid w:val="00AA7819"/>
    <w:rsid w:val="00AB0282"/>
    <w:rsid w:val="00AB0A99"/>
    <w:rsid w:val="00AB20D8"/>
    <w:rsid w:val="00AB436E"/>
    <w:rsid w:val="00AB79F5"/>
    <w:rsid w:val="00AC1EE8"/>
    <w:rsid w:val="00AC32B8"/>
    <w:rsid w:val="00AC4659"/>
    <w:rsid w:val="00AC4CC5"/>
    <w:rsid w:val="00AC6E82"/>
    <w:rsid w:val="00AC7480"/>
    <w:rsid w:val="00AD4548"/>
    <w:rsid w:val="00AD7649"/>
    <w:rsid w:val="00AE0995"/>
    <w:rsid w:val="00AE32B6"/>
    <w:rsid w:val="00AE4572"/>
    <w:rsid w:val="00AE61E0"/>
    <w:rsid w:val="00AF340D"/>
    <w:rsid w:val="00AF35D8"/>
    <w:rsid w:val="00AF4EF9"/>
    <w:rsid w:val="00AF4F93"/>
    <w:rsid w:val="00AF7929"/>
    <w:rsid w:val="00B018B9"/>
    <w:rsid w:val="00B01D46"/>
    <w:rsid w:val="00B0724D"/>
    <w:rsid w:val="00B1004D"/>
    <w:rsid w:val="00B1101F"/>
    <w:rsid w:val="00B1115A"/>
    <w:rsid w:val="00B12DA7"/>
    <w:rsid w:val="00B1410C"/>
    <w:rsid w:val="00B2161E"/>
    <w:rsid w:val="00B2439B"/>
    <w:rsid w:val="00B30A01"/>
    <w:rsid w:val="00B3254F"/>
    <w:rsid w:val="00B33628"/>
    <w:rsid w:val="00B337D1"/>
    <w:rsid w:val="00B33AD2"/>
    <w:rsid w:val="00B362D8"/>
    <w:rsid w:val="00B41EBB"/>
    <w:rsid w:val="00B43366"/>
    <w:rsid w:val="00B4431A"/>
    <w:rsid w:val="00B44DBA"/>
    <w:rsid w:val="00B44E42"/>
    <w:rsid w:val="00B460AF"/>
    <w:rsid w:val="00B52047"/>
    <w:rsid w:val="00B5276F"/>
    <w:rsid w:val="00B54507"/>
    <w:rsid w:val="00B54A81"/>
    <w:rsid w:val="00B60ECF"/>
    <w:rsid w:val="00B62B35"/>
    <w:rsid w:val="00B64F5F"/>
    <w:rsid w:val="00B710EA"/>
    <w:rsid w:val="00B71767"/>
    <w:rsid w:val="00B75595"/>
    <w:rsid w:val="00B7767B"/>
    <w:rsid w:val="00B806DB"/>
    <w:rsid w:val="00B81BC5"/>
    <w:rsid w:val="00B8260E"/>
    <w:rsid w:val="00B835C5"/>
    <w:rsid w:val="00B912FB"/>
    <w:rsid w:val="00B94996"/>
    <w:rsid w:val="00B97BC8"/>
    <w:rsid w:val="00BA155B"/>
    <w:rsid w:val="00BA1919"/>
    <w:rsid w:val="00BA40D9"/>
    <w:rsid w:val="00BA41F2"/>
    <w:rsid w:val="00BA53EE"/>
    <w:rsid w:val="00BA7702"/>
    <w:rsid w:val="00BB1C54"/>
    <w:rsid w:val="00BC1B93"/>
    <w:rsid w:val="00BC3587"/>
    <w:rsid w:val="00BC3B01"/>
    <w:rsid w:val="00BC4244"/>
    <w:rsid w:val="00BC62CD"/>
    <w:rsid w:val="00BC6F83"/>
    <w:rsid w:val="00BD07F9"/>
    <w:rsid w:val="00BD0A6B"/>
    <w:rsid w:val="00BD15D4"/>
    <w:rsid w:val="00BD492B"/>
    <w:rsid w:val="00BD4F0E"/>
    <w:rsid w:val="00BD7FBA"/>
    <w:rsid w:val="00BE53B7"/>
    <w:rsid w:val="00BF0461"/>
    <w:rsid w:val="00BF144D"/>
    <w:rsid w:val="00BF1665"/>
    <w:rsid w:val="00BF1F4A"/>
    <w:rsid w:val="00BF706B"/>
    <w:rsid w:val="00C01B8E"/>
    <w:rsid w:val="00C01E12"/>
    <w:rsid w:val="00C0487E"/>
    <w:rsid w:val="00C056FE"/>
    <w:rsid w:val="00C05E2D"/>
    <w:rsid w:val="00C1080B"/>
    <w:rsid w:val="00C115BC"/>
    <w:rsid w:val="00C13D4D"/>
    <w:rsid w:val="00C140FB"/>
    <w:rsid w:val="00C14CA1"/>
    <w:rsid w:val="00C16838"/>
    <w:rsid w:val="00C177D6"/>
    <w:rsid w:val="00C20619"/>
    <w:rsid w:val="00C209EA"/>
    <w:rsid w:val="00C20BA6"/>
    <w:rsid w:val="00C211B3"/>
    <w:rsid w:val="00C2281B"/>
    <w:rsid w:val="00C2389F"/>
    <w:rsid w:val="00C266A5"/>
    <w:rsid w:val="00C30AEF"/>
    <w:rsid w:val="00C319F5"/>
    <w:rsid w:val="00C3310F"/>
    <w:rsid w:val="00C33BBC"/>
    <w:rsid w:val="00C35356"/>
    <w:rsid w:val="00C35C0B"/>
    <w:rsid w:val="00C41350"/>
    <w:rsid w:val="00C42445"/>
    <w:rsid w:val="00C42B46"/>
    <w:rsid w:val="00C446C7"/>
    <w:rsid w:val="00C45C25"/>
    <w:rsid w:val="00C46B40"/>
    <w:rsid w:val="00C46EF4"/>
    <w:rsid w:val="00C47578"/>
    <w:rsid w:val="00C4788A"/>
    <w:rsid w:val="00C520CD"/>
    <w:rsid w:val="00C53513"/>
    <w:rsid w:val="00C56183"/>
    <w:rsid w:val="00C56512"/>
    <w:rsid w:val="00C63FEE"/>
    <w:rsid w:val="00C70D6C"/>
    <w:rsid w:val="00C71F08"/>
    <w:rsid w:val="00C730C7"/>
    <w:rsid w:val="00C804F2"/>
    <w:rsid w:val="00C83B64"/>
    <w:rsid w:val="00C84F15"/>
    <w:rsid w:val="00C856C1"/>
    <w:rsid w:val="00C86A31"/>
    <w:rsid w:val="00C916AB"/>
    <w:rsid w:val="00C936A0"/>
    <w:rsid w:val="00C950B8"/>
    <w:rsid w:val="00C95774"/>
    <w:rsid w:val="00C9728E"/>
    <w:rsid w:val="00C97402"/>
    <w:rsid w:val="00CA3AA3"/>
    <w:rsid w:val="00CA42EA"/>
    <w:rsid w:val="00CA5395"/>
    <w:rsid w:val="00CA582B"/>
    <w:rsid w:val="00CA5D25"/>
    <w:rsid w:val="00CB10EF"/>
    <w:rsid w:val="00CB6C02"/>
    <w:rsid w:val="00CC084C"/>
    <w:rsid w:val="00CC2A11"/>
    <w:rsid w:val="00CC312A"/>
    <w:rsid w:val="00CC411B"/>
    <w:rsid w:val="00CC4DD5"/>
    <w:rsid w:val="00CC4DF6"/>
    <w:rsid w:val="00CC74B4"/>
    <w:rsid w:val="00CC7E3C"/>
    <w:rsid w:val="00CD0A18"/>
    <w:rsid w:val="00CD31E5"/>
    <w:rsid w:val="00CD425D"/>
    <w:rsid w:val="00CD489A"/>
    <w:rsid w:val="00CD787F"/>
    <w:rsid w:val="00CE0248"/>
    <w:rsid w:val="00CE040D"/>
    <w:rsid w:val="00CE0EF2"/>
    <w:rsid w:val="00CE2BC6"/>
    <w:rsid w:val="00CE4A44"/>
    <w:rsid w:val="00CE571E"/>
    <w:rsid w:val="00CE64F2"/>
    <w:rsid w:val="00CF1955"/>
    <w:rsid w:val="00CF4ADD"/>
    <w:rsid w:val="00CF5B9A"/>
    <w:rsid w:val="00CF63C9"/>
    <w:rsid w:val="00CF69D0"/>
    <w:rsid w:val="00CF73E3"/>
    <w:rsid w:val="00D02187"/>
    <w:rsid w:val="00D02536"/>
    <w:rsid w:val="00D02593"/>
    <w:rsid w:val="00D02B9A"/>
    <w:rsid w:val="00D02D61"/>
    <w:rsid w:val="00D1657B"/>
    <w:rsid w:val="00D20E2B"/>
    <w:rsid w:val="00D23599"/>
    <w:rsid w:val="00D25BE6"/>
    <w:rsid w:val="00D33436"/>
    <w:rsid w:val="00D34A26"/>
    <w:rsid w:val="00D3693A"/>
    <w:rsid w:val="00D376B3"/>
    <w:rsid w:val="00D417D3"/>
    <w:rsid w:val="00D42A00"/>
    <w:rsid w:val="00D43998"/>
    <w:rsid w:val="00D47828"/>
    <w:rsid w:val="00D47893"/>
    <w:rsid w:val="00D504B8"/>
    <w:rsid w:val="00D516AF"/>
    <w:rsid w:val="00D525E6"/>
    <w:rsid w:val="00D52B64"/>
    <w:rsid w:val="00D60435"/>
    <w:rsid w:val="00D63246"/>
    <w:rsid w:val="00D63C82"/>
    <w:rsid w:val="00D64BEA"/>
    <w:rsid w:val="00D67693"/>
    <w:rsid w:val="00D70310"/>
    <w:rsid w:val="00D73185"/>
    <w:rsid w:val="00D76241"/>
    <w:rsid w:val="00D76D45"/>
    <w:rsid w:val="00D77890"/>
    <w:rsid w:val="00D80277"/>
    <w:rsid w:val="00D804B6"/>
    <w:rsid w:val="00D843AD"/>
    <w:rsid w:val="00D85DD9"/>
    <w:rsid w:val="00D87C24"/>
    <w:rsid w:val="00D904ED"/>
    <w:rsid w:val="00D90CBF"/>
    <w:rsid w:val="00D90F48"/>
    <w:rsid w:val="00D9166B"/>
    <w:rsid w:val="00D925F9"/>
    <w:rsid w:val="00D92CB4"/>
    <w:rsid w:val="00D93E95"/>
    <w:rsid w:val="00D94313"/>
    <w:rsid w:val="00D966B7"/>
    <w:rsid w:val="00DA1D3B"/>
    <w:rsid w:val="00DA48D5"/>
    <w:rsid w:val="00DA6F3C"/>
    <w:rsid w:val="00DA7F57"/>
    <w:rsid w:val="00DB0746"/>
    <w:rsid w:val="00DB0E65"/>
    <w:rsid w:val="00DB12F6"/>
    <w:rsid w:val="00DB44CE"/>
    <w:rsid w:val="00DB54AE"/>
    <w:rsid w:val="00DB5A88"/>
    <w:rsid w:val="00DC05D3"/>
    <w:rsid w:val="00DC09DD"/>
    <w:rsid w:val="00DC0CCD"/>
    <w:rsid w:val="00DC14E6"/>
    <w:rsid w:val="00DC3B57"/>
    <w:rsid w:val="00DC4367"/>
    <w:rsid w:val="00DC4E2B"/>
    <w:rsid w:val="00DC4ECD"/>
    <w:rsid w:val="00DC55C4"/>
    <w:rsid w:val="00DC599C"/>
    <w:rsid w:val="00DC76A2"/>
    <w:rsid w:val="00DD02E8"/>
    <w:rsid w:val="00DD2813"/>
    <w:rsid w:val="00DD3E84"/>
    <w:rsid w:val="00DE44D2"/>
    <w:rsid w:val="00DE6D11"/>
    <w:rsid w:val="00DE6E23"/>
    <w:rsid w:val="00DE76F0"/>
    <w:rsid w:val="00DF14E1"/>
    <w:rsid w:val="00DF281F"/>
    <w:rsid w:val="00DF3DC8"/>
    <w:rsid w:val="00DF57D1"/>
    <w:rsid w:val="00DF5ADE"/>
    <w:rsid w:val="00E000C7"/>
    <w:rsid w:val="00E0186C"/>
    <w:rsid w:val="00E02658"/>
    <w:rsid w:val="00E027CE"/>
    <w:rsid w:val="00E037EA"/>
    <w:rsid w:val="00E0385A"/>
    <w:rsid w:val="00E06997"/>
    <w:rsid w:val="00E0745C"/>
    <w:rsid w:val="00E102DA"/>
    <w:rsid w:val="00E146ED"/>
    <w:rsid w:val="00E1680B"/>
    <w:rsid w:val="00E1726E"/>
    <w:rsid w:val="00E2091C"/>
    <w:rsid w:val="00E221E1"/>
    <w:rsid w:val="00E24026"/>
    <w:rsid w:val="00E2462F"/>
    <w:rsid w:val="00E30CD8"/>
    <w:rsid w:val="00E310B1"/>
    <w:rsid w:val="00E31346"/>
    <w:rsid w:val="00E3178C"/>
    <w:rsid w:val="00E4230F"/>
    <w:rsid w:val="00E42A0D"/>
    <w:rsid w:val="00E436DC"/>
    <w:rsid w:val="00E43FF3"/>
    <w:rsid w:val="00E470E6"/>
    <w:rsid w:val="00E47FF2"/>
    <w:rsid w:val="00E5123C"/>
    <w:rsid w:val="00E52021"/>
    <w:rsid w:val="00E521EB"/>
    <w:rsid w:val="00E56929"/>
    <w:rsid w:val="00E57F5B"/>
    <w:rsid w:val="00E60318"/>
    <w:rsid w:val="00E60844"/>
    <w:rsid w:val="00E61553"/>
    <w:rsid w:val="00E623EF"/>
    <w:rsid w:val="00E6445A"/>
    <w:rsid w:val="00E6573E"/>
    <w:rsid w:val="00E70CA3"/>
    <w:rsid w:val="00E74B91"/>
    <w:rsid w:val="00E7704F"/>
    <w:rsid w:val="00E808CB"/>
    <w:rsid w:val="00E87879"/>
    <w:rsid w:val="00E9262A"/>
    <w:rsid w:val="00E92ACF"/>
    <w:rsid w:val="00E95070"/>
    <w:rsid w:val="00E9701C"/>
    <w:rsid w:val="00E9769D"/>
    <w:rsid w:val="00E97E52"/>
    <w:rsid w:val="00EA07A3"/>
    <w:rsid w:val="00EA25AE"/>
    <w:rsid w:val="00EA26F9"/>
    <w:rsid w:val="00EA33B6"/>
    <w:rsid w:val="00EA486A"/>
    <w:rsid w:val="00EA49E6"/>
    <w:rsid w:val="00EA5739"/>
    <w:rsid w:val="00EB4F71"/>
    <w:rsid w:val="00EB6EE6"/>
    <w:rsid w:val="00EC0705"/>
    <w:rsid w:val="00EC4610"/>
    <w:rsid w:val="00EC4C08"/>
    <w:rsid w:val="00EC5337"/>
    <w:rsid w:val="00EC657E"/>
    <w:rsid w:val="00EC7372"/>
    <w:rsid w:val="00ED1EBC"/>
    <w:rsid w:val="00ED392A"/>
    <w:rsid w:val="00ED642D"/>
    <w:rsid w:val="00ED76C7"/>
    <w:rsid w:val="00ED7D0C"/>
    <w:rsid w:val="00EE172D"/>
    <w:rsid w:val="00EE4F64"/>
    <w:rsid w:val="00EE524D"/>
    <w:rsid w:val="00EE5F32"/>
    <w:rsid w:val="00EE64A4"/>
    <w:rsid w:val="00EF5878"/>
    <w:rsid w:val="00F027C9"/>
    <w:rsid w:val="00F02B46"/>
    <w:rsid w:val="00F04E24"/>
    <w:rsid w:val="00F04F98"/>
    <w:rsid w:val="00F05061"/>
    <w:rsid w:val="00F051FA"/>
    <w:rsid w:val="00F1031C"/>
    <w:rsid w:val="00F1056E"/>
    <w:rsid w:val="00F10C33"/>
    <w:rsid w:val="00F1518E"/>
    <w:rsid w:val="00F15EB8"/>
    <w:rsid w:val="00F17D46"/>
    <w:rsid w:val="00F2283B"/>
    <w:rsid w:val="00F239CB"/>
    <w:rsid w:val="00F24E52"/>
    <w:rsid w:val="00F252DC"/>
    <w:rsid w:val="00F30FE9"/>
    <w:rsid w:val="00F31331"/>
    <w:rsid w:val="00F33CC9"/>
    <w:rsid w:val="00F34211"/>
    <w:rsid w:val="00F4212C"/>
    <w:rsid w:val="00F42509"/>
    <w:rsid w:val="00F441E0"/>
    <w:rsid w:val="00F44620"/>
    <w:rsid w:val="00F477C5"/>
    <w:rsid w:val="00F500B7"/>
    <w:rsid w:val="00F50EDA"/>
    <w:rsid w:val="00F51C16"/>
    <w:rsid w:val="00F567F0"/>
    <w:rsid w:val="00F619B0"/>
    <w:rsid w:val="00F61A6F"/>
    <w:rsid w:val="00F62C6E"/>
    <w:rsid w:val="00F63C6E"/>
    <w:rsid w:val="00F64502"/>
    <w:rsid w:val="00F64FAF"/>
    <w:rsid w:val="00F67CA1"/>
    <w:rsid w:val="00F70906"/>
    <w:rsid w:val="00F72570"/>
    <w:rsid w:val="00F72A15"/>
    <w:rsid w:val="00F730F8"/>
    <w:rsid w:val="00F7351A"/>
    <w:rsid w:val="00F75289"/>
    <w:rsid w:val="00F76482"/>
    <w:rsid w:val="00F80272"/>
    <w:rsid w:val="00F81786"/>
    <w:rsid w:val="00F83724"/>
    <w:rsid w:val="00F83BB5"/>
    <w:rsid w:val="00F86890"/>
    <w:rsid w:val="00F94545"/>
    <w:rsid w:val="00F95289"/>
    <w:rsid w:val="00F957D1"/>
    <w:rsid w:val="00FA1560"/>
    <w:rsid w:val="00FA2A52"/>
    <w:rsid w:val="00FA2C71"/>
    <w:rsid w:val="00FA369F"/>
    <w:rsid w:val="00FA4464"/>
    <w:rsid w:val="00FB017D"/>
    <w:rsid w:val="00FB0D99"/>
    <w:rsid w:val="00FB23C7"/>
    <w:rsid w:val="00FB5088"/>
    <w:rsid w:val="00FB7FD4"/>
    <w:rsid w:val="00FC00AC"/>
    <w:rsid w:val="00FC34C8"/>
    <w:rsid w:val="00FC3800"/>
    <w:rsid w:val="00FC4CD8"/>
    <w:rsid w:val="00FC51F6"/>
    <w:rsid w:val="00FC5E3E"/>
    <w:rsid w:val="00FD0807"/>
    <w:rsid w:val="00FD59BE"/>
    <w:rsid w:val="00FE12F3"/>
    <w:rsid w:val="00FE439E"/>
    <w:rsid w:val="024F8121"/>
    <w:rsid w:val="027064AF"/>
    <w:rsid w:val="03A95082"/>
    <w:rsid w:val="03C9F5CB"/>
    <w:rsid w:val="049B7877"/>
    <w:rsid w:val="07438C75"/>
    <w:rsid w:val="07F8513A"/>
    <w:rsid w:val="0941E2E4"/>
    <w:rsid w:val="096FF0DE"/>
    <w:rsid w:val="0A3AE589"/>
    <w:rsid w:val="0B884B31"/>
    <w:rsid w:val="0BB33317"/>
    <w:rsid w:val="0D4DB07B"/>
    <w:rsid w:val="0D5F57E5"/>
    <w:rsid w:val="0FABB530"/>
    <w:rsid w:val="12845F1C"/>
    <w:rsid w:val="12C06DEF"/>
    <w:rsid w:val="13E09FC7"/>
    <w:rsid w:val="14F5A052"/>
    <w:rsid w:val="157FA0DE"/>
    <w:rsid w:val="16DF4E6C"/>
    <w:rsid w:val="19271955"/>
    <w:rsid w:val="1C0544FE"/>
    <w:rsid w:val="1D9D8D52"/>
    <w:rsid w:val="21307B1E"/>
    <w:rsid w:val="224F09ED"/>
    <w:rsid w:val="252C7ED8"/>
    <w:rsid w:val="2692103E"/>
    <w:rsid w:val="29A2266B"/>
    <w:rsid w:val="2B8D93F2"/>
    <w:rsid w:val="2C8E6D46"/>
    <w:rsid w:val="2E192CF4"/>
    <w:rsid w:val="2F702D35"/>
    <w:rsid w:val="33754BF1"/>
    <w:rsid w:val="34E16958"/>
    <w:rsid w:val="35A31C99"/>
    <w:rsid w:val="3690E90B"/>
    <w:rsid w:val="3A890668"/>
    <w:rsid w:val="3ABD3905"/>
    <w:rsid w:val="3C5B5F7D"/>
    <w:rsid w:val="3C601906"/>
    <w:rsid w:val="3D42863E"/>
    <w:rsid w:val="3DD427CB"/>
    <w:rsid w:val="3E0E1215"/>
    <w:rsid w:val="3E1230D7"/>
    <w:rsid w:val="3F81BD1F"/>
    <w:rsid w:val="402222A0"/>
    <w:rsid w:val="47B537B8"/>
    <w:rsid w:val="47E4FAC7"/>
    <w:rsid w:val="4A5F629A"/>
    <w:rsid w:val="4C417280"/>
    <w:rsid w:val="4C829EDC"/>
    <w:rsid w:val="506AB337"/>
    <w:rsid w:val="507AB3DE"/>
    <w:rsid w:val="525EF9A0"/>
    <w:rsid w:val="549EAD48"/>
    <w:rsid w:val="567E9B41"/>
    <w:rsid w:val="56F537F5"/>
    <w:rsid w:val="5BA06EAE"/>
    <w:rsid w:val="5D579715"/>
    <w:rsid w:val="5EFAF138"/>
    <w:rsid w:val="5FC04C9D"/>
    <w:rsid w:val="60B1F36E"/>
    <w:rsid w:val="61D13DCC"/>
    <w:rsid w:val="66CEC7F1"/>
    <w:rsid w:val="679453F5"/>
    <w:rsid w:val="6A91D6B7"/>
    <w:rsid w:val="6C3EC725"/>
    <w:rsid w:val="6C4DABA2"/>
    <w:rsid w:val="6D26D134"/>
    <w:rsid w:val="6FF579A2"/>
    <w:rsid w:val="72CB5C40"/>
    <w:rsid w:val="740D4924"/>
    <w:rsid w:val="75889335"/>
    <w:rsid w:val="758DDAA4"/>
    <w:rsid w:val="7845C2C7"/>
    <w:rsid w:val="7959069A"/>
    <w:rsid w:val="7B2550C1"/>
    <w:rsid w:val="7E14328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D21D8B7"/>
  <w15:chartTrackingRefBased/>
  <w15:docId w15:val="{29514BF9-9228-459E-BEF7-5B422E30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1346"/>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3"/>
      </w:numPr>
    </w:pPr>
  </w:style>
  <w:style w:type="character" w:styleId="FootnoteReference">
    <w:name w:val="footnote reference"/>
    <w:rsid w:val="00487256"/>
    <w:rPr>
      <w:rFonts w:ascii="Times New Roman" w:hAnsi="Times New Roman"/>
      <w:b/>
      <w:sz w:val="26"/>
      <w:szCs w:val="26"/>
      <w:vertAlign w:val="superscript"/>
    </w:rPr>
  </w:style>
  <w:style w:type="paragraph" w:styleId="FootnoteText">
    <w:name w:val="footnote text"/>
    <w:basedOn w:val="Normal"/>
    <w:link w:val="FootnoteTextChar"/>
    <w:rsid w:val="00D20E2B"/>
    <w:rPr>
      <w:sz w:val="22"/>
      <w:szCs w:val="20"/>
    </w:rPr>
  </w:style>
  <w:style w:type="paragraph" w:styleId="Header">
    <w:name w:val="header"/>
    <w:basedOn w:val="Normal"/>
    <w:rsid w:val="005E318F"/>
    <w:pPr>
      <w:tabs>
        <w:tab w:val="center" w:pos="4320"/>
        <w:tab w:val="right" w:pos="8640"/>
      </w:tabs>
    </w:pPr>
  </w:style>
  <w:style w:type="character" w:styleId="PageNumber">
    <w:name w:val="page number"/>
    <w:basedOn w:val="DefaultParagraphFont"/>
    <w:rsid w:val="005E318F"/>
  </w:style>
  <w:style w:type="paragraph" w:styleId="Footer">
    <w:name w:val="footer"/>
    <w:basedOn w:val="Normal"/>
    <w:rsid w:val="005E318F"/>
    <w:pPr>
      <w:tabs>
        <w:tab w:val="center" w:pos="4320"/>
        <w:tab w:val="right" w:pos="8640"/>
      </w:tabs>
    </w:pPr>
  </w:style>
  <w:style w:type="character" w:styleId="Hyperlink">
    <w:name w:val="Hyperlink"/>
    <w:uiPriority w:val="99"/>
    <w:rsid w:val="00C56512"/>
    <w:rPr>
      <w:color w:val="0000FF"/>
      <w:u w:val="single"/>
    </w:rPr>
  </w:style>
  <w:style w:type="character" w:styleId="FollowedHyperlink">
    <w:name w:val="FollowedHyperlink"/>
    <w:rsid w:val="00F42509"/>
    <w:rPr>
      <w:color w:val="800080"/>
      <w:u w:val="single"/>
    </w:rPr>
  </w:style>
  <w:style w:type="paragraph" w:styleId="BalloonText">
    <w:name w:val="Balloon Text"/>
    <w:basedOn w:val="Normal"/>
    <w:semiHidden/>
    <w:rsid w:val="00F42509"/>
    <w:rPr>
      <w:rFonts w:ascii="Tahoma" w:hAnsi="Tahoma" w:cs="Tahoma"/>
      <w:sz w:val="16"/>
      <w:szCs w:val="16"/>
    </w:rPr>
  </w:style>
  <w:style w:type="table" w:styleId="TableGrid">
    <w:name w:val="Table Grid"/>
    <w:basedOn w:val="TableNormal"/>
    <w:rsid w:val="00215A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rsid w:val="00DC05D3"/>
    <w:pPr>
      <w:numPr>
        <w:numId w:val="5"/>
      </w:numPr>
      <w:spacing w:after="120" w:line="480" w:lineRule="auto"/>
    </w:pPr>
  </w:style>
  <w:style w:type="paragraph" w:customStyle="1" w:styleId="LegalFormat">
    <w:name w:val="Legal Format"/>
    <w:basedOn w:val="ListContinue"/>
    <w:rsid w:val="00DC05D3"/>
    <w:pPr>
      <w:spacing w:after="0"/>
      <w:ind w:left="0"/>
    </w:pPr>
    <w:rPr>
      <w:u w:val="single"/>
    </w:rPr>
  </w:style>
  <w:style w:type="paragraph" w:styleId="ListParagraph">
    <w:name w:val="List Paragraph"/>
    <w:basedOn w:val="Normal"/>
    <w:uiPriority w:val="34"/>
    <w:qFormat/>
    <w:rsid w:val="549EAD48"/>
    <w:pPr>
      <w:ind w:left="720"/>
      <w:contextualSpacing/>
    </w:pPr>
  </w:style>
  <w:style w:type="character" w:styleId="CommentReference">
    <w:name w:val="annotation reference"/>
    <w:basedOn w:val="DefaultParagraphFont"/>
    <w:rsid w:val="003E243F"/>
    <w:rPr>
      <w:sz w:val="16"/>
      <w:szCs w:val="16"/>
    </w:rPr>
  </w:style>
  <w:style w:type="paragraph" w:styleId="CommentText">
    <w:name w:val="annotation text"/>
    <w:basedOn w:val="Normal"/>
    <w:link w:val="CommentTextChar"/>
    <w:rsid w:val="003E243F"/>
    <w:rPr>
      <w:sz w:val="20"/>
      <w:szCs w:val="20"/>
    </w:rPr>
  </w:style>
  <w:style w:type="character" w:customStyle="1" w:styleId="CommentTextChar">
    <w:name w:val="Comment Text Char"/>
    <w:basedOn w:val="DefaultParagraphFont"/>
    <w:link w:val="CommentText"/>
    <w:rsid w:val="003E243F"/>
  </w:style>
  <w:style w:type="paragraph" w:styleId="CommentSubject">
    <w:name w:val="annotation subject"/>
    <w:basedOn w:val="CommentText"/>
    <w:next w:val="CommentText"/>
    <w:link w:val="CommentSubjectChar"/>
    <w:rsid w:val="003E243F"/>
    <w:rPr>
      <w:b/>
      <w:bCs/>
    </w:rPr>
  </w:style>
  <w:style w:type="character" w:customStyle="1" w:styleId="CommentSubjectChar">
    <w:name w:val="Comment Subject Char"/>
    <w:basedOn w:val="CommentTextChar"/>
    <w:link w:val="CommentSubject"/>
    <w:rsid w:val="003E243F"/>
    <w:rPr>
      <w:b/>
      <w:bCs/>
    </w:rPr>
  </w:style>
  <w:style w:type="character" w:styleId="UnresolvedMention">
    <w:name w:val="Unresolved Mention"/>
    <w:basedOn w:val="DefaultParagraphFont"/>
    <w:uiPriority w:val="99"/>
    <w:semiHidden/>
    <w:unhideWhenUsed/>
    <w:rsid w:val="009409C8"/>
    <w:rPr>
      <w:color w:val="605E5C"/>
      <w:shd w:val="clear" w:color="auto" w:fill="E1DFDD"/>
    </w:rPr>
  </w:style>
  <w:style w:type="paragraph" w:styleId="Revision">
    <w:name w:val="Revision"/>
    <w:hidden/>
    <w:uiPriority w:val="99"/>
    <w:semiHidden/>
    <w:rsid w:val="002F2932"/>
    <w:rPr>
      <w:sz w:val="26"/>
      <w:szCs w:val="24"/>
    </w:rPr>
  </w:style>
  <w:style w:type="character" w:customStyle="1" w:styleId="FootnoteTextChar">
    <w:name w:val="Footnote Text Char"/>
    <w:basedOn w:val="DefaultParagraphFont"/>
    <w:link w:val="FootnoteText"/>
    <w:rsid w:val="003C26B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mailto:DataClearance@FERC.gov" TargetMode="External" /><Relationship Id="rId12" Type="http://schemas.openxmlformats.org/officeDocument/2006/relationships/hyperlink" Target="https://elibrary.ferc.gov/eLibrary/search"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74a4cd09-5f17-433b-814a-38e7e9115d16" ContentTypeId="0x01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27193A00-2C3F-4D37-B86A-1EA8CE23DBE0}">
  <ds:schemaRefs/>
</ds:datastoreItem>
</file>

<file path=customXml/itemProps2.xml><?xml version="1.0" encoding="utf-8"?>
<ds:datastoreItem xmlns:ds="http://schemas.openxmlformats.org/officeDocument/2006/customXml" ds:itemID="{9B372C71-564C-4169-9E7C-D65FFE42DA54}">
  <ds:schemaRefs>
    <ds:schemaRef ds:uri="http://schemas.microsoft.com/office/2006/metadata/longProperties"/>
  </ds:schemaRefs>
</ds:datastoreItem>
</file>

<file path=customXml/itemProps3.xml><?xml version="1.0" encoding="utf-8"?>
<ds:datastoreItem xmlns:ds="http://schemas.openxmlformats.org/officeDocument/2006/customXml" ds:itemID="{E6AF4B3C-AFF0-43A6-8F0F-0FFE36307A1E}">
  <ds:schemaRefs/>
</ds:datastoreItem>
</file>

<file path=customXml/itemProps4.xml><?xml version="1.0" encoding="utf-8"?>
<ds:datastoreItem xmlns:ds="http://schemas.openxmlformats.org/officeDocument/2006/customXml" ds:itemID="{9EF03387-B5F2-40F4-BE1A-A59A9C0BD037}">
  <ds:schemaRefs>
    <ds:schemaRef ds:uri="http://schemas.openxmlformats.org/officeDocument/2006/bibliography"/>
  </ds:schemaRefs>
</ds:datastoreItem>
</file>

<file path=customXml/itemProps5.xml><?xml version="1.0" encoding="utf-8"?>
<ds:datastoreItem xmlns:ds="http://schemas.openxmlformats.org/officeDocument/2006/customXml" ds:itemID="{E502A652-F07C-4057-9DEF-C6AA7646F8CA}">
  <ds:schemaRefs>
    <ds:schemaRef ds:uri="http://schemas.microsoft.com/sharepoint/v3/contenttype/forms"/>
  </ds:schemaRefs>
</ds:datastoreItem>
</file>

<file path=customXml/itemProps6.xml><?xml version="1.0" encoding="utf-8"?>
<ds:datastoreItem xmlns:ds="http://schemas.openxmlformats.org/officeDocument/2006/customXml" ds:itemID="{1238E832-110B-4A4B-9991-5C2CC4D01FD9}">
  <ds:schemaRefs>
    <ds:schemaRef ds:uri="http://schemas.microsoft.com/office/2006/metadata/properties"/>
    <ds:schemaRef ds:uri="http://schemas.microsoft.com/office/infopath/2007/PartnerControls"/>
    <ds:schemaRef ds:uri="5e8733a2-e908-454b-85cf-c9d17e1d0943"/>
  </ds:schemaRefs>
</ds:datastoreItem>
</file>

<file path=docProps/app.xml><?xml version="1.0" encoding="utf-8"?>
<Properties xmlns="http://schemas.openxmlformats.org/officeDocument/2006/extended-properties" xmlns:vt="http://schemas.openxmlformats.org/officeDocument/2006/docPropsVTypes">
  <TotalTime>2</TotalTime>
  <Pages>24</Pages>
  <Words>3524</Words>
  <Characters>21465</Characters>
  <Application>Microsoft Office Word</Application>
  <DocSecurity>0</DocSecurity>
  <Lines>1129</Lines>
  <Paragraphs>624</Paragraphs>
  <ScaleCrop>false</ScaleCrop>
  <Company/>
  <LinksUpToDate>false</LinksUpToDate>
  <CharactersWithSpaces>24365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2011-07-30T00:17:00Z</cp:lastPrinted>
  <dcterms:created xsi:type="dcterms:W3CDTF">2026-06-22T11:33:00Z</dcterms:created>
  <dcterms:modified xsi:type="dcterms:W3CDTF">2026-06-22T11:33:00Z</dcterms:modified>
</cp:coreProperties>
</file>