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604E" w:rsidRPr="00F43A7E" w:rsidP="00A2604E" w14:paraId="1502CB1A" w14:textId="44E8076E">
      <w:pPr>
        <w:jc w:val="center"/>
        <w:rPr>
          <w:szCs w:val="26"/>
        </w:rPr>
      </w:pPr>
      <w:r w:rsidRPr="00F43A7E">
        <w:rPr>
          <w:szCs w:val="26"/>
        </w:rPr>
        <w:t>UNITED STATES OF AMERICA</w:t>
      </w:r>
    </w:p>
    <w:p w:rsidR="00A2604E" w:rsidRPr="00F43A7E" w:rsidP="00A2604E" w14:paraId="273661E3" w14:textId="77777777">
      <w:pPr>
        <w:jc w:val="center"/>
        <w:rPr>
          <w:szCs w:val="26"/>
        </w:rPr>
      </w:pPr>
      <w:r w:rsidRPr="00F43A7E">
        <w:rPr>
          <w:szCs w:val="26"/>
        </w:rPr>
        <w:t>FEDERAL ENERGY REGULATORY COMMISSION</w:t>
      </w:r>
    </w:p>
    <w:p w:rsidR="00A2604E" w:rsidRPr="00F43A7E" w:rsidP="00A2604E" w14:paraId="6C561934" w14:textId="77777777">
      <w:pPr>
        <w:rPr>
          <w:szCs w:val="26"/>
        </w:rPr>
      </w:pPr>
    </w:p>
    <w:p w:rsidR="00A2604E" w:rsidRPr="00F43A7E" w:rsidP="00A2604E" w14:paraId="3E11D4A1" w14:textId="7CE62A2A">
      <w:pPr>
        <w:jc w:val="center"/>
        <w:rPr>
          <w:szCs w:val="26"/>
        </w:rPr>
      </w:pPr>
      <w:r w:rsidRPr="00F43A7E">
        <w:rPr>
          <w:szCs w:val="26"/>
        </w:rPr>
        <w:t xml:space="preserve">[Docket No. </w:t>
      </w:r>
      <w:r w:rsidRPr="00F43A7E" w:rsidR="00E201F1">
        <w:rPr>
          <w:szCs w:val="26"/>
        </w:rPr>
        <w:t>IC</w:t>
      </w:r>
      <w:r w:rsidRPr="00F43A7E" w:rsidR="00FB078F">
        <w:rPr>
          <w:szCs w:val="26"/>
        </w:rPr>
        <w:t>2</w:t>
      </w:r>
      <w:r w:rsidRPr="00F43A7E" w:rsidR="00E201F1">
        <w:rPr>
          <w:szCs w:val="26"/>
        </w:rPr>
        <w:t>6</w:t>
      </w:r>
      <w:r w:rsidRPr="00F43A7E" w:rsidR="00613169">
        <w:rPr>
          <w:szCs w:val="26"/>
        </w:rPr>
        <w:t>-</w:t>
      </w:r>
      <w:r w:rsidRPr="00F43A7E" w:rsidR="00E201F1">
        <w:rPr>
          <w:szCs w:val="26"/>
        </w:rPr>
        <w:t>29</w:t>
      </w:r>
      <w:r w:rsidRPr="00F43A7E" w:rsidR="00613169">
        <w:rPr>
          <w:szCs w:val="26"/>
        </w:rPr>
        <w:t>-000</w:t>
      </w:r>
      <w:r w:rsidRPr="00F43A7E">
        <w:rPr>
          <w:szCs w:val="26"/>
        </w:rPr>
        <w:t>]</w:t>
      </w:r>
    </w:p>
    <w:p w:rsidR="00A2604E" w:rsidRPr="00F43A7E" w:rsidP="00A2604E" w14:paraId="4D16FE54" w14:textId="77777777">
      <w:pPr>
        <w:rPr>
          <w:szCs w:val="26"/>
        </w:rPr>
      </w:pPr>
    </w:p>
    <w:p w:rsidR="007C6502" w:rsidRPr="00F43A7E" w:rsidP="007C6502" w14:paraId="790F8E78" w14:textId="7CCF6D20">
      <w:pPr>
        <w:jc w:val="center"/>
        <w:rPr>
          <w:szCs w:val="26"/>
        </w:rPr>
      </w:pPr>
      <w:r w:rsidRPr="00F43A7E">
        <w:rPr>
          <w:szCs w:val="26"/>
        </w:rPr>
        <w:t>COMMISSION INFORMATION COLLECTION ACTIVITIES (</w:t>
      </w:r>
      <w:bookmarkStart w:id="0" w:name="_Hlk111029206"/>
      <w:r w:rsidRPr="00F43A7E">
        <w:rPr>
          <w:szCs w:val="26"/>
        </w:rPr>
        <w:t>FERC-725</w:t>
      </w:r>
      <w:r w:rsidRPr="00F43A7E" w:rsidR="005363F8">
        <w:rPr>
          <w:szCs w:val="26"/>
        </w:rPr>
        <w:t>U</w:t>
      </w:r>
      <w:bookmarkEnd w:id="0"/>
      <w:r w:rsidRPr="00F43A7E" w:rsidR="005363F8">
        <w:rPr>
          <w:szCs w:val="26"/>
        </w:rPr>
        <w:t>)</w:t>
      </w:r>
      <w:r w:rsidRPr="00F43A7E">
        <w:rPr>
          <w:szCs w:val="26"/>
        </w:rPr>
        <w:t xml:space="preserve"> </w:t>
      </w:r>
    </w:p>
    <w:p w:rsidR="00471DC7" w:rsidRPr="00F43A7E" w:rsidP="00471DC7" w14:paraId="5A87CF2D" w14:textId="77777777">
      <w:pPr>
        <w:jc w:val="center"/>
        <w:rPr>
          <w:szCs w:val="26"/>
        </w:rPr>
      </w:pPr>
    </w:p>
    <w:p w:rsidR="00471DC7" w:rsidRPr="00F43A7E" w:rsidP="00F43A7E" w14:paraId="16176D57" w14:textId="52767E78">
      <w:pPr>
        <w:jc w:val="center"/>
        <w:rPr>
          <w:szCs w:val="26"/>
        </w:rPr>
      </w:pPr>
      <w:r w:rsidRPr="00F43A7E">
        <w:rPr>
          <w:szCs w:val="26"/>
        </w:rPr>
        <w:t>(May 21, 2026)</w:t>
      </w:r>
    </w:p>
    <w:p w:rsidR="00F43A7E" w:rsidRPr="00F43A7E" w:rsidP="00F43A7E" w14:paraId="4515834B" w14:textId="77777777">
      <w:pPr>
        <w:rPr>
          <w:szCs w:val="26"/>
        </w:rPr>
      </w:pPr>
    </w:p>
    <w:p w:rsidR="00A2604E" w:rsidRPr="00F43A7E" w:rsidP="00A2604E" w14:paraId="735A1E72" w14:textId="06088ADD">
      <w:pPr>
        <w:rPr>
          <w:szCs w:val="26"/>
        </w:rPr>
      </w:pPr>
      <w:r w:rsidRPr="00F43A7E">
        <w:rPr>
          <w:b/>
          <w:szCs w:val="26"/>
        </w:rPr>
        <w:t>AGENCY:</w:t>
      </w:r>
      <w:r w:rsidRPr="00F43A7E">
        <w:rPr>
          <w:szCs w:val="26"/>
        </w:rPr>
        <w:t xml:space="preserve"> Federal Energy Regulatory Commission.</w:t>
      </w:r>
      <w:r w:rsidRPr="00F43A7E" w:rsidR="003F428F">
        <w:rPr>
          <w:szCs w:val="26"/>
        </w:rPr>
        <w:t xml:space="preserve"> </w:t>
      </w:r>
    </w:p>
    <w:p w:rsidR="00A2604E" w:rsidRPr="00F43A7E" w:rsidP="00A2604E" w14:paraId="634EF64B" w14:textId="77777777">
      <w:pPr>
        <w:rPr>
          <w:szCs w:val="26"/>
        </w:rPr>
      </w:pPr>
    </w:p>
    <w:p w:rsidR="00A2604E" w:rsidRPr="00F43A7E" w:rsidP="00A2604E" w14:paraId="674B9740" w14:textId="1548EDBD">
      <w:pPr>
        <w:spacing w:line="480" w:lineRule="auto"/>
        <w:rPr>
          <w:szCs w:val="26"/>
        </w:rPr>
      </w:pPr>
      <w:r w:rsidRPr="00F43A7E">
        <w:rPr>
          <w:b/>
          <w:szCs w:val="26"/>
        </w:rPr>
        <w:t>ACTION:</w:t>
      </w:r>
      <w:r w:rsidRPr="00F43A7E">
        <w:rPr>
          <w:szCs w:val="26"/>
        </w:rPr>
        <w:t xml:space="preserve"> </w:t>
      </w:r>
      <w:bookmarkStart w:id="1" w:name="_Hlk68091542"/>
      <w:r w:rsidRPr="00F43A7E">
        <w:rPr>
          <w:szCs w:val="26"/>
        </w:rPr>
        <w:t xml:space="preserve">Notice of information collection </w:t>
      </w:r>
      <w:bookmarkEnd w:id="1"/>
      <w:r w:rsidRPr="00F43A7E">
        <w:rPr>
          <w:szCs w:val="26"/>
        </w:rPr>
        <w:t>and request for comments.</w:t>
      </w:r>
    </w:p>
    <w:p w:rsidR="00B556C9" w:rsidRPr="00F43A7E" w:rsidP="5A95B689" w14:paraId="35DEAE81" w14:textId="7EA9AEE4">
      <w:pPr>
        <w:spacing w:after="160" w:line="480" w:lineRule="auto"/>
        <w:rPr>
          <w:rFonts w:eastAsiaTheme="minorEastAsia"/>
          <w:szCs w:val="26"/>
        </w:rPr>
      </w:pPr>
      <w:r w:rsidRPr="00F43A7E">
        <w:rPr>
          <w:b/>
          <w:bCs/>
          <w:szCs w:val="26"/>
        </w:rPr>
        <w:t>SUMMARY</w:t>
      </w:r>
      <w:bookmarkStart w:id="2" w:name="_Hlk111031157"/>
      <w:r w:rsidRPr="00F43A7E" w:rsidR="005D0A33">
        <w:rPr>
          <w:b/>
          <w:bCs/>
          <w:szCs w:val="26"/>
        </w:rPr>
        <w:t>:</w:t>
      </w:r>
      <w:r w:rsidRPr="00F43A7E" w:rsidR="00E30B87">
        <w:rPr>
          <w:szCs w:val="26"/>
        </w:rPr>
        <w:t xml:space="preserve"> In compliance with the requirements of the Paperwork Reduction Act of 1995, the Federal Energy Regulatory Commission (Commission or FERC) is soliciting public comments on the currently approved information collection, </w:t>
      </w:r>
      <w:r w:rsidRPr="00F43A7E" w:rsidR="005363F8">
        <w:rPr>
          <w:szCs w:val="26"/>
        </w:rPr>
        <w:t>FERC-725U, Mandatory Reliability Standards for the Bulk Power System; CIP Reliability Standards</w:t>
      </w:r>
      <w:bookmarkStart w:id="3" w:name="_Hlk92266693"/>
      <w:bookmarkEnd w:id="2"/>
      <w:r w:rsidRPr="00F43A7E" w:rsidR="00DF7398">
        <w:rPr>
          <w:rFonts w:eastAsiaTheme="minorEastAsia"/>
          <w:szCs w:val="26"/>
        </w:rPr>
        <w:t>.</w:t>
      </w:r>
    </w:p>
    <w:bookmarkEnd w:id="3"/>
    <w:p w:rsidR="00A2604E" w:rsidRPr="00F43A7E" w:rsidP="00A2604E" w14:paraId="5C5B574A" w14:textId="0D414D2E">
      <w:pPr>
        <w:spacing w:line="480" w:lineRule="auto"/>
        <w:rPr>
          <w:szCs w:val="26"/>
        </w:rPr>
      </w:pPr>
      <w:r w:rsidRPr="00F43A7E">
        <w:rPr>
          <w:b/>
          <w:szCs w:val="26"/>
        </w:rPr>
        <w:t>DATES</w:t>
      </w:r>
      <w:r w:rsidRPr="00F43A7E" w:rsidR="0042764B">
        <w:rPr>
          <w:b/>
          <w:szCs w:val="26"/>
        </w:rPr>
        <w:t>:</w:t>
      </w:r>
      <w:r w:rsidRPr="00F43A7E" w:rsidR="0042764B">
        <w:rPr>
          <w:szCs w:val="26"/>
        </w:rPr>
        <w:t xml:space="preserve"> Comments</w:t>
      </w:r>
      <w:r w:rsidRPr="00F43A7E">
        <w:rPr>
          <w:szCs w:val="26"/>
        </w:rPr>
        <w:t xml:space="preserve"> on the collection of information are due [</w:t>
      </w:r>
      <w:r w:rsidRPr="00F43A7E" w:rsidR="00CD56E5">
        <w:rPr>
          <w:b/>
          <w:szCs w:val="26"/>
        </w:rPr>
        <w:t>INSERT DATE</w:t>
      </w:r>
      <w:r w:rsidRPr="00F43A7E">
        <w:rPr>
          <w:b/>
          <w:szCs w:val="26"/>
        </w:rPr>
        <w:t xml:space="preserve"> </w:t>
      </w:r>
      <w:r w:rsidRPr="00F43A7E" w:rsidR="00BB201C">
        <w:rPr>
          <w:b/>
          <w:szCs w:val="26"/>
        </w:rPr>
        <w:t>6</w:t>
      </w:r>
      <w:r w:rsidRPr="00F43A7E">
        <w:rPr>
          <w:b/>
          <w:szCs w:val="26"/>
        </w:rPr>
        <w:t xml:space="preserve">0 </w:t>
      </w:r>
      <w:r w:rsidRPr="00F43A7E" w:rsidR="00F43A7E">
        <w:rPr>
          <w:b/>
          <w:szCs w:val="26"/>
        </w:rPr>
        <w:t>DAYS</w:t>
      </w:r>
      <w:r w:rsidRPr="00F43A7E">
        <w:rPr>
          <w:b/>
          <w:szCs w:val="26"/>
        </w:rPr>
        <w:t xml:space="preserve"> </w:t>
      </w:r>
      <w:r w:rsidRPr="00F43A7E" w:rsidR="00F43A7E">
        <w:rPr>
          <w:b/>
          <w:szCs w:val="26"/>
        </w:rPr>
        <w:t>AFTER DATE OF PUBLICATION IN THE FEDERAL REGISTER</w:t>
      </w:r>
      <w:r w:rsidRPr="00F43A7E">
        <w:rPr>
          <w:szCs w:val="26"/>
        </w:rPr>
        <w:t xml:space="preserve">]. </w:t>
      </w:r>
    </w:p>
    <w:p w:rsidR="00FC6D7B" w:rsidRPr="00F43A7E" w:rsidP="00FC6D7B" w14:paraId="25DC94C0" w14:textId="122235C8">
      <w:pPr>
        <w:spacing w:line="480" w:lineRule="auto"/>
        <w:rPr>
          <w:color w:val="000000" w:themeColor="text1"/>
          <w:szCs w:val="26"/>
        </w:rPr>
      </w:pPr>
      <w:r w:rsidRPr="00F43A7E">
        <w:rPr>
          <w:b/>
          <w:szCs w:val="26"/>
        </w:rPr>
        <w:t>ADDRESSES</w:t>
      </w:r>
      <w:bookmarkStart w:id="4" w:name="OLE_LINK1"/>
      <w:r w:rsidRPr="00F43A7E" w:rsidR="0042764B">
        <w:rPr>
          <w:b/>
          <w:szCs w:val="26"/>
        </w:rPr>
        <w:t>:</w:t>
      </w:r>
      <w:r w:rsidRPr="00F43A7E" w:rsidR="0042764B">
        <w:rPr>
          <w:szCs w:val="26"/>
        </w:rPr>
        <w:t xml:space="preserve"> </w:t>
      </w:r>
      <w:bookmarkEnd w:id="4"/>
      <w:r w:rsidRPr="00F43A7E">
        <w:rPr>
          <w:color w:val="000000" w:themeColor="text1"/>
          <w:szCs w:val="26"/>
        </w:rPr>
        <w:t xml:space="preserve">Please submit comments via email to </w:t>
      </w:r>
      <w:hyperlink r:id="rId10">
        <w:r w:rsidRPr="00F43A7E">
          <w:rPr>
            <w:rStyle w:val="Hyperlink"/>
            <w:szCs w:val="26"/>
          </w:rPr>
          <w:t>DataClearance@FERC.gov</w:t>
        </w:r>
      </w:hyperlink>
      <w:r w:rsidRPr="00F43A7E">
        <w:rPr>
          <w:color w:val="000000" w:themeColor="text1"/>
          <w:szCs w:val="26"/>
        </w:rPr>
        <w:t>. You must specify Docket No. (IC2</w:t>
      </w:r>
      <w:r w:rsidRPr="00F43A7E" w:rsidR="00C53E2E">
        <w:rPr>
          <w:color w:val="000000" w:themeColor="text1"/>
          <w:szCs w:val="26"/>
        </w:rPr>
        <w:t>6</w:t>
      </w:r>
      <w:r w:rsidRPr="00F43A7E">
        <w:rPr>
          <w:color w:val="000000" w:themeColor="text1"/>
          <w:szCs w:val="26"/>
        </w:rPr>
        <w:t>-</w:t>
      </w:r>
      <w:r w:rsidRPr="00F43A7E" w:rsidR="00C53E2E">
        <w:rPr>
          <w:color w:val="000000" w:themeColor="text1"/>
          <w:szCs w:val="26"/>
        </w:rPr>
        <w:t>29</w:t>
      </w:r>
      <w:r w:rsidRPr="00F43A7E">
        <w:rPr>
          <w:color w:val="000000" w:themeColor="text1"/>
          <w:szCs w:val="26"/>
        </w:rPr>
        <w:t>-000) and the FERC Information Collection</w:t>
      </w:r>
      <w:r w:rsidRPr="00F43A7E">
        <w:rPr>
          <w:b/>
          <w:bCs/>
          <w:color w:val="000000" w:themeColor="text1"/>
          <w:szCs w:val="26"/>
        </w:rPr>
        <w:t xml:space="preserve"> </w:t>
      </w:r>
      <w:r w:rsidRPr="00F43A7E">
        <w:rPr>
          <w:color w:val="000000" w:themeColor="text1"/>
          <w:szCs w:val="26"/>
        </w:rPr>
        <w:t>number (FERC-</w:t>
      </w:r>
      <w:r w:rsidRPr="00F43A7E" w:rsidR="00C53E2E">
        <w:rPr>
          <w:color w:val="000000" w:themeColor="text1"/>
          <w:szCs w:val="26"/>
        </w:rPr>
        <w:t>725U</w:t>
      </w:r>
      <w:r w:rsidRPr="00F43A7E">
        <w:rPr>
          <w:color w:val="000000" w:themeColor="text1"/>
          <w:szCs w:val="26"/>
        </w:rPr>
        <w:t>) in your email. If you are unable to file electronically, comments may be filed by USPS mail or by hand (including courier) delivery:</w:t>
      </w:r>
    </w:p>
    <w:p w:rsidR="00FC6D7B" w:rsidRPr="00F43A7E" w:rsidP="00FC6D7B" w14:paraId="1A43538F" w14:textId="77777777">
      <w:pPr>
        <w:pStyle w:val="ListParagraph"/>
        <w:numPr>
          <w:ilvl w:val="0"/>
          <w:numId w:val="24"/>
        </w:numPr>
        <w:spacing w:line="480" w:lineRule="auto"/>
        <w:rPr>
          <w:color w:val="000000" w:themeColor="text1"/>
          <w:szCs w:val="26"/>
        </w:rPr>
      </w:pPr>
      <w:r w:rsidRPr="00F43A7E">
        <w:rPr>
          <w:color w:val="000000" w:themeColor="text1"/>
          <w:szCs w:val="26"/>
        </w:rPr>
        <w:t>Mail via U.S. Postal Service only, addressed to: Federal Energy Regulatory Commission, Secretary of the Commission, 888 First Street, N.E., Washington, DC 20426.</w:t>
      </w:r>
    </w:p>
    <w:p w:rsidR="00FC6D7B" w:rsidRPr="00F43A7E" w:rsidP="00FC6D7B" w14:paraId="23E94535" w14:textId="77777777">
      <w:pPr>
        <w:pStyle w:val="ListParagraph"/>
        <w:numPr>
          <w:ilvl w:val="0"/>
          <w:numId w:val="24"/>
        </w:numPr>
        <w:spacing w:line="480" w:lineRule="auto"/>
        <w:rPr>
          <w:color w:val="000000" w:themeColor="text1"/>
          <w:szCs w:val="26"/>
        </w:rPr>
      </w:pPr>
      <w:r w:rsidRPr="00F43A7E">
        <w:rPr>
          <w:color w:val="000000" w:themeColor="text1"/>
          <w:szCs w:val="26"/>
        </w:rPr>
        <w:t>Hand (including courier) delivery to: Federal Energy Regulatory Commission, 12225 Wilkins Avenue, Rockville, MD 20852.</w:t>
      </w:r>
    </w:p>
    <w:p w:rsidR="00FC6D7B" w:rsidRPr="00F43A7E" w:rsidP="00FC6D7B" w14:paraId="4710B4D5" w14:textId="77777777">
      <w:pPr>
        <w:spacing w:line="480" w:lineRule="auto"/>
        <w:rPr>
          <w:color w:val="000000" w:themeColor="text1"/>
          <w:szCs w:val="26"/>
        </w:rPr>
      </w:pPr>
      <w:r w:rsidRPr="00F43A7E">
        <w:rPr>
          <w:i/>
          <w:iCs/>
          <w:color w:val="000000" w:themeColor="text1"/>
          <w:szCs w:val="26"/>
        </w:rPr>
        <w:t>Docket:</w:t>
      </w:r>
      <w:r w:rsidRPr="00F43A7E">
        <w:rPr>
          <w:color w:val="000000" w:themeColor="text1"/>
          <w:szCs w:val="26"/>
        </w:rPr>
        <w:t xml:space="preserve"> To view comments and issuances in this docket, please visit </w:t>
      </w:r>
      <w:hyperlink r:id="rId11">
        <w:r w:rsidRPr="00F43A7E">
          <w:rPr>
            <w:rStyle w:val="Hyperlink"/>
            <w:szCs w:val="26"/>
          </w:rPr>
          <w:t>https://elibrary.ferc.gov/eLibrary/search</w:t>
        </w:r>
      </w:hyperlink>
      <w:r w:rsidRPr="00F43A7E">
        <w:rPr>
          <w:color w:val="000000" w:themeColor="text1"/>
          <w:szCs w:val="26"/>
        </w:rPr>
        <w:t>.</w:t>
      </w:r>
    </w:p>
    <w:p w:rsidR="00FC6D7B" w:rsidRPr="00F43A7E" w:rsidP="00FC6D7B" w14:paraId="66F61A28" w14:textId="77777777">
      <w:pPr>
        <w:spacing w:line="480" w:lineRule="auto"/>
        <w:rPr>
          <w:color w:val="000000" w:themeColor="text1"/>
          <w:szCs w:val="26"/>
        </w:rPr>
      </w:pPr>
      <w:r w:rsidRPr="00F43A7E">
        <w:rPr>
          <w:b/>
          <w:bCs/>
          <w:color w:val="000000" w:themeColor="text1"/>
          <w:szCs w:val="26"/>
        </w:rPr>
        <w:t>FOR FURTHER INFORMATION:</w:t>
      </w:r>
      <w:r w:rsidRPr="00F43A7E">
        <w:rPr>
          <w:color w:val="000000" w:themeColor="text1"/>
          <w:szCs w:val="26"/>
        </w:rPr>
        <w:t xml:space="preserve"> Kayla Williams may be reached by e-mail at </w:t>
      </w:r>
      <w:hyperlink r:id="rId10">
        <w:r w:rsidRPr="00F43A7E">
          <w:rPr>
            <w:rStyle w:val="Hyperlink"/>
            <w:szCs w:val="26"/>
          </w:rPr>
          <w:t>DataClearance@FERC.gov</w:t>
        </w:r>
      </w:hyperlink>
      <w:r w:rsidRPr="00F43A7E">
        <w:rPr>
          <w:color w:val="000000" w:themeColor="text1"/>
          <w:szCs w:val="26"/>
        </w:rPr>
        <w:t>, or by telephone at (202)502-6468.</w:t>
      </w:r>
    </w:p>
    <w:p w:rsidR="00824341" w:rsidRPr="00F43A7E" w:rsidP="00FC6D7B" w14:paraId="5EB4B068" w14:textId="0A565504">
      <w:pPr>
        <w:spacing w:line="480" w:lineRule="auto"/>
        <w:rPr>
          <w:szCs w:val="26"/>
        </w:rPr>
      </w:pPr>
      <w:r w:rsidRPr="00F43A7E">
        <w:rPr>
          <w:b/>
          <w:szCs w:val="26"/>
        </w:rPr>
        <w:t>SUPPLEMENTARY INFORMATION:</w:t>
      </w:r>
      <w:r w:rsidRPr="00F43A7E">
        <w:rPr>
          <w:szCs w:val="26"/>
        </w:rPr>
        <w:t xml:space="preserve">  </w:t>
      </w:r>
    </w:p>
    <w:p w:rsidR="00B43A2F" w:rsidRPr="00F43A7E" w:rsidP="007C6502" w14:paraId="487762A4" w14:textId="77777777">
      <w:pPr>
        <w:spacing w:line="480" w:lineRule="auto"/>
        <w:rPr>
          <w:i/>
          <w:szCs w:val="26"/>
        </w:rPr>
      </w:pPr>
      <w:r w:rsidRPr="00F43A7E">
        <w:rPr>
          <w:i/>
          <w:szCs w:val="26"/>
        </w:rPr>
        <w:t xml:space="preserve">Title: </w:t>
      </w:r>
      <w:r w:rsidRPr="00F43A7E">
        <w:rPr>
          <w:szCs w:val="26"/>
        </w:rPr>
        <w:t xml:space="preserve">FERC-725U, Mandatory Reliability Standards for the </w:t>
      </w:r>
      <w:r w:rsidRPr="00F43A7E">
        <w:rPr>
          <w:szCs w:val="26"/>
        </w:rPr>
        <w:br/>
        <w:t>Bulk Power System; CIP Reliability Standards</w:t>
      </w:r>
      <w:r w:rsidRPr="00F43A7E">
        <w:rPr>
          <w:i/>
          <w:szCs w:val="26"/>
        </w:rPr>
        <w:t xml:space="preserve"> </w:t>
      </w:r>
    </w:p>
    <w:p w:rsidR="007C6502" w:rsidRPr="00F43A7E" w:rsidP="007C6502" w14:paraId="08730992" w14:textId="13FAC74C">
      <w:pPr>
        <w:spacing w:line="480" w:lineRule="auto"/>
        <w:rPr>
          <w:szCs w:val="26"/>
          <w:lang w:val="pt-BR"/>
        </w:rPr>
      </w:pPr>
      <w:r w:rsidRPr="00F43A7E">
        <w:rPr>
          <w:i/>
          <w:szCs w:val="26"/>
          <w:lang w:val="pt-BR"/>
        </w:rPr>
        <w:t>OMB Control No.:</w:t>
      </w:r>
      <w:r w:rsidRPr="00F43A7E">
        <w:rPr>
          <w:szCs w:val="26"/>
          <w:lang w:val="pt-BR"/>
        </w:rPr>
        <w:t xml:space="preserve"> </w:t>
      </w:r>
      <w:bookmarkStart w:id="5" w:name="_Hlk111029253"/>
      <w:r w:rsidRPr="00F43A7E" w:rsidR="00B43A2F">
        <w:rPr>
          <w:szCs w:val="26"/>
          <w:lang w:val="pt-BR"/>
        </w:rPr>
        <w:t>1902-0274(FERC-725U)</w:t>
      </w:r>
    </w:p>
    <w:bookmarkEnd w:id="5"/>
    <w:p w:rsidR="007C6502" w:rsidRPr="00F43A7E" w:rsidP="007C6502" w14:paraId="4042E5C3" w14:textId="5C97CB80">
      <w:pPr>
        <w:spacing w:line="480" w:lineRule="auto"/>
        <w:rPr>
          <w:szCs w:val="26"/>
        </w:rPr>
      </w:pPr>
      <w:r w:rsidRPr="00F43A7E">
        <w:rPr>
          <w:i/>
          <w:szCs w:val="26"/>
        </w:rPr>
        <w:t>Type of Request:</w:t>
      </w:r>
      <w:r w:rsidRPr="00F43A7E">
        <w:rPr>
          <w:szCs w:val="26"/>
        </w:rPr>
        <w:t xml:space="preserve"> </w:t>
      </w:r>
      <w:bookmarkStart w:id="6" w:name="_Hlk112931929"/>
      <w:r w:rsidRPr="00F43A7E" w:rsidR="00C53E2E">
        <w:rPr>
          <w:szCs w:val="26"/>
        </w:rPr>
        <w:t>Three-year a</w:t>
      </w:r>
      <w:r w:rsidRPr="00F43A7E">
        <w:rPr>
          <w:szCs w:val="26"/>
        </w:rPr>
        <w:t xml:space="preserve">pproval of </w:t>
      </w:r>
      <w:r w:rsidRPr="00F43A7E" w:rsidR="001339F1">
        <w:rPr>
          <w:szCs w:val="26"/>
        </w:rPr>
        <w:t>the currently approved collection</w:t>
      </w:r>
      <w:r w:rsidRPr="00F43A7E" w:rsidR="005363F8">
        <w:rPr>
          <w:szCs w:val="26"/>
        </w:rPr>
        <w:t>:</w:t>
      </w:r>
      <w:r w:rsidRPr="00F43A7E" w:rsidR="001339F1">
        <w:rPr>
          <w:szCs w:val="26"/>
        </w:rPr>
        <w:t xml:space="preserve"> FERC-725U</w:t>
      </w:r>
      <w:r w:rsidRPr="00F43A7E" w:rsidR="00C53E2E">
        <w:rPr>
          <w:szCs w:val="26"/>
        </w:rPr>
        <w:t xml:space="preserve"> with </w:t>
      </w:r>
      <w:r w:rsidRPr="00F43A7E" w:rsidR="001339F1">
        <w:rPr>
          <w:szCs w:val="26"/>
        </w:rPr>
        <w:t xml:space="preserve">no changes </w:t>
      </w:r>
      <w:r w:rsidRPr="00F43A7E" w:rsidR="00C53E2E">
        <w:rPr>
          <w:szCs w:val="26"/>
        </w:rPr>
        <w:t>to the reporting or recordkeeping requirements.</w:t>
      </w:r>
    </w:p>
    <w:bookmarkEnd w:id="6"/>
    <w:p w:rsidR="00C53E2E" w:rsidRPr="00F43A7E" w:rsidP="00C53E2E" w14:paraId="41D1EB6F" w14:textId="4CF778AA">
      <w:pPr>
        <w:tabs>
          <w:tab w:val="num" w:pos="720"/>
        </w:tabs>
        <w:spacing w:after="260" w:line="480" w:lineRule="auto"/>
        <w:rPr>
          <w:rFonts w:eastAsiaTheme="minorHAnsi"/>
          <w:iCs/>
          <w:szCs w:val="26"/>
        </w:rPr>
      </w:pPr>
      <w:r w:rsidRPr="00F43A7E">
        <w:rPr>
          <w:rFonts w:eastAsiaTheme="minorHAnsi"/>
          <w:i/>
          <w:iCs/>
          <w:szCs w:val="26"/>
        </w:rPr>
        <w:t>Abstract:</w:t>
      </w:r>
      <w:r w:rsidRPr="00F43A7E">
        <w:rPr>
          <w:rFonts w:eastAsiaTheme="minorHAnsi"/>
          <w:szCs w:val="26"/>
        </w:rPr>
        <w:t xml:space="preserve"> </w:t>
      </w:r>
      <w:r w:rsidRPr="00F43A7E">
        <w:rPr>
          <w:rFonts w:eastAsiaTheme="minorHAnsi"/>
          <w:iCs/>
          <w:szCs w:val="26"/>
        </w:rPr>
        <w:t>On August 8, 2005, the Electricity Modernization Act of 2005, which is Title XII of the Energy Policy Act of 2005 (</w:t>
      </w:r>
      <w:r w:rsidRPr="00F43A7E">
        <w:rPr>
          <w:rFonts w:eastAsiaTheme="minorHAnsi"/>
          <w:iCs/>
          <w:szCs w:val="26"/>
        </w:rPr>
        <w:t>EPAct</w:t>
      </w:r>
      <w:r w:rsidRPr="00F43A7E">
        <w:rPr>
          <w:rFonts w:eastAsiaTheme="minorHAnsi"/>
          <w:iCs/>
          <w:szCs w:val="26"/>
        </w:rPr>
        <w:t xml:space="preserve"> 2005), was enacted into law.  </w:t>
      </w:r>
      <w:r w:rsidRPr="00F43A7E">
        <w:rPr>
          <w:rFonts w:eastAsiaTheme="minorHAnsi"/>
          <w:iCs/>
          <w:szCs w:val="26"/>
        </w:rPr>
        <w:t>EPAct</w:t>
      </w:r>
      <w:r w:rsidRPr="00F43A7E">
        <w:rPr>
          <w:rFonts w:eastAsiaTheme="minorHAnsi"/>
          <w:iCs/>
          <w:szCs w:val="26"/>
        </w:rPr>
        <w:t xml:space="preserve"> 2005 added a new section 215 to the Federal Power Act (FPA)</w:t>
      </w:r>
      <w:r>
        <w:rPr>
          <w:rFonts w:eastAsiaTheme="minorHAnsi"/>
          <w:b/>
          <w:iCs/>
          <w:szCs w:val="26"/>
          <w:vertAlign w:val="superscript"/>
        </w:rPr>
        <w:footnoteReference w:id="3"/>
      </w:r>
      <w:r w:rsidRPr="00F43A7E">
        <w:rPr>
          <w:rFonts w:eastAsiaTheme="minorHAnsi"/>
          <w:iCs/>
          <w:szCs w:val="26"/>
        </w:rPr>
        <w:t xml:space="preserve">, which requires a Commission-certified Electric Reliability Organization (ERO) to develop mandatory and enforceable Reliability Standards, subject to Commission review and approval.  Once approved, the Reliability Standards may be enforced by the ERO, subject to Commission oversight, or by the Commission independently.  Section 215 of the FPA requires a Commission-certified ERO to develop mandatory and enforceable Reliability Standards, subject to </w:t>
      </w:r>
      <w:r w:rsidRPr="00F43A7E">
        <w:rPr>
          <w:rFonts w:eastAsiaTheme="minorHAnsi"/>
          <w:iCs/>
          <w:szCs w:val="26"/>
        </w:rPr>
        <w:t xml:space="preserve">Commission review and approval.  Once approved, the Reliability Standards may be enforced by the ERO subject to Commission oversight or by the Commission independently.  In 2006, the Commission certified NERC (now called the North American Electric Reliability Corporation) as the ERO pursuant to section 215 of the FPA. </w:t>
      </w:r>
      <w:r w:rsidRPr="00F43A7E" w:rsidR="00FC6D7B">
        <w:rPr>
          <w:rFonts w:eastAsiaTheme="minorHAnsi"/>
          <w:iCs/>
          <w:szCs w:val="26"/>
        </w:rPr>
        <w:t xml:space="preserve">Reliability Standard CIP-014-3 (Physical Security) is part of the implementation of the Congressional mandate of the Energy Policy Act of 2005 to develop mandatory and enforceable Reliability Standards to better ensure the reliability of the nation’s Bulk Power system.  </w:t>
      </w:r>
      <w:r w:rsidRPr="00F43A7E">
        <w:rPr>
          <w:rFonts w:eastAsiaTheme="minorHAnsi"/>
          <w:iCs/>
          <w:szCs w:val="26"/>
        </w:rPr>
        <w:t>Reliability Standard CIP-014-3 requires applicable transmission owners and transmission operators to identify and protect transmission stations and transmission substations, and their associated primary control centers that if rendered inoperable or damaged resulting from a physical attack could result in widespread instability, uncontrolled separation, or cascading within an Interconnection.</w:t>
      </w:r>
    </w:p>
    <w:p w:rsidR="00C53E2E" w:rsidRPr="00F43A7E" w:rsidP="00C53E2E" w14:paraId="2D41D0C0" w14:textId="377179AD">
      <w:pPr>
        <w:tabs>
          <w:tab w:val="num" w:pos="720"/>
        </w:tabs>
        <w:spacing w:after="260" w:line="480" w:lineRule="auto"/>
        <w:rPr>
          <w:rFonts w:eastAsiaTheme="minorHAnsi"/>
          <w:iCs/>
          <w:szCs w:val="26"/>
        </w:rPr>
      </w:pPr>
      <w:r w:rsidRPr="00F43A7E">
        <w:rPr>
          <w:rFonts w:eastAsiaTheme="minorHAnsi"/>
          <w:iCs/>
          <w:szCs w:val="26"/>
        </w:rPr>
        <w:t>In terms of information collection requirements, an applicable entity must create or maintain documentation showing compliance, when appropriate, with each requirement of the Reliability Standard.  This Reliability Standard CIP-014-3 has six requirements. Transmission owners and transmission operators must keep data or evidence to show compliance with the standard for three years unless directed by its Compliance Enforcement Authority.  If a responsible entity is found non-compliant, it must keep information related to the non-compliance until mitigation is complete and approved, or for three years, whichever is longer.</w:t>
      </w:r>
    </w:p>
    <w:p w:rsidR="00B43A2F" w:rsidRPr="00F43A7E" w:rsidP="00FC6D7B" w14:paraId="59C9E45B" w14:textId="50F21DE8">
      <w:pPr>
        <w:tabs>
          <w:tab w:val="num" w:pos="720"/>
        </w:tabs>
        <w:spacing w:after="260" w:line="480" w:lineRule="auto"/>
        <w:rPr>
          <w:rFonts w:eastAsiaTheme="minorHAnsi"/>
          <w:szCs w:val="26"/>
        </w:rPr>
      </w:pPr>
    </w:p>
    <w:p w:rsidR="00B43A2F" w:rsidRPr="00F43A7E" w:rsidP="00B43A2F" w14:paraId="314A4A28" w14:textId="042EC2EE">
      <w:pPr>
        <w:tabs>
          <w:tab w:val="num" w:pos="720"/>
        </w:tabs>
        <w:spacing w:after="260" w:line="480" w:lineRule="auto"/>
        <w:rPr>
          <w:rFonts w:eastAsiaTheme="minorHAnsi"/>
          <w:szCs w:val="26"/>
        </w:rPr>
      </w:pPr>
      <w:r w:rsidRPr="00F43A7E">
        <w:rPr>
          <w:rFonts w:eastAsiaTheme="minorHAnsi"/>
          <w:szCs w:val="26"/>
        </w:rPr>
        <w:t xml:space="preserve">The number of respondents below is based on an estimate of the NERC compliance registry for transmission owners and transmission </w:t>
      </w:r>
      <w:r w:rsidRPr="00F43A7E" w:rsidR="0042764B">
        <w:rPr>
          <w:rFonts w:eastAsiaTheme="minorHAnsi"/>
          <w:szCs w:val="26"/>
        </w:rPr>
        <w:t>operators</w:t>
      </w:r>
      <w:r w:rsidRPr="00F43A7E">
        <w:rPr>
          <w:rFonts w:eastAsiaTheme="minorHAnsi"/>
          <w:szCs w:val="26"/>
        </w:rPr>
        <w:t xml:space="preserve">.  The Commission based its paperwork burden estimates on the NERC compliance registry as of </w:t>
      </w:r>
      <w:r w:rsidRPr="00F43A7E" w:rsidR="00705ED8">
        <w:rPr>
          <w:rFonts w:eastAsiaTheme="minorHAnsi"/>
          <w:szCs w:val="26"/>
        </w:rPr>
        <w:t xml:space="preserve">April </w:t>
      </w:r>
      <w:r w:rsidRPr="00F43A7E" w:rsidR="008E60DE">
        <w:rPr>
          <w:rFonts w:eastAsiaTheme="minorHAnsi"/>
          <w:szCs w:val="26"/>
        </w:rPr>
        <w:t>20</w:t>
      </w:r>
      <w:r w:rsidRPr="00F43A7E">
        <w:rPr>
          <w:rFonts w:eastAsiaTheme="minorHAnsi"/>
          <w:szCs w:val="26"/>
        </w:rPr>
        <w:t xml:space="preserve">, </w:t>
      </w:r>
      <w:r w:rsidRPr="00F43A7E" w:rsidR="008E60DE">
        <w:rPr>
          <w:rFonts w:eastAsiaTheme="minorHAnsi"/>
          <w:szCs w:val="26"/>
        </w:rPr>
        <w:t>2026</w:t>
      </w:r>
      <w:r w:rsidRPr="00F43A7E">
        <w:rPr>
          <w:rFonts w:eastAsiaTheme="minorHAnsi"/>
          <w:szCs w:val="26"/>
        </w:rPr>
        <w:t xml:space="preserve">.  According to the registry, there are </w:t>
      </w:r>
      <w:r w:rsidRPr="00F43A7E" w:rsidR="003B5A5A">
        <w:rPr>
          <w:rFonts w:eastAsiaTheme="minorHAnsi"/>
          <w:szCs w:val="26"/>
        </w:rPr>
        <w:t xml:space="preserve">341 </w:t>
      </w:r>
      <w:r w:rsidRPr="00F43A7E">
        <w:rPr>
          <w:rFonts w:eastAsiaTheme="minorHAnsi"/>
          <w:szCs w:val="26"/>
        </w:rPr>
        <w:t xml:space="preserve">transmission owners </w:t>
      </w:r>
      <w:r w:rsidRPr="00F43A7E" w:rsidR="00121AE1">
        <w:rPr>
          <w:rFonts w:eastAsiaTheme="minorHAnsi"/>
          <w:szCs w:val="26"/>
        </w:rPr>
        <w:t xml:space="preserve">(TO) </w:t>
      </w:r>
      <w:r w:rsidRPr="00F43A7E">
        <w:rPr>
          <w:rFonts w:eastAsiaTheme="minorHAnsi"/>
          <w:szCs w:val="26"/>
        </w:rPr>
        <w:t xml:space="preserve">and </w:t>
      </w:r>
      <w:r w:rsidRPr="00F43A7E" w:rsidR="00121AE1">
        <w:rPr>
          <w:rFonts w:eastAsiaTheme="minorHAnsi"/>
          <w:szCs w:val="26"/>
        </w:rPr>
        <w:t>170</w:t>
      </w:r>
      <w:r w:rsidRPr="00F43A7E" w:rsidR="00AC0795">
        <w:rPr>
          <w:rFonts w:eastAsiaTheme="minorHAnsi"/>
          <w:szCs w:val="26"/>
        </w:rPr>
        <w:t xml:space="preserve"> </w:t>
      </w:r>
      <w:r w:rsidRPr="00F43A7E">
        <w:rPr>
          <w:rFonts w:eastAsiaTheme="minorHAnsi"/>
          <w:szCs w:val="26"/>
        </w:rPr>
        <w:t xml:space="preserve">transmission </w:t>
      </w:r>
      <w:r w:rsidRPr="00F43A7E" w:rsidR="0042764B">
        <w:rPr>
          <w:rFonts w:eastAsiaTheme="minorHAnsi"/>
          <w:szCs w:val="26"/>
        </w:rPr>
        <w:t xml:space="preserve">operators </w:t>
      </w:r>
      <w:r w:rsidRPr="00F43A7E" w:rsidR="00121AE1">
        <w:rPr>
          <w:rFonts w:eastAsiaTheme="minorHAnsi"/>
          <w:szCs w:val="26"/>
        </w:rPr>
        <w:t xml:space="preserve">(TOP) </w:t>
      </w:r>
      <w:r w:rsidRPr="00F43A7E" w:rsidR="0042764B">
        <w:rPr>
          <w:rFonts w:eastAsiaTheme="minorHAnsi"/>
          <w:szCs w:val="26"/>
        </w:rPr>
        <w:t>who are</w:t>
      </w:r>
      <w:r w:rsidRPr="00F43A7E">
        <w:rPr>
          <w:rFonts w:eastAsiaTheme="minorHAnsi"/>
          <w:szCs w:val="26"/>
        </w:rPr>
        <w:t xml:space="preserve"> </w:t>
      </w:r>
      <w:r w:rsidRPr="00F43A7E" w:rsidR="00121AE1">
        <w:rPr>
          <w:rFonts w:eastAsiaTheme="minorHAnsi"/>
          <w:szCs w:val="26"/>
        </w:rPr>
        <w:t>applicable to CIP-014-3</w:t>
      </w:r>
      <w:r w:rsidRPr="00F43A7E">
        <w:rPr>
          <w:rFonts w:eastAsiaTheme="minorHAnsi"/>
          <w:szCs w:val="26"/>
        </w:rPr>
        <w:t>.  The estimate is based on a zero change in burden from the current standard to the standard approved in this Order.  The Commission based the burden estimate on staff experience, knowledge, and expertise.</w:t>
      </w:r>
    </w:p>
    <w:p w:rsidR="00B43A2F" w:rsidRPr="00F43A7E" w:rsidP="00B43A2F" w14:paraId="0A0BA4DF" w14:textId="4C288FF3">
      <w:pPr>
        <w:tabs>
          <w:tab w:val="num" w:pos="720"/>
        </w:tabs>
        <w:spacing w:after="260" w:line="480" w:lineRule="auto"/>
        <w:rPr>
          <w:rFonts w:eastAsiaTheme="minorHAnsi"/>
          <w:szCs w:val="26"/>
        </w:rPr>
      </w:pPr>
      <w:r w:rsidRPr="00F43A7E">
        <w:rPr>
          <w:rFonts w:eastAsiaTheme="minorHAnsi"/>
          <w:szCs w:val="26"/>
        </w:rPr>
        <w:t xml:space="preserve">For the new Reliability Standard CIP-014-3, the burden for entities remains the same as they will still need to provide the same evidence to demonstrate compliance whether it is kept on-site or loaded electronically into the SEL.  </w:t>
      </w:r>
    </w:p>
    <w:p w:rsidR="00B43A2F" w:rsidRPr="00F43A7E" w:rsidP="00B43A2F" w14:paraId="3EF08FF6" w14:textId="689BB6BE">
      <w:pPr>
        <w:tabs>
          <w:tab w:val="num" w:pos="720"/>
        </w:tabs>
        <w:spacing w:after="260" w:line="480" w:lineRule="auto"/>
        <w:rPr>
          <w:rFonts w:eastAsiaTheme="minorHAnsi"/>
          <w:szCs w:val="26"/>
        </w:rPr>
      </w:pPr>
      <w:r w:rsidRPr="00F43A7E">
        <w:rPr>
          <w:rFonts w:eastAsiaTheme="minorHAnsi"/>
          <w:szCs w:val="26"/>
          <w:u w:val="single"/>
        </w:rPr>
        <w:t>Respondents</w:t>
      </w:r>
      <w:r w:rsidRPr="00F43A7E" w:rsidR="0042764B">
        <w:rPr>
          <w:rFonts w:eastAsiaTheme="minorHAnsi"/>
          <w:szCs w:val="26"/>
        </w:rPr>
        <w:t>:</w:t>
      </w:r>
      <w:r w:rsidRPr="00F43A7E" w:rsidR="0042764B">
        <w:rPr>
          <w:rFonts w:eastAsiaTheme="minorHAnsi"/>
          <w:i/>
          <w:szCs w:val="26"/>
        </w:rPr>
        <w:t xml:space="preserve"> </w:t>
      </w:r>
      <w:r w:rsidRPr="00F43A7E" w:rsidR="0042764B">
        <w:rPr>
          <w:rFonts w:eastAsiaTheme="minorHAnsi"/>
          <w:iCs/>
          <w:szCs w:val="26"/>
        </w:rPr>
        <w:t>Business</w:t>
      </w:r>
      <w:r w:rsidRPr="00F43A7E">
        <w:rPr>
          <w:rFonts w:eastAsiaTheme="minorHAnsi"/>
          <w:iCs/>
          <w:szCs w:val="26"/>
        </w:rPr>
        <w:t xml:space="preserve"> </w:t>
      </w:r>
      <w:r w:rsidRPr="00F43A7E">
        <w:rPr>
          <w:rFonts w:eastAsiaTheme="minorHAnsi"/>
          <w:szCs w:val="26"/>
        </w:rPr>
        <w:t>or other for profit, and not for profit institutions.</w:t>
      </w:r>
    </w:p>
    <w:p w:rsidR="00FC6D7B" w:rsidRPr="00F43A7E" w:rsidP="00B43A2F" w14:paraId="324680A2" w14:textId="77777777">
      <w:pPr>
        <w:tabs>
          <w:tab w:val="num" w:pos="720"/>
        </w:tabs>
        <w:spacing w:after="260" w:line="480" w:lineRule="auto"/>
        <w:rPr>
          <w:rFonts w:eastAsiaTheme="minorHAnsi"/>
          <w:szCs w:val="26"/>
        </w:rPr>
      </w:pPr>
      <w:r w:rsidRPr="00F43A7E">
        <w:rPr>
          <w:rFonts w:eastAsiaTheme="minorHAnsi"/>
          <w:szCs w:val="26"/>
          <w:u w:val="single"/>
        </w:rPr>
        <w:t>Frequency of Responses</w:t>
      </w:r>
      <w:r w:rsidRPr="00F43A7E" w:rsidR="0042764B">
        <w:rPr>
          <w:rFonts w:eastAsiaTheme="minorHAnsi"/>
          <w:szCs w:val="26"/>
        </w:rPr>
        <w:t>: On</w:t>
      </w:r>
      <w:r w:rsidRPr="00F43A7E">
        <w:rPr>
          <w:rFonts w:eastAsiaTheme="minorHAnsi"/>
          <w:szCs w:val="26"/>
        </w:rPr>
        <w:t xml:space="preserve"> occasion. </w:t>
      </w:r>
    </w:p>
    <w:p w:rsidR="00B43A2F" w:rsidRPr="00F43A7E" w:rsidP="00B43A2F" w14:paraId="7BC0A54C" w14:textId="3946239B">
      <w:pPr>
        <w:tabs>
          <w:tab w:val="num" w:pos="720"/>
        </w:tabs>
        <w:spacing w:after="260" w:line="480" w:lineRule="auto"/>
        <w:rPr>
          <w:rFonts w:eastAsiaTheme="minorHAnsi"/>
          <w:szCs w:val="26"/>
        </w:rPr>
      </w:pPr>
      <w:r w:rsidRPr="00F43A7E">
        <w:rPr>
          <w:rFonts w:eastAsiaTheme="minorHAnsi"/>
          <w:szCs w:val="26"/>
        </w:rPr>
        <w:t>Burden Estimates</w:t>
      </w:r>
      <w:r w:rsidRPr="00F43A7E" w:rsidR="0042764B">
        <w:rPr>
          <w:rFonts w:eastAsiaTheme="minorHAnsi"/>
          <w:szCs w:val="26"/>
        </w:rPr>
        <w:t>: The</w:t>
      </w:r>
      <w:r w:rsidRPr="00F43A7E">
        <w:rPr>
          <w:rFonts w:eastAsiaTheme="minorHAnsi"/>
          <w:szCs w:val="26"/>
        </w:rPr>
        <w:t xml:space="preserve"> Commission estimates the</w:t>
      </w:r>
      <w:r w:rsidRPr="00F43A7E" w:rsidR="00C53E2E">
        <w:rPr>
          <w:rFonts w:eastAsiaTheme="minorHAnsi"/>
          <w:szCs w:val="26"/>
        </w:rPr>
        <w:t xml:space="preserve"> following</w:t>
      </w:r>
      <w:r w:rsidRPr="00F43A7E">
        <w:rPr>
          <w:rFonts w:eastAsiaTheme="minorHAnsi"/>
          <w:szCs w:val="26"/>
        </w:rPr>
        <w:t xml:space="preserve"> in the annual public reporting burden and cost</w:t>
      </w:r>
      <w:r>
        <w:rPr>
          <w:rFonts w:eastAsiaTheme="minorHAnsi"/>
          <w:b/>
          <w:szCs w:val="26"/>
          <w:vertAlign w:val="superscript"/>
        </w:rPr>
        <w:footnoteReference w:id="4"/>
      </w:r>
      <w:r w:rsidRPr="00F43A7E">
        <w:rPr>
          <w:rFonts w:eastAsiaTheme="minorHAnsi"/>
          <w:szCs w:val="26"/>
        </w:rPr>
        <w:t xml:space="preserve"> as indicated below:</w:t>
      </w:r>
    </w:p>
    <w:tbl>
      <w:tblPr>
        <w:tblW w:w="5512"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2"/>
        <w:gridCol w:w="1671"/>
        <w:gridCol w:w="1490"/>
        <w:gridCol w:w="1322"/>
        <w:gridCol w:w="1224"/>
        <w:gridCol w:w="1367"/>
        <w:gridCol w:w="1491"/>
      </w:tblGrid>
      <w:tr w14:paraId="00F7FC1A" w14:textId="77777777" w:rsidTr="00F837D0">
        <w:tblPrEx>
          <w:tblW w:w="5512"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53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B43A2F" w:rsidRPr="00F43A7E" w:rsidP="00B43A2F" w14:paraId="28924DD8" w14:textId="77777777">
            <w:pPr>
              <w:jc w:val="center"/>
              <w:rPr>
                <w:b/>
                <w:bCs/>
                <w:color w:val="000000"/>
                <w:szCs w:val="26"/>
              </w:rPr>
            </w:pPr>
            <w:r w:rsidRPr="00F43A7E">
              <w:rPr>
                <w:rFonts w:eastAsia="Calibri"/>
                <w:b/>
                <w:szCs w:val="26"/>
              </w:rPr>
              <w:t>FERC-725U: (Mandatory Reliability Standards: Reliability Standard CIP-014</w:t>
            </w:r>
            <w:r w:rsidRPr="00F43A7E">
              <w:rPr>
                <w:b/>
                <w:bCs/>
                <w:color w:val="000000"/>
                <w:szCs w:val="26"/>
              </w:rPr>
              <w:t>)</w:t>
            </w:r>
          </w:p>
          <w:p w:rsidR="00B43A2F" w:rsidRPr="00F43A7E" w:rsidP="00B43A2F" w14:paraId="0FC12D6A" w14:textId="50000E0E">
            <w:pPr>
              <w:jc w:val="center"/>
              <w:rPr>
                <w:rFonts w:eastAsia="Calibri"/>
                <w:b/>
                <w:szCs w:val="26"/>
              </w:rPr>
            </w:pPr>
          </w:p>
        </w:tc>
      </w:tr>
      <w:tr w14:paraId="23616309" w14:textId="77777777" w:rsidTr="00F837D0">
        <w:tblPrEx>
          <w:tblW w:w="5512" w:type="pct"/>
          <w:tblInd w:w="-185" w:type="dxa"/>
          <w:tblLook w:val="01E0"/>
        </w:tblPrEx>
        <w:trPr>
          <w:cantSplit/>
          <w:trHeight w:val="1907"/>
        </w:trPr>
        <w:tc>
          <w:tcPr>
            <w:tcW w:w="810" w:type="pct"/>
            <w:tcBorders>
              <w:top w:val="single" w:sz="4" w:space="0" w:color="auto"/>
              <w:left w:val="single" w:sz="4" w:space="0" w:color="auto"/>
              <w:bottom w:val="single" w:sz="4" w:space="0" w:color="auto"/>
              <w:right w:val="single" w:sz="4" w:space="0" w:color="auto"/>
            </w:tcBorders>
            <w:shd w:val="clear" w:color="auto" w:fill="D9D9D9"/>
          </w:tcPr>
          <w:p w:rsidR="00B43A2F" w:rsidRPr="00F43A7E" w:rsidP="00B43A2F" w14:paraId="448F1496" w14:textId="77777777">
            <w:pPr>
              <w:jc w:val="center"/>
              <w:rPr>
                <w:rFonts w:eastAsia="Calibri"/>
                <w:b/>
                <w:bCs/>
                <w:szCs w:val="26"/>
              </w:rPr>
            </w:pPr>
            <w:r w:rsidRPr="00F43A7E">
              <w:rPr>
                <w:rFonts w:eastAsia="Calibri"/>
                <w:szCs w:val="26"/>
              </w:rPr>
              <w:br/>
            </w:r>
            <w:r w:rsidRPr="00F43A7E">
              <w:rPr>
                <w:rFonts w:eastAsia="Calibri"/>
                <w:szCs w:val="26"/>
              </w:rPr>
              <w:br/>
            </w:r>
            <w:r w:rsidRPr="00F43A7E">
              <w:rPr>
                <w:rFonts w:eastAsia="Calibri"/>
                <w:szCs w:val="26"/>
              </w:rPr>
              <w:br/>
            </w:r>
            <w:r w:rsidRPr="00F43A7E">
              <w:rPr>
                <w:rFonts w:eastAsia="Calibri"/>
                <w:szCs w:val="26"/>
              </w:rPr>
              <w:br/>
            </w:r>
          </w:p>
        </w:tc>
        <w:tc>
          <w:tcPr>
            <w:tcW w:w="77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43A2F" w:rsidRPr="00F43A7E" w:rsidP="00B43A2F" w14:paraId="40159F9A" w14:textId="77777777">
            <w:pPr>
              <w:jc w:val="center"/>
              <w:rPr>
                <w:rFonts w:eastAsia="Calibri"/>
                <w:b/>
                <w:szCs w:val="26"/>
              </w:rPr>
            </w:pPr>
            <w:r w:rsidRPr="00F43A7E">
              <w:rPr>
                <w:rFonts w:eastAsia="Calibri"/>
                <w:b/>
                <w:szCs w:val="26"/>
              </w:rPr>
              <w:t>Number of Respondents</w:t>
            </w:r>
            <w:r>
              <w:rPr>
                <w:rFonts w:eastAsia="Calibri"/>
                <w:b/>
                <w:szCs w:val="26"/>
                <w:vertAlign w:val="superscript"/>
              </w:rPr>
              <w:footnoteReference w:id="5"/>
            </w:r>
            <w:r w:rsidRPr="00F43A7E">
              <w:rPr>
                <w:rFonts w:eastAsia="Calibri"/>
                <w:b/>
                <w:szCs w:val="26"/>
              </w:rPr>
              <w:br/>
              <w:t>(1)</w:t>
            </w:r>
          </w:p>
        </w:tc>
        <w:tc>
          <w:tcPr>
            <w:tcW w:w="69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43A2F" w:rsidRPr="00F43A7E" w:rsidP="00B43A2F" w14:paraId="1898A579" w14:textId="77777777">
            <w:pPr>
              <w:jc w:val="center"/>
              <w:rPr>
                <w:rFonts w:eastAsia="Calibri"/>
                <w:b/>
                <w:szCs w:val="26"/>
              </w:rPr>
            </w:pPr>
            <w:r w:rsidRPr="00F43A7E">
              <w:rPr>
                <w:rFonts w:eastAsia="Calibri"/>
                <w:b/>
                <w:szCs w:val="26"/>
              </w:rPr>
              <w:t>Number of Responses per Respondent</w:t>
            </w:r>
          </w:p>
          <w:p w:rsidR="00B43A2F" w:rsidRPr="00F43A7E" w:rsidP="00B43A2F" w14:paraId="3310D438" w14:textId="77777777">
            <w:pPr>
              <w:jc w:val="center"/>
              <w:rPr>
                <w:rFonts w:eastAsia="Calibri"/>
                <w:b/>
                <w:szCs w:val="26"/>
              </w:rPr>
            </w:pPr>
            <w:r w:rsidRPr="00F43A7E">
              <w:rPr>
                <w:rFonts w:eastAsia="Calibri"/>
                <w:b/>
                <w:szCs w:val="26"/>
              </w:rPr>
              <w:t>(2)</w:t>
            </w:r>
          </w:p>
        </w:tc>
        <w:tc>
          <w:tcPr>
            <w:tcW w:w="61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43A2F" w:rsidRPr="00F43A7E" w:rsidP="00B43A2F" w14:paraId="27AA4A34" w14:textId="7C20F129">
            <w:pPr>
              <w:jc w:val="center"/>
              <w:rPr>
                <w:rFonts w:eastAsia="Calibri"/>
                <w:b/>
                <w:szCs w:val="26"/>
              </w:rPr>
            </w:pPr>
            <w:r w:rsidRPr="00F43A7E">
              <w:rPr>
                <w:rFonts w:eastAsia="Calibri"/>
                <w:b/>
                <w:szCs w:val="26"/>
              </w:rPr>
              <w:t>Total Number of Responses (</w:t>
            </w:r>
            <w:r w:rsidRPr="00F43A7E" w:rsidR="0042764B">
              <w:rPr>
                <w:rFonts w:eastAsia="Calibri"/>
                <w:b/>
                <w:szCs w:val="26"/>
              </w:rPr>
              <w:t>1) *</w:t>
            </w:r>
            <w:r w:rsidRPr="00F43A7E">
              <w:rPr>
                <w:rFonts w:eastAsia="Calibri"/>
                <w:b/>
                <w:szCs w:val="26"/>
              </w:rPr>
              <w:t>(</w:t>
            </w:r>
            <w:r w:rsidRPr="00F43A7E">
              <w:rPr>
                <w:rFonts w:eastAsia="Calibri"/>
                <w:b/>
                <w:szCs w:val="26"/>
              </w:rPr>
              <w:t>2)=</w:t>
            </w:r>
            <w:r w:rsidRPr="00F43A7E">
              <w:rPr>
                <w:rFonts w:eastAsia="Calibri"/>
                <w:b/>
                <w:szCs w:val="26"/>
              </w:rPr>
              <w:t>(3)</w:t>
            </w:r>
          </w:p>
        </w:tc>
        <w:tc>
          <w:tcPr>
            <w:tcW w:w="57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43A2F" w:rsidRPr="00F43A7E" w:rsidP="00B43A2F" w14:paraId="4AED68E8" w14:textId="77777777">
            <w:pPr>
              <w:jc w:val="center"/>
              <w:rPr>
                <w:rFonts w:eastAsia="Calibri"/>
                <w:b/>
                <w:szCs w:val="26"/>
              </w:rPr>
            </w:pPr>
            <w:r w:rsidRPr="00F43A7E">
              <w:rPr>
                <w:rFonts w:eastAsia="Calibri"/>
                <w:b/>
                <w:szCs w:val="26"/>
              </w:rPr>
              <w:t xml:space="preserve">Average </w:t>
            </w:r>
            <w:r w:rsidRPr="00F43A7E">
              <w:rPr>
                <w:rFonts w:eastAsia="Calibri"/>
                <w:b/>
                <w:szCs w:val="26"/>
              </w:rPr>
              <w:t>Burden</w:t>
            </w:r>
            <w:r w:rsidRPr="00F43A7E">
              <w:rPr>
                <w:rFonts w:eastAsia="Calibri"/>
                <w:b/>
                <w:szCs w:val="26"/>
              </w:rPr>
              <w:t xml:space="preserve"> Hours &amp; Cost Per Response</w:t>
            </w:r>
          </w:p>
          <w:p w:rsidR="00B43A2F" w:rsidRPr="00F43A7E" w:rsidP="00B43A2F" w14:paraId="10DE7915" w14:textId="77777777">
            <w:pPr>
              <w:jc w:val="center"/>
              <w:rPr>
                <w:rFonts w:eastAsia="Calibri"/>
                <w:b/>
                <w:szCs w:val="26"/>
              </w:rPr>
            </w:pPr>
            <w:r w:rsidRPr="00F43A7E">
              <w:rPr>
                <w:rFonts w:eastAsia="Calibri"/>
                <w:b/>
                <w:szCs w:val="26"/>
              </w:rPr>
              <w:t>(4)</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43A2F" w:rsidRPr="00F43A7E" w:rsidP="00B43A2F" w14:paraId="41D7C437" w14:textId="77777777">
            <w:pPr>
              <w:jc w:val="center"/>
              <w:rPr>
                <w:rFonts w:eastAsia="Calibri"/>
                <w:b/>
                <w:szCs w:val="26"/>
              </w:rPr>
            </w:pPr>
            <w:r w:rsidRPr="00F43A7E">
              <w:rPr>
                <w:rFonts w:eastAsia="Calibri"/>
                <w:b/>
                <w:szCs w:val="26"/>
              </w:rPr>
              <w:t>Total Burden Hours &amp; Total Cost</w:t>
            </w:r>
          </w:p>
          <w:p w:rsidR="00B43A2F" w:rsidRPr="00F43A7E" w:rsidP="00B43A2F" w14:paraId="4E956AB9" w14:textId="77777777">
            <w:pPr>
              <w:jc w:val="center"/>
              <w:rPr>
                <w:rFonts w:eastAsia="Calibri"/>
                <w:b/>
                <w:szCs w:val="26"/>
              </w:rPr>
            </w:pPr>
            <w:r w:rsidRPr="00F43A7E">
              <w:rPr>
                <w:rFonts w:eastAsia="Calibri"/>
                <w:b/>
                <w:szCs w:val="26"/>
              </w:rPr>
              <w:t>(</w:t>
            </w:r>
            <w:r w:rsidRPr="00F43A7E">
              <w:rPr>
                <w:rFonts w:eastAsia="Calibri"/>
                <w:b/>
                <w:szCs w:val="26"/>
              </w:rPr>
              <w:t>3)*</w:t>
            </w:r>
            <w:r w:rsidRPr="00F43A7E">
              <w:rPr>
                <w:rFonts w:eastAsia="Calibri"/>
                <w:b/>
                <w:szCs w:val="26"/>
              </w:rPr>
              <w:t>(</w:t>
            </w:r>
            <w:r w:rsidRPr="00F43A7E">
              <w:rPr>
                <w:rFonts w:eastAsia="Calibri"/>
                <w:b/>
                <w:szCs w:val="26"/>
              </w:rPr>
              <w:t>4)=</w:t>
            </w:r>
            <w:r w:rsidRPr="00F43A7E">
              <w:rPr>
                <w:rFonts w:eastAsia="Calibri"/>
                <w:b/>
                <w:szCs w:val="26"/>
              </w:rPr>
              <w:t>(5)</w:t>
            </w:r>
          </w:p>
          <w:p w:rsidR="00915355" w:rsidRPr="00F43A7E" w:rsidP="00B43A2F" w14:paraId="0D8F448E" w14:textId="3A7923A9">
            <w:pPr>
              <w:jc w:val="center"/>
              <w:rPr>
                <w:rFonts w:eastAsia="Calibri"/>
                <w:b/>
                <w:szCs w:val="26"/>
              </w:rPr>
            </w:pPr>
            <w:r w:rsidRPr="00F43A7E">
              <w:rPr>
                <w:rFonts w:eastAsia="Calibri"/>
                <w:b/>
                <w:szCs w:val="26"/>
              </w:rPr>
              <w:t>(rounded)</w:t>
            </w:r>
          </w:p>
        </w:tc>
        <w:tc>
          <w:tcPr>
            <w:tcW w:w="694" w:type="pct"/>
            <w:tcBorders>
              <w:top w:val="single" w:sz="4" w:space="0" w:color="auto"/>
              <w:left w:val="single" w:sz="4" w:space="0" w:color="auto"/>
              <w:bottom w:val="single" w:sz="4" w:space="0" w:color="auto"/>
              <w:right w:val="single" w:sz="4" w:space="0" w:color="auto"/>
            </w:tcBorders>
            <w:shd w:val="clear" w:color="auto" w:fill="D9D9D9"/>
            <w:vAlign w:val="bottom"/>
          </w:tcPr>
          <w:p w:rsidR="00B43A2F" w:rsidRPr="00F43A7E" w:rsidP="00B43A2F" w14:paraId="4C45B581" w14:textId="77777777">
            <w:pPr>
              <w:jc w:val="center"/>
              <w:rPr>
                <w:rFonts w:eastAsia="Calibri"/>
                <w:b/>
                <w:szCs w:val="26"/>
              </w:rPr>
            </w:pPr>
            <w:r w:rsidRPr="00F43A7E">
              <w:rPr>
                <w:rFonts w:eastAsia="Calibri"/>
                <w:b/>
                <w:szCs w:val="26"/>
              </w:rPr>
              <w:t>Average Cost per Respondent</w:t>
            </w:r>
          </w:p>
          <w:p w:rsidR="00B43A2F" w:rsidRPr="00F43A7E" w:rsidP="00B43A2F" w14:paraId="2950FF5D" w14:textId="77777777">
            <w:pPr>
              <w:jc w:val="center"/>
              <w:rPr>
                <w:rFonts w:eastAsia="Calibri"/>
                <w:b/>
                <w:szCs w:val="26"/>
              </w:rPr>
            </w:pPr>
            <w:r w:rsidRPr="00F43A7E">
              <w:rPr>
                <w:rFonts w:eastAsia="Calibri"/>
                <w:b/>
                <w:szCs w:val="26"/>
              </w:rPr>
              <w:t>(</w:t>
            </w:r>
            <w:r w:rsidRPr="00F43A7E">
              <w:rPr>
                <w:rFonts w:eastAsia="Calibri"/>
                <w:b/>
                <w:szCs w:val="26"/>
              </w:rPr>
              <w:t>5)÷</w:t>
            </w:r>
            <w:r w:rsidRPr="00F43A7E">
              <w:rPr>
                <w:rFonts w:eastAsia="Calibri"/>
                <w:b/>
                <w:szCs w:val="26"/>
              </w:rPr>
              <w:t>(1)</w:t>
            </w:r>
          </w:p>
        </w:tc>
      </w:tr>
      <w:tr w14:paraId="7882F81C" w14:textId="77777777" w:rsidTr="006A6E19">
        <w:tblPrEx>
          <w:tblW w:w="5512" w:type="pct"/>
          <w:tblInd w:w="-185" w:type="dxa"/>
          <w:tblLook w:val="01E0"/>
        </w:tblPrEx>
        <w:trPr>
          <w:cantSplit/>
          <w:trHeight w:val="566"/>
        </w:trPr>
        <w:tc>
          <w:tcPr>
            <w:tcW w:w="810" w:type="pct"/>
            <w:vMerge w:val="restart"/>
            <w:tcBorders>
              <w:top w:val="single" w:sz="4" w:space="0" w:color="auto"/>
              <w:left w:val="single" w:sz="4" w:space="0" w:color="auto"/>
              <w:right w:val="single" w:sz="4" w:space="0" w:color="auto"/>
            </w:tcBorders>
          </w:tcPr>
          <w:p w:rsidR="00121AE1" w:rsidRPr="00F43A7E" w:rsidP="00B43A2F" w14:paraId="6A211859" w14:textId="77777777">
            <w:pPr>
              <w:widowControl w:val="0"/>
              <w:autoSpaceDE w:val="0"/>
              <w:autoSpaceDN w:val="0"/>
              <w:adjustRightInd w:val="0"/>
              <w:jc w:val="right"/>
              <w:rPr>
                <w:szCs w:val="26"/>
              </w:rPr>
            </w:pPr>
            <w:r w:rsidRPr="00F43A7E">
              <w:rPr>
                <w:szCs w:val="26"/>
              </w:rPr>
              <w:t xml:space="preserve"> Change Annual Reporting and Recordkeeping </w:t>
            </w:r>
          </w:p>
        </w:tc>
        <w:tc>
          <w:tcPr>
            <w:tcW w:w="778" w:type="pct"/>
            <w:tcBorders>
              <w:top w:val="single" w:sz="4" w:space="0" w:color="auto"/>
              <w:left w:val="single" w:sz="4" w:space="0" w:color="auto"/>
              <w:bottom w:val="single" w:sz="4" w:space="0" w:color="auto"/>
              <w:right w:val="single" w:sz="4" w:space="0" w:color="auto"/>
            </w:tcBorders>
          </w:tcPr>
          <w:p w:rsidR="00121AE1" w:rsidRPr="00F43A7E" w:rsidP="00B43A2F" w14:paraId="12B0047F" w14:textId="695B7DC9">
            <w:pPr>
              <w:jc w:val="right"/>
              <w:rPr>
                <w:rFonts w:eastAsia="Calibri"/>
                <w:szCs w:val="26"/>
              </w:rPr>
            </w:pPr>
            <w:r w:rsidRPr="00F43A7E">
              <w:rPr>
                <w:rFonts w:eastAsia="Calibri"/>
                <w:szCs w:val="26"/>
              </w:rPr>
              <w:t>341 (TO)</w:t>
            </w:r>
          </w:p>
          <w:p w:rsidR="00121AE1" w:rsidRPr="00F43A7E" w:rsidP="00B43A2F" w14:paraId="05A940C6" w14:textId="77777777">
            <w:pPr>
              <w:widowControl w:val="0"/>
              <w:autoSpaceDE w:val="0"/>
              <w:autoSpaceDN w:val="0"/>
              <w:adjustRightInd w:val="0"/>
              <w:jc w:val="right"/>
              <w:rPr>
                <w:szCs w:val="26"/>
              </w:rPr>
            </w:pPr>
          </w:p>
        </w:tc>
        <w:tc>
          <w:tcPr>
            <w:tcW w:w="694" w:type="pct"/>
            <w:tcBorders>
              <w:top w:val="single" w:sz="4" w:space="0" w:color="auto"/>
              <w:left w:val="single" w:sz="4" w:space="0" w:color="auto"/>
              <w:bottom w:val="single" w:sz="4" w:space="0" w:color="auto"/>
              <w:right w:val="single" w:sz="4" w:space="0" w:color="auto"/>
            </w:tcBorders>
          </w:tcPr>
          <w:p w:rsidR="00121AE1" w:rsidRPr="00F43A7E" w:rsidP="00B43A2F" w14:paraId="4926AE17" w14:textId="77777777">
            <w:pPr>
              <w:widowControl w:val="0"/>
              <w:autoSpaceDE w:val="0"/>
              <w:autoSpaceDN w:val="0"/>
              <w:adjustRightInd w:val="0"/>
              <w:jc w:val="right"/>
              <w:rPr>
                <w:szCs w:val="26"/>
              </w:rPr>
            </w:pPr>
            <w:r w:rsidRPr="00F43A7E">
              <w:rPr>
                <w:rFonts w:eastAsia="Calibri"/>
                <w:szCs w:val="26"/>
              </w:rPr>
              <w:t>1</w:t>
            </w:r>
          </w:p>
        </w:tc>
        <w:tc>
          <w:tcPr>
            <w:tcW w:w="616" w:type="pct"/>
            <w:tcBorders>
              <w:top w:val="single" w:sz="4" w:space="0" w:color="auto"/>
              <w:left w:val="single" w:sz="4" w:space="0" w:color="auto"/>
              <w:bottom w:val="single" w:sz="4" w:space="0" w:color="auto"/>
              <w:right w:val="single" w:sz="4" w:space="0" w:color="auto"/>
            </w:tcBorders>
          </w:tcPr>
          <w:p w:rsidR="00121AE1" w:rsidRPr="00F43A7E" w:rsidP="00B43A2F" w14:paraId="6BF1911A" w14:textId="75F57D0E">
            <w:pPr>
              <w:widowControl w:val="0"/>
              <w:autoSpaceDE w:val="0"/>
              <w:autoSpaceDN w:val="0"/>
              <w:adjustRightInd w:val="0"/>
              <w:jc w:val="right"/>
              <w:rPr>
                <w:szCs w:val="26"/>
              </w:rPr>
            </w:pPr>
            <w:r w:rsidRPr="00F43A7E">
              <w:rPr>
                <w:szCs w:val="26"/>
              </w:rPr>
              <w:t>341</w:t>
            </w:r>
          </w:p>
        </w:tc>
        <w:tc>
          <w:tcPr>
            <w:tcW w:w="571" w:type="pct"/>
            <w:tcBorders>
              <w:top w:val="single" w:sz="4" w:space="0" w:color="auto"/>
              <w:left w:val="single" w:sz="4" w:space="0" w:color="auto"/>
              <w:bottom w:val="single" w:sz="4" w:space="0" w:color="auto"/>
              <w:right w:val="single" w:sz="4" w:space="0" w:color="auto"/>
            </w:tcBorders>
          </w:tcPr>
          <w:p w:rsidR="00121AE1" w:rsidRPr="00F43A7E" w:rsidP="00B43A2F" w14:paraId="2D58901A" w14:textId="65CB77A5">
            <w:pPr>
              <w:widowControl w:val="0"/>
              <w:autoSpaceDE w:val="0"/>
              <w:autoSpaceDN w:val="0"/>
              <w:adjustRightInd w:val="0"/>
              <w:jc w:val="right"/>
              <w:rPr>
                <w:rFonts w:eastAsia="Calibri"/>
                <w:szCs w:val="26"/>
              </w:rPr>
            </w:pPr>
            <w:r w:rsidRPr="00F43A7E">
              <w:rPr>
                <w:rFonts w:eastAsia="Calibri"/>
                <w:szCs w:val="26"/>
              </w:rPr>
              <w:t>32</w:t>
            </w:r>
            <w:r w:rsidRPr="00F43A7E">
              <w:rPr>
                <w:rFonts w:eastAsia="Calibri"/>
                <w:szCs w:val="26"/>
              </w:rPr>
              <w:t xml:space="preserve"> hrs.;</w:t>
            </w:r>
          </w:p>
          <w:p w:rsidR="00121AE1" w:rsidRPr="00F43A7E" w:rsidP="00B43A2F" w14:paraId="399D0073" w14:textId="118E5005">
            <w:pPr>
              <w:widowControl w:val="0"/>
              <w:autoSpaceDE w:val="0"/>
              <w:autoSpaceDN w:val="0"/>
              <w:adjustRightInd w:val="0"/>
              <w:jc w:val="right"/>
              <w:rPr>
                <w:szCs w:val="26"/>
              </w:rPr>
            </w:pPr>
            <w:r w:rsidRPr="00F43A7E">
              <w:rPr>
                <w:rFonts w:eastAsia="Calibri"/>
                <w:szCs w:val="26"/>
              </w:rPr>
              <w:t>$</w:t>
            </w:r>
            <w:r w:rsidRPr="00F43A7E" w:rsidR="009F1919">
              <w:rPr>
                <w:rFonts w:eastAsia="Calibri"/>
                <w:szCs w:val="26"/>
              </w:rPr>
              <w:t>2,032.64</w:t>
            </w:r>
          </w:p>
        </w:tc>
        <w:tc>
          <w:tcPr>
            <w:tcW w:w="839" w:type="pct"/>
            <w:tcBorders>
              <w:top w:val="single" w:sz="4" w:space="0" w:color="auto"/>
              <w:left w:val="single" w:sz="4" w:space="0" w:color="auto"/>
              <w:bottom w:val="single" w:sz="4" w:space="0" w:color="auto"/>
              <w:right w:val="single" w:sz="4" w:space="0" w:color="auto"/>
            </w:tcBorders>
          </w:tcPr>
          <w:p w:rsidR="00121AE1" w:rsidRPr="00F43A7E" w:rsidP="00B43A2F" w14:paraId="57270ECC" w14:textId="76FC4FDF">
            <w:pPr>
              <w:widowControl w:val="0"/>
              <w:autoSpaceDE w:val="0"/>
              <w:autoSpaceDN w:val="0"/>
              <w:adjustRightInd w:val="0"/>
              <w:ind w:left="-108"/>
              <w:jc w:val="right"/>
              <w:rPr>
                <w:rFonts w:eastAsia="Calibri"/>
                <w:szCs w:val="26"/>
              </w:rPr>
            </w:pPr>
            <w:r w:rsidRPr="00F43A7E">
              <w:rPr>
                <w:rFonts w:eastAsia="Calibri"/>
                <w:szCs w:val="26"/>
              </w:rPr>
              <w:t>10,912</w:t>
            </w:r>
            <w:r w:rsidRPr="00F43A7E">
              <w:rPr>
                <w:rFonts w:eastAsia="Calibri"/>
                <w:szCs w:val="26"/>
              </w:rPr>
              <w:t xml:space="preserve"> hrs.;</w:t>
            </w:r>
          </w:p>
          <w:p w:rsidR="00121AE1" w:rsidRPr="00F43A7E" w:rsidP="00B43A2F" w14:paraId="106F8BD8" w14:textId="4891282E">
            <w:pPr>
              <w:widowControl w:val="0"/>
              <w:autoSpaceDE w:val="0"/>
              <w:autoSpaceDN w:val="0"/>
              <w:adjustRightInd w:val="0"/>
              <w:ind w:left="-108"/>
              <w:jc w:val="right"/>
              <w:rPr>
                <w:szCs w:val="26"/>
              </w:rPr>
            </w:pPr>
            <w:r w:rsidRPr="00F43A7E">
              <w:rPr>
                <w:szCs w:val="26"/>
              </w:rPr>
              <w:t>$</w:t>
            </w:r>
            <w:r w:rsidRPr="00F43A7E" w:rsidR="00915355">
              <w:rPr>
                <w:szCs w:val="26"/>
              </w:rPr>
              <w:t>693,130</w:t>
            </w:r>
          </w:p>
        </w:tc>
        <w:tc>
          <w:tcPr>
            <w:tcW w:w="694" w:type="pct"/>
            <w:tcBorders>
              <w:top w:val="single" w:sz="4" w:space="0" w:color="auto"/>
              <w:left w:val="single" w:sz="4" w:space="0" w:color="auto"/>
              <w:bottom w:val="single" w:sz="4" w:space="0" w:color="auto"/>
              <w:right w:val="single" w:sz="4" w:space="0" w:color="auto"/>
            </w:tcBorders>
          </w:tcPr>
          <w:p w:rsidR="00455269" w:rsidRPr="00F43A7E" w:rsidP="00455269" w14:paraId="4506BC7A" w14:textId="77777777">
            <w:pPr>
              <w:widowControl w:val="0"/>
              <w:autoSpaceDE w:val="0"/>
              <w:autoSpaceDN w:val="0"/>
              <w:adjustRightInd w:val="0"/>
              <w:jc w:val="right"/>
              <w:rPr>
                <w:rFonts w:eastAsia="Calibri"/>
                <w:szCs w:val="26"/>
              </w:rPr>
            </w:pPr>
            <w:r w:rsidRPr="00F43A7E">
              <w:rPr>
                <w:rFonts w:eastAsia="Calibri"/>
                <w:szCs w:val="26"/>
              </w:rPr>
              <w:t>32 hrs.;</w:t>
            </w:r>
          </w:p>
          <w:p w:rsidR="00121AE1" w:rsidRPr="00F43A7E" w:rsidP="00B43A2F" w14:paraId="1FED953D" w14:textId="0CAC19AF">
            <w:pPr>
              <w:widowControl w:val="0"/>
              <w:autoSpaceDE w:val="0"/>
              <w:autoSpaceDN w:val="0"/>
              <w:adjustRightInd w:val="0"/>
              <w:ind w:left="-108"/>
              <w:jc w:val="right"/>
              <w:rPr>
                <w:szCs w:val="26"/>
              </w:rPr>
            </w:pPr>
            <w:r w:rsidRPr="00F43A7E">
              <w:rPr>
                <w:rFonts w:eastAsia="Calibri"/>
                <w:szCs w:val="26"/>
              </w:rPr>
              <w:t>$2,032.64</w:t>
            </w:r>
          </w:p>
        </w:tc>
      </w:tr>
      <w:tr w14:paraId="089144DC" w14:textId="77777777" w:rsidTr="006A6E19">
        <w:tblPrEx>
          <w:tblW w:w="5512" w:type="pct"/>
          <w:tblInd w:w="-185" w:type="dxa"/>
          <w:tblLook w:val="01E0"/>
        </w:tblPrEx>
        <w:trPr>
          <w:cantSplit/>
          <w:trHeight w:val="566"/>
        </w:trPr>
        <w:tc>
          <w:tcPr>
            <w:tcW w:w="810" w:type="pct"/>
            <w:vMerge/>
            <w:tcBorders>
              <w:left w:val="single" w:sz="4" w:space="0" w:color="auto"/>
              <w:bottom w:val="single" w:sz="4" w:space="0" w:color="auto"/>
              <w:right w:val="single" w:sz="4" w:space="0" w:color="auto"/>
            </w:tcBorders>
          </w:tcPr>
          <w:p w:rsidR="00121AE1" w:rsidRPr="00F43A7E" w:rsidP="00B43A2F" w14:paraId="3ADCBC4D" w14:textId="77777777">
            <w:pPr>
              <w:widowControl w:val="0"/>
              <w:autoSpaceDE w:val="0"/>
              <w:autoSpaceDN w:val="0"/>
              <w:adjustRightInd w:val="0"/>
              <w:jc w:val="right"/>
              <w:rPr>
                <w:szCs w:val="26"/>
              </w:rPr>
            </w:pPr>
          </w:p>
        </w:tc>
        <w:tc>
          <w:tcPr>
            <w:tcW w:w="778" w:type="pct"/>
            <w:tcBorders>
              <w:top w:val="single" w:sz="4" w:space="0" w:color="auto"/>
              <w:left w:val="single" w:sz="4" w:space="0" w:color="auto"/>
              <w:bottom w:val="single" w:sz="4" w:space="0" w:color="auto"/>
              <w:right w:val="single" w:sz="4" w:space="0" w:color="auto"/>
            </w:tcBorders>
          </w:tcPr>
          <w:p w:rsidR="00121AE1" w:rsidRPr="00F43A7E" w:rsidP="00B43A2F" w14:paraId="4130B834" w14:textId="6D648AC2">
            <w:pPr>
              <w:jc w:val="right"/>
              <w:rPr>
                <w:rFonts w:eastAsia="Calibri"/>
                <w:szCs w:val="26"/>
              </w:rPr>
            </w:pPr>
            <w:r w:rsidRPr="00F43A7E">
              <w:rPr>
                <w:rFonts w:eastAsia="Calibri"/>
                <w:szCs w:val="26"/>
              </w:rPr>
              <w:t>170 (TOP)</w:t>
            </w:r>
          </w:p>
        </w:tc>
        <w:tc>
          <w:tcPr>
            <w:tcW w:w="694" w:type="pct"/>
            <w:tcBorders>
              <w:top w:val="single" w:sz="4" w:space="0" w:color="auto"/>
              <w:left w:val="single" w:sz="4" w:space="0" w:color="auto"/>
              <w:bottom w:val="single" w:sz="4" w:space="0" w:color="auto"/>
              <w:right w:val="single" w:sz="4" w:space="0" w:color="auto"/>
            </w:tcBorders>
          </w:tcPr>
          <w:p w:rsidR="00121AE1" w:rsidRPr="00F43A7E" w:rsidP="00B43A2F" w14:paraId="051781C1" w14:textId="67C6E2B4">
            <w:pPr>
              <w:widowControl w:val="0"/>
              <w:autoSpaceDE w:val="0"/>
              <w:autoSpaceDN w:val="0"/>
              <w:adjustRightInd w:val="0"/>
              <w:jc w:val="right"/>
              <w:rPr>
                <w:rFonts w:eastAsia="Calibri"/>
                <w:szCs w:val="26"/>
              </w:rPr>
            </w:pPr>
            <w:r w:rsidRPr="00F43A7E">
              <w:rPr>
                <w:rFonts w:eastAsia="Calibri"/>
                <w:szCs w:val="26"/>
              </w:rPr>
              <w:t>1</w:t>
            </w:r>
          </w:p>
        </w:tc>
        <w:tc>
          <w:tcPr>
            <w:tcW w:w="616" w:type="pct"/>
            <w:tcBorders>
              <w:top w:val="single" w:sz="4" w:space="0" w:color="auto"/>
              <w:left w:val="single" w:sz="4" w:space="0" w:color="auto"/>
              <w:bottom w:val="single" w:sz="4" w:space="0" w:color="auto"/>
              <w:right w:val="single" w:sz="4" w:space="0" w:color="auto"/>
            </w:tcBorders>
          </w:tcPr>
          <w:p w:rsidR="00121AE1" w:rsidRPr="00F43A7E" w:rsidP="00B43A2F" w14:paraId="71D97AF0" w14:textId="5DBDA222">
            <w:pPr>
              <w:widowControl w:val="0"/>
              <w:autoSpaceDE w:val="0"/>
              <w:autoSpaceDN w:val="0"/>
              <w:adjustRightInd w:val="0"/>
              <w:jc w:val="right"/>
              <w:rPr>
                <w:szCs w:val="26"/>
              </w:rPr>
            </w:pPr>
            <w:r w:rsidRPr="00F43A7E">
              <w:rPr>
                <w:szCs w:val="26"/>
              </w:rPr>
              <w:t>170</w:t>
            </w:r>
          </w:p>
        </w:tc>
        <w:tc>
          <w:tcPr>
            <w:tcW w:w="571" w:type="pct"/>
            <w:tcBorders>
              <w:top w:val="single" w:sz="4" w:space="0" w:color="auto"/>
              <w:left w:val="single" w:sz="4" w:space="0" w:color="auto"/>
              <w:bottom w:val="single" w:sz="4" w:space="0" w:color="auto"/>
              <w:right w:val="single" w:sz="4" w:space="0" w:color="auto"/>
            </w:tcBorders>
          </w:tcPr>
          <w:p w:rsidR="00F837D0" w:rsidRPr="00F43A7E" w:rsidP="00F837D0" w14:paraId="2DEB5605" w14:textId="77777777">
            <w:pPr>
              <w:widowControl w:val="0"/>
              <w:autoSpaceDE w:val="0"/>
              <w:autoSpaceDN w:val="0"/>
              <w:adjustRightInd w:val="0"/>
              <w:jc w:val="right"/>
              <w:rPr>
                <w:rFonts w:eastAsia="Calibri"/>
                <w:szCs w:val="26"/>
              </w:rPr>
            </w:pPr>
            <w:r w:rsidRPr="00F43A7E">
              <w:rPr>
                <w:rFonts w:eastAsia="Calibri"/>
                <w:szCs w:val="26"/>
              </w:rPr>
              <w:t>32 hrs.;</w:t>
            </w:r>
          </w:p>
          <w:p w:rsidR="00121AE1" w:rsidRPr="00F43A7E" w:rsidP="00F837D0" w14:paraId="3F4E415F" w14:textId="279DCCEA">
            <w:pPr>
              <w:widowControl w:val="0"/>
              <w:autoSpaceDE w:val="0"/>
              <w:autoSpaceDN w:val="0"/>
              <w:adjustRightInd w:val="0"/>
              <w:jc w:val="right"/>
              <w:rPr>
                <w:rFonts w:eastAsia="Calibri"/>
                <w:szCs w:val="26"/>
              </w:rPr>
            </w:pPr>
            <w:r w:rsidRPr="00F43A7E">
              <w:rPr>
                <w:rFonts w:eastAsia="Calibri"/>
                <w:szCs w:val="26"/>
              </w:rPr>
              <w:t>$</w:t>
            </w:r>
            <w:r w:rsidRPr="00F43A7E" w:rsidR="009F1919">
              <w:rPr>
                <w:rFonts w:eastAsia="Calibri"/>
                <w:szCs w:val="26"/>
              </w:rPr>
              <w:t>2,032.64</w:t>
            </w:r>
          </w:p>
        </w:tc>
        <w:tc>
          <w:tcPr>
            <w:tcW w:w="839" w:type="pct"/>
            <w:tcBorders>
              <w:top w:val="single" w:sz="4" w:space="0" w:color="auto"/>
              <w:left w:val="single" w:sz="4" w:space="0" w:color="auto"/>
              <w:bottom w:val="single" w:sz="4" w:space="0" w:color="auto"/>
              <w:right w:val="single" w:sz="4" w:space="0" w:color="auto"/>
            </w:tcBorders>
          </w:tcPr>
          <w:p w:rsidR="00915355" w:rsidRPr="00F43A7E" w:rsidP="00915355" w14:paraId="6E8D27A3" w14:textId="3CB8A475">
            <w:pPr>
              <w:widowControl w:val="0"/>
              <w:autoSpaceDE w:val="0"/>
              <w:autoSpaceDN w:val="0"/>
              <w:adjustRightInd w:val="0"/>
              <w:ind w:left="-108"/>
              <w:jc w:val="right"/>
              <w:rPr>
                <w:rFonts w:eastAsia="Calibri"/>
                <w:szCs w:val="26"/>
              </w:rPr>
            </w:pPr>
            <w:r w:rsidRPr="00F43A7E">
              <w:rPr>
                <w:rFonts w:eastAsia="Calibri"/>
                <w:szCs w:val="26"/>
              </w:rPr>
              <w:t>5,440</w:t>
            </w:r>
            <w:r w:rsidRPr="00F43A7E">
              <w:rPr>
                <w:rFonts w:eastAsia="Calibri"/>
                <w:szCs w:val="26"/>
              </w:rPr>
              <w:t xml:space="preserve"> hrs.;</w:t>
            </w:r>
          </w:p>
          <w:p w:rsidR="00121AE1" w:rsidRPr="00F43A7E" w:rsidP="00915355" w14:paraId="382EC0D7" w14:textId="1289E8B6">
            <w:pPr>
              <w:widowControl w:val="0"/>
              <w:autoSpaceDE w:val="0"/>
              <w:autoSpaceDN w:val="0"/>
              <w:adjustRightInd w:val="0"/>
              <w:ind w:left="-108"/>
              <w:jc w:val="right"/>
              <w:rPr>
                <w:rFonts w:eastAsia="Calibri"/>
                <w:szCs w:val="26"/>
              </w:rPr>
            </w:pPr>
            <w:r w:rsidRPr="00F43A7E">
              <w:rPr>
                <w:szCs w:val="26"/>
              </w:rPr>
              <w:t>$</w:t>
            </w:r>
            <w:r w:rsidRPr="00F43A7E" w:rsidR="002E7BA1">
              <w:rPr>
                <w:szCs w:val="26"/>
              </w:rPr>
              <w:t>345,549</w:t>
            </w:r>
          </w:p>
        </w:tc>
        <w:tc>
          <w:tcPr>
            <w:tcW w:w="694" w:type="pct"/>
            <w:tcBorders>
              <w:top w:val="single" w:sz="4" w:space="0" w:color="auto"/>
              <w:left w:val="single" w:sz="4" w:space="0" w:color="auto"/>
              <w:bottom w:val="single" w:sz="4" w:space="0" w:color="auto"/>
              <w:right w:val="single" w:sz="4" w:space="0" w:color="auto"/>
            </w:tcBorders>
          </w:tcPr>
          <w:p w:rsidR="00455269" w:rsidRPr="00F43A7E" w:rsidP="00455269" w14:paraId="1DA16DB1" w14:textId="77777777">
            <w:pPr>
              <w:widowControl w:val="0"/>
              <w:autoSpaceDE w:val="0"/>
              <w:autoSpaceDN w:val="0"/>
              <w:adjustRightInd w:val="0"/>
              <w:jc w:val="right"/>
              <w:rPr>
                <w:rFonts w:eastAsia="Calibri"/>
                <w:szCs w:val="26"/>
              </w:rPr>
            </w:pPr>
            <w:r w:rsidRPr="00F43A7E">
              <w:rPr>
                <w:rFonts w:eastAsia="Calibri"/>
                <w:szCs w:val="26"/>
              </w:rPr>
              <w:t>32 hrs.;</w:t>
            </w:r>
          </w:p>
          <w:p w:rsidR="00121AE1" w:rsidRPr="00F43A7E" w:rsidP="00455269" w14:paraId="74A8BE16" w14:textId="54F9E7C1">
            <w:pPr>
              <w:jc w:val="right"/>
              <w:rPr>
                <w:rFonts w:eastAsia="Calibri"/>
                <w:szCs w:val="26"/>
              </w:rPr>
            </w:pPr>
            <w:r w:rsidRPr="00F43A7E">
              <w:rPr>
                <w:rFonts w:eastAsia="Calibri"/>
                <w:szCs w:val="26"/>
              </w:rPr>
              <w:t>$2,032.64</w:t>
            </w:r>
          </w:p>
        </w:tc>
      </w:tr>
      <w:tr w14:paraId="5B8A3F51" w14:textId="77777777" w:rsidTr="00733E3C">
        <w:tblPrEx>
          <w:tblW w:w="5512" w:type="pct"/>
          <w:tblInd w:w="-185" w:type="dxa"/>
          <w:tblLook w:val="01E0"/>
        </w:tblPrEx>
        <w:trPr>
          <w:cantSplit/>
          <w:trHeight w:val="890"/>
        </w:trPr>
        <w:tc>
          <w:tcPr>
            <w:tcW w:w="810" w:type="pct"/>
            <w:tcBorders>
              <w:top w:val="single" w:sz="4" w:space="0" w:color="auto"/>
              <w:left w:val="single" w:sz="4" w:space="0" w:color="auto"/>
              <w:bottom w:val="single" w:sz="4" w:space="0" w:color="auto"/>
              <w:right w:val="single" w:sz="4" w:space="0" w:color="auto"/>
            </w:tcBorders>
            <w:shd w:val="clear" w:color="auto" w:fill="D9D9D9"/>
          </w:tcPr>
          <w:p w:rsidR="00B43A2F" w:rsidRPr="00F43A7E" w:rsidP="00B43A2F" w14:paraId="537537CB" w14:textId="77777777">
            <w:pPr>
              <w:widowControl w:val="0"/>
              <w:autoSpaceDE w:val="0"/>
              <w:autoSpaceDN w:val="0"/>
              <w:adjustRightInd w:val="0"/>
              <w:jc w:val="right"/>
              <w:rPr>
                <w:b/>
                <w:bCs/>
                <w:szCs w:val="26"/>
              </w:rPr>
            </w:pPr>
            <w:r w:rsidRPr="00F43A7E">
              <w:rPr>
                <w:b/>
                <w:bCs/>
                <w:szCs w:val="26"/>
              </w:rPr>
              <w:t>TOTAL FERC-725U</w:t>
            </w:r>
          </w:p>
          <w:p w:rsidR="00B43A2F" w:rsidRPr="00F43A7E" w:rsidP="00B43A2F" w14:paraId="52EA36B2" w14:textId="77777777">
            <w:pPr>
              <w:widowControl w:val="0"/>
              <w:autoSpaceDE w:val="0"/>
              <w:autoSpaceDN w:val="0"/>
              <w:adjustRightInd w:val="0"/>
              <w:jc w:val="right"/>
              <w:rPr>
                <w:b/>
                <w:bCs/>
                <w:szCs w:val="26"/>
              </w:rPr>
            </w:pPr>
          </w:p>
        </w:tc>
        <w:tc>
          <w:tcPr>
            <w:tcW w:w="778" w:type="pct"/>
            <w:tcBorders>
              <w:top w:val="single" w:sz="4" w:space="0" w:color="auto"/>
              <w:left w:val="single" w:sz="4" w:space="0" w:color="auto"/>
              <w:bottom w:val="single" w:sz="4" w:space="0" w:color="auto"/>
              <w:right w:val="single" w:sz="4" w:space="0" w:color="auto"/>
            </w:tcBorders>
            <w:shd w:val="clear" w:color="auto" w:fill="D9D9D9"/>
            <w:vAlign w:val="bottom"/>
          </w:tcPr>
          <w:p w:rsidR="00B43A2F" w:rsidRPr="00F43A7E" w:rsidP="00B43A2F" w14:paraId="7E411D3B" w14:textId="739BF868">
            <w:pPr>
              <w:widowControl w:val="0"/>
              <w:autoSpaceDE w:val="0"/>
              <w:autoSpaceDN w:val="0"/>
              <w:adjustRightInd w:val="0"/>
              <w:jc w:val="right"/>
              <w:rPr>
                <w:b/>
                <w:bCs/>
                <w:szCs w:val="26"/>
              </w:rPr>
            </w:pPr>
          </w:p>
        </w:tc>
        <w:tc>
          <w:tcPr>
            <w:tcW w:w="694" w:type="pct"/>
            <w:tcBorders>
              <w:top w:val="single" w:sz="4" w:space="0" w:color="auto"/>
              <w:left w:val="single" w:sz="4" w:space="0" w:color="auto"/>
              <w:bottom w:val="single" w:sz="4" w:space="0" w:color="auto"/>
              <w:right w:val="single" w:sz="4" w:space="0" w:color="auto"/>
            </w:tcBorders>
            <w:shd w:val="clear" w:color="auto" w:fill="D9D9D9"/>
            <w:vAlign w:val="bottom"/>
          </w:tcPr>
          <w:p w:rsidR="00B43A2F" w:rsidRPr="00F43A7E" w:rsidP="00B43A2F" w14:paraId="230B6715" w14:textId="4195A298">
            <w:pPr>
              <w:widowControl w:val="0"/>
              <w:autoSpaceDE w:val="0"/>
              <w:autoSpaceDN w:val="0"/>
              <w:adjustRightInd w:val="0"/>
              <w:jc w:val="right"/>
              <w:rPr>
                <w:b/>
                <w:bCs/>
                <w:szCs w:val="26"/>
              </w:rPr>
            </w:pPr>
          </w:p>
        </w:tc>
        <w:tc>
          <w:tcPr>
            <w:tcW w:w="616" w:type="pct"/>
            <w:tcBorders>
              <w:top w:val="single" w:sz="4" w:space="0" w:color="auto"/>
              <w:left w:val="single" w:sz="4" w:space="0" w:color="auto"/>
              <w:bottom w:val="single" w:sz="4" w:space="0" w:color="auto"/>
              <w:right w:val="single" w:sz="4" w:space="0" w:color="auto"/>
            </w:tcBorders>
            <w:vAlign w:val="bottom"/>
          </w:tcPr>
          <w:p w:rsidR="00B43A2F" w:rsidRPr="00F43A7E" w:rsidP="00B43A2F" w14:paraId="077E53D8" w14:textId="1705343A">
            <w:pPr>
              <w:widowControl w:val="0"/>
              <w:autoSpaceDE w:val="0"/>
              <w:autoSpaceDN w:val="0"/>
              <w:adjustRightInd w:val="0"/>
              <w:jc w:val="right"/>
              <w:rPr>
                <w:b/>
                <w:bCs/>
                <w:szCs w:val="26"/>
              </w:rPr>
            </w:pPr>
            <w:r w:rsidRPr="00F43A7E">
              <w:rPr>
                <w:b/>
                <w:bCs/>
                <w:szCs w:val="26"/>
              </w:rPr>
              <w:t>511</w:t>
            </w:r>
          </w:p>
        </w:tc>
        <w:tc>
          <w:tcPr>
            <w:tcW w:w="571" w:type="pct"/>
            <w:tcBorders>
              <w:top w:val="single" w:sz="4" w:space="0" w:color="auto"/>
              <w:left w:val="single" w:sz="4" w:space="0" w:color="auto"/>
              <w:bottom w:val="single" w:sz="4" w:space="0" w:color="auto"/>
              <w:right w:val="single" w:sz="4" w:space="0" w:color="auto"/>
            </w:tcBorders>
            <w:shd w:val="clear" w:color="auto" w:fill="D9D9D9"/>
            <w:vAlign w:val="bottom"/>
          </w:tcPr>
          <w:p w:rsidR="00B43A2F" w:rsidRPr="00F43A7E" w:rsidP="00B43A2F" w14:paraId="3D27D21D" w14:textId="18CDF149">
            <w:pPr>
              <w:widowControl w:val="0"/>
              <w:autoSpaceDE w:val="0"/>
              <w:autoSpaceDN w:val="0"/>
              <w:adjustRightInd w:val="0"/>
              <w:jc w:val="right"/>
              <w:rPr>
                <w:b/>
                <w:bCs/>
                <w:szCs w:val="26"/>
              </w:rPr>
            </w:pPr>
          </w:p>
        </w:tc>
        <w:tc>
          <w:tcPr>
            <w:tcW w:w="839" w:type="pct"/>
            <w:tcBorders>
              <w:top w:val="single" w:sz="4" w:space="0" w:color="auto"/>
              <w:left w:val="single" w:sz="4" w:space="0" w:color="auto"/>
              <w:bottom w:val="single" w:sz="4" w:space="0" w:color="auto"/>
              <w:right w:val="single" w:sz="4" w:space="0" w:color="auto"/>
            </w:tcBorders>
            <w:vAlign w:val="bottom"/>
          </w:tcPr>
          <w:p w:rsidR="00B43A2F" w:rsidRPr="00F43A7E" w:rsidP="00B43A2F" w14:paraId="3BB472B6" w14:textId="048AD04C">
            <w:pPr>
              <w:widowControl w:val="0"/>
              <w:autoSpaceDE w:val="0"/>
              <w:autoSpaceDN w:val="0"/>
              <w:adjustRightInd w:val="0"/>
              <w:ind w:left="-108"/>
              <w:jc w:val="right"/>
              <w:rPr>
                <w:b/>
                <w:bCs/>
                <w:szCs w:val="26"/>
              </w:rPr>
            </w:pPr>
            <w:r w:rsidRPr="00F43A7E">
              <w:rPr>
                <w:b/>
                <w:bCs/>
                <w:szCs w:val="26"/>
              </w:rPr>
              <w:t>16,352</w:t>
            </w:r>
            <w:r w:rsidRPr="00F43A7E" w:rsidR="00580E35">
              <w:rPr>
                <w:b/>
                <w:bCs/>
                <w:szCs w:val="26"/>
              </w:rPr>
              <w:t xml:space="preserve"> hrs.;</w:t>
            </w:r>
          </w:p>
          <w:p w:rsidR="00B43A2F" w:rsidRPr="00F43A7E" w:rsidP="00B43A2F" w14:paraId="14A1713C" w14:textId="5C65A92F">
            <w:pPr>
              <w:widowControl w:val="0"/>
              <w:autoSpaceDE w:val="0"/>
              <w:autoSpaceDN w:val="0"/>
              <w:adjustRightInd w:val="0"/>
              <w:ind w:left="-108"/>
              <w:jc w:val="right"/>
              <w:rPr>
                <w:b/>
                <w:bCs/>
                <w:szCs w:val="26"/>
              </w:rPr>
            </w:pPr>
            <w:r w:rsidRPr="00F43A7E">
              <w:rPr>
                <w:b/>
                <w:bCs/>
                <w:szCs w:val="26"/>
              </w:rPr>
              <w:t>$</w:t>
            </w:r>
            <w:r w:rsidRPr="00F43A7E" w:rsidR="00825C4F">
              <w:rPr>
                <w:b/>
                <w:bCs/>
                <w:szCs w:val="26"/>
              </w:rPr>
              <w:t>1,</w:t>
            </w:r>
            <w:r w:rsidRPr="00F43A7E" w:rsidR="002E7BA1">
              <w:rPr>
                <w:b/>
                <w:bCs/>
                <w:szCs w:val="26"/>
              </w:rPr>
              <w:t>038,679</w:t>
            </w:r>
          </w:p>
        </w:tc>
        <w:tc>
          <w:tcPr>
            <w:tcW w:w="694" w:type="pct"/>
            <w:tcBorders>
              <w:top w:val="single" w:sz="4" w:space="0" w:color="auto"/>
              <w:left w:val="single" w:sz="4" w:space="0" w:color="auto"/>
              <w:bottom w:val="single" w:sz="4" w:space="0" w:color="auto"/>
              <w:right w:val="single" w:sz="4" w:space="0" w:color="auto"/>
            </w:tcBorders>
            <w:shd w:val="clear" w:color="auto" w:fill="D9D9D9"/>
          </w:tcPr>
          <w:p w:rsidR="00B43A2F" w:rsidRPr="00F43A7E" w:rsidP="00455269" w14:paraId="1081B85B" w14:textId="48660195">
            <w:pPr>
              <w:widowControl w:val="0"/>
              <w:autoSpaceDE w:val="0"/>
              <w:autoSpaceDN w:val="0"/>
              <w:adjustRightInd w:val="0"/>
              <w:ind w:left="-108"/>
              <w:jc w:val="right"/>
              <w:rPr>
                <w:b/>
                <w:bCs/>
                <w:szCs w:val="26"/>
              </w:rPr>
            </w:pPr>
          </w:p>
        </w:tc>
      </w:tr>
    </w:tbl>
    <w:p w:rsidR="00B43A2F" w:rsidRPr="00F43A7E" w:rsidP="002906E5" w14:paraId="38FB9851" w14:textId="77777777">
      <w:pPr>
        <w:autoSpaceDE w:val="0"/>
        <w:autoSpaceDN w:val="0"/>
        <w:adjustRightInd w:val="0"/>
        <w:spacing w:line="480" w:lineRule="auto"/>
        <w:rPr>
          <w:i/>
          <w:szCs w:val="26"/>
        </w:rPr>
      </w:pPr>
    </w:p>
    <w:p w:rsidR="00881405" w:rsidRPr="00F43A7E" w:rsidP="002906E5" w14:paraId="40735770" w14:textId="156E067D">
      <w:pPr>
        <w:autoSpaceDE w:val="0"/>
        <w:autoSpaceDN w:val="0"/>
        <w:adjustRightInd w:val="0"/>
        <w:spacing w:line="480" w:lineRule="auto"/>
        <w:rPr>
          <w:szCs w:val="26"/>
        </w:rPr>
      </w:pPr>
      <w:r w:rsidRPr="00F43A7E">
        <w:rPr>
          <w:i/>
          <w:szCs w:val="26"/>
        </w:rPr>
        <w:t xml:space="preserve">Comments:  </w:t>
      </w:r>
      <w:r w:rsidRPr="00F43A7E">
        <w:rPr>
          <w:szCs w:val="26"/>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6759AE" w:rsidRPr="00F43A7E" w:rsidP="00F43A7E" w14:paraId="3D4182FC" w14:textId="521535AB">
      <w:pPr>
        <w:spacing w:line="480" w:lineRule="auto"/>
        <w:rPr>
          <w:szCs w:val="26"/>
        </w:rPr>
      </w:pPr>
      <w:r w:rsidRPr="00F43A7E">
        <w:rPr>
          <w:szCs w:val="26"/>
        </w:rPr>
        <w:t xml:space="preserve">collection of information on those who are to respond, including the use of automated collection techniques or other forms of information technology.  </w:t>
      </w:r>
    </w:p>
    <w:p w:rsidR="006759AE" w:rsidRPr="00F43A7E" w:rsidP="006759AE" w14:paraId="34402E9E" w14:textId="5BAF24F1">
      <w:pPr>
        <w:rPr>
          <w:szCs w:val="26"/>
        </w:rPr>
      </w:pPr>
    </w:p>
    <w:p w:rsidR="006759AE" w:rsidRPr="00F43A7E" w:rsidP="006759AE" w14:paraId="69290CE3" w14:textId="26AE2AB7">
      <w:pPr>
        <w:rPr>
          <w:szCs w:val="26"/>
        </w:rPr>
      </w:pPr>
    </w:p>
    <w:p w:rsidR="006759AE" w:rsidRPr="00F43A7E" w:rsidP="006759AE" w14:paraId="02A9681B" w14:textId="0B21A7FC">
      <w:pPr>
        <w:ind w:firstLine="2174"/>
        <w:jc w:val="center"/>
        <w:rPr>
          <w:szCs w:val="26"/>
        </w:rPr>
      </w:pPr>
      <w:r w:rsidRPr="00F43A7E">
        <w:rPr>
          <w:szCs w:val="26"/>
        </w:rPr>
        <w:t>Debbie Anne A. Reese</w:t>
      </w:r>
    </w:p>
    <w:p w:rsidR="006759AE" w:rsidRPr="00F43A7E" w:rsidP="00F43A7E" w14:paraId="3333C399" w14:textId="062823E1">
      <w:pPr>
        <w:ind w:firstLine="2174"/>
        <w:jc w:val="center"/>
        <w:rPr>
          <w:szCs w:val="26"/>
        </w:rPr>
      </w:pPr>
      <w:r w:rsidRPr="00F43A7E">
        <w:rPr>
          <w:szCs w:val="26"/>
        </w:rPr>
        <w:t>Secretary.</w:t>
      </w:r>
    </w:p>
    <w:sectPr w:rsidSect="006759AE">
      <w:headerReference w:type="default" r:id="rId12"/>
      <w:pgSz w:w="12240" w:h="15840"/>
      <w:pgMar w:top="1440" w:right="1440" w:bottom="171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13C0D" w:rsidP="00B01B16" w14:paraId="000D5D48" w14:textId="77777777">
      <w:r>
        <w:separator/>
      </w:r>
    </w:p>
  </w:footnote>
  <w:footnote w:type="continuationSeparator" w:id="1">
    <w:p w:rsidR="00D13C0D" w:rsidP="00B01B16" w14:paraId="3C7EEE36" w14:textId="77777777">
      <w:r>
        <w:continuationSeparator/>
      </w:r>
    </w:p>
  </w:footnote>
  <w:footnote w:type="continuationNotice" w:id="2">
    <w:p w:rsidR="00D13C0D" w14:paraId="55B93B59" w14:textId="77777777"/>
  </w:footnote>
  <w:footnote w:id="3">
    <w:p w:rsidR="00C53E2E" w:rsidP="00F43A7E" w14:paraId="45866271" w14:textId="77777777">
      <w:pPr>
        <w:pStyle w:val="FootnoteText"/>
        <w:ind w:firstLine="720"/>
      </w:pPr>
      <w:r>
        <w:rPr>
          <w:rStyle w:val="FootnoteReference"/>
        </w:rPr>
        <w:footnoteRef/>
      </w:r>
      <w:r>
        <w:t xml:space="preserve"> 16 U.S.C. 824</w:t>
      </w:r>
      <w:r w:rsidRPr="005D236C">
        <w:rPr>
          <w:i/>
          <w:iCs/>
        </w:rPr>
        <w:t>o</w:t>
      </w:r>
      <w:r>
        <w:t>.</w:t>
      </w:r>
    </w:p>
  </w:footnote>
  <w:footnote w:id="4">
    <w:p w:rsidR="00B43A2F" w:rsidRPr="00471DC7" w:rsidP="00F43A7E" w14:paraId="2F39DE34" w14:textId="4630F8A0">
      <w:pPr>
        <w:pStyle w:val="FootnoteText"/>
        <w:ind w:firstLine="720"/>
        <w:rPr>
          <w:sz w:val="26"/>
          <w:szCs w:val="26"/>
        </w:rPr>
      </w:pPr>
      <w:r w:rsidRPr="00471DC7">
        <w:rPr>
          <w:rStyle w:val="FootnoteReference"/>
        </w:rPr>
        <w:footnoteRef/>
      </w:r>
      <w:r w:rsidRPr="00471DC7">
        <w:rPr>
          <w:sz w:val="26"/>
          <w:szCs w:val="26"/>
        </w:rPr>
        <w:t xml:space="preserve"> </w:t>
      </w:r>
      <w:r w:rsidRPr="00121AE1" w:rsidR="00121AE1">
        <w:rPr>
          <w:sz w:val="26"/>
          <w:szCs w:val="26"/>
        </w:rPr>
        <w:t>The estimated hourly cost (salary plus benefits) is a combination of the following categories from the BLS website, http://www.bls.gov/oes/current/naics2_22.htm:  75% of the average of an Electrical Engineer (17-2071) $71.19/hr., x .75 = 53.3925 ($53.39-rounded) ($53.39/hour); and 25% of an Information and Record Clerk (43-4199) $40.51/hr., $40.51 x .25 = 10.1275 ($10.13 rounded) ($10.13/hour), for a total ($53.39+$10.13 = $63.52/hour</w:t>
      </w:r>
      <w:r w:rsidRPr="00471DC7">
        <w:rPr>
          <w:sz w:val="26"/>
          <w:szCs w:val="26"/>
        </w:rPr>
        <w:t>)</w:t>
      </w:r>
      <w:r w:rsidR="00121AE1">
        <w:rPr>
          <w:sz w:val="26"/>
          <w:szCs w:val="26"/>
        </w:rPr>
        <w:t>.</w:t>
      </w:r>
      <w:r w:rsidRPr="00471DC7">
        <w:rPr>
          <w:sz w:val="26"/>
          <w:szCs w:val="26"/>
        </w:rPr>
        <w:t xml:space="preserve"> </w:t>
      </w:r>
    </w:p>
  </w:footnote>
  <w:footnote w:id="5">
    <w:p w:rsidR="00B43A2F" w:rsidRPr="00471DC7" w:rsidP="00F43A7E" w14:paraId="5A0E30E1" w14:textId="2286E18A">
      <w:pPr>
        <w:pStyle w:val="FootnoteText"/>
        <w:ind w:firstLine="720"/>
        <w:rPr>
          <w:sz w:val="26"/>
          <w:szCs w:val="26"/>
        </w:rPr>
      </w:pPr>
      <w:r w:rsidRPr="00471DC7">
        <w:rPr>
          <w:rStyle w:val="FootnoteReference"/>
        </w:rPr>
        <w:footnoteRef/>
      </w:r>
      <w:r w:rsidRPr="00471DC7">
        <w:rPr>
          <w:sz w:val="26"/>
          <w:szCs w:val="26"/>
          <w:vertAlign w:val="superscript"/>
        </w:rPr>
        <w:t xml:space="preserve"> </w:t>
      </w:r>
      <w:r w:rsidRPr="00615E98" w:rsidR="00855A52">
        <w:rPr>
          <w:sz w:val="26"/>
          <w:szCs w:val="26"/>
        </w:rPr>
        <w:t>The number for TOs (341) and TOPs (170) represent the number of unique US entities and is taken from the NERC compliance registry information as of April 20, 2026.</w:t>
      </w:r>
      <w:r w:rsidRPr="00471DC7">
        <w:rPr>
          <w:sz w:val="26"/>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7451640"/>
      <w:docPartObj>
        <w:docPartGallery w:val="Page Numbers (Top of Page)"/>
        <w:docPartUnique/>
      </w:docPartObj>
    </w:sdtPr>
    <w:sdtEndPr>
      <w:rPr>
        <w:noProof/>
      </w:rPr>
    </w:sdtEndPr>
    <w:sdtContent>
      <w:p w:rsidR="00C80D25" w14:paraId="13B0CC0F" w14:textId="0D8B4B60">
        <w:pPr>
          <w:pStyle w:val="Header"/>
        </w:pPr>
        <w:r w:rsidRPr="00D954AE">
          <w:t xml:space="preserve">Docket </w:t>
        </w:r>
        <w:r w:rsidRPr="00E74313">
          <w:t xml:space="preserve">No. </w:t>
        </w:r>
        <w:r w:rsidR="0042764B">
          <w:t>IC</w:t>
        </w:r>
        <w:r w:rsidRPr="00E74313">
          <w:t>2</w:t>
        </w:r>
        <w:r w:rsidR="0042764B">
          <w:t>6</w:t>
        </w:r>
        <w:r w:rsidRPr="00E74313" w:rsidR="0066458B">
          <w:t>-</w:t>
        </w:r>
        <w:r w:rsidR="0042764B">
          <w:t>29</w:t>
        </w:r>
        <w:r w:rsidRPr="00E74313">
          <w:t>-000</w:t>
        </w:r>
        <w:r>
          <w:tab/>
        </w:r>
        <w:r>
          <w:fldChar w:fldCharType="begin"/>
        </w:r>
        <w:r>
          <w:instrText xml:space="preserve"> PAGE   \* MERGEFORMAT </w:instrText>
        </w:r>
        <w:r>
          <w:fldChar w:fldCharType="separate"/>
        </w:r>
        <w:r>
          <w:rPr>
            <w:noProof/>
          </w:rPr>
          <w:t>2</w:t>
        </w:r>
        <w:r>
          <w:rPr>
            <w:noProof/>
          </w:rPr>
          <w:fldChar w:fldCharType="end"/>
        </w:r>
      </w:p>
    </w:sdtContent>
  </w:sdt>
  <w:p w:rsidR="00F82EE1" w14:paraId="0E155F8B" w14:textId="2CD5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B5B"/>
    <w:multiLevelType w:val="hybridMultilevel"/>
    <w:tmpl w:val="57409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BC4AED"/>
    <w:multiLevelType w:val="hybridMultilevel"/>
    <w:tmpl w:val="B2D2968E"/>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054910"/>
    <w:multiLevelType w:val="hybridMultilevel"/>
    <w:tmpl w:val="74069B9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C60207"/>
    <w:multiLevelType w:val="hybridMultilevel"/>
    <w:tmpl w:val="FB0C94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7A736A"/>
    <w:multiLevelType w:val="hybridMultilevel"/>
    <w:tmpl w:val="F33A823C"/>
    <w:lvl w:ilvl="0">
      <w:start w:val="1"/>
      <w:numFmt w:val="bullet"/>
      <w:lvlText w:val=""/>
      <w:lvlJc w:val="left"/>
      <w:pPr>
        <w:ind w:left="720" w:hanging="360"/>
      </w:pPr>
      <w:rPr>
        <w:rFonts w:ascii="Symbol" w:hAnsi="Symbol"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F1A5ED7"/>
    <w:multiLevelType w:val="hybridMultilevel"/>
    <w:tmpl w:val="C150CD52"/>
    <w:lvl w:ilvl="0">
      <w:start w:val="1"/>
      <w:numFmt w:val="decimal"/>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0">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53C6417"/>
    <w:multiLevelType w:val="hybridMultilevel"/>
    <w:tmpl w:val="FE4420EA"/>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13">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nsid w:val="5EE719D3"/>
    <w:multiLevelType w:val="hybridMultilevel"/>
    <w:tmpl w:val="B9A2F77C"/>
    <w:lvl w:ilvl="0">
      <w:start w:val="1"/>
      <w:numFmt w:val="decimal"/>
      <w:pStyle w:val="FERCparanumber"/>
      <w:lvlText w:val="%1."/>
      <w:lvlJc w:val="left"/>
      <w:pPr>
        <w:tabs>
          <w:tab w:val="num" w:pos="72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6573AF5"/>
    <w:multiLevelType w:val="hybridMultilevel"/>
    <w:tmpl w:val="116218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88E2278"/>
    <w:multiLevelType w:val="hybridMultilevel"/>
    <w:tmpl w:val="F8A2F400"/>
    <w:lvl w:ilvl="0">
      <w:start w:val="1"/>
      <w:numFmt w:val="bullet"/>
      <w:lvlText w:val=""/>
      <w:lvlJc w:val="left"/>
      <w:pPr>
        <w:ind w:left="1440" w:hanging="360"/>
      </w:pPr>
      <w:rPr>
        <w:rFonts w:ascii="Symbol" w:hAnsi="Symbol" w:hint="default"/>
        <w:sz w:val="1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2">
    <w:nsid w:val="79BBF315"/>
    <w:multiLevelType w:val="hybridMultilevel"/>
    <w:tmpl w:val="DD3E2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7B996CF3"/>
    <w:multiLevelType w:val="hybridMultilevel"/>
    <w:tmpl w:val="E5C2F8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379611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6761260">
    <w:abstractNumId w:val="9"/>
  </w:num>
  <w:num w:numId="3" w16cid:durableId="1462457976">
    <w:abstractNumId w:val="14"/>
  </w:num>
  <w:num w:numId="4" w16cid:durableId="753430369">
    <w:abstractNumId w:val="11"/>
  </w:num>
  <w:num w:numId="5" w16cid:durableId="1655985685">
    <w:abstractNumId w:val="21"/>
  </w:num>
  <w:num w:numId="6" w16cid:durableId="641691066">
    <w:abstractNumId w:val="2"/>
  </w:num>
  <w:num w:numId="7" w16cid:durableId="1913733192">
    <w:abstractNumId w:val="15"/>
  </w:num>
  <w:num w:numId="8" w16cid:durableId="767896645">
    <w:abstractNumId w:val="1"/>
  </w:num>
  <w:num w:numId="9" w16cid:durableId="700597162">
    <w:abstractNumId w:val="13"/>
  </w:num>
  <w:num w:numId="10" w16cid:durableId="1860896727">
    <w:abstractNumId w:val="19"/>
  </w:num>
  <w:num w:numId="11" w16cid:durableId="456608031">
    <w:abstractNumId w:val="3"/>
  </w:num>
  <w:num w:numId="12" w16cid:durableId="1693989140">
    <w:abstractNumId w:val="17"/>
  </w:num>
  <w:num w:numId="13" w16cid:durableId="1780952356">
    <w:abstractNumId w:val="0"/>
  </w:num>
  <w:num w:numId="14" w16cid:durableId="324362472">
    <w:abstractNumId w:val="18"/>
  </w:num>
  <w:num w:numId="15" w16cid:durableId="1599487749">
    <w:abstractNumId w:val="12"/>
  </w:num>
  <w:num w:numId="16" w16cid:durableId="1187913733">
    <w:abstractNumId w:val="6"/>
  </w:num>
  <w:num w:numId="17" w16cid:durableId="1406146489">
    <w:abstractNumId w:val="4"/>
  </w:num>
  <w:num w:numId="18" w16cid:durableId="1143501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5356277">
    <w:abstractNumId w:val="8"/>
  </w:num>
  <w:num w:numId="20" w16cid:durableId="664742473">
    <w:abstractNumId w:val="23"/>
  </w:num>
  <w:num w:numId="21" w16cid:durableId="1234317548">
    <w:abstractNumId w:val="7"/>
  </w:num>
  <w:num w:numId="22" w16cid:durableId="1720326184">
    <w:abstractNumId w:val="20"/>
  </w:num>
  <w:num w:numId="23" w16cid:durableId="247540664">
    <w:abstractNumId w:val="5"/>
  </w:num>
  <w:num w:numId="24" w16cid:durableId="5701929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16"/>
    <w:rsid w:val="00000447"/>
    <w:rsid w:val="00002F5C"/>
    <w:rsid w:val="0000758F"/>
    <w:rsid w:val="00013305"/>
    <w:rsid w:val="00014343"/>
    <w:rsid w:val="00026C2D"/>
    <w:rsid w:val="00027CA8"/>
    <w:rsid w:val="00031AB2"/>
    <w:rsid w:val="000379D6"/>
    <w:rsid w:val="00042F33"/>
    <w:rsid w:val="000459B6"/>
    <w:rsid w:val="0005167F"/>
    <w:rsid w:val="000524C4"/>
    <w:rsid w:val="000578D5"/>
    <w:rsid w:val="00062427"/>
    <w:rsid w:val="0006681D"/>
    <w:rsid w:val="00072E34"/>
    <w:rsid w:val="0007595A"/>
    <w:rsid w:val="00082413"/>
    <w:rsid w:val="00084E3D"/>
    <w:rsid w:val="0008692A"/>
    <w:rsid w:val="00097607"/>
    <w:rsid w:val="000A0250"/>
    <w:rsid w:val="000A18F4"/>
    <w:rsid w:val="000A3078"/>
    <w:rsid w:val="000A3569"/>
    <w:rsid w:val="000A3C2F"/>
    <w:rsid w:val="000A6164"/>
    <w:rsid w:val="000A6F37"/>
    <w:rsid w:val="000A7E68"/>
    <w:rsid w:val="000B431B"/>
    <w:rsid w:val="000B5B66"/>
    <w:rsid w:val="000B5C78"/>
    <w:rsid w:val="000D318C"/>
    <w:rsid w:val="000D6969"/>
    <w:rsid w:val="000E1256"/>
    <w:rsid w:val="000E2568"/>
    <w:rsid w:val="000E4C61"/>
    <w:rsid w:val="000F3BC3"/>
    <w:rsid w:val="000F606E"/>
    <w:rsid w:val="00111E92"/>
    <w:rsid w:val="00112B6B"/>
    <w:rsid w:val="00116326"/>
    <w:rsid w:val="00121AE1"/>
    <w:rsid w:val="00124895"/>
    <w:rsid w:val="00125991"/>
    <w:rsid w:val="001309CE"/>
    <w:rsid w:val="0013255C"/>
    <w:rsid w:val="001339F1"/>
    <w:rsid w:val="00135FC5"/>
    <w:rsid w:val="00137823"/>
    <w:rsid w:val="00150CBC"/>
    <w:rsid w:val="00151676"/>
    <w:rsid w:val="0015445B"/>
    <w:rsid w:val="00156BBB"/>
    <w:rsid w:val="001600DF"/>
    <w:rsid w:val="00164215"/>
    <w:rsid w:val="00171725"/>
    <w:rsid w:val="0017337C"/>
    <w:rsid w:val="00173D03"/>
    <w:rsid w:val="001757E9"/>
    <w:rsid w:val="0017684C"/>
    <w:rsid w:val="00177704"/>
    <w:rsid w:val="00181BF7"/>
    <w:rsid w:val="00184A26"/>
    <w:rsid w:val="00184B43"/>
    <w:rsid w:val="00185C1F"/>
    <w:rsid w:val="00186EC5"/>
    <w:rsid w:val="0019402A"/>
    <w:rsid w:val="00197435"/>
    <w:rsid w:val="001974A9"/>
    <w:rsid w:val="001A2DAA"/>
    <w:rsid w:val="001A6645"/>
    <w:rsid w:val="001A6AD6"/>
    <w:rsid w:val="001A7665"/>
    <w:rsid w:val="001B0BD2"/>
    <w:rsid w:val="001B78B8"/>
    <w:rsid w:val="001C53D9"/>
    <w:rsid w:val="001C543C"/>
    <w:rsid w:val="001C7064"/>
    <w:rsid w:val="001D578A"/>
    <w:rsid w:val="001D7E19"/>
    <w:rsid w:val="001E3237"/>
    <w:rsid w:val="001F1CDF"/>
    <w:rsid w:val="002009E9"/>
    <w:rsid w:val="00202E41"/>
    <w:rsid w:val="00207AE7"/>
    <w:rsid w:val="00211105"/>
    <w:rsid w:val="002131D0"/>
    <w:rsid w:val="00213696"/>
    <w:rsid w:val="00224BF8"/>
    <w:rsid w:val="00224DD2"/>
    <w:rsid w:val="00237AB9"/>
    <w:rsid w:val="00237B93"/>
    <w:rsid w:val="0024271E"/>
    <w:rsid w:val="0024309C"/>
    <w:rsid w:val="00251B4B"/>
    <w:rsid w:val="00253F98"/>
    <w:rsid w:val="00257CC2"/>
    <w:rsid w:val="00262096"/>
    <w:rsid w:val="00265B23"/>
    <w:rsid w:val="00266431"/>
    <w:rsid w:val="00286C5A"/>
    <w:rsid w:val="002906E5"/>
    <w:rsid w:val="00292A4C"/>
    <w:rsid w:val="00297211"/>
    <w:rsid w:val="002B4387"/>
    <w:rsid w:val="002B5874"/>
    <w:rsid w:val="002C2C8B"/>
    <w:rsid w:val="002C3223"/>
    <w:rsid w:val="002C3579"/>
    <w:rsid w:val="002C5E0E"/>
    <w:rsid w:val="002D09B3"/>
    <w:rsid w:val="002D17E5"/>
    <w:rsid w:val="002D57E8"/>
    <w:rsid w:val="002E06A0"/>
    <w:rsid w:val="002E1C29"/>
    <w:rsid w:val="002E68D4"/>
    <w:rsid w:val="002E6DAA"/>
    <w:rsid w:val="002E7390"/>
    <w:rsid w:val="002E783A"/>
    <w:rsid w:val="002E7BA1"/>
    <w:rsid w:val="002F4401"/>
    <w:rsid w:val="002F708A"/>
    <w:rsid w:val="00301E3D"/>
    <w:rsid w:val="00303516"/>
    <w:rsid w:val="003053E3"/>
    <w:rsid w:val="00306318"/>
    <w:rsid w:val="00311D90"/>
    <w:rsid w:val="0031393E"/>
    <w:rsid w:val="00314219"/>
    <w:rsid w:val="003149BC"/>
    <w:rsid w:val="003179EB"/>
    <w:rsid w:val="0032099D"/>
    <w:rsid w:val="0033340D"/>
    <w:rsid w:val="00336AD9"/>
    <w:rsid w:val="00340D3C"/>
    <w:rsid w:val="00344362"/>
    <w:rsid w:val="00353270"/>
    <w:rsid w:val="00365468"/>
    <w:rsid w:val="003658A2"/>
    <w:rsid w:val="003673EC"/>
    <w:rsid w:val="00373A2E"/>
    <w:rsid w:val="00376525"/>
    <w:rsid w:val="00397ABE"/>
    <w:rsid w:val="003A2C3F"/>
    <w:rsid w:val="003B435C"/>
    <w:rsid w:val="003B5A5A"/>
    <w:rsid w:val="003B5B0B"/>
    <w:rsid w:val="003B6A4A"/>
    <w:rsid w:val="003C08DE"/>
    <w:rsid w:val="003C3E7A"/>
    <w:rsid w:val="003D0BB4"/>
    <w:rsid w:val="003D28D2"/>
    <w:rsid w:val="003D4D90"/>
    <w:rsid w:val="003E1657"/>
    <w:rsid w:val="003E1B25"/>
    <w:rsid w:val="003E1B5A"/>
    <w:rsid w:val="003E40B2"/>
    <w:rsid w:val="003E44AD"/>
    <w:rsid w:val="003E4B47"/>
    <w:rsid w:val="003E5168"/>
    <w:rsid w:val="003F0FE7"/>
    <w:rsid w:val="003F2E32"/>
    <w:rsid w:val="003F2EC7"/>
    <w:rsid w:val="003F428F"/>
    <w:rsid w:val="003F570B"/>
    <w:rsid w:val="003F6466"/>
    <w:rsid w:val="00401401"/>
    <w:rsid w:val="00407BCE"/>
    <w:rsid w:val="00410A8B"/>
    <w:rsid w:val="00411B62"/>
    <w:rsid w:val="00413AA8"/>
    <w:rsid w:val="00413FDE"/>
    <w:rsid w:val="0041405B"/>
    <w:rsid w:val="004177CD"/>
    <w:rsid w:val="00425ADD"/>
    <w:rsid w:val="004266F6"/>
    <w:rsid w:val="0042688C"/>
    <w:rsid w:val="004272D3"/>
    <w:rsid w:val="0042764B"/>
    <w:rsid w:val="0042765E"/>
    <w:rsid w:val="00427AE5"/>
    <w:rsid w:val="00443282"/>
    <w:rsid w:val="00447C9E"/>
    <w:rsid w:val="00450D64"/>
    <w:rsid w:val="00455269"/>
    <w:rsid w:val="004562F1"/>
    <w:rsid w:val="004628F2"/>
    <w:rsid w:val="00462FC3"/>
    <w:rsid w:val="00463660"/>
    <w:rsid w:val="00465456"/>
    <w:rsid w:val="00471921"/>
    <w:rsid w:val="00471A7B"/>
    <w:rsid w:val="00471DC7"/>
    <w:rsid w:val="00471FF2"/>
    <w:rsid w:val="0047213E"/>
    <w:rsid w:val="00480D2D"/>
    <w:rsid w:val="00491543"/>
    <w:rsid w:val="00492111"/>
    <w:rsid w:val="00497A62"/>
    <w:rsid w:val="004A661D"/>
    <w:rsid w:val="004A6FC8"/>
    <w:rsid w:val="004B4014"/>
    <w:rsid w:val="004C0BC3"/>
    <w:rsid w:val="004C70C8"/>
    <w:rsid w:val="004E44F8"/>
    <w:rsid w:val="004E683E"/>
    <w:rsid w:val="004F56E3"/>
    <w:rsid w:val="00512FDA"/>
    <w:rsid w:val="0052108E"/>
    <w:rsid w:val="00524164"/>
    <w:rsid w:val="00527733"/>
    <w:rsid w:val="00531000"/>
    <w:rsid w:val="005363F8"/>
    <w:rsid w:val="005401E0"/>
    <w:rsid w:val="00544424"/>
    <w:rsid w:val="0054746C"/>
    <w:rsid w:val="00562BE8"/>
    <w:rsid w:val="00563EF3"/>
    <w:rsid w:val="0056490E"/>
    <w:rsid w:val="00564ADB"/>
    <w:rsid w:val="00565830"/>
    <w:rsid w:val="00565B5E"/>
    <w:rsid w:val="00566B5F"/>
    <w:rsid w:val="00567315"/>
    <w:rsid w:val="005739F7"/>
    <w:rsid w:val="005749DE"/>
    <w:rsid w:val="00574BB6"/>
    <w:rsid w:val="00580E35"/>
    <w:rsid w:val="0058195F"/>
    <w:rsid w:val="00584A11"/>
    <w:rsid w:val="005854FC"/>
    <w:rsid w:val="0058662A"/>
    <w:rsid w:val="00587D1F"/>
    <w:rsid w:val="005953A1"/>
    <w:rsid w:val="00596242"/>
    <w:rsid w:val="00596958"/>
    <w:rsid w:val="00597970"/>
    <w:rsid w:val="005A0B82"/>
    <w:rsid w:val="005A0D62"/>
    <w:rsid w:val="005A1E8A"/>
    <w:rsid w:val="005A2F24"/>
    <w:rsid w:val="005A5AB9"/>
    <w:rsid w:val="005A6119"/>
    <w:rsid w:val="005B0254"/>
    <w:rsid w:val="005B4423"/>
    <w:rsid w:val="005B4DA4"/>
    <w:rsid w:val="005B7231"/>
    <w:rsid w:val="005C09F1"/>
    <w:rsid w:val="005C12CF"/>
    <w:rsid w:val="005C180F"/>
    <w:rsid w:val="005C77BE"/>
    <w:rsid w:val="005D0259"/>
    <w:rsid w:val="005D0A33"/>
    <w:rsid w:val="005D236C"/>
    <w:rsid w:val="005D238D"/>
    <w:rsid w:val="005D2B40"/>
    <w:rsid w:val="005D4628"/>
    <w:rsid w:val="005D67B5"/>
    <w:rsid w:val="005E0B1A"/>
    <w:rsid w:val="005E39C4"/>
    <w:rsid w:val="005E45C6"/>
    <w:rsid w:val="005E68E7"/>
    <w:rsid w:val="005F7CE1"/>
    <w:rsid w:val="006000EB"/>
    <w:rsid w:val="006010B6"/>
    <w:rsid w:val="00602995"/>
    <w:rsid w:val="006128A5"/>
    <w:rsid w:val="00613169"/>
    <w:rsid w:val="00615E98"/>
    <w:rsid w:val="00620C6A"/>
    <w:rsid w:val="0062572C"/>
    <w:rsid w:val="006258DF"/>
    <w:rsid w:val="00630E07"/>
    <w:rsid w:val="00633815"/>
    <w:rsid w:val="006339B7"/>
    <w:rsid w:val="0063784F"/>
    <w:rsid w:val="00637F43"/>
    <w:rsid w:val="00641F0D"/>
    <w:rsid w:val="00643772"/>
    <w:rsid w:val="00644A1B"/>
    <w:rsid w:val="00650E6C"/>
    <w:rsid w:val="006536D8"/>
    <w:rsid w:val="00654399"/>
    <w:rsid w:val="00654BA4"/>
    <w:rsid w:val="00660AA0"/>
    <w:rsid w:val="0066195A"/>
    <w:rsid w:val="00663FBE"/>
    <w:rsid w:val="006642CE"/>
    <w:rsid w:val="0066458B"/>
    <w:rsid w:val="00664931"/>
    <w:rsid w:val="006670C8"/>
    <w:rsid w:val="006703EE"/>
    <w:rsid w:val="006759AE"/>
    <w:rsid w:val="006841A7"/>
    <w:rsid w:val="00687348"/>
    <w:rsid w:val="006930A4"/>
    <w:rsid w:val="00693721"/>
    <w:rsid w:val="006944B9"/>
    <w:rsid w:val="00694C22"/>
    <w:rsid w:val="006963BC"/>
    <w:rsid w:val="006970F4"/>
    <w:rsid w:val="006A0E06"/>
    <w:rsid w:val="006A1714"/>
    <w:rsid w:val="006A2E15"/>
    <w:rsid w:val="006A4398"/>
    <w:rsid w:val="006B3479"/>
    <w:rsid w:val="006D0B7E"/>
    <w:rsid w:val="006D3D49"/>
    <w:rsid w:val="006D5669"/>
    <w:rsid w:val="006E7CBB"/>
    <w:rsid w:val="006E7EBE"/>
    <w:rsid w:val="006F7028"/>
    <w:rsid w:val="006F749E"/>
    <w:rsid w:val="007024F1"/>
    <w:rsid w:val="007045C3"/>
    <w:rsid w:val="00705ED8"/>
    <w:rsid w:val="00707D60"/>
    <w:rsid w:val="00713417"/>
    <w:rsid w:val="00714EDD"/>
    <w:rsid w:val="0071596F"/>
    <w:rsid w:val="00723505"/>
    <w:rsid w:val="007263B9"/>
    <w:rsid w:val="00733E3C"/>
    <w:rsid w:val="007352F2"/>
    <w:rsid w:val="00740C93"/>
    <w:rsid w:val="0075009F"/>
    <w:rsid w:val="00751AF6"/>
    <w:rsid w:val="00752558"/>
    <w:rsid w:val="00752A48"/>
    <w:rsid w:val="00757503"/>
    <w:rsid w:val="00757707"/>
    <w:rsid w:val="00760BB0"/>
    <w:rsid w:val="00761148"/>
    <w:rsid w:val="007633DD"/>
    <w:rsid w:val="007755E3"/>
    <w:rsid w:val="00781803"/>
    <w:rsid w:val="00781E6A"/>
    <w:rsid w:val="007830C6"/>
    <w:rsid w:val="007A2AE5"/>
    <w:rsid w:val="007A5A33"/>
    <w:rsid w:val="007B1800"/>
    <w:rsid w:val="007B1F57"/>
    <w:rsid w:val="007B3014"/>
    <w:rsid w:val="007B370F"/>
    <w:rsid w:val="007B4938"/>
    <w:rsid w:val="007C6502"/>
    <w:rsid w:val="007C7760"/>
    <w:rsid w:val="007D02D8"/>
    <w:rsid w:val="007D68B4"/>
    <w:rsid w:val="007E0402"/>
    <w:rsid w:val="007E3706"/>
    <w:rsid w:val="007F4CD3"/>
    <w:rsid w:val="007F61C2"/>
    <w:rsid w:val="007F6B46"/>
    <w:rsid w:val="00801456"/>
    <w:rsid w:val="008018DB"/>
    <w:rsid w:val="00803CA2"/>
    <w:rsid w:val="00807CAC"/>
    <w:rsid w:val="0081012F"/>
    <w:rsid w:val="008115BF"/>
    <w:rsid w:val="008143B0"/>
    <w:rsid w:val="00816942"/>
    <w:rsid w:val="00820FF3"/>
    <w:rsid w:val="008212DA"/>
    <w:rsid w:val="00823681"/>
    <w:rsid w:val="00824341"/>
    <w:rsid w:val="00824D81"/>
    <w:rsid w:val="00825C4F"/>
    <w:rsid w:val="0082638F"/>
    <w:rsid w:val="00835322"/>
    <w:rsid w:val="008376AE"/>
    <w:rsid w:val="008416FD"/>
    <w:rsid w:val="00841929"/>
    <w:rsid w:val="00845FCF"/>
    <w:rsid w:val="008507FE"/>
    <w:rsid w:val="00853ABC"/>
    <w:rsid w:val="00855A52"/>
    <w:rsid w:val="00863E08"/>
    <w:rsid w:val="00871D53"/>
    <w:rsid w:val="00871DCE"/>
    <w:rsid w:val="008755D6"/>
    <w:rsid w:val="00880340"/>
    <w:rsid w:val="00881405"/>
    <w:rsid w:val="00883F45"/>
    <w:rsid w:val="00886E29"/>
    <w:rsid w:val="0089069F"/>
    <w:rsid w:val="00893C9F"/>
    <w:rsid w:val="00895B40"/>
    <w:rsid w:val="00895DA2"/>
    <w:rsid w:val="00897359"/>
    <w:rsid w:val="008A050A"/>
    <w:rsid w:val="008A1C9C"/>
    <w:rsid w:val="008A55FC"/>
    <w:rsid w:val="008A7371"/>
    <w:rsid w:val="008A73EA"/>
    <w:rsid w:val="008B36C2"/>
    <w:rsid w:val="008B7EC5"/>
    <w:rsid w:val="008D25B7"/>
    <w:rsid w:val="008D26D8"/>
    <w:rsid w:val="008D379F"/>
    <w:rsid w:val="008D5479"/>
    <w:rsid w:val="008E0DC0"/>
    <w:rsid w:val="008E0DF5"/>
    <w:rsid w:val="008E3273"/>
    <w:rsid w:val="008E56BB"/>
    <w:rsid w:val="008E60DE"/>
    <w:rsid w:val="008F0C45"/>
    <w:rsid w:val="008F17E1"/>
    <w:rsid w:val="00904B00"/>
    <w:rsid w:val="009112D0"/>
    <w:rsid w:val="00915355"/>
    <w:rsid w:val="009253A8"/>
    <w:rsid w:val="00940C0F"/>
    <w:rsid w:val="00951DC3"/>
    <w:rsid w:val="0095548F"/>
    <w:rsid w:val="009610C1"/>
    <w:rsid w:val="00965AD5"/>
    <w:rsid w:val="009744C8"/>
    <w:rsid w:val="00974530"/>
    <w:rsid w:val="00974659"/>
    <w:rsid w:val="00977DFB"/>
    <w:rsid w:val="00980E58"/>
    <w:rsid w:val="009815BD"/>
    <w:rsid w:val="00981886"/>
    <w:rsid w:val="00990102"/>
    <w:rsid w:val="00990FEC"/>
    <w:rsid w:val="00992257"/>
    <w:rsid w:val="009928CD"/>
    <w:rsid w:val="009949AA"/>
    <w:rsid w:val="00995921"/>
    <w:rsid w:val="009A1B08"/>
    <w:rsid w:val="009B0524"/>
    <w:rsid w:val="009B3A62"/>
    <w:rsid w:val="009C3CB9"/>
    <w:rsid w:val="009C4A13"/>
    <w:rsid w:val="009C6E33"/>
    <w:rsid w:val="009C745D"/>
    <w:rsid w:val="009D50C1"/>
    <w:rsid w:val="009E2D84"/>
    <w:rsid w:val="009E7B5F"/>
    <w:rsid w:val="009F1919"/>
    <w:rsid w:val="009F279E"/>
    <w:rsid w:val="009F7DE3"/>
    <w:rsid w:val="00A03CC7"/>
    <w:rsid w:val="00A04C8E"/>
    <w:rsid w:val="00A07154"/>
    <w:rsid w:val="00A11868"/>
    <w:rsid w:val="00A127D3"/>
    <w:rsid w:val="00A1386C"/>
    <w:rsid w:val="00A14335"/>
    <w:rsid w:val="00A14B43"/>
    <w:rsid w:val="00A166E7"/>
    <w:rsid w:val="00A16E91"/>
    <w:rsid w:val="00A178B0"/>
    <w:rsid w:val="00A23612"/>
    <w:rsid w:val="00A2604E"/>
    <w:rsid w:val="00A27C67"/>
    <w:rsid w:val="00A32860"/>
    <w:rsid w:val="00A40E4A"/>
    <w:rsid w:val="00A417A2"/>
    <w:rsid w:val="00A47A20"/>
    <w:rsid w:val="00A52189"/>
    <w:rsid w:val="00A57463"/>
    <w:rsid w:val="00A664DF"/>
    <w:rsid w:val="00A71219"/>
    <w:rsid w:val="00A713D0"/>
    <w:rsid w:val="00A722D4"/>
    <w:rsid w:val="00A74849"/>
    <w:rsid w:val="00A75AAA"/>
    <w:rsid w:val="00A82A29"/>
    <w:rsid w:val="00A86B6F"/>
    <w:rsid w:val="00A94B18"/>
    <w:rsid w:val="00AA516A"/>
    <w:rsid w:val="00AA5B0E"/>
    <w:rsid w:val="00AA6A4A"/>
    <w:rsid w:val="00AB4DBF"/>
    <w:rsid w:val="00AC0504"/>
    <w:rsid w:val="00AC0795"/>
    <w:rsid w:val="00AC1DB7"/>
    <w:rsid w:val="00AC381D"/>
    <w:rsid w:val="00AC3A7C"/>
    <w:rsid w:val="00AC62A6"/>
    <w:rsid w:val="00AC664F"/>
    <w:rsid w:val="00AC750B"/>
    <w:rsid w:val="00AD1E15"/>
    <w:rsid w:val="00AD6937"/>
    <w:rsid w:val="00AE1F12"/>
    <w:rsid w:val="00AE24CC"/>
    <w:rsid w:val="00AE4155"/>
    <w:rsid w:val="00AE45D5"/>
    <w:rsid w:val="00AE4B7C"/>
    <w:rsid w:val="00AE66F6"/>
    <w:rsid w:val="00AF17CE"/>
    <w:rsid w:val="00AF336D"/>
    <w:rsid w:val="00AF349B"/>
    <w:rsid w:val="00AF49FA"/>
    <w:rsid w:val="00AF65F0"/>
    <w:rsid w:val="00B009E9"/>
    <w:rsid w:val="00B01711"/>
    <w:rsid w:val="00B01B16"/>
    <w:rsid w:val="00B02258"/>
    <w:rsid w:val="00B03644"/>
    <w:rsid w:val="00B062D0"/>
    <w:rsid w:val="00B11D16"/>
    <w:rsid w:val="00B12EA2"/>
    <w:rsid w:val="00B17A95"/>
    <w:rsid w:val="00B24588"/>
    <w:rsid w:val="00B30F2D"/>
    <w:rsid w:val="00B34021"/>
    <w:rsid w:val="00B34928"/>
    <w:rsid w:val="00B35B74"/>
    <w:rsid w:val="00B403F1"/>
    <w:rsid w:val="00B4163B"/>
    <w:rsid w:val="00B43A2F"/>
    <w:rsid w:val="00B447D7"/>
    <w:rsid w:val="00B556C9"/>
    <w:rsid w:val="00B55E1D"/>
    <w:rsid w:val="00B60113"/>
    <w:rsid w:val="00B6081E"/>
    <w:rsid w:val="00B61016"/>
    <w:rsid w:val="00B624EB"/>
    <w:rsid w:val="00B71BAA"/>
    <w:rsid w:val="00B76A1F"/>
    <w:rsid w:val="00B806DD"/>
    <w:rsid w:val="00B80940"/>
    <w:rsid w:val="00B82F8C"/>
    <w:rsid w:val="00B8460F"/>
    <w:rsid w:val="00B84D34"/>
    <w:rsid w:val="00B91311"/>
    <w:rsid w:val="00B93C92"/>
    <w:rsid w:val="00B95477"/>
    <w:rsid w:val="00BA1D81"/>
    <w:rsid w:val="00BA7130"/>
    <w:rsid w:val="00BB201C"/>
    <w:rsid w:val="00BB436B"/>
    <w:rsid w:val="00BB5EF5"/>
    <w:rsid w:val="00BC58DF"/>
    <w:rsid w:val="00BC6431"/>
    <w:rsid w:val="00BD205B"/>
    <w:rsid w:val="00BD74AE"/>
    <w:rsid w:val="00BD7B12"/>
    <w:rsid w:val="00BE16BC"/>
    <w:rsid w:val="00BE3FE7"/>
    <w:rsid w:val="00BE6EDF"/>
    <w:rsid w:val="00BF2922"/>
    <w:rsid w:val="00BF2D74"/>
    <w:rsid w:val="00BF3441"/>
    <w:rsid w:val="00BF4CC8"/>
    <w:rsid w:val="00BF51ED"/>
    <w:rsid w:val="00BF75B6"/>
    <w:rsid w:val="00C02547"/>
    <w:rsid w:val="00C025C8"/>
    <w:rsid w:val="00C04E54"/>
    <w:rsid w:val="00C058D5"/>
    <w:rsid w:val="00C1124F"/>
    <w:rsid w:val="00C14903"/>
    <w:rsid w:val="00C1686C"/>
    <w:rsid w:val="00C30486"/>
    <w:rsid w:val="00C30740"/>
    <w:rsid w:val="00C30DED"/>
    <w:rsid w:val="00C367A6"/>
    <w:rsid w:val="00C37BFF"/>
    <w:rsid w:val="00C42500"/>
    <w:rsid w:val="00C45F17"/>
    <w:rsid w:val="00C50BD5"/>
    <w:rsid w:val="00C50EB1"/>
    <w:rsid w:val="00C51458"/>
    <w:rsid w:val="00C51E5F"/>
    <w:rsid w:val="00C52E2C"/>
    <w:rsid w:val="00C53580"/>
    <w:rsid w:val="00C53E2E"/>
    <w:rsid w:val="00C55838"/>
    <w:rsid w:val="00C56745"/>
    <w:rsid w:val="00C63C66"/>
    <w:rsid w:val="00C70729"/>
    <w:rsid w:val="00C71475"/>
    <w:rsid w:val="00C76958"/>
    <w:rsid w:val="00C77EF7"/>
    <w:rsid w:val="00C80D25"/>
    <w:rsid w:val="00C81026"/>
    <w:rsid w:val="00C82053"/>
    <w:rsid w:val="00C820F1"/>
    <w:rsid w:val="00C822C1"/>
    <w:rsid w:val="00C859F7"/>
    <w:rsid w:val="00C85A38"/>
    <w:rsid w:val="00C91512"/>
    <w:rsid w:val="00C94A53"/>
    <w:rsid w:val="00CA0DEC"/>
    <w:rsid w:val="00CA2DE2"/>
    <w:rsid w:val="00CA3A85"/>
    <w:rsid w:val="00CA6636"/>
    <w:rsid w:val="00CA6D76"/>
    <w:rsid w:val="00CA7FBE"/>
    <w:rsid w:val="00CB51CC"/>
    <w:rsid w:val="00CC0389"/>
    <w:rsid w:val="00CC1A72"/>
    <w:rsid w:val="00CC3633"/>
    <w:rsid w:val="00CC5692"/>
    <w:rsid w:val="00CC65F3"/>
    <w:rsid w:val="00CD09E8"/>
    <w:rsid w:val="00CD56E5"/>
    <w:rsid w:val="00CE0C1B"/>
    <w:rsid w:val="00CE64F2"/>
    <w:rsid w:val="00CF0C67"/>
    <w:rsid w:val="00CF0F40"/>
    <w:rsid w:val="00CF3AED"/>
    <w:rsid w:val="00CF4753"/>
    <w:rsid w:val="00D0083B"/>
    <w:rsid w:val="00D024BB"/>
    <w:rsid w:val="00D04DF4"/>
    <w:rsid w:val="00D13C0D"/>
    <w:rsid w:val="00D15403"/>
    <w:rsid w:val="00D172D8"/>
    <w:rsid w:val="00D21C55"/>
    <w:rsid w:val="00D26488"/>
    <w:rsid w:val="00D3231A"/>
    <w:rsid w:val="00D35AF4"/>
    <w:rsid w:val="00D35B2D"/>
    <w:rsid w:val="00D44183"/>
    <w:rsid w:val="00D44A55"/>
    <w:rsid w:val="00D47931"/>
    <w:rsid w:val="00D47B74"/>
    <w:rsid w:val="00D47F3F"/>
    <w:rsid w:val="00D5276C"/>
    <w:rsid w:val="00D61B79"/>
    <w:rsid w:val="00D62C84"/>
    <w:rsid w:val="00D6384D"/>
    <w:rsid w:val="00D64D0D"/>
    <w:rsid w:val="00D653F3"/>
    <w:rsid w:val="00D65EC2"/>
    <w:rsid w:val="00D66B24"/>
    <w:rsid w:val="00D67307"/>
    <w:rsid w:val="00D820C2"/>
    <w:rsid w:val="00D82DD3"/>
    <w:rsid w:val="00D85E13"/>
    <w:rsid w:val="00D86288"/>
    <w:rsid w:val="00D872BC"/>
    <w:rsid w:val="00D916A6"/>
    <w:rsid w:val="00D954AE"/>
    <w:rsid w:val="00D96929"/>
    <w:rsid w:val="00DA1B6F"/>
    <w:rsid w:val="00DA529F"/>
    <w:rsid w:val="00DB364C"/>
    <w:rsid w:val="00DB5AAE"/>
    <w:rsid w:val="00DB636B"/>
    <w:rsid w:val="00DB6882"/>
    <w:rsid w:val="00DC4B63"/>
    <w:rsid w:val="00DC5017"/>
    <w:rsid w:val="00DC5129"/>
    <w:rsid w:val="00DD1009"/>
    <w:rsid w:val="00DD1BE3"/>
    <w:rsid w:val="00DD7F1B"/>
    <w:rsid w:val="00DE1A87"/>
    <w:rsid w:val="00DE451F"/>
    <w:rsid w:val="00DE7058"/>
    <w:rsid w:val="00DF7398"/>
    <w:rsid w:val="00E02A5E"/>
    <w:rsid w:val="00E03D2D"/>
    <w:rsid w:val="00E12A7A"/>
    <w:rsid w:val="00E201F1"/>
    <w:rsid w:val="00E23063"/>
    <w:rsid w:val="00E27FD6"/>
    <w:rsid w:val="00E30B87"/>
    <w:rsid w:val="00E354FB"/>
    <w:rsid w:val="00E36A0F"/>
    <w:rsid w:val="00E400C7"/>
    <w:rsid w:val="00E40322"/>
    <w:rsid w:val="00E40CB4"/>
    <w:rsid w:val="00E4172D"/>
    <w:rsid w:val="00E419FF"/>
    <w:rsid w:val="00E41DB9"/>
    <w:rsid w:val="00E56612"/>
    <w:rsid w:val="00E71CC0"/>
    <w:rsid w:val="00E731AE"/>
    <w:rsid w:val="00E74310"/>
    <w:rsid w:val="00E74313"/>
    <w:rsid w:val="00E762BB"/>
    <w:rsid w:val="00E865C8"/>
    <w:rsid w:val="00E8661B"/>
    <w:rsid w:val="00E9084E"/>
    <w:rsid w:val="00E90E77"/>
    <w:rsid w:val="00E93FB8"/>
    <w:rsid w:val="00E962E6"/>
    <w:rsid w:val="00E97D7C"/>
    <w:rsid w:val="00EA0E8C"/>
    <w:rsid w:val="00EA1793"/>
    <w:rsid w:val="00EA689F"/>
    <w:rsid w:val="00EB162B"/>
    <w:rsid w:val="00EB2952"/>
    <w:rsid w:val="00EC1434"/>
    <w:rsid w:val="00EC688E"/>
    <w:rsid w:val="00EC6F9B"/>
    <w:rsid w:val="00EC72B0"/>
    <w:rsid w:val="00EC77B3"/>
    <w:rsid w:val="00ED0142"/>
    <w:rsid w:val="00EE18F2"/>
    <w:rsid w:val="00EE365D"/>
    <w:rsid w:val="00EF33BE"/>
    <w:rsid w:val="00EF4F97"/>
    <w:rsid w:val="00EF5552"/>
    <w:rsid w:val="00F037A2"/>
    <w:rsid w:val="00F05673"/>
    <w:rsid w:val="00F126FC"/>
    <w:rsid w:val="00F12983"/>
    <w:rsid w:val="00F15359"/>
    <w:rsid w:val="00F175C4"/>
    <w:rsid w:val="00F23714"/>
    <w:rsid w:val="00F245A2"/>
    <w:rsid w:val="00F309CB"/>
    <w:rsid w:val="00F33EED"/>
    <w:rsid w:val="00F33EEE"/>
    <w:rsid w:val="00F37677"/>
    <w:rsid w:val="00F37B05"/>
    <w:rsid w:val="00F43A7E"/>
    <w:rsid w:val="00F44A0E"/>
    <w:rsid w:val="00F4763C"/>
    <w:rsid w:val="00F540BA"/>
    <w:rsid w:val="00F570F0"/>
    <w:rsid w:val="00F60E60"/>
    <w:rsid w:val="00F64069"/>
    <w:rsid w:val="00F64D6D"/>
    <w:rsid w:val="00F654D4"/>
    <w:rsid w:val="00F66182"/>
    <w:rsid w:val="00F71399"/>
    <w:rsid w:val="00F76359"/>
    <w:rsid w:val="00F82EE1"/>
    <w:rsid w:val="00F837D0"/>
    <w:rsid w:val="00F93134"/>
    <w:rsid w:val="00F933A3"/>
    <w:rsid w:val="00FA696B"/>
    <w:rsid w:val="00FB078F"/>
    <w:rsid w:val="00FB3586"/>
    <w:rsid w:val="00FB7122"/>
    <w:rsid w:val="00FC39BA"/>
    <w:rsid w:val="00FC3F00"/>
    <w:rsid w:val="00FC6D7B"/>
    <w:rsid w:val="00FC750D"/>
    <w:rsid w:val="00FC7883"/>
    <w:rsid w:val="00FD0EA3"/>
    <w:rsid w:val="00FE34E4"/>
    <w:rsid w:val="00FF1D71"/>
    <w:rsid w:val="00FF31DF"/>
    <w:rsid w:val="00FF5141"/>
    <w:rsid w:val="00FF6332"/>
    <w:rsid w:val="128FFB1D"/>
    <w:rsid w:val="142BCB7E"/>
    <w:rsid w:val="1D3A4D75"/>
    <w:rsid w:val="2EC36C24"/>
    <w:rsid w:val="3E318280"/>
    <w:rsid w:val="5A95B6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3EF157A4-D577-46D4-A386-E27911B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Char,Footnote Text Char Char,Footnote Text Char Char Char,Footnote Text Char1,Footnote Text Char1 Char,Footnote Text Char1 Char Char,Footnote Text Char1 Char1,Footnote Text Char2 Char,Footnote Text Char3,Footnote Text MRP,fn,fn1,fn3,fn4,ft"/>
    <w:basedOn w:val="Normal"/>
    <w:link w:val="FootnoteTextChar"/>
    <w:uiPriority w:val="99"/>
    <w:qFormat/>
    <w:rsid w:val="00B01B16"/>
    <w:rPr>
      <w:sz w:val="22"/>
      <w:szCs w:val="20"/>
    </w:rPr>
  </w:style>
  <w:style w:type="character" w:customStyle="1" w:styleId="FootnoteTextChar">
    <w:name w:val="Footnote Text Char"/>
    <w:aliases w:val="Char Char,Footnote Text Char Char Char Char,Footnote Text Char Char Char1,Footnote Text Char1 Char Char Char,Footnote Text Char1 Char Char1,Footnote Text Char1 Char1 Char,Footnote Text Char1 Char2,Footnote Text Char2 Char Char,fn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styleId="UnresolvedMention">
    <w:name w:val="Unresolved Mention"/>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RCparanumber">
    <w:name w:val="FERC paranumber"/>
    <w:basedOn w:val="Normal"/>
    <w:qFormat/>
    <w:rsid w:val="00B03644"/>
    <w:pPr>
      <w:widowControl w:val="0"/>
      <w:numPr>
        <w:numId w:val="18"/>
      </w:numPr>
      <w:autoSpaceDE w:val="0"/>
      <w:autoSpaceDN w:val="0"/>
      <w:adjustRightInd w:val="0"/>
    </w:pPr>
    <w:rPr>
      <w:rFonts w:asciiTheme="minorHAnsi" w:eastAsiaTheme="minorHAnsi" w:hAnsiTheme="minorHAnsi" w:cstheme="minorBidi"/>
      <w:sz w:val="24"/>
    </w:rPr>
  </w:style>
  <w:style w:type="table" w:customStyle="1" w:styleId="TableGrid1">
    <w:name w:val="Table Grid1"/>
    <w:basedOn w:val="TableNormal"/>
    <w:next w:val="TableGrid"/>
    <w:uiPriority w:val="39"/>
    <w:rsid w:val="007C6502"/>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DataClearance@FERC.gov" TargetMode="External" /><Relationship Id="rId11" Type="http://schemas.openxmlformats.org/officeDocument/2006/relationships/hyperlink" Target="https://elibrary.ferc.gov/eLibrary/search"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D7AB5-4F5A-4F61-B708-FDA8E2AE8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992D7-0C89-460A-B683-67446413FF66}">
  <ds:schemaRefs>
    <ds:schemaRef ds:uri="Microsoft.SharePoint.Taxonomy.ContentTypeSync"/>
  </ds:schemaRefs>
</ds:datastoreItem>
</file>

<file path=customXml/itemProps3.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4.xml><?xml version="1.0" encoding="utf-8"?>
<ds:datastoreItem xmlns:ds="http://schemas.openxmlformats.org/officeDocument/2006/customXml" ds:itemID="{5BBB1DD4-8130-4FE7-964C-24C804F058DC}">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BF99D739-F7A4-445B-9791-CF0B0493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1036</Words>
  <Characters>5618</Characters>
  <Application>Microsoft Office Word</Application>
  <DocSecurity>0</DocSecurity>
  <Lines>165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2016-12-20T13:40:00Z</cp:lastPrinted>
  <dcterms:created xsi:type="dcterms:W3CDTF">2026-08-14T12:19:00Z</dcterms:created>
  <dcterms:modified xsi:type="dcterms:W3CDTF">2026-08-14T12:19:00Z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84911044-bd6e-43c0-b8c1-31fcad20124b</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2026-08-14T12:18:46Z</vt:lpwstr>
  </property>
  <property fmtid="{D5CDD505-2E9C-101B-9397-08002B2CF9AE}" pid="8" name="MSIP_Label_bd24d06a-0e85-4d57-b1e0-ba34b1abc708_SiteId">
    <vt:lpwstr>19caa9e9-04ff-43fa-885f-d77fac387903</vt:lpwstr>
  </property>
  <property fmtid="{D5CDD505-2E9C-101B-9397-08002B2CF9AE}" pid="9" name="MSIP_Label_bd24d06a-0e85-4d57-b1e0-ba34b1abc708_Tag">
    <vt:lpwstr>10, 0, 1, 1</vt:lpwstr>
  </property>
</Properties>
</file>