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B3E6F" w:rsidRPr="00E65EF4" w:rsidP="00007F09" w14:paraId="0ACFBA64" w14:textId="77777777">
      <w:pPr>
        <w:spacing w:after="0" w:line="240" w:lineRule="auto"/>
        <w:jc w:val="center"/>
        <w:rPr>
          <w:rFonts w:ascii="Times New Roman" w:hAnsi="Times New Roman" w:cs="Times New Roman"/>
          <w:sz w:val="26"/>
          <w:szCs w:val="26"/>
        </w:rPr>
      </w:pPr>
      <w:r w:rsidRPr="00E65EF4">
        <w:rPr>
          <w:rFonts w:ascii="Times New Roman" w:hAnsi="Times New Roman" w:cs="Times New Roman"/>
          <w:sz w:val="26"/>
          <w:szCs w:val="26"/>
        </w:rPr>
        <w:t>Supporting Statement</w:t>
      </w:r>
    </w:p>
    <w:p w:rsidR="00A96B65" w:rsidRPr="00E65EF4" w:rsidP="00007F09" w14:paraId="5E2E51C3" w14:textId="4E7E8C30">
      <w:pPr>
        <w:spacing w:after="0" w:line="240" w:lineRule="auto"/>
        <w:jc w:val="center"/>
        <w:rPr>
          <w:rFonts w:ascii="Times New Roman" w:hAnsi="Times New Roman" w:cs="Times New Roman"/>
          <w:b/>
          <w:sz w:val="26"/>
          <w:szCs w:val="26"/>
        </w:rPr>
      </w:pPr>
      <w:r w:rsidRPr="00E65EF4">
        <w:rPr>
          <w:rFonts w:ascii="Times New Roman" w:hAnsi="Times New Roman" w:cs="Times New Roman"/>
          <w:b/>
          <w:sz w:val="26"/>
          <w:szCs w:val="26"/>
        </w:rPr>
        <w:t>FERC-725E</w:t>
      </w:r>
      <w:r w:rsidRPr="00E65EF4" w:rsidR="00570861">
        <w:rPr>
          <w:rFonts w:ascii="Times New Roman" w:hAnsi="Times New Roman" w:cs="Times New Roman"/>
          <w:b/>
          <w:sz w:val="26"/>
          <w:szCs w:val="26"/>
        </w:rPr>
        <w:t xml:space="preserve">, </w:t>
      </w:r>
      <w:r w:rsidRPr="00E65EF4" w:rsidR="007166BF">
        <w:rPr>
          <w:rFonts w:ascii="Times New Roman" w:hAnsi="Times New Roman" w:cs="Times New Roman"/>
          <w:b/>
          <w:sz w:val="26"/>
          <w:szCs w:val="26"/>
        </w:rPr>
        <w:t>Mandatory Reliability Standards for the Western Electric Coordinating Council,</w:t>
      </w:r>
    </w:p>
    <w:p w:rsidR="001B3DC2" w:rsidRPr="00E65EF4" w:rsidP="00007F09" w14:paraId="5D251ED3" w14:textId="13478165">
      <w:pPr>
        <w:spacing w:after="0" w:line="240" w:lineRule="auto"/>
        <w:jc w:val="center"/>
        <w:rPr>
          <w:rFonts w:ascii="Times New Roman" w:hAnsi="Times New Roman" w:cs="Times New Roman"/>
          <w:b/>
          <w:sz w:val="26"/>
          <w:szCs w:val="26"/>
        </w:rPr>
      </w:pPr>
      <w:r w:rsidRPr="00E65EF4">
        <w:rPr>
          <w:rFonts w:ascii="Times New Roman" w:hAnsi="Times New Roman" w:cs="Times New Roman"/>
          <w:b/>
          <w:sz w:val="26"/>
          <w:szCs w:val="26"/>
        </w:rPr>
        <w:t xml:space="preserve">as modified by </w:t>
      </w:r>
      <w:r w:rsidRPr="00E65EF4" w:rsidR="00AA00B7">
        <w:rPr>
          <w:rFonts w:ascii="Times New Roman" w:hAnsi="Times New Roman" w:cs="Times New Roman"/>
          <w:b/>
          <w:sz w:val="26"/>
          <w:szCs w:val="26"/>
        </w:rPr>
        <w:t xml:space="preserve">Docket No. </w:t>
      </w:r>
      <w:r w:rsidR="004D1CD2">
        <w:rPr>
          <w:rFonts w:ascii="Times New Roman" w:hAnsi="Times New Roman" w:cs="Times New Roman"/>
          <w:b/>
          <w:sz w:val="26"/>
          <w:szCs w:val="26"/>
        </w:rPr>
        <w:t>RD2</w:t>
      </w:r>
      <w:r w:rsidR="001B1484">
        <w:rPr>
          <w:rFonts w:ascii="Times New Roman" w:hAnsi="Times New Roman" w:cs="Times New Roman"/>
          <w:b/>
          <w:sz w:val="26"/>
          <w:szCs w:val="26"/>
        </w:rPr>
        <w:t>6</w:t>
      </w:r>
      <w:r w:rsidR="004D1CD2">
        <w:rPr>
          <w:rFonts w:ascii="Times New Roman" w:hAnsi="Times New Roman" w:cs="Times New Roman"/>
          <w:b/>
          <w:sz w:val="26"/>
          <w:szCs w:val="26"/>
        </w:rPr>
        <w:t>-</w:t>
      </w:r>
      <w:r w:rsidR="001B1484">
        <w:rPr>
          <w:rFonts w:ascii="Times New Roman" w:hAnsi="Times New Roman" w:cs="Times New Roman"/>
          <w:b/>
          <w:sz w:val="26"/>
          <w:szCs w:val="26"/>
        </w:rPr>
        <w:t>5</w:t>
      </w:r>
      <w:r w:rsidR="004D1CD2">
        <w:rPr>
          <w:rFonts w:ascii="Times New Roman" w:hAnsi="Times New Roman" w:cs="Times New Roman"/>
          <w:b/>
          <w:sz w:val="26"/>
          <w:szCs w:val="26"/>
        </w:rPr>
        <w:t>-000</w:t>
      </w:r>
    </w:p>
    <w:p w:rsidR="00FD66F1" w:rsidRPr="00E65EF4" w:rsidP="00007F09" w14:paraId="4E036854" w14:textId="77777777">
      <w:pPr>
        <w:spacing w:after="0" w:line="240" w:lineRule="auto"/>
        <w:rPr>
          <w:rFonts w:ascii="Times New Roman" w:hAnsi="Times New Roman" w:cs="Times New Roman"/>
          <w:sz w:val="26"/>
          <w:szCs w:val="26"/>
        </w:rPr>
      </w:pPr>
    </w:p>
    <w:p w:rsidR="00C34580" w:rsidP="00007F09" w14:paraId="115F92F8" w14:textId="4CB4B3A1">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 Federal Energy Regulatory Commission (FERC or Commission) requests that the Office of Management and Budget (OMB) review</w:t>
      </w:r>
      <w:r w:rsidRPr="00E65EF4" w:rsidR="008B7413">
        <w:rPr>
          <w:rFonts w:ascii="Times New Roman" w:hAnsi="Times New Roman" w:cs="Times New Roman"/>
          <w:sz w:val="26"/>
          <w:szCs w:val="26"/>
        </w:rPr>
        <w:t xml:space="preserve"> and approve</w:t>
      </w:r>
      <w:r w:rsidRPr="00E65EF4">
        <w:rPr>
          <w:rFonts w:ascii="Times New Roman" w:hAnsi="Times New Roman" w:cs="Times New Roman"/>
          <w:sz w:val="26"/>
          <w:szCs w:val="26"/>
        </w:rPr>
        <w:t xml:space="preserve"> the information collection requirements in </w:t>
      </w:r>
      <w:r w:rsidRPr="00E65EF4" w:rsidR="001B3DC2">
        <w:rPr>
          <w:rFonts w:ascii="Times New Roman" w:hAnsi="Times New Roman" w:cs="Times New Roman"/>
          <w:sz w:val="26"/>
          <w:szCs w:val="26"/>
        </w:rPr>
        <w:t>FERC-725E</w:t>
      </w:r>
      <w:r w:rsidRPr="00E65EF4">
        <w:rPr>
          <w:rFonts w:ascii="Times New Roman" w:hAnsi="Times New Roman" w:cs="Times New Roman"/>
          <w:sz w:val="26"/>
          <w:szCs w:val="26"/>
        </w:rPr>
        <w:t xml:space="preserve"> un</w:t>
      </w:r>
      <w:r w:rsidRPr="00E65EF4" w:rsidR="001B3DC2">
        <w:rPr>
          <w:rFonts w:ascii="Times New Roman" w:hAnsi="Times New Roman" w:cs="Times New Roman"/>
          <w:sz w:val="26"/>
          <w:szCs w:val="26"/>
        </w:rPr>
        <w:t>der OMB Control No. 1902-0246</w:t>
      </w:r>
      <w:r w:rsidRPr="00E65EF4" w:rsidR="008B7413">
        <w:rPr>
          <w:rFonts w:ascii="Times New Roman" w:hAnsi="Times New Roman" w:cs="Times New Roman"/>
          <w:sz w:val="26"/>
          <w:szCs w:val="26"/>
        </w:rPr>
        <w:t xml:space="preserve"> as modified by </w:t>
      </w:r>
      <w:r w:rsidRPr="00E65EF4" w:rsidR="00AA00B7">
        <w:rPr>
          <w:rFonts w:ascii="Times New Roman" w:hAnsi="Times New Roman" w:cs="Times New Roman"/>
          <w:sz w:val="26"/>
          <w:szCs w:val="26"/>
        </w:rPr>
        <w:t>Docket No</w:t>
      </w:r>
      <w:r w:rsidRPr="00E65EF4" w:rsidR="004C194B">
        <w:rPr>
          <w:rFonts w:ascii="Times New Roman" w:hAnsi="Times New Roman" w:cs="Times New Roman"/>
          <w:sz w:val="26"/>
          <w:szCs w:val="26"/>
        </w:rPr>
        <w:t>.</w:t>
      </w:r>
      <w:r w:rsidRPr="00E65EF4" w:rsidR="00F96C48">
        <w:rPr>
          <w:rFonts w:ascii="Times New Roman" w:hAnsi="Times New Roman" w:cs="Times New Roman"/>
          <w:sz w:val="26"/>
          <w:szCs w:val="26"/>
        </w:rPr>
        <w:t xml:space="preserve"> </w:t>
      </w:r>
      <w:r w:rsidRPr="00E65EF4" w:rsidR="00DA2D6A">
        <w:rPr>
          <w:rFonts w:ascii="Times New Roman" w:hAnsi="Times New Roman" w:cs="Times New Roman"/>
          <w:sz w:val="26"/>
          <w:szCs w:val="26"/>
        </w:rPr>
        <w:t>R</w:t>
      </w:r>
      <w:r w:rsidR="004D1CD2">
        <w:rPr>
          <w:rFonts w:ascii="Times New Roman" w:hAnsi="Times New Roman" w:cs="Times New Roman"/>
          <w:sz w:val="26"/>
          <w:szCs w:val="26"/>
        </w:rPr>
        <w:t>D2</w:t>
      </w:r>
      <w:r w:rsidR="001B1484">
        <w:rPr>
          <w:rFonts w:ascii="Times New Roman" w:hAnsi="Times New Roman" w:cs="Times New Roman"/>
          <w:sz w:val="26"/>
          <w:szCs w:val="26"/>
        </w:rPr>
        <w:t>6</w:t>
      </w:r>
      <w:r w:rsidRPr="00E65EF4" w:rsidR="00DA2D6A">
        <w:rPr>
          <w:rFonts w:ascii="Times New Roman" w:hAnsi="Times New Roman" w:cs="Times New Roman"/>
          <w:sz w:val="26"/>
          <w:szCs w:val="26"/>
        </w:rPr>
        <w:t>-</w:t>
      </w:r>
      <w:r w:rsidR="001B1484">
        <w:rPr>
          <w:rFonts w:ascii="Times New Roman" w:hAnsi="Times New Roman" w:cs="Times New Roman"/>
          <w:sz w:val="26"/>
          <w:szCs w:val="26"/>
        </w:rPr>
        <w:t>5</w:t>
      </w:r>
      <w:r w:rsidR="004D1CD2">
        <w:rPr>
          <w:rFonts w:ascii="Times New Roman" w:hAnsi="Times New Roman" w:cs="Times New Roman"/>
          <w:sz w:val="26"/>
          <w:szCs w:val="26"/>
        </w:rPr>
        <w:t>-000</w:t>
      </w:r>
      <w:r w:rsidRPr="00E65EF4" w:rsidR="00DE65CA">
        <w:rPr>
          <w:rFonts w:ascii="Times New Roman" w:hAnsi="Times New Roman" w:cs="Times New Roman"/>
          <w:sz w:val="26"/>
          <w:szCs w:val="26"/>
        </w:rPr>
        <w:t xml:space="preserve"> for three years.  FERC-725E is an existing collection whose filing requirements are contained in 18 Code of Federal Regulations (CFR) Part 40.</w:t>
      </w:r>
    </w:p>
    <w:p w:rsidR="00E04C51" w:rsidP="00E04C51" w14:paraId="49042687" w14:textId="77777777">
      <w:pPr>
        <w:pStyle w:val="Default"/>
      </w:pPr>
    </w:p>
    <w:p w:rsidR="00E04C51" w:rsidRPr="00E04C51" w:rsidP="00E04C51" w14:paraId="3F46E3C8" w14:textId="6031DBF6">
      <w:pPr>
        <w:pStyle w:val="Default"/>
        <w:rPr>
          <w:sz w:val="26"/>
          <w:szCs w:val="26"/>
        </w:rPr>
      </w:pPr>
      <w:r>
        <w:t xml:space="preserve"> </w:t>
      </w:r>
      <w:r w:rsidRPr="00E04C51">
        <w:rPr>
          <w:sz w:val="26"/>
          <w:szCs w:val="26"/>
        </w:rPr>
        <w:t xml:space="preserve">On February 27, 2026, the North American Electric Reliability Corporation (NERC) and Western Electricity Coordinating Council (WECC) filed a joint petition seeking approval of the retirement of currently effective Regional Reliability Standard BAL-002-WECC-3 (Contingency Reserve) to become effective on the first day of the first quarter following the effective date of the Commission’s order approving the proposed retirement. </w:t>
      </w:r>
    </w:p>
    <w:p w:rsidR="004A719A" w:rsidRPr="00E65EF4" w:rsidP="00007F09" w14:paraId="15F745C6" w14:textId="01751980">
      <w:pPr>
        <w:spacing w:after="0" w:line="240" w:lineRule="auto"/>
        <w:rPr>
          <w:rFonts w:ascii="Times New Roman" w:hAnsi="Times New Roman" w:cs="Times New Roman"/>
          <w:sz w:val="26"/>
          <w:szCs w:val="26"/>
        </w:rPr>
      </w:pPr>
    </w:p>
    <w:p w:rsidR="00A72E7B" w:rsidRPr="00E65EF4" w:rsidP="00007F09" w14:paraId="331505ED"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CIRCUMSTANCES THAT MAKE THE COLLECTION OF INFORMATION NECESSARY</w:t>
      </w:r>
    </w:p>
    <w:p w:rsidR="00A72E7B" w:rsidRPr="00E65EF4" w:rsidP="00007F09" w14:paraId="489129EB" w14:textId="77777777">
      <w:pPr>
        <w:spacing w:after="0" w:line="240" w:lineRule="auto"/>
        <w:rPr>
          <w:rFonts w:ascii="Times New Roman" w:hAnsi="Times New Roman" w:cs="Times New Roman"/>
          <w:sz w:val="26"/>
          <w:szCs w:val="26"/>
        </w:rPr>
      </w:pPr>
    </w:p>
    <w:p w:rsidR="00DA2D6A" w:rsidRPr="00E65EF4" w:rsidP="00007F09" w14:paraId="1EA2A607" w14:textId="77777777">
      <w:pPr>
        <w:pStyle w:val="ListParagraph"/>
        <w:spacing w:after="0" w:line="240" w:lineRule="auto"/>
        <w:ind w:left="0"/>
        <w:rPr>
          <w:rFonts w:ascii="Times New Roman" w:hAnsi="Times New Roman" w:cs="Times New Roman"/>
          <w:sz w:val="26"/>
          <w:szCs w:val="26"/>
        </w:rPr>
      </w:pPr>
      <w:r w:rsidRPr="00E65EF4">
        <w:rPr>
          <w:rFonts w:ascii="Times New Roman" w:hAnsi="Times New Roman" w:cs="Times New Roman"/>
          <w:sz w:val="26"/>
          <w:szCs w:val="26"/>
        </w:rPr>
        <w:t>On August 8, 2005, The Electricity Modernization Act of 2005, which is Title XII of the Energy Policy Act of 2005 (EPAct 2005), was enacted into law.  EPAct 2005 added a new Section 215 to the Federal Power Act (FPA), which requires a Commission-certified Electric Reliability Organization (ERO) to develop mandatory and enforceable Reliability Standards, which are subject to Commission review and approval.  Once approved, the Reliability Standards may be enforced by the ERO, subject to Commission oversight.  In 2006, the Commission certified the North American Electric Reliability Corporation (NERC) as the ERO pursuant to FPA section 215.</w:t>
      </w:r>
      <w:r>
        <w:rPr>
          <w:rStyle w:val="FootnoteReference"/>
          <w:rFonts w:ascii="Times New Roman" w:hAnsi="Times New Roman" w:cs="Times New Roman"/>
          <w:sz w:val="26"/>
          <w:szCs w:val="26"/>
          <w:vertAlign w:val="superscript"/>
        </w:rPr>
        <w:footnoteReference w:id="2"/>
      </w:r>
      <w:r w:rsidRPr="00E65EF4">
        <w:rPr>
          <w:rFonts w:ascii="Times New Roman" w:hAnsi="Times New Roman" w:cs="Times New Roman"/>
          <w:sz w:val="26"/>
          <w:szCs w:val="26"/>
        </w:rPr>
        <w:t xml:space="preserve">  The reporting requirements in the FERC-725E are contained in FERC’s regulations in 18 Code of Federal Regulations (CFR) Part 40.</w:t>
      </w:r>
    </w:p>
    <w:p w:rsidR="00C34580" w:rsidRPr="00E65EF4" w:rsidP="00007F09" w14:paraId="571F4CFB" w14:textId="77777777">
      <w:pPr>
        <w:spacing w:after="0" w:line="240" w:lineRule="auto"/>
        <w:rPr>
          <w:rFonts w:ascii="Times New Roman" w:hAnsi="Times New Roman" w:cs="Times New Roman"/>
          <w:sz w:val="26"/>
          <w:szCs w:val="26"/>
        </w:rPr>
      </w:pPr>
    </w:p>
    <w:p w:rsidR="00C34580" w:rsidRPr="00E65EF4" w:rsidP="00007F09" w14:paraId="66872430" w14:textId="626865FE">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On March 16, 2007, in Order No. 693, pursuant to section 215(d) of the FPA, the Commission approved 83 of 107 proposed Reliability Standards, six of the eight proposed regional differences, and the North American Electric Reliability Corporation (NERC) Glossary of Terms used in Reliability Standards (NERC Glossary)</w:t>
      </w:r>
      <w:r w:rsidRPr="00E65EF4" w:rsidR="007D069B">
        <w:rPr>
          <w:rFonts w:ascii="Times New Roman" w:hAnsi="Times New Roman" w:cs="Times New Roman"/>
          <w:sz w:val="26"/>
          <w:szCs w:val="26"/>
        </w:rPr>
        <w:t>.</w:t>
      </w:r>
    </w:p>
    <w:p w:rsidR="00C34580" w:rsidRPr="00E65EF4" w:rsidP="00007F09" w14:paraId="73CC7EA9" w14:textId="77777777">
      <w:pPr>
        <w:spacing w:after="0" w:line="240" w:lineRule="auto"/>
        <w:rPr>
          <w:rFonts w:ascii="Times New Roman" w:hAnsi="Times New Roman" w:cs="Times New Roman"/>
          <w:sz w:val="26"/>
          <w:szCs w:val="26"/>
        </w:rPr>
      </w:pPr>
    </w:p>
    <w:p w:rsidR="00C34580" w:rsidRPr="00E65EF4" w:rsidP="00007F09" w14:paraId="77B3ED86" w14:textId="3AC2E8C3">
      <w:pPr>
        <w:spacing w:after="0" w:line="240" w:lineRule="auto"/>
        <w:rPr>
          <w:rFonts w:ascii="Times New Roman" w:hAnsi="Times New Roman" w:cs="Times New Roman"/>
          <w:sz w:val="26"/>
          <w:szCs w:val="26"/>
        </w:rPr>
      </w:pPr>
      <w:r w:rsidRPr="00E65EF4">
        <w:rPr>
          <w:rFonts w:ascii="Times New Roman" w:hAnsi="Times New Roman" w:cs="Times New Roman"/>
          <w:b/>
          <w:sz w:val="26"/>
          <w:szCs w:val="26"/>
        </w:rPr>
        <w:t>FERC-725E (General)</w:t>
      </w:r>
      <w:r w:rsidRPr="00E65EF4">
        <w:rPr>
          <w:rFonts w:ascii="Times New Roman" w:hAnsi="Times New Roman" w:cs="Times New Roman"/>
          <w:sz w:val="26"/>
          <w:szCs w:val="26"/>
        </w:rPr>
        <w:t>:  The information collected by the FERC-725E is required to implement the statutory provisions of section 215 of the Federal Power Act (FPA).</w:t>
      </w:r>
      <w:r>
        <w:rPr>
          <w:rStyle w:val="FootnoteReference"/>
          <w:rFonts w:ascii="Times New Roman" w:hAnsi="Times New Roman" w:cs="Times New Roman"/>
          <w:sz w:val="26"/>
          <w:szCs w:val="26"/>
          <w:vertAlign w:val="superscript"/>
        </w:rPr>
        <w:footnoteReference w:id="3"/>
      </w:r>
      <w:r w:rsidRPr="00E65EF4">
        <w:rPr>
          <w:rFonts w:ascii="Times New Roman" w:hAnsi="Times New Roman" w:cs="Times New Roman"/>
          <w:sz w:val="26"/>
          <w:szCs w:val="26"/>
        </w:rPr>
        <w:t xml:space="preserve">  Section 215 of the FPA buttresses the Commission’s efforts to strengthen the reliability of the interstate grid through the grant of new authority by providing for a system of mandatory Reliability Standards developed by the Electric Reliability Organization (ERO).  Reliability Standards that the ERO proposes to the Commission may include Reliability Standards that are proposed to the ERO by a Regional Entity.</w:t>
      </w:r>
      <w:r>
        <w:rPr>
          <w:rFonts w:ascii="Times New Roman" w:hAnsi="Times New Roman" w:cs="Times New Roman"/>
          <w:bCs/>
          <w:sz w:val="26"/>
          <w:szCs w:val="26"/>
          <w:vertAlign w:val="superscript"/>
        </w:rPr>
        <w:footnoteReference w:id="4"/>
      </w:r>
      <w:r w:rsidRPr="00E65EF4">
        <w:rPr>
          <w:rFonts w:ascii="Times New Roman" w:hAnsi="Times New Roman" w:cs="Times New Roman"/>
          <w:sz w:val="26"/>
          <w:szCs w:val="26"/>
        </w:rPr>
        <w:t xml:space="preserve">  A Regional Entity is an entity that has been approved by the Commission to enforce Reliability Standards under delegated authority from the ERO.</w:t>
      </w:r>
      <w:r>
        <w:rPr>
          <w:rFonts w:ascii="Times New Roman" w:hAnsi="Times New Roman" w:cs="Times New Roman"/>
          <w:bCs/>
          <w:sz w:val="26"/>
          <w:szCs w:val="26"/>
          <w:vertAlign w:val="superscript"/>
        </w:rPr>
        <w:footnoteReference w:id="5"/>
      </w:r>
      <w:r w:rsidRPr="00E65EF4">
        <w:rPr>
          <w:rFonts w:ascii="Times New Roman" w:hAnsi="Times New Roman" w:cs="Times New Roman"/>
          <w:sz w:val="26"/>
          <w:szCs w:val="26"/>
        </w:rPr>
        <w:t xml:space="preserve">  On June 8, 2008, the Commission approved eight regional Reliability Standards submitted by the ERO that were proposed by the Western Electricity Coordinating Council (WECC).</w:t>
      </w:r>
      <w:r>
        <w:rPr>
          <w:rFonts w:ascii="Times New Roman" w:hAnsi="Times New Roman" w:cs="Times New Roman"/>
          <w:bCs/>
          <w:sz w:val="26"/>
          <w:szCs w:val="26"/>
          <w:vertAlign w:val="superscript"/>
        </w:rPr>
        <w:footnoteReference w:id="6"/>
      </w:r>
    </w:p>
    <w:p w:rsidR="00C34580" w:rsidRPr="00E65EF4" w:rsidP="00007F09" w14:paraId="39CC9173" w14:textId="77777777">
      <w:pPr>
        <w:spacing w:after="0" w:line="240" w:lineRule="auto"/>
        <w:rPr>
          <w:rFonts w:ascii="Times New Roman" w:hAnsi="Times New Roman" w:cs="Times New Roman"/>
          <w:sz w:val="26"/>
          <w:szCs w:val="26"/>
        </w:rPr>
      </w:pPr>
    </w:p>
    <w:p w:rsidR="00C34580" w:rsidRPr="00E65EF4" w:rsidP="00007F09" w14:paraId="4CAC2D36" w14:textId="1ADECCE0">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 xml:space="preserve">WECC promotes bulk electric system reliability in the Western Interconnection. WECC is the Regional Entity responsible for compliance monitoring and enforcement.  In addition, WECC provides an environment for the development of </w:t>
      </w:r>
      <w:r w:rsidR="00994267">
        <w:rPr>
          <w:rFonts w:ascii="Times New Roman" w:hAnsi="Times New Roman" w:cs="Times New Roman"/>
          <w:sz w:val="26"/>
          <w:szCs w:val="26"/>
        </w:rPr>
        <w:t xml:space="preserve">regional </w:t>
      </w:r>
      <w:r w:rsidRPr="00E65EF4">
        <w:rPr>
          <w:rFonts w:ascii="Times New Roman" w:hAnsi="Times New Roman" w:cs="Times New Roman"/>
          <w:sz w:val="26"/>
          <w:szCs w:val="26"/>
        </w:rPr>
        <w:t>Reliability Standards and the coordination of the operating and planning activities of its members as set forth in the WECC Bylaws.</w:t>
      </w:r>
    </w:p>
    <w:p w:rsidR="00EB3E6F" w:rsidRPr="00E65EF4" w:rsidP="00007F09" w14:paraId="41C0BFB7" w14:textId="77777777">
      <w:pPr>
        <w:spacing w:after="0" w:line="240" w:lineRule="auto"/>
        <w:rPr>
          <w:rFonts w:ascii="Times New Roman" w:hAnsi="Times New Roman" w:cs="Times New Roman"/>
          <w:sz w:val="26"/>
          <w:szCs w:val="26"/>
        </w:rPr>
      </w:pPr>
    </w:p>
    <w:p w:rsidR="00A72E7B" w:rsidRPr="00E65EF4" w:rsidP="00007F09" w14:paraId="1A879F5B"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HOW, BY WHOM, AND FOR WHAT PURPOSE THE INFORMATION IS TO BE USED AND THE CONSEQUENCES OF NOT COLLECTING THE INFORMATION</w:t>
      </w:r>
    </w:p>
    <w:p w:rsidR="004B3FFA" w:rsidRPr="00E65EF4" w:rsidP="00007F09" w14:paraId="070BEF3D" w14:textId="77777777">
      <w:pPr>
        <w:spacing w:after="0" w:line="240" w:lineRule="auto"/>
        <w:rPr>
          <w:rFonts w:ascii="Times New Roman" w:hAnsi="Times New Roman" w:cs="Times New Roman"/>
          <w:sz w:val="26"/>
          <w:szCs w:val="26"/>
        </w:rPr>
      </w:pPr>
    </w:p>
    <w:p w:rsidR="00E713F7" w:rsidP="00033DBE" w14:paraId="2AD93A15" w14:textId="35200695">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There are several regional Reliability Standards in the WECC region.  These regional Reliability Standards generally require entities to document compliance with substantive requirements, retain documentation, and submit reports to WECC.  The following standards will be continuing without change:</w:t>
      </w:r>
    </w:p>
    <w:p w:rsidR="0040582B" w:rsidP="00033DBE" w14:paraId="673F2CB7" w14:textId="77777777">
      <w:pPr>
        <w:spacing w:after="0" w:line="240" w:lineRule="auto"/>
        <w:rPr>
          <w:rFonts w:ascii="Times New Roman" w:hAnsi="Times New Roman" w:cs="Times New Roman"/>
          <w:sz w:val="26"/>
          <w:szCs w:val="26"/>
        </w:rPr>
      </w:pPr>
    </w:p>
    <w:p w:rsidR="0040582B" w:rsidRPr="0040582B" w:rsidP="0040582B" w14:paraId="6C89AD37" w14:textId="1CC2541D">
      <w:pPr>
        <w:numPr>
          <w:ilvl w:val="0"/>
          <w:numId w:val="36"/>
        </w:numPr>
        <w:spacing w:after="0" w:line="240" w:lineRule="auto"/>
        <w:rPr>
          <w:rFonts w:ascii="Times New Roman" w:hAnsi="Times New Roman" w:cs="Times New Roman"/>
          <w:sz w:val="26"/>
          <w:szCs w:val="26"/>
        </w:rPr>
      </w:pPr>
      <w:r w:rsidRPr="0040582B">
        <w:rPr>
          <w:rFonts w:ascii="Times New Roman" w:hAnsi="Times New Roman" w:cs="Times New Roman"/>
          <w:sz w:val="26"/>
          <w:szCs w:val="26"/>
        </w:rPr>
        <w:t>BAL-002-WECC-3</w:t>
      </w:r>
      <w:r w:rsidRPr="0040582B">
        <w:rPr>
          <w:rFonts w:ascii="Times New Roman" w:hAnsi="Times New Roman" w:cs="Times New Roman"/>
          <w:b/>
          <w:bCs/>
          <w:sz w:val="26"/>
          <w:szCs w:val="26"/>
          <w:vertAlign w:val="superscript"/>
        </w:rPr>
        <w:t xml:space="preserve"> </w:t>
      </w:r>
      <w:r w:rsidRPr="0040582B">
        <w:rPr>
          <w:rFonts w:ascii="Times New Roman" w:hAnsi="Times New Roman" w:cs="Times New Roman"/>
          <w:sz w:val="26"/>
          <w:szCs w:val="26"/>
        </w:rPr>
        <w:t>(Contingency Reserve)</w:t>
      </w:r>
      <w:r>
        <w:rPr>
          <w:rStyle w:val="FootnoteReference"/>
          <w:rFonts w:ascii="Times New Roman" w:hAnsi="Times New Roman" w:cs="Times New Roman"/>
          <w:b/>
          <w:bCs/>
          <w:sz w:val="26"/>
          <w:szCs w:val="26"/>
          <w:vertAlign w:val="superscript"/>
        </w:rPr>
        <w:footnoteReference w:id="7"/>
      </w:r>
      <w:r w:rsidRPr="0040582B">
        <w:rPr>
          <w:rFonts w:ascii="Times New Roman" w:hAnsi="Times New Roman" w:cs="Times New Roman"/>
          <w:sz w:val="26"/>
          <w:szCs w:val="26"/>
        </w:rPr>
        <w:t xml:space="preserve"> requires balancing authorities and reserve sharing groups to document compliance with the contingency reserve requirements described in the standard.     </w:t>
      </w:r>
    </w:p>
    <w:p w:rsidR="0040582B" w:rsidRPr="0040582B" w:rsidP="0040582B" w14:paraId="78C700ED" w14:textId="6621922F">
      <w:pPr>
        <w:numPr>
          <w:ilvl w:val="0"/>
          <w:numId w:val="36"/>
        </w:numPr>
        <w:spacing w:after="0" w:line="240" w:lineRule="auto"/>
        <w:rPr>
          <w:rFonts w:ascii="Times New Roman" w:hAnsi="Times New Roman" w:cs="Times New Roman"/>
          <w:sz w:val="26"/>
          <w:szCs w:val="26"/>
        </w:rPr>
      </w:pPr>
      <w:r w:rsidRPr="0040582B">
        <w:rPr>
          <w:rFonts w:ascii="Times New Roman" w:hAnsi="Times New Roman" w:cs="Times New Roman"/>
          <w:sz w:val="26"/>
          <w:szCs w:val="26"/>
        </w:rPr>
        <w:t>BAL-004-WECC-3 (Automatic Time Error Correction)</w:t>
      </w:r>
      <w:r>
        <w:rPr>
          <w:rStyle w:val="FootnoteReference"/>
          <w:rFonts w:ascii="Times New Roman" w:hAnsi="Times New Roman" w:cs="Times New Roman"/>
          <w:b/>
          <w:bCs/>
          <w:sz w:val="26"/>
          <w:szCs w:val="26"/>
          <w:vertAlign w:val="superscript"/>
        </w:rPr>
        <w:footnoteReference w:id="8"/>
      </w:r>
      <w:r w:rsidRPr="0040582B">
        <w:rPr>
          <w:rFonts w:ascii="Times New Roman" w:hAnsi="Times New Roman" w:cs="Times New Roman"/>
          <w:sz w:val="26"/>
          <w:szCs w:val="26"/>
        </w:rPr>
        <w:t xml:space="preserve"> requires balancing authorities to document that time error corrections and primary inadvertent </w:t>
      </w:r>
      <w:r w:rsidRPr="0040582B">
        <w:rPr>
          <w:rFonts w:ascii="Times New Roman" w:hAnsi="Times New Roman" w:cs="Times New Roman"/>
          <w:sz w:val="26"/>
          <w:szCs w:val="26"/>
        </w:rPr>
        <w:t>interchange payback were conducted according to the requirements in the standard.   </w:t>
      </w:r>
    </w:p>
    <w:p w:rsidR="0040582B" w:rsidRPr="0040582B" w:rsidP="0040582B" w14:paraId="057B7E4F" w14:textId="30F1F103">
      <w:pPr>
        <w:numPr>
          <w:ilvl w:val="0"/>
          <w:numId w:val="37"/>
        </w:numPr>
        <w:spacing w:after="0" w:line="240" w:lineRule="auto"/>
        <w:rPr>
          <w:rFonts w:ascii="Times New Roman" w:hAnsi="Times New Roman" w:cs="Times New Roman"/>
          <w:sz w:val="26"/>
          <w:szCs w:val="26"/>
        </w:rPr>
      </w:pPr>
      <w:r w:rsidRPr="0040582B">
        <w:rPr>
          <w:rFonts w:ascii="Times New Roman" w:hAnsi="Times New Roman" w:cs="Times New Roman"/>
          <w:sz w:val="26"/>
          <w:szCs w:val="26"/>
        </w:rPr>
        <w:t>FAC-501-WECC-2 (Transmission Maintenance)</w:t>
      </w:r>
      <w:r>
        <w:rPr>
          <w:rStyle w:val="FootnoteReference"/>
          <w:rFonts w:ascii="Times New Roman" w:hAnsi="Times New Roman" w:cs="Times New Roman"/>
          <w:b/>
          <w:bCs/>
          <w:sz w:val="26"/>
          <w:szCs w:val="26"/>
          <w:vertAlign w:val="superscript"/>
        </w:rPr>
        <w:footnoteReference w:id="9"/>
      </w:r>
      <w:r w:rsidRPr="0040582B">
        <w:rPr>
          <w:rFonts w:ascii="Times New Roman" w:hAnsi="Times New Roman" w:cs="Times New Roman"/>
          <w:sz w:val="26"/>
          <w:szCs w:val="26"/>
        </w:rPr>
        <w:t xml:space="preserve"> requires transmission owners with certain transmission paths to have a transmission maintenance and inspection plan and to document maintenance and inspection activities according to the plan. </w:t>
      </w:r>
    </w:p>
    <w:p w:rsidR="0040582B" w:rsidRPr="0040582B" w:rsidP="0040582B" w14:paraId="6DA95A10" w14:textId="4CB7D50F">
      <w:pPr>
        <w:numPr>
          <w:ilvl w:val="0"/>
          <w:numId w:val="37"/>
        </w:numPr>
        <w:spacing w:after="0" w:line="240" w:lineRule="auto"/>
        <w:rPr>
          <w:rFonts w:ascii="Times New Roman" w:hAnsi="Times New Roman" w:cs="Times New Roman"/>
          <w:sz w:val="26"/>
          <w:szCs w:val="26"/>
        </w:rPr>
      </w:pPr>
      <w:r w:rsidRPr="0040582B">
        <w:rPr>
          <w:rFonts w:ascii="Times New Roman" w:hAnsi="Times New Roman" w:cs="Times New Roman"/>
          <w:sz w:val="26"/>
          <w:szCs w:val="26"/>
        </w:rPr>
        <w:t>IRO-006-WECC-3 (Qualified Transfer Path Unscheduled Flow (USF) Relief)</w:t>
      </w:r>
      <w:r>
        <w:rPr>
          <w:rStyle w:val="FootnoteReference"/>
          <w:rFonts w:ascii="Times New Roman" w:hAnsi="Times New Roman" w:cs="Times New Roman"/>
          <w:b/>
          <w:bCs/>
          <w:sz w:val="26"/>
          <w:szCs w:val="26"/>
          <w:vertAlign w:val="superscript"/>
        </w:rPr>
        <w:footnoteReference w:id="10"/>
      </w:r>
      <w:r w:rsidRPr="0040582B">
        <w:rPr>
          <w:rFonts w:ascii="Times New Roman" w:hAnsi="Times New Roman" w:cs="Times New Roman"/>
          <w:sz w:val="26"/>
          <w:szCs w:val="26"/>
        </w:rPr>
        <w:t xml:space="preserve"> requires balancing authorities and reliability coordinators to document actions taken to mitigate unscheduled flow.   </w:t>
      </w:r>
    </w:p>
    <w:p w:rsidR="0040582B" w:rsidRPr="0040582B" w:rsidP="0040582B" w14:paraId="14F10EF4" w14:textId="77777777">
      <w:pPr>
        <w:numPr>
          <w:ilvl w:val="0"/>
          <w:numId w:val="37"/>
        </w:numPr>
        <w:spacing w:after="0" w:line="240" w:lineRule="auto"/>
        <w:rPr>
          <w:rFonts w:ascii="Times New Roman" w:hAnsi="Times New Roman" w:cs="Times New Roman"/>
          <w:sz w:val="26"/>
          <w:szCs w:val="26"/>
        </w:rPr>
      </w:pPr>
      <w:r w:rsidRPr="0040582B">
        <w:rPr>
          <w:rFonts w:ascii="Times New Roman" w:hAnsi="Times New Roman" w:cs="Times New Roman"/>
          <w:sz w:val="26"/>
          <w:szCs w:val="26"/>
        </w:rPr>
        <w:t>VAR-501-WECC-4 (Power System Stabilizers (PSS)) requires the Western Interconnection is operated in a coordinated manner under normal and abnormal conditions by establishing the performance criteria for WECC power system stabilizers. </w:t>
      </w:r>
    </w:p>
    <w:p w:rsidR="00E04C51" w:rsidRPr="00E04C51" w:rsidP="00E04C51" w14:paraId="11005AFF" w14:textId="77777777">
      <w:pPr>
        <w:spacing w:after="0" w:line="240" w:lineRule="auto"/>
        <w:rPr>
          <w:rFonts w:ascii="Times New Roman" w:hAnsi="Times New Roman" w:cs="Times New Roman"/>
          <w:b/>
          <w:bCs/>
          <w:sz w:val="26"/>
          <w:szCs w:val="26"/>
          <w:u w:val="single"/>
        </w:rPr>
      </w:pPr>
      <w:r w:rsidRPr="00E04C51">
        <w:rPr>
          <w:rFonts w:ascii="Times New Roman" w:hAnsi="Times New Roman" w:cs="Times New Roman"/>
          <w:sz w:val="26"/>
          <w:szCs w:val="26"/>
        </w:rPr>
        <w:t>NERC and WECC explain that “[t]he purpose of currently effective Regional Reliability Standard BAL-002-WECC-3 is to specify the quantity and types of Contingency Reserve required to ensure reliable operation of the Western Interconnection under normal and abnormal conditions.</w:t>
      </w:r>
    </w:p>
    <w:p w:rsidR="007A1A3F" w:rsidRPr="007A1A3F" w:rsidP="007A1A3F" w14:paraId="598D17FD" w14:textId="77777777">
      <w:pPr>
        <w:spacing w:after="0" w:line="240" w:lineRule="auto"/>
        <w:rPr>
          <w:rFonts w:ascii="Times New Roman" w:hAnsi="Times New Roman" w:cs="Times New Roman"/>
          <w:sz w:val="26"/>
          <w:szCs w:val="26"/>
        </w:rPr>
      </w:pPr>
    </w:p>
    <w:p w:rsidR="007A1A3F" w:rsidRPr="007A1A3F" w:rsidP="004C0FAA" w14:paraId="72E649C6" w14:textId="63B19200">
      <w:pPr>
        <w:spacing w:after="0" w:line="240" w:lineRule="auto"/>
        <w:rPr>
          <w:rFonts w:ascii="Times New Roman" w:hAnsi="Times New Roman" w:cs="Times New Roman"/>
          <w:sz w:val="26"/>
          <w:szCs w:val="26"/>
        </w:rPr>
      </w:pPr>
      <w:r w:rsidRPr="004C0FAA">
        <w:rPr>
          <w:rFonts w:ascii="Times New Roman" w:hAnsi="Times New Roman" w:cs="Times New Roman"/>
          <w:sz w:val="26"/>
          <w:szCs w:val="26"/>
        </w:rPr>
        <w:t xml:space="preserve">Regional Reliability Standard BAL-002-WECC-3 requires </w:t>
      </w:r>
      <w:r w:rsidRPr="007A1A3F">
        <w:rPr>
          <w:rFonts w:ascii="Times New Roman" w:hAnsi="Times New Roman" w:cs="Times New Roman"/>
          <w:sz w:val="26"/>
          <w:szCs w:val="26"/>
        </w:rPr>
        <w:t>applicable WECC entities to maintain reserves at levels that exceed those required under the continent-wide Reliability Standard BAL-002-3 –Disturbance Control Standard –Contingency Reserve for Recovery from a Balancing Contingency Event. Following a recent review of the regional standard, WECC</w:t>
      </w:r>
      <w:r>
        <w:rPr>
          <w:rFonts w:ascii="Times New Roman" w:hAnsi="Times New Roman" w:cs="Times New Roman"/>
          <w:sz w:val="26"/>
          <w:szCs w:val="26"/>
        </w:rPr>
        <w:t xml:space="preserve"> </w:t>
      </w:r>
      <w:r w:rsidRPr="007A1A3F">
        <w:rPr>
          <w:rFonts w:ascii="Times New Roman" w:hAnsi="Times New Roman" w:cs="Times New Roman"/>
          <w:sz w:val="26"/>
          <w:szCs w:val="26"/>
        </w:rPr>
        <w:t>identified that no technical basis supports the continued applicability of the standard, and that rather than advance reliability in the Western Interconnection, the regional standard may be presenting unnecessary challenges.</w:t>
      </w:r>
      <w:r>
        <w:rPr>
          <w:rFonts w:ascii="Times New Roman" w:hAnsi="Times New Roman" w:cs="Times New Roman"/>
          <w:sz w:val="26"/>
          <w:szCs w:val="26"/>
        </w:rPr>
        <w:t xml:space="preserve"> </w:t>
      </w:r>
      <w:r w:rsidRPr="007A1A3F">
        <w:rPr>
          <w:rFonts w:ascii="Times New Roman" w:hAnsi="Times New Roman" w:cs="Times New Roman"/>
          <w:sz w:val="26"/>
          <w:szCs w:val="26"/>
        </w:rPr>
        <w:t>WECC concluded that the retirement of Regional Reliability Standard BAL-002-WECC-3 would enhance reliability in the Western Interconnection by allowing resources that are currently required to be held as excess reserves to be used more efficiently to support reliable system operations, particularly as the resource mix continues to change with increasing levels of variable generation from Inverter-Based Resources(“IBR”), as well as serve other important public interests.</w:t>
      </w:r>
      <w:r w:rsidRPr="007A1A3F">
        <w:rPr>
          <w:rFonts w:ascii="Times New Roman" w:hAnsi="Times New Roman" w:cs="Times New Roman"/>
          <w:b/>
          <w:bCs/>
          <w:sz w:val="26"/>
          <w:szCs w:val="26"/>
          <w:vertAlign w:val="superscript"/>
        </w:rPr>
        <w:t>2</w:t>
      </w:r>
    </w:p>
    <w:p w:rsidR="007A1A3F" w:rsidRPr="007A1A3F" w:rsidP="007A1A3F" w14:paraId="07A92F56" w14:textId="45643325">
      <w:pPr>
        <w:spacing w:after="0" w:line="240" w:lineRule="auto"/>
        <w:rPr>
          <w:rFonts w:ascii="Times New Roman" w:hAnsi="Times New Roman" w:cs="Times New Roman"/>
          <w:sz w:val="26"/>
          <w:szCs w:val="26"/>
        </w:rPr>
      </w:pPr>
      <w:r w:rsidRPr="007A1A3F">
        <w:rPr>
          <w:rFonts w:ascii="Times New Roman" w:hAnsi="Times New Roman" w:cs="Times New Roman"/>
          <w:sz w:val="26"/>
          <w:szCs w:val="26"/>
        </w:rPr>
        <w:t>Notice of NERC</w:t>
      </w:r>
      <w:r>
        <w:rPr>
          <w:rFonts w:ascii="Times New Roman" w:hAnsi="Times New Roman" w:cs="Times New Roman"/>
          <w:sz w:val="26"/>
          <w:szCs w:val="26"/>
        </w:rPr>
        <w:t xml:space="preserve"> </w:t>
      </w:r>
      <w:r w:rsidRPr="007A1A3F">
        <w:rPr>
          <w:rFonts w:ascii="Times New Roman" w:hAnsi="Times New Roman" w:cs="Times New Roman"/>
          <w:sz w:val="26"/>
          <w:szCs w:val="26"/>
        </w:rPr>
        <w:t xml:space="preserve">and WECC’s filing was published in the </w:t>
      </w:r>
      <w:r w:rsidRPr="007A1A3F">
        <w:rPr>
          <w:rFonts w:ascii="Times New Roman" w:hAnsi="Times New Roman" w:cs="Times New Roman"/>
          <w:i/>
          <w:iCs/>
          <w:sz w:val="26"/>
          <w:szCs w:val="26"/>
        </w:rPr>
        <w:t>Federal Register</w:t>
      </w:r>
      <w:r w:rsidRPr="007A1A3F">
        <w:rPr>
          <w:rFonts w:ascii="Times New Roman" w:hAnsi="Times New Roman" w:cs="Times New Roman"/>
          <w:sz w:val="26"/>
          <w:szCs w:val="26"/>
        </w:rPr>
        <w:t>, 91Fed. Reg.11302</w:t>
      </w:r>
      <w:r>
        <w:rPr>
          <w:rFonts w:ascii="Times New Roman" w:hAnsi="Times New Roman" w:cs="Times New Roman"/>
          <w:sz w:val="26"/>
          <w:szCs w:val="26"/>
        </w:rPr>
        <w:t xml:space="preserve"> </w:t>
      </w:r>
      <w:r w:rsidRPr="007A1A3F">
        <w:rPr>
          <w:rFonts w:ascii="Times New Roman" w:hAnsi="Times New Roman" w:cs="Times New Roman"/>
          <w:sz w:val="26"/>
          <w:szCs w:val="26"/>
        </w:rPr>
        <w:t>(Mar. 9, 2026), with interventions and protests due on or before March</w:t>
      </w:r>
      <w:r>
        <w:rPr>
          <w:rFonts w:ascii="Times New Roman" w:hAnsi="Times New Roman" w:cs="Times New Roman"/>
          <w:sz w:val="26"/>
          <w:szCs w:val="26"/>
        </w:rPr>
        <w:t xml:space="preserve"> </w:t>
      </w:r>
      <w:r w:rsidRPr="007A1A3F">
        <w:rPr>
          <w:rFonts w:ascii="Times New Roman" w:hAnsi="Times New Roman" w:cs="Times New Roman"/>
          <w:sz w:val="26"/>
          <w:szCs w:val="26"/>
        </w:rPr>
        <w:t>30, 2026. None was filed.</w:t>
      </w:r>
    </w:p>
    <w:p w:rsidR="007A1A3F" w:rsidRPr="007A1A3F" w:rsidP="007A1A3F" w14:paraId="0089BA35" w14:textId="33444BE9">
      <w:pPr>
        <w:spacing w:after="0" w:line="240" w:lineRule="auto"/>
        <w:rPr>
          <w:rFonts w:ascii="Times New Roman" w:hAnsi="Times New Roman" w:cs="Times New Roman"/>
          <w:sz w:val="26"/>
          <w:szCs w:val="26"/>
        </w:rPr>
      </w:pPr>
      <w:r w:rsidRPr="007A1A3F">
        <w:rPr>
          <w:rFonts w:ascii="Times New Roman" w:hAnsi="Times New Roman" w:cs="Times New Roman"/>
          <w:sz w:val="26"/>
          <w:szCs w:val="26"/>
        </w:rPr>
        <w:t>NERC</w:t>
      </w:r>
      <w:r>
        <w:rPr>
          <w:rFonts w:ascii="Times New Roman" w:hAnsi="Times New Roman" w:cs="Times New Roman"/>
          <w:sz w:val="26"/>
          <w:szCs w:val="26"/>
        </w:rPr>
        <w:t xml:space="preserve"> </w:t>
      </w:r>
      <w:r w:rsidRPr="007A1A3F">
        <w:rPr>
          <w:rFonts w:ascii="Times New Roman" w:hAnsi="Times New Roman" w:cs="Times New Roman"/>
          <w:sz w:val="26"/>
          <w:szCs w:val="26"/>
        </w:rPr>
        <w:t>and WECC’s uncontested filing</w:t>
      </w:r>
      <w:r>
        <w:rPr>
          <w:rFonts w:ascii="Times New Roman" w:hAnsi="Times New Roman" w:cs="Times New Roman"/>
          <w:sz w:val="26"/>
          <w:szCs w:val="26"/>
        </w:rPr>
        <w:t xml:space="preserve"> </w:t>
      </w:r>
      <w:r w:rsidRPr="007A1A3F">
        <w:rPr>
          <w:rFonts w:ascii="Times New Roman" w:hAnsi="Times New Roman" w:cs="Times New Roman"/>
          <w:sz w:val="26"/>
          <w:szCs w:val="26"/>
        </w:rPr>
        <w:t>is</w:t>
      </w:r>
      <w:r>
        <w:rPr>
          <w:rFonts w:ascii="Times New Roman" w:hAnsi="Times New Roman" w:cs="Times New Roman"/>
          <w:sz w:val="26"/>
          <w:szCs w:val="26"/>
        </w:rPr>
        <w:t xml:space="preserve"> </w:t>
      </w:r>
      <w:r w:rsidRPr="007A1A3F">
        <w:rPr>
          <w:rFonts w:ascii="Times New Roman" w:hAnsi="Times New Roman" w:cs="Times New Roman"/>
          <w:sz w:val="26"/>
          <w:szCs w:val="26"/>
        </w:rPr>
        <w:t>hereby approved pursuant to the relevant authority delegated to the Director</w:t>
      </w:r>
      <w:r>
        <w:rPr>
          <w:rFonts w:ascii="Times New Roman" w:hAnsi="Times New Roman" w:cs="Times New Roman"/>
          <w:sz w:val="26"/>
          <w:szCs w:val="26"/>
        </w:rPr>
        <w:t xml:space="preserve"> </w:t>
      </w:r>
      <w:r w:rsidRPr="007A1A3F">
        <w:rPr>
          <w:rFonts w:ascii="Times New Roman" w:hAnsi="Times New Roman" w:cs="Times New Roman"/>
          <w:sz w:val="26"/>
          <w:szCs w:val="26"/>
        </w:rPr>
        <w:t>of the Office of Electric Reliability under 18 C.F.R. §375.303(2025), effective as of the date of this order.</w:t>
      </w:r>
    </w:p>
    <w:p w:rsidR="007A1A3F" w:rsidP="007A1A3F" w14:paraId="3EB92D10" w14:textId="77777777">
      <w:pPr>
        <w:spacing w:after="0" w:line="240" w:lineRule="auto"/>
        <w:rPr>
          <w:rFonts w:ascii="Times New Roman" w:hAnsi="Times New Roman" w:cs="Times New Roman"/>
          <w:sz w:val="26"/>
          <w:szCs w:val="26"/>
        </w:rPr>
      </w:pPr>
      <w:r w:rsidRPr="007A1A3F">
        <w:rPr>
          <w:rFonts w:ascii="Times New Roman" w:hAnsi="Times New Roman" w:cs="Times New Roman"/>
          <w:sz w:val="26"/>
          <w:szCs w:val="26"/>
        </w:rPr>
        <w:t>This action shall not be construed as approving any other application pursuant to18 C.F.R. § 375.303(a)(2)(i). Such action shall not be deemed as recognition of any claimed right or obligation associated therewith and such action is without prejudice to any findings or orders that have been or may hereafter be made by the Commission in any proceeding now pending or hereafter instituted by or against the Electric Reliability Organization or any Regional Entity.</w:t>
      </w:r>
    </w:p>
    <w:p w:rsidR="006D55FF" w:rsidP="007A1A3F" w14:paraId="7DCEB7FC" w14:textId="77777777">
      <w:pPr>
        <w:spacing w:after="0" w:line="240" w:lineRule="auto"/>
        <w:rPr>
          <w:rFonts w:ascii="Times New Roman" w:hAnsi="Times New Roman" w:cs="Times New Roman"/>
          <w:sz w:val="26"/>
          <w:szCs w:val="26"/>
        </w:rPr>
      </w:pPr>
    </w:p>
    <w:p w:rsidR="006D55FF" w:rsidRPr="007A1A3F" w:rsidP="007A1A3F" w14:paraId="116C6A34" w14:textId="12A0591C">
      <w:pPr>
        <w:spacing w:after="0" w:line="240" w:lineRule="auto"/>
        <w:rPr>
          <w:rFonts w:ascii="Times New Roman" w:hAnsi="Times New Roman" w:cs="Times New Roman"/>
          <w:sz w:val="26"/>
          <w:szCs w:val="26"/>
        </w:rPr>
      </w:pPr>
      <w:r w:rsidRPr="006D55FF">
        <w:rPr>
          <w:rFonts w:ascii="Times New Roman" w:hAnsi="Times New Roman" w:cs="Times New Roman"/>
          <w:sz w:val="26"/>
          <w:szCs w:val="26"/>
        </w:rPr>
        <w:t xml:space="preserve">The retirement of Regional Reliability Standard BAL-002-WECC-3 would increase the availability of reserves currently held as excess Contingency Reserves to better support system operations and manage variable generation concerns.30 Retirement would also increase the restoration timeframe for Contingency Reserves after a contingency event occurs and increase an entity’s ability to secure additional resources. Bulk-Power System reliability would continue to be maintained through the continent-wide Reliability Standard BAL-002-3 by requiring sufficient Contingency Reserves are maintained and a restoration timeframe that is compatible with market scheduling practices. Below is requirement-by-requirement summary explaining why the proposed standard should be retired. For additional support and information, please refer to the white paper, included as Exhibit B, to this filing. 30 Supra note 11, Order No. 901 at P 11-15. 10 a. Retirement of Requirement R1 Requirement R1 of Regional Reliability Standard BAL-002-WECC-3 imposes more stringent Contingency Reserve requirements than the Contingency Reserve requirements in the continent-wide disturbance control standard, Reliability Standard BAL-002-3. Requirement R1 of Reliability Standard BAL-002-3 requires the Balancing Authority and Reserve Sharing Group to have a Contingency Reserve only up to its most severe single contingency (“MSSC”) and does not require Contingency Reserve deployment beyond the MSSC. By contrast, Requirement R1 Part 1.1 of the Regional Reliability Standard requires the Balancing Authority and Reserve Sharing Group to maintain at a minimum the greater amount of Contingency Reserve equal to the loss of the MSSC or the amount of Contingency Reserve equal to the sum of 3% of hourly integrated load and 3% of hourly integrated generation. Because the Contingency Reserve must be the greater of either of these totals, entities could be required to hold reserves beyond that of MSSC. As a result, entities in the Western Interconnection can be required to hold Contingency Reserves that exceed what is required in the other interconnections. While this regional requirement is more stringent than the continent-wide requirement, WECC has concluded that it is not in fact necessary to ensure or advance reliability in the Western Interconnection. As noted above, the Contingency Reserve thresholds in Regional Reliability Standard BAL-002-WECC-3 are legacy requirements that were carried over from the MORC and long pre-date the development of the continent-wide Reliability Standard BAL-002-3. In its recent analysis of the regional standard, WECC has identified no technical justification or other foundation showing that holding more Contingency Reserves than what is required under Reliability Standard BAL-002-3 enhances the reliability of the Western Interconnection.31 WECC, 31 See Exhibit B, White Paper at 2. 11 however, has identified that requiring </w:t>
      </w:r>
      <w:r w:rsidRPr="006D55FF">
        <w:rPr>
          <w:rFonts w:ascii="Times New Roman" w:hAnsi="Times New Roman" w:cs="Times New Roman"/>
          <w:sz w:val="26"/>
          <w:szCs w:val="26"/>
        </w:rPr>
        <w:t xml:space="preserve">Contingency Reserves beyond the MSSC reduces the capacity available to meet other reliability needs in the Western Interconnection, such as load and resource balancing in real time.32 A comparison of the hourly Contingency Reserve Requirement (calculated using 3% generation and 3% load) to MSSC, showed that there was more than 5,000 MW of capacity available during the summertime peak hours and between 2,000-2,500 MW during the remaining hours of the year.33 In application, these excess reserves consist of significant amounts of generation that is dispatchable, frequency responsive, and fast ramping.34 Generation that could be used to meet ramps, support the reliable integration of variable IBRs, or simply meet expected loads is instead committed to continency reserve capacity that is not available to serve load.35 Instead, these reserves are unused or unloaded generation that are in a state of readiness in case there is sudden loss of loaded generation. As a result, requiring entities to maintain more reserves than the MSSC restricts their ability to meet the immediate balancing needs of the Interconnection, and ultimately detracts from reliability. Retirement of this requirement in BAL-002-WECC-3 would allow more resources to be deployed more effectively to address real-time balancing needs and would promote a consistent continent-wide approach to Contingency Reserves as set forth in the continent-wide Reliability Standard BAL-002-3.36 b. Requirement R2 Requirement R2 of Regional Reliability Standard BAL-002-WECC-3 was retired when this version of the standard was approved in 2021.37 Requirement R2 was determined to be 32 33 34 35 36 37 See Id. at 22. See Id. at 16, Figure 1. See Id. at 17. Id. Id. at 22-23. Supra note 9, Order No. 876. 12 redundant as Requirement R1 of the then effective continent-wide Reliability Standard BAL 003.1.1.38 The retirement was supported by the results of a field test WECC conducted to measure the effects of retiring Requirement R2, from which WECC determined that no degradation of performance occurred during the test period, and entities deployed enough reserves for post disturbance Area Control Area recovery.39 A post-implementation informational filing further confirmed that the retirement of Requirement R2 did not have any unexpected, adverse impacts on contingency reserves in the Western Interconnection.40 c. Retirement of Requirements R3 and R4 Requirements R3 and R4 of Regional Reliability Standard BAL-002-WECC-3 require the Balancing Authority and Reserve Sharing Group to restore Contingency Reserve within 60 minutes of the event initiating. In contrast, Reliability Standard BAL-002-3 requires the restoration of Contingency Reserve within 90 minutes following the end of the Contingency Event Recovery Period.41 As a result, Regional Reliability Standard BAL-002-WECC-3 requires the performance of the same task 45 minutes earlier than its continent-wide counterpart. This shortened restoration timeframe restricts an entity’s ability to secure additional resources and may force entities into transactions in an arbitrarily shortened timeframe. The 60-minute restoration requirement, like the Contingency Reserve thresholds in Requirement R1, is a legacy provision that was carried over from the MORC. In 1996, when the MORC was developed, resource deployment was more flexible as transactions were bilateral and 38 39 40 Id. at P 2. Id. at PP 12-13. Compliance Filing of the N. Am. Elec. Reliability Corp. and Western Electricity Coordinating Council in Response to Order No. 876, Docket No. </w:t>
      </w:r>
      <w:r w:rsidRPr="006D55FF">
        <w:rPr>
          <w:rFonts w:ascii="Times New Roman" w:hAnsi="Times New Roman" w:cs="Times New Roman"/>
          <w:sz w:val="26"/>
          <w:szCs w:val="26"/>
        </w:rPr>
        <w:t xml:space="preserve">RM19-20-000 (Dec. 15, 2023). 41 Contingency Event Recovery Period is defined as: “A period that begins at the time that the resource output begins to decline within the first one- minute interval of a Reportable Balancing Contingency Event, and extends for fifteen minutes thereafter.” 13 could be executed more quickly.42 However, under today’s market practices, transactions take more time to execute as they require advanced schedules and must be submitted and approved well in advance; this limits the ability to replace lost resources on short notice.43 WECC has identified no technical justification that supports a shortened restoration window as enhancing reliability in the Western Interconnection.44 Instead, the 60-minute restoration requirement hurts liquidity and arbitrarily limits an entity’s time and ability to replace lost resources through market practices, which could result in an entity needing to enter an Energy Emergency Alert 345 to deploy Contingency Reserves in order to serve load.46 In contrast, the Contingency Reserve Restoration Period47 within the continent-wide Reliability Standard BAL-002-3 allows applicable entities to use normal market scheduling practices to replace lost generation. 48 For reasons stated more fully in the Commission’s proceeding approving that standard, the timeframe described in the Contingency Reserve Restoration Period is adequate for the reliable operation of the Bulk-Power System.49 Retirement 42 43 44 45 Exhibit B, White Paper at 17. Id. Id. at 16-17. Energy Emergency Alert 3 is defined in EOP-011-4 Attachment 1(B)(3) as: (“Firm Load interruption is imminent or in progress. Circumstances: • The energy deficient Balancing Authority is unable to meet minimum Contingency Reserve requirements.”). 46 See e.g., Id. at 17. From January 2020 through May 2024, WECC recorded 19 Energy Emergency Alert 3s for entities based in the United States, 7 of which involved entities tied to a Reserve Sharing Group. Based on data collected from these events, WECC estimates that up to 9 of the 19 Energy Emergency Alert 3s may not have been necessary if the BAL-002-WECC standard had been retired and only the continent-wide standard was enforceable. 47 Contingency Reserve Restoration Period is defined as: (“A period not exceeding 90 minutes following the end of the Contingency Event Recovery Period.”). 48 49 Exhibit B, White Paper at 17. Order No. 835, Disturbance Control Standard-Contingency Reserve for Recovery from a Balancing Contingency Event Reliability Standard, 158 FERC ¶ 61,030 (2017) (Order approving BAL-002-2 and the term Contingency Reserve Restoration Period); Information Filing of the N. Am. Elec. Reliability Corp. Regarding Implementation of Reliability Standard BAL-002-2, Docket Nos. RM16-7; RD18-7 (Jan. 20, 2020) at 4 (“NERC found that there were no events reported with additional megawatt losses following Reportable Balancing Contingency Events during the Contingency Reserve Restoration Period.”). 14 of Requirements R3 and R4 in BAL-002-WECC-3 would allow entities in the Western Interconnection more time to restore Contingency Reserve and to use normal established market scheduling practices.50 The retirement of Regional Reliability Standard BAL-002-WECC-3 would ensure there is a consistent approach regarding Contingency Reserve restoration requirements across all the interconnections. It would also give entities within the Western Interconnection more time to react to a contingency event and determine how to properly restore their lost </w:t>
      </w:r>
      <w:r w:rsidRPr="006D55FF">
        <w:rPr>
          <w:rFonts w:ascii="Times New Roman" w:hAnsi="Times New Roman" w:cs="Times New Roman"/>
          <w:sz w:val="26"/>
          <w:szCs w:val="26"/>
        </w:rPr>
        <w:t>resources. Reliability in the Western Interconnection would be maintained under Reliability Standard BAL-002-3 and could be enhanced by allowing more operational flexibility and efficient use of excess resources.</w:t>
      </w:r>
    </w:p>
    <w:p w:rsidR="00EB17CC" w:rsidRPr="00E65EF4" w:rsidP="00033DBE" w14:paraId="28A95959" w14:textId="77777777">
      <w:pPr>
        <w:spacing w:after="0" w:line="240" w:lineRule="auto"/>
        <w:rPr>
          <w:rFonts w:ascii="Times New Roman" w:hAnsi="Times New Roman" w:cs="Times New Roman"/>
          <w:sz w:val="26"/>
          <w:szCs w:val="26"/>
        </w:rPr>
      </w:pPr>
    </w:p>
    <w:p w:rsidR="00EB3E6F" w:rsidRPr="00E65EF4" w:rsidP="00007F09" w14:paraId="383755D2"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DESCRIBE ANY CONSIDERATION OF THE USE OF IMPROVED INFORMATION TECHNOLOGY TO REDUCE THE BURDEN AND TECHNICAL OR LEGAL OBSTACLES TO REDUCING BURDEN</w:t>
      </w:r>
    </w:p>
    <w:p w:rsidR="00EB3E6F" w:rsidRPr="00E65EF4" w:rsidP="00007F09" w14:paraId="3DE42D36" w14:textId="77777777">
      <w:pPr>
        <w:spacing w:after="0" w:line="240" w:lineRule="auto"/>
        <w:rPr>
          <w:rFonts w:ascii="Times New Roman" w:hAnsi="Times New Roman" w:cs="Times New Roman"/>
          <w:sz w:val="26"/>
          <w:szCs w:val="26"/>
        </w:rPr>
      </w:pPr>
    </w:p>
    <w:p w:rsidR="00D43F0E" w:rsidRPr="00E65EF4" w:rsidP="00007F09" w14:paraId="5F4E1DCA" w14:textId="38FF0A44">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 xml:space="preserve">This collection does not require industry to file the information with the Commission.  However, </w:t>
      </w:r>
      <w:r w:rsidRPr="00E65EF4" w:rsidR="00BA1950">
        <w:rPr>
          <w:rFonts w:ascii="Times New Roman" w:hAnsi="Times New Roman" w:cs="Times New Roman"/>
          <w:sz w:val="26"/>
          <w:szCs w:val="26"/>
        </w:rPr>
        <w:t>FERC-725E</w:t>
      </w:r>
      <w:r w:rsidRPr="00E65EF4">
        <w:rPr>
          <w:rFonts w:ascii="Times New Roman" w:hAnsi="Times New Roman" w:cs="Times New Roman"/>
          <w:sz w:val="26"/>
          <w:szCs w:val="26"/>
        </w:rPr>
        <w:t xml:space="preserve"> does contain information collection and record retention requirements for which using current technology is an option.</w:t>
      </w:r>
    </w:p>
    <w:p w:rsidR="00D43F0E" w:rsidRPr="00E65EF4" w:rsidP="00007F09" w14:paraId="52D9AB71" w14:textId="77777777">
      <w:pPr>
        <w:spacing w:after="0" w:line="240" w:lineRule="auto"/>
        <w:ind w:firstLine="360"/>
        <w:rPr>
          <w:rFonts w:ascii="Times New Roman" w:hAnsi="Times New Roman" w:cs="Times New Roman"/>
          <w:sz w:val="26"/>
          <w:szCs w:val="26"/>
        </w:rPr>
      </w:pPr>
    </w:p>
    <w:p w:rsidR="00D43F0E" w:rsidRPr="00E65EF4" w:rsidP="00007F09" w14:paraId="0392FED2"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 information technology to meet the information collection requirements is not specifically covered in the Reliability Standard.</w:t>
      </w:r>
    </w:p>
    <w:p w:rsidR="00466C57" w:rsidRPr="00E65EF4" w:rsidP="00007F09" w14:paraId="2AA4616C" w14:textId="77777777">
      <w:pPr>
        <w:spacing w:after="0" w:line="240" w:lineRule="auto"/>
        <w:rPr>
          <w:rFonts w:ascii="Times New Roman" w:hAnsi="Times New Roman" w:cs="Times New Roman"/>
          <w:sz w:val="26"/>
          <w:szCs w:val="26"/>
        </w:rPr>
      </w:pPr>
    </w:p>
    <w:p w:rsidR="00EB3E6F" w:rsidRPr="00E65EF4" w:rsidP="00007F09" w14:paraId="7F3A435F"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DESCRIBE EFFORTS TO IDENTIF</w:t>
      </w:r>
      <w:r w:rsidRPr="00E65EF4" w:rsidR="00074DC8">
        <w:rPr>
          <w:rFonts w:ascii="Times New Roman" w:hAnsi="Times New Roman" w:cs="Times New Roman"/>
          <w:b/>
          <w:sz w:val="26"/>
          <w:szCs w:val="26"/>
        </w:rPr>
        <w:t>Y</w:t>
      </w:r>
      <w:r w:rsidRPr="00E65EF4">
        <w:rPr>
          <w:rFonts w:ascii="Times New Roman" w:hAnsi="Times New Roman" w:cs="Times New Roman"/>
          <w:b/>
          <w:sz w:val="26"/>
          <w:szCs w:val="26"/>
        </w:rPr>
        <w:t xml:space="preserve"> DUPLICATION AND SHOW SPECIFICALLY WHY ANY SIMILAR INFORMATION ALREADY AVAILABLE CANNOT BE USED OR MODIFIED FOR USE FOR THE PURPOSE(S) DESCRIBED IN INSTRUCTION NO. 2</w:t>
      </w:r>
    </w:p>
    <w:p w:rsidR="00EB3E6F" w:rsidRPr="00E65EF4" w:rsidP="00007F09" w14:paraId="79379D3A" w14:textId="77777777">
      <w:pPr>
        <w:spacing w:after="0" w:line="240" w:lineRule="auto"/>
        <w:rPr>
          <w:rFonts w:ascii="Times New Roman" w:hAnsi="Times New Roman" w:cs="Times New Roman"/>
          <w:sz w:val="26"/>
          <w:szCs w:val="26"/>
        </w:rPr>
      </w:pPr>
    </w:p>
    <w:p w:rsidR="00D43F0E" w:rsidRPr="00E65EF4" w:rsidP="00007F09" w14:paraId="2FB02FDA" w14:textId="2C1BFCC3">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 Commission periodically reviews filing requirements concurrent with OMB review or as the Commission deems necessary to eliminate duplicative filing and to minimize the filing burden.  The Commission is unaware of any other source of information related to</w:t>
      </w:r>
      <w:r w:rsidRPr="00E65EF4" w:rsidR="00BA1950">
        <w:rPr>
          <w:rFonts w:ascii="Times New Roman" w:hAnsi="Times New Roman" w:cs="Times New Roman"/>
          <w:sz w:val="26"/>
          <w:szCs w:val="26"/>
        </w:rPr>
        <w:t xml:space="preserve"> WECC regional</w:t>
      </w:r>
      <w:r w:rsidRPr="00E65EF4">
        <w:rPr>
          <w:rFonts w:ascii="Times New Roman" w:hAnsi="Times New Roman" w:cs="Times New Roman"/>
          <w:sz w:val="26"/>
          <w:szCs w:val="26"/>
        </w:rPr>
        <w:t xml:space="preserve"> </w:t>
      </w:r>
      <w:r w:rsidRPr="00E65EF4" w:rsidR="00BA1950">
        <w:rPr>
          <w:rFonts w:ascii="Times New Roman" w:hAnsi="Times New Roman" w:cs="Times New Roman"/>
          <w:sz w:val="26"/>
          <w:szCs w:val="26"/>
        </w:rPr>
        <w:t>Reliability Standards.</w:t>
      </w:r>
    </w:p>
    <w:p w:rsidR="00466C57" w:rsidRPr="00E65EF4" w:rsidP="00007F09" w14:paraId="0802EA7E" w14:textId="77777777">
      <w:pPr>
        <w:spacing w:after="0" w:line="240" w:lineRule="auto"/>
        <w:rPr>
          <w:rFonts w:ascii="Times New Roman" w:hAnsi="Times New Roman" w:cs="Times New Roman"/>
          <w:sz w:val="26"/>
          <w:szCs w:val="26"/>
        </w:rPr>
      </w:pPr>
    </w:p>
    <w:p w:rsidR="00EB3E6F" w:rsidRPr="00E65EF4" w:rsidP="00007F09" w14:paraId="72EA9393"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METHODS USED TO MINIMIZE THE BURDEN IN COLLECTION OF INFORMATION INVOLVING SMALL ENTITIES</w:t>
      </w:r>
    </w:p>
    <w:p w:rsidR="00EB3E6F" w:rsidRPr="00E65EF4" w:rsidP="00007F09" w14:paraId="2C2C6A43" w14:textId="77777777">
      <w:pPr>
        <w:spacing w:after="0" w:line="240" w:lineRule="auto"/>
        <w:rPr>
          <w:rFonts w:ascii="Times New Roman" w:hAnsi="Times New Roman" w:cs="Times New Roman"/>
          <w:sz w:val="26"/>
          <w:szCs w:val="26"/>
        </w:rPr>
      </w:pPr>
    </w:p>
    <w:p w:rsidR="00D43F0E" w:rsidRPr="00E65EF4" w:rsidP="00007F09" w14:paraId="07808E18" w14:textId="39E79C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In general, small entities may reduce their burden by taking part in a joint registration organization or a coordinated functional registration.  These options allow a small entity to share the compliance burden with other entities and, thus, to minimize their own compliance burden. Detailed information regarding these options is available in NERC’s Rule</w:t>
      </w:r>
      <w:r w:rsidR="00757503">
        <w:rPr>
          <w:rFonts w:ascii="Times New Roman" w:hAnsi="Times New Roman" w:cs="Times New Roman"/>
          <w:sz w:val="26"/>
          <w:szCs w:val="26"/>
        </w:rPr>
        <w:t>s</w:t>
      </w:r>
      <w:r w:rsidRPr="00E65EF4">
        <w:rPr>
          <w:rFonts w:ascii="Times New Roman" w:hAnsi="Times New Roman" w:cs="Times New Roman"/>
          <w:sz w:val="26"/>
          <w:szCs w:val="26"/>
        </w:rPr>
        <w:t xml:space="preserve"> of Procedure at Sections 507 and 508</w:t>
      </w:r>
      <w:r w:rsidRPr="00E65EF4" w:rsidR="00A2439E">
        <w:rPr>
          <w:rFonts w:ascii="Times New Roman" w:hAnsi="Times New Roman" w:cs="Times New Roman"/>
          <w:sz w:val="26"/>
          <w:szCs w:val="26"/>
        </w:rPr>
        <w:t>.</w:t>
      </w:r>
      <w:r>
        <w:rPr>
          <w:rStyle w:val="FootnoteReference"/>
          <w:rFonts w:ascii="Times New Roman" w:hAnsi="Times New Roman" w:cs="Times New Roman"/>
          <w:sz w:val="26"/>
          <w:szCs w:val="26"/>
          <w:vertAlign w:val="superscript"/>
        </w:rPr>
        <w:footnoteReference w:id="11"/>
      </w:r>
    </w:p>
    <w:p w:rsidR="001348AC" w:rsidRPr="00E65EF4" w:rsidP="00007F09" w14:paraId="6313B5C9" w14:textId="77777777">
      <w:pPr>
        <w:spacing w:after="0" w:line="240" w:lineRule="auto"/>
        <w:rPr>
          <w:rFonts w:ascii="Times New Roman" w:hAnsi="Times New Roman" w:cs="Times New Roman"/>
          <w:sz w:val="26"/>
          <w:szCs w:val="26"/>
        </w:rPr>
      </w:pPr>
    </w:p>
    <w:p w:rsidR="00EB3E6F" w:rsidRPr="00E65EF4" w:rsidP="00007F09" w14:paraId="0631BAC3"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CONSEQUENCE TO FEDERAL PROGRAM IF COLLECTION WERE CONDUCTED LESS FREQUENTLY</w:t>
      </w:r>
    </w:p>
    <w:p w:rsidR="00EB3E6F" w:rsidRPr="00E65EF4" w:rsidP="00007F09" w14:paraId="3CD67D0B" w14:textId="77777777">
      <w:pPr>
        <w:spacing w:after="0" w:line="240" w:lineRule="auto"/>
        <w:rPr>
          <w:rFonts w:ascii="Times New Roman" w:hAnsi="Times New Roman" w:cs="Times New Roman"/>
          <w:sz w:val="26"/>
          <w:szCs w:val="26"/>
        </w:rPr>
      </w:pPr>
    </w:p>
    <w:p w:rsidR="00155523" w:rsidRPr="00155523" w:rsidP="00155523" w14:paraId="2B2BAC69" w14:textId="2748E7DF">
      <w:pPr>
        <w:spacing w:after="0" w:line="240" w:lineRule="auto"/>
        <w:rPr>
          <w:rFonts w:ascii="Times New Roman" w:eastAsia="Calibri" w:hAnsi="Times New Roman" w:cs="Times New Roman"/>
          <w:sz w:val="26"/>
          <w:szCs w:val="26"/>
        </w:rPr>
      </w:pPr>
      <w:r w:rsidRPr="00155523">
        <w:rPr>
          <w:rFonts w:ascii="Times New Roman" w:eastAsia="Calibri" w:hAnsi="Times New Roman" w:cs="Times New Roman"/>
          <w:sz w:val="26"/>
          <w:szCs w:val="26"/>
        </w:rPr>
        <w:t>The Reliability Standard requires balancing authorities and reserve sharing groups to document compliance with contingency reserve requirements.  The standard specifies the quantity and types of contingency reserve required to ensure reliability under normal and abnormal conditions. As stated above, aside from eliminating regional Reliability Standard BAL-002-WECC-3 retains the other existing requirements because they are needed to maintain reliability.  And as stated earlier, all of this would be hindered if this collection of information were discontinued or conducted less frequently.</w:t>
      </w:r>
    </w:p>
    <w:p w:rsidR="00297631" w:rsidRPr="00E65EF4" w:rsidP="00007F09" w14:paraId="76417F54" w14:textId="77777777">
      <w:pPr>
        <w:spacing w:after="0" w:line="240" w:lineRule="auto"/>
        <w:rPr>
          <w:rFonts w:ascii="Times New Roman" w:hAnsi="Times New Roman" w:cs="Times New Roman"/>
          <w:sz w:val="26"/>
          <w:szCs w:val="26"/>
        </w:rPr>
      </w:pPr>
    </w:p>
    <w:p w:rsidR="00EB3E6F" w:rsidRPr="00E65EF4" w:rsidP="00007F09" w14:paraId="49BEA7BC"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EXPLAIN ANY SPECIAL CIRCUMSTANCES RELATING TO THE INFORMATION COLLECTION</w:t>
      </w:r>
    </w:p>
    <w:p w:rsidR="00EB3E6F" w:rsidRPr="00E65EF4" w:rsidP="00007F09" w14:paraId="3235B8A1" w14:textId="77777777">
      <w:pPr>
        <w:spacing w:after="0" w:line="240" w:lineRule="auto"/>
        <w:rPr>
          <w:rFonts w:ascii="Times New Roman" w:hAnsi="Times New Roman" w:cs="Times New Roman"/>
          <w:sz w:val="26"/>
          <w:szCs w:val="26"/>
        </w:rPr>
      </w:pPr>
    </w:p>
    <w:p w:rsidR="00EB3E6F" w:rsidRPr="00E65EF4" w:rsidP="00007F09" w14:paraId="51F8D074" w14:textId="066E12E8">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 xml:space="preserve">There are no special circumstances </w:t>
      </w:r>
      <w:r w:rsidRPr="00E65EF4" w:rsidR="00BA1950">
        <w:rPr>
          <w:rFonts w:ascii="Times New Roman" w:hAnsi="Times New Roman" w:cs="Times New Roman"/>
          <w:sz w:val="26"/>
          <w:szCs w:val="26"/>
        </w:rPr>
        <w:t>related to the FERC-725E</w:t>
      </w:r>
      <w:r w:rsidRPr="00E65EF4" w:rsidR="00D43F0E">
        <w:rPr>
          <w:rFonts w:ascii="Times New Roman" w:hAnsi="Times New Roman" w:cs="Times New Roman"/>
          <w:sz w:val="26"/>
          <w:szCs w:val="26"/>
        </w:rPr>
        <w:t xml:space="preserve"> information collection.</w:t>
      </w:r>
    </w:p>
    <w:p w:rsidR="008D310F" w:rsidRPr="00E65EF4" w:rsidP="00007F09" w14:paraId="5161D56B" w14:textId="77777777">
      <w:pPr>
        <w:spacing w:after="0" w:line="240" w:lineRule="auto"/>
        <w:rPr>
          <w:rFonts w:ascii="Times New Roman" w:hAnsi="Times New Roman" w:cs="Times New Roman"/>
          <w:sz w:val="26"/>
          <w:szCs w:val="26"/>
        </w:rPr>
      </w:pPr>
    </w:p>
    <w:p w:rsidR="00EB3E6F" w:rsidRPr="00E65EF4" w:rsidP="00007F09" w14:paraId="31455D90"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DESCRIBE EFFORTS TO CONSULT OUTSIDE THE AGENCY: SUMMARIZE PUBLIC COMMENTS AND THE AGENCY’S RESPONSE</w:t>
      </w:r>
    </w:p>
    <w:p w:rsidR="00EB3E6F" w:rsidRPr="00E65EF4" w:rsidP="00007F09" w14:paraId="4D23222C" w14:textId="77777777">
      <w:pPr>
        <w:spacing w:after="0" w:line="240" w:lineRule="auto"/>
        <w:rPr>
          <w:rFonts w:ascii="Times New Roman" w:hAnsi="Times New Roman" w:cs="Times New Roman"/>
          <w:sz w:val="26"/>
          <w:szCs w:val="26"/>
        </w:rPr>
      </w:pPr>
    </w:p>
    <w:p w:rsidR="00D43F0E" w:rsidRPr="00E65EF4" w:rsidP="00007F09" w14:paraId="58C70201" w14:textId="561CB95A">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 ERO process to establish Reliability Standards is a collaborative process with the ERO, Regional Entities, and other stakeholders developing and reviewing drafts and providing comments. The NERC-approved Reliability Standards were then submitted by NERC to the FERC for review and approval.</w:t>
      </w:r>
    </w:p>
    <w:p w:rsidR="00D43F0E" w:rsidRPr="00E65EF4" w:rsidP="00007F09" w14:paraId="65A4CC8F" w14:textId="77777777">
      <w:pPr>
        <w:spacing w:after="0" w:line="240" w:lineRule="auto"/>
        <w:rPr>
          <w:rFonts w:ascii="Times New Roman" w:hAnsi="Times New Roman" w:cs="Times New Roman"/>
          <w:sz w:val="26"/>
          <w:szCs w:val="26"/>
        </w:rPr>
      </w:pPr>
    </w:p>
    <w:p w:rsidR="00DD2994" w:rsidP="00007F09" w14:paraId="502E3A3E" w14:textId="2DFA80E3">
      <w:pPr>
        <w:autoSpaceDE w:val="0"/>
        <w:autoSpaceDN w:val="0"/>
        <w:adjustRightInd w:val="0"/>
        <w:spacing w:after="0" w:line="240" w:lineRule="auto"/>
        <w:rPr>
          <w:rFonts w:ascii="Times New Roman" w:hAnsi="Times New Roman" w:cs="Times New Roman"/>
          <w:sz w:val="26"/>
          <w:szCs w:val="26"/>
        </w:rPr>
      </w:pPr>
      <w:r w:rsidRPr="00E65EF4">
        <w:rPr>
          <w:rFonts w:ascii="Times New Roman" w:hAnsi="Times New Roman" w:cs="Times New Roman"/>
          <w:sz w:val="26"/>
          <w:szCs w:val="26"/>
        </w:rPr>
        <w:t>In accordance with OMB requirements, the Commission published</w:t>
      </w:r>
      <w:r w:rsidRPr="00E65EF4" w:rsidR="009B2762">
        <w:rPr>
          <w:rFonts w:ascii="Times New Roman" w:hAnsi="Times New Roman" w:cs="Times New Roman"/>
          <w:sz w:val="26"/>
          <w:szCs w:val="26"/>
        </w:rPr>
        <w:t xml:space="preserve"> </w:t>
      </w:r>
      <w:r>
        <w:rPr>
          <w:rFonts w:ascii="Times New Roman" w:hAnsi="Times New Roman" w:cs="Times New Roman"/>
          <w:sz w:val="26"/>
          <w:szCs w:val="26"/>
        </w:rPr>
        <w:t>two opportunities</w:t>
      </w:r>
      <w:r w:rsidR="000E609E">
        <w:rPr>
          <w:rFonts w:ascii="Times New Roman" w:hAnsi="Times New Roman" w:cs="Times New Roman"/>
          <w:sz w:val="26"/>
          <w:szCs w:val="26"/>
        </w:rPr>
        <w:t xml:space="preserve"> to comment</w:t>
      </w:r>
      <w:r>
        <w:rPr>
          <w:rFonts w:ascii="Times New Roman" w:hAnsi="Times New Roman" w:cs="Times New Roman"/>
          <w:sz w:val="26"/>
          <w:szCs w:val="26"/>
        </w:rPr>
        <w:t xml:space="preserve"> in both 60</w:t>
      </w:r>
      <w:r w:rsidR="00170F88">
        <w:rPr>
          <w:rFonts w:ascii="Times New Roman" w:hAnsi="Times New Roman" w:cs="Times New Roman"/>
          <w:sz w:val="26"/>
          <w:szCs w:val="26"/>
        </w:rPr>
        <w:t>-</w:t>
      </w:r>
      <w:r>
        <w:rPr>
          <w:rFonts w:ascii="Times New Roman" w:hAnsi="Times New Roman" w:cs="Times New Roman"/>
          <w:sz w:val="26"/>
          <w:szCs w:val="26"/>
        </w:rPr>
        <w:t xml:space="preserve">day and </w:t>
      </w:r>
      <w:r w:rsidR="00170F88">
        <w:rPr>
          <w:rFonts w:ascii="Times New Roman" w:hAnsi="Times New Roman" w:cs="Times New Roman"/>
          <w:sz w:val="26"/>
          <w:szCs w:val="26"/>
        </w:rPr>
        <w:t>30-day</w:t>
      </w:r>
      <w:r>
        <w:rPr>
          <w:rFonts w:ascii="Times New Roman" w:hAnsi="Times New Roman" w:cs="Times New Roman"/>
          <w:sz w:val="26"/>
          <w:szCs w:val="26"/>
        </w:rPr>
        <w:t xml:space="preserve"> notice</w:t>
      </w:r>
      <w:r w:rsidR="000E609E">
        <w:rPr>
          <w:rFonts w:ascii="Times New Roman" w:hAnsi="Times New Roman" w:cs="Times New Roman"/>
          <w:sz w:val="26"/>
          <w:szCs w:val="26"/>
        </w:rPr>
        <w:t>s</w:t>
      </w:r>
      <w:r>
        <w:rPr>
          <w:rFonts w:ascii="Times New Roman" w:hAnsi="Times New Roman" w:cs="Times New Roman"/>
          <w:sz w:val="26"/>
          <w:szCs w:val="26"/>
        </w:rPr>
        <w:t xml:space="preserve"> in Docket No. RD2</w:t>
      </w:r>
      <w:r w:rsidR="00170F88">
        <w:rPr>
          <w:rFonts w:ascii="Times New Roman" w:hAnsi="Times New Roman" w:cs="Times New Roman"/>
          <w:sz w:val="26"/>
          <w:szCs w:val="26"/>
        </w:rPr>
        <w:t>6</w:t>
      </w:r>
      <w:r>
        <w:rPr>
          <w:rFonts w:ascii="Times New Roman" w:hAnsi="Times New Roman" w:cs="Times New Roman"/>
          <w:sz w:val="26"/>
          <w:szCs w:val="26"/>
        </w:rPr>
        <w:t>-</w:t>
      </w:r>
      <w:r w:rsidR="00170F88">
        <w:rPr>
          <w:rFonts w:ascii="Times New Roman" w:hAnsi="Times New Roman" w:cs="Times New Roman"/>
          <w:sz w:val="26"/>
          <w:szCs w:val="26"/>
        </w:rPr>
        <w:t>5</w:t>
      </w:r>
      <w:r>
        <w:rPr>
          <w:rFonts w:ascii="Times New Roman" w:hAnsi="Times New Roman" w:cs="Times New Roman"/>
          <w:sz w:val="26"/>
          <w:szCs w:val="26"/>
        </w:rPr>
        <w:t xml:space="preserve">-000. </w:t>
      </w:r>
      <w:r w:rsidRPr="00E65EF4" w:rsidR="009B2762">
        <w:rPr>
          <w:rFonts w:ascii="Times New Roman" w:hAnsi="Times New Roman" w:cs="Times New Roman"/>
          <w:sz w:val="26"/>
          <w:szCs w:val="26"/>
        </w:rPr>
        <w:t xml:space="preserve"> </w:t>
      </w:r>
    </w:p>
    <w:p w:rsidR="00801106" w:rsidP="00007F09" w14:paraId="63A39801" w14:textId="77777777">
      <w:pPr>
        <w:autoSpaceDE w:val="0"/>
        <w:autoSpaceDN w:val="0"/>
        <w:adjustRightInd w:val="0"/>
        <w:spacing w:after="0" w:line="240" w:lineRule="auto"/>
        <w:rPr>
          <w:rFonts w:ascii="Times New Roman" w:hAnsi="Times New Roman" w:cs="Times New Roman"/>
          <w:sz w:val="26"/>
          <w:szCs w:val="26"/>
        </w:rPr>
      </w:pPr>
    </w:p>
    <w:p w:rsidR="00D43F0E" w:rsidP="00007F09" w14:paraId="7E486EE0" w14:textId="597DF63C">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w:t>
      </w:r>
      <w:r w:rsidR="004639D8">
        <w:rPr>
          <w:rFonts w:ascii="Times New Roman" w:hAnsi="Times New Roman" w:cs="Times New Roman"/>
          <w:sz w:val="26"/>
          <w:szCs w:val="26"/>
        </w:rPr>
        <w:t>60-day</w:t>
      </w:r>
      <w:r>
        <w:rPr>
          <w:rFonts w:ascii="Times New Roman" w:hAnsi="Times New Roman" w:cs="Times New Roman"/>
          <w:sz w:val="26"/>
          <w:szCs w:val="26"/>
        </w:rPr>
        <w:t xml:space="preserve"> notice </w:t>
      </w:r>
      <w:r w:rsidR="00266D15">
        <w:rPr>
          <w:rFonts w:ascii="Times New Roman" w:hAnsi="Times New Roman" w:cs="Times New Roman"/>
          <w:sz w:val="26"/>
          <w:szCs w:val="26"/>
        </w:rPr>
        <w:t xml:space="preserve">was published in the Federal Register </w:t>
      </w:r>
      <w:r w:rsidR="00556B7B">
        <w:rPr>
          <w:rFonts w:ascii="Times New Roman" w:hAnsi="Times New Roman" w:cs="Times New Roman"/>
          <w:sz w:val="26"/>
          <w:szCs w:val="26"/>
        </w:rPr>
        <w:t xml:space="preserve">on </w:t>
      </w:r>
      <w:r w:rsidR="00B0632E">
        <w:rPr>
          <w:rFonts w:ascii="Times New Roman" w:hAnsi="Times New Roman" w:cs="Times New Roman"/>
          <w:sz w:val="26"/>
          <w:szCs w:val="26"/>
        </w:rPr>
        <w:t>May</w:t>
      </w:r>
      <w:r w:rsidR="00556B7B">
        <w:rPr>
          <w:rFonts w:ascii="Times New Roman" w:hAnsi="Times New Roman" w:cs="Times New Roman"/>
          <w:sz w:val="26"/>
          <w:szCs w:val="26"/>
        </w:rPr>
        <w:t xml:space="preserve"> 6, 202</w:t>
      </w:r>
      <w:r w:rsidR="00B0632E">
        <w:rPr>
          <w:rFonts w:ascii="Times New Roman" w:hAnsi="Times New Roman" w:cs="Times New Roman"/>
          <w:sz w:val="26"/>
          <w:szCs w:val="26"/>
        </w:rPr>
        <w:t>6</w:t>
      </w:r>
      <w:r w:rsidR="00556B7B">
        <w:rPr>
          <w:rFonts w:ascii="Times New Roman" w:hAnsi="Times New Roman" w:cs="Times New Roman"/>
          <w:sz w:val="26"/>
          <w:szCs w:val="26"/>
        </w:rPr>
        <w:t xml:space="preserve"> (</w:t>
      </w:r>
      <w:r w:rsidR="00B223C3">
        <w:rPr>
          <w:rFonts w:ascii="Times New Roman" w:hAnsi="Times New Roman" w:cs="Times New Roman"/>
          <w:sz w:val="26"/>
          <w:szCs w:val="26"/>
        </w:rPr>
        <w:t>91</w:t>
      </w:r>
      <w:r w:rsidRPr="00556B7B" w:rsidR="00556B7B">
        <w:rPr>
          <w:rFonts w:ascii="Times New Roman" w:hAnsi="Times New Roman" w:cs="Times New Roman"/>
          <w:sz w:val="26"/>
          <w:szCs w:val="26"/>
        </w:rPr>
        <w:t xml:space="preserve"> FR </w:t>
      </w:r>
      <w:r w:rsidR="00B223C3">
        <w:rPr>
          <w:rFonts w:ascii="Times New Roman" w:hAnsi="Times New Roman" w:cs="Times New Roman"/>
          <w:sz w:val="26"/>
          <w:szCs w:val="26"/>
        </w:rPr>
        <w:t>24540</w:t>
      </w:r>
      <w:r w:rsidR="00556B7B">
        <w:rPr>
          <w:rFonts w:ascii="Times New Roman" w:hAnsi="Times New Roman" w:cs="Times New Roman"/>
          <w:sz w:val="26"/>
          <w:szCs w:val="26"/>
        </w:rPr>
        <w:t xml:space="preserve">). </w:t>
      </w:r>
      <w:r w:rsidR="00454081">
        <w:rPr>
          <w:rFonts w:ascii="Times New Roman" w:hAnsi="Times New Roman" w:cs="Times New Roman"/>
          <w:sz w:val="26"/>
          <w:szCs w:val="26"/>
        </w:rPr>
        <w:t xml:space="preserve">No comments were received in response to the </w:t>
      </w:r>
      <w:r w:rsidR="00BE0A8E">
        <w:rPr>
          <w:rFonts w:ascii="Times New Roman" w:hAnsi="Times New Roman" w:cs="Times New Roman"/>
          <w:sz w:val="26"/>
          <w:szCs w:val="26"/>
        </w:rPr>
        <w:t>proposed</w:t>
      </w:r>
      <w:r w:rsidR="00484223">
        <w:rPr>
          <w:rFonts w:ascii="Times New Roman" w:hAnsi="Times New Roman" w:cs="Times New Roman"/>
          <w:sz w:val="26"/>
          <w:szCs w:val="26"/>
        </w:rPr>
        <w:t xml:space="preserve"> changes to the</w:t>
      </w:r>
      <w:r w:rsidR="00BE0A8E">
        <w:rPr>
          <w:rFonts w:ascii="Times New Roman" w:hAnsi="Times New Roman" w:cs="Times New Roman"/>
          <w:sz w:val="26"/>
          <w:szCs w:val="26"/>
        </w:rPr>
        <w:t xml:space="preserve"> </w:t>
      </w:r>
      <w:r w:rsidR="00454081">
        <w:rPr>
          <w:rFonts w:ascii="Times New Roman" w:hAnsi="Times New Roman" w:cs="Times New Roman"/>
          <w:sz w:val="26"/>
          <w:szCs w:val="26"/>
        </w:rPr>
        <w:t>FERC-725E information collection.</w:t>
      </w:r>
    </w:p>
    <w:p w:rsidR="00556B7B" w:rsidP="00007F09" w14:paraId="0C4A5ED6" w14:textId="4367A8B9">
      <w:pPr>
        <w:autoSpaceDE w:val="0"/>
        <w:autoSpaceDN w:val="0"/>
        <w:adjustRightInd w:val="0"/>
        <w:spacing w:after="0" w:line="240" w:lineRule="auto"/>
        <w:rPr>
          <w:rFonts w:ascii="Times New Roman" w:hAnsi="Times New Roman" w:cs="Times New Roman"/>
          <w:sz w:val="26"/>
          <w:szCs w:val="26"/>
        </w:rPr>
      </w:pPr>
    </w:p>
    <w:p w:rsidR="00556B7B" w:rsidRPr="00E65EF4" w:rsidP="00007F09" w14:paraId="4703AFD2" w14:textId="3D3DEE6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w:t>
      </w:r>
      <w:r w:rsidR="004639D8">
        <w:rPr>
          <w:rFonts w:ascii="Times New Roman" w:hAnsi="Times New Roman" w:cs="Times New Roman"/>
          <w:sz w:val="26"/>
          <w:szCs w:val="26"/>
        </w:rPr>
        <w:t>30-day</w:t>
      </w:r>
      <w:r>
        <w:rPr>
          <w:rFonts w:ascii="Times New Roman" w:hAnsi="Times New Roman" w:cs="Times New Roman"/>
          <w:sz w:val="26"/>
          <w:szCs w:val="26"/>
        </w:rPr>
        <w:t xml:space="preserve"> notice was published in the Federal Register on </w:t>
      </w:r>
      <w:r w:rsidR="004639D8">
        <w:rPr>
          <w:rFonts w:ascii="Times New Roman" w:hAnsi="Times New Roman" w:cs="Times New Roman"/>
          <w:sz w:val="26"/>
          <w:szCs w:val="26"/>
        </w:rPr>
        <w:t>August</w:t>
      </w:r>
      <w:r w:rsidR="00971AB8">
        <w:rPr>
          <w:rFonts w:ascii="Times New Roman" w:hAnsi="Times New Roman" w:cs="Times New Roman"/>
          <w:sz w:val="26"/>
          <w:szCs w:val="26"/>
        </w:rPr>
        <w:t xml:space="preserve"> </w:t>
      </w:r>
      <w:r w:rsidR="004639D8">
        <w:rPr>
          <w:rFonts w:ascii="Times New Roman" w:hAnsi="Times New Roman" w:cs="Times New Roman"/>
          <w:sz w:val="26"/>
          <w:szCs w:val="26"/>
        </w:rPr>
        <w:t>27</w:t>
      </w:r>
      <w:r w:rsidR="00971AB8">
        <w:rPr>
          <w:rFonts w:ascii="Times New Roman" w:hAnsi="Times New Roman" w:cs="Times New Roman"/>
          <w:sz w:val="26"/>
          <w:szCs w:val="26"/>
        </w:rPr>
        <w:t>, 202</w:t>
      </w:r>
      <w:r w:rsidR="004639D8">
        <w:rPr>
          <w:rFonts w:ascii="Times New Roman" w:hAnsi="Times New Roman" w:cs="Times New Roman"/>
          <w:sz w:val="26"/>
          <w:szCs w:val="26"/>
        </w:rPr>
        <w:t>6</w:t>
      </w:r>
      <w:r w:rsidR="00971AB8">
        <w:rPr>
          <w:rFonts w:ascii="Times New Roman" w:hAnsi="Times New Roman" w:cs="Times New Roman"/>
          <w:sz w:val="26"/>
          <w:szCs w:val="26"/>
        </w:rPr>
        <w:t xml:space="preserve"> (</w:t>
      </w:r>
      <w:r w:rsidRPr="00971AB8" w:rsidR="00971AB8">
        <w:rPr>
          <w:rFonts w:ascii="Times New Roman" w:hAnsi="Times New Roman" w:cs="Times New Roman"/>
          <w:sz w:val="26"/>
          <w:szCs w:val="26"/>
        </w:rPr>
        <w:t xml:space="preserve">89 FR </w:t>
      </w:r>
      <w:r w:rsidR="004639D8">
        <w:rPr>
          <w:rFonts w:ascii="Times New Roman" w:hAnsi="Times New Roman" w:cs="Times New Roman"/>
          <w:sz w:val="26"/>
          <w:szCs w:val="26"/>
        </w:rPr>
        <w:t>54865</w:t>
      </w:r>
      <w:r w:rsidR="00971AB8">
        <w:rPr>
          <w:rFonts w:ascii="Times New Roman" w:hAnsi="Times New Roman" w:cs="Times New Roman"/>
          <w:sz w:val="26"/>
          <w:szCs w:val="26"/>
        </w:rPr>
        <w:t xml:space="preserve">). </w:t>
      </w:r>
    </w:p>
    <w:p w:rsidR="00EB3E6F" w:rsidP="00007F09" w14:paraId="45339A23" w14:textId="595D6301">
      <w:pPr>
        <w:spacing w:after="0" w:line="240" w:lineRule="auto"/>
        <w:rPr>
          <w:rFonts w:ascii="Times New Roman" w:hAnsi="Times New Roman" w:cs="Times New Roman"/>
          <w:sz w:val="26"/>
          <w:szCs w:val="26"/>
        </w:rPr>
      </w:pPr>
    </w:p>
    <w:p w:rsidR="00567E81" w:rsidP="00007F09" w14:paraId="7D20B7D1" w14:textId="77777777">
      <w:pPr>
        <w:spacing w:after="0" w:line="240" w:lineRule="auto"/>
        <w:rPr>
          <w:rFonts w:ascii="Times New Roman" w:hAnsi="Times New Roman" w:cs="Times New Roman"/>
          <w:sz w:val="26"/>
          <w:szCs w:val="26"/>
        </w:rPr>
      </w:pPr>
    </w:p>
    <w:p w:rsidR="00567E81" w:rsidRPr="00E65EF4" w:rsidP="00007F09" w14:paraId="6D2704D1" w14:textId="77777777">
      <w:pPr>
        <w:spacing w:after="0" w:line="240" w:lineRule="auto"/>
        <w:rPr>
          <w:rFonts w:ascii="Times New Roman" w:hAnsi="Times New Roman" w:cs="Times New Roman"/>
          <w:sz w:val="26"/>
          <w:szCs w:val="26"/>
        </w:rPr>
      </w:pPr>
    </w:p>
    <w:p w:rsidR="00EB3E6F" w:rsidRPr="00E65EF4" w:rsidP="00007F09" w14:paraId="67AD048F"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EXPLAIN ANY PAYMENT OR GIFTS TO RESPONDENTS</w:t>
      </w:r>
    </w:p>
    <w:p w:rsidR="00D80FBD" w:rsidRPr="00E65EF4" w:rsidP="00007F09" w14:paraId="7394C59A" w14:textId="77777777">
      <w:pPr>
        <w:spacing w:after="0" w:line="240" w:lineRule="auto"/>
        <w:rPr>
          <w:rFonts w:ascii="Times New Roman" w:hAnsi="Times New Roman" w:cs="Times New Roman"/>
          <w:sz w:val="26"/>
          <w:szCs w:val="26"/>
        </w:rPr>
      </w:pPr>
    </w:p>
    <w:p w:rsidR="00D80FBD" w:rsidRPr="00E65EF4" w:rsidP="00007F09" w14:paraId="2D6D951D"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There are no payments or gifts to respondents associated with th</w:t>
      </w:r>
      <w:r w:rsidRPr="00E65EF4" w:rsidR="00B9413E">
        <w:rPr>
          <w:rFonts w:ascii="Times New Roman" w:hAnsi="Times New Roman" w:cs="Times New Roman"/>
          <w:sz w:val="26"/>
          <w:szCs w:val="26"/>
        </w:rPr>
        <w:t>is</w:t>
      </w:r>
      <w:r w:rsidRPr="00E65EF4">
        <w:rPr>
          <w:rFonts w:ascii="Times New Roman" w:hAnsi="Times New Roman" w:cs="Times New Roman"/>
          <w:sz w:val="26"/>
          <w:szCs w:val="26"/>
        </w:rPr>
        <w:t xml:space="preserve"> collection.</w:t>
      </w:r>
    </w:p>
    <w:p w:rsidR="008D310F" w:rsidRPr="00E65EF4" w:rsidP="00007F09" w14:paraId="5FFE503A" w14:textId="77777777">
      <w:pPr>
        <w:spacing w:after="0" w:line="240" w:lineRule="auto"/>
        <w:rPr>
          <w:rFonts w:ascii="Times New Roman" w:hAnsi="Times New Roman" w:cs="Times New Roman"/>
          <w:sz w:val="26"/>
          <w:szCs w:val="26"/>
        </w:rPr>
      </w:pPr>
    </w:p>
    <w:p w:rsidR="00D80FBD" w:rsidRPr="00E65EF4" w:rsidP="00007F09" w14:paraId="3A58A0FB"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DESCRIBE ANY ASSURANCE OF CONFIDENTIALITY PROVIDED TO RESPONDENTS</w:t>
      </w:r>
    </w:p>
    <w:p w:rsidR="00D80FBD" w:rsidRPr="00E65EF4" w:rsidP="00007F09" w14:paraId="752483D7" w14:textId="77777777">
      <w:pPr>
        <w:spacing w:after="0" w:line="240" w:lineRule="auto"/>
        <w:rPr>
          <w:rFonts w:ascii="Times New Roman" w:hAnsi="Times New Roman" w:cs="Times New Roman"/>
          <w:sz w:val="26"/>
          <w:szCs w:val="26"/>
        </w:rPr>
      </w:pPr>
    </w:p>
    <w:p w:rsidR="002C1BFB" w:rsidRPr="00E65EF4" w:rsidP="00007F09" w14:paraId="14E2B3F6" w14:textId="4280247F">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According to the NERC Rule</w:t>
      </w:r>
      <w:r w:rsidRPr="00E65EF4" w:rsidR="003021C9">
        <w:rPr>
          <w:rFonts w:ascii="Times New Roman" w:hAnsi="Times New Roman" w:cs="Times New Roman"/>
          <w:sz w:val="26"/>
          <w:szCs w:val="26"/>
        </w:rPr>
        <w:t>s</w:t>
      </w:r>
      <w:r w:rsidRPr="00E65EF4">
        <w:rPr>
          <w:rFonts w:ascii="Times New Roman" w:hAnsi="Times New Roman" w:cs="Times New Roman"/>
          <w:sz w:val="26"/>
          <w:szCs w:val="26"/>
        </w:rPr>
        <w:t xml:space="preserve"> of Procedure</w:t>
      </w:r>
      <w:r>
        <w:rPr>
          <w:rStyle w:val="FootnoteReference"/>
          <w:rFonts w:ascii="Times New Roman" w:hAnsi="Times New Roman" w:cs="Times New Roman"/>
          <w:sz w:val="26"/>
          <w:szCs w:val="26"/>
          <w:vertAlign w:val="superscript"/>
        </w:rPr>
        <w:footnoteReference w:id="12"/>
      </w:r>
      <w:r w:rsidRPr="00E65EF4">
        <w:rPr>
          <w:rFonts w:ascii="Times New Roman" w:hAnsi="Times New Roman" w:cs="Times New Roman"/>
          <w:sz w:val="26"/>
          <w:szCs w:val="26"/>
        </w:rPr>
        <w:t>, “…a Receiving Entity shall keep in confidence and not copy, disclose, or distribute any Confidential Information or any part thereof without the permission of the Submitting Entity, except as otherwise legally required.”  This serves to protect confidential information submitted to NERC or Regional Entities.</w:t>
      </w:r>
    </w:p>
    <w:p w:rsidR="002C1BFB" w:rsidRPr="00E65EF4" w:rsidP="00007F09" w14:paraId="581EAAB9" w14:textId="77777777">
      <w:pPr>
        <w:spacing w:after="0" w:line="240" w:lineRule="auto"/>
        <w:rPr>
          <w:rFonts w:ascii="Times New Roman" w:hAnsi="Times New Roman" w:cs="Times New Roman"/>
          <w:sz w:val="26"/>
          <w:szCs w:val="26"/>
        </w:rPr>
      </w:pPr>
    </w:p>
    <w:p w:rsidR="002C1BFB" w:rsidRPr="00E65EF4" w:rsidP="00007F09" w14:paraId="2B886A8D" w14:textId="27A5CA86">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Responding entities do not submit the informat</w:t>
      </w:r>
      <w:r w:rsidRPr="00E65EF4" w:rsidR="00952D21">
        <w:rPr>
          <w:rFonts w:ascii="Times New Roman" w:hAnsi="Times New Roman" w:cs="Times New Roman"/>
          <w:sz w:val="26"/>
          <w:szCs w:val="26"/>
        </w:rPr>
        <w:t>ion collected under the</w:t>
      </w:r>
      <w:r w:rsidRPr="00E65EF4" w:rsidR="006437A2">
        <w:rPr>
          <w:rFonts w:ascii="Times New Roman" w:hAnsi="Times New Roman" w:cs="Times New Roman"/>
          <w:sz w:val="26"/>
          <w:szCs w:val="26"/>
        </w:rPr>
        <w:t>se</w:t>
      </w:r>
      <w:r w:rsidRPr="00E65EF4">
        <w:rPr>
          <w:rFonts w:ascii="Times New Roman" w:hAnsi="Times New Roman" w:cs="Times New Roman"/>
          <w:sz w:val="26"/>
          <w:szCs w:val="26"/>
        </w:rPr>
        <w:t xml:space="preserve"> Reliability Standard</w:t>
      </w:r>
      <w:r w:rsidRPr="00E65EF4" w:rsidR="006437A2">
        <w:rPr>
          <w:rFonts w:ascii="Times New Roman" w:hAnsi="Times New Roman" w:cs="Times New Roman"/>
          <w:sz w:val="26"/>
          <w:szCs w:val="26"/>
        </w:rPr>
        <w:t>s</w:t>
      </w:r>
      <w:r w:rsidRPr="00E65EF4">
        <w:rPr>
          <w:rFonts w:ascii="Times New Roman" w:hAnsi="Times New Roman" w:cs="Times New Roman"/>
          <w:sz w:val="26"/>
          <w:szCs w:val="26"/>
        </w:rPr>
        <w:t xml:space="preserve"> to FERC.  Rather, they maintain it internally</w:t>
      </w:r>
      <w:r w:rsidRPr="00E65EF4" w:rsidR="00FF69D6">
        <w:rPr>
          <w:rFonts w:ascii="Times New Roman" w:hAnsi="Times New Roman" w:cs="Times New Roman"/>
          <w:sz w:val="26"/>
          <w:szCs w:val="26"/>
        </w:rPr>
        <w:t xml:space="preserve"> and provide information collected to applicable Regional Entities</w:t>
      </w:r>
      <w:r w:rsidRPr="00E65EF4">
        <w:rPr>
          <w:rFonts w:ascii="Times New Roman" w:hAnsi="Times New Roman" w:cs="Times New Roman"/>
          <w:sz w:val="26"/>
          <w:szCs w:val="26"/>
        </w:rPr>
        <w:t xml:space="preserve">.  Since there are no submissions made to FERC, FERC provides no specific provisions in order to protect confidentiality. </w:t>
      </w:r>
    </w:p>
    <w:p w:rsidR="008D310F" w:rsidRPr="00E65EF4" w:rsidP="00007F09" w14:paraId="2B6C79EB" w14:textId="77777777">
      <w:pPr>
        <w:spacing w:after="0" w:line="240" w:lineRule="auto"/>
        <w:rPr>
          <w:rFonts w:ascii="Times New Roman" w:hAnsi="Times New Roman" w:cs="Times New Roman"/>
          <w:sz w:val="26"/>
          <w:szCs w:val="26"/>
        </w:rPr>
      </w:pPr>
    </w:p>
    <w:p w:rsidR="00D80FBD" w:rsidRPr="00E65EF4" w:rsidP="00007F09" w14:paraId="7B8DE5EA"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 xml:space="preserve">PROVIDE </w:t>
      </w:r>
      <w:r w:rsidRPr="00E65EF4" w:rsidR="004C5E0E">
        <w:rPr>
          <w:rFonts w:ascii="Times New Roman" w:hAnsi="Times New Roman" w:cs="Times New Roman"/>
          <w:b/>
          <w:sz w:val="26"/>
          <w:szCs w:val="26"/>
        </w:rPr>
        <w:t>ADDITIONAL JUSTIFICATION FOR ANY QUESTIONS OF A SENSITIVE NATURE, SUCH AS SEXUAL BEHAVIOR AND ATTITUDES, RELIGIOUS BELIEFS, AND OTHER MATTERS THAT ARE COMMONLY CONSIDERED PRIVATE.</w:t>
      </w:r>
    </w:p>
    <w:p w:rsidR="00D80FBD" w:rsidRPr="00E65EF4" w:rsidP="00007F09" w14:paraId="0DBA2F08" w14:textId="77777777">
      <w:pPr>
        <w:spacing w:after="0" w:line="240" w:lineRule="auto"/>
        <w:rPr>
          <w:rFonts w:ascii="Times New Roman" w:hAnsi="Times New Roman" w:cs="Times New Roman"/>
          <w:sz w:val="26"/>
          <w:szCs w:val="26"/>
        </w:rPr>
      </w:pPr>
    </w:p>
    <w:p w:rsidR="00D80FBD" w:rsidP="00007F09" w14:paraId="3AAB0479"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There are no questions of a sensitive nature in the reporting requirements.</w:t>
      </w:r>
    </w:p>
    <w:p w:rsidR="0074195A" w:rsidRPr="00E65EF4" w:rsidP="00007F09" w14:paraId="4DD76322" w14:textId="77777777">
      <w:pPr>
        <w:spacing w:after="0" w:line="240" w:lineRule="auto"/>
        <w:rPr>
          <w:rFonts w:ascii="Times New Roman" w:hAnsi="Times New Roman" w:cs="Times New Roman"/>
          <w:sz w:val="26"/>
          <w:szCs w:val="26"/>
        </w:rPr>
      </w:pPr>
    </w:p>
    <w:p w:rsidR="00D80FBD" w:rsidRPr="00E65EF4" w:rsidP="00007F09" w14:paraId="5B02ECA3" w14:textId="2C2AD224">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ESTIMATED BURDEN OF COLLECTION OF INFORMATION</w:t>
      </w:r>
    </w:p>
    <w:p w:rsidR="00D0543E" w:rsidP="00D0543E" w14:paraId="07BC427E" w14:textId="77777777">
      <w:pPr>
        <w:pStyle w:val="paragraph"/>
        <w:spacing w:before="0" w:beforeAutospacing="0" w:after="0" w:afterAutospacing="0"/>
        <w:textAlignment w:val="baseline"/>
        <w:rPr>
          <w:rStyle w:val="normaltextrun"/>
          <w:sz w:val="26"/>
          <w:szCs w:val="26"/>
        </w:rPr>
      </w:pPr>
    </w:p>
    <w:p w:rsidR="006E1DC6" w:rsidRPr="006E1DC6" w:rsidP="006E1DC6" w14:paraId="4ED00A2C" w14:textId="3831FBDE">
      <w:pPr>
        <w:autoSpaceDE w:val="0"/>
        <w:autoSpaceDN w:val="0"/>
        <w:adjustRightInd w:val="0"/>
        <w:spacing w:line="240" w:lineRule="auto"/>
        <w:rPr>
          <w:rFonts w:ascii="Times New Roman" w:eastAsia="Times New Roman" w:hAnsi="Times New Roman" w:cs="Times New Roman"/>
          <w:sz w:val="26"/>
          <w:szCs w:val="26"/>
        </w:rPr>
      </w:pPr>
      <w:r w:rsidRPr="006E1DC6">
        <w:rPr>
          <w:rStyle w:val="normaltextrun"/>
          <w:rFonts w:ascii="Times New Roman" w:hAnsi="Times New Roman" w:cs="Times New Roman"/>
          <w:sz w:val="26"/>
          <w:szCs w:val="26"/>
        </w:rPr>
        <w:t>We provide the tables below with burden estimate</w:t>
      </w:r>
      <w:r w:rsidRPr="006E1DC6">
        <w:rPr>
          <w:rFonts w:ascii="Times New Roman" w:eastAsia="Times New Roman" w:hAnsi="Times New Roman" w:cs="Times New Roman"/>
          <w:sz w:val="26"/>
          <w:szCs w:val="26"/>
        </w:rPr>
        <w:t xml:space="preserve">s for a reduction in burden under 725E are specific to just BAL-002-WECC-3 entities no longer needing to be compliant with the applicable Requirements.  Additionally, the estimate used information from the NERC Compliance Registry Summary of Entities as of February 9, 2026.  </w:t>
      </w:r>
      <w:bookmarkStart w:id="0" w:name="_Hlk35515371"/>
    </w:p>
    <w:bookmarkEnd w:id="0"/>
    <w:p w:rsidR="006E1DC6" w:rsidRPr="006E1DC6" w:rsidP="006E1DC6" w14:paraId="1E2319AC" w14:textId="77777777">
      <w:pPr>
        <w:autoSpaceDE w:val="0"/>
        <w:autoSpaceDN w:val="0"/>
        <w:adjustRightInd w:val="0"/>
        <w:spacing w:after="0" w:line="240" w:lineRule="auto"/>
        <w:rPr>
          <w:rFonts w:ascii="Times New Roman" w:eastAsia="Times New Roman" w:hAnsi="Times New Roman" w:cs="Times New Roman"/>
          <w:sz w:val="26"/>
          <w:szCs w:val="26"/>
        </w:rPr>
      </w:pPr>
      <w:r w:rsidRPr="006E1DC6">
        <w:rPr>
          <w:rFonts w:ascii="Times New Roman" w:eastAsia="Times New Roman" w:hAnsi="Times New Roman" w:cs="Times New Roman"/>
          <w:sz w:val="26"/>
          <w:szCs w:val="26"/>
        </w:rPr>
        <w:tab/>
        <w:t>The individual burden estimates include the time needed to gather data, run studies, and analyze study results.  These are consistent with estimates for similar tasks in other Commission-approved standards.  Estimates for the additional average annual burden and cost</w:t>
      </w:r>
      <w:r>
        <w:rPr>
          <w:rFonts w:ascii="Times New Roman" w:eastAsia="Times New Roman" w:hAnsi="Times New Roman" w:cs="Times New Roman"/>
          <w:b/>
          <w:sz w:val="26"/>
          <w:szCs w:val="26"/>
          <w:vertAlign w:val="superscript"/>
        </w:rPr>
        <w:footnoteReference w:id="13"/>
      </w:r>
      <w:r w:rsidRPr="006E1DC6">
        <w:rPr>
          <w:rFonts w:ascii="Times New Roman" w:eastAsia="Times New Roman" w:hAnsi="Times New Roman" w:cs="Times New Roman"/>
          <w:sz w:val="26"/>
          <w:szCs w:val="26"/>
        </w:rPr>
        <w:t xml:space="preserve"> as follows:</w:t>
      </w:r>
    </w:p>
    <w:tbl>
      <w:tblPr>
        <w:tblW w:w="522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7"/>
        <w:gridCol w:w="1410"/>
        <w:gridCol w:w="1660"/>
        <w:gridCol w:w="1631"/>
        <w:gridCol w:w="1506"/>
        <w:gridCol w:w="1891"/>
      </w:tblGrid>
      <w:tr w14:paraId="08D301BF" w14:textId="77777777" w:rsidTr="00045BE2">
        <w:tblPrEx>
          <w:tblW w:w="522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800"/>
        </w:trPr>
        <w:tc>
          <w:tcPr>
            <w:tcW w:w="5000" w:type="pct"/>
            <w:gridSpan w:val="6"/>
            <w:shd w:val="clear" w:color="auto" w:fill="D9D9D9"/>
          </w:tcPr>
          <w:p w:rsidR="006E1DC6" w:rsidRPr="006E1DC6" w:rsidP="006E1DC6" w14:paraId="439C8D3D" w14:textId="77777777">
            <w:pPr>
              <w:spacing w:after="0" w:line="240" w:lineRule="auto"/>
              <w:jc w:val="center"/>
              <w:rPr>
                <w:rFonts w:ascii="Times New Roman" w:eastAsia="Calibri" w:hAnsi="Times New Roman" w:cs="Times New Roman"/>
                <w:b/>
                <w:bCs/>
                <w:sz w:val="26"/>
                <w:szCs w:val="26"/>
              </w:rPr>
            </w:pPr>
            <w:r w:rsidRPr="006E1DC6">
              <w:rPr>
                <w:rFonts w:ascii="Times New Roman" w:eastAsia="Calibri" w:hAnsi="Times New Roman" w:cs="Times New Roman"/>
                <w:b/>
                <w:bCs/>
                <w:sz w:val="26"/>
                <w:szCs w:val="26"/>
              </w:rPr>
              <w:t>FERC-725E, Mandatory Reliability Standards for the</w:t>
            </w:r>
          </w:p>
          <w:p w:rsidR="006E1DC6" w:rsidRPr="006E1DC6" w:rsidP="006E1DC6" w14:paraId="67E32803" w14:textId="77777777">
            <w:pPr>
              <w:spacing w:after="0" w:line="240" w:lineRule="auto"/>
              <w:jc w:val="center"/>
              <w:rPr>
                <w:rFonts w:ascii="Times New Roman" w:eastAsia="Calibri" w:hAnsi="Times New Roman" w:cs="Times New Roman"/>
                <w:b/>
                <w:bCs/>
                <w:sz w:val="26"/>
                <w:szCs w:val="26"/>
              </w:rPr>
            </w:pPr>
            <w:r w:rsidRPr="006E1DC6">
              <w:rPr>
                <w:rFonts w:ascii="Times New Roman" w:eastAsia="Calibri" w:hAnsi="Times New Roman" w:cs="Times New Roman"/>
                <w:b/>
                <w:bCs/>
                <w:sz w:val="26"/>
                <w:szCs w:val="26"/>
              </w:rPr>
              <w:t>Western Electric Coordinating Council, Retirement of BAL-002-WECC-3</w:t>
            </w:r>
          </w:p>
          <w:p w:rsidR="006E1DC6" w:rsidRPr="006E1DC6" w:rsidP="006E1DC6" w14:paraId="1082E68A" w14:textId="77777777">
            <w:pPr>
              <w:spacing w:after="0" w:line="240" w:lineRule="auto"/>
              <w:jc w:val="center"/>
              <w:rPr>
                <w:rFonts w:ascii="Times New Roman" w:eastAsia="Calibri" w:hAnsi="Times New Roman" w:cs="Times New Roman"/>
                <w:b/>
                <w:sz w:val="26"/>
                <w:szCs w:val="26"/>
              </w:rPr>
            </w:pPr>
            <w:r w:rsidRPr="006E1DC6">
              <w:rPr>
                <w:rFonts w:ascii="Times New Roman" w:eastAsia="Calibri" w:hAnsi="Times New Roman" w:cs="Times New Roman"/>
                <w:b/>
                <w:bCs/>
                <w:sz w:val="26"/>
                <w:szCs w:val="26"/>
              </w:rPr>
              <w:t>Changes in Docket No. RD26-5-000</w:t>
            </w:r>
          </w:p>
        </w:tc>
      </w:tr>
      <w:tr w14:paraId="4AB1A7AD" w14:textId="77777777" w:rsidTr="00045BE2">
        <w:tblPrEx>
          <w:tblW w:w="5222" w:type="pct"/>
          <w:tblInd w:w="-72" w:type="dxa"/>
          <w:tblLayout w:type="fixed"/>
          <w:tblLook w:val="01E0"/>
        </w:tblPrEx>
        <w:trPr>
          <w:cantSplit/>
          <w:trHeight w:val="2157"/>
        </w:trPr>
        <w:tc>
          <w:tcPr>
            <w:tcW w:w="854" w:type="pct"/>
            <w:shd w:val="clear" w:color="auto" w:fill="D9D9D9"/>
          </w:tcPr>
          <w:p w:rsidR="006E1DC6" w:rsidRPr="006E1DC6" w:rsidP="006E1DC6" w14:paraId="21F6A60D" w14:textId="77777777">
            <w:pPr>
              <w:spacing w:after="0" w:line="240" w:lineRule="auto"/>
              <w:jc w:val="center"/>
              <w:rPr>
                <w:rFonts w:ascii="Times New Roman" w:eastAsia="Times New Roman" w:hAnsi="Times New Roman" w:cs="Times New Roman"/>
                <w:b/>
                <w:sz w:val="26"/>
                <w:szCs w:val="26"/>
              </w:rPr>
            </w:pPr>
            <w:bookmarkStart w:id="1" w:name="_Hlk38878319"/>
          </w:p>
          <w:p w:rsidR="006E1DC6" w:rsidRPr="006E1DC6" w:rsidP="006E1DC6" w14:paraId="0E4CF3E7" w14:textId="77777777">
            <w:pPr>
              <w:spacing w:after="0" w:line="240" w:lineRule="auto"/>
              <w:jc w:val="center"/>
              <w:rPr>
                <w:rFonts w:ascii="Times New Roman" w:eastAsia="Calibri" w:hAnsi="Times New Roman" w:cs="Times New Roman"/>
                <w:sz w:val="26"/>
                <w:szCs w:val="26"/>
              </w:rPr>
            </w:pPr>
            <w:r w:rsidRPr="006E1DC6">
              <w:rPr>
                <w:rFonts w:ascii="Times New Roman" w:eastAsia="Calibri" w:hAnsi="Times New Roman" w:cs="Times New Roman"/>
                <w:sz w:val="26"/>
                <w:szCs w:val="26"/>
              </w:rPr>
              <w:t>Reliability Standard or Process</w:t>
            </w:r>
          </w:p>
        </w:tc>
        <w:tc>
          <w:tcPr>
            <w:tcW w:w="722" w:type="pct"/>
            <w:shd w:val="clear" w:color="auto" w:fill="D9D9D9"/>
          </w:tcPr>
          <w:p w:rsidR="006E1DC6" w:rsidRPr="006E1DC6" w:rsidP="006E1DC6" w14:paraId="39359AB8" w14:textId="77777777">
            <w:pPr>
              <w:spacing w:after="0" w:line="240" w:lineRule="auto"/>
              <w:jc w:val="center"/>
              <w:rPr>
                <w:rFonts w:ascii="Times New Roman" w:eastAsia="Calibri" w:hAnsi="Times New Roman" w:cs="Times New Roman"/>
                <w:b/>
                <w:sz w:val="26"/>
                <w:szCs w:val="26"/>
              </w:rPr>
            </w:pPr>
            <w:r w:rsidRPr="006E1DC6">
              <w:rPr>
                <w:rFonts w:ascii="Times New Roman" w:eastAsia="Calibri" w:hAnsi="Times New Roman" w:cs="Times New Roman"/>
                <w:b/>
                <w:sz w:val="26"/>
                <w:szCs w:val="26"/>
              </w:rPr>
              <w:t>Type and Number of Entities</w:t>
            </w:r>
            <w:r>
              <w:rPr>
                <w:rFonts w:ascii="Times New Roman" w:eastAsia="Calibri" w:hAnsi="Times New Roman" w:cs="Times New Roman"/>
                <w:sz w:val="26"/>
                <w:szCs w:val="26"/>
                <w:vertAlign w:val="superscript"/>
              </w:rPr>
              <w:footnoteReference w:id="14"/>
            </w:r>
            <w:r w:rsidRPr="006E1DC6">
              <w:rPr>
                <w:rFonts w:ascii="Times New Roman" w:eastAsia="Calibri" w:hAnsi="Times New Roman" w:cs="Times New Roman"/>
                <w:b/>
                <w:sz w:val="26"/>
                <w:szCs w:val="26"/>
              </w:rPr>
              <w:br/>
              <w:t>(1)</w:t>
            </w:r>
          </w:p>
        </w:tc>
        <w:tc>
          <w:tcPr>
            <w:tcW w:w="850" w:type="pct"/>
            <w:shd w:val="clear" w:color="auto" w:fill="D9D9D9"/>
          </w:tcPr>
          <w:p w:rsidR="006E1DC6" w:rsidRPr="006E1DC6" w:rsidP="006E1DC6" w14:paraId="587D485A" w14:textId="77777777">
            <w:pPr>
              <w:spacing w:after="0" w:line="240" w:lineRule="auto"/>
              <w:jc w:val="center"/>
              <w:rPr>
                <w:rFonts w:ascii="Times New Roman" w:eastAsia="Calibri" w:hAnsi="Times New Roman" w:cs="Times New Roman"/>
                <w:b/>
                <w:sz w:val="26"/>
                <w:szCs w:val="26"/>
              </w:rPr>
            </w:pPr>
            <w:r w:rsidRPr="006E1DC6">
              <w:rPr>
                <w:rFonts w:ascii="Times New Roman" w:eastAsia="Calibri" w:hAnsi="Times New Roman" w:cs="Times New Roman"/>
                <w:b/>
                <w:sz w:val="26"/>
                <w:szCs w:val="26"/>
              </w:rPr>
              <w:t>Annual Number of Responses per Entity</w:t>
            </w:r>
          </w:p>
          <w:p w:rsidR="006E1DC6" w:rsidRPr="006E1DC6" w:rsidP="006E1DC6" w14:paraId="594D97C9" w14:textId="77777777">
            <w:pPr>
              <w:spacing w:after="0" w:line="240" w:lineRule="auto"/>
              <w:jc w:val="center"/>
              <w:rPr>
                <w:rFonts w:ascii="Times New Roman" w:eastAsia="Calibri" w:hAnsi="Times New Roman" w:cs="Times New Roman"/>
                <w:b/>
                <w:sz w:val="26"/>
                <w:szCs w:val="26"/>
              </w:rPr>
            </w:pPr>
            <w:r w:rsidRPr="006E1DC6">
              <w:rPr>
                <w:rFonts w:ascii="Times New Roman" w:eastAsia="Calibri" w:hAnsi="Times New Roman" w:cs="Times New Roman"/>
                <w:b/>
                <w:sz w:val="26"/>
                <w:szCs w:val="26"/>
              </w:rPr>
              <w:t>(2)</w:t>
            </w:r>
          </w:p>
        </w:tc>
        <w:tc>
          <w:tcPr>
            <w:tcW w:w="835" w:type="pct"/>
            <w:shd w:val="clear" w:color="auto" w:fill="D9D9D9"/>
          </w:tcPr>
          <w:p w:rsidR="006E1DC6" w:rsidRPr="006E1DC6" w:rsidP="006E1DC6" w14:paraId="10C4D3DD" w14:textId="77777777">
            <w:pPr>
              <w:spacing w:after="0" w:line="240" w:lineRule="auto"/>
              <w:jc w:val="center"/>
              <w:rPr>
                <w:rFonts w:ascii="Times New Roman" w:eastAsia="Calibri" w:hAnsi="Times New Roman" w:cs="Times New Roman"/>
                <w:b/>
                <w:sz w:val="26"/>
                <w:szCs w:val="26"/>
              </w:rPr>
            </w:pPr>
            <w:r w:rsidRPr="006E1DC6">
              <w:rPr>
                <w:rFonts w:ascii="Times New Roman" w:eastAsia="Calibri" w:hAnsi="Times New Roman" w:cs="Times New Roman"/>
                <w:b/>
                <w:sz w:val="26"/>
                <w:szCs w:val="26"/>
              </w:rPr>
              <w:t>Total Number of Responses (1)*(2)=(3)</w:t>
            </w:r>
          </w:p>
        </w:tc>
        <w:tc>
          <w:tcPr>
            <w:tcW w:w="771" w:type="pct"/>
            <w:shd w:val="clear" w:color="auto" w:fill="D9D9D9"/>
          </w:tcPr>
          <w:p w:rsidR="006E1DC6" w:rsidRPr="006E1DC6" w:rsidP="006E1DC6" w14:paraId="6A007097" w14:textId="77777777">
            <w:pPr>
              <w:spacing w:after="0" w:line="240" w:lineRule="auto"/>
              <w:jc w:val="center"/>
              <w:rPr>
                <w:rFonts w:ascii="Times New Roman" w:eastAsia="Calibri" w:hAnsi="Times New Roman" w:cs="Times New Roman"/>
                <w:b/>
                <w:sz w:val="26"/>
                <w:szCs w:val="26"/>
              </w:rPr>
            </w:pPr>
            <w:r w:rsidRPr="006E1DC6">
              <w:rPr>
                <w:rFonts w:ascii="Times New Roman" w:eastAsia="Calibri" w:hAnsi="Times New Roman" w:cs="Times New Roman"/>
                <w:b/>
                <w:sz w:val="26"/>
                <w:szCs w:val="26"/>
              </w:rPr>
              <w:t>Average Burden Hrs. &amp; Cost</w:t>
            </w:r>
            <w:r w:rsidRPr="006E1DC6">
              <w:rPr>
                <w:rFonts w:ascii="Times New Roman" w:eastAsia="Times New Roman" w:hAnsi="Times New Roman" w:cs="Times New Roman"/>
                <w:b/>
                <w:sz w:val="26"/>
                <w:szCs w:val="26"/>
              </w:rPr>
              <w:t>)</w:t>
            </w:r>
            <w:r w:rsidRPr="006E1DC6">
              <w:rPr>
                <w:rFonts w:ascii="Times New Roman" w:eastAsia="Calibri" w:hAnsi="Times New Roman" w:cs="Times New Roman"/>
                <w:b/>
                <w:sz w:val="26"/>
                <w:szCs w:val="26"/>
              </w:rPr>
              <w:t xml:space="preserve"> ($) Per Response</w:t>
            </w:r>
          </w:p>
          <w:p w:rsidR="006E1DC6" w:rsidRPr="006E1DC6" w:rsidP="006E1DC6" w14:paraId="2DEC509C" w14:textId="77777777">
            <w:pPr>
              <w:spacing w:after="0" w:line="240" w:lineRule="auto"/>
              <w:jc w:val="center"/>
              <w:rPr>
                <w:rFonts w:ascii="Times New Roman" w:eastAsia="Calibri" w:hAnsi="Times New Roman" w:cs="Times New Roman"/>
                <w:b/>
                <w:sz w:val="26"/>
                <w:szCs w:val="26"/>
              </w:rPr>
            </w:pPr>
            <w:r w:rsidRPr="006E1DC6">
              <w:rPr>
                <w:rFonts w:ascii="Times New Roman" w:eastAsia="Calibri" w:hAnsi="Times New Roman" w:cs="Times New Roman"/>
                <w:b/>
                <w:sz w:val="26"/>
                <w:szCs w:val="26"/>
              </w:rPr>
              <w:t>(4)</w:t>
            </w:r>
          </w:p>
        </w:tc>
        <w:tc>
          <w:tcPr>
            <w:tcW w:w="968" w:type="pct"/>
            <w:shd w:val="clear" w:color="auto" w:fill="D9D9D9"/>
          </w:tcPr>
          <w:p w:rsidR="006E1DC6" w:rsidRPr="006E1DC6" w:rsidP="006E1DC6" w14:paraId="5DDD3EE5" w14:textId="77777777">
            <w:pPr>
              <w:spacing w:after="0" w:line="240" w:lineRule="auto"/>
              <w:jc w:val="center"/>
              <w:rPr>
                <w:rFonts w:ascii="Times New Roman" w:eastAsia="Calibri" w:hAnsi="Times New Roman" w:cs="Times New Roman"/>
                <w:b/>
                <w:sz w:val="26"/>
                <w:szCs w:val="26"/>
              </w:rPr>
            </w:pPr>
            <w:r w:rsidRPr="006E1DC6">
              <w:rPr>
                <w:rFonts w:ascii="Times New Roman" w:eastAsia="Calibri" w:hAnsi="Times New Roman" w:cs="Times New Roman"/>
                <w:b/>
                <w:sz w:val="26"/>
                <w:szCs w:val="26"/>
              </w:rPr>
              <w:t>Total Annual Burden Hours &amp; Cost ($) (rounded)</w:t>
            </w:r>
          </w:p>
          <w:p w:rsidR="006E1DC6" w:rsidRPr="006E1DC6" w:rsidP="006E1DC6" w14:paraId="0BC2C950" w14:textId="77777777">
            <w:pPr>
              <w:spacing w:after="0" w:line="240" w:lineRule="auto"/>
              <w:jc w:val="center"/>
              <w:rPr>
                <w:rFonts w:ascii="Times New Roman" w:eastAsia="Calibri" w:hAnsi="Times New Roman" w:cs="Times New Roman"/>
                <w:b/>
                <w:sz w:val="26"/>
                <w:szCs w:val="26"/>
              </w:rPr>
            </w:pPr>
            <w:r w:rsidRPr="006E1DC6">
              <w:rPr>
                <w:rFonts w:ascii="Times New Roman" w:eastAsia="Calibri" w:hAnsi="Times New Roman" w:cs="Times New Roman"/>
                <w:b/>
                <w:sz w:val="26"/>
                <w:szCs w:val="26"/>
              </w:rPr>
              <w:t>(3)*(4)=(5)</w:t>
            </w:r>
          </w:p>
        </w:tc>
      </w:tr>
      <w:tr w14:paraId="4AB32C0B" w14:textId="77777777" w:rsidTr="00045BE2">
        <w:tblPrEx>
          <w:tblW w:w="5222" w:type="pct"/>
          <w:tblInd w:w="-72" w:type="dxa"/>
          <w:tblLayout w:type="fixed"/>
          <w:tblLook w:val="01E0"/>
        </w:tblPrEx>
        <w:trPr>
          <w:cantSplit/>
          <w:trHeight w:val="824"/>
        </w:trPr>
        <w:tc>
          <w:tcPr>
            <w:tcW w:w="854" w:type="pct"/>
            <w:vMerge w:val="restart"/>
            <w:vAlign w:val="center"/>
          </w:tcPr>
          <w:p w:rsidR="006E1DC6" w:rsidRPr="006E1DC6" w:rsidP="006E1DC6" w14:paraId="1C7A78BC" w14:textId="77777777">
            <w:pPr>
              <w:autoSpaceDE w:val="0"/>
              <w:autoSpaceDN w:val="0"/>
              <w:adjustRightInd w:val="0"/>
              <w:spacing w:after="0" w:line="240" w:lineRule="auto"/>
              <w:rPr>
                <w:rFonts w:ascii="Helvetica" w:eastAsia="Calibri" w:hAnsi="Helvetica" w:cs="Helvetica"/>
                <w:sz w:val="26"/>
                <w:szCs w:val="26"/>
              </w:rPr>
            </w:pPr>
            <w:r w:rsidRPr="006E1DC6">
              <w:rPr>
                <w:rFonts w:ascii="Times New Roman" w:eastAsia="Times New Roman" w:hAnsi="Times New Roman" w:cs="Times New Roman"/>
                <w:b/>
                <w:bCs/>
                <w:sz w:val="26"/>
                <w:szCs w:val="26"/>
              </w:rPr>
              <w:t>Annual review and record retention</w:t>
            </w:r>
          </w:p>
        </w:tc>
        <w:tc>
          <w:tcPr>
            <w:tcW w:w="722" w:type="pct"/>
            <w:vAlign w:val="center"/>
          </w:tcPr>
          <w:p w:rsidR="006E1DC6" w:rsidRPr="006E1DC6" w:rsidP="006E1DC6" w14:paraId="21767274" w14:textId="77777777">
            <w:pPr>
              <w:spacing w:after="0" w:line="240" w:lineRule="auto"/>
              <w:jc w:val="right"/>
              <w:rPr>
                <w:rFonts w:ascii="Times New Roman" w:eastAsia="Calibri" w:hAnsi="Times New Roman" w:cs="Times New Roman"/>
                <w:sz w:val="26"/>
                <w:szCs w:val="26"/>
              </w:rPr>
            </w:pPr>
            <w:r w:rsidRPr="006E1DC6">
              <w:rPr>
                <w:rFonts w:ascii="Times New Roman" w:eastAsia="Calibri" w:hAnsi="Times New Roman" w:cs="Times New Roman"/>
                <w:sz w:val="26"/>
                <w:szCs w:val="26"/>
              </w:rPr>
              <w:t>34</w:t>
            </w:r>
          </w:p>
          <w:p w:rsidR="006E1DC6" w:rsidRPr="006E1DC6" w:rsidP="006E1DC6" w14:paraId="5811A1C8" w14:textId="77777777">
            <w:pPr>
              <w:spacing w:after="0" w:line="240" w:lineRule="auto"/>
              <w:jc w:val="right"/>
              <w:rPr>
                <w:rFonts w:ascii="Times New Roman" w:eastAsia="Calibri" w:hAnsi="Times New Roman" w:cs="Times New Roman"/>
                <w:sz w:val="26"/>
                <w:szCs w:val="26"/>
              </w:rPr>
            </w:pPr>
            <w:r w:rsidRPr="006E1DC6">
              <w:rPr>
                <w:rFonts w:ascii="Times New Roman" w:eastAsia="Calibri" w:hAnsi="Times New Roman" w:cs="Times New Roman"/>
                <w:sz w:val="26"/>
                <w:szCs w:val="26"/>
              </w:rPr>
              <w:t>(BA)</w:t>
            </w:r>
          </w:p>
        </w:tc>
        <w:tc>
          <w:tcPr>
            <w:tcW w:w="850" w:type="pct"/>
            <w:vAlign w:val="center"/>
          </w:tcPr>
          <w:p w:rsidR="006E1DC6" w:rsidRPr="006E1DC6" w:rsidP="006E1DC6" w14:paraId="37786719" w14:textId="77777777">
            <w:pPr>
              <w:spacing w:after="0" w:line="240" w:lineRule="auto"/>
              <w:jc w:val="center"/>
              <w:rPr>
                <w:rFonts w:ascii="Times New Roman" w:eastAsia="Calibri" w:hAnsi="Times New Roman" w:cs="Times New Roman"/>
                <w:sz w:val="26"/>
                <w:szCs w:val="26"/>
              </w:rPr>
            </w:pPr>
            <w:r w:rsidRPr="006E1DC6">
              <w:rPr>
                <w:rFonts w:ascii="Times New Roman" w:eastAsia="Calibri" w:hAnsi="Times New Roman" w:cs="Times New Roman"/>
                <w:sz w:val="26"/>
                <w:szCs w:val="26"/>
              </w:rPr>
              <w:t>1</w:t>
            </w:r>
          </w:p>
        </w:tc>
        <w:tc>
          <w:tcPr>
            <w:tcW w:w="835" w:type="pct"/>
            <w:vAlign w:val="center"/>
          </w:tcPr>
          <w:p w:rsidR="006E1DC6" w:rsidRPr="006E1DC6" w:rsidP="006E1DC6" w14:paraId="21180413" w14:textId="77777777">
            <w:pPr>
              <w:spacing w:after="0" w:line="240" w:lineRule="auto"/>
              <w:jc w:val="center"/>
              <w:rPr>
                <w:rFonts w:ascii="Times New Roman" w:eastAsia="Calibri" w:hAnsi="Times New Roman" w:cs="Times New Roman"/>
                <w:sz w:val="26"/>
                <w:szCs w:val="26"/>
              </w:rPr>
            </w:pPr>
            <w:r w:rsidRPr="006E1DC6">
              <w:rPr>
                <w:rFonts w:ascii="Times New Roman" w:eastAsia="Calibri" w:hAnsi="Times New Roman" w:cs="Times New Roman"/>
                <w:sz w:val="26"/>
                <w:szCs w:val="26"/>
              </w:rPr>
              <w:t>34</w:t>
            </w:r>
          </w:p>
        </w:tc>
        <w:tc>
          <w:tcPr>
            <w:tcW w:w="771" w:type="pct"/>
            <w:vAlign w:val="center"/>
          </w:tcPr>
          <w:p w:rsidR="006E1DC6" w:rsidRPr="006E1DC6" w:rsidP="006E1DC6" w14:paraId="31610626" w14:textId="77777777">
            <w:pPr>
              <w:spacing w:after="0" w:line="240" w:lineRule="auto"/>
              <w:jc w:val="right"/>
              <w:rPr>
                <w:rFonts w:ascii="Times New Roman" w:eastAsia="Calibri" w:hAnsi="Times New Roman" w:cs="Times New Roman"/>
                <w:sz w:val="26"/>
                <w:szCs w:val="26"/>
              </w:rPr>
            </w:pPr>
            <w:r w:rsidRPr="006E1DC6">
              <w:rPr>
                <w:rFonts w:ascii="Times New Roman" w:eastAsia="Calibri" w:hAnsi="Times New Roman" w:cs="Times New Roman"/>
                <w:sz w:val="26"/>
                <w:szCs w:val="26"/>
              </w:rPr>
              <w:t xml:space="preserve">12 hrs.; </w:t>
            </w:r>
          </w:p>
          <w:p w:rsidR="006E1DC6" w:rsidRPr="006E1DC6" w:rsidP="006E1DC6" w14:paraId="7235B0F3" w14:textId="77777777">
            <w:pPr>
              <w:spacing w:after="0" w:line="240" w:lineRule="auto"/>
              <w:jc w:val="right"/>
              <w:rPr>
                <w:rFonts w:ascii="Times New Roman" w:eastAsia="Calibri" w:hAnsi="Times New Roman" w:cs="Times New Roman"/>
                <w:sz w:val="26"/>
                <w:szCs w:val="26"/>
              </w:rPr>
            </w:pPr>
            <w:r w:rsidRPr="006E1DC6">
              <w:rPr>
                <w:rFonts w:ascii="Times New Roman" w:eastAsia="Calibri" w:hAnsi="Times New Roman" w:cs="Times New Roman"/>
                <w:sz w:val="26"/>
                <w:szCs w:val="26"/>
              </w:rPr>
              <w:t>$762.24</w:t>
            </w:r>
          </w:p>
        </w:tc>
        <w:tc>
          <w:tcPr>
            <w:tcW w:w="968" w:type="pct"/>
            <w:vAlign w:val="center"/>
          </w:tcPr>
          <w:p w:rsidR="006E1DC6" w:rsidRPr="006E1DC6" w:rsidP="006E1DC6" w14:paraId="10D24F9E" w14:textId="77777777">
            <w:pPr>
              <w:spacing w:after="0" w:line="240" w:lineRule="auto"/>
              <w:ind w:left="-108" w:right="-108"/>
              <w:jc w:val="center"/>
              <w:rPr>
                <w:rFonts w:ascii="Times New Roman" w:eastAsia="Calibri" w:hAnsi="Times New Roman" w:cs="Times New Roman"/>
                <w:sz w:val="26"/>
                <w:szCs w:val="26"/>
              </w:rPr>
            </w:pPr>
            <w:r w:rsidRPr="006E1DC6">
              <w:rPr>
                <w:rFonts w:ascii="Times New Roman" w:eastAsia="Calibri" w:hAnsi="Times New Roman" w:cs="Times New Roman"/>
                <w:sz w:val="26"/>
                <w:szCs w:val="26"/>
              </w:rPr>
              <w:t xml:space="preserve">            408 hrs.;</w:t>
            </w:r>
          </w:p>
          <w:p w:rsidR="006E1DC6" w:rsidRPr="006E1DC6" w:rsidP="006E1DC6" w14:paraId="6F452541" w14:textId="34226D3C">
            <w:pPr>
              <w:spacing w:after="0" w:line="240" w:lineRule="auto"/>
              <w:ind w:left="-108" w:right="-108"/>
              <w:jc w:val="center"/>
              <w:rPr>
                <w:rFonts w:ascii="Times New Roman" w:eastAsia="Calibri" w:hAnsi="Times New Roman" w:cs="Times New Roman"/>
                <w:sz w:val="26"/>
                <w:szCs w:val="26"/>
              </w:rPr>
            </w:pPr>
            <w:r w:rsidRPr="006E1DC6">
              <w:rPr>
                <w:rFonts w:ascii="Times New Roman" w:eastAsia="Calibri" w:hAnsi="Times New Roman" w:cs="Times New Roman"/>
                <w:sz w:val="26"/>
                <w:szCs w:val="26"/>
              </w:rPr>
              <w:t xml:space="preserve">        $25,916 </w:t>
            </w:r>
          </w:p>
        </w:tc>
      </w:tr>
      <w:tr w14:paraId="65F59D48" w14:textId="77777777" w:rsidTr="00045BE2">
        <w:tblPrEx>
          <w:tblW w:w="5222" w:type="pct"/>
          <w:tblInd w:w="-72" w:type="dxa"/>
          <w:tblLayout w:type="fixed"/>
          <w:tblLook w:val="01E0"/>
        </w:tblPrEx>
        <w:trPr>
          <w:cantSplit/>
          <w:trHeight w:val="741"/>
        </w:trPr>
        <w:tc>
          <w:tcPr>
            <w:tcW w:w="854" w:type="pct"/>
            <w:vMerge/>
            <w:vAlign w:val="center"/>
          </w:tcPr>
          <w:p w:rsidR="006E1DC6" w:rsidRPr="006E1DC6" w:rsidP="006E1DC6" w14:paraId="56AD7E88" w14:textId="77777777">
            <w:pPr>
              <w:autoSpaceDE w:val="0"/>
              <w:autoSpaceDN w:val="0"/>
              <w:adjustRightInd w:val="0"/>
              <w:spacing w:after="0" w:line="240" w:lineRule="auto"/>
              <w:rPr>
                <w:rFonts w:ascii="Helvetica" w:eastAsia="Calibri" w:hAnsi="Helvetica" w:cs="Helvetica"/>
                <w:sz w:val="26"/>
                <w:szCs w:val="26"/>
              </w:rPr>
            </w:pPr>
          </w:p>
        </w:tc>
        <w:tc>
          <w:tcPr>
            <w:tcW w:w="722" w:type="pct"/>
            <w:vAlign w:val="center"/>
          </w:tcPr>
          <w:p w:rsidR="006E1DC6" w:rsidRPr="006E1DC6" w:rsidP="006E1DC6" w14:paraId="58DC0DC2" w14:textId="77777777">
            <w:pPr>
              <w:spacing w:after="0" w:line="240" w:lineRule="auto"/>
              <w:jc w:val="right"/>
              <w:rPr>
                <w:rFonts w:ascii="Times New Roman" w:eastAsia="Calibri" w:hAnsi="Times New Roman" w:cs="Times New Roman"/>
                <w:sz w:val="26"/>
                <w:szCs w:val="26"/>
              </w:rPr>
            </w:pPr>
            <w:r w:rsidRPr="006E1DC6">
              <w:rPr>
                <w:rFonts w:ascii="Times New Roman" w:eastAsia="Calibri" w:hAnsi="Times New Roman" w:cs="Times New Roman"/>
                <w:sz w:val="26"/>
                <w:szCs w:val="26"/>
              </w:rPr>
              <w:t xml:space="preserve">1 </w:t>
            </w:r>
          </w:p>
          <w:p w:rsidR="006E1DC6" w:rsidRPr="006E1DC6" w:rsidP="006E1DC6" w14:paraId="0D08A9F7" w14:textId="77777777">
            <w:pPr>
              <w:spacing w:after="0" w:line="240" w:lineRule="auto"/>
              <w:jc w:val="right"/>
              <w:rPr>
                <w:rFonts w:ascii="Times New Roman" w:eastAsia="Calibri" w:hAnsi="Times New Roman" w:cs="Times New Roman"/>
                <w:sz w:val="26"/>
                <w:szCs w:val="26"/>
              </w:rPr>
            </w:pPr>
            <w:r w:rsidRPr="006E1DC6">
              <w:rPr>
                <w:rFonts w:ascii="Times New Roman" w:eastAsia="Calibri" w:hAnsi="Times New Roman" w:cs="Times New Roman"/>
                <w:sz w:val="26"/>
                <w:szCs w:val="26"/>
              </w:rPr>
              <w:t>(RSG)</w:t>
            </w:r>
          </w:p>
        </w:tc>
        <w:tc>
          <w:tcPr>
            <w:tcW w:w="850" w:type="pct"/>
            <w:vAlign w:val="center"/>
          </w:tcPr>
          <w:p w:rsidR="006E1DC6" w:rsidRPr="006E1DC6" w:rsidP="006E1DC6" w14:paraId="206D1E15" w14:textId="77777777">
            <w:pPr>
              <w:spacing w:after="0" w:line="240" w:lineRule="auto"/>
              <w:jc w:val="center"/>
              <w:rPr>
                <w:rFonts w:ascii="Times New Roman" w:eastAsia="Calibri" w:hAnsi="Times New Roman" w:cs="Times New Roman"/>
                <w:sz w:val="26"/>
                <w:szCs w:val="26"/>
              </w:rPr>
            </w:pPr>
            <w:r w:rsidRPr="006E1DC6">
              <w:rPr>
                <w:rFonts w:ascii="Times New Roman" w:eastAsia="Calibri" w:hAnsi="Times New Roman" w:cs="Times New Roman"/>
                <w:sz w:val="26"/>
                <w:szCs w:val="26"/>
              </w:rPr>
              <w:t>1</w:t>
            </w:r>
          </w:p>
        </w:tc>
        <w:tc>
          <w:tcPr>
            <w:tcW w:w="835" w:type="pct"/>
            <w:vAlign w:val="center"/>
          </w:tcPr>
          <w:p w:rsidR="006E1DC6" w:rsidRPr="006E1DC6" w:rsidP="006E1DC6" w14:paraId="1527CBB2" w14:textId="77777777">
            <w:pPr>
              <w:spacing w:after="0" w:line="240" w:lineRule="auto"/>
              <w:jc w:val="center"/>
              <w:rPr>
                <w:rFonts w:ascii="Times New Roman" w:eastAsia="Calibri" w:hAnsi="Times New Roman" w:cs="Times New Roman"/>
                <w:sz w:val="26"/>
                <w:szCs w:val="26"/>
              </w:rPr>
            </w:pPr>
            <w:r w:rsidRPr="006E1DC6">
              <w:rPr>
                <w:rFonts w:ascii="Times New Roman" w:eastAsia="Calibri" w:hAnsi="Times New Roman" w:cs="Times New Roman"/>
                <w:sz w:val="26"/>
                <w:szCs w:val="26"/>
              </w:rPr>
              <w:t>1</w:t>
            </w:r>
          </w:p>
        </w:tc>
        <w:tc>
          <w:tcPr>
            <w:tcW w:w="771" w:type="pct"/>
            <w:vAlign w:val="center"/>
          </w:tcPr>
          <w:p w:rsidR="006E1DC6" w:rsidRPr="006E1DC6" w:rsidP="006E1DC6" w14:paraId="32BE2AC1" w14:textId="77777777">
            <w:pPr>
              <w:spacing w:after="0" w:line="240" w:lineRule="auto"/>
              <w:jc w:val="right"/>
              <w:rPr>
                <w:rFonts w:ascii="Times New Roman" w:eastAsia="Calibri" w:hAnsi="Times New Roman" w:cs="Times New Roman"/>
                <w:sz w:val="26"/>
                <w:szCs w:val="26"/>
              </w:rPr>
            </w:pPr>
            <w:r w:rsidRPr="006E1DC6">
              <w:rPr>
                <w:rFonts w:ascii="Times New Roman" w:eastAsia="Calibri" w:hAnsi="Times New Roman" w:cs="Times New Roman"/>
                <w:sz w:val="26"/>
                <w:szCs w:val="26"/>
              </w:rPr>
              <w:t xml:space="preserve">1 hrs.; </w:t>
            </w:r>
          </w:p>
          <w:p w:rsidR="006E1DC6" w:rsidRPr="006E1DC6" w:rsidP="006E1DC6" w14:paraId="447B05B4" w14:textId="77777777">
            <w:pPr>
              <w:spacing w:after="0" w:line="240" w:lineRule="auto"/>
              <w:jc w:val="right"/>
              <w:rPr>
                <w:rFonts w:ascii="Times New Roman" w:eastAsia="Calibri" w:hAnsi="Times New Roman" w:cs="Times New Roman"/>
                <w:sz w:val="26"/>
                <w:szCs w:val="26"/>
              </w:rPr>
            </w:pPr>
            <w:r w:rsidRPr="006E1DC6">
              <w:rPr>
                <w:rFonts w:ascii="Times New Roman" w:eastAsia="Calibri" w:hAnsi="Times New Roman" w:cs="Times New Roman"/>
                <w:sz w:val="26"/>
                <w:szCs w:val="26"/>
              </w:rPr>
              <w:t>$63.52</w:t>
            </w:r>
          </w:p>
        </w:tc>
        <w:tc>
          <w:tcPr>
            <w:tcW w:w="968" w:type="pct"/>
            <w:vAlign w:val="center"/>
          </w:tcPr>
          <w:p w:rsidR="006E1DC6" w:rsidRPr="006E1DC6" w:rsidP="006E1DC6" w14:paraId="3E96B131" w14:textId="77777777">
            <w:pPr>
              <w:spacing w:after="0" w:line="240" w:lineRule="auto"/>
              <w:ind w:left="-108"/>
              <w:jc w:val="right"/>
              <w:rPr>
                <w:rFonts w:ascii="Times New Roman" w:eastAsia="Calibri" w:hAnsi="Times New Roman" w:cs="Times New Roman"/>
                <w:sz w:val="26"/>
                <w:szCs w:val="26"/>
              </w:rPr>
            </w:pPr>
            <w:r w:rsidRPr="006E1DC6">
              <w:rPr>
                <w:rFonts w:ascii="Times New Roman" w:eastAsia="Calibri" w:hAnsi="Times New Roman" w:cs="Times New Roman"/>
                <w:sz w:val="26"/>
                <w:szCs w:val="26"/>
              </w:rPr>
              <w:t>1 hrs.;</w:t>
            </w:r>
          </w:p>
          <w:p w:rsidR="006E1DC6" w:rsidRPr="006E1DC6" w:rsidP="006E1DC6" w14:paraId="361886BC" w14:textId="3BB8778E">
            <w:pPr>
              <w:spacing w:after="0" w:line="240" w:lineRule="auto"/>
              <w:ind w:left="-108"/>
              <w:jc w:val="right"/>
              <w:rPr>
                <w:rFonts w:ascii="Times New Roman" w:eastAsia="Calibri" w:hAnsi="Times New Roman" w:cs="Times New Roman"/>
                <w:sz w:val="26"/>
                <w:szCs w:val="26"/>
              </w:rPr>
            </w:pPr>
            <w:r w:rsidRPr="006E1DC6">
              <w:rPr>
                <w:rFonts w:ascii="Times New Roman" w:eastAsia="Calibri" w:hAnsi="Times New Roman" w:cs="Times New Roman"/>
                <w:sz w:val="26"/>
                <w:szCs w:val="26"/>
              </w:rPr>
              <w:t xml:space="preserve">$64 </w:t>
            </w:r>
          </w:p>
        </w:tc>
      </w:tr>
      <w:tr w14:paraId="3A1475D3" w14:textId="77777777" w:rsidTr="00045BE2">
        <w:tblPrEx>
          <w:tblW w:w="5222" w:type="pct"/>
          <w:tblInd w:w="-72" w:type="dxa"/>
          <w:tblLayout w:type="fixed"/>
          <w:tblLook w:val="01E0"/>
        </w:tblPrEx>
        <w:trPr>
          <w:cantSplit/>
          <w:trHeight w:val="824"/>
        </w:trPr>
        <w:tc>
          <w:tcPr>
            <w:tcW w:w="854" w:type="pct"/>
            <w:tcBorders>
              <w:bottom w:val="single" w:sz="4" w:space="0" w:color="auto"/>
            </w:tcBorders>
          </w:tcPr>
          <w:p w:rsidR="006E1DC6" w:rsidRPr="006E1DC6" w:rsidP="006E1DC6" w14:paraId="1A9FBBD5" w14:textId="77777777">
            <w:pPr>
              <w:spacing w:after="0" w:line="240" w:lineRule="auto"/>
              <w:rPr>
                <w:rFonts w:ascii="Times New Roman" w:eastAsia="Calibri" w:hAnsi="Times New Roman" w:cs="Times New Roman"/>
                <w:b/>
                <w:sz w:val="26"/>
                <w:szCs w:val="26"/>
              </w:rPr>
            </w:pPr>
            <w:r w:rsidRPr="006E1DC6">
              <w:rPr>
                <w:rFonts w:ascii="Times New Roman" w:eastAsia="Calibri" w:hAnsi="Times New Roman" w:cs="Times New Roman"/>
                <w:b/>
                <w:sz w:val="26"/>
                <w:szCs w:val="26"/>
              </w:rPr>
              <w:t>TOTAL for retirement BAL-002-WECC-3</w:t>
            </w:r>
          </w:p>
        </w:tc>
        <w:tc>
          <w:tcPr>
            <w:tcW w:w="1572" w:type="pct"/>
            <w:gridSpan w:val="2"/>
            <w:tcBorders>
              <w:bottom w:val="single" w:sz="4" w:space="0" w:color="auto"/>
            </w:tcBorders>
            <w:shd w:val="clear" w:color="auto" w:fill="D9D9D9"/>
          </w:tcPr>
          <w:p w:rsidR="006E1DC6" w:rsidRPr="006E1DC6" w:rsidP="006E1DC6" w14:paraId="7CF5AAB3" w14:textId="77777777">
            <w:pPr>
              <w:spacing w:after="0" w:line="240" w:lineRule="auto"/>
              <w:jc w:val="right"/>
              <w:rPr>
                <w:rFonts w:ascii="Times New Roman" w:eastAsia="Calibri" w:hAnsi="Times New Roman" w:cs="Times New Roman"/>
                <w:sz w:val="20"/>
                <w:szCs w:val="20"/>
              </w:rPr>
            </w:pPr>
          </w:p>
        </w:tc>
        <w:tc>
          <w:tcPr>
            <w:tcW w:w="835" w:type="pct"/>
            <w:tcBorders>
              <w:bottom w:val="single" w:sz="4" w:space="0" w:color="auto"/>
            </w:tcBorders>
          </w:tcPr>
          <w:p w:rsidR="006E1DC6" w:rsidRPr="006E1DC6" w:rsidP="006E1DC6" w14:paraId="77A28A70" w14:textId="77777777">
            <w:pPr>
              <w:spacing w:after="0" w:line="240" w:lineRule="auto"/>
              <w:jc w:val="center"/>
              <w:rPr>
                <w:rFonts w:ascii="Times New Roman" w:eastAsia="Calibri" w:hAnsi="Times New Roman" w:cs="Times New Roman"/>
                <w:b/>
                <w:sz w:val="26"/>
                <w:szCs w:val="26"/>
              </w:rPr>
            </w:pPr>
            <w:r w:rsidRPr="006E1DC6">
              <w:rPr>
                <w:rFonts w:ascii="Times New Roman" w:eastAsia="Calibri" w:hAnsi="Times New Roman" w:cs="Times New Roman"/>
                <w:b/>
                <w:sz w:val="26"/>
                <w:szCs w:val="26"/>
              </w:rPr>
              <w:t>35</w:t>
            </w:r>
          </w:p>
        </w:tc>
        <w:tc>
          <w:tcPr>
            <w:tcW w:w="771" w:type="pct"/>
            <w:tcBorders>
              <w:bottom w:val="single" w:sz="4" w:space="0" w:color="auto"/>
            </w:tcBorders>
            <w:shd w:val="clear" w:color="auto" w:fill="D9D9D9"/>
          </w:tcPr>
          <w:p w:rsidR="006E1DC6" w:rsidRPr="006E1DC6" w:rsidP="006E1DC6" w14:paraId="31A5DCCE" w14:textId="77777777">
            <w:pPr>
              <w:spacing w:after="0" w:line="240" w:lineRule="auto"/>
              <w:jc w:val="right"/>
              <w:rPr>
                <w:rFonts w:ascii="Times New Roman" w:eastAsia="Calibri" w:hAnsi="Times New Roman" w:cs="Times New Roman"/>
                <w:sz w:val="26"/>
                <w:szCs w:val="26"/>
              </w:rPr>
            </w:pPr>
          </w:p>
        </w:tc>
        <w:tc>
          <w:tcPr>
            <w:tcW w:w="968" w:type="pct"/>
            <w:tcBorders>
              <w:bottom w:val="single" w:sz="4" w:space="0" w:color="auto"/>
            </w:tcBorders>
          </w:tcPr>
          <w:p w:rsidR="006E1DC6" w:rsidRPr="006E1DC6" w:rsidP="006E1DC6" w14:paraId="431496E3" w14:textId="77777777">
            <w:pPr>
              <w:spacing w:after="0" w:line="240" w:lineRule="auto"/>
              <w:ind w:left="-108"/>
              <w:jc w:val="right"/>
              <w:rPr>
                <w:rFonts w:ascii="Times New Roman" w:eastAsia="Calibri" w:hAnsi="Times New Roman" w:cs="Times New Roman"/>
                <w:b/>
                <w:sz w:val="26"/>
                <w:szCs w:val="26"/>
              </w:rPr>
            </w:pPr>
            <w:r w:rsidRPr="006E1DC6">
              <w:rPr>
                <w:rFonts w:ascii="Times New Roman" w:eastAsia="Calibri" w:hAnsi="Times New Roman" w:cs="Times New Roman"/>
                <w:b/>
                <w:sz w:val="26"/>
                <w:szCs w:val="26"/>
              </w:rPr>
              <w:t>409 hrs;</w:t>
            </w:r>
          </w:p>
          <w:p w:rsidR="006E1DC6" w:rsidRPr="006E1DC6" w:rsidP="006E1DC6" w14:paraId="07ED6A52" w14:textId="360FA559">
            <w:pPr>
              <w:spacing w:after="0" w:line="240" w:lineRule="auto"/>
              <w:ind w:left="-108"/>
              <w:jc w:val="right"/>
              <w:rPr>
                <w:rFonts w:ascii="Times New Roman" w:eastAsia="Calibri" w:hAnsi="Times New Roman" w:cs="Times New Roman"/>
                <w:b/>
                <w:sz w:val="26"/>
                <w:szCs w:val="26"/>
              </w:rPr>
            </w:pPr>
            <w:r w:rsidRPr="006E1DC6">
              <w:rPr>
                <w:rFonts w:ascii="Times New Roman" w:eastAsia="Calibri" w:hAnsi="Times New Roman" w:cs="Times New Roman"/>
                <w:b/>
                <w:sz w:val="26"/>
                <w:szCs w:val="26"/>
              </w:rPr>
              <w:t>$25,980</w:t>
            </w:r>
          </w:p>
        </w:tc>
      </w:tr>
      <w:bookmarkEnd w:id="1"/>
    </w:tbl>
    <w:p w:rsidR="005C4035" w:rsidRPr="00E65EF4" w:rsidP="004639D8" w14:paraId="338ECB42" w14:textId="3DF8F5AC">
      <w:pPr>
        <w:pStyle w:val="paragraph"/>
        <w:spacing w:before="0" w:beforeAutospacing="0" w:after="0" w:afterAutospacing="0"/>
        <w:textAlignment w:val="baseline"/>
        <w:rPr>
          <w:sz w:val="26"/>
          <w:szCs w:val="26"/>
        </w:rPr>
      </w:pPr>
    </w:p>
    <w:p w:rsidR="007D069B" w:rsidRPr="002E6A06" w:rsidP="002E6A06" w14:paraId="247F596E" w14:textId="143530DF">
      <w:pPr>
        <w:spacing w:after="120" w:line="240" w:lineRule="auto"/>
        <w:rPr>
          <w:rFonts w:ascii="Times New Roman" w:hAnsi="Times New Roman" w:cs="Times New Roman"/>
          <w:sz w:val="26"/>
          <w:szCs w:val="26"/>
        </w:rPr>
      </w:pPr>
    </w:p>
    <w:p w:rsidR="00D80FBD" w:rsidRPr="00E65EF4" w:rsidP="00007F09" w14:paraId="6E56FBEA"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ESTIMATE OF THE TOTAL ANNUAL COST BURDEN TO RESPONDENTS</w:t>
      </w:r>
    </w:p>
    <w:p w:rsidR="00E636D7" w:rsidRPr="00E65EF4" w:rsidP="00007F09" w14:paraId="1A0B2949" w14:textId="77777777">
      <w:pPr>
        <w:spacing w:after="0" w:line="240" w:lineRule="auto"/>
        <w:rPr>
          <w:rFonts w:ascii="Times New Roman" w:hAnsi="Times New Roman" w:cs="Times New Roman"/>
          <w:sz w:val="26"/>
          <w:szCs w:val="26"/>
        </w:rPr>
      </w:pPr>
    </w:p>
    <w:p w:rsidR="00E636D7" w:rsidRPr="00E65EF4" w:rsidP="00007F09" w14:paraId="14203881" w14:textId="44E014FA">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There are no non-labor costs currently associated with the</w:t>
      </w:r>
      <w:r w:rsidRPr="00E65EF4" w:rsidR="003E65BE">
        <w:rPr>
          <w:rFonts w:ascii="Times New Roman" w:hAnsi="Times New Roman" w:cs="Times New Roman"/>
          <w:sz w:val="26"/>
          <w:szCs w:val="26"/>
        </w:rPr>
        <w:t xml:space="preserve"> FERC-725E</w:t>
      </w:r>
      <w:r w:rsidRPr="00E65EF4" w:rsidR="007D069B">
        <w:rPr>
          <w:rFonts w:ascii="Times New Roman" w:hAnsi="Times New Roman" w:cs="Times New Roman"/>
          <w:sz w:val="26"/>
          <w:szCs w:val="26"/>
        </w:rPr>
        <w:t>.</w:t>
      </w:r>
      <w:r w:rsidRPr="00E65EF4" w:rsidR="00CC52CF">
        <w:rPr>
          <w:rFonts w:ascii="Times New Roman" w:hAnsi="Times New Roman" w:cs="Times New Roman"/>
          <w:sz w:val="26"/>
          <w:szCs w:val="26"/>
        </w:rPr>
        <w:t xml:space="preserve"> </w:t>
      </w:r>
      <w:r w:rsidRPr="00E65EF4">
        <w:rPr>
          <w:rFonts w:ascii="Times New Roman" w:hAnsi="Times New Roman" w:cs="Times New Roman"/>
          <w:sz w:val="26"/>
          <w:szCs w:val="26"/>
        </w:rPr>
        <w:t xml:space="preserve">All costs are associated with </w:t>
      </w:r>
      <w:r w:rsidRPr="00E65EF4" w:rsidR="00DB58D2">
        <w:rPr>
          <w:rFonts w:ascii="Times New Roman" w:hAnsi="Times New Roman" w:cs="Times New Roman"/>
          <w:sz w:val="26"/>
          <w:szCs w:val="26"/>
        </w:rPr>
        <w:t>burden hours (</w:t>
      </w:r>
      <w:r w:rsidRPr="00E65EF4">
        <w:rPr>
          <w:rFonts w:ascii="Times New Roman" w:hAnsi="Times New Roman" w:cs="Times New Roman"/>
          <w:sz w:val="26"/>
          <w:szCs w:val="26"/>
        </w:rPr>
        <w:t>labor</w:t>
      </w:r>
      <w:r w:rsidRPr="00E65EF4" w:rsidR="00DB58D2">
        <w:rPr>
          <w:rFonts w:ascii="Times New Roman" w:hAnsi="Times New Roman" w:cs="Times New Roman"/>
          <w:sz w:val="26"/>
          <w:szCs w:val="26"/>
        </w:rPr>
        <w:t>)</w:t>
      </w:r>
      <w:r w:rsidRPr="00E65EF4">
        <w:rPr>
          <w:rFonts w:ascii="Times New Roman" w:hAnsi="Times New Roman" w:cs="Times New Roman"/>
          <w:sz w:val="26"/>
          <w:szCs w:val="26"/>
        </w:rPr>
        <w:t xml:space="preserve"> and </w:t>
      </w:r>
      <w:r w:rsidR="004A6C2C">
        <w:rPr>
          <w:rFonts w:ascii="Times New Roman" w:hAnsi="Times New Roman" w:cs="Times New Roman"/>
          <w:sz w:val="26"/>
          <w:szCs w:val="26"/>
        </w:rPr>
        <w:t xml:space="preserve">are </w:t>
      </w:r>
      <w:r w:rsidRPr="00E65EF4" w:rsidR="00DB58D2">
        <w:rPr>
          <w:rFonts w:ascii="Times New Roman" w:hAnsi="Times New Roman" w:cs="Times New Roman"/>
          <w:sz w:val="26"/>
          <w:szCs w:val="26"/>
        </w:rPr>
        <w:t xml:space="preserve">described in #12 and </w:t>
      </w:r>
      <w:r w:rsidRPr="00E65EF4" w:rsidR="00854316">
        <w:rPr>
          <w:rFonts w:ascii="Times New Roman" w:hAnsi="Times New Roman" w:cs="Times New Roman"/>
          <w:sz w:val="26"/>
          <w:szCs w:val="26"/>
        </w:rPr>
        <w:t>#</w:t>
      </w:r>
      <w:r w:rsidRPr="00E65EF4" w:rsidR="00DB58D2">
        <w:rPr>
          <w:rFonts w:ascii="Times New Roman" w:hAnsi="Times New Roman" w:cs="Times New Roman"/>
          <w:sz w:val="26"/>
          <w:szCs w:val="26"/>
        </w:rPr>
        <w:t>15</w:t>
      </w:r>
      <w:r w:rsidRPr="00E65EF4" w:rsidR="000221D8">
        <w:rPr>
          <w:rFonts w:ascii="Times New Roman" w:hAnsi="Times New Roman" w:cs="Times New Roman"/>
          <w:sz w:val="26"/>
          <w:szCs w:val="26"/>
        </w:rPr>
        <w:t xml:space="preserve"> of this document</w:t>
      </w:r>
      <w:r w:rsidRPr="00E65EF4" w:rsidR="00DB58D2">
        <w:rPr>
          <w:rFonts w:ascii="Times New Roman" w:hAnsi="Times New Roman" w:cs="Times New Roman"/>
          <w:sz w:val="26"/>
          <w:szCs w:val="26"/>
        </w:rPr>
        <w:t>.</w:t>
      </w:r>
    </w:p>
    <w:p w:rsidR="0074195A" w:rsidRPr="00E65EF4" w:rsidP="00007F09" w14:paraId="33245613" w14:textId="77777777">
      <w:pPr>
        <w:spacing w:after="0" w:line="240" w:lineRule="auto"/>
        <w:rPr>
          <w:rFonts w:ascii="Times New Roman" w:hAnsi="Times New Roman" w:cs="Times New Roman"/>
          <w:sz w:val="26"/>
          <w:szCs w:val="26"/>
        </w:rPr>
      </w:pPr>
    </w:p>
    <w:p w:rsidR="00E636D7" w:rsidRPr="00E65EF4" w:rsidP="00007F09" w14:paraId="1406ECFF"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ESTIMATED ANNUALIZED COST TO FEDERAL GOVERNMENT</w:t>
      </w:r>
    </w:p>
    <w:p w:rsidR="00A276F5" w:rsidRPr="00E65EF4" w:rsidP="00007F09" w14:paraId="68BEC129" w14:textId="77777777">
      <w:pPr>
        <w:spacing w:after="0" w:line="240" w:lineRule="auto"/>
        <w:rPr>
          <w:rFonts w:ascii="Times New Roman" w:hAnsi="Times New Roman" w:cs="Times New Roman"/>
          <w:sz w:val="26"/>
          <w:szCs w:val="26"/>
        </w:rPr>
      </w:pPr>
    </w:p>
    <w:p w:rsidR="00D85DBB" w:rsidRPr="00E65EF4" w:rsidP="00007F09" w14:paraId="37038A7A" w14:textId="3481A8B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None </w:t>
      </w:r>
      <w:r w:rsidR="007863D5">
        <w:rPr>
          <w:rFonts w:ascii="Times New Roman" w:hAnsi="Times New Roman" w:cs="Times New Roman"/>
          <w:sz w:val="26"/>
          <w:szCs w:val="26"/>
        </w:rPr>
        <w:t xml:space="preserve">of the requirements in FERC 725E are submitted to the Commission. </w:t>
      </w:r>
      <w:r w:rsidRPr="00E65EF4">
        <w:rPr>
          <w:rFonts w:ascii="Times New Roman" w:hAnsi="Times New Roman" w:cs="Times New Roman"/>
          <w:sz w:val="26"/>
          <w:szCs w:val="26"/>
        </w:rPr>
        <w:t xml:space="preserve">The Regional Entities and NERC </w:t>
      </w:r>
      <w:r w:rsidR="007863D5">
        <w:rPr>
          <w:rFonts w:ascii="Times New Roman" w:hAnsi="Times New Roman" w:cs="Times New Roman"/>
          <w:sz w:val="26"/>
          <w:szCs w:val="26"/>
        </w:rPr>
        <w:t>complete</w:t>
      </w:r>
      <w:r w:rsidRPr="00E65EF4">
        <w:rPr>
          <w:rFonts w:ascii="Times New Roman" w:hAnsi="Times New Roman" w:cs="Times New Roman"/>
          <w:sz w:val="26"/>
          <w:szCs w:val="26"/>
        </w:rPr>
        <w:t xml:space="preserve"> data processing, monitoring and compliance work for Reliability Standards</w:t>
      </w:r>
      <w:r w:rsidR="00B2472B">
        <w:rPr>
          <w:rFonts w:ascii="Times New Roman" w:hAnsi="Times New Roman" w:cs="Times New Roman"/>
          <w:sz w:val="26"/>
          <w:szCs w:val="26"/>
        </w:rPr>
        <w:t xml:space="preserve">. The only cost for the federal government pertains to maintaining compliance with the PRA. </w:t>
      </w:r>
    </w:p>
    <w:p w:rsidR="00D85DBB" w:rsidRPr="00E65EF4" w:rsidP="00007F09" w14:paraId="20A27179" w14:textId="77777777">
      <w:pPr>
        <w:spacing w:after="0" w:line="240" w:lineRule="auto"/>
        <w:rPr>
          <w:rFonts w:ascii="Times New Roman" w:hAnsi="Times New Roman" w:cs="Times New Roman"/>
          <w:sz w:val="26"/>
          <w:szCs w:val="26"/>
        </w:rPr>
      </w:pPr>
    </w:p>
    <w:p w:rsidR="00A276F5" w:rsidRPr="00E65EF4" w:rsidP="00007F09" w14:paraId="79052984" w14:textId="56679B45">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 estimated annualized cost to the Federal Govern</w:t>
      </w:r>
      <w:r w:rsidRPr="00E65EF4" w:rsidR="003E65BE">
        <w:rPr>
          <w:rFonts w:ascii="Times New Roman" w:hAnsi="Times New Roman" w:cs="Times New Roman"/>
          <w:sz w:val="26"/>
          <w:szCs w:val="26"/>
        </w:rPr>
        <w:t>ment for FERC-725E</w:t>
      </w:r>
      <w:r w:rsidRPr="00E65EF4" w:rsidR="00BE7025">
        <w:rPr>
          <w:rFonts w:ascii="Times New Roman" w:hAnsi="Times New Roman" w:cs="Times New Roman"/>
          <w:sz w:val="26"/>
          <w:szCs w:val="26"/>
        </w:rPr>
        <w:t xml:space="preserve"> follows</w:t>
      </w:r>
      <w:r w:rsidRPr="00E65EF4">
        <w:rPr>
          <w:rFonts w:ascii="Times New Roman" w:hAnsi="Times New Roman" w:cs="Times New Roman"/>
          <w:sz w:val="26"/>
          <w:szCs w:val="26"/>
        </w:rPr>
        <w:t>:</w:t>
      </w:r>
    </w:p>
    <w:p w:rsidR="00630A34" w:rsidRPr="00E65EF4" w:rsidP="00007F09" w14:paraId="5616B52C" w14:textId="77777777">
      <w:pPr>
        <w:spacing w:after="0" w:line="240" w:lineRule="auto"/>
        <w:rPr>
          <w:rFonts w:ascii="Times New Roman" w:hAnsi="Times New Roman" w:cs="Times New Roman"/>
          <w:sz w:val="26"/>
          <w:szCs w:val="26"/>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2995"/>
      </w:tblGrid>
      <w:tr w14:paraId="4D55693E" w14:textId="77777777" w:rsidTr="002C63E1">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tcBorders>
              <w:top w:val="single" w:sz="4" w:space="0" w:color="auto"/>
              <w:left w:val="single" w:sz="4" w:space="0" w:color="auto"/>
              <w:bottom w:val="single" w:sz="4" w:space="0" w:color="auto"/>
              <w:right w:val="single" w:sz="4" w:space="0" w:color="auto"/>
            </w:tcBorders>
            <w:shd w:val="clear" w:color="auto" w:fill="CCCCCC"/>
          </w:tcPr>
          <w:p w:rsidR="00630A34" w:rsidRPr="00E65EF4" w:rsidP="00007F09" w14:paraId="40313B84" w14:textId="77777777">
            <w:pPr>
              <w:spacing w:after="0" w:line="240" w:lineRule="auto"/>
              <w:rPr>
                <w:rFonts w:ascii="Times New Roman" w:hAnsi="Times New Roman" w:cs="Times New Roman"/>
                <w:sz w:val="26"/>
                <w:szCs w:val="26"/>
              </w:rPr>
            </w:pP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rsidR="00630A34" w:rsidRPr="00E65EF4" w:rsidP="00007F09" w14:paraId="3BC50B53"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Number of Employees (FTE)</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rsidR="00630A34" w:rsidRPr="00E65EF4" w:rsidP="00007F09" w14:paraId="115036DD"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Estimated Annual Federal Cost</w:t>
            </w:r>
          </w:p>
        </w:tc>
      </w:tr>
      <w:tr w14:paraId="0442D0CC" w14:textId="77777777" w:rsidTr="002C63E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630A34" w:rsidRPr="00E65EF4" w:rsidP="00007F09" w14:paraId="60B348C3" w14:textId="498A983C">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FERC-725E Analysis and Processing of filings</w:t>
            </w:r>
          </w:p>
        </w:tc>
        <w:tc>
          <w:tcPr>
            <w:tcW w:w="3201" w:type="dxa"/>
            <w:tcBorders>
              <w:top w:val="single" w:sz="4" w:space="0" w:color="auto"/>
              <w:left w:val="single" w:sz="4" w:space="0" w:color="auto"/>
              <w:bottom w:val="single" w:sz="4" w:space="0" w:color="auto"/>
              <w:right w:val="single" w:sz="4" w:space="0" w:color="auto"/>
            </w:tcBorders>
            <w:vAlign w:val="bottom"/>
            <w:hideMark/>
          </w:tcPr>
          <w:p w:rsidR="00630A34" w:rsidRPr="00E65EF4" w:rsidP="00007F09" w14:paraId="58FB477E"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0</w:t>
            </w:r>
          </w:p>
        </w:tc>
        <w:tc>
          <w:tcPr>
            <w:tcW w:w="2995" w:type="dxa"/>
            <w:tcBorders>
              <w:top w:val="single" w:sz="4" w:space="0" w:color="auto"/>
              <w:left w:val="single" w:sz="4" w:space="0" w:color="auto"/>
              <w:bottom w:val="single" w:sz="4" w:space="0" w:color="auto"/>
              <w:right w:val="single" w:sz="4" w:space="0" w:color="auto"/>
            </w:tcBorders>
            <w:vAlign w:val="bottom"/>
            <w:hideMark/>
          </w:tcPr>
          <w:p w:rsidR="00630A34" w:rsidRPr="00E65EF4" w:rsidP="00007F09" w14:paraId="3AF280C5"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w:t>
            </w:r>
            <w:r w:rsidRPr="00E65EF4" w:rsidR="007B193F">
              <w:rPr>
                <w:rFonts w:ascii="Times New Roman" w:hAnsi="Times New Roman" w:cs="Times New Roman"/>
                <w:sz w:val="26"/>
                <w:szCs w:val="26"/>
              </w:rPr>
              <w:t>0</w:t>
            </w:r>
          </w:p>
        </w:tc>
      </w:tr>
      <w:tr w14:paraId="574B7DA6" w14:textId="77777777" w:rsidTr="002C63E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tcPr>
          <w:p w:rsidR="00AD16A3" w:rsidRPr="00E65EF4" w:rsidP="00007F09" w14:paraId="1250E3AD" w14:textId="582555DF">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PRA</w:t>
            </w:r>
            <w:r>
              <w:rPr>
                <w:rFonts w:ascii="Times New Roman" w:hAnsi="Times New Roman" w:cs="Times New Roman"/>
                <w:sz w:val="26"/>
                <w:szCs w:val="26"/>
                <w:vertAlign w:val="superscript"/>
              </w:rPr>
              <w:footnoteReference w:id="15"/>
            </w:r>
            <w:r w:rsidRPr="00E65EF4">
              <w:rPr>
                <w:rFonts w:ascii="Times New Roman" w:hAnsi="Times New Roman" w:cs="Times New Roman"/>
                <w:sz w:val="26"/>
                <w:szCs w:val="26"/>
              </w:rPr>
              <w:t xml:space="preserve"> Administrative Cost</w:t>
            </w:r>
          </w:p>
        </w:tc>
        <w:tc>
          <w:tcPr>
            <w:tcW w:w="3201" w:type="dxa"/>
            <w:tcBorders>
              <w:top w:val="single" w:sz="4" w:space="0" w:color="auto"/>
              <w:left w:val="single" w:sz="4" w:space="0" w:color="auto"/>
              <w:bottom w:val="single" w:sz="4" w:space="0" w:color="auto"/>
              <w:right w:val="single" w:sz="4" w:space="0" w:color="auto"/>
            </w:tcBorders>
            <w:shd w:val="clear" w:color="auto" w:fill="D9D9D9"/>
            <w:vAlign w:val="center"/>
          </w:tcPr>
          <w:p w:rsidR="00AD16A3" w:rsidRPr="00E65EF4" w:rsidP="00007F09" w14:paraId="443B14DA" w14:textId="77777777">
            <w:pPr>
              <w:spacing w:after="0" w:line="240" w:lineRule="auto"/>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tcPr>
          <w:p w:rsidR="00AD16A3" w:rsidRPr="00E65EF4" w:rsidP="00007F09" w14:paraId="299BC118" w14:textId="50125EA5">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w:t>
            </w:r>
            <w:r w:rsidR="002D6FE3">
              <w:rPr>
                <w:rFonts w:ascii="Times New Roman" w:hAnsi="Times New Roman" w:cs="Times New Roman"/>
                <w:sz w:val="26"/>
                <w:szCs w:val="26"/>
              </w:rPr>
              <w:t>8</w:t>
            </w:r>
            <w:r w:rsidRPr="00E65EF4" w:rsidR="004209AA">
              <w:rPr>
                <w:rFonts w:ascii="Times New Roman" w:hAnsi="Times New Roman" w:cs="Times New Roman"/>
                <w:sz w:val="26"/>
                <w:szCs w:val="26"/>
              </w:rPr>
              <w:t>,</w:t>
            </w:r>
            <w:r w:rsidR="006E1DC6">
              <w:rPr>
                <w:rFonts w:ascii="Times New Roman" w:hAnsi="Times New Roman" w:cs="Times New Roman"/>
                <w:sz w:val="26"/>
                <w:szCs w:val="26"/>
              </w:rPr>
              <w:t>404</w:t>
            </w:r>
          </w:p>
        </w:tc>
      </w:tr>
      <w:tr w14:paraId="3CFDFA41" w14:textId="77777777" w:rsidTr="002C63E1">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AD16A3" w:rsidRPr="00E65EF4" w:rsidP="00007F09" w14:paraId="06203189" w14:textId="77777777">
            <w:pPr>
              <w:spacing w:after="0" w:line="240" w:lineRule="auto"/>
              <w:rPr>
                <w:rFonts w:ascii="Times New Roman" w:hAnsi="Times New Roman" w:cs="Times New Roman"/>
                <w:sz w:val="26"/>
                <w:szCs w:val="26"/>
              </w:rPr>
            </w:pPr>
            <w:r w:rsidRPr="00E65EF4">
              <w:rPr>
                <w:rFonts w:ascii="Times New Roman" w:hAnsi="Times New Roman" w:cs="Times New Roman"/>
                <w:b/>
                <w:sz w:val="26"/>
                <w:szCs w:val="26"/>
              </w:rPr>
              <w:t>FERC Total</w:t>
            </w:r>
          </w:p>
        </w:tc>
        <w:tc>
          <w:tcPr>
            <w:tcW w:w="3201" w:type="dxa"/>
            <w:tcBorders>
              <w:top w:val="single" w:sz="4" w:space="0" w:color="auto"/>
              <w:left w:val="single" w:sz="4" w:space="0" w:color="auto"/>
              <w:bottom w:val="single" w:sz="4" w:space="0" w:color="auto"/>
              <w:right w:val="single" w:sz="4" w:space="0" w:color="auto"/>
            </w:tcBorders>
            <w:vAlign w:val="center"/>
          </w:tcPr>
          <w:p w:rsidR="00AD16A3" w:rsidRPr="00E65EF4" w:rsidP="00007F09" w14:paraId="1C18FB49" w14:textId="77777777">
            <w:pPr>
              <w:spacing w:after="0" w:line="240" w:lineRule="auto"/>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rsidR="00AD16A3" w:rsidRPr="00E65EF4" w:rsidP="00007F09" w14:paraId="056CE0F0" w14:textId="3CC988CD">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w:t>
            </w:r>
            <w:r w:rsidR="00A505AF">
              <w:rPr>
                <w:rFonts w:ascii="Times New Roman" w:hAnsi="Times New Roman" w:cs="Times New Roman"/>
                <w:sz w:val="26"/>
                <w:szCs w:val="26"/>
              </w:rPr>
              <w:t>8,</w:t>
            </w:r>
            <w:r w:rsidR="006E1DC6">
              <w:rPr>
                <w:rFonts w:ascii="Times New Roman" w:hAnsi="Times New Roman" w:cs="Times New Roman"/>
                <w:sz w:val="26"/>
                <w:szCs w:val="26"/>
              </w:rPr>
              <w:t>404</w:t>
            </w:r>
          </w:p>
        </w:tc>
      </w:tr>
    </w:tbl>
    <w:p w:rsidR="006B437C" w:rsidRPr="00E65EF4" w:rsidP="00007F09" w14:paraId="767669C0" w14:textId="77777777">
      <w:pPr>
        <w:spacing w:after="0" w:line="240" w:lineRule="auto"/>
        <w:rPr>
          <w:rFonts w:ascii="Times New Roman" w:hAnsi="Times New Roman" w:cs="Times New Roman"/>
          <w:sz w:val="26"/>
          <w:szCs w:val="26"/>
        </w:rPr>
      </w:pPr>
    </w:p>
    <w:p w:rsidR="006B437C" w:rsidRPr="00E65EF4" w:rsidP="00007F09" w14:paraId="6F4DA4A9" w14:textId="77777777">
      <w:pPr>
        <w:spacing w:after="0" w:line="240" w:lineRule="auto"/>
        <w:rPr>
          <w:rFonts w:ascii="Times New Roman" w:hAnsi="Times New Roman" w:cs="Times New Roman"/>
          <w:sz w:val="26"/>
          <w:szCs w:val="26"/>
        </w:rPr>
      </w:pPr>
    </w:p>
    <w:p w:rsidR="00A276F5" w:rsidRPr="00E65EF4" w:rsidP="00007F09" w14:paraId="10B2EB6C"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REASONS FOR CHANGES IN BURDEN INCLUDING THE NEED FOR ANY INCREASE</w:t>
      </w:r>
    </w:p>
    <w:p w:rsidR="003316E0" w:rsidRPr="00E65EF4" w:rsidP="00007F09" w14:paraId="3AFE43CF" w14:textId="6082ED88">
      <w:pPr>
        <w:spacing w:after="0" w:line="240" w:lineRule="auto"/>
        <w:rPr>
          <w:rFonts w:ascii="Times New Roman" w:hAnsi="Times New Roman" w:cs="Times New Roman"/>
          <w:sz w:val="26"/>
          <w:szCs w:val="26"/>
        </w:rPr>
      </w:pPr>
    </w:p>
    <w:p w:rsidR="00674735" w:rsidP="00007F09" w14:paraId="2E000F9E" w14:textId="64B03196">
      <w:pPr>
        <w:spacing w:after="0" w:line="240" w:lineRule="auto"/>
        <w:rPr>
          <w:rFonts w:ascii="Times New Roman" w:hAnsi="Times New Roman" w:cs="Times New Roman"/>
          <w:sz w:val="26"/>
          <w:szCs w:val="26"/>
        </w:rPr>
      </w:pPr>
      <w:r>
        <w:rPr>
          <w:rFonts w:ascii="Times New Roman" w:hAnsi="Times New Roman" w:cs="Times New Roman"/>
          <w:sz w:val="26"/>
          <w:szCs w:val="26"/>
        </w:rPr>
        <w:t>The retirement of BAL-002-WECC-03 reflects a reduction in the total responses and hours for the WECC standards because of the removal of the WECC standard. In the future all WECC standards that remain in FERC-725E will have specified burden for each standard.</w:t>
      </w:r>
    </w:p>
    <w:p w:rsidR="006E1DC6" w:rsidP="00007F09" w14:paraId="6A7003B5" w14:textId="77777777">
      <w:pPr>
        <w:spacing w:after="0" w:line="240" w:lineRule="auto"/>
        <w:rPr>
          <w:rFonts w:ascii="Times New Roman" w:hAnsi="Times New Roman" w:cs="Times New Roman"/>
          <w:sz w:val="26"/>
          <w:szCs w:val="26"/>
        </w:rPr>
      </w:pPr>
    </w:p>
    <w:p w:rsidR="00674735" w:rsidRPr="00E65EF4" w:rsidP="00007F09" w14:paraId="13B8830B" w14:textId="69548FBE">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table </w:t>
      </w:r>
      <w:r w:rsidR="006E1DC6">
        <w:rPr>
          <w:rFonts w:ascii="Times New Roman" w:hAnsi="Times New Roman" w:cs="Times New Roman"/>
          <w:sz w:val="26"/>
          <w:szCs w:val="26"/>
        </w:rPr>
        <w:t xml:space="preserve">representing the changes </w:t>
      </w:r>
      <w:r>
        <w:rPr>
          <w:rFonts w:ascii="Times New Roman" w:hAnsi="Times New Roman" w:cs="Times New Roman"/>
          <w:sz w:val="26"/>
          <w:szCs w:val="26"/>
        </w:rPr>
        <w:t xml:space="preserve">below reflects the table </w:t>
      </w:r>
      <w:r w:rsidR="005A6CBD">
        <w:rPr>
          <w:rFonts w:ascii="Times New Roman" w:hAnsi="Times New Roman" w:cs="Times New Roman"/>
          <w:sz w:val="26"/>
          <w:szCs w:val="26"/>
        </w:rPr>
        <w:t xml:space="preserve">in ROCIS. </w:t>
      </w:r>
    </w:p>
    <w:p w:rsidR="006B473E" w:rsidRPr="00E65EF4" w:rsidP="00007F09" w14:paraId="47D08444" w14:textId="5DF82DEB">
      <w:pPr>
        <w:spacing w:after="0" w:line="240" w:lineRule="auto"/>
        <w:rPr>
          <w:rFonts w:ascii="Times New Roman" w:hAnsi="Times New Roman" w:cs="Times New Roman"/>
          <w:sz w:val="26"/>
          <w:szCs w:val="26"/>
        </w:rPr>
      </w:pPr>
    </w:p>
    <w:p w:rsidR="007055E0" w:rsidRPr="00E65EF4" w:rsidP="00007F09" w14:paraId="15066797" w14:textId="77777777">
      <w:pPr>
        <w:spacing w:after="0" w:line="240" w:lineRule="auto"/>
        <w:rPr>
          <w:rFonts w:ascii="Times New Roman" w:hAnsi="Times New Roman" w:cs="Times New Roman"/>
          <w:sz w:val="26"/>
          <w:szCs w:val="26"/>
        </w:rPr>
      </w:pP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9"/>
        <w:gridCol w:w="1779"/>
        <w:gridCol w:w="1959"/>
        <w:gridCol w:w="1683"/>
        <w:gridCol w:w="1357"/>
      </w:tblGrid>
      <w:tr w14:paraId="092CED9A" w14:textId="77777777" w:rsidTr="002C63E1">
        <w:tblPrEx>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589" w:type="dxa"/>
            <w:shd w:val="clear" w:color="auto" w:fill="D9D9D9"/>
            <w:vAlign w:val="bottom"/>
          </w:tcPr>
          <w:p w:rsidR="003316E0" w:rsidRPr="00E65EF4" w:rsidP="00007F09" w14:paraId="6B520AF6" w14:textId="69103DF3">
            <w:pPr>
              <w:spacing w:after="0" w:line="240" w:lineRule="auto"/>
              <w:rPr>
                <w:rFonts w:ascii="Times New Roman" w:hAnsi="Times New Roman" w:cs="Times New Roman"/>
                <w:b/>
                <w:sz w:val="26"/>
                <w:szCs w:val="26"/>
              </w:rPr>
            </w:pPr>
            <w:bookmarkStart w:id="2" w:name="_Hlk56605008"/>
            <w:r w:rsidRPr="00E65EF4">
              <w:rPr>
                <w:rFonts w:ascii="Times New Roman" w:hAnsi="Times New Roman" w:cs="Times New Roman"/>
                <w:b/>
                <w:sz w:val="26"/>
                <w:szCs w:val="26"/>
              </w:rPr>
              <w:t>FERC-725E</w:t>
            </w:r>
          </w:p>
        </w:tc>
        <w:tc>
          <w:tcPr>
            <w:tcW w:w="1779" w:type="dxa"/>
            <w:shd w:val="clear" w:color="auto" w:fill="D9D9D9"/>
            <w:vAlign w:val="bottom"/>
          </w:tcPr>
          <w:p w:rsidR="003316E0" w:rsidRPr="00E65EF4" w:rsidP="00007F09" w14:paraId="457B7B73"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Total Request</w:t>
            </w:r>
          </w:p>
        </w:tc>
        <w:tc>
          <w:tcPr>
            <w:tcW w:w="1959" w:type="dxa"/>
            <w:shd w:val="clear" w:color="auto" w:fill="D9D9D9"/>
            <w:vAlign w:val="bottom"/>
          </w:tcPr>
          <w:p w:rsidR="003316E0" w:rsidRPr="00E65EF4" w:rsidP="00007F09" w14:paraId="2D3BBCD3"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Previously Approved</w:t>
            </w:r>
          </w:p>
        </w:tc>
        <w:tc>
          <w:tcPr>
            <w:tcW w:w="1683" w:type="dxa"/>
            <w:shd w:val="clear" w:color="auto" w:fill="D9D9D9"/>
            <w:vAlign w:val="bottom"/>
          </w:tcPr>
          <w:p w:rsidR="003316E0" w:rsidRPr="00E65EF4" w:rsidP="00007F09" w14:paraId="67C7C085"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Change due to Adjustment in Estimate</w:t>
            </w:r>
          </w:p>
        </w:tc>
        <w:tc>
          <w:tcPr>
            <w:tcW w:w="1357" w:type="dxa"/>
            <w:shd w:val="clear" w:color="auto" w:fill="D9D9D9"/>
            <w:vAlign w:val="bottom"/>
          </w:tcPr>
          <w:p w:rsidR="003316E0" w:rsidRPr="00E65EF4" w:rsidP="00007F09" w14:paraId="75318E4C" w14:textId="77777777">
            <w:pPr>
              <w:spacing w:after="0" w:line="240" w:lineRule="auto"/>
              <w:rPr>
                <w:rFonts w:ascii="Times New Roman" w:hAnsi="Times New Roman" w:cs="Times New Roman"/>
                <w:b/>
                <w:sz w:val="26"/>
                <w:szCs w:val="26"/>
              </w:rPr>
            </w:pPr>
            <w:r w:rsidRPr="00E65EF4">
              <w:rPr>
                <w:rFonts w:ascii="Times New Roman" w:hAnsi="Times New Roman" w:cs="Times New Roman"/>
                <w:b/>
                <w:sz w:val="26"/>
                <w:szCs w:val="26"/>
              </w:rPr>
              <w:t>Change Due to Agency Discretion</w:t>
            </w:r>
          </w:p>
        </w:tc>
      </w:tr>
      <w:tr w14:paraId="35507E46" w14:textId="77777777" w:rsidTr="002C63E1">
        <w:tblPrEx>
          <w:tblW w:w="9367" w:type="dxa"/>
          <w:tblInd w:w="108" w:type="dxa"/>
          <w:tblLook w:val="01E0"/>
        </w:tblPrEx>
        <w:trPr>
          <w:trHeight w:val="591"/>
        </w:trPr>
        <w:tc>
          <w:tcPr>
            <w:tcW w:w="2589" w:type="dxa"/>
          </w:tcPr>
          <w:p w:rsidR="003316E0" w:rsidRPr="00E65EF4" w:rsidP="00007F09" w14:paraId="1BA3E751"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Annual Number of Responses</w:t>
            </w:r>
          </w:p>
        </w:tc>
        <w:tc>
          <w:tcPr>
            <w:tcW w:w="1779" w:type="dxa"/>
            <w:vAlign w:val="center"/>
          </w:tcPr>
          <w:p w:rsidR="003316E0" w:rsidRPr="00E65EF4" w:rsidP="00363C97" w14:paraId="79EDD501" w14:textId="5B785C30">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1,</w:t>
            </w:r>
            <w:r w:rsidR="00BB3C34">
              <w:rPr>
                <w:rFonts w:ascii="Times New Roman" w:hAnsi="Times New Roman" w:cs="Times New Roman"/>
                <w:sz w:val="26"/>
                <w:szCs w:val="26"/>
              </w:rPr>
              <w:t>209</w:t>
            </w:r>
          </w:p>
        </w:tc>
        <w:tc>
          <w:tcPr>
            <w:tcW w:w="1959" w:type="dxa"/>
            <w:vAlign w:val="center"/>
          </w:tcPr>
          <w:p w:rsidR="003316E0" w:rsidRPr="00E65EF4" w:rsidP="00007F09" w14:paraId="34118B9D" w14:textId="43899F15">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1,24</w:t>
            </w:r>
            <w:r w:rsidR="00BB3C34">
              <w:rPr>
                <w:rFonts w:ascii="Times New Roman" w:hAnsi="Times New Roman" w:cs="Times New Roman"/>
                <w:sz w:val="26"/>
                <w:szCs w:val="26"/>
              </w:rPr>
              <w:t>4</w:t>
            </w:r>
          </w:p>
        </w:tc>
        <w:tc>
          <w:tcPr>
            <w:tcW w:w="1683" w:type="dxa"/>
            <w:vAlign w:val="center"/>
          </w:tcPr>
          <w:p w:rsidR="00200D8E" w:rsidP="00007F09" w14:paraId="3EB474C1" w14:textId="10160414">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0</w:t>
            </w:r>
          </w:p>
          <w:p w:rsidR="003316E0" w:rsidRPr="00E65EF4" w:rsidP="00BB3C34" w14:paraId="2025D071" w14:textId="3C8F373E">
            <w:pPr>
              <w:spacing w:after="0" w:line="240" w:lineRule="auto"/>
              <w:rPr>
                <w:rFonts w:ascii="Times New Roman" w:hAnsi="Times New Roman" w:cs="Times New Roman"/>
                <w:sz w:val="26"/>
                <w:szCs w:val="26"/>
              </w:rPr>
            </w:pPr>
          </w:p>
        </w:tc>
        <w:tc>
          <w:tcPr>
            <w:tcW w:w="1357" w:type="dxa"/>
            <w:vAlign w:val="center"/>
          </w:tcPr>
          <w:p w:rsidR="003316E0" w:rsidRPr="00E65EF4" w:rsidP="00007F09" w14:paraId="65BA40B0" w14:textId="3ED27368">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-35</w:t>
            </w:r>
          </w:p>
        </w:tc>
      </w:tr>
      <w:tr w14:paraId="782CF625" w14:textId="77777777" w:rsidTr="002C63E1">
        <w:tblPrEx>
          <w:tblW w:w="9367" w:type="dxa"/>
          <w:tblInd w:w="108" w:type="dxa"/>
          <w:tblLook w:val="01E0"/>
        </w:tblPrEx>
        <w:trPr>
          <w:trHeight w:val="575"/>
        </w:trPr>
        <w:tc>
          <w:tcPr>
            <w:tcW w:w="2589" w:type="dxa"/>
          </w:tcPr>
          <w:p w:rsidR="003316E0" w:rsidRPr="00E65EF4" w:rsidP="00007F09" w14:paraId="6C091134" w14:textId="3E97752B">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Annual Time Burden (Hr</w:t>
            </w:r>
            <w:r w:rsidRPr="00E65EF4" w:rsidR="00D47528">
              <w:rPr>
                <w:rFonts w:ascii="Times New Roman" w:hAnsi="Times New Roman" w:cs="Times New Roman"/>
                <w:sz w:val="26"/>
                <w:szCs w:val="26"/>
              </w:rPr>
              <w:t>.</w:t>
            </w:r>
            <w:r w:rsidRPr="00E65EF4">
              <w:rPr>
                <w:rFonts w:ascii="Times New Roman" w:hAnsi="Times New Roman" w:cs="Times New Roman"/>
                <w:sz w:val="26"/>
                <w:szCs w:val="26"/>
              </w:rPr>
              <w:t>)</w:t>
            </w:r>
          </w:p>
        </w:tc>
        <w:tc>
          <w:tcPr>
            <w:tcW w:w="1779" w:type="dxa"/>
            <w:vAlign w:val="center"/>
          </w:tcPr>
          <w:p w:rsidR="003316E0" w:rsidRPr="00E65EF4" w:rsidP="00007F09" w14:paraId="32E5E690" w14:textId="3DDA920C">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1,949</w:t>
            </w:r>
          </w:p>
        </w:tc>
        <w:tc>
          <w:tcPr>
            <w:tcW w:w="1959" w:type="dxa"/>
            <w:vAlign w:val="center"/>
          </w:tcPr>
          <w:p w:rsidR="003316E0" w:rsidRPr="00E65EF4" w:rsidP="00007F09" w14:paraId="38CAE0BB" w14:textId="72C78C82">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2,</w:t>
            </w:r>
            <w:r w:rsidR="00BB3C34">
              <w:rPr>
                <w:rFonts w:ascii="Times New Roman" w:hAnsi="Times New Roman" w:cs="Times New Roman"/>
                <w:sz w:val="26"/>
                <w:szCs w:val="26"/>
              </w:rPr>
              <w:t>358</w:t>
            </w:r>
          </w:p>
        </w:tc>
        <w:tc>
          <w:tcPr>
            <w:tcW w:w="1683" w:type="dxa"/>
            <w:vAlign w:val="center"/>
          </w:tcPr>
          <w:p w:rsidR="003316E0" w:rsidRPr="00E65EF4" w:rsidP="00007F09" w14:paraId="5A1C252C" w14:textId="738D38D4">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0</w:t>
            </w:r>
          </w:p>
        </w:tc>
        <w:tc>
          <w:tcPr>
            <w:tcW w:w="1357" w:type="dxa"/>
            <w:vAlign w:val="center"/>
          </w:tcPr>
          <w:p w:rsidR="003316E0" w:rsidRPr="00E65EF4" w:rsidP="00007F09" w14:paraId="04CAEE84" w14:textId="153393FD">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-409</w:t>
            </w:r>
          </w:p>
        </w:tc>
      </w:tr>
      <w:tr w14:paraId="568E6D4A" w14:textId="77777777" w:rsidTr="002C63E1">
        <w:tblPrEx>
          <w:tblW w:w="9367" w:type="dxa"/>
          <w:tblInd w:w="108" w:type="dxa"/>
          <w:tblLook w:val="01E0"/>
        </w:tblPrEx>
        <w:trPr>
          <w:trHeight w:val="295"/>
        </w:trPr>
        <w:tc>
          <w:tcPr>
            <w:tcW w:w="2589" w:type="dxa"/>
          </w:tcPr>
          <w:p w:rsidR="003316E0" w:rsidRPr="00E65EF4" w:rsidP="00007F09" w14:paraId="6FEBF27C" w14:textId="77777777">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Annual Cost Burden ($)</w:t>
            </w:r>
          </w:p>
        </w:tc>
        <w:tc>
          <w:tcPr>
            <w:tcW w:w="1779" w:type="dxa"/>
            <w:vAlign w:val="center"/>
          </w:tcPr>
          <w:p w:rsidR="003316E0" w:rsidRPr="00E65EF4" w:rsidP="00007F09" w14:paraId="49C2616D" w14:textId="77777777">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0</w:t>
            </w:r>
          </w:p>
        </w:tc>
        <w:tc>
          <w:tcPr>
            <w:tcW w:w="1959" w:type="dxa"/>
            <w:vAlign w:val="center"/>
          </w:tcPr>
          <w:p w:rsidR="003316E0" w:rsidRPr="00E65EF4" w:rsidP="00007F09" w14:paraId="41207F78" w14:textId="77777777">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0</w:t>
            </w:r>
          </w:p>
        </w:tc>
        <w:tc>
          <w:tcPr>
            <w:tcW w:w="1683" w:type="dxa"/>
            <w:vAlign w:val="center"/>
          </w:tcPr>
          <w:p w:rsidR="003316E0" w:rsidRPr="00E65EF4" w:rsidP="00007F09" w14:paraId="16C6F583" w14:textId="77777777">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0</w:t>
            </w:r>
          </w:p>
        </w:tc>
        <w:tc>
          <w:tcPr>
            <w:tcW w:w="1357" w:type="dxa"/>
            <w:vAlign w:val="center"/>
          </w:tcPr>
          <w:p w:rsidR="003316E0" w:rsidRPr="00E65EF4" w:rsidP="00007F09" w14:paraId="69C5710A" w14:textId="77777777">
            <w:pPr>
              <w:spacing w:after="0" w:line="240" w:lineRule="auto"/>
              <w:jc w:val="right"/>
              <w:rPr>
                <w:rFonts w:ascii="Times New Roman" w:hAnsi="Times New Roman" w:cs="Times New Roman"/>
                <w:sz w:val="26"/>
                <w:szCs w:val="26"/>
              </w:rPr>
            </w:pPr>
            <w:r w:rsidRPr="00E65EF4">
              <w:rPr>
                <w:rFonts w:ascii="Times New Roman" w:hAnsi="Times New Roman" w:cs="Times New Roman"/>
                <w:sz w:val="26"/>
                <w:szCs w:val="26"/>
              </w:rPr>
              <w:t>0</w:t>
            </w:r>
          </w:p>
        </w:tc>
      </w:tr>
      <w:bookmarkEnd w:id="2"/>
    </w:tbl>
    <w:p w:rsidR="003316E0" w:rsidRPr="00E65EF4" w:rsidP="00007F09" w14:paraId="310395DD" w14:textId="77777777">
      <w:pPr>
        <w:spacing w:after="0" w:line="240" w:lineRule="auto"/>
        <w:rPr>
          <w:rFonts w:ascii="Times New Roman" w:hAnsi="Times New Roman" w:cs="Times New Roman"/>
          <w:sz w:val="26"/>
          <w:szCs w:val="26"/>
        </w:rPr>
      </w:pPr>
    </w:p>
    <w:p w:rsidR="003316E0" w:rsidRPr="00E65EF4" w:rsidP="00007F09" w14:paraId="7198FAED" w14:textId="77777777">
      <w:pPr>
        <w:spacing w:after="0" w:line="240" w:lineRule="auto"/>
        <w:rPr>
          <w:rFonts w:ascii="Times New Roman" w:hAnsi="Times New Roman" w:cs="Times New Roman"/>
          <w:sz w:val="26"/>
          <w:szCs w:val="26"/>
        </w:rPr>
      </w:pPr>
    </w:p>
    <w:p w:rsidR="00A276F5" w:rsidRPr="00E65EF4" w:rsidP="00007F09" w14:paraId="14DF466B"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TIME SCHEDULE FOR PUBLICATION OF DATA</w:t>
      </w:r>
    </w:p>
    <w:p w:rsidR="00414F32" w:rsidRPr="00E65EF4" w:rsidP="00007F09" w14:paraId="549D3523" w14:textId="77777777">
      <w:pPr>
        <w:spacing w:after="0" w:line="240" w:lineRule="auto"/>
        <w:rPr>
          <w:rFonts w:ascii="Times New Roman" w:hAnsi="Times New Roman" w:cs="Times New Roman"/>
          <w:sz w:val="26"/>
          <w:szCs w:val="26"/>
        </w:rPr>
      </w:pPr>
    </w:p>
    <w:p w:rsidR="00414F32" w:rsidRPr="00E65EF4" w:rsidP="00007F09" w14:paraId="2E0C5762" w14:textId="3A06D1F2">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FERC does not publish any data associated with th</w:t>
      </w:r>
      <w:r w:rsidRPr="00E65EF4" w:rsidR="00D47528">
        <w:rPr>
          <w:rFonts w:ascii="Times New Roman" w:hAnsi="Times New Roman" w:cs="Times New Roman"/>
          <w:sz w:val="26"/>
          <w:szCs w:val="26"/>
        </w:rPr>
        <w:t>i</w:t>
      </w:r>
      <w:r w:rsidRPr="00E65EF4">
        <w:rPr>
          <w:rFonts w:ascii="Times New Roman" w:hAnsi="Times New Roman" w:cs="Times New Roman"/>
          <w:sz w:val="26"/>
          <w:szCs w:val="26"/>
        </w:rPr>
        <w:t>s collection.</w:t>
      </w:r>
    </w:p>
    <w:p w:rsidR="00197A36" w:rsidRPr="00E65EF4" w:rsidP="00007F09" w14:paraId="2A811203" w14:textId="77777777">
      <w:pPr>
        <w:spacing w:after="0" w:line="240" w:lineRule="auto"/>
        <w:rPr>
          <w:rFonts w:ascii="Times New Roman" w:hAnsi="Times New Roman" w:cs="Times New Roman"/>
          <w:sz w:val="26"/>
          <w:szCs w:val="26"/>
        </w:rPr>
      </w:pPr>
    </w:p>
    <w:p w:rsidR="00414F32" w:rsidRPr="00E65EF4" w:rsidP="00007F09" w14:paraId="349CB48A"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DISPLAY OF EXPIRATION DATE</w:t>
      </w:r>
    </w:p>
    <w:p w:rsidR="00414F32" w:rsidRPr="00E65EF4" w:rsidP="00007F09" w14:paraId="7AC6D57D" w14:textId="77777777">
      <w:pPr>
        <w:spacing w:after="0" w:line="240" w:lineRule="auto"/>
        <w:rPr>
          <w:rFonts w:ascii="Times New Roman" w:hAnsi="Times New Roman" w:cs="Times New Roman"/>
          <w:sz w:val="26"/>
          <w:szCs w:val="26"/>
        </w:rPr>
      </w:pPr>
    </w:p>
    <w:p w:rsidR="00C27D56" w:rsidP="00007F09" w14:paraId="713D225F" w14:textId="7ECAA43D">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 xml:space="preserve">The expiration date </w:t>
      </w:r>
      <w:r w:rsidRPr="00E65EF4" w:rsidR="00674FD8">
        <w:rPr>
          <w:rFonts w:ascii="Times New Roman" w:hAnsi="Times New Roman" w:cs="Times New Roman"/>
          <w:sz w:val="26"/>
          <w:szCs w:val="26"/>
        </w:rPr>
        <w:t xml:space="preserve">is displayed </w:t>
      </w:r>
      <w:r w:rsidRPr="00E65EF4">
        <w:rPr>
          <w:rFonts w:ascii="Times New Roman" w:hAnsi="Times New Roman" w:cs="Times New Roman"/>
          <w:sz w:val="26"/>
          <w:szCs w:val="26"/>
        </w:rPr>
        <w:t xml:space="preserve">at </w:t>
      </w:r>
      <w:hyperlink r:id="rId9" w:history="1">
        <w:r w:rsidRPr="002865B5" w:rsidR="00FC45B6">
          <w:rPr>
            <w:rStyle w:val="Hyperlink"/>
            <w:rFonts w:ascii="Times New Roman" w:hAnsi="Times New Roman" w:cs="Times New Roman"/>
            <w:sz w:val="26"/>
            <w:szCs w:val="26"/>
          </w:rPr>
          <w:t>https://www.ferc.gov/information-collections</w:t>
        </w:r>
      </w:hyperlink>
      <w:r w:rsidR="00FC45B6">
        <w:rPr>
          <w:rFonts w:ascii="Times New Roman" w:hAnsi="Times New Roman" w:cs="Times New Roman"/>
          <w:sz w:val="26"/>
          <w:szCs w:val="26"/>
        </w:rPr>
        <w:t>.</w:t>
      </w:r>
    </w:p>
    <w:p w:rsidR="00197A36" w:rsidRPr="00FC45B6" w:rsidP="00007F09" w14:paraId="515C9511" w14:textId="3F2E1F39">
      <w:pPr>
        <w:spacing w:after="0" w:line="240" w:lineRule="auto"/>
        <w:rPr>
          <w:rFonts w:ascii="Times New Roman" w:eastAsia="Times New Roman" w:hAnsi="Times New Roman" w:cs="Times New Roman"/>
          <w:sz w:val="26"/>
          <w:szCs w:val="26"/>
        </w:rPr>
      </w:pPr>
    </w:p>
    <w:p w:rsidR="00414F32" w:rsidRPr="00E65EF4" w:rsidP="00007F09" w14:paraId="67CF7F12" w14:textId="77777777">
      <w:pPr>
        <w:pStyle w:val="ListParagraph"/>
        <w:numPr>
          <w:ilvl w:val="0"/>
          <w:numId w:val="1"/>
        </w:numPr>
        <w:spacing w:after="0" w:line="240" w:lineRule="auto"/>
        <w:ind w:left="360"/>
        <w:rPr>
          <w:rFonts w:ascii="Times New Roman" w:hAnsi="Times New Roman" w:cs="Times New Roman"/>
          <w:b/>
          <w:sz w:val="26"/>
          <w:szCs w:val="26"/>
        </w:rPr>
      </w:pPr>
      <w:r w:rsidRPr="00E65EF4">
        <w:rPr>
          <w:rFonts w:ascii="Times New Roman" w:hAnsi="Times New Roman" w:cs="Times New Roman"/>
          <w:b/>
          <w:sz w:val="26"/>
          <w:szCs w:val="26"/>
        </w:rPr>
        <w:t>EXCEPTIONS TO THE CERTIFICATION STATEMENT</w:t>
      </w:r>
    </w:p>
    <w:p w:rsidR="00970FE4" w:rsidRPr="00E65EF4" w:rsidP="00007F09" w14:paraId="1E4AC3D6" w14:textId="77777777">
      <w:pPr>
        <w:spacing w:after="0" w:line="240" w:lineRule="auto"/>
        <w:rPr>
          <w:rFonts w:ascii="Times New Roman" w:hAnsi="Times New Roman" w:cs="Times New Roman"/>
          <w:sz w:val="26"/>
          <w:szCs w:val="26"/>
        </w:rPr>
      </w:pPr>
    </w:p>
    <w:p w:rsidR="00414F32" w:rsidRPr="00E65EF4" w:rsidP="00007F09" w14:paraId="3547AA9B" w14:textId="2627D09E">
      <w:pPr>
        <w:spacing w:after="0" w:line="240" w:lineRule="auto"/>
        <w:rPr>
          <w:rFonts w:ascii="Times New Roman" w:hAnsi="Times New Roman" w:cs="Times New Roman"/>
          <w:sz w:val="26"/>
          <w:szCs w:val="26"/>
        </w:rPr>
      </w:pPr>
      <w:r w:rsidRPr="00E65EF4">
        <w:rPr>
          <w:rFonts w:ascii="Times New Roman" w:hAnsi="Times New Roman" w:cs="Times New Roman"/>
          <w:sz w:val="26"/>
          <w:szCs w:val="26"/>
        </w:rPr>
        <w:t>There are no exceptions.</w:t>
      </w:r>
    </w:p>
    <w:p w:rsidR="001968F8" w:rsidRPr="00E65EF4" w:rsidP="00007F09" w14:paraId="71D2FDBE" w14:textId="0B90ED0D">
      <w:pPr>
        <w:spacing w:line="240" w:lineRule="auto"/>
        <w:rPr>
          <w:rFonts w:ascii="Times New Roman" w:hAnsi="Times New Roman" w:cs="Times New Roman"/>
          <w:sz w:val="26"/>
          <w:szCs w:val="26"/>
        </w:rPr>
      </w:pPr>
    </w:p>
    <w:sectPr w:rsidSect="0078612A">
      <w:headerReference w:type="even" r:id="rId10"/>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FEC" w14:paraId="39731C22" w14:textId="77777777">
    <w:pPr>
      <w:pStyle w:val="Footer"/>
    </w:pPr>
  </w:p>
  <w:p w:rsidR="00092FEC" w14:paraId="26E4587D" w14:textId="77777777"/>
  <w:p w:rsidR="00092FEC" w14:paraId="15BCBC1F" w14:textId="77777777"/>
  <w:p w:rsidR="00092FEC" w14:paraId="1D9660A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6411206"/>
      <w:docPartObj>
        <w:docPartGallery w:val="Page Numbers (Bottom of Page)"/>
        <w:docPartUnique/>
      </w:docPartObj>
    </w:sdtPr>
    <w:sdtEndPr>
      <w:rPr>
        <w:rFonts w:ascii="Times New Roman" w:hAnsi="Times New Roman" w:cs="Times New Roman"/>
        <w:noProof/>
      </w:rPr>
    </w:sdtEndPr>
    <w:sdtContent>
      <w:p w:rsidR="00092FEC" w:rsidRPr="00DD79FB" w14:paraId="4A025BA2" w14:textId="77777777">
        <w:pPr>
          <w:pStyle w:val="Footer"/>
          <w:jc w:val="right"/>
          <w:rPr>
            <w:rFonts w:ascii="Times New Roman" w:hAnsi="Times New Roman" w:cs="Times New Roman"/>
          </w:rPr>
        </w:pPr>
        <w:r w:rsidRPr="00DD79FB">
          <w:rPr>
            <w:rFonts w:ascii="Times New Roman" w:hAnsi="Times New Roman" w:cs="Times New Roman"/>
          </w:rPr>
          <w:fldChar w:fldCharType="begin"/>
        </w:r>
        <w:r w:rsidRPr="00DD79FB">
          <w:rPr>
            <w:rFonts w:ascii="Times New Roman" w:hAnsi="Times New Roman" w:cs="Times New Roman"/>
          </w:rPr>
          <w:instrText xml:space="preserve"> PAGE   \* MERGEFORMAT </w:instrText>
        </w:r>
        <w:r w:rsidRPr="00DD79FB">
          <w:rPr>
            <w:rFonts w:ascii="Times New Roman" w:hAnsi="Times New Roman" w:cs="Times New Roman"/>
          </w:rPr>
          <w:fldChar w:fldCharType="separate"/>
        </w:r>
        <w:r>
          <w:rPr>
            <w:rFonts w:ascii="Times New Roman" w:hAnsi="Times New Roman" w:cs="Times New Roman"/>
            <w:noProof/>
          </w:rPr>
          <w:t>1</w:t>
        </w:r>
        <w:r w:rsidRPr="00DD79FB">
          <w:rPr>
            <w:rFonts w:ascii="Times New Roman" w:hAnsi="Times New Roman" w:cs="Times New Roman"/>
            <w:noProof/>
          </w:rPr>
          <w:fldChar w:fldCharType="end"/>
        </w:r>
      </w:p>
    </w:sdtContent>
  </w:sdt>
  <w:p w:rsidR="00092FEC" w14:paraId="57822BC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3BD7" w:rsidP="00FD66F1" w14:paraId="5989C448" w14:textId="77777777">
      <w:pPr>
        <w:spacing w:after="0" w:line="240" w:lineRule="auto"/>
      </w:pPr>
      <w:r>
        <w:separator/>
      </w:r>
    </w:p>
  </w:footnote>
  <w:footnote w:type="continuationSeparator" w:id="1">
    <w:p w:rsidR="00D73BD7" w:rsidP="00FD66F1" w14:paraId="38385100" w14:textId="77777777">
      <w:pPr>
        <w:spacing w:after="0" w:line="240" w:lineRule="auto"/>
      </w:pPr>
      <w:r>
        <w:continuationSeparator/>
      </w:r>
    </w:p>
  </w:footnote>
  <w:footnote w:id="2">
    <w:p w:rsidR="00092FEC" w:rsidRPr="008632FA" w:rsidP="008632FA" w14:paraId="3CF10310" w14:textId="77777777">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vertAlign w:val="superscript"/>
        </w:rPr>
        <w:t xml:space="preserve"> </w:t>
      </w:r>
      <w:r w:rsidRPr="008632FA">
        <w:rPr>
          <w:i/>
          <w:iCs/>
          <w:sz w:val="26"/>
          <w:szCs w:val="26"/>
        </w:rPr>
        <w:t>North American Electric Reliability Corp.</w:t>
      </w:r>
      <w:r w:rsidRPr="008632FA">
        <w:rPr>
          <w:sz w:val="26"/>
          <w:szCs w:val="26"/>
        </w:rPr>
        <w:t xml:space="preserve">, 116 FERC ¶ 61,062, </w:t>
      </w:r>
      <w:r w:rsidRPr="008632FA">
        <w:rPr>
          <w:i/>
          <w:iCs/>
          <w:sz w:val="26"/>
          <w:szCs w:val="26"/>
        </w:rPr>
        <w:t>order on reh’g &amp; compliance</w:t>
      </w:r>
      <w:r w:rsidRPr="008632FA">
        <w:rPr>
          <w:sz w:val="26"/>
          <w:szCs w:val="26"/>
        </w:rPr>
        <w:t xml:space="preserve">, 117 FERC ¶ 61,126 (2006), </w:t>
      </w:r>
      <w:r w:rsidRPr="008632FA">
        <w:rPr>
          <w:i/>
          <w:sz w:val="26"/>
          <w:szCs w:val="26"/>
        </w:rPr>
        <w:t xml:space="preserve">aff’d </w:t>
      </w:r>
      <w:r w:rsidRPr="008632FA">
        <w:rPr>
          <w:i/>
          <w:iCs/>
          <w:sz w:val="26"/>
          <w:szCs w:val="26"/>
        </w:rPr>
        <w:t>sub nom. Alcoa, Inc. v. FERC</w:t>
      </w:r>
      <w:r w:rsidRPr="008632FA">
        <w:rPr>
          <w:sz w:val="26"/>
          <w:szCs w:val="26"/>
        </w:rPr>
        <w:t xml:space="preserve">, 564 F.3d 1342 (D.C. Cir. 2009).  </w:t>
      </w:r>
    </w:p>
  </w:footnote>
  <w:footnote w:id="3">
    <w:p w:rsidR="00092FEC" w:rsidRPr="008632FA" w:rsidP="008632FA" w14:paraId="4418407B" w14:textId="57359F1C">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rPr>
        <w:t xml:space="preserve"> 16 U.S.C. 824o</w:t>
      </w:r>
      <w:r>
        <w:rPr>
          <w:sz w:val="26"/>
          <w:szCs w:val="26"/>
        </w:rPr>
        <w:t>.</w:t>
      </w:r>
    </w:p>
  </w:footnote>
  <w:footnote w:id="4">
    <w:p w:rsidR="00092FEC" w:rsidRPr="008632FA" w:rsidP="008632FA" w14:paraId="53795515" w14:textId="77777777">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rPr>
        <w:t xml:space="preserve"> 16 U.S.C. 824o(e)(4). </w:t>
      </w:r>
    </w:p>
  </w:footnote>
  <w:footnote w:id="5">
    <w:p w:rsidR="00092FEC" w:rsidRPr="008632FA" w:rsidP="008632FA" w14:paraId="70C1E87C" w14:textId="77777777">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rPr>
        <w:t xml:space="preserve"> 16 U.S.C. 824o(a)(7) and (e)(4). </w:t>
      </w:r>
    </w:p>
  </w:footnote>
  <w:footnote w:id="6">
    <w:p w:rsidR="00092FEC" w:rsidRPr="00BA1950" w:rsidP="008632FA" w14:paraId="5A00BF6D" w14:textId="77777777">
      <w:pPr>
        <w:pStyle w:val="FootnoteText"/>
        <w:spacing w:after="120"/>
        <w:ind w:firstLine="720"/>
      </w:pPr>
      <w:r w:rsidRPr="008632FA">
        <w:rPr>
          <w:rStyle w:val="FootnoteReference"/>
          <w:sz w:val="26"/>
          <w:szCs w:val="26"/>
          <w:vertAlign w:val="superscript"/>
        </w:rPr>
        <w:footnoteRef/>
      </w:r>
      <w:r w:rsidRPr="008632FA">
        <w:rPr>
          <w:sz w:val="26"/>
          <w:szCs w:val="26"/>
          <w:vertAlign w:val="superscript"/>
        </w:rPr>
        <w:t xml:space="preserve"> </w:t>
      </w:r>
      <w:r w:rsidRPr="008632FA">
        <w:rPr>
          <w:i/>
          <w:sz w:val="26"/>
          <w:szCs w:val="26"/>
        </w:rPr>
        <w:t>North American Electric Reliability Corp.</w:t>
      </w:r>
      <w:r w:rsidRPr="008632FA">
        <w:rPr>
          <w:sz w:val="26"/>
          <w:szCs w:val="26"/>
        </w:rPr>
        <w:t>, 119 FERC ¶ 61,260 (2007).</w:t>
      </w:r>
    </w:p>
  </w:footnote>
  <w:footnote w:id="7">
    <w:p w:rsidR="002A0586" w:rsidRPr="00DF3F2D" w:rsidP="00042714" w14:paraId="75AD4864" w14:textId="60CE56F9">
      <w:pPr>
        <w:pStyle w:val="FootnoteText"/>
        <w:spacing w:after="120"/>
        <w:ind w:firstLine="720"/>
        <w:rPr>
          <w:rStyle w:val="FootnoteReference"/>
          <w:sz w:val="26"/>
          <w:szCs w:val="26"/>
        </w:rPr>
      </w:pPr>
      <w:r w:rsidRPr="00042714">
        <w:rPr>
          <w:rStyle w:val="FootnoteReference"/>
          <w:sz w:val="26"/>
          <w:szCs w:val="26"/>
          <w:vertAlign w:val="superscript"/>
        </w:rPr>
        <w:footnoteRef/>
      </w:r>
      <w:r w:rsidRPr="001A003D">
        <w:rPr>
          <w:rStyle w:val="FootnoteReference"/>
          <w:sz w:val="26"/>
          <w:szCs w:val="26"/>
          <w:vertAlign w:val="superscript"/>
        </w:rPr>
        <w:t xml:space="preserve"> </w:t>
      </w:r>
      <w:r w:rsidR="00042714">
        <w:rPr>
          <w:sz w:val="26"/>
          <w:szCs w:val="26"/>
        </w:rPr>
        <w:t>BAL-002-WECC-3 was approved under docket RM19-20 on April 15, 2021.</w:t>
      </w:r>
    </w:p>
  </w:footnote>
  <w:footnote w:id="8">
    <w:p w:rsidR="00042714" w:rsidRPr="00B35FEA" w:rsidP="00042714" w14:paraId="40EE4BDC" w14:textId="4F625E00">
      <w:pPr>
        <w:pStyle w:val="FootnoteText"/>
        <w:spacing w:after="120"/>
        <w:ind w:firstLine="720"/>
        <w:rPr>
          <w:rStyle w:val="FootnoteReference"/>
          <w:sz w:val="26"/>
          <w:szCs w:val="26"/>
        </w:rPr>
      </w:pPr>
      <w:r>
        <w:rPr>
          <w:rStyle w:val="FootnoteReference"/>
        </w:rPr>
        <w:footnoteRef/>
      </w:r>
      <w:r>
        <w:t xml:space="preserve"> </w:t>
      </w:r>
      <w:r>
        <w:rPr>
          <w:sz w:val="26"/>
          <w:szCs w:val="26"/>
        </w:rPr>
        <w:t>BAL-004-WECC-3 was approved under docket RD18-2 on May 30, 2018.</w:t>
      </w:r>
    </w:p>
    <w:p w:rsidR="00042714" w14:paraId="38D59D3C" w14:textId="10E1097F">
      <w:pPr>
        <w:pStyle w:val="FootnoteText"/>
      </w:pPr>
    </w:p>
  </w:footnote>
  <w:footnote w:id="9">
    <w:p w:rsidR="00042714" w:rsidRPr="00B35FEA" w:rsidP="00042714" w14:paraId="672C3C4E" w14:textId="121AD2FE">
      <w:pPr>
        <w:pStyle w:val="FootnoteText"/>
        <w:spacing w:after="120"/>
        <w:ind w:firstLine="720"/>
        <w:rPr>
          <w:rStyle w:val="FootnoteReference"/>
          <w:sz w:val="26"/>
          <w:szCs w:val="26"/>
        </w:rPr>
      </w:pPr>
      <w:r>
        <w:rPr>
          <w:rStyle w:val="FootnoteReference"/>
        </w:rPr>
        <w:footnoteRef/>
      </w:r>
      <w:r>
        <w:t xml:space="preserve"> </w:t>
      </w:r>
      <w:r>
        <w:rPr>
          <w:sz w:val="26"/>
          <w:szCs w:val="26"/>
        </w:rPr>
        <w:t>FAC-501-WECC-2 was approved under docket RD18-</w:t>
      </w:r>
      <w:r w:rsidR="008E1211">
        <w:rPr>
          <w:sz w:val="26"/>
          <w:szCs w:val="26"/>
        </w:rPr>
        <w:t>5</w:t>
      </w:r>
      <w:r>
        <w:rPr>
          <w:sz w:val="26"/>
          <w:szCs w:val="26"/>
        </w:rPr>
        <w:t xml:space="preserve"> on May 30, 2018.</w:t>
      </w:r>
    </w:p>
    <w:p w:rsidR="00042714" w14:paraId="35492149" w14:textId="27126217">
      <w:pPr>
        <w:pStyle w:val="FootnoteText"/>
      </w:pPr>
    </w:p>
  </w:footnote>
  <w:footnote w:id="10">
    <w:p w:rsidR="008E1211" w:rsidRPr="00B35FEA" w:rsidP="008E1211" w14:paraId="680F594A" w14:textId="2FF0104D">
      <w:pPr>
        <w:pStyle w:val="FootnoteText"/>
        <w:spacing w:after="120"/>
        <w:ind w:firstLine="720"/>
        <w:rPr>
          <w:rStyle w:val="FootnoteReference"/>
          <w:sz w:val="26"/>
          <w:szCs w:val="26"/>
        </w:rPr>
      </w:pPr>
      <w:r>
        <w:rPr>
          <w:rStyle w:val="FootnoteReference"/>
        </w:rPr>
        <w:footnoteRef/>
      </w:r>
      <w:r>
        <w:t xml:space="preserve"> </w:t>
      </w:r>
      <w:r>
        <w:rPr>
          <w:sz w:val="26"/>
          <w:szCs w:val="26"/>
        </w:rPr>
        <w:t>IRO-006-WECC-3 was approved under docket RD19-4 on May 10, 2019.</w:t>
      </w:r>
    </w:p>
    <w:p w:rsidR="008E1211" w14:paraId="2E79D81A" w14:textId="2FE15F93">
      <w:pPr>
        <w:pStyle w:val="FootnoteText"/>
      </w:pPr>
    </w:p>
  </w:footnote>
  <w:footnote w:id="11">
    <w:p w:rsidR="00170F88" w:rsidP="00170F88" w14:paraId="4D4BE104" w14:textId="23163454">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rPr>
        <w:t xml:space="preserve"> </w:t>
      </w:r>
      <w:r w:rsidRPr="008632FA">
        <w:rPr>
          <w:i/>
          <w:iCs/>
          <w:sz w:val="26"/>
          <w:szCs w:val="26"/>
        </w:rPr>
        <w:t>See</w:t>
      </w:r>
      <w:r>
        <w:rPr>
          <w:sz w:val="26"/>
          <w:szCs w:val="26"/>
        </w:rPr>
        <w:t xml:space="preserve"> </w:t>
      </w:r>
      <w:hyperlink r:id="rId1" w:history="1">
        <w:r w:rsidRPr="002865B5">
          <w:rPr>
            <w:rStyle w:val="Hyperlink"/>
            <w:sz w:val="26"/>
            <w:szCs w:val="26"/>
          </w:rPr>
          <w:t>https://www.nerc.com/globalassets/who-we-are/regional-delegation-agreements/wecc_bylaws.pdf</w:t>
        </w:r>
      </w:hyperlink>
    </w:p>
    <w:p w:rsidR="00170F88" w:rsidRPr="008632FA" w:rsidP="00170F88" w14:paraId="0B8F1976" w14:textId="77777777">
      <w:pPr>
        <w:pStyle w:val="FootnoteText"/>
        <w:spacing w:after="120"/>
        <w:ind w:firstLine="720"/>
        <w:rPr>
          <w:sz w:val="26"/>
          <w:szCs w:val="26"/>
        </w:rPr>
      </w:pPr>
    </w:p>
  </w:footnote>
  <w:footnote w:id="12">
    <w:p w:rsidR="00092FEC" w:rsidRPr="008632FA" w:rsidP="008632FA" w14:paraId="227080BC" w14:textId="77777777">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vertAlign w:val="superscript"/>
        </w:rPr>
        <w:t xml:space="preserve"> </w:t>
      </w:r>
      <w:r w:rsidRPr="008632FA">
        <w:rPr>
          <w:sz w:val="26"/>
          <w:szCs w:val="26"/>
        </w:rPr>
        <w:t>Section 1502, Paragraph 2, available at NERCs website.</w:t>
      </w:r>
    </w:p>
  </w:footnote>
  <w:footnote w:id="13">
    <w:p w:rsidR="006E1DC6" w:rsidRPr="004C19E9" w:rsidP="006E1DC6" w14:paraId="12F58F0B" w14:textId="77777777">
      <w:pPr>
        <w:pStyle w:val="FootnoteText"/>
        <w:ind w:firstLine="720"/>
        <w:rPr>
          <w:sz w:val="26"/>
          <w:szCs w:val="26"/>
        </w:rPr>
      </w:pPr>
      <w:r w:rsidRPr="00A2003C">
        <w:rPr>
          <w:rStyle w:val="FootnoteReference"/>
        </w:rPr>
        <w:footnoteRef/>
      </w:r>
      <w:r>
        <w:rPr>
          <w:sz w:val="26"/>
          <w:szCs w:val="26"/>
        </w:rPr>
        <w:t xml:space="preserve"> </w:t>
      </w:r>
      <w:r w:rsidRPr="00100628">
        <w:rPr>
          <w:sz w:val="26"/>
          <w:szCs w:val="26"/>
        </w:rPr>
        <w:t>The estimated hourly cost (salary plus benefits) is a combination of the following categories from the BLS website, http://www.bls.gov/oes/current/naics2_22.htm:  75% of the average of an Electrical Engineer (17-2071) $71.19/hr., x .75 = 53.3925 ($53.39-rounded) ($53.39/hour); and 25% of an Information and Record Clerk (43-4199) $40.51/hr., $40.51 x .25 = 10.1275 ($10.13 rounded) ($10.13/hour), for a total ($53.39+$10.13 = $63.52/hour).</w:t>
      </w:r>
      <w:r w:rsidRPr="004C19E9">
        <w:rPr>
          <w:sz w:val="26"/>
          <w:szCs w:val="26"/>
        </w:rPr>
        <w:t xml:space="preserve"> </w:t>
      </w:r>
    </w:p>
  </w:footnote>
  <w:footnote w:id="14">
    <w:p w:rsidR="006E1DC6" w:rsidRPr="002D1F07" w:rsidP="006E1DC6" w14:paraId="717D5E61" w14:textId="77777777">
      <w:pPr>
        <w:pStyle w:val="FootnoteText"/>
        <w:ind w:firstLine="720"/>
        <w:rPr>
          <w:sz w:val="26"/>
          <w:szCs w:val="26"/>
        </w:rPr>
      </w:pPr>
      <w:r>
        <w:rPr>
          <w:rStyle w:val="FootnoteReference"/>
        </w:rPr>
        <w:footnoteRef/>
      </w:r>
      <w:r>
        <w:t xml:space="preserve"> </w:t>
      </w:r>
      <w:r w:rsidRPr="002D1F07">
        <w:rPr>
          <w:sz w:val="26"/>
          <w:szCs w:val="26"/>
        </w:rPr>
        <w:t xml:space="preserve">The “Number of Entity” data is compiled from the February 9, 2026, edition of the NERC Compliance Registry.  “BA” means balancing authority; “RSG” means reserve sharing group. </w:t>
      </w:r>
    </w:p>
  </w:footnote>
  <w:footnote w:id="15">
    <w:p w:rsidR="00760EE9" w:rsidRPr="00760EE9" w:rsidP="00760EE9" w14:paraId="4B9BB02E" w14:textId="77777777">
      <w:pPr>
        <w:pStyle w:val="FootnoteText"/>
        <w:spacing w:after="120"/>
        <w:ind w:firstLine="720"/>
        <w:rPr>
          <w:sz w:val="26"/>
          <w:szCs w:val="26"/>
        </w:rPr>
      </w:pPr>
      <w:r w:rsidRPr="008632FA">
        <w:rPr>
          <w:rStyle w:val="FootnoteReference"/>
          <w:sz w:val="26"/>
          <w:szCs w:val="26"/>
          <w:vertAlign w:val="superscript"/>
        </w:rPr>
        <w:footnoteRef/>
      </w:r>
      <w:r w:rsidRPr="008632FA">
        <w:rPr>
          <w:sz w:val="26"/>
          <w:szCs w:val="26"/>
        </w:rPr>
        <w:t xml:space="preserve"> </w:t>
      </w:r>
      <w:r w:rsidRPr="00760EE9">
        <w:rPr>
          <w:sz w:val="26"/>
          <w:szCs w:val="26"/>
        </w:rPr>
        <w:t>The PRA Administrative Cost is a Federal Cost associated with preparing, issuing, and submitting materials necessary to comply with the Paperwork Reduction Act (PRA) for rulemakings, orders, or any other vehicle used to create, modify, extend, or discontinue an information collection.  This average annual cost includes requests for extensions, all associated rulemakings, and other changes to the collection, as well as necessary publications in the Federal Register.</w:t>
      </w:r>
    </w:p>
    <w:p w:rsidR="00092FEC" w:rsidRPr="008632FA" w:rsidP="008632FA" w14:paraId="2C5047DF" w14:textId="2EC2A6C2">
      <w:pPr>
        <w:pStyle w:val="FootnoteText"/>
        <w:spacing w:after="120"/>
        <w:ind w:firstLine="720"/>
        <w:rPr>
          <w:sz w:val="26"/>
          <w:szCs w:val="2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FEC" w14:paraId="11C44FB6" w14:textId="77777777">
    <w:pPr>
      <w:pStyle w:val="Header"/>
    </w:pPr>
  </w:p>
  <w:p w:rsidR="00092FEC" w14:paraId="1395DC45" w14:textId="77777777"/>
  <w:p w:rsidR="00092FEC" w14:paraId="4A9BE488" w14:textId="77777777"/>
  <w:p w:rsidR="00092FEC" w14:paraId="2F44DC4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FEC" w:rsidRPr="00E65EF4" w14:paraId="299FEECE" w14:textId="70A19236">
    <w:pPr>
      <w:pStyle w:val="Header"/>
      <w:rPr>
        <w:rFonts w:ascii="Times New Roman" w:hAnsi="Times New Roman" w:cs="Times New Roman"/>
        <w:sz w:val="26"/>
        <w:szCs w:val="26"/>
      </w:rPr>
    </w:pPr>
    <w:r w:rsidRPr="00E65EF4">
      <w:rPr>
        <w:rFonts w:ascii="Times New Roman" w:hAnsi="Times New Roman" w:cs="Times New Roman"/>
        <w:sz w:val="26"/>
        <w:szCs w:val="26"/>
      </w:rPr>
      <w:t>FERC-725E (OMB Control No. 1902-0246)</w:t>
    </w:r>
  </w:p>
  <w:p w:rsidR="00092FEC" w:rsidP="004D1CD2" w14:paraId="69D286BB" w14:textId="27813384">
    <w:pPr>
      <w:pStyle w:val="Header"/>
      <w:rPr>
        <w:rFonts w:ascii="Times New Roman" w:hAnsi="Times New Roman" w:cs="Times New Roman"/>
        <w:sz w:val="26"/>
        <w:szCs w:val="26"/>
      </w:rPr>
    </w:pPr>
    <w:r>
      <w:rPr>
        <w:rFonts w:ascii="Times New Roman" w:hAnsi="Times New Roman" w:cs="Times New Roman"/>
        <w:sz w:val="26"/>
        <w:szCs w:val="26"/>
      </w:rPr>
      <w:t>Docket No. RD2</w:t>
    </w:r>
    <w:r w:rsidR="001B1484">
      <w:rPr>
        <w:rFonts w:ascii="Times New Roman" w:hAnsi="Times New Roman" w:cs="Times New Roman"/>
        <w:sz w:val="26"/>
        <w:szCs w:val="26"/>
      </w:rPr>
      <w:t>6</w:t>
    </w:r>
    <w:r>
      <w:rPr>
        <w:rFonts w:ascii="Times New Roman" w:hAnsi="Times New Roman" w:cs="Times New Roman"/>
        <w:sz w:val="26"/>
        <w:szCs w:val="26"/>
      </w:rPr>
      <w:t>-</w:t>
    </w:r>
    <w:r w:rsidR="001B1484">
      <w:rPr>
        <w:rFonts w:ascii="Times New Roman" w:hAnsi="Times New Roman" w:cs="Times New Roman"/>
        <w:sz w:val="26"/>
        <w:szCs w:val="26"/>
      </w:rPr>
      <w:t>5</w:t>
    </w:r>
    <w:r>
      <w:rPr>
        <w:rFonts w:ascii="Times New Roman" w:hAnsi="Times New Roman" w:cs="Times New Roman"/>
        <w:sz w:val="26"/>
        <w:szCs w:val="26"/>
      </w:rPr>
      <w:t>-000</w:t>
    </w:r>
  </w:p>
  <w:p w:rsidR="000F1C3B" w:rsidRPr="00F46AFA" w:rsidP="004D1CD2" w14:paraId="2CB1F246" w14:textId="1C8F2BCB">
    <w:pPr>
      <w:pStyle w:val="Header"/>
      <w:rPr>
        <w:rFonts w:ascii="Times New Roman" w:hAnsi="Times New Roman" w:cs="Times New Roman"/>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EC7281"/>
    <w:multiLevelType w:val="hybridMultilevel"/>
    <w:tmpl w:val="FAF417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B34031"/>
    <w:multiLevelType w:val="hybridMultilevel"/>
    <w:tmpl w:val="A844D1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CC7705"/>
    <w:multiLevelType w:val="hybridMultilevel"/>
    <w:tmpl w:val="98CEB89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6F065A9"/>
    <w:multiLevelType w:val="hybridMultilevel"/>
    <w:tmpl w:val="A934A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023F7C"/>
    <w:multiLevelType w:val="multilevel"/>
    <w:tmpl w:val="7E92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610EB8"/>
    <w:multiLevelType w:val="hybridMultilevel"/>
    <w:tmpl w:val="92902B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AB1693D"/>
    <w:multiLevelType w:val="hybridMultilevel"/>
    <w:tmpl w:val="2682BE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497017"/>
    <w:multiLevelType w:val="hybridMultilevel"/>
    <w:tmpl w:val="C47AEEC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8">
    <w:nsid w:val="1B373959"/>
    <w:multiLevelType w:val="hybridMultilevel"/>
    <w:tmpl w:val="8670DB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DA91A3C"/>
    <w:multiLevelType w:val="hybridMultilevel"/>
    <w:tmpl w:val="42B2F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1">
    <w:nsid w:val="25002CED"/>
    <w:multiLevelType w:val="hybridMultilevel"/>
    <w:tmpl w:val="61DA5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6D73B27"/>
    <w:multiLevelType w:val="hybridMultilevel"/>
    <w:tmpl w:val="2E1AF6E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6E7225C"/>
    <w:multiLevelType w:val="hybridMultilevel"/>
    <w:tmpl w:val="E0C0B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8C83583"/>
    <w:multiLevelType w:val="hybridMultilevel"/>
    <w:tmpl w:val="2F1A60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2BC04FF"/>
    <w:multiLevelType w:val="hybridMultilevel"/>
    <w:tmpl w:val="CAC218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2E068CE"/>
    <w:multiLevelType w:val="hybridMultilevel"/>
    <w:tmpl w:val="0950BF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8">
    <w:nsid w:val="42BB3549"/>
    <w:multiLevelType w:val="hybridMultilevel"/>
    <w:tmpl w:val="20D01A8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9">
    <w:nsid w:val="453C6417"/>
    <w:multiLevelType w:val="hybridMultilevel"/>
    <w:tmpl w:val="53A8CA2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DB56EA1"/>
    <w:multiLevelType w:val="hybridMultilevel"/>
    <w:tmpl w:val="DF985A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4FCC1895"/>
    <w:multiLevelType w:val="hybridMultilevel"/>
    <w:tmpl w:val="632C2E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138255B"/>
    <w:multiLevelType w:val="hybridMultilevel"/>
    <w:tmpl w:val="AA26E8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2152B0D"/>
    <w:multiLevelType w:val="hybridMultilevel"/>
    <w:tmpl w:val="B9DE19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5DE7E44"/>
    <w:multiLevelType w:val="hybridMultilevel"/>
    <w:tmpl w:val="ABC8A4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96F428C"/>
    <w:multiLevelType w:val="hybridMultilevel"/>
    <w:tmpl w:val="7BDE7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9B36C0F"/>
    <w:multiLevelType w:val="hybridMultilevel"/>
    <w:tmpl w:val="82E63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B260868"/>
    <w:multiLevelType w:val="hybridMultilevel"/>
    <w:tmpl w:val="FF0638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C0A2A45"/>
    <w:multiLevelType w:val="hybridMultilevel"/>
    <w:tmpl w:val="8E4EB1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ED977DE"/>
    <w:multiLevelType w:val="hybridMultilevel"/>
    <w:tmpl w:val="AC5A97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5FE04EA5"/>
    <w:multiLevelType w:val="multilevel"/>
    <w:tmpl w:val="98BC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13A2CD3"/>
    <w:multiLevelType w:val="hybridMultilevel"/>
    <w:tmpl w:val="8DC43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6646310"/>
    <w:multiLevelType w:val="hybridMultilevel"/>
    <w:tmpl w:val="2984FF1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672835CA"/>
    <w:multiLevelType w:val="hybridMultilevel"/>
    <w:tmpl w:val="63342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BCF05D8"/>
    <w:multiLevelType w:val="hybridMultilevel"/>
    <w:tmpl w:val="D5B058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E4E4DD3"/>
    <w:multiLevelType w:val="hybridMultilevel"/>
    <w:tmpl w:val="B874E552"/>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3240"/>
        </w:tabs>
      </w:pPr>
      <w:rPr>
        <w:rFonts w:cs="Times New Roman"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03143389">
    <w:abstractNumId w:val="21"/>
  </w:num>
  <w:num w:numId="2" w16cid:durableId="1913999391">
    <w:abstractNumId w:val="17"/>
  </w:num>
  <w:num w:numId="3" w16cid:durableId="1369253910">
    <w:abstractNumId w:val="27"/>
  </w:num>
  <w:num w:numId="4" w16cid:durableId="916135261">
    <w:abstractNumId w:val="33"/>
  </w:num>
  <w:num w:numId="5" w16cid:durableId="1258909670">
    <w:abstractNumId w:val="22"/>
  </w:num>
  <w:num w:numId="6" w16cid:durableId="1071998533">
    <w:abstractNumId w:val="2"/>
  </w:num>
  <w:num w:numId="7" w16cid:durableId="311373434">
    <w:abstractNumId w:val="15"/>
  </w:num>
  <w:num w:numId="8" w16cid:durableId="1841460309">
    <w:abstractNumId w:val="19"/>
  </w:num>
  <w:num w:numId="9" w16cid:durableId="594484361">
    <w:abstractNumId w:val="34"/>
  </w:num>
  <w:num w:numId="10" w16cid:durableId="1195146588">
    <w:abstractNumId w:val="25"/>
  </w:num>
  <w:num w:numId="11" w16cid:durableId="896554587">
    <w:abstractNumId w:val="5"/>
  </w:num>
  <w:num w:numId="12" w16cid:durableId="1959337853">
    <w:abstractNumId w:val="8"/>
  </w:num>
  <w:num w:numId="13" w16cid:durableId="40250822">
    <w:abstractNumId w:val="3"/>
  </w:num>
  <w:num w:numId="14" w16cid:durableId="1940521016">
    <w:abstractNumId w:val="9"/>
  </w:num>
  <w:num w:numId="15" w16cid:durableId="1629437471">
    <w:abstractNumId w:val="23"/>
  </w:num>
  <w:num w:numId="16" w16cid:durableId="1893348093">
    <w:abstractNumId w:val="28"/>
  </w:num>
  <w:num w:numId="17" w16cid:durableId="476723344">
    <w:abstractNumId w:val="16"/>
  </w:num>
  <w:num w:numId="18" w16cid:durableId="850948962">
    <w:abstractNumId w:val="20"/>
  </w:num>
  <w:num w:numId="19" w16cid:durableId="1434858757">
    <w:abstractNumId w:val="29"/>
  </w:num>
  <w:num w:numId="20" w16cid:durableId="1417704476">
    <w:abstractNumId w:val="0"/>
  </w:num>
  <w:num w:numId="21" w16cid:durableId="949898812">
    <w:abstractNumId w:val="31"/>
  </w:num>
  <w:num w:numId="22" w16cid:durableId="1353458086">
    <w:abstractNumId w:val="14"/>
  </w:num>
  <w:num w:numId="23" w16cid:durableId="63837069">
    <w:abstractNumId w:val="13"/>
  </w:num>
  <w:num w:numId="24" w16cid:durableId="1805461179">
    <w:abstractNumId w:val="12"/>
  </w:num>
  <w:num w:numId="25" w16cid:durableId="662397144">
    <w:abstractNumId w:val="32"/>
  </w:num>
  <w:num w:numId="26" w16cid:durableId="193470804">
    <w:abstractNumId w:val="24"/>
  </w:num>
  <w:num w:numId="27" w16cid:durableId="292755723">
    <w:abstractNumId w:val="7"/>
  </w:num>
  <w:num w:numId="28" w16cid:durableId="858081403">
    <w:abstractNumId w:val="6"/>
  </w:num>
  <w:num w:numId="29" w16cid:durableId="974529231">
    <w:abstractNumId w:val="35"/>
  </w:num>
  <w:num w:numId="30" w16cid:durableId="1915625548">
    <w:abstractNumId w:val="11"/>
  </w:num>
  <w:num w:numId="31" w16cid:durableId="1282610341">
    <w:abstractNumId w:val="26"/>
  </w:num>
  <w:num w:numId="32" w16cid:durableId="662707249">
    <w:abstractNumId w:val="1"/>
  </w:num>
  <w:num w:numId="33" w16cid:durableId="332344818">
    <w:abstractNumId w:val="32"/>
  </w:num>
  <w:num w:numId="34" w16cid:durableId="131366138">
    <w:abstractNumId w:val="18"/>
  </w:num>
  <w:num w:numId="35" w16cid:durableId="1780488231">
    <w:abstractNumId w:val="10"/>
  </w:num>
  <w:num w:numId="36" w16cid:durableId="2034763258">
    <w:abstractNumId w:val="4"/>
  </w:num>
  <w:num w:numId="37" w16cid:durableId="102644358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F1"/>
    <w:rsid w:val="00004742"/>
    <w:rsid w:val="0000761B"/>
    <w:rsid w:val="00007B68"/>
    <w:rsid w:val="00007F09"/>
    <w:rsid w:val="000158B8"/>
    <w:rsid w:val="000221D8"/>
    <w:rsid w:val="0002242D"/>
    <w:rsid w:val="0002567F"/>
    <w:rsid w:val="00027D37"/>
    <w:rsid w:val="00030C21"/>
    <w:rsid w:val="00033DBE"/>
    <w:rsid w:val="00035845"/>
    <w:rsid w:val="00042714"/>
    <w:rsid w:val="000517E2"/>
    <w:rsid w:val="00053C13"/>
    <w:rsid w:val="00061CD8"/>
    <w:rsid w:val="0007342D"/>
    <w:rsid w:val="00074DC8"/>
    <w:rsid w:val="0007636B"/>
    <w:rsid w:val="000769F8"/>
    <w:rsid w:val="00077A16"/>
    <w:rsid w:val="0008458A"/>
    <w:rsid w:val="00092592"/>
    <w:rsid w:val="00092FEC"/>
    <w:rsid w:val="000933E6"/>
    <w:rsid w:val="00097E6C"/>
    <w:rsid w:val="000A18A4"/>
    <w:rsid w:val="000A49C8"/>
    <w:rsid w:val="000B0C37"/>
    <w:rsid w:val="000B45EB"/>
    <w:rsid w:val="000B5C63"/>
    <w:rsid w:val="000C5CD7"/>
    <w:rsid w:val="000C6281"/>
    <w:rsid w:val="000D275F"/>
    <w:rsid w:val="000D4826"/>
    <w:rsid w:val="000D58F6"/>
    <w:rsid w:val="000D6355"/>
    <w:rsid w:val="000D6FBE"/>
    <w:rsid w:val="000E15B3"/>
    <w:rsid w:val="000E2B20"/>
    <w:rsid w:val="000E4A8D"/>
    <w:rsid w:val="000E5772"/>
    <w:rsid w:val="000E5AEC"/>
    <w:rsid w:val="000E5DC4"/>
    <w:rsid w:val="000E5F31"/>
    <w:rsid w:val="000E609E"/>
    <w:rsid w:val="000E64CB"/>
    <w:rsid w:val="000F1C3B"/>
    <w:rsid w:val="000F1DBC"/>
    <w:rsid w:val="000F34E5"/>
    <w:rsid w:val="000F41C9"/>
    <w:rsid w:val="000F4363"/>
    <w:rsid w:val="00100628"/>
    <w:rsid w:val="001018C6"/>
    <w:rsid w:val="001042F9"/>
    <w:rsid w:val="00107493"/>
    <w:rsid w:val="00110B7F"/>
    <w:rsid w:val="001115C7"/>
    <w:rsid w:val="001119AF"/>
    <w:rsid w:val="00114FB4"/>
    <w:rsid w:val="00116CE3"/>
    <w:rsid w:val="00122270"/>
    <w:rsid w:val="0012296A"/>
    <w:rsid w:val="0012304A"/>
    <w:rsid w:val="001348AC"/>
    <w:rsid w:val="00134C6E"/>
    <w:rsid w:val="00143103"/>
    <w:rsid w:val="0014356C"/>
    <w:rsid w:val="00144325"/>
    <w:rsid w:val="00146A61"/>
    <w:rsid w:val="00146B1A"/>
    <w:rsid w:val="00150D8F"/>
    <w:rsid w:val="001526D6"/>
    <w:rsid w:val="00155523"/>
    <w:rsid w:val="00162B26"/>
    <w:rsid w:val="00170F88"/>
    <w:rsid w:val="0017533A"/>
    <w:rsid w:val="00175AD1"/>
    <w:rsid w:val="00181727"/>
    <w:rsid w:val="001837C9"/>
    <w:rsid w:val="00185730"/>
    <w:rsid w:val="00187875"/>
    <w:rsid w:val="001944FA"/>
    <w:rsid w:val="001968F8"/>
    <w:rsid w:val="00197A36"/>
    <w:rsid w:val="001A003D"/>
    <w:rsid w:val="001A05A0"/>
    <w:rsid w:val="001A50AB"/>
    <w:rsid w:val="001B1484"/>
    <w:rsid w:val="001B3DC2"/>
    <w:rsid w:val="001C0E73"/>
    <w:rsid w:val="001C1170"/>
    <w:rsid w:val="001C1E51"/>
    <w:rsid w:val="001C2970"/>
    <w:rsid w:val="001C2DAF"/>
    <w:rsid w:val="001C38E7"/>
    <w:rsid w:val="001C559B"/>
    <w:rsid w:val="001E6AC0"/>
    <w:rsid w:val="00200D8E"/>
    <w:rsid w:val="0020384F"/>
    <w:rsid w:val="00203B03"/>
    <w:rsid w:val="00211AB0"/>
    <w:rsid w:val="00212A83"/>
    <w:rsid w:val="0023108B"/>
    <w:rsid w:val="00236674"/>
    <w:rsid w:val="002370C7"/>
    <w:rsid w:val="0024196A"/>
    <w:rsid w:val="0024658E"/>
    <w:rsid w:val="00247B75"/>
    <w:rsid w:val="00256A10"/>
    <w:rsid w:val="0025779D"/>
    <w:rsid w:val="00262733"/>
    <w:rsid w:val="0026674D"/>
    <w:rsid w:val="00266D15"/>
    <w:rsid w:val="00272108"/>
    <w:rsid w:val="00272CFB"/>
    <w:rsid w:val="002779D9"/>
    <w:rsid w:val="002861A9"/>
    <w:rsid w:val="002865B5"/>
    <w:rsid w:val="00297631"/>
    <w:rsid w:val="002A0586"/>
    <w:rsid w:val="002A0D26"/>
    <w:rsid w:val="002A1294"/>
    <w:rsid w:val="002A40A7"/>
    <w:rsid w:val="002A66FE"/>
    <w:rsid w:val="002B13E2"/>
    <w:rsid w:val="002B4DD2"/>
    <w:rsid w:val="002B5629"/>
    <w:rsid w:val="002B7AD8"/>
    <w:rsid w:val="002C1BFB"/>
    <w:rsid w:val="002C2A7F"/>
    <w:rsid w:val="002C5784"/>
    <w:rsid w:val="002C63E1"/>
    <w:rsid w:val="002D0F37"/>
    <w:rsid w:val="002D1F07"/>
    <w:rsid w:val="002D68A7"/>
    <w:rsid w:val="002D6FE3"/>
    <w:rsid w:val="002E6A06"/>
    <w:rsid w:val="003007FC"/>
    <w:rsid w:val="003018E5"/>
    <w:rsid w:val="003021C9"/>
    <w:rsid w:val="0030420E"/>
    <w:rsid w:val="00304952"/>
    <w:rsid w:val="00305C5E"/>
    <w:rsid w:val="00321733"/>
    <w:rsid w:val="00323BCE"/>
    <w:rsid w:val="0032580E"/>
    <w:rsid w:val="00326D6D"/>
    <w:rsid w:val="003316E0"/>
    <w:rsid w:val="00345EC0"/>
    <w:rsid w:val="00347E84"/>
    <w:rsid w:val="003528CC"/>
    <w:rsid w:val="00362710"/>
    <w:rsid w:val="00362A6A"/>
    <w:rsid w:val="00363B01"/>
    <w:rsid w:val="00363C97"/>
    <w:rsid w:val="00373A24"/>
    <w:rsid w:val="00375E33"/>
    <w:rsid w:val="003800E6"/>
    <w:rsid w:val="00391706"/>
    <w:rsid w:val="00393395"/>
    <w:rsid w:val="0039666D"/>
    <w:rsid w:val="003967A4"/>
    <w:rsid w:val="003B0249"/>
    <w:rsid w:val="003B3B61"/>
    <w:rsid w:val="003C51DB"/>
    <w:rsid w:val="003C5AAB"/>
    <w:rsid w:val="003D0F07"/>
    <w:rsid w:val="003D5A4D"/>
    <w:rsid w:val="003D5BDA"/>
    <w:rsid w:val="003E0597"/>
    <w:rsid w:val="003E0FE1"/>
    <w:rsid w:val="003E65BE"/>
    <w:rsid w:val="003E6914"/>
    <w:rsid w:val="003E6C01"/>
    <w:rsid w:val="003F105D"/>
    <w:rsid w:val="003F28AC"/>
    <w:rsid w:val="003F662D"/>
    <w:rsid w:val="0040192F"/>
    <w:rsid w:val="0040582B"/>
    <w:rsid w:val="00414F32"/>
    <w:rsid w:val="004209AA"/>
    <w:rsid w:val="004276A5"/>
    <w:rsid w:val="00443588"/>
    <w:rsid w:val="00443D5E"/>
    <w:rsid w:val="00444B25"/>
    <w:rsid w:val="00444C8D"/>
    <w:rsid w:val="00452C60"/>
    <w:rsid w:val="004532FC"/>
    <w:rsid w:val="00454081"/>
    <w:rsid w:val="0045480C"/>
    <w:rsid w:val="0045680D"/>
    <w:rsid w:val="00460B54"/>
    <w:rsid w:val="00463311"/>
    <w:rsid w:val="004639D8"/>
    <w:rsid w:val="00466C57"/>
    <w:rsid w:val="00484223"/>
    <w:rsid w:val="004926FB"/>
    <w:rsid w:val="004A0321"/>
    <w:rsid w:val="004A4677"/>
    <w:rsid w:val="004A6C2C"/>
    <w:rsid w:val="004A719A"/>
    <w:rsid w:val="004A75E0"/>
    <w:rsid w:val="004B3FFA"/>
    <w:rsid w:val="004B62CA"/>
    <w:rsid w:val="004C02F0"/>
    <w:rsid w:val="004C0FAA"/>
    <w:rsid w:val="004C1605"/>
    <w:rsid w:val="004C194B"/>
    <w:rsid w:val="004C19E9"/>
    <w:rsid w:val="004C4C89"/>
    <w:rsid w:val="004C5E0E"/>
    <w:rsid w:val="004D1CD2"/>
    <w:rsid w:val="004D29AB"/>
    <w:rsid w:val="004D7E70"/>
    <w:rsid w:val="004E0E22"/>
    <w:rsid w:val="004E16BD"/>
    <w:rsid w:val="004E651C"/>
    <w:rsid w:val="004F2520"/>
    <w:rsid w:val="004F6977"/>
    <w:rsid w:val="004F70C9"/>
    <w:rsid w:val="00502927"/>
    <w:rsid w:val="00502DBF"/>
    <w:rsid w:val="00503A70"/>
    <w:rsid w:val="005056D0"/>
    <w:rsid w:val="00507511"/>
    <w:rsid w:val="005121A2"/>
    <w:rsid w:val="00513A16"/>
    <w:rsid w:val="00520B6F"/>
    <w:rsid w:val="00521C73"/>
    <w:rsid w:val="00522F69"/>
    <w:rsid w:val="0053287C"/>
    <w:rsid w:val="005351E5"/>
    <w:rsid w:val="00540572"/>
    <w:rsid w:val="00541B4E"/>
    <w:rsid w:val="00541FBD"/>
    <w:rsid w:val="005462B6"/>
    <w:rsid w:val="00546870"/>
    <w:rsid w:val="00547FA1"/>
    <w:rsid w:val="00556B7B"/>
    <w:rsid w:val="00557898"/>
    <w:rsid w:val="005642AB"/>
    <w:rsid w:val="00565748"/>
    <w:rsid w:val="0056664C"/>
    <w:rsid w:val="00567E81"/>
    <w:rsid w:val="00570861"/>
    <w:rsid w:val="00571C5E"/>
    <w:rsid w:val="00576FDE"/>
    <w:rsid w:val="0057700F"/>
    <w:rsid w:val="00581320"/>
    <w:rsid w:val="00582E7E"/>
    <w:rsid w:val="00591BAD"/>
    <w:rsid w:val="00592BD5"/>
    <w:rsid w:val="005A2792"/>
    <w:rsid w:val="005A29F9"/>
    <w:rsid w:val="005A6CBD"/>
    <w:rsid w:val="005B2AD9"/>
    <w:rsid w:val="005B3620"/>
    <w:rsid w:val="005B77CE"/>
    <w:rsid w:val="005C4035"/>
    <w:rsid w:val="005E2146"/>
    <w:rsid w:val="005E23AC"/>
    <w:rsid w:val="005E66F0"/>
    <w:rsid w:val="005F1C3C"/>
    <w:rsid w:val="005F2281"/>
    <w:rsid w:val="005F44CB"/>
    <w:rsid w:val="0061278E"/>
    <w:rsid w:val="00614043"/>
    <w:rsid w:val="006166FA"/>
    <w:rsid w:val="00621B9E"/>
    <w:rsid w:val="00621C29"/>
    <w:rsid w:val="00624561"/>
    <w:rsid w:val="00625238"/>
    <w:rsid w:val="00630A34"/>
    <w:rsid w:val="00637CE1"/>
    <w:rsid w:val="00640365"/>
    <w:rsid w:val="006437A2"/>
    <w:rsid w:val="006463E8"/>
    <w:rsid w:val="00652E76"/>
    <w:rsid w:val="00656FFC"/>
    <w:rsid w:val="00657A47"/>
    <w:rsid w:val="006641D7"/>
    <w:rsid w:val="00664BC0"/>
    <w:rsid w:val="00667ECC"/>
    <w:rsid w:val="006733F7"/>
    <w:rsid w:val="00674735"/>
    <w:rsid w:val="00674FD8"/>
    <w:rsid w:val="00682634"/>
    <w:rsid w:val="006836E3"/>
    <w:rsid w:val="00685821"/>
    <w:rsid w:val="00690136"/>
    <w:rsid w:val="0069237F"/>
    <w:rsid w:val="006937EA"/>
    <w:rsid w:val="00693952"/>
    <w:rsid w:val="006957E8"/>
    <w:rsid w:val="00697657"/>
    <w:rsid w:val="006A62E5"/>
    <w:rsid w:val="006B437C"/>
    <w:rsid w:val="006B473E"/>
    <w:rsid w:val="006B6D60"/>
    <w:rsid w:val="006B7101"/>
    <w:rsid w:val="006C0BB5"/>
    <w:rsid w:val="006C1176"/>
    <w:rsid w:val="006D546C"/>
    <w:rsid w:val="006D55FF"/>
    <w:rsid w:val="006D5F25"/>
    <w:rsid w:val="006D6C78"/>
    <w:rsid w:val="006E03AF"/>
    <w:rsid w:val="006E1DC6"/>
    <w:rsid w:val="006E3CFD"/>
    <w:rsid w:val="006E48BC"/>
    <w:rsid w:val="006E7F90"/>
    <w:rsid w:val="006F4640"/>
    <w:rsid w:val="007055E0"/>
    <w:rsid w:val="00711903"/>
    <w:rsid w:val="007153BB"/>
    <w:rsid w:val="00716469"/>
    <w:rsid w:val="007166BF"/>
    <w:rsid w:val="007205C7"/>
    <w:rsid w:val="00731C22"/>
    <w:rsid w:val="00736047"/>
    <w:rsid w:val="0074195A"/>
    <w:rsid w:val="00744200"/>
    <w:rsid w:val="00744A3C"/>
    <w:rsid w:val="00752862"/>
    <w:rsid w:val="00756810"/>
    <w:rsid w:val="00757503"/>
    <w:rsid w:val="00760EE9"/>
    <w:rsid w:val="00761A02"/>
    <w:rsid w:val="00773AEB"/>
    <w:rsid w:val="00774D65"/>
    <w:rsid w:val="007763AF"/>
    <w:rsid w:val="0078612A"/>
    <w:rsid w:val="007863D5"/>
    <w:rsid w:val="00787670"/>
    <w:rsid w:val="007A1A3F"/>
    <w:rsid w:val="007A2F92"/>
    <w:rsid w:val="007A6142"/>
    <w:rsid w:val="007B06B3"/>
    <w:rsid w:val="007B193F"/>
    <w:rsid w:val="007B7E0C"/>
    <w:rsid w:val="007C1FB6"/>
    <w:rsid w:val="007D069B"/>
    <w:rsid w:val="007D719C"/>
    <w:rsid w:val="007E355F"/>
    <w:rsid w:val="007E3C37"/>
    <w:rsid w:val="007E7C0F"/>
    <w:rsid w:val="007F47B9"/>
    <w:rsid w:val="007F4AE4"/>
    <w:rsid w:val="007F77DA"/>
    <w:rsid w:val="008008FC"/>
    <w:rsid w:val="00801106"/>
    <w:rsid w:val="00801F9A"/>
    <w:rsid w:val="0080259A"/>
    <w:rsid w:val="00802C88"/>
    <w:rsid w:val="008059E2"/>
    <w:rsid w:val="00815BEC"/>
    <w:rsid w:val="0081620A"/>
    <w:rsid w:val="00820C3B"/>
    <w:rsid w:val="00825EE1"/>
    <w:rsid w:val="00834C7F"/>
    <w:rsid w:val="00837712"/>
    <w:rsid w:val="008419CF"/>
    <w:rsid w:val="008421BA"/>
    <w:rsid w:val="00843AA8"/>
    <w:rsid w:val="008474DF"/>
    <w:rsid w:val="008524C6"/>
    <w:rsid w:val="00854316"/>
    <w:rsid w:val="00855EC8"/>
    <w:rsid w:val="00856AD6"/>
    <w:rsid w:val="008619E1"/>
    <w:rsid w:val="008632FA"/>
    <w:rsid w:val="00865FD9"/>
    <w:rsid w:val="00873A94"/>
    <w:rsid w:val="00876F75"/>
    <w:rsid w:val="0087784D"/>
    <w:rsid w:val="0089685A"/>
    <w:rsid w:val="008969E4"/>
    <w:rsid w:val="00896C01"/>
    <w:rsid w:val="008A0D94"/>
    <w:rsid w:val="008A1689"/>
    <w:rsid w:val="008A21A4"/>
    <w:rsid w:val="008A422C"/>
    <w:rsid w:val="008A52E9"/>
    <w:rsid w:val="008B5C47"/>
    <w:rsid w:val="008B703B"/>
    <w:rsid w:val="008B7413"/>
    <w:rsid w:val="008C238C"/>
    <w:rsid w:val="008C25E0"/>
    <w:rsid w:val="008C288D"/>
    <w:rsid w:val="008C2F02"/>
    <w:rsid w:val="008C5329"/>
    <w:rsid w:val="008C76E2"/>
    <w:rsid w:val="008D310F"/>
    <w:rsid w:val="008E1211"/>
    <w:rsid w:val="008E58B7"/>
    <w:rsid w:val="008E70CD"/>
    <w:rsid w:val="008F4150"/>
    <w:rsid w:val="008F7BE1"/>
    <w:rsid w:val="00904F9A"/>
    <w:rsid w:val="00906338"/>
    <w:rsid w:val="00907BE9"/>
    <w:rsid w:val="009115AB"/>
    <w:rsid w:val="00911FF4"/>
    <w:rsid w:val="00913A8B"/>
    <w:rsid w:val="0092547D"/>
    <w:rsid w:val="009276A9"/>
    <w:rsid w:val="0093102B"/>
    <w:rsid w:val="009322A8"/>
    <w:rsid w:val="0093357F"/>
    <w:rsid w:val="009430EF"/>
    <w:rsid w:val="00950ECA"/>
    <w:rsid w:val="00952D21"/>
    <w:rsid w:val="009542AF"/>
    <w:rsid w:val="00955FE6"/>
    <w:rsid w:val="00956F0E"/>
    <w:rsid w:val="00961FBE"/>
    <w:rsid w:val="00963609"/>
    <w:rsid w:val="00970C75"/>
    <w:rsid w:val="00970FE4"/>
    <w:rsid w:val="00971AB3"/>
    <w:rsid w:val="00971AB8"/>
    <w:rsid w:val="00974DA9"/>
    <w:rsid w:val="0097716D"/>
    <w:rsid w:val="00977929"/>
    <w:rsid w:val="00986EFC"/>
    <w:rsid w:val="00991760"/>
    <w:rsid w:val="0099336E"/>
    <w:rsid w:val="00994267"/>
    <w:rsid w:val="009A5447"/>
    <w:rsid w:val="009B2762"/>
    <w:rsid w:val="009B488C"/>
    <w:rsid w:val="009B68C5"/>
    <w:rsid w:val="009B6989"/>
    <w:rsid w:val="009C35A7"/>
    <w:rsid w:val="009C45B8"/>
    <w:rsid w:val="009C53F0"/>
    <w:rsid w:val="009C5572"/>
    <w:rsid w:val="009C7A07"/>
    <w:rsid w:val="009D3B0A"/>
    <w:rsid w:val="009D508C"/>
    <w:rsid w:val="009E1190"/>
    <w:rsid w:val="009E1A2E"/>
    <w:rsid w:val="009E4175"/>
    <w:rsid w:val="009E73F1"/>
    <w:rsid w:val="009F0A24"/>
    <w:rsid w:val="009F49D6"/>
    <w:rsid w:val="009F5963"/>
    <w:rsid w:val="00A0523B"/>
    <w:rsid w:val="00A15099"/>
    <w:rsid w:val="00A2439E"/>
    <w:rsid w:val="00A276F5"/>
    <w:rsid w:val="00A43A4D"/>
    <w:rsid w:val="00A43F80"/>
    <w:rsid w:val="00A45BD2"/>
    <w:rsid w:val="00A45FEF"/>
    <w:rsid w:val="00A463A7"/>
    <w:rsid w:val="00A505AF"/>
    <w:rsid w:val="00A5648B"/>
    <w:rsid w:val="00A57780"/>
    <w:rsid w:val="00A61802"/>
    <w:rsid w:val="00A62953"/>
    <w:rsid w:val="00A72E7B"/>
    <w:rsid w:val="00A741BA"/>
    <w:rsid w:val="00A81C16"/>
    <w:rsid w:val="00A82091"/>
    <w:rsid w:val="00A82B09"/>
    <w:rsid w:val="00A84355"/>
    <w:rsid w:val="00A84BED"/>
    <w:rsid w:val="00A9186C"/>
    <w:rsid w:val="00A92274"/>
    <w:rsid w:val="00A93F1B"/>
    <w:rsid w:val="00A96B65"/>
    <w:rsid w:val="00AA00B7"/>
    <w:rsid w:val="00AA3E1C"/>
    <w:rsid w:val="00AA6CB0"/>
    <w:rsid w:val="00AB25D3"/>
    <w:rsid w:val="00AB6A44"/>
    <w:rsid w:val="00AC3655"/>
    <w:rsid w:val="00AC5D45"/>
    <w:rsid w:val="00AD16A3"/>
    <w:rsid w:val="00AD3DE5"/>
    <w:rsid w:val="00AD4838"/>
    <w:rsid w:val="00AD50EA"/>
    <w:rsid w:val="00AE14A8"/>
    <w:rsid w:val="00AE298A"/>
    <w:rsid w:val="00AE2ED2"/>
    <w:rsid w:val="00AE505D"/>
    <w:rsid w:val="00AF2217"/>
    <w:rsid w:val="00AF51F1"/>
    <w:rsid w:val="00B004B6"/>
    <w:rsid w:val="00B00570"/>
    <w:rsid w:val="00B00B83"/>
    <w:rsid w:val="00B015EC"/>
    <w:rsid w:val="00B01AC9"/>
    <w:rsid w:val="00B053F2"/>
    <w:rsid w:val="00B0632E"/>
    <w:rsid w:val="00B072C3"/>
    <w:rsid w:val="00B12E9E"/>
    <w:rsid w:val="00B223C3"/>
    <w:rsid w:val="00B2437E"/>
    <w:rsid w:val="00B2472B"/>
    <w:rsid w:val="00B27783"/>
    <w:rsid w:val="00B33B5F"/>
    <w:rsid w:val="00B35FEA"/>
    <w:rsid w:val="00B41477"/>
    <w:rsid w:val="00B51D20"/>
    <w:rsid w:val="00B57039"/>
    <w:rsid w:val="00B612F1"/>
    <w:rsid w:val="00B67A2B"/>
    <w:rsid w:val="00B72662"/>
    <w:rsid w:val="00B747E7"/>
    <w:rsid w:val="00B837BA"/>
    <w:rsid w:val="00B85235"/>
    <w:rsid w:val="00B8706D"/>
    <w:rsid w:val="00B9413E"/>
    <w:rsid w:val="00BA1950"/>
    <w:rsid w:val="00BA1C7D"/>
    <w:rsid w:val="00BA1D3A"/>
    <w:rsid w:val="00BA65F9"/>
    <w:rsid w:val="00BA7C56"/>
    <w:rsid w:val="00BB3B2C"/>
    <w:rsid w:val="00BB3C34"/>
    <w:rsid w:val="00BC27F0"/>
    <w:rsid w:val="00BC46AA"/>
    <w:rsid w:val="00BD59C3"/>
    <w:rsid w:val="00BD5A9C"/>
    <w:rsid w:val="00BE0A8E"/>
    <w:rsid w:val="00BE3CF4"/>
    <w:rsid w:val="00BE526B"/>
    <w:rsid w:val="00BE7025"/>
    <w:rsid w:val="00BE78C7"/>
    <w:rsid w:val="00BF2816"/>
    <w:rsid w:val="00BF3F67"/>
    <w:rsid w:val="00C01698"/>
    <w:rsid w:val="00C03F29"/>
    <w:rsid w:val="00C05CAC"/>
    <w:rsid w:val="00C05F12"/>
    <w:rsid w:val="00C10496"/>
    <w:rsid w:val="00C1457D"/>
    <w:rsid w:val="00C27D56"/>
    <w:rsid w:val="00C34580"/>
    <w:rsid w:val="00C35DFC"/>
    <w:rsid w:val="00C47527"/>
    <w:rsid w:val="00C47C97"/>
    <w:rsid w:val="00C510DD"/>
    <w:rsid w:val="00C61E8F"/>
    <w:rsid w:val="00C6263B"/>
    <w:rsid w:val="00C63C37"/>
    <w:rsid w:val="00C676C1"/>
    <w:rsid w:val="00C6789B"/>
    <w:rsid w:val="00C8097F"/>
    <w:rsid w:val="00C857C4"/>
    <w:rsid w:val="00C92DB0"/>
    <w:rsid w:val="00C96C91"/>
    <w:rsid w:val="00CA495F"/>
    <w:rsid w:val="00CA59C3"/>
    <w:rsid w:val="00CB159A"/>
    <w:rsid w:val="00CB26E8"/>
    <w:rsid w:val="00CC4272"/>
    <w:rsid w:val="00CC52CF"/>
    <w:rsid w:val="00CC7DE5"/>
    <w:rsid w:val="00CD32C9"/>
    <w:rsid w:val="00CD6BCE"/>
    <w:rsid w:val="00CE0A63"/>
    <w:rsid w:val="00CE15BC"/>
    <w:rsid w:val="00CE2CDA"/>
    <w:rsid w:val="00CE535C"/>
    <w:rsid w:val="00CF759C"/>
    <w:rsid w:val="00D0543E"/>
    <w:rsid w:val="00D05C98"/>
    <w:rsid w:val="00D075A0"/>
    <w:rsid w:val="00D118B6"/>
    <w:rsid w:val="00D14226"/>
    <w:rsid w:val="00D21D86"/>
    <w:rsid w:val="00D23CDD"/>
    <w:rsid w:val="00D37018"/>
    <w:rsid w:val="00D407F7"/>
    <w:rsid w:val="00D43F0E"/>
    <w:rsid w:val="00D47528"/>
    <w:rsid w:val="00D63739"/>
    <w:rsid w:val="00D73BD7"/>
    <w:rsid w:val="00D76508"/>
    <w:rsid w:val="00D80FBD"/>
    <w:rsid w:val="00D81222"/>
    <w:rsid w:val="00D83445"/>
    <w:rsid w:val="00D85DBB"/>
    <w:rsid w:val="00D87A76"/>
    <w:rsid w:val="00D9209B"/>
    <w:rsid w:val="00DA06F4"/>
    <w:rsid w:val="00DA2B2B"/>
    <w:rsid w:val="00DA2D0B"/>
    <w:rsid w:val="00DA2D6A"/>
    <w:rsid w:val="00DA70B5"/>
    <w:rsid w:val="00DB55F4"/>
    <w:rsid w:val="00DB58D2"/>
    <w:rsid w:val="00DB6DC8"/>
    <w:rsid w:val="00DC015E"/>
    <w:rsid w:val="00DC4E36"/>
    <w:rsid w:val="00DD2994"/>
    <w:rsid w:val="00DD3B35"/>
    <w:rsid w:val="00DD79FB"/>
    <w:rsid w:val="00DE0976"/>
    <w:rsid w:val="00DE18D9"/>
    <w:rsid w:val="00DE3BD8"/>
    <w:rsid w:val="00DE3F5F"/>
    <w:rsid w:val="00DE5DB0"/>
    <w:rsid w:val="00DE65CA"/>
    <w:rsid w:val="00DF3F2D"/>
    <w:rsid w:val="00DF5816"/>
    <w:rsid w:val="00E00744"/>
    <w:rsid w:val="00E04C51"/>
    <w:rsid w:val="00E06351"/>
    <w:rsid w:val="00E0690B"/>
    <w:rsid w:val="00E1157D"/>
    <w:rsid w:val="00E11CA6"/>
    <w:rsid w:val="00E12A4B"/>
    <w:rsid w:val="00E14565"/>
    <w:rsid w:val="00E20612"/>
    <w:rsid w:val="00E236EB"/>
    <w:rsid w:val="00E23E64"/>
    <w:rsid w:val="00E24FA7"/>
    <w:rsid w:val="00E25683"/>
    <w:rsid w:val="00E36A45"/>
    <w:rsid w:val="00E41BC2"/>
    <w:rsid w:val="00E453EB"/>
    <w:rsid w:val="00E50DF3"/>
    <w:rsid w:val="00E52D63"/>
    <w:rsid w:val="00E5433B"/>
    <w:rsid w:val="00E57CCE"/>
    <w:rsid w:val="00E636D7"/>
    <w:rsid w:val="00E638C6"/>
    <w:rsid w:val="00E65EF4"/>
    <w:rsid w:val="00E67CF3"/>
    <w:rsid w:val="00E713F7"/>
    <w:rsid w:val="00E74F6E"/>
    <w:rsid w:val="00E760F8"/>
    <w:rsid w:val="00E83814"/>
    <w:rsid w:val="00E87A4F"/>
    <w:rsid w:val="00E91E66"/>
    <w:rsid w:val="00E93956"/>
    <w:rsid w:val="00EA1EC9"/>
    <w:rsid w:val="00EA54B8"/>
    <w:rsid w:val="00EA5C58"/>
    <w:rsid w:val="00EB17CC"/>
    <w:rsid w:val="00EB3E6F"/>
    <w:rsid w:val="00EB554A"/>
    <w:rsid w:val="00EC231D"/>
    <w:rsid w:val="00EC2321"/>
    <w:rsid w:val="00EC7FD2"/>
    <w:rsid w:val="00ED3075"/>
    <w:rsid w:val="00ED5560"/>
    <w:rsid w:val="00ED7D9A"/>
    <w:rsid w:val="00EE3CD6"/>
    <w:rsid w:val="00F0169F"/>
    <w:rsid w:val="00F0665F"/>
    <w:rsid w:val="00F109D2"/>
    <w:rsid w:val="00F12DC2"/>
    <w:rsid w:val="00F14038"/>
    <w:rsid w:val="00F152DF"/>
    <w:rsid w:val="00F25B04"/>
    <w:rsid w:val="00F26E86"/>
    <w:rsid w:val="00F40F05"/>
    <w:rsid w:val="00F41092"/>
    <w:rsid w:val="00F42CE7"/>
    <w:rsid w:val="00F46AFA"/>
    <w:rsid w:val="00F47A0A"/>
    <w:rsid w:val="00F578E2"/>
    <w:rsid w:val="00F61DDF"/>
    <w:rsid w:val="00F62674"/>
    <w:rsid w:val="00F707CA"/>
    <w:rsid w:val="00F74C70"/>
    <w:rsid w:val="00F77257"/>
    <w:rsid w:val="00F81142"/>
    <w:rsid w:val="00F82B8E"/>
    <w:rsid w:val="00F8440A"/>
    <w:rsid w:val="00F87683"/>
    <w:rsid w:val="00F87C4E"/>
    <w:rsid w:val="00F908BE"/>
    <w:rsid w:val="00F918F6"/>
    <w:rsid w:val="00F95097"/>
    <w:rsid w:val="00F96C48"/>
    <w:rsid w:val="00FA2461"/>
    <w:rsid w:val="00FB79C5"/>
    <w:rsid w:val="00FC037A"/>
    <w:rsid w:val="00FC45B6"/>
    <w:rsid w:val="00FD1459"/>
    <w:rsid w:val="00FD5F75"/>
    <w:rsid w:val="00FD66F1"/>
    <w:rsid w:val="00FF69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C912A1"/>
  <w15:docId w15:val="{C8A8675B-3F0B-49ED-B6C9-FC1C8FAE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6F1"/>
  </w:style>
  <w:style w:type="paragraph" w:styleId="Footer">
    <w:name w:val="footer"/>
    <w:basedOn w:val="Normal"/>
    <w:link w:val="FooterChar"/>
    <w:uiPriority w:val="99"/>
    <w:unhideWhenUsed/>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6F1"/>
  </w:style>
  <w:style w:type="paragraph" w:styleId="BalloonText">
    <w:name w:val="Balloon Text"/>
    <w:basedOn w:val="Normal"/>
    <w:link w:val="BalloonTextChar"/>
    <w:uiPriority w:val="99"/>
    <w:semiHidden/>
    <w:unhideWhenUsed/>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6F1"/>
    <w:rPr>
      <w:rFonts w:ascii="Tahoma" w:hAnsi="Tahoma" w:cs="Tahoma"/>
      <w:sz w:val="16"/>
      <w:szCs w:val="16"/>
    </w:rPr>
  </w:style>
  <w:style w:type="paragraph" w:styleId="ListParagraph">
    <w:name w:val="List Paragraph"/>
    <w:basedOn w:val="Normal"/>
    <w:uiPriority w:val="34"/>
    <w:qFormat/>
    <w:rsid w:val="00A72E7B"/>
    <w:pPr>
      <w:ind w:left="720"/>
      <w:contextualSpacing/>
    </w:pPr>
  </w:style>
  <w:style w:type="paragraph" w:styleId="ListContinue">
    <w:name w:val="List Continue"/>
    <w:basedOn w:val="Normal"/>
    <w:rsid w:val="00D80FBD"/>
    <w:pPr>
      <w:numPr>
        <w:numId w:val="2"/>
      </w:numPr>
      <w:spacing w:after="120" w:line="480" w:lineRule="auto"/>
    </w:pPr>
    <w:rPr>
      <w:rFonts w:ascii="Times New Roman" w:eastAsia="Times New Roman" w:hAnsi="Times New Roman" w:cs="Times New Roman"/>
      <w:sz w:val="26"/>
      <w:szCs w:val="24"/>
    </w:rPr>
  </w:style>
  <w:style w:type="paragraph" w:customStyle="1" w:styleId="LegalFormat">
    <w:name w:val="Legal Format"/>
    <w:basedOn w:val="ListContinue"/>
    <w:rsid w:val="00D80FBD"/>
    <w:pPr>
      <w:spacing w:after="0"/>
      <w:ind w:left="0"/>
    </w:pPr>
    <w:rPr>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qFormat/>
    <w:rsid w:val="00E636D7"/>
  </w:style>
  <w:style w:type="paragraph" w:styleId="FootnoteText">
    <w:name w:val="footnote text"/>
    <w:aliases w:val=" Char,Char,Footnote Text Char Char Char Char Char,Footnote Text Char Char1 Char,Footnote Text Char1 Char Char Char,Footnote Text Char1 Char Char Char Char Char Char Char,Footnote Text Char1 Char1 Char,Footnote Text Char2 Char,fn,fn1,fn3,ft"/>
    <w:basedOn w:val="Normal"/>
    <w:link w:val="FootnoteTextChar1"/>
    <w:uiPriority w:val="99"/>
    <w:qFormat/>
    <w:rsid w:val="00E636D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Footnote Text Char Char Char1,Footnote Text Char1 Char Char1,Footnote Text Char1 Char2,Footnote Text MRP Char,fn1 Char"/>
    <w:basedOn w:val="DefaultParagraphFont"/>
    <w:uiPriority w:val="99"/>
    <w:rsid w:val="00E636D7"/>
    <w:rPr>
      <w:sz w:val="20"/>
      <w:szCs w:val="20"/>
    </w:rPr>
  </w:style>
  <w:style w:type="character" w:customStyle="1" w:styleId="FootnoteTextChar1">
    <w:name w:val="Footnote Text Char1"/>
    <w:aliases w:val=" Char Char,Char Char,Footnote Text Char Char Char Char Char Char,Footnote Text Char Char1 Char Char,Footnote Text Char1 Char Char Char Char,Footnote Text Char1 Char Char Char Char Char Char Char Char,Footnote Text Char2 Char Char"/>
    <w:link w:val="FootnoteText"/>
    <w:uiPriority w:val="99"/>
    <w:rsid w:val="00E636D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7700F"/>
    <w:rPr>
      <w:sz w:val="16"/>
      <w:szCs w:val="16"/>
    </w:rPr>
  </w:style>
  <w:style w:type="paragraph" w:styleId="CommentText">
    <w:name w:val="annotation text"/>
    <w:basedOn w:val="Normal"/>
    <w:link w:val="CommentTextChar"/>
    <w:uiPriority w:val="99"/>
    <w:unhideWhenUsed/>
    <w:rsid w:val="0057700F"/>
    <w:pPr>
      <w:spacing w:line="240" w:lineRule="auto"/>
    </w:pPr>
    <w:rPr>
      <w:sz w:val="20"/>
      <w:szCs w:val="20"/>
    </w:rPr>
  </w:style>
  <w:style w:type="character" w:customStyle="1" w:styleId="CommentTextChar">
    <w:name w:val="Comment Text Char"/>
    <w:basedOn w:val="DefaultParagraphFont"/>
    <w:link w:val="CommentText"/>
    <w:uiPriority w:val="99"/>
    <w:rsid w:val="0057700F"/>
    <w:rPr>
      <w:sz w:val="20"/>
      <w:szCs w:val="20"/>
    </w:rPr>
  </w:style>
  <w:style w:type="paragraph" w:styleId="CommentSubject">
    <w:name w:val="annotation subject"/>
    <w:basedOn w:val="CommentText"/>
    <w:next w:val="CommentText"/>
    <w:link w:val="CommentSubjectChar"/>
    <w:uiPriority w:val="99"/>
    <w:semiHidden/>
    <w:unhideWhenUsed/>
    <w:rsid w:val="0057700F"/>
    <w:rPr>
      <w:b/>
      <w:bCs/>
    </w:rPr>
  </w:style>
  <w:style w:type="character" w:customStyle="1" w:styleId="CommentSubjectChar">
    <w:name w:val="Comment Subject Char"/>
    <w:basedOn w:val="CommentTextChar"/>
    <w:link w:val="CommentSubject"/>
    <w:uiPriority w:val="99"/>
    <w:semiHidden/>
    <w:rsid w:val="0057700F"/>
    <w:rPr>
      <w:b/>
      <w:bCs/>
      <w:sz w:val="20"/>
      <w:szCs w:val="20"/>
    </w:rPr>
  </w:style>
  <w:style w:type="character" w:styleId="Hyperlink">
    <w:name w:val="Hyperlink"/>
    <w:basedOn w:val="DefaultParagraphFont"/>
    <w:rsid w:val="00761A02"/>
    <w:rPr>
      <w:color w:val="0000FF"/>
      <w:u w:val="single"/>
    </w:rPr>
  </w:style>
  <w:style w:type="character" w:styleId="FollowedHyperlink">
    <w:name w:val="FollowedHyperlink"/>
    <w:basedOn w:val="DefaultParagraphFont"/>
    <w:uiPriority w:val="99"/>
    <w:semiHidden/>
    <w:unhideWhenUsed/>
    <w:rsid w:val="006B6D60"/>
    <w:rPr>
      <w:color w:val="800080" w:themeColor="followedHyperlink"/>
      <w:u w:val="single"/>
    </w:rPr>
  </w:style>
  <w:style w:type="paragraph" w:customStyle="1" w:styleId="Default">
    <w:name w:val="Default"/>
    <w:rsid w:val="0064036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ERCparanumber">
    <w:name w:val="FERC paranumber"/>
    <w:basedOn w:val="Normal"/>
    <w:link w:val="FERCparanumberChar1"/>
    <w:qFormat/>
    <w:rsid w:val="00693952"/>
    <w:pPr>
      <w:numPr>
        <w:numId w:val="29"/>
      </w:numPr>
      <w:autoSpaceDE w:val="0"/>
      <w:autoSpaceDN w:val="0"/>
      <w:adjustRightInd w:val="0"/>
      <w:spacing w:after="0" w:line="480" w:lineRule="auto"/>
    </w:pPr>
    <w:rPr>
      <w:rFonts w:ascii="Times New Roman" w:eastAsia="Times New Roman" w:hAnsi="Times New Roman" w:cs="Times New Roman"/>
      <w:sz w:val="26"/>
      <w:szCs w:val="24"/>
    </w:rPr>
  </w:style>
  <w:style w:type="character" w:customStyle="1" w:styleId="FERCparanumberChar1">
    <w:name w:val="FERC paranumber Char1"/>
    <w:link w:val="FERCparanumber"/>
    <w:locked/>
    <w:rsid w:val="00693952"/>
    <w:rPr>
      <w:rFonts w:ascii="Times New Roman" w:eastAsia="Times New Roman" w:hAnsi="Times New Roman" w:cs="Times New Roman"/>
      <w:sz w:val="26"/>
      <w:szCs w:val="24"/>
    </w:rPr>
  </w:style>
  <w:style w:type="table" w:styleId="TableGrid">
    <w:name w:val="Table Grid"/>
    <w:basedOn w:val="TableNormal"/>
    <w:uiPriority w:val="39"/>
    <w:rsid w:val="000D6355"/>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D3075"/>
    <w:rPr>
      <w:color w:val="605E5C"/>
      <w:shd w:val="clear" w:color="auto" w:fill="E1DFDD"/>
    </w:rPr>
  </w:style>
  <w:style w:type="paragraph" w:styleId="Revision">
    <w:name w:val="Revision"/>
    <w:hidden/>
    <w:uiPriority w:val="99"/>
    <w:semiHidden/>
    <w:rsid w:val="00F61DDF"/>
    <w:pPr>
      <w:spacing w:after="0" w:line="240" w:lineRule="auto"/>
    </w:pPr>
  </w:style>
  <w:style w:type="paragraph" w:customStyle="1" w:styleId="paragraph">
    <w:name w:val="paragraph"/>
    <w:basedOn w:val="Normal"/>
    <w:rsid w:val="00D054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0543E"/>
  </w:style>
  <w:style w:type="character" w:customStyle="1" w:styleId="eop">
    <w:name w:val="eop"/>
    <w:basedOn w:val="DefaultParagraphFont"/>
    <w:rsid w:val="00D05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rc.gov/information-collection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nerc.com/globalassets/who-we-are/regional-delegation-agreements/wecc_bylaw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SharedWithUsers xmlns="5a7c6213-c3f8-4376-93f2-dc58e5c51d54">
      <UserInfo>
        <DisplayName>David O'Connor</DisplayName>
        <AccountId>1256</AccountId>
        <AccountType/>
      </UserInfo>
      <UserInfo>
        <DisplayName>Syed Ahmad</DisplayName>
        <AccountId>1223</AccountId>
        <AccountType/>
      </UserInfo>
      <UserInfo>
        <DisplayName>Christopher Kozler</DisplayName>
        <AccountId>573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2A12D26BD054EAF7308A64C3FCB4C" ma:contentTypeVersion="8" ma:contentTypeDescription="Create a new document." ma:contentTypeScope="" ma:versionID="fd0c4adefb7ccba3149275f5b9dfc032">
  <xsd:schema xmlns:xsd="http://www.w3.org/2001/XMLSchema" xmlns:xs="http://www.w3.org/2001/XMLSchema" xmlns:p="http://schemas.microsoft.com/office/2006/metadata/properties" xmlns:ns2="5a7c6213-c3f8-4376-93f2-dc58e5c51d54" xmlns:ns3="7d39e18b-330b-455b-b1d2-f8885a4d610b" targetNamespace="http://schemas.microsoft.com/office/2006/metadata/properties" ma:root="true" ma:fieldsID="6322b8441fcd377c4a88bb2f6790f021" ns2:_="" ns3:_="">
    <xsd:import namespace="5a7c6213-c3f8-4376-93f2-dc58e5c51d54"/>
    <xsd:import namespace="7d39e18b-330b-455b-b1d2-f8885a4d610b"/>
    <xsd:element name="properties">
      <xsd:complexType>
        <xsd:sequence>
          <xsd:element name="documentManagement">
            <xsd:complexType>
              <xsd:all>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39e18b-330b-455b-b1d2-f8885a4d610b" elementFormDefault="qualified">
    <xsd:import namespace="http://schemas.microsoft.com/office/2006/documentManagement/types"/>
    <xsd:import namespace="http://schemas.microsoft.com/office/infopath/2007/PartnerControls"/>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A4479-0543-455B-A152-110FB41B2830}">
  <ds:schemaRefs>
    <ds:schemaRef ds:uri="http://schemas.microsoft.com/office/2006/metadata/properties"/>
    <ds:schemaRef ds:uri="5a7c6213-c3f8-4376-93f2-dc58e5c51d54"/>
  </ds:schemaRefs>
</ds:datastoreItem>
</file>

<file path=customXml/itemProps2.xml><?xml version="1.0" encoding="utf-8"?>
<ds:datastoreItem xmlns:ds="http://schemas.openxmlformats.org/officeDocument/2006/customXml" ds:itemID="{97BF1CF8-E81A-4FAE-9876-1BC0DFB8F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c6213-c3f8-4376-93f2-dc58e5c51d54"/>
    <ds:schemaRef ds:uri="7d39e18b-330b-455b-b1d2-f8885a4d6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C6C5CF-3CE0-47E8-B44B-CB4D7C85D04F}">
  <ds:schemaRefs>
    <ds:schemaRef ds:uri="http://schemas.microsoft.com/sharepoint/v3/contenttype/forms"/>
  </ds:schemaRefs>
</ds:datastoreItem>
</file>

<file path=customXml/itemProps4.xml><?xml version="1.0" encoding="utf-8"?>
<ds:datastoreItem xmlns:ds="http://schemas.openxmlformats.org/officeDocument/2006/customXml" ds:itemID="{5FB8BDF4-C139-4D65-8D70-5159972EA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12</Pages>
  <Words>3594</Words>
  <Characters>21175</Characters>
  <Application>Microsoft Office Word</Application>
  <DocSecurity>0</DocSecurity>
  <Lines>492</Lines>
  <Paragraphs>143</Paragraphs>
  <ScaleCrop>false</ScaleCrop>
  <HeadingPairs>
    <vt:vector size="2" baseType="variant">
      <vt:variant>
        <vt:lpstr>Title</vt:lpstr>
      </vt:variant>
      <vt:variant>
        <vt:i4>1</vt:i4>
      </vt:variant>
    </vt:vector>
  </HeadingPairs>
  <TitlesOfParts>
    <vt:vector size="1" baseType="lpstr">
      <vt:lpstr>FERC-725E (RD18-1, -2, -3, -5) supporting statement</vt:lpstr>
    </vt:vector>
  </TitlesOfParts>
  <Company>FERC</Company>
  <LinksUpToDate>false</LinksUpToDate>
  <CharactersWithSpaces>24626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FERC-725E (RD18-1, -2, -3, -5) supporting statement</dc:title>
  <dc:creator>ferc</dc:creator>
  <cp:lastModifiedBy>Kayla Williams</cp:lastModifiedBy>
  <cp:revision>19</cp:revision>
  <dcterms:created xsi:type="dcterms:W3CDTF">2026-08-27T10:11:00Z</dcterms:created>
  <dcterms:modified xsi:type="dcterms:W3CDTF">2026-08-27T14:38:00Z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0x0101006492A12D26BD054EAF7308A64C3FCB4C</vt:lpwstr>
  </property>
  <property fmtid="{D5CDD505-2E9C-101B-9397-08002B2CF9AE}" pid="3" name="MSIP_Label_bd24d06a-0e85-4d57-b1e0-ba34b1abc708_ActionId">
    <vt:lpwstr>145911ef-9760-45f1-be56-a23dc0e0bfd0</vt:lpwstr>
  </property>
  <property fmtid="{D5CDD505-2E9C-101B-9397-08002B2CF9AE}" pid="4" name="MSIP_Label_bd24d06a-0e85-4d57-b1e0-ba34b1abc708_ContentBits">
    <vt:lpwstr>0</vt:lpwstr>
  </property>
  <property fmtid="{D5CDD505-2E9C-101B-9397-08002B2CF9AE}" pid="5" name="MSIP_Label_bd24d06a-0e85-4d57-b1e0-ba34b1abc708_Enabled">
    <vt:lpwstr>true</vt:lpwstr>
  </property>
  <property fmtid="{D5CDD505-2E9C-101B-9397-08002B2CF9AE}" pid="6" name="MSIP_Label_bd24d06a-0e85-4d57-b1e0-ba34b1abc708_Method">
    <vt:lpwstr>Privileged</vt:lpwstr>
  </property>
  <property fmtid="{D5CDD505-2E9C-101B-9397-08002B2CF9AE}" pid="7" name="MSIP_Label_bd24d06a-0e85-4d57-b1e0-ba34b1abc708_Name">
    <vt:lpwstr>bd24d06a-0e85-4d57-b1e0-ba34b1abc708</vt:lpwstr>
  </property>
  <property fmtid="{D5CDD505-2E9C-101B-9397-08002B2CF9AE}" pid="8" name="MSIP_Label_bd24d06a-0e85-4d57-b1e0-ba34b1abc708_SetDate">
    <vt:lpwstr>2026-08-27T10:11:01Z</vt:lpwstr>
  </property>
  <property fmtid="{D5CDD505-2E9C-101B-9397-08002B2CF9AE}" pid="9" name="MSIP_Label_bd24d06a-0e85-4d57-b1e0-ba34b1abc708_SiteId">
    <vt:lpwstr>19caa9e9-04ff-43fa-885f-d77fac387903</vt:lpwstr>
  </property>
  <property fmtid="{D5CDD505-2E9C-101B-9397-08002B2CF9AE}" pid="10" name="MSIP_Label_bd24d06a-0e85-4d57-b1e0-ba34b1abc708_Tag">
    <vt:lpwstr>10, 0, 1, 1</vt:lpwstr>
  </property>
</Properties>
</file>