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604E" w:rsidP="00A2604E" w14:paraId="1502CB1A" w14:textId="4E9D9800">
      <w:pPr>
        <w:jc w:val="center"/>
      </w:pPr>
      <w:r>
        <w:t>UNITED STATES OF AMERICA</w:t>
      </w:r>
    </w:p>
    <w:p w:rsidR="00A2604E" w:rsidP="00A2604E" w14:paraId="273661E3" w14:textId="77777777">
      <w:pPr>
        <w:jc w:val="center"/>
      </w:pPr>
      <w:r>
        <w:t>FEDERAL ENERGY REGULATORY COMMISSION</w:t>
      </w:r>
    </w:p>
    <w:p w:rsidR="00A2604E" w:rsidP="00A2604E" w14:paraId="6C561934" w14:textId="77777777"/>
    <w:p w:rsidR="00A2604E" w:rsidP="00A2604E" w14:paraId="3E11D4A1" w14:textId="4AD5BFE1">
      <w:pPr>
        <w:jc w:val="center"/>
      </w:pPr>
      <w:r w:rsidRPr="00980E58">
        <w:t>[</w:t>
      </w:r>
      <w:r w:rsidRPr="007633DD">
        <w:t>Docket No</w:t>
      </w:r>
      <w:r w:rsidRPr="00413FDE">
        <w:t xml:space="preserve">. </w:t>
      </w:r>
      <w:r w:rsidR="00F2064B">
        <w:t>RD</w:t>
      </w:r>
      <w:r w:rsidRPr="00413FDE" w:rsidR="00FB078F">
        <w:t>2</w:t>
      </w:r>
      <w:r w:rsidR="00853E5E">
        <w:t>6</w:t>
      </w:r>
      <w:r w:rsidRPr="00413FDE" w:rsidR="00613169">
        <w:t>-</w:t>
      </w:r>
      <w:r w:rsidR="00F2064B">
        <w:t>5</w:t>
      </w:r>
      <w:r w:rsidRPr="00413FDE" w:rsidR="00613169">
        <w:t>-000</w:t>
      </w:r>
      <w:r w:rsidRPr="00413FDE">
        <w:t>]</w:t>
      </w:r>
    </w:p>
    <w:p w:rsidR="00A2604E" w:rsidP="00A2604E" w14:paraId="4D16FE54" w14:textId="77777777"/>
    <w:p w:rsidR="00A2604E" w:rsidP="00A2604E" w14:paraId="0627AE31" w14:textId="706350B5">
      <w:pPr>
        <w:jc w:val="center"/>
      </w:pPr>
      <w:r>
        <w:t>COMMISSION INFORMATION COLLECTION ACTIVITIES (FERC-</w:t>
      </w:r>
      <w:r w:rsidR="00931A95">
        <w:t>725</w:t>
      </w:r>
      <w:r w:rsidR="00F2064B">
        <w:t>E</w:t>
      </w:r>
      <w:r>
        <w:t>)</w:t>
      </w:r>
      <w:r w:rsidR="002673C4">
        <w:t xml:space="preserve"> </w:t>
      </w:r>
    </w:p>
    <w:p w:rsidR="00A2604E" w:rsidP="00A2604E" w14:paraId="3B5240D4" w14:textId="77777777">
      <w:pPr>
        <w:jc w:val="center"/>
      </w:pPr>
      <w:r>
        <w:t>COMMENT REQUEST; EXTENSION</w:t>
      </w:r>
    </w:p>
    <w:p w:rsidR="00881405" w:rsidP="00A2604E" w14:paraId="5D8DD33D" w14:textId="77777777">
      <w:pPr>
        <w:jc w:val="center"/>
      </w:pPr>
    </w:p>
    <w:p w:rsidR="00A42056" w:rsidP="00D75D59" w14:paraId="3BEF1897" w14:textId="7A5CE64D">
      <w:pPr>
        <w:jc w:val="center"/>
      </w:pPr>
      <w:r w:rsidRPr="00D75D59">
        <w:t>(May 1, 2026)</w:t>
      </w:r>
    </w:p>
    <w:p w:rsidR="00D75D59" w:rsidRPr="00D75D59" w:rsidP="00D75D59" w14:paraId="6322FD69" w14:textId="77777777"/>
    <w:p w:rsidR="00A2604E" w:rsidP="00A2604E" w14:paraId="735A1E72" w14:textId="77777777">
      <w:r w:rsidRPr="00AB4DBF">
        <w:rPr>
          <w:b/>
        </w:rPr>
        <w:t>AGENCY</w:t>
      </w:r>
      <w:r w:rsidRPr="00AB4DBF">
        <w:rPr>
          <w:b/>
        </w:rPr>
        <w:t>:</w:t>
      </w:r>
      <w:r w:rsidRPr="00AB4DBF">
        <w:t xml:space="preserve">  Federal</w:t>
      </w:r>
      <w:r w:rsidRPr="00AB4DBF">
        <w:t xml:space="preserve"> Energy Regulatory Commission.</w:t>
      </w:r>
    </w:p>
    <w:p w:rsidR="00A2604E" w:rsidRPr="00AB4DBF" w:rsidP="00A2604E" w14:paraId="634EF64B" w14:textId="77777777"/>
    <w:p w:rsidR="00A2604E" w:rsidP="00A2604E" w14:paraId="674B9740" w14:textId="77777777">
      <w:pPr>
        <w:spacing w:line="480" w:lineRule="auto"/>
      </w:pPr>
      <w:r w:rsidRPr="00CE64F2">
        <w:rPr>
          <w:b/>
        </w:rPr>
        <w:t>ACTION</w:t>
      </w:r>
      <w:r w:rsidRPr="00CE64F2">
        <w:rPr>
          <w:b/>
        </w:rPr>
        <w:t>:</w:t>
      </w:r>
      <w:r>
        <w:t xml:space="preserve">  </w:t>
      </w:r>
      <w:bookmarkStart w:id="0" w:name="_Hlk68091542"/>
      <w:r>
        <w:t>Notice</w:t>
      </w:r>
      <w:r>
        <w:t xml:space="preserve"> of information collection </w:t>
      </w:r>
      <w:bookmarkEnd w:id="0"/>
      <w:r>
        <w:t>and request for comments.</w:t>
      </w:r>
    </w:p>
    <w:p w:rsidR="00B556C9" w:rsidRPr="00B556C9" w:rsidP="00B556C9" w14:paraId="35DEAE81" w14:textId="06CCD35E">
      <w:pPr>
        <w:spacing w:after="160" w:line="480" w:lineRule="auto"/>
        <w:rPr>
          <w:rFonts w:eastAsiaTheme="minorHAnsi"/>
          <w:szCs w:val="26"/>
        </w:rPr>
      </w:pPr>
      <w:r w:rsidRPr="00CE64F2">
        <w:rPr>
          <w:b/>
        </w:rPr>
        <w:t>SUMMARY:</w:t>
      </w:r>
      <w:r>
        <w:t xml:space="preserve">  In compliance with the requirements of the Paperwork Reduction Act of 1995</w:t>
      </w:r>
      <w:r w:rsidR="009E2D84">
        <w:t xml:space="preserve">, </w:t>
      </w:r>
      <w:r>
        <w:t>the Federal Energy Regulatory Commission (Commission or FERC) is soliciting public comment on the currently approved information collection</w:t>
      </w:r>
      <w:r w:rsidRPr="00C43470" w:rsidR="00C43470">
        <w:t xml:space="preserve"> </w:t>
      </w:r>
      <w:r w:rsidRPr="00C713C3" w:rsidR="00C43470">
        <w:t>FERC-</w:t>
      </w:r>
      <w:r w:rsidR="00931A95">
        <w:t>725</w:t>
      </w:r>
      <w:r w:rsidR="00686FCE">
        <w:t xml:space="preserve">E </w:t>
      </w:r>
      <w:r w:rsidR="003D1CA7">
        <w:t xml:space="preserve"> </w:t>
      </w:r>
      <w:r w:rsidRPr="00C713C3" w:rsidR="00C43470">
        <w:t>(</w:t>
      </w:r>
      <w:r w:rsidRPr="00A369A0" w:rsidR="00A369A0">
        <w:t>Mandatory Reliability Standards for the Western Electric Coordinating Council</w:t>
      </w:r>
      <w:r w:rsidRPr="00C713C3" w:rsidR="00C43470">
        <w:t>)</w:t>
      </w:r>
      <w:r w:rsidR="007C6B19">
        <w:t xml:space="preserve"> for the retirement of Regional </w:t>
      </w:r>
      <w:r w:rsidR="00C9349E">
        <w:t>Reliability Standard BAL-002-WECC-3 (</w:t>
      </w:r>
      <w:r w:rsidR="008124FC">
        <w:t>Contingency Reserves)</w:t>
      </w:r>
      <w:r w:rsidR="00150CBC">
        <w:rPr>
          <w:rFonts w:eastAsiaTheme="minorHAnsi"/>
          <w:szCs w:val="26"/>
        </w:rPr>
        <w:t>.</w:t>
      </w:r>
    </w:p>
    <w:p w:rsidR="00A2604E" w:rsidRPr="00524164" w:rsidP="00A2604E" w14:paraId="5C5B574A" w14:textId="57671BC1">
      <w:pPr>
        <w:spacing w:line="480" w:lineRule="auto"/>
      </w:pPr>
      <w:r w:rsidRPr="00CE64F2">
        <w:rPr>
          <w:b/>
        </w:rPr>
        <w:t>DATES</w:t>
      </w:r>
      <w:r w:rsidRPr="00CE64F2">
        <w:rPr>
          <w:b/>
        </w:rPr>
        <w:t>:</w:t>
      </w:r>
      <w:r>
        <w:t xml:space="preserve">  Comments</w:t>
      </w:r>
      <w:r>
        <w:t xml:space="preserve"> on the collection of information are </w:t>
      </w:r>
      <w:r w:rsidRPr="00B24588">
        <w:t>due [</w:t>
      </w:r>
      <w:r w:rsidR="00CD56E5">
        <w:rPr>
          <w:b/>
        </w:rPr>
        <w:t>INSERT DATE</w:t>
      </w:r>
      <w:r w:rsidRPr="00A07154">
        <w:rPr>
          <w:b/>
        </w:rPr>
        <w:t xml:space="preserve"> 60 days after </w:t>
      </w:r>
      <w:r w:rsidRPr="00A07154" w:rsidR="00CA6D76">
        <w:rPr>
          <w:b/>
        </w:rPr>
        <w:t xml:space="preserve">date of </w:t>
      </w:r>
      <w:r w:rsidRPr="00A07154">
        <w:rPr>
          <w:b/>
        </w:rPr>
        <w:t>publication in the Federal Register</w:t>
      </w:r>
      <w:r w:rsidRPr="00524164">
        <w:t xml:space="preserve">]. </w:t>
      </w:r>
    </w:p>
    <w:p w:rsidR="0042765E" w:rsidRPr="0042765E" w:rsidP="0042765E" w14:paraId="571559FA" w14:textId="3BC52CF3">
      <w:pPr>
        <w:spacing w:line="480" w:lineRule="auto"/>
      </w:pPr>
      <w:r w:rsidRPr="146A40B4">
        <w:rPr>
          <w:b/>
          <w:bCs/>
        </w:rPr>
        <w:t>ADDRESSES</w:t>
      </w:r>
      <w:r w:rsidRPr="146A40B4">
        <w:rPr>
          <w:b/>
          <w:bCs/>
        </w:rPr>
        <w:t>:</w:t>
      </w:r>
      <w:r>
        <w:t xml:space="preserve">  </w:t>
      </w:r>
      <w:bookmarkStart w:id="1" w:name="OLE_LINK1"/>
      <w:r>
        <w:t>You</w:t>
      </w:r>
      <w:r>
        <w:t xml:space="preserve"> may submit your comments (identified by Docket No. </w:t>
      </w:r>
      <w:r w:rsidR="4D350396">
        <w:t>RD</w:t>
      </w:r>
      <w:r w:rsidR="6A12B52E">
        <w:t>2</w:t>
      </w:r>
      <w:r w:rsidR="1AA3EE03">
        <w:t>6</w:t>
      </w:r>
      <w:r>
        <w:t>-</w:t>
      </w:r>
      <w:r w:rsidR="4D350396">
        <w:t>5</w:t>
      </w:r>
      <w:r w:rsidR="6A12B52E">
        <w:t>-</w:t>
      </w:r>
      <w:r>
        <w:t>000) by one of the following methods:</w:t>
      </w:r>
    </w:p>
    <w:p w:rsidR="0042765E" w:rsidRPr="0042765E" w:rsidP="0042765E" w14:paraId="6929A881" w14:textId="4C9B2AFE">
      <w:pPr>
        <w:spacing w:line="480" w:lineRule="auto"/>
      </w:pPr>
      <w:r w:rsidRPr="0042765E">
        <w:t xml:space="preserve">Electronic filing through </w:t>
      </w:r>
      <w:hyperlink r:id="rId10" w:history="1">
        <w:r w:rsidRPr="003C7D47" w:rsidR="009E0AAA">
          <w:rPr>
            <w:rStyle w:val="Hyperlink"/>
          </w:rPr>
          <w:t>https://www.ferc.gov</w:t>
        </w:r>
      </w:hyperlink>
      <w:r w:rsidRPr="0042765E">
        <w:t>, is preferred.</w:t>
      </w:r>
    </w:p>
    <w:p w:rsidR="0042765E" w:rsidRPr="0042765E" w:rsidP="0042765E" w14:paraId="7E325126" w14:textId="77777777">
      <w:pPr>
        <w:numPr>
          <w:ilvl w:val="0"/>
          <w:numId w:val="6"/>
        </w:numPr>
        <w:spacing w:line="480" w:lineRule="auto"/>
      </w:pPr>
      <w:r w:rsidRPr="0042765E">
        <w:t xml:space="preserve">Electronic Filing: Documents must be filed in acceptable native applications and print-to-PDF, but not in scanned or picture format. </w:t>
      </w:r>
    </w:p>
    <w:p w:rsidR="0042765E" w:rsidRPr="0042765E" w:rsidP="0042765E" w14:paraId="6B601B68" w14:textId="55BB788B">
      <w:pPr>
        <w:numPr>
          <w:ilvl w:val="0"/>
          <w:numId w:val="6"/>
        </w:numPr>
        <w:spacing w:line="480" w:lineRule="auto"/>
      </w:pPr>
      <w:r w:rsidRPr="0042765E">
        <w:t>For those unable to file electronically, comments may be filed by USPS mail or by hand (including courier) delivery</w:t>
      </w:r>
      <w:r w:rsidR="00F82EE1">
        <w:t>:</w:t>
      </w:r>
    </w:p>
    <w:p w:rsidR="0042765E" w:rsidRPr="0042765E" w:rsidP="00197435" w14:paraId="610867AE" w14:textId="77777777">
      <w:pPr>
        <w:numPr>
          <w:ilvl w:val="1"/>
          <w:numId w:val="6"/>
        </w:numPr>
        <w:spacing w:line="480" w:lineRule="auto"/>
      </w:pPr>
      <w:r w:rsidRPr="0042765E">
        <w:t>Mail via U.S. Postal Service Only: Addressed to: Federal Energy Regulatory Commission, Secretary of the Commission, 888 First Street, N.E., Washington, DC 20426.</w:t>
      </w:r>
    </w:p>
    <w:p w:rsidR="0042765E" w:rsidRPr="0042765E" w:rsidP="00197435" w14:paraId="1A7E64A4" w14:textId="68BD2DC3">
      <w:pPr>
        <w:pStyle w:val="ListParagraph"/>
        <w:numPr>
          <w:ilvl w:val="1"/>
          <w:numId w:val="6"/>
        </w:numPr>
        <w:spacing w:line="480" w:lineRule="auto"/>
      </w:pPr>
      <w:r w:rsidRPr="0042765E">
        <w:t xml:space="preserve">Hand (including courier) delivery: </w:t>
      </w:r>
      <w:r w:rsidR="00117A32">
        <w:t>Addressed</w:t>
      </w:r>
      <w:r w:rsidRPr="0042765E" w:rsidR="00117A32">
        <w:t xml:space="preserve"> </w:t>
      </w:r>
      <w:r w:rsidRPr="0042765E">
        <w:t xml:space="preserve">to: Federal Energy Regulatory Commission, </w:t>
      </w:r>
      <w:r w:rsidR="00117A32">
        <w:t>Secretary of the Commission,</w:t>
      </w:r>
      <w:r w:rsidRPr="0042765E">
        <w:t>12225 Wilkins Avenue, Rockville, MD 20852.</w:t>
      </w:r>
    </w:p>
    <w:p w:rsidR="00FB078F" w:rsidP="0042765E" w14:paraId="1FF43EEC" w14:textId="644F3F69">
      <w:pPr>
        <w:spacing w:line="480" w:lineRule="auto"/>
      </w:pPr>
      <w:r w:rsidRPr="002F3236">
        <w:rPr>
          <w:i/>
        </w:rPr>
        <w:t xml:space="preserve">Instructions: </w:t>
      </w:r>
      <w:r>
        <w:t xml:space="preserve">All submissions must be formatted and filed in accordance with submission guidelines at:   </w:t>
      </w:r>
      <w:hyperlink r:id="rId10" w:history="1">
        <w:r w:rsidRPr="003C7D47" w:rsidR="009E0AAA">
          <w:rPr>
            <w:rStyle w:val="Hyperlink"/>
          </w:rPr>
          <w:t>https://www.ferc.gov</w:t>
        </w:r>
      </w:hyperlink>
      <w:r>
        <w:t xml:space="preserve">.  For user assistance, contact FERC Online Support by e-mail at </w:t>
      </w:r>
      <w:hyperlink r:id="rId11" w:history="1">
        <w:r w:rsidRPr="00FB2818" w:rsidR="00A42056">
          <w:rPr>
            <w:rStyle w:val="Hyperlink"/>
          </w:rPr>
          <w:t>ferconlinesupport@ferc.gov</w:t>
        </w:r>
      </w:hyperlink>
      <w:r w:rsidR="00A42056">
        <w:t>,</w:t>
      </w:r>
      <w:r>
        <w:t xml:space="preserve"> or by phone at (866) 208-3676 (toll-free).</w:t>
      </w:r>
    </w:p>
    <w:p w:rsidR="00FB078F" w:rsidP="00FB078F" w14:paraId="781EB4A7" w14:textId="10D77C39">
      <w:pPr>
        <w:spacing w:line="480" w:lineRule="auto"/>
      </w:pPr>
      <w:r>
        <w:rPr>
          <w:i/>
        </w:rPr>
        <w:t>Docket:</w:t>
      </w:r>
      <w:r>
        <w:t xml:space="preserve"> Users interested in receiving automatic notification of activity in this docket or in viewing/downloading comments and issuances in this docket may do so at </w:t>
      </w:r>
      <w:hyperlink r:id="rId10" w:history="1">
        <w:r w:rsidRPr="003C7D47" w:rsidR="009E0AAA">
          <w:rPr>
            <w:rStyle w:val="Hyperlink"/>
          </w:rPr>
          <w:t>https://www.ferc.gov</w:t>
        </w:r>
      </w:hyperlink>
      <w:r>
        <w:t xml:space="preserve">. </w:t>
      </w:r>
    </w:p>
    <w:bookmarkEnd w:id="1"/>
    <w:p w:rsidR="00FB078F" w:rsidP="00FB078F" w14:paraId="4D057177" w14:textId="6ED665CE">
      <w:pPr>
        <w:spacing w:line="480" w:lineRule="auto"/>
        <w:rPr>
          <w:szCs w:val="26"/>
        </w:rPr>
      </w:pPr>
      <w:r w:rsidRPr="003B29FB">
        <w:rPr>
          <w:b/>
          <w:szCs w:val="26"/>
        </w:rPr>
        <w:t>FOR FURTHER INFORMATION:</w:t>
      </w:r>
      <w:r w:rsidRPr="003B29FB">
        <w:rPr>
          <w:szCs w:val="26"/>
        </w:rPr>
        <w:t xml:space="preserve">  </w:t>
      </w:r>
      <w:r w:rsidR="002A1554">
        <w:rPr>
          <w:szCs w:val="26"/>
        </w:rPr>
        <w:t>Contact: Kayla Williams</w:t>
      </w:r>
      <w:r w:rsidRPr="003B29FB">
        <w:rPr>
          <w:szCs w:val="26"/>
        </w:rPr>
        <w:t xml:space="preserve"> </w:t>
      </w:r>
      <w:r w:rsidR="002A1554">
        <w:rPr>
          <w:szCs w:val="26"/>
        </w:rPr>
        <w:t xml:space="preserve">at </w:t>
      </w:r>
      <w:r>
        <w:fldChar w:fldCharType="begin"/>
      </w:r>
      <w:r w:rsidRPr="003B29FB">
        <w:rPr>
          <w:rStyle w:val="Hyperlink"/>
        </w:rPr>
        <w:instrText xml:space="preserve"> HYPERLINK "mailto:DataClearance@FERC.gov" </w:instrText>
      </w:r>
      <w:r>
        <w:fldChar w:fldCharType="separate"/>
      </w:r>
      <w:r w:rsidRPr="003B29FB">
        <w:rPr>
          <w:rStyle w:val="Hyperlink"/>
        </w:rPr>
        <w:t>DataClearance@FERC.gov</w:t>
      </w:r>
      <w:r>
        <w:fldChar w:fldCharType="end"/>
      </w:r>
      <w:r w:rsidRPr="003B29FB">
        <w:rPr>
          <w:szCs w:val="26"/>
        </w:rPr>
        <w:t>, telephone at (202) 502-</w:t>
      </w:r>
      <w:r w:rsidR="002A1554">
        <w:rPr>
          <w:szCs w:val="26"/>
        </w:rPr>
        <w:t>6468</w:t>
      </w:r>
      <w:r w:rsidRPr="003B29FB">
        <w:rPr>
          <w:szCs w:val="26"/>
        </w:rPr>
        <w:t>.</w:t>
      </w:r>
    </w:p>
    <w:p w:rsidR="00974659" w:rsidRPr="00974659" w:rsidP="00974659" w14:paraId="3CCB58E8" w14:textId="77777777">
      <w:pPr>
        <w:tabs>
          <w:tab w:val="left" w:pos="7880"/>
        </w:tabs>
        <w:spacing w:line="480" w:lineRule="auto"/>
      </w:pPr>
      <w:r w:rsidRPr="00974659">
        <w:rPr>
          <w:b/>
        </w:rPr>
        <w:t>SUPPLEMENTARY INFORMATION:</w:t>
      </w:r>
      <w:r w:rsidRPr="00974659">
        <w:t xml:space="preserve">  </w:t>
      </w:r>
    </w:p>
    <w:p w:rsidR="00931A95" w:rsidRPr="00931A95" w:rsidP="00931A95" w14:paraId="031EBA8C" w14:textId="28BE0B82">
      <w:pPr>
        <w:spacing w:line="480" w:lineRule="auto"/>
        <w:rPr>
          <w:i/>
          <w:szCs w:val="26"/>
        </w:rPr>
      </w:pPr>
      <w:r w:rsidRPr="00931A95">
        <w:rPr>
          <w:i/>
          <w:szCs w:val="26"/>
        </w:rPr>
        <w:t>Title</w:t>
      </w:r>
      <w:bookmarkStart w:id="2" w:name="_Hlk110523346"/>
      <w:r w:rsidRPr="00931A95">
        <w:rPr>
          <w:i/>
          <w:szCs w:val="26"/>
        </w:rPr>
        <w:t xml:space="preserve">: </w:t>
      </w:r>
      <w:r w:rsidRPr="00931A95">
        <w:rPr>
          <w:szCs w:val="26"/>
        </w:rPr>
        <w:t>FERC-725</w:t>
      </w:r>
      <w:r w:rsidR="009475F9">
        <w:rPr>
          <w:szCs w:val="26"/>
        </w:rPr>
        <w:t>E</w:t>
      </w:r>
      <w:r w:rsidRPr="00931A95">
        <w:rPr>
          <w:szCs w:val="26"/>
        </w:rPr>
        <w:t xml:space="preserve">, </w:t>
      </w:r>
      <w:r w:rsidRPr="00A369A0" w:rsidR="009475F9">
        <w:t>Mandatory Reliability Standards for the Western Electric Coordinating Council</w:t>
      </w:r>
      <w:r w:rsidR="006B6A0B">
        <w:t>, Retirement of BAL-002-WECC-3</w:t>
      </w:r>
      <w:bookmarkEnd w:id="2"/>
      <w:r w:rsidRPr="00931A95">
        <w:rPr>
          <w:szCs w:val="26"/>
        </w:rPr>
        <w:t>.</w:t>
      </w:r>
    </w:p>
    <w:p w:rsidR="00931A95" w:rsidRPr="00931A95" w:rsidP="00931A95" w14:paraId="4CE7316D" w14:textId="77777777">
      <w:pPr>
        <w:spacing w:line="480" w:lineRule="auto"/>
        <w:rPr>
          <w:szCs w:val="26"/>
        </w:rPr>
      </w:pPr>
      <w:r w:rsidRPr="00931A95">
        <w:rPr>
          <w:i/>
          <w:szCs w:val="26"/>
        </w:rPr>
        <w:t>OMB Control No.:</w:t>
      </w:r>
      <w:r w:rsidRPr="00931A95">
        <w:rPr>
          <w:szCs w:val="26"/>
        </w:rPr>
        <w:t xml:space="preserve"> 1902-0264</w:t>
      </w:r>
    </w:p>
    <w:p w:rsidR="00931A95" w:rsidRPr="00931A95" w:rsidP="00931A95" w14:paraId="5C5FEEA7" w14:textId="74228613">
      <w:pPr>
        <w:spacing w:line="480" w:lineRule="auto"/>
        <w:rPr>
          <w:rFonts w:eastAsia="Calibri"/>
          <w:szCs w:val="26"/>
        </w:rPr>
      </w:pPr>
      <w:r w:rsidRPr="00931A95">
        <w:rPr>
          <w:rFonts w:eastAsia="Calibri"/>
          <w:i/>
          <w:szCs w:val="26"/>
        </w:rPr>
        <w:t>Type of Request:</w:t>
      </w:r>
      <w:r w:rsidRPr="00931A95">
        <w:rPr>
          <w:rFonts w:eastAsia="Calibri"/>
          <w:szCs w:val="26"/>
        </w:rPr>
        <w:t xml:space="preserve"> </w:t>
      </w:r>
      <w:r w:rsidR="00F705D2">
        <w:rPr>
          <w:rFonts w:eastAsia="Calibri"/>
          <w:szCs w:val="26"/>
        </w:rPr>
        <w:t xml:space="preserve">Retirement of </w:t>
      </w:r>
      <w:r w:rsidR="00C21FB2">
        <w:rPr>
          <w:rFonts w:eastAsia="Calibri"/>
          <w:szCs w:val="26"/>
        </w:rPr>
        <w:t>BAL-002-WECC-3 from the FERC-725E</w:t>
      </w:r>
      <w:r w:rsidR="00DE5C30">
        <w:rPr>
          <w:rFonts w:eastAsia="Calibri"/>
          <w:szCs w:val="26"/>
        </w:rPr>
        <w:t xml:space="preserve"> information collection requirements</w:t>
      </w:r>
    </w:p>
    <w:p w:rsidR="00D25D3E" w:rsidP="00B444EF" w14:paraId="4972F429" w14:textId="59FEF03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sidRPr="15439B46">
        <w:rPr>
          <w:rFonts w:eastAsia="Calibri"/>
          <w:i/>
          <w:iCs/>
        </w:rPr>
        <w:t>Abstract:</w:t>
      </w:r>
      <w:r w:rsidRPr="15439B46">
        <w:rPr>
          <w:rFonts w:eastAsia="Calibri"/>
          <w:color w:val="000000" w:themeColor="text1"/>
        </w:rPr>
        <w:t xml:space="preserve">  </w:t>
      </w:r>
      <w:r w:rsidRPr="15439B46" w:rsidR="00911636">
        <w:rPr>
          <w:rFonts w:eastAsia="Calibri"/>
          <w:color w:val="000000" w:themeColor="text1"/>
        </w:rPr>
        <w:t>FERC-725E is the information collection that is required to implement the statutory</w:t>
      </w:r>
      <w:r w:rsidRPr="15439B46" w:rsidR="079C044C">
        <w:rPr>
          <w:rFonts w:eastAsia="Calibri"/>
          <w:color w:val="000000" w:themeColor="text1"/>
        </w:rPr>
        <w:t xml:space="preserve"> </w:t>
      </w:r>
      <w:r w:rsidRPr="00911636" w:rsidR="00911636">
        <w:rPr>
          <w:rFonts w:eastAsia="Calibri"/>
          <w:color w:val="000000"/>
          <w:szCs w:val="26"/>
        </w:rPr>
        <w:t xml:space="preserve">provisions of section 215 of the Federal Power Act (FPA) (16 U.S.C. 824o). </w:t>
      </w:r>
      <w:r w:rsidRPr="00911636" w:rsidR="00911636">
        <w:rPr>
          <w:rFonts w:eastAsia="Calibri"/>
          <w:color w:val="000000"/>
          <w:szCs w:val="26"/>
        </w:rPr>
        <w:t>Section 215 of</w:t>
      </w:r>
      <w:r w:rsidR="00911636">
        <w:rPr>
          <w:rFonts w:eastAsia="Calibri"/>
          <w:color w:val="000000"/>
          <w:szCs w:val="26"/>
        </w:rPr>
        <w:t xml:space="preserve"> </w:t>
      </w:r>
      <w:r w:rsidRPr="00911636" w:rsidR="00911636">
        <w:rPr>
          <w:rFonts w:eastAsia="Calibri"/>
          <w:color w:val="000000"/>
          <w:szCs w:val="26"/>
        </w:rPr>
        <w:t>the FPA buttresses the Commission’s efforts to strengthen the reliability of the interstate grid</w:t>
      </w:r>
      <w:r>
        <w:rPr>
          <w:rFonts w:eastAsia="Calibri"/>
          <w:color w:val="000000"/>
          <w:szCs w:val="26"/>
        </w:rPr>
        <w:t xml:space="preserve"> </w:t>
      </w:r>
      <w:r w:rsidRPr="00911636" w:rsidR="00911636">
        <w:rPr>
          <w:rFonts w:eastAsia="Calibri"/>
          <w:color w:val="000000"/>
          <w:szCs w:val="26"/>
        </w:rPr>
        <w:t>through the grant of new authority by providing for a system of mandatory Reliability</w:t>
      </w:r>
      <w:r>
        <w:rPr>
          <w:rFonts w:eastAsia="Calibri"/>
          <w:color w:val="000000"/>
          <w:szCs w:val="26"/>
        </w:rPr>
        <w:t xml:space="preserve"> </w:t>
      </w:r>
      <w:r w:rsidRPr="00911636" w:rsidR="00911636">
        <w:rPr>
          <w:rFonts w:eastAsia="Calibri"/>
          <w:color w:val="000000"/>
          <w:szCs w:val="26"/>
        </w:rPr>
        <w:t>Standards developed by the Electric Reliability Organization (ERO).</w:t>
      </w:r>
      <w:r w:rsidR="00B444EF">
        <w:rPr>
          <w:rFonts w:eastAsia="Calibri"/>
          <w:color w:val="000000"/>
          <w:szCs w:val="26"/>
        </w:rPr>
        <w:t xml:space="preserve">  </w:t>
      </w:r>
      <w:r w:rsidRPr="00B444EF" w:rsidR="00B444EF">
        <w:rPr>
          <w:rFonts w:eastAsia="Calibri"/>
          <w:color w:val="000000"/>
          <w:szCs w:val="26"/>
        </w:rPr>
        <w:t>Reliability Standards</w:t>
      </w:r>
      <w:r w:rsidR="00B444EF">
        <w:rPr>
          <w:rFonts w:eastAsia="Calibri"/>
          <w:color w:val="000000"/>
          <w:szCs w:val="26"/>
        </w:rPr>
        <w:t xml:space="preserve"> </w:t>
      </w:r>
      <w:r w:rsidRPr="00B444EF" w:rsidR="00B444EF">
        <w:rPr>
          <w:rFonts w:eastAsia="Calibri"/>
          <w:color w:val="000000"/>
          <w:szCs w:val="26"/>
        </w:rPr>
        <w:t>that the ERO proposes to the Commission may include Reliability Standards that are proposed</w:t>
      </w:r>
      <w:r w:rsidR="00B444EF">
        <w:rPr>
          <w:rFonts w:eastAsia="Calibri"/>
          <w:color w:val="000000"/>
          <w:szCs w:val="26"/>
        </w:rPr>
        <w:t xml:space="preserve"> </w:t>
      </w:r>
      <w:r w:rsidRPr="00B444EF" w:rsidR="00B444EF">
        <w:rPr>
          <w:rFonts w:eastAsia="Calibri"/>
          <w:color w:val="000000"/>
          <w:szCs w:val="26"/>
        </w:rPr>
        <w:t>to the ERO by a Regional Entity.</w:t>
      </w:r>
      <w:r>
        <w:rPr>
          <w:rStyle w:val="FootnoteReference"/>
          <w:rFonts w:eastAsia="Calibri"/>
          <w:color w:val="000000"/>
        </w:rPr>
        <w:footnoteReference w:id="3"/>
      </w:r>
      <w:r w:rsidRPr="00B444EF" w:rsidR="00B444EF">
        <w:rPr>
          <w:rFonts w:eastAsia="Calibri"/>
          <w:b/>
          <w:bCs/>
          <w:color w:val="000000"/>
          <w:szCs w:val="26"/>
        </w:rPr>
        <w:t xml:space="preserve"> </w:t>
      </w:r>
      <w:r w:rsidR="00B444EF">
        <w:rPr>
          <w:rFonts w:eastAsia="Calibri"/>
          <w:b/>
          <w:bCs/>
          <w:color w:val="000000"/>
          <w:szCs w:val="26"/>
        </w:rPr>
        <w:t xml:space="preserve"> </w:t>
      </w:r>
      <w:r w:rsidRPr="00B444EF" w:rsidR="00B444EF">
        <w:rPr>
          <w:rFonts w:eastAsia="Calibri"/>
          <w:color w:val="000000"/>
          <w:szCs w:val="26"/>
        </w:rPr>
        <w:t>A Regional Entity is an entity that has been approved by</w:t>
      </w:r>
      <w:r w:rsidR="00B444EF">
        <w:rPr>
          <w:rFonts w:eastAsia="Calibri"/>
          <w:color w:val="000000"/>
          <w:szCs w:val="26"/>
        </w:rPr>
        <w:t xml:space="preserve"> </w:t>
      </w:r>
      <w:r w:rsidRPr="00B444EF" w:rsidR="00B444EF">
        <w:rPr>
          <w:rFonts w:eastAsia="Calibri"/>
          <w:color w:val="000000"/>
          <w:szCs w:val="26"/>
        </w:rPr>
        <w:t>the Commission to enforce Reliability Standards under delegated authority from the ERO.</w:t>
      </w:r>
      <w:r>
        <w:rPr>
          <w:rStyle w:val="FootnoteReference"/>
          <w:rFonts w:eastAsia="Calibri"/>
          <w:color w:val="000000"/>
        </w:rPr>
        <w:footnoteReference w:id="4"/>
      </w:r>
      <w:r w:rsidR="00B444EF">
        <w:rPr>
          <w:rFonts w:eastAsia="Calibri"/>
          <w:b/>
          <w:bCs/>
          <w:color w:val="000000"/>
          <w:szCs w:val="26"/>
        </w:rPr>
        <w:t xml:space="preserve">  </w:t>
      </w:r>
      <w:r w:rsidRPr="00B444EF" w:rsidR="00B444EF">
        <w:rPr>
          <w:rFonts w:eastAsia="Calibri"/>
          <w:color w:val="000000"/>
          <w:szCs w:val="26"/>
        </w:rPr>
        <w:t>On June 8, 2008, the Commission approved eight regional Reliability Standards submitted by</w:t>
      </w:r>
      <w:r w:rsidR="006E647B">
        <w:rPr>
          <w:rFonts w:eastAsia="Calibri"/>
          <w:color w:val="000000"/>
          <w:szCs w:val="26"/>
        </w:rPr>
        <w:t xml:space="preserve"> </w:t>
      </w:r>
      <w:r w:rsidRPr="00B444EF" w:rsidR="00B444EF">
        <w:rPr>
          <w:rFonts w:eastAsia="Calibri"/>
          <w:color w:val="000000"/>
          <w:szCs w:val="26"/>
        </w:rPr>
        <w:t>the ERO that were proposed by WECC.</w:t>
      </w:r>
      <w:r>
        <w:rPr>
          <w:rStyle w:val="FootnoteReference"/>
          <w:rFonts w:eastAsia="Calibri"/>
          <w:color w:val="000000"/>
        </w:rPr>
        <w:footnoteReference w:id="5"/>
      </w:r>
    </w:p>
    <w:p w:rsidR="002F718A" w:rsidRPr="002F718A" w:rsidP="00D11979" w14:paraId="0569B363" w14:textId="79F76A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Pr>
          <w:rFonts w:eastAsia="Calibri"/>
          <w:color w:val="000000"/>
          <w:szCs w:val="26"/>
        </w:rPr>
        <w:tab/>
      </w:r>
      <w:r w:rsidRPr="002F718A">
        <w:rPr>
          <w:rFonts w:eastAsia="Calibri"/>
          <w:color w:val="000000"/>
          <w:szCs w:val="26"/>
        </w:rPr>
        <w:t>WECC promotes bulk electric system reliability in the Western Interconnection</w:t>
      </w:r>
      <w:r w:rsidR="00D11979">
        <w:rPr>
          <w:rFonts w:eastAsia="Calibri"/>
          <w:color w:val="000000"/>
          <w:szCs w:val="26"/>
        </w:rPr>
        <w:t xml:space="preserve"> and </w:t>
      </w:r>
      <w:r w:rsidRPr="002F718A">
        <w:rPr>
          <w:rFonts w:eastAsia="Calibri"/>
          <w:color w:val="000000"/>
          <w:szCs w:val="26"/>
        </w:rPr>
        <w:t>is the Regional Entity responsible for compliance monitoring and enforcement. In</w:t>
      </w:r>
    </w:p>
    <w:p w:rsidR="002F718A" w:rsidRPr="002F718A" w:rsidP="002F718A" w14:paraId="6CACEF56" w14:textId="696B74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sidRPr="002F718A">
        <w:rPr>
          <w:rFonts w:eastAsia="Calibri"/>
          <w:color w:val="000000"/>
          <w:szCs w:val="26"/>
        </w:rPr>
        <w:t>addition, WECC provides an environment for the development of Reliability Standards and the</w:t>
      </w:r>
      <w:r>
        <w:rPr>
          <w:rFonts w:eastAsia="Calibri"/>
          <w:color w:val="000000"/>
          <w:szCs w:val="26"/>
        </w:rPr>
        <w:t xml:space="preserve"> </w:t>
      </w:r>
      <w:r w:rsidRPr="002F718A">
        <w:rPr>
          <w:rFonts w:eastAsia="Calibri"/>
          <w:color w:val="000000"/>
          <w:szCs w:val="26"/>
        </w:rPr>
        <w:t>coordination of the operating and planning activities of its members as set forth in the WECC</w:t>
      </w:r>
      <w:r>
        <w:rPr>
          <w:rFonts w:eastAsia="Calibri"/>
          <w:color w:val="000000"/>
          <w:szCs w:val="26"/>
        </w:rPr>
        <w:t xml:space="preserve"> </w:t>
      </w:r>
      <w:r w:rsidRPr="002F718A">
        <w:rPr>
          <w:rFonts w:eastAsia="Calibri"/>
          <w:color w:val="000000"/>
          <w:szCs w:val="26"/>
        </w:rPr>
        <w:t>Bylaws.</w:t>
      </w:r>
    </w:p>
    <w:p w:rsidR="00270280" w:rsidP="00270280" w14:paraId="601545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Pr>
          <w:rFonts w:eastAsia="Calibri"/>
          <w:color w:val="000000"/>
          <w:szCs w:val="26"/>
        </w:rPr>
        <w:tab/>
      </w:r>
      <w:r w:rsidRPr="002F718A" w:rsidR="002F718A">
        <w:rPr>
          <w:rFonts w:eastAsia="Calibri"/>
          <w:color w:val="000000"/>
          <w:szCs w:val="26"/>
        </w:rPr>
        <w:t>There are several regional Reliability Standards in the WECC region. These regional</w:t>
      </w:r>
      <w:r>
        <w:rPr>
          <w:rFonts w:eastAsia="Calibri"/>
          <w:color w:val="000000"/>
          <w:szCs w:val="26"/>
        </w:rPr>
        <w:t xml:space="preserve"> </w:t>
      </w:r>
      <w:r w:rsidRPr="002F718A" w:rsidR="002F718A">
        <w:rPr>
          <w:rFonts w:eastAsia="Calibri"/>
          <w:color w:val="000000"/>
          <w:szCs w:val="26"/>
        </w:rPr>
        <w:t>Reliability Standards generally require entities to document compliance with substantive</w:t>
      </w:r>
      <w:r>
        <w:rPr>
          <w:rFonts w:eastAsia="Calibri"/>
          <w:color w:val="000000"/>
          <w:szCs w:val="26"/>
        </w:rPr>
        <w:t xml:space="preserve"> </w:t>
      </w:r>
      <w:r w:rsidRPr="002F718A" w:rsidR="002F718A">
        <w:rPr>
          <w:rFonts w:eastAsia="Calibri"/>
          <w:color w:val="000000"/>
          <w:szCs w:val="26"/>
        </w:rPr>
        <w:t>requirements, retain documentation, and submit reports to WECC.</w:t>
      </w:r>
      <w:r>
        <w:rPr>
          <w:rFonts w:eastAsia="Calibri"/>
          <w:color w:val="000000"/>
          <w:szCs w:val="26"/>
        </w:rPr>
        <w:t xml:space="preserve">  </w:t>
      </w:r>
    </w:p>
    <w:p w:rsidR="00270280" w:rsidP="00270280" w14:paraId="4EBDBBD3" w14:textId="0DD22F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Calibri"/>
          <w:color w:val="000000"/>
          <w:szCs w:val="26"/>
        </w:rPr>
      </w:pPr>
      <w:r>
        <w:rPr>
          <w:rFonts w:eastAsia="Calibri"/>
          <w:color w:val="000000"/>
          <w:szCs w:val="26"/>
        </w:rPr>
        <w:tab/>
      </w:r>
      <w:r w:rsidR="003801BF">
        <w:rPr>
          <w:rFonts w:eastAsia="Calibri"/>
          <w:color w:val="000000"/>
          <w:szCs w:val="26"/>
        </w:rPr>
        <w:t xml:space="preserve">In </w:t>
      </w:r>
      <w:r w:rsidR="00F5741D">
        <w:rPr>
          <w:rFonts w:eastAsia="Calibri"/>
          <w:color w:val="000000"/>
          <w:szCs w:val="26"/>
        </w:rPr>
        <w:t>RD26-5-000,</w:t>
      </w:r>
      <w:r w:rsidR="00FB56C7">
        <w:rPr>
          <w:rFonts w:eastAsia="Calibri"/>
          <w:color w:val="000000"/>
          <w:szCs w:val="26"/>
        </w:rPr>
        <w:t xml:space="preserve"> FERC is retiring</w:t>
      </w:r>
      <w:r w:rsidR="00F5741D">
        <w:rPr>
          <w:rFonts w:eastAsia="Calibri"/>
          <w:color w:val="000000"/>
          <w:szCs w:val="26"/>
        </w:rPr>
        <w:t xml:space="preserve"> Regional Reliability Standard</w:t>
      </w:r>
      <w:r w:rsidR="00936531">
        <w:rPr>
          <w:rFonts w:eastAsia="Calibri"/>
          <w:color w:val="000000"/>
          <w:szCs w:val="26"/>
        </w:rPr>
        <w:t xml:space="preserve"> </w:t>
      </w:r>
      <w:r w:rsidRPr="00270280">
        <w:rPr>
          <w:rFonts w:eastAsia="Calibri"/>
          <w:color w:val="000000"/>
          <w:szCs w:val="26"/>
        </w:rPr>
        <w:t>BAL-002-WECC-3 (Contingency Reserve)</w:t>
      </w:r>
      <w:r w:rsidR="00FB56C7">
        <w:rPr>
          <w:rFonts w:eastAsia="Calibri"/>
          <w:color w:val="000000"/>
          <w:szCs w:val="26"/>
        </w:rPr>
        <w:t>,</w:t>
      </w:r>
      <w:r>
        <w:rPr>
          <w:rFonts w:eastAsia="Calibri"/>
          <w:b/>
          <w:bCs/>
          <w:color w:val="000000"/>
          <w:szCs w:val="26"/>
        </w:rPr>
        <w:t xml:space="preserve"> </w:t>
      </w:r>
      <w:r w:rsidRPr="000B7FDD">
        <w:rPr>
          <w:rFonts w:eastAsia="Calibri"/>
          <w:color w:val="000000"/>
          <w:szCs w:val="26"/>
        </w:rPr>
        <w:t>which</w:t>
      </w:r>
      <w:r>
        <w:rPr>
          <w:rFonts w:eastAsia="Calibri"/>
          <w:b/>
          <w:bCs/>
          <w:color w:val="000000"/>
          <w:szCs w:val="26"/>
        </w:rPr>
        <w:t xml:space="preserve"> </w:t>
      </w:r>
      <w:r w:rsidRPr="00270280">
        <w:rPr>
          <w:rFonts w:eastAsia="Calibri"/>
          <w:color w:val="000000"/>
          <w:szCs w:val="26"/>
        </w:rPr>
        <w:t>requires balancing authorities and</w:t>
      </w:r>
      <w:r>
        <w:rPr>
          <w:rFonts w:eastAsia="Calibri"/>
          <w:color w:val="000000"/>
          <w:szCs w:val="26"/>
        </w:rPr>
        <w:t xml:space="preserve"> </w:t>
      </w:r>
      <w:r w:rsidRPr="00270280">
        <w:rPr>
          <w:rFonts w:eastAsia="Calibri"/>
          <w:color w:val="000000"/>
          <w:szCs w:val="26"/>
        </w:rPr>
        <w:t>reserve sharing groups to document compliance with the contingency reserve</w:t>
      </w:r>
      <w:r>
        <w:rPr>
          <w:rFonts w:eastAsia="Calibri"/>
          <w:color w:val="000000"/>
          <w:szCs w:val="26"/>
        </w:rPr>
        <w:t xml:space="preserve"> </w:t>
      </w:r>
      <w:r w:rsidRPr="00270280">
        <w:rPr>
          <w:rFonts w:eastAsia="Calibri"/>
          <w:color w:val="000000"/>
          <w:szCs w:val="26"/>
        </w:rPr>
        <w:t>requirements</w:t>
      </w:r>
      <w:r w:rsidR="00895354">
        <w:rPr>
          <w:rFonts w:eastAsia="Calibri"/>
          <w:color w:val="000000"/>
          <w:szCs w:val="26"/>
        </w:rPr>
        <w:t>.</w:t>
      </w:r>
      <w:r w:rsidR="00F17216">
        <w:rPr>
          <w:rFonts w:eastAsia="Calibri"/>
          <w:color w:val="000000"/>
          <w:szCs w:val="26"/>
        </w:rPr>
        <w:t xml:space="preserve">  </w:t>
      </w:r>
      <w:r w:rsidRPr="00756D0C" w:rsidR="00756D0C">
        <w:rPr>
          <w:rFonts w:eastAsia="Calibri"/>
          <w:color w:val="000000"/>
          <w:szCs w:val="26"/>
        </w:rPr>
        <w:t>NERC and WECC explain that “Regional Reliability Standard BAL-002-WECC-3 requires applicable WECC entities to maintain reserves at levels that exceed those required under the continent-wide Reliability Standard BAL-002-3 – Disturbance Control Standard – Contingency Reserve for Recovery from a Balancing Contingency Event.  Following a recent review of the regional standard, WECC identified that no technical basis supports the continued applicability of the standard, and that rather than advance reliability in the Western Interconnection, the regional standard may be presenting unnecessary challenges</w:t>
      </w:r>
      <w:r w:rsidR="00F9106E">
        <w:rPr>
          <w:rFonts w:eastAsia="Calibri"/>
          <w:color w:val="000000"/>
          <w:szCs w:val="26"/>
        </w:rPr>
        <w:t>.</w:t>
      </w:r>
    </w:p>
    <w:p w:rsidR="00931A95" w:rsidRPr="00931A95" w:rsidP="00BC473A" w14:paraId="51FD71A7" w14:textId="7F2958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iCs/>
          <w:szCs w:val="26"/>
        </w:rPr>
      </w:pPr>
      <w:r w:rsidRPr="00931A95">
        <w:rPr>
          <w:rFonts w:eastAsia="Calibri"/>
          <w:i/>
          <w:szCs w:val="26"/>
        </w:rPr>
        <w:t>Type of Respondents:</w:t>
      </w:r>
      <w:r w:rsidRPr="00931A95">
        <w:rPr>
          <w:rFonts w:eastAsia="Calibri"/>
          <w:iCs/>
          <w:szCs w:val="26"/>
        </w:rPr>
        <w:t xml:space="preserve"> </w:t>
      </w:r>
      <w:r w:rsidR="00BC473A">
        <w:rPr>
          <w:rFonts w:eastAsia="Calibri"/>
          <w:iCs/>
          <w:szCs w:val="26"/>
        </w:rPr>
        <w:t xml:space="preserve">Balancing authorities and </w:t>
      </w:r>
      <w:r w:rsidR="000B7608">
        <w:rPr>
          <w:rFonts w:eastAsia="Calibri"/>
          <w:iCs/>
          <w:szCs w:val="26"/>
        </w:rPr>
        <w:t>reserve sharing groups</w:t>
      </w:r>
      <w:r w:rsidRPr="00931A95">
        <w:rPr>
          <w:rFonts w:eastAsia="Calibri"/>
          <w:iCs/>
          <w:szCs w:val="26"/>
        </w:rPr>
        <w:t>.</w:t>
      </w:r>
    </w:p>
    <w:p w:rsidR="00931A95" w:rsidRPr="00931A95" w:rsidP="00931A95" w14:paraId="02FDF9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iCs/>
          <w:szCs w:val="26"/>
        </w:rPr>
      </w:pPr>
    </w:p>
    <w:p w:rsidR="00931A95" w:rsidRPr="00931A95" w:rsidP="00931A95" w14:paraId="78ED41E7" w14:textId="0EF57762">
      <w:pPr>
        <w:autoSpaceDE w:val="0"/>
        <w:autoSpaceDN w:val="0"/>
        <w:adjustRightInd w:val="0"/>
        <w:spacing w:line="480" w:lineRule="auto"/>
        <w:rPr>
          <w:szCs w:val="26"/>
        </w:rPr>
      </w:pPr>
      <w:r w:rsidRPr="00931A95">
        <w:rPr>
          <w:i/>
          <w:szCs w:val="26"/>
        </w:rPr>
        <w:t>Estimate of Annual Burden:</w:t>
      </w:r>
      <w:r>
        <w:rPr>
          <w:b/>
          <w:i/>
          <w:szCs w:val="26"/>
          <w:vertAlign w:val="superscript"/>
        </w:rPr>
        <w:footnoteReference w:id="6"/>
      </w:r>
      <w:r w:rsidR="00B04A35">
        <w:rPr>
          <w:i/>
          <w:szCs w:val="26"/>
        </w:rPr>
        <w:t xml:space="preserve"> </w:t>
      </w:r>
      <w:r w:rsidRPr="00931A95">
        <w:rPr>
          <w:i/>
          <w:szCs w:val="26"/>
        </w:rPr>
        <w:t xml:space="preserve"> </w:t>
      </w:r>
      <w:r w:rsidRPr="00931A95">
        <w:rPr>
          <w:szCs w:val="26"/>
        </w:rPr>
        <w:t xml:space="preserve">Our estimates </w:t>
      </w:r>
      <w:r w:rsidR="00A50BB8">
        <w:rPr>
          <w:szCs w:val="26"/>
        </w:rPr>
        <w:t xml:space="preserve">for a reduction in burden under 725E </w:t>
      </w:r>
      <w:r w:rsidR="00B04A35">
        <w:rPr>
          <w:szCs w:val="26"/>
        </w:rPr>
        <w:t>are specific to just BAL-002-WECC-3 entities no lon</w:t>
      </w:r>
      <w:r w:rsidR="00ED274C">
        <w:rPr>
          <w:szCs w:val="26"/>
        </w:rPr>
        <w:t xml:space="preserve">ger needing to </w:t>
      </w:r>
      <w:r w:rsidR="00E76CE4">
        <w:rPr>
          <w:szCs w:val="26"/>
        </w:rPr>
        <w:t xml:space="preserve">be </w:t>
      </w:r>
      <w:r w:rsidR="00ED274C">
        <w:rPr>
          <w:szCs w:val="26"/>
        </w:rPr>
        <w:t xml:space="preserve">compliant with the </w:t>
      </w:r>
      <w:r w:rsidR="002E18DD">
        <w:rPr>
          <w:szCs w:val="26"/>
        </w:rPr>
        <w:t xml:space="preserve">applicable </w:t>
      </w:r>
      <w:r w:rsidR="00ED274C">
        <w:rPr>
          <w:szCs w:val="26"/>
        </w:rPr>
        <w:t>Requirements</w:t>
      </w:r>
      <w:r w:rsidR="002E18DD">
        <w:rPr>
          <w:szCs w:val="26"/>
        </w:rPr>
        <w:t>.  Additionally</w:t>
      </w:r>
      <w:r w:rsidR="00E76CE4">
        <w:rPr>
          <w:szCs w:val="26"/>
        </w:rPr>
        <w:t>,</w:t>
      </w:r>
      <w:r w:rsidR="002E18DD">
        <w:rPr>
          <w:szCs w:val="26"/>
        </w:rPr>
        <w:t xml:space="preserve"> the estimate used </w:t>
      </w:r>
      <w:r w:rsidR="00E76CE4">
        <w:rPr>
          <w:szCs w:val="26"/>
        </w:rPr>
        <w:t xml:space="preserve">information from </w:t>
      </w:r>
      <w:r w:rsidRPr="00931A95">
        <w:rPr>
          <w:szCs w:val="26"/>
        </w:rPr>
        <w:t xml:space="preserve">the </w:t>
      </w:r>
      <w:r w:rsidRPr="000B7FDD">
        <w:rPr>
          <w:szCs w:val="26"/>
        </w:rPr>
        <w:t xml:space="preserve">NERC Compliance Registry Summary of Entities as of </w:t>
      </w:r>
      <w:r w:rsidRPr="000B7FDD" w:rsidR="000A2EAD">
        <w:rPr>
          <w:szCs w:val="26"/>
        </w:rPr>
        <w:t>February 9, 2026</w:t>
      </w:r>
      <w:r w:rsidRPr="000B7FDD">
        <w:rPr>
          <w:szCs w:val="26"/>
        </w:rPr>
        <w:t>.</w:t>
      </w:r>
      <w:r w:rsidRPr="00931A95">
        <w:rPr>
          <w:szCs w:val="26"/>
        </w:rPr>
        <w:t xml:space="preserve">  </w:t>
      </w:r>
      <w:bookmarkStart w:id="3" w:name="_Hlk35515371"/>
    </w:p>
    <w:bookmarkEnd w:id="3"/>
    <w:p w:rsidR="00931A95" w:rsidRPr="00931A95" w:rsidP="00931A95" w14:paraId="41063799" w14:textId="53CA0A34">
      <w:pPr>
        <w:autoSpaceDE w:val="0"/>
        <w:autoSpaceDN w:val="0"/>
        <w:adjustRightInd w:val="0"/>
        <w:spacing w:line="480" w:lineRule="auto"/>
        <w:rPr>
          <w:szCs w:val="26"/>
        </w:rPr>
      </w:pPr>
      <w:r w:rsidRPr="00931A95">
        <w:rPr>
          <w:szCs w:val="26"/>
        </w:rPr>
        <w:tab/>
        <w:t>The individual burden estimates include the time needed to gather data, run studies, and analyze study results.  These are consistent with estimates for similar tasks in other Commission-approved standards.  Estimates for the additional average annual burden and cost</w:t>
      </w:r>
      <w:r>
        <w:rPr>
          <w:b/>
          <w:szCs w:val="26"/>
          <w:vertAlign w:val="superscript"/>
        </w:rPr>
        <w:footnoteReference w:id="7"/>
      </w:r>
      <w:r w:rsidRPr="00931A95">
        <w:rPr>
          <w:szCs w:val="26"/>
        </w:rPr>
        <w:t xml:space="preserve"> as follow</w:t>
      </w:r>
      <w:r w:rsidR="003D1CA7">
        <w:rPr>
          <w:szCs w:val="26"/>
        </w:rPr>
        <w:t>s</w:t>
      </w:r>
      <w:r w:rsidRPr="00931A95">
        <w:rPr>
          <w:szCs w:val="26"/>
        </w:rPr>
        <w:t>:</w:t>
      </w:r>
    </w:p>
    <w:tbl>
      <w:tblPr>
        <w:tblW w:w="522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1410"/>
        <w:gridCol w:w="1660"/>
        <w:gridCol w:w="1631"/>
        <w:gridCol w:w="1506"/>
        <w:gridCol w:w="1891"/>
      </w:tblGrid>
      <w:tr w14:paraId="55552D4A" w14:textId="77777777" w:rsidTr="000B7FDD">
        <w:tblPrEx>
          <w:tblW w:w="522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800"/>
        </w:trPr>
        <w:tc>
          <w:tcPr>
            <w:tcW w:w="5000" w:type="pct"/>
            <w:gridSpan w:val="6"/>
            <w:shd w:val="clear" w:color="auto" w:fill="D9D9D9"/>
          </w:tcPr>
          <w:p w:rsidR="00C85D55" w:rsidRPr="00C85D55" w:rsidP="00C85D55" w14:paraId="5E5D0C6C" w14:textId="77777777">
            <w:pPr>
              <w:jc w:val="center"/>
              <w:rPr>
                <w:rFonts w:eastAsia="Calibri"/>
                <w:b/>
                <w:bCs/>
                <w:szCs w:val="26"/>
              </w:rPr>
            </w:pPr>
            <w:r w:rsidRPr="00C85D55">
              <w:rPr>
                <w:rFonts w:eastAsia="Calibri"/>
                <w:b/>
                <w:bCs/>
                <w:szCs w:val="26"/>
              </w:rPr>
              <w:t>FERC-725E, Mandatory Reliability Standards for the</w:t>
            </w:r>
          </w:p>
          <w:p w:rsidR="00C85D55" w:rsidRPr="00C85D55" w:rsidP="00C85D55" w14:paraId="32B260E1" w14:textId="7AD89B14">
            <w:pPr>
              <w:jc w:val="center"/>
              <w:rPr>
                <w:rFonts w:eastAsia="Calibri"/>
                <w:b/>
                <w:bCs/>
                <w:szCs w:val="26"/>
              </w:rPr>
            </w:pPr>
            <w:r w:rsidRPr="00C85D55">
              <w:rPr>
                <w:rFonts w:eastAsia="Calibri"/>
                <w:b/>
                <w:bCs/>
                <w:szCs w:val="26"/>
              </w:rPr>
              <w:t>Western Electric Coordinating Council,</w:t>
            </w:r>
            <w:r>
              <w:rPr>
                <w:rFonts w:eastAsia="Calibri"/>
                <w:b/>
                <w:bCs/>
                <w:szCs w:val="26"/>
              </w:rPr>
              <w:t xml:space="preserve"> Retirement of BAL-002-WECC-3</w:t>
            </w:r>
          </w:p>
          <w:p w:rsidR="000A2EAD" w:rsidRPr="00931A95" w:rsidP="00C85D55" w14:paraId="26CB0395" w14:textId="0A112A66">
            <w:pPr>
              <w:jc w:val="center"/>
              <w:rPr>
                <w:rFonts w:eastAsia="Calibri"/>
                <w:b/>
                <w:szCs w:val="26"/>
              </w:rPr>
            </w:pPr>
            <w:r w:rsidRPr="00C85D55">
              <w:rPr>
                <w:rFonts w:eastAsia="Calibri"/>
                <w:b/>
                <w:bCs/>
                <w:szCs w:val="26"/>
              </w:rPr>
              <w:t>Changes in Docket No. RD2</w:t>
            </w:r>
            <w:r>
              <w:rPr>
                <w:rFonts w:eastAsia="Calibri"/>
                <w:b/>
                <w:bCs/>
                <w:szCs w:val="26"/>
              </w:rPr>
              <w:t>6-5</w:t>
            </w:r>
            <w:r w:rsidRPr="00C85D55">
              <w:rPr>
                <w:rFonts w:eastAsia="Calibri"/>
                <w:b/>
                <w:bCs/>
                <w:szCs w:val="26"/>
              </w:rPr>
              <w:t>-000</w:t>
            </w:r>
          </w:p>
        </w:tc>
      </w:tr>
      <w:tr w14:paraId="0B3D9276" w14:textId="77777777" w:rsidTr="000B7FDD">
        <w:tblPrEx>
          <w:tblW w:w="5222" w:type="pct"/>
          <w:tblInd w:w="-72" w:type="dxa"/>
          <w:tblLayout w:type="fixed"/>
          <w:tblLook w:val="01E0"/>
        </w:tblPrEx>
        <w:trPr>
          <w:cantSplit/>
          <w:trHeight w:val="2157"/>
        </w:trPr>
        <w:tc>
          <w:tcPr>
            <w:tcW w:w="854" w:type="pct"/>
            <w:shd w:val="clear" w:color="auto" w:fill="D9D9D9"/>
          </w:tcPr>
          <w:p w:rsidR="00F33725" w:rsidRPr="00931A95" w:rsidP="00931A95" w14:paraId="0D06E1AE" w14:textId="77777777">
            <w:pPr>
              <w:jc w:val="center"/>
              <w:rPr>
                <w:b/>
                <w:szCs w:val="26"/>
              </w:rPr>
            </w:pPr>
            <w:bookmarkStart w:id="4" w:name="_Hlk38878319"/>
          </w:p>
          <w:p w:rsidR="00F33725" w:rsidRPr="00931A95" w:rsidP="00931A95" w14:paraId="560A20E7" w14:textId="5D44B475">
            <w:pPr>
              <w:jc w:val="center"/>
              <w:rPr>
                <w:rFonts w:eastAsia="Calibri"/>
                <w:szCs w:val="26"/>
              </w:rPr>
            </w:pPr>
            <w:r>
              <w:rPr>
                <w:rFonts w:eastAsia="Calibri"/>
                <w:szCs w:val="26"/>
              </w:rPr>
              <w:t>Reliability Standard or Process</w:t>
            </w:r>
          </w:p>
        </w:tc>
        <w:tc>
          <w:tcPr>
            <w:tcW w:w="722" w:type="pct"/>
            <w:shd w:val="clear" w:color="auto" w:fill="D9D9D9"/>
          </w:tcPr>
          <w:p w:rsidR="00F33725" w:rsidRPr="00931A95" w:rsidP="00931A95" w14:paraId="5D9D28C4" w14:textId="12FA3F4F">
            <w:pPr>
              <w:jc w:val="center"/>
              <w:rPr>
                <w:rFonts w:eastAsia="Calibri"/>
                <w:b/>
                <w:szCs w:val="26"/>
              </w:rPr>
            </w:pPr>
            <w:r>
              <w:rPr>
                <w:rFonts w:eastAsia="Calibri"/>
                <w:b/>
                <w:szCs w:val="26"/>
              </w:rPr>
              <w:t>Type and Number of Entities</w:t>
            </w:r>
            <w:r>
              <w:rPr>
                <w:rStyle w:val="FootnoteReference"/>
                <w:rFonts w:eastAsia="Calibri"/>
                <w:b w:val="0"/>
              </w:rPr>
              <w:footnoteReference w:id="8"/>
            </w:r>
            <w:r w:rsidRPr="00931A95">
              <w:rPr>
                <w:rFonts w:eastAsia="Calibri"/>
                <w:b/>
                <w:szCs w:val="26"/>
              </w:rPr>
              <w:br/>
              <w:t>(1)</w:t>
            </w:r>
          </w:p>
        </w:tc>
        <w:tc>
          <w:tcPr>
            <w:tcW w:w="850" w:type="pct"/>
            <w:shd w:val="clear" w:color="auto" w:fill="D9D9D9"/>
          </w:tcPr>
          <w:p w:rsidR="00F33725" w:rsidRPr="00931A95" w:rsidP="00931A95" w14:paraId="7131C1CA" w14:textId="255B6383">
            <w:pPr>
              <w:jc w:val="center"/>
              <w:rPr>
                <w:rFonts w:eastAsia="Calibri"/>
                <w:b/>
                <w:szCs w:val="26"/>
              </w:rPr>
            </w:pPr>
            <w:r w:rsidRPr="00931A95">
              <w:rPr>
                <w:rFonts w:eastAsia="Calibri"/>
                <w:b/>
                <w:szCs w:val="26"/>
              </w:rPr>
              <w:t xml:space="preserve">Annual Number of Responses per </w:t>
            </w:r>
            <w:r>
              <w:rPr>
                <w:rFonts w:eastAsia="Calibri"/>
                <w:b/>
                <w:szCs w:val="26"/>
              </w:rPr>
              <w:t>Entity</w:t>
            </w:r>
          </w:p>
          <w:p w:rsidR="00F33725" w:rsidRPr="00931A95" w:rsidP="00931A95" w14:paraId="1CE45361" w14:textId="77777777">
            <w:pPr>
              <w:jc w:val="center"/>
              <w:rPr>
                <w:rFonts w:eastAsia="Calibri"/>
                <w:b/>
                <w:szCs w:val="26"/>
              </w:rPr>
            </w:pPr>
            <w:r w:rsidRPr="00931A95">
              <w:rPr>
                <w:rFonts w:eastAsia="Calibri"/>
                <w:b/>
                <w:szCs w:val="26"/>
              </w:rPr>
              <w:t>(2)</w:t>
            </w:r>
          </w:p>
        </w:tc>
        <w:tc>
          <w:tcPr>
            <w:tcW w:w="835" w:type="pct"/>
            <w:shd w:val="clear" w:color="auto" w:fill="D9D9D9"/>
          </w:tcPr>
          <w:p w:rsidR="00F33725" w:rsidRPr="00931A95" w:rsidP="00931A95" w14:paraId="7E5F606A" w14:textId="3E0559B4">
            <w:pPr>
              <w:jc w:val="center"/>
              <w:rPr>
                <w:rFonts w:eastAsia="Calibri"/>
                <w:b/>
                <w:szCs w:val="26"/>
              </w:rPr>
            </w:pPr>
            <w:r w:rsidRPr="00931A95">
              <w:rPr>
                <w:rFonts w:eastAsia="Calibri"/>
                <w:b/>
                <w:szCs w:val="26"/>
              </w:rPr>
              <w:t>Total Number of Responses (</w:t>
            </w:r>
            <w:r w:rsidRPr="00931A95">
              <w:rPr>
                <w:rFonts w:eastAsia="Calibri"/>
                <w:b/>
                <w:szCs w:val="26"/>
              </w:rPr>
              <w:t>1)*</w:t>
            </w:r>
            <w:r w:rsidRPr="00931A95">
              <w:rPr>
                <w:rFonts w:eastAsia="Calibri"/>
                <w:b/>
                <w:szCs w:val="26"/>
              </w:rPr>
              <w:t>(</w:t>
            </w:r>
            <w:r w:rsidRPr="00931A95">
              <w:rPr>
                <w:rFonts w:eastAsia="Calibri"/>
                <w:b/>
                <w:szCs w:val="26"/>
              </w:rPr>
              <w:t>2)=</w:t>
            </w:r>
            <w:r w:rsidRPr="00931A95">
              <w:rPr>
                <w:rFonts w:eastAsia="Calibri"/>
                <w:b/>
                <w:szCs w:val="26"/>
              </w:rPr>
              <w:t>(3)</w:t>
            </w:r>
          </w:p>
        </w:tc>
        <w:tc>
          <w:tcPr>
            <w:tcW w:w="771" w:type="pct"/>
            <w:shd w:val="clear" w:color="auto" w:fill="D9D9D9"/>
          </w:tcPr>
          <w:p w:rsidR="00F33725" w:rsidRPr="00931A95" w:rsidP="00931A95" w14:paraId="2C02BAD8" w14:textId="77777777">
            <w:pPr>
              <w:jc w:val="center"/>
              <w:rPr>
                <w:rFonts w:eastAsia="Calibri"/>
                <w:b/>
                <w:szCs w:val="26"/>
              </w:rPr>
            </w:pPr>
            <w:r w:rsidRPr="00931A95">
              <w:rPr>
                <w:rFonts w:eastAsia="Calibri"/>
                <w:b/>
                <w:szCs w:val="26"/>
              </w:rPr>
              <w:t>Average Burden Hrs. &amp; Cost</w:t>
            </w:r>
            <w:r w:rsidRPr="00931A95">
              <w:rPr>
                <w:b/>
                <w:szCs w:val="26"/>
              </w:rPr>
              <w:t>)</w:t>
            </w:r>
            <w:r w:rsidRPr="00931A95">
              <w:rPr>
                <w:rFonts w:eastAsia="Calibri"/>
                <w:b/>
                <w:szCs w:val="26"/>
              </w:rPr>
              <w:t xml:space="preserve"> ($) Per Response</w:t>
            </w:r>
          </w:p>
          <w:p w:rsidR="00F33725" w:rsidRPr="00931A95" w:rsidP="00931A95" w14:paraId="7FC6BF84" w14:textId="77777777">
            <w:pPr>
              <w:jc w:val="center"/>
              <w:rPr>
                <w:rFonts w:eastAsia="Calibri"/>
                <w:b/>
                <w:szCs w:val="26"/>
              </w:rPr>
            </w:pPr>
            <w:r w:rsidRPr="00931A95">
              <w:rPr>
                <w:rFonts w:eastAsia="Calibri"/>
                <w:b/>
                <w:szCs w:val="26"/>
              </w:rPr>
              <w:t>(4)</w:t>
            </w:r>
          </w:p>
        </w:tc>
        <w:tc>
          <w:tcPr>
            <w:tcW w:w="968" w:type="pct"/>
            <w:shd w:val="clear" w:color="auto" w:fill="D9D9D9"/>
          </w:tcPr>
          <w:p w:rsidR="00F33725" w:rsidRPr="00931A95" w:rsidP="00931A95" w14:paraId="06AE1CFF" w14:textId="77777777">
            <w:pPr>
              <w:jc w:val="center"/>
              <w:rPr>
                <w:rFonts w:eastAsia="Calibri"/>
                <w:b/>
                <w:szCs w:val="26"/>
              </w:rPr>
            </w:pPr>
            <w:r w:rsidRPr="00931A95">
              <w:rPr>
                <w:rFonts w:eastAsia="Calibri"/>
                <w:b/>
                <w:szCs w:val="26"/>
              </w:rPr>
              <w:t>Total Annual Burden Hours &amp; Cost ($) (rounded)</w:t>
            </w:r>
          </w:p>
          <w:p w:rsidR="00F33725" w:rsidRPr="00931A95" w:rsidP="00931A95" w14:paraId="609B27CB" w14:textId="77777777">
            <w:pPr>
              <w:jc w:val="center"/>
              <w:rPr>
                <w:rFonts w:eastAsia="Calibri"/>
                <w:b/>
                <w:szCs w:val="26"/>
              </w:rPr>
            </w:pPr>
            <w:r w:rsidRPr="00931A95">
              <w:rPr>
                <w:rFonts w:eastAsia="Calibri"/>
                <w:b/>
                <w:szCs w:val="26"/>
              </w:rPr>
              <w:t>(</w:t>
            </w:r>
            <w:r w:rsidRPr="00931A95">
              <w:rPr>
                <w:rFonts w:eastAsia="Calibri"/>
                <w:b/>
                <w:szCs w:val="26"/>
              </w:rPr>
              <w:t>3)*</w:t>
            </w:r>
            <w:r w:rsidRPr="00931A95">
              <w:rPr>
                <w:rFonts w:eastAsia="Calibri"/>
                <w:b/>
                <w:szCs w:val="26"/>
              </w:rPr>
              <w:t>(</w:t>
            </w:r>
            <w:r w:rsidRPr="00931A95">
              <w:rPr>
                <w:rFonts w:eastAsia="Calibri"/>
                <w:b/>
                <w:szCs w:val="26"/>
              </w:rPr>
              <w:t>4)=</w:t>
            </w:r>
            <w:r w:rsidRPr="00931A95">
              <w:rPr>
                <w:rFonts w:eastAsia="Calibri"/>
                <w:b/>
                <w:szCs w:val="26"/>
              </w:rPr>
              <w:t>(5)</w:t>
            </w:r>
          </w:p>
        </w:tc>
      </w:tr>
      <w:tr w14:paraId="6B4D829F" w14:textId="77777777" w:rsidTr="000B7FDD">
        <w:tblPrEx>
          <w:tblW w:w="5222" w:type="pct"/>
          <w:tblInd w:w="-72" w:type="dxa"/>
          <w:tblLayout w:type="fixed"/>
          <w:tblLook w:val="01E0"/>
        </w:tblPrEx>
        <w:trPr>
          <w:cantSplit/>
          <w:trHeight w:val="824"/>
        </w:trPr>
        <w:tc>
          <w:tcPr>
            <w:tcW w:w="854" w:type="pct"/>
            <w:vMerge w:val="restart"/>
            <w:vAlign w:val="center"/>
          </w:tcPr>
          <w:p w:rsidR="005C6CBE" w:rsidRPr="00931A95" w:rsidP="005C6CBE" w14:paraId="542867C6" w14:textId="557DC4A7">
            <w:pPr>
              <w:autoSpaceDE w:val="0"/>
              <w:autoSpaceDN w:val="0"/>
              <w:adjustRightInd w:val="0"/>
              <w:rPr>
                <w:rFonts w:ascii="Helvetica" w:eastAsia="Calibri" w:hAnsi="Helvetica" w:cs="Helvetica"/>
                <w:szCs w:val="26"/>
              </w:rPr>
            </w:pPr>
            <w:r w:rsidRPr="000B7FDD">
              <w:rPr>
                <w:b/>
                <w:bCs/>
                <w:szCs w:val="26"/>
              </w:rPr>
              <w:t>Annual review and record retention</w:t>
            </w:r>
          </w:p>
        </w:tc>
        <w:tc>
          <w:tcPr>
            <w:tcW w:w="722" w:type="pct"/>
            <w:vAlign w:val="center"/>
          </w:tcPr>
          <w:p w:rsidR="005C6CBE" w:rsidP="005C6CBE" w14:paraId="4AC33C3A" w14:textId="4E6CFBB0">
            <w:pPr>
              <w:jc w:val="right"/>
              <w:rPr>
                <w:rFonts w:eastAsia="Calibri"/>
                <w:szCs w:val="26"/>
              </w:rPr>
            </w:pPr>
            <w:r>
              <w:rPr>
                <w:rFonts w:eastAsia="Calibri"/>
                <w:szCs w:val="26"/>
              </w:rPr>
              <w:t>34</w:t>
            </w:r>
          </w:p>
          <w:p w:rsidR="005C6CBE" w:rsidRPr="00931A95" w:rsidP="005C6CBE" w14:paraId="2D21FC86" w14:textId="38DD7EC0">
            <w:pPr>
              <w:jc w:val="right"/>
              <w:rPr>
                <w:rFonts w:eastAsia="Calibri"/>
                <w:szCs w:val="26"/>
              </w:rPr>
            </w:pPr>
            <w:r>
              <w:rPr>
                <w:rFonts w:eastAsia="Calibri"/>
                <w:szCs w:val="26"/>
              </w:rPr>
              <w:t>(BA)</w:t>
            </w:r>
          </w:p>
        </w:tc>
        <w:tc>
          <w:tcPr>
            <w:tcW w:w="850" w:type="pct"/>
            <w:vAlign w:val="center"/>
          </w:tcPr>
          <w:p w:rsidR="005C6CBE" w:rsidRPr="00931A95" w:rsidP="00BB1D8B" w14:paraId="0BE176ED" w14:textId="77777777">
            <w:pPr>
              <w:jc w:val="center"/>
              <w:rPr>
                <w:rFonts w:eastAsia="Calibri"/>
                <w:szCs w:val="26"/>
              </w:rPr>
            </w:pPr>
            <w:r w:rsidRPr="00931A95">
              <w:rPr>
                <w:rFonts w:eastAsia="Calibri"/>
                <w:szCs w:val="26"/>
              </w:rPr>
              <w:t>1</w:t>
            </w:r>
          </w:p>
        </w:tc>
        <w:tc>
          <w:tcPr>
            <w:tcW w:w="835" w:type="pct"/>
            <w:vAlign w:val="center"/>
          </w:tcPr>
          <w:p w:rsidR="005C6CBE" w:rsidRPr="00931A95" w:rsidP="00BB1D8B" w14:paraId="639C1832" w14:textId="1AE29365">
            <w:pPr>
              <w:jc w:val="center"/>
              <w:rPr>
                <w:rFonts w:eastAsia="Calibri"/>
                <w:szCs w:val="26"/>
              </w:rPr>
            </w:pPr>
            <w:r>
              <w:rPr>
                <w:rFonts w:eastAsia="Calibri"/>
                <w:szCs w:val="26"/>
              </w:rPr>
              <w:t>34</w:t>
            </w:r>
          </w:p>
        </w:tc>
        <w:tc>
          <w:tcPr>
            <w:tcW w:w="771" w:type="pct"/>
            <w:vAlign w:val="center"/>
          </w:tcPr>
          <w:p w:rsidR="005C6CBE" w:rsidRPr="00D816CA" w:rsidP="005C6CBE" w14:paraId="4AAC70AF" w14:textId="77777777">
            <w:pPr>
              <w:jc w:val="right"/>
              <w:rPr>
                <w:rFonts w:eastAsia="Calibri"/>
                <w:szCs w:val="26"/>
              </w:rPr>
            </w:pPr>
            <w:r w:rsidRPr="000B1205">
              <w:rPr>
                <w:rFonts w:eastAsia="Calibri"/>
                <w:szCs w:val="26"/>
              </w:rPr>
              <w:t>12</w:t>
            </w:r>
            <w:r w:rsidRPr="00D816CA">
              <w:rPr>
                <w:rFonts w:eastAsia="Calibri"/>
                <w:szCs w:val="26"/>
              </w:rPr>
              <w:t xml:space="preserve"> hrs.; </w:t>
            </w:r>
          </w:p>
          <w:p w:rsidR="005C6CBE" w:rsidRPr="00931A95" w:rsidP="005C6CBE" w14:paraId="7659158B" w14:textId="66FD7F81">
            <w:pPr>
              <w:jc w:val="right"/>
              <w:rPr>
                <w:rFonts w:eastAsia="Calibri"/>
                <w:szCs w:val="26"/>
              </w:rPr>
            </w:pPr>
            <w:r w:rsidRPr="00D816CA">
              <w:rPr>
                <w:rFonts w:eastAsia="Calibri"/>
                <w:szCs w:val="26"/>
              </w:rPr>
              <w:t>$</w:t>
            </w:r>
            <w:r>
              <w:rPr>
                <w:rFonts w:eastAsia="Calibri"/>
                <w:szCs w:val="26"/>
              </w:rPr>
              <w:t>762.24</w:t>
            </w:r>
          </w:p>
        </w:tc>
        <w:tc>
          <w:tcPr>
            <w:tcW w:w="968" w:type="pct"/>
            <w:vAlign w:val="center"/>
          </w:tcPr>
          <w:p w:rsidR="005C6CBE" w:rsidRPr="00D816CA" w:rsidP="00B832C0" w14:paraId="39AF8CD3" w14:textId="4D302D59">
            <w:pPr>
              <w:ind w:left="-108" w:right="-108"/>
              <w:jc w:val="center"/>
              <w:rPr>
                <w:rFonts w:eastAsia="Calibri"/>
                <w:szCs w:val="26"/>
              </w:rPr>
            </w:pPr>
            <w:r>
              <w:rPr>
                <w:rFonts w:eastAsia="Calibri"/>
                <w:szCs w:val="26"/>
              </w:rPr>
              <w:t xml:space="preserve">            </w:t>
            </w:r>
            <w:r>
              <w:rPr>
                <w:rFonts w:eastAsia="Calibri"/>
                <w:szCs w:val="26"/>
              </w:rPr>
              <w:t>4</w:t>
            </w:r>
            <w:r w:rsidR="00610C9D">
              <w:rPr>
                <w:rFonts w:eastAsia="Calibri"/>
                <w:szCs w:val="26"/>
              </w:rPr>
              <w:t>08</w:t>
            </w:r>
            <w:r w:rsidRPr="00D816CA">
              <w:rPr>
                <w:rFonts w:eastAsia="Calibri"/>
                <w:szCs w:val="26"/>
              </w:rPr>
              <w:t xml:space="preserve"> hrs.;</w:t>
            </w:r>
          </w:p>
          <w:p w:rsidR="005C6CBE" w:rsidRPr="00931A95" w:rsidP="005C6CBE" w14:paraId="529C7E77" w14:textId="21EF77CE">
            <w:pPr>
              <w:ind w:left="-108" w:right="-108"/>
              <w:jc w:val="center"/>
              <w:rPr>
                <w:rFonts w:eastAsia="Calibri"/>
                <w:szCs w:val="26"/>
              </w:rPr>
            </w:pPr>
            <w:r>
              <w:rPr>
                <w:rFonts w:eastAsia="Calibri"/>
                <w:szCs w:val="26"/>
              </w:rPr>
              <w:t xml:space="preserve">        </w:t>
            </w:r>
            <w:r w:rsidRPr="00D816CA">
              <w:rPr>
                <w:rFonts w:eastAsia="Calibri"/>
                <w:szCs w:val="26"/>
              </w:rPr>
              <w:t>$</w:t>
            </w:r>
            <w:r>
              <w:rPr>
                <w:rFonts w:eastAsia="Calibri"/>
                <w:szCs w:val="26"/>
              </w:rPr>
              <w:t xml:space="preserve">25,916.00 </w:t>
            </w:r>
          </w:p>
        </w:tc>
      </w:tr>
      <w:tr w14:paraId="7F5CE820" w14:textId="77777777" w:rsidTr="000B7FDD">
        <w:tblPrEx>
          <w:tblW w:w="5222" w:type="pct"/>
          <w:tblInd w:w="-72" w:type="dxa"/>
          <w:tblLayout w:type="fixed"/>
          <w:tblLook w:val="01E0"/>
        </w:tblPrEx>
        <w:trPr>
          <w:cantSplit/>
          <w:trHeight w:val="741"/>
        </w:trPr>
        <w:tc>
          <w:tcPr>
            <w:tcW w:w="854" w:type="pct"/>
            <w:vMerge/>
            <w:vAlign w:val="center"/>
          </w:tcPr>
          <w:p w:rsidR="005C6CBE" w:rsidRPr="00931A95" w:rsidP="005C6CBE" w14:paraId="179907D3" w14:textId="69DE38A2">
            <w:pPr>
              <w:autoSpaceDE w:val="0"/>
              <w:autoSpaceDN w:val="0"/>
              <w:adjustRightInd w:val="0"/>
              <w:rPr>
                <w:rFonts w:ascii="Helvetica" w:eastAsia="Calibri" w:hAnsi="Helvetica" w:cs="Helvetica"/>
                <w:szCs w:val="26"/>
              </w:rPr>
            </w:pPr>
          </w:p>
        </w:tc>
        <w:tc>
          <w:tcPr>
            <w:tcW w:w="722" w:type="pct"/>
            <w:vAlign w:val="center"/>
          </w:tcPr>
          <w:p w:rsidR="005C6CBE" w:rsidP="005C6CBE" w14:paraId="32A73EA4" w14:textId="291A6DE4">
            <w:pPr>
              <w:jc w:val="right"/>
              <w:rPr>
                <w:rFonts w:eastAsia="Calibri"/>
                <w:szCs w:val="26"/>
              </w:rPr>
            </w:pPr>
            <w:r>
              <w:rPr>
                <w:rFonts w:eastAsia="Calibri"/>
                <w:szCs w:val="26"/>
              </w:rPr>
              <w:t xml:space="preserve">1 </w:t>
            </w:r>
          </w:p>
          <w:p w:rsidR="005C6CBE" w:rsidRPr="00931A95" w:rsidP="005C6CBE" w14:paraId="64CDD914" w14:textId="368BF79E">
            <w:pPr>
              <w:jc w:val="right"/>
              <w:rPr>
                <w:rFonts w:eastAsia="Calibri"/>
                <w:szCs w:val="26"/>
              </w:rPr>
            </w:pPr>
            <w:r>
              <w:rPr>
                <w:rFonts w:eastAsia="Calibri"/>
                <w:szCs w:val="26"/>
              </w:rPr>
              <w:t>(RSG)</w:t>
            </w:r>
          </w:p>
        </w:tc>
        <w:tc>
          <w:tcPr>
            <w:tcW w:w="850" w:type="pct"/>
            <w:vAlign w:val="center"/>
          </w:tcPr>
          <w:p w:rsidR="005C6CBE" w:rsidRPr="00931A95" w:rsidP="00BB1D8B" w14:paraId="480DD3A5" w14:textId="77777777">
            <w:pPr>
              <w:jc w:val="center"/>
              <w:rPr>
                <w:rFonts w:eastAsia="Calibri"/>
                <w:szCs w:val="26"/>
              </w:rPr>
            </w:pPr>
            <w:r w:rsidRPr="00931A95">
              <w:rPr>
                <w:rFonts w:eastAsia="Calibri"/>
                <w:szCs w:val="26"/>
              </w:rPr>
              <w:t>1</w:t>
            </w:r>
          </w:p>
        </w:tc>
        <w:tc>
          <w:tcPr>
            <w:tcW w:w="835" w:type="pct"/>
            <w:vAlign w:val="center"/>
          </w:tcPr>
          <w:p w:rsidR="005C6CBE" w:rsidRPr="00931A95" w:rsidP="00BB1D8B" w14:paraId="557D32B0" w14:textId="75F6823E">
            <w:pPr>
              <w:jc w:val="center"/>
              <w:rPr>
                <w:rFonts w:eastAsia="Calibri"/>
                <w:szCs w:val="26"/>
              </w:rPr>
            </w:pPr>
            <w:r>
              <w:rPr>
                <w:rFonts w:eastAsia="Calibri"/>
                <w:szCs w:val="26"/>
              </w:rPr>
              <w:t>1</w:t>
            </w:r>
          </w:p>
        </w:tc>
        <w:tc>
          <w:tcPr>
            <w:tcW w:w="771" w:type="pct"/>
            <w:vAlign w:val="center"/>
          </w:tcPr>
          <w:p w:rsidR="005C6CBE" w:rsidRPr="00D816CA" w:rsidP="005C6CBE" w14:paraId="0245E40A" w14:textId="77777777">
            <w:pPr>
              <w:jc w:val="right"/>
              <w:rPr>
                <w:rFonts w:eastAsia="Calibri"/>
                <w:szCs w:val="26"/>
              </w:rPr>
            </w:pPr>
            <w:r w:rsidRPr="000B1205">
              <w:rPr>
                <w:rFonts w:eastAsia="Calibri"/>
                <w:szCs w:val="26"/>
              </w:rPr>
              <w:t>1</w:t>
            </w:r>
            <w:r w:rsidRPr="00D816CA">
              <w:rPr>
                <w:rFonts w:eastAsia="Calibri"/>
                <w:szCs w:val="26"/>
              </w:rPr>
              <w:t xml:space="preserve"> </w:t>
            </w:r>
            <w:r w:rsidRPr="00D816CA">
              <w:rPr>
                <w:rFonts w:eastAsia="Calibri"/>
                <w:szCs w:val="26"/>
              </w:rPr>
              <w:t>hrs.</w:t>
            </w:r>
            <w:r w:rsidRPr="00D816CA">
              <w:rPr>
                <w:rFonts w:eastAsia="Calibri"/>
                <w:szCs w:val="26"/>
              </w:rPr>
              <w:t xml:space="preserve">; </w:t>
            </w:r>
          </w:p>
          <w:p w:rsidR="005C6CBE" w:rsidRPr="00931A95" w:rsidP="005C6CBE" w14:paraId="3F0E6A4C" w14:textId="35064EA0">
            <w:pPr>
              <w:jc w:val="right"/>
              <w:rPr>
                <w:rFonts w:eastAsia="Calibri"/>
                <w:szCs w:val="26"/>
              </w:rPr>
            </w:pPr>
            <w:r w:rsidRPr="00D816CA">
              <w:rPr>
                <w:rFonts w:eastAsia="Calibri"/>
                <w:szCs w:val="26"/>
              </w:rPr>
              <w:t>$</w:t>
            </w:r>
            <w:r>
              <w:rPr>
                <w:rFonts w:eastAsia="Calibri"/>
                <w:szCs w:val="26"/>
              </w:rPr>
              <w:t>63.52</w:t>
            </w:r>
          </w:p>
        </w:tc>
        <w:tc>
          <w:tcPr>
            <w:tcW w:w="968" w:type="pct"/>
            <w:vAlign w:val="center"/>
          </w:tcPr>
          <w:p w:rsidR="005C6CBE" w:rsidRPr="00D816CA" w:rsidP="005C6CBE" w14:paraId="63395B26" w14:textId="77777777">
            <w:pPr>
              <w:ind w:left="-108"/>
              <w:jc w:val="right"/>
              <w:rPr>
                <w:rFonts w:eastAsia="Calibri"/>
                <w:szCs w:val="26"/>
              </w:rPr>
            </w:pPr>
            <w:r>
              <w:rPr>
                <w:rFonts w:eastAsia="Calibri"/>
                <w:szCs w:val="26"/>
              </w:rPr>
              <w:t>1</w:t>
            </w:r>
            <w:r w:rsidRPr="00D816CA">
              <w:rPr>
                <w:rFonts w:eastAsia="Calibri"/>
                <w:szCs w:val="26"/>
              </w:rPr>
              <w:t xml:space="preserve"> </w:t>
            </w:r>
            <w:r w:rsidRPr="00D816CA">
              <w:rPr>
                <w:rFonts w:eastAsia="Calibri"/>
                <w:szCs w:val="26"/>
              </w:rPr>
              <w:t>hrs.</w:t>
            </w:r>
            <w:r w:rsidRPr="00D816CA">
              <w:rPr>
                <w:rFonts w:eastAsia="Calibri"/>
                <w:szCs w:val="26"/>
              </w:rPr>
              <w:t>;</w:t>
            </w:r>
          </w:p>
          <w:p w:rsidR="005C6CBE" w:rsidRPr="00931A95" w:rsidP="005C6CBE" w14:paraId="2710AFB7" w14:textId="289D942A">
            <w:pPr>
              <w:ind w:left="-108"/>
              <w:jc w:val="right"/>
              <w:rPr>
                <w:rFonts w:eastAsia="Calibri"/>
                <w:szCs w:val="26"/>
              </w:rPr>
            </w:pPr>
            <w:r w:rsidRPr="00D816CA">
              <w:rPr>
                <w:rFonts w:eastAsia="Calibri"/>
                <w:szCs w:val="26"/>
              </w:rPr>
              <w:t>$</w:t>
            </w:r>
            <w:r>
              <w:rPr>
                <w:rFonts w:eastAsia="Calibri"/>
                <w:szCs w:val="26"/>
              </w:rPr>
              <w:t>64.00</w:t>
            </w:r>
            <w:r w:rsidRPr="00D816CA">
              <w:rPr>
                <w:rFonts w:eastAsia="Calibri"/>
                <w:szCs w:val="26"/>
              </w:rPr>
              <w:t xml:space="preserve"> </w:t>
            </w:r>
          </w:p>
        </w:tc>
      </w:tr>
      <w:tr w14:paraId="2034DE4A" w14:textId="77777777" w:rsidTr="000B7FDD">
        <w:tblPrEx>
          <w:tblW w:w="5222" w:type="pct"/>
          <w:tblInd w:w="-72" w:type="dxa"/>
          <w:tblLayout w:type="fixed"/>
          <w:tblLook w:val="01E0"/>
        </w:tblPrEx>
        <w:trPr>
          <w:cantSplit/>
          <w:trHeight w:val="824"/>
        </w:trPr>
        <w:tc>
          <w:tcPr>
            <w:tcW w:w="854" w:type="pct"/>
            <w:tcBorders>
              <w:bottom w:val="single" w:sz="4" w:space="0" w:color="auto"/>
            </w:tcBorders>
          </w:tcPr>
          <w:p w:rsidR="005C6CBE" w:rsidRPr="00931A95" w:rsidP="005C6CBE" w14:paraId="7F2FE2C7" w14:textId="66B64F17">
            <w:pPr>
              <w:rPr>
                <w:rFonts w:eastAsia="Calibri"/>
                <w:b/>
                <w:szCs w:val="26"/>
              </w:rPr>
            </w:pPr>
            <w:r w:rsidRPr="00931A95">
              <w:rPr>
                <w:rFonts w:eastAsia="Calibri"/>
                <w:b/>
                <w:szCs w:val="26"/>
              </w:rPr>
              <w:t>TOTAL</w:t>
            </w:r>
            <w:r>
              <w:rPr>
                <w:rFonts w:eastAsia="Calibri"/>
                <w:b/>
                <w:szCs w:val="26"/>
              </w:rPr>
              <w:t xml:space="preserve"> for retirement BAL-002-WECC-3</w:t>
            </w:r>
          </w:p>
        </w:tc>
        <w:tc>
          <w:tcPr>
            <w:tcW w:w="1572" w:type="pct"/>
            <w:gridSpan w:val="2"/>
            <w:tcBorders>
              <w:bottom w:val="single" w:sz="4" w:space="0" w:color="auto"/>
            </w:tcBorders>
            <w:shd w:val="clear" w:color="auto" w:fill="D9D9D9"/>
          </w:tcPr>
          <w:p w:rsidR="005C6CBE" w:rsidRPr="00931A95" w:rsidP="005C6CBE" w14:paraId="6B1BE7C6" w14:textId="77777777">
            <w:pPr>
              <w:jc w:val="right"/>
              <w:rPr>
                <w:rFonts w:eastAsia="Calibri"/>
                <w:sz w:val="20"/>
                <w:szCs w:val="20"/>
              </w:rPr>
            </w:pPr>
          </w:p>
        </w:tc>
        <w:tc>
          <w:tcPr>
            <w:tcW w:w="835" w:type="pct"/>
            <w:tcBorders>
              <w:bottom w:val="single" w:sz="4" w:space="0" w:color="auto"/>
            </w:tcBorders>
          </w:tcPr>
          <w:p w:rsidR="005C6CBE" w:rsidRPr="00931A95" w:rsidP="00BB1D8B" w14:paraId="28977DF5" w14:textId="767C7A1E">
            <w:pPr>
              <w:jc w:val="center"/>
              <w:rPr>
                <w:rFonts w:eastAsia="Calibri"/>
                <w:b/>
                <w:szCs w:val="26"/>
              </w:rPr>
            </w:pPr>
            <w:r>
              <w:rPr>
                <w:rFonts w:eastAsia="Calibri"/>
                <w:b/>
                <w:szCs w:val="26"/>
              </w:rPr>
              <w:t>35</w:t>
            </w:r>
          </w:p>
        </w:tc>
        <w:tc>
          <w:tcPr>
            <w:tcW w:w="771" w:type="pct"/>
            <w:tcBorders>
              <w:bottom w:val="single" w:sz="4" w:space="0" w:color="auto"/>
            </w:tcBorders>
            <w:shd w:val="clear" w:color="auto" w:fill="D9D9D9"/>
          </w:tcPr>
          <w:p w:rsidR="005C6CBE" w:rsidRPr="00931A95" w:rsidP="005C6CBE" w14:paraId="56C7F08D" w14:textId="77777777">
            <w:pPr>
              <w:jc w:val="right"/>
              <w:rPr>
                <w:rFonts w:eastAsia="Calibri"/>
                <w:szCs w:val="26"/>
              </w:rPr>
            </w:pPr>
          </w:p>
        </w:tc>
        <w:tc>
          <w:tcPr>
            <w:tcW w:w="968" w:type="pct"/>
            <w:tcBorders>
              <w:bottom w:val="single" w:sz="4" w:space="0" w:color="auto"/>
            </w:tcBorders>
          </w:tcPr>
          <w:p w:rsidR="007439D4" w:rsidRPr="007439D4" w:rsidP="007439D4" w14:paraId="2C08C19F" w14:textId="272D79C8">
            <w:pPr>
              <w:ind w:left="-108"/>
              <w:jc w:val="right"/>
              <w:rPr>
                <w:rFonts w:eastAsia="Calibri"/>
                <w:b/>
                <w:szCs w:val="26"/>
              </w:rPr>
            </w:pPr>
            <w:r w:rsidRPr="007439D4">
              <w:rPr>
                <w:rFonts w:eastAsia="Calibri"/>
                <w:b/>
                <w:szCs w:val="26"/>
              </w:rPr>
              <w:t>4</w:t>
            </w:r>
            <w:r w:rsidR="00BE66AB">
              <w:rPr>
                <w:rFonts w:eastAsia="Calibri"/>
                <w:b/>
                <w:szCs w:val="26"/>
              </w:rPr>
              <w:t>09</w:t>
            </w:r>
            <w:r w:rsidRPr="007439D4">
              <w:rPr>
                <w:rFonts w:eastAsia="Calibri"/>
                <w:b/>
                <w:szCs w:val="26"/>
              </w:rPr>
              <w:t xml:space="preserve"> </w:t>
            </w:r>
            <w:r w:rsidRPr="007439D4">
              <w:rPr>
                <w:rFonts w:eastAsia="Calibri"/>
                <w:b/>
                <w:szCs w:val="26"/>
              </w:rPr>
              <w:t>hrs</w:t>
            </w:r>
            <w:r w:rsidRPr="007439D4">
              <w:rPr>
                <w:rFonts w:eastAsia="Calibri"/>
                <w:b/>
                <w:szCs w:val="26"/>
              </w:rPr>
              <w:t>;</w:t>
            </w:r>
          </w:p>
          <w:p w:rsidR="005C6CBE" w:rsidRPr="00931A95" w:rsidP="005C6CBE" w14:paraId="5258E506" w14:textId="564D225A">
            <w:pPr>
              <w:ind w:left="-108"/>
              <w:jc w:val="right"/>
              <w:rPr>
                <w:rFonts w:eastAsia="Calibri"/>
                <w:b/>
                <w:szCs w:val="26"/>
              </w:rPr>
            </w:pPr>
            <w:r w:rsidRPr="007439D4">
              <w:rPr>
                <w:rFonts w:eastAsia="Calibri"/>
                <w:b/>
                <w:szCs w:val="26"/>
              </w:rPr>
              <w:t>$25,980.00</w:t>
            </w:r>
          </w:p>
        </w:tc>
      </w:tr>
      <w:bookmarkEnd w:id="4"/>
    </w:tbl>
    <w:p w:rsidR="00974659" w:rsidP="002906E5" w14:paraId="56D1D041" w14:textId="77777777">
      <w:pPr>
        <w:autoSpaceDE w:val="0"/>
        <w:autoSpaceDN w:val="0"/>
        <w:adjustRightInd w:val="0"/>
        <w:spacing w:line="480" w:lineRule="auto"/>
        <w:rPr>
          <w:i/>
        </w:rPr>
      </w:pPr>
    </w:p>
    <w:p w:rsidR="00881405" w:rsidP="002906E5" w14:paraId="40735770" w14:textId="70E9DD0B">
      <w:pPr>
        <w:autoSpaceDE w:val="0"/>
        <w:autoSpaceDN w:val="0"/>
        <w:adjustRightInd w:val="0"/>
        <w:spacing w:line="480" w:lineRule="auto"/>
      </w:pPr>
      <w:r>
        <w:rPr>
          <w:i/>
        </w:rPr>
        <w:t xml:space="preserve">Comments:  </w:t>
      </w:r>
      <w: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w:t>
      </w:r>
    </w:p>
    <w:p w:rsidR="00AE1F12" w:rsidP="00AE1F12" w14:paraId="23EE29AC" w14:textId="77777777">
      <w:pPr>
        <w:spacing w:line="480" w:lineRule="auto"/>
      </w:pPr>
      <w:r>
        <w:t xml:space="preserve">collection of information on those who are to respond, including the use of automated collection techniques or other forms of information technology.  </w:t>
      </w:r>
    </w:p>
    <w:p w:rsidR="00AE1F12" w:rsidP="00AE1F12" w14:paraId="02C177FD" w14:textId="77777777"/>
    <w:p w:rsidR="00AE1F12" w:rsidP="00AE1F12" w14:paraId="5324E9D8" w14:textId="77777777"/>
    <w:p w:rsidR="0027533E" w14:paraId="61E1E614" w14:textId="11A7B6A9">
      <w:pPr>
        <w:spacing w:after="160" w:line="259" w:lineRule="auto"/>
      </w:pPr>
    </w:p>
    <w:p w:rsidR="0027533E" w:rsidRPr="0027533E" w:rsidP="0027533E" w14:paraId="6882FCA9" w14:textId="13A95620">
      <w:pPr>
        <w:ind w:firstLine="2606"/>
        <w:jc w:val="center"/>
      </w:pPr>
      <w:r w:rsidRPr="0027533E">
        <w:t>Debbie-Anne A. Reese,</w:t>
      </w:r>
    </w:p>
    <w:p w:rsidR="0027533E" w:rsidRPr="0027533E" w:rsidP="0027533E" w14:paraId="29B89565" w14:textId="6259C68A">
      <w:pPr>
        <w:ind w:firstLine="2606"/>
        <w:jc w:val="center"/>
      </w:pPr>
      <w:r w:rsidRPr="0027533E">
        <w:t>Secretary.</w:t>
      </w:r>
    </w:p>
    <w:p w:rsidR="0027533E" w14:paraId="534601EB" w14:textId="77777777">
      <w:pPr>
        <w:spacing w:after="160" w:line="259" w:lineRule="auto"/>
      </w:pPr>
    </w:p>
    <w:sectPr w:rsidSect="00BF2D74">
      <w:headerReference w:type="defaul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73A39" w:rsidP="00B01B16" w14:paraId="6600A2CD" w14:textId="77777777">
      <w:r>
        <w:separator/>
      </w:r>
    </w:p>
  </w:footnote>
  <w:footnote w:type="continuationSeparator" w:id="1">
    <w:p w:rsidR="00473A39" w:rsidP="00B01B16" w14:paraId="62DC4F3E" w14:textId="77777777">
      <w:r>
        <w:continuationSeparator/>
      </w:r>
    </w:p>
  </w:footnote>
  <w:footnote w:type="continuationNotice" w:id="2">
    <w:p w:rsidR="00473A39" w14:paraId="7517F66F" w14:textId="77777777"/>
  </w:footnote>
  <w:footnote w:id="3">
    <w:p w:rsidR="00946F1E" w:rsidRPr="00D75D59" w:rsidP="00D75D59" w14:paraId="4031798E" w14:textId="7D4862EB">
      <w:pPr>
        <w:pStyle w:val="FootnoteText"/>
        <w:spacing w:after="260"/>
        <w:ind w:firstLine="720"/>
        <w:rPr>
          <w:sz w:val="26"/>
          <w:szCs w:val="26"/>
          <w:lang w:val="pt-BR"/>
        </w:rPr>
      </w:pPr>
      <w:r w:rsidRPr="00D75D59">
        <w:rPr>
          <w:rStyle w:val="FootnoteReference"/>
        </w:rPr>
        <w:footnoteRef/>
      </w:r>
      <w:r w:rsidRPr="00D75D59">
        <w:rPr>
          <w:sz w:val="26"/>
          <w:szCs w:val="26"/>
          <w:lang w:val="pt-BR"/>
        </w:rPr>
        <w:t xml:space="preserve"> 16 U.S.C. 824o(e)(4).</w:t>
      </w:r>
    </w:p>
  </w:footnote>
  <w:footnote w:id="4">
    <w:p w:rsidR="00946F1E" w:rsidRPr="00D75D59" w:rsidP="00D75D59" w14:paraId="3032A4AC" w14:textId="616ECF02">
      <w:pPr>
        <w:pStyle w:val="FootnoteText"/>
        <w:spacing w:after="260"/>
        <w:ind w:firstLine="720"/>
        <w:rPr>
          <w:sz w:val="26"/>
          <w:szCs w:val="26"/>
          <w:lang w:val="pt-BR"/>
        </w:rPr>
      </w:pPr>
      <w:r w:rsidRPr="00D75D59">
        <w:rPr>
          <w:rStyle w:val="FootnoteReference"/>
        </w:rPr>
        <w:footnoteRef/>
      </w:r>
      <w:r w:rsidRPr="00D75D59">
        <w:rPr>
          <w:sz w:val="26"/>
          <w:szCs w:val="26"/>
          <w:lang w:val="pt-BR"/>
        </w:rPr>
        <w:t xml:space="preserve"> </w:t>
      </w:r>
      <w:r w:rsidRPr="00D75D59" w:rsidR="0002558F">
        <w:rPr>
          <w:sz w:val="26"/>
          <w:szCs w:val="26"/>
          <w:lang w:val="pt-BR"/>
        </w:rPr>
        <w:t>16 U.S.C. 824o(a)(7) and (e)(4).</w:t>
      </w:r>
    </w:p>
  </w:footnote>
  <w:footnote w:id="5">
    <w:p w:rsidR="0002558F" w:rsidRPr="00D75D59" w:rsidP="00D75D59" w14:paraId="4478E815" w14:textId="41AED748">
      <w:pPr>
        <w:pStyle w:val="FootnoteText"/>
        <w:spacing w:after="260"/>
        <w:ind w:firstLine="720"/>
        <w:rPr>
          <w:sz w:val="26"/>
          <w:szCs w:val="26"/>
        </w:rPr>
      </w:pPr>
      <w:r w:rsidRPr="00D75D59">
        <w:rPr>
          <w:rStyle w:val="FootnoteReference"/>
        </w:rPr>
        <w:footnoteRef/>
      </w:r>
      <w:r w:rsidRPr="00D75D59">
        <w:rPr>
          <w:sz w:val="26"/>
          <w:szCs w:val="26"/>
        </w:rPr>
        <w:t xml:space="preserve"> </w:t>
      </w:r>
      <w:r w:rsidRPr="00D75D59" w:rsidR="00946F1E">
        <w:rPr>
          <w:i/>
          <w:iCs/>
          <w:sz w:val="26"/>
          <w:szCs w:val="26"/>
        </w:rPr>
        <w:t>N. Am. Electric Reliability Corp.</w:t>
      </w:r>
      <w:r w:rsidRPr="00D75D59" w:rsidR="00946F1E">
        <w:rPr>
          <w:sz w:val="26"/>
          <w:szCs w:val="26"/>
        </w:rPr>
        <w:t>, 119 FERC ¶ 61,260 (2007).</w:t>
      </w:r>
    </w:p>
  </w:footnote>
  <w:footnote w:id="6">
    <w:p w:rsidR="00931A95" w:rsidRPr="001F4B09" w:rsidP="00D75D59" w14:paraId="21EC8832" w14:textId="77777777">
      <w:pPr>
        <w:pStyle w:val="FootnoteText"/>
        <w:spacing w:after="260"/>
        <w:ind w:firstLine="720"/>
        <w:rPr>
          <w:sz w:val="26"/>
          <w:szCs w:val="26"/>
        </w:rPr>
      </w:pPr>
      <w:r w:rsidRPr="001F4B09">
        <w:rPr>
          <w:rStyle w:val="FootnoteReference"/>
        </w:rPr>
        <w:footnoteRef/>
      </w:r>
      <w:r w:rsidRPr="001F4B09">
        <w:rPr>
          <w:sz w:val="26"/>
          <w:szCs w:val="26"/>
        </w:rPr>
        <w:t xml:space="preserve"> Burden is defined as the total time, effort, or financial resources expended by persons to generate, maintain, retain, or disclose or provide information to or for a federal agency.  See 5 CFR 1320 for additional information on the definition of information collection burden.</w:t>
      </w:r>
    </w:p>
    <w:p w:rsidR="00931A95" w:rsidRPr="004C19E9" w:rsidP="00D75D59" w14:paraId="0A31AFD2" w14:textId="77777777">
      <w:pPr>
        <w:pStyle w:val="FootnoteText"/>
        <w:spacing w:after="260"/>
        <w:rPr>
          <w:sz w:val="26"/>
          <w:szCs w:val="26"/>
        </w:rPr>
      </w:pPr>
    </w:p>
  </w:footnote>
  <w:footnote w:id="7">
    <w:p w:rsidR="00931A95" w:rsidRPr="004C19E9" w:rsidP="00D75D59" w14:paraId="2F32D3F9" w14:textId="115DB091">
      <w:pPr>
        <w:pStyle w:val="FootnoteText"/>
        <w:spacing w:after="260"/>
        <w:ind w:firstLine="720"/>
        <w:rPr>
          <w:sz w:val="26"/>
          <w:szCs w:val="26"/>
        </w:rPr>
      </w:pPr>
      <w:r w:rsidRPr="00A2003C">
        <w:rPr>
          <w:rStyle w:val="FootnoteReference"/>
        </w:rPr>
        <w:footnoteRef/>
      </w:r>
      <w:r w:rsidR="00100628">
        <w:rPr>
          <w:sz w:val="26"/>
          <w:szCs w:val="26"/>
        </w:rPr>
        <w:t xml:space="preserve"> </w:t>
      </w:r>
      <w:r w:rsidRPr="00100628" w:rsidR="00100628">
        <w:rPr>
          <w:sz w:val="26"/>
          <w:szCs w:val="26"/>
        </w:rPr>
        <w:t>The estimated hourly cost (salary plus benefits) is a combination of the following categories from the BLS website, http://www.bls.gov/oes/current/naics2_22.htm:  75% of the average of an Electrical Engineer (17-2071) $71.19/hr., x .75 = 53.3925 ($53.39-rounded) ($53.39/hour); and 25% of an Information and Record Clerk (43-4199) $40.51/hr., $40.51 x .25 = 10.1275 ($10.13 rounded) ($10.13/hour), for a total ($53.39+$10.13 = $63.52/hour).</w:t>
      </w:r>
      <w:r w:rsidRPr="004C19E9">
        <w:rPr>
          <w:sz w:val="26"/>
          <w:szCs w:val="26"/>
        </w:rPr>
        <w:t xml:space="preserve"> </w:t>
      </w:r>
    </w:p>
  </w:footnote>
  <w:footnote w:id="8">
    <w:p w:rsidR="00F33725" w:rsidRPr="002D1F07" w:rsidP="00D75D59" w14:paraId="7D1B042A" w14:textId="192D43FA">
      <w:pPr>
        <w:pStyle w:val="FootnoteText"/>
        <w:spacing w:after="260"/>
        <w:ind w:firstLine="720"/>
        <w:rPr>
          <w:sz w:val="26"/>
          <w:szCs w:val="26"/>
        </w:rPr>
      </w:pPr>
      <w:r>
        <w:rPr>
          <w:rStyle w:val="FootnoteReference"/>
        </w:rPr>
        <w:footnoteRef/>
      </w:r>
      <w:r>
        <w:t xml:space="preserve"> </w:t>
      </w:r>
      <w:r w:rsidRPr="002D1F07">
        <w:rPr>
          <w:sz w:val="26"/>
          <w:szCs w:val="26"/>
        </w:rPr>
        <w:t>The “Number of Entity” data is compiled from the February 9, 2026, edition of the NERC Compliance Registry.  “</w:t>
      </w:r>
      <w:r w:rsidRPr="002D1F07" w:rsidR="00531792">
        <w:rPr>
          <w:sz w:val="26"/>
          <w:szCs w:val="26"/>
        </w:rPr>
        <w:t>BA</w:t>
      </w:r>
      <w:r w:rsidRPr="002D1F07">
        <w:rPr>
          <w:sz w:val="26"/>
          <w:szCs w:val="26"/>
        </w:rPr>
        <w:t xml:space="preserve">” means </w:t>
      </w:r>
      <w:r w:rsidRPr="002D1F07" w:rsidR="00531792">
        <w:rPr>
          <w:sz w:val="26"/>
          <w:szCs w:val="26"/>
        </w:rPr>
        <w:t>balancing authority</w:t>
      </w:r>
      <w:r w:rsidRPr="002D1F07">
        <w:rPr>
          <w:sz w:val="26"/>
          <w:szCs w:val="26"/>
        </w:rPr>
        <w:t>; “</w:t>
      </w:r>
      <w:r w:rsidRPr="002D1F07" w:rsidR="00531792">
        <w:rPr>
          <w:sz w:val="26"/>
          <w:szCs w:val="26"/>
        </w:rPr>
        <w:t>RSG</w:t>
      </w:r>
      <w:r w:rsidRPr="002D1F07">
        <w:rPr>
          <w:sz w:val="26"/>
          <w:szCs w:val="26"/>
        </w:rPr>
        <w:t xml:space="preserve">” means </w:t>
      </w:r>
      <w:r w:rsidRPr="002D1F07" w:rsidR="00531792">
        <w:rPr>
          <w:sz w:val="26"/>
          <w:szCs w:val="26"/>
        </w:rPr>
        <w:t xml:space="preserve">reserve </w:t>
      </w:r>
      <w:r w:rsidRPr="002D1F07" w:rsidR="00870281">
        <w:rPr>
          <w:sz w:val="26"/>
          <w:szCs w:val="26"/>
        </w:rPr>
        <w:t xml:space="preserve">sharing group.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7451640"/>
      <w:docPartObj>
        <w:docPartGallery w:val="Page Numbers (Top of Page)"/>
        <w:docPartUnique/>
      </w:docPartObj>
    </w:sdtPr>
    <w:sdtEndPr>
      <w:rPr>
        <w:noProof/>
      </w:rPr>
    </w:sdtEndPr>
    <w:sdtContent>
      <w:p w:rsidR="00C80D25" w14:paraId="13B0CC0F" w14:textId="6247EB89">
        <w:pPr>
          <w:pStyle w:val="Header"/>
        </w:pPr>
        <w:r w:rsidRPr="00D954AE">
          <w:t xml:space="preserve">Docket No. </w:t>
        </w:r>
        <w:r w:rsidR="006A0E86">
          <w:t>RD</w:t>
        </w:r>
        <w:r w:rsidRPr="00D954AE">
          <w:t>2</w:t>
        </w:r>
        <w:r w:rsidR="00853E5E">
          <w:t>6</w:t>
        </w:r>
        <w:r w:rsidRPr="00D954AE">
          <w:t>-</w:t>
        </w:r>
        <w:r w:rsidR="006A0E86">
          <w:t>5</w:t>
        </w:r>
        <w:r w:rsidRPr="00D954AE">
          <w:t>-000</w:t>
        </w:r>
        <w:r>
          <w:tab/>
        </w:r>
        <w:r>
          <w:fldChar w:fldCharType="begin"/>
        </w:r>
        <w:r>
          <w:instrText xml:space="preserve"> PAGE   \* MERGEFORMAT </w:instrText>
        </w:r>
        <w:r>
          <w:fldChar w:fldCharType="separate"/>
        </w:r>
        <w:r w:rsidR="00C81407">
          <w:rPr>
            <w:noProof/>
          </w:rPr>
          <w:t>4</w:t>
        </w:r>
        <w:r>
          <w:rPr>
            <w:noProof/>
          </w:rPr>
          <w:fldChar w:fldCharType="end"/>
        </w:r>
      </w:p>
    </w:sdtContent>
  </w:sdt>
  <w:p w:rsidR="00F82EE1" w14:paraId="0E155F8B" w14:textId="2CD57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821B5B"/>
    <w:multiLevelType w:val="hybridMultilevel"/>
    <w:tmpl w:val="57409D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140F6D"/>
    <w:multiLevelType w:val="hybridMultilevel"/>
    <w:tmpl w:val="C0EC9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8E2194"/>
    <w:multiLevelType w:val="hybridMultilevel"/>
    <w:tmpl w:val="EB888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33156D43"/>
    <w:multiLevelType w:val="multilevel"/>
    <w:tmpl w:val="B140707E"/>
    <w:lvl w:ilvl="0">
      <w:start w:val="1"/>
      <w:numFmt w:val="decimal"/>
      <w:pStyle w:val="ListContinue"/>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nsid w:val="43FE3835"/>
    <w:multiLevelType w:val="hybridMultilevel"/>
    <w:tmpl w:val="25907F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53C6417"/>
    <w:multiLevelType w:val="hybridMultilevel"/>
    <w:tmpl w:val="FE4420EA"/>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8">
    <w:nsid w:val="459527D0"/>
    <w:multiLevelType w:val="hybridMultilevel"/>
    <w:tmpl w:val="FF8C35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ED977DE"/>
    <w:multiLevelType w:val="hybridMultilevel"/>
    <w:tmpl w:val="3FE0F4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72FA3528"/>
    <w:multiLevelType w:val="hybridMultilevel"/>
    <w:tmpl w:val="E384EF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6573AF5"/>
    <w:multiLevelType w:val="hybridMultilevel"/>
    <w:tmpl w:val="1162180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77EE2665"/>
    <w:multiLevelType w:val="hybridMultilevel"/>
    <w:tmpl w:val="305A4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90A5579"/>
    <w:multiLevelType w:val="hybridMultilevel"/>
    <w:tmpl w:val="8CD41D2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1906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4772846">
    <w:abstractNumId w:val="4"/>
  </w:num>
  <w:num w:numId="3" w16cid:durableId="593631767">
    <w:abstractNumId w:val="9"/>
  </w:num>
  <w:num w:numId="4" w16cid:durableId="672268589">
    <w:abstractNumId w:val="6"/>
  </w:num>
  <w:num w:numId="5" w16cid:durableId="1754089136">
    <w:abstractNumId w:val="14"/>
  </w:num>
  <w:num w:numId="6" w16cid:durableId="897009011">
    <w:abstractNumId w:val="2"/>
  </w:num>
  <w:num w:numId="7" w16cid:durableId="887685765">
    <w:abstractNumId w:val="10"/>
  </w:num>
  <w:num w:numId="8" w16cid:durableId="532616934">
    <w:abstractNumId w:val="1"/>
  </w:num>
  <w:num w:numId="9" w16cid:durableId="554781200">
    <w:abstractNumId w:val="8"/>
  </w:num>
  <w:num w:numId="10" w16cid:durableId="313682706">
    <w:abstractNumId w:val="13"/>
  </w:num>
  <w:num w:numId="11" w16cid:durableId="730156057">
    <w:abstractNumId w:val="3"/>
  </w:num>
  <w:num w:numId="12" w16cid:durableId="667175882">
    <w:abstractNumId w:val="11"/>
  </w:num>
  <w:num w:numId="13" w16cid:durableId="719014342">
    <w:abstractNumId w:val="0"/>
  </w:num>
  <w:num w:numId="14" w16cid:durableId="1552040849">
    <w:abstractNumId w:val="12"/>
  </w:num>
  <w:num w:numId="15" w16cid:durableId="13371517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B16"/>
    <w:rsid w:val="00000447"/>
    <w:rsid w:val="000024C7"/>
    <w:rsid w:val="00002F5C"/>
    <w:rsid w:val="0000758F"/>
    <w:rsid w:val="00011325"/>
    <w:rsid w:val="00014343"/>
    <w:rsid w:val="00023B2D"/>
    <w:rsid w:val="0002558F"/>
    <w:rsid w:val="0002622C"/>
    <w:rsid w:val="00026C2D"/>
    <w:rsid w:val="00033427"/>
    <w:rsid w:val="000379D6"/>
    <w:rsid w:val="00042F33"/>
    <w:rsid w:val="00045589"/>
    <w:rsid w:val="000459B6"/>
    <w:rsid w:val="0005167F"/>
    <w:rsid w:val="0005583F"/>
    <w:rsid w:val="000578D5"/>
    <w:rsid w:val="00062427"/>
    <w:rsid w:val="0006681D"/>
    <w:rsid w:val="00072E34"/>
    <w:rsid w:val="00082413"/>
    <w:rsid w:val="00084E3D"/>
    <w:rsid w:val="0008692A"/>
    <w:rsid w:val="00086C7A"/>
    <w:rsid w:val="00091D7C"/>
    <w:rsid w:val="00097607"/>
    <w:rsid w:val="000A0250"/>
    <w:rsid w:val="000A2903"/>
    <w:rsid w:val="000A2EAD"/>
    <w:rsid w:val="000A3078"/>
    <w:rsid w:val="000A3C2F"/>
    <w:rsid w:val="000A6164"/>
    <w:rsid w:val="000A6F37"/>
    <w:rsid w:val="000A7E68"/>
    <w:rsid w:val="000B1205"/>
    <w:rsid w:val="000B431B"/>
    <w:rsid w:val="000B5B66"/>
    <w:rsid w:val="000B5C78"/>
    <w:rsid w:val="000B7608"/>
    <w:rsid w:val="000B7FDD"/>
    <w:rsid w:val="000C4949"/>
    <w:rsid w:val="000C5E3A"/>
    <w:rsid w:val="000D2970"/>
    <w:rsid w:val="000D318C"/>
    <w:rsid w:val="000D6969"/>
    <w:rsid w:val="000E1256"/>
    <w:rsid w:val="000E1A74"/>
    <w:rsid w:val="000E2568"/>
    <w:rsid w:val="000E4C61"/>
    <w:rsid w:val="000F23F7"/>
    <w:rsid w:val="000F3BC3"/>
    <w:rsid w:val="000F606E"/>
    <w:rsid w:val="00100628"/>
    <w:rsid w:val="00102433"/>
    <w:rsid w:val="00104916"/>
    <w:rsid w:val="0011179B"/>
    <w:rsid w:val="00112B6B"/>
    <w:rsid w:val="00116326"/>
    <w:rsid w:val="00117A32"/>
    <w:rsid w:val="00125991"/>
    <w:rsid w:val="001309CE"/>
    <w:rsid w:val="0013255C"/>
    <w:rsid w:val="00135FC5"/>
    <w:rsid w:val="00137823"/>
    <w:rsid w:val="00146226"/>
    <w:rsid w:val="00150CBC"/>
    <w:rsid w:val="0015445B"/>
    <w:rsid w:val="00156BBB"/>
    <w:rsid w:val="001600DF"/>
    <w:rsid w:val="00160982"/>
    <w:rsid w:val="00164215"/>
    <w:rsid w:val="0017164F"/>
    <w:rsid w:val="00171725"/>
    <w:rsid w:val="00176042"/>
    <w:rsid w:val="0017684C"/>
    <w:rsid w:val="00177704"/>
    <w:rsid w:val="00181BF7"/>
    <w:rsid w:val="00184A26"/>
    <w:rsid w:val="00184B43"/>
    <w:rsid w:val="0019402A"/>
    <w:rsid w:val="00197435"/>
    <w:rsid w:val="001974A9"/>
    <w:rsid w:val="001A2DAA"/>
    <w:rsid w:val="001A4D96"/>
    <w:rsid w:val="001A6645"/>
    <w:rsid w:val="001A6AD6"/>
    <w:rsid w:val="001B0BD2"/>
    <w:rsid w:val="001B619F"/>
    <w:rsid w:val="001B78B8"/>
    <w:rsid w:val="001C543C"/>
    <w:rsid w:val="001C7064"/>
    <w:rsid w:val="001D578A"/>
    <w:rsid w:val="001D5F38"/>
    <w:rsid w:val="001E3237"/>
    <w:rsid w:val="001F00EE"/>
    <w:rsid w:val="001F053F"/>
    <w:rsid w:val="001F1CDF"/>
    <w:rsid w:val="001F4B09"/>
    <w:rsid w:val="001F5A3B"/>
    <w:rsid w:val="00202E41"/>
    <w:rsid w:val="0020446B"/>
    <w:rsid w:val="00207AE7"/>
    <w:rsid w:val="00211105"/>
    <w:rsid w:val="002131D0"/>
    <w:rsid w:val="00213696"/>
    <w:rsid w:val="00222744"/>
    <w:rsid w:val="00223204"/>
    <w:rsid w:val="00224BF8"/>
    <w:rsid w:val="00224DD2"/>
    <w:rsid w:val="00237AB9"/>
    <w:rsid w:val="0024271E"/>
    <w:rsid w:val="0024309C"/>
    <w:rsid w:val="0024309D"/>
    <w:rsid w:val="0024458A"/>
    <w:rsid w:val="00253F98"/>
    <w:rsid w:val="00255501"/>
    <w:rsid w:val="00257CC2"/>
    <w:rsid w:val="00262096"/>
    <w:rsid w:val="00265B23"/>
    <w:rsid w:val="00266431"/>
    <w:rsid w:val="002673C4"/>
    <w:rsid w:val="00270280"/>
    <w:rsid w:val="00274ABD"/>
    <w:rsid w:val="00275057"/>
    <w:rsid w:val="0027533E"/>
    <w:rsid w:val="00285356"/>
    <w:rsid w:val="002906E5"/>
    <w:rsid w:val="00292A4C"/>
    <w:rsid w:val="002955C4"/>
    <w:rsid w:val="00297211"/>
    <w:rsid w:val="002A1554"/>
    <w:rsid w:val="002B1CCF"/>
    <w:rsid w:val="002B5792"/>
    <w:rsid w:val="002B5874"/>
    <w:rsid w:val="002C2C8B"/>
    <w:rsid w:val="002C3223"/>
    <w:rsid w:val="002C3579"/>
    <w:rsid w:val="002C5E0E"/>
    <w:rsid w:val="002D17E5"/>
    <w:rsid w:val="002D1F07"/>
    <w:rsid w:val="002D57E8"/>
    <w:rsid w:val="002E06A0"/>
    <w:rsid w:val="002E18DD"/>
    <w:rsid w:val="002E1C29"/>
    <w:rsid w:val="002E5FF0"/>
    <w:rsid w:val="002E68D4"/>
    <w:rsid w:val="002E6DAA"/>
    <w:rsid w:val="002E7818"/>
    <w:rsid w:val="002F1BDD"/>
    <w:rsid w:val="002F3236"/>
    <w:rsid w:val="002F4401"/>
    <w:rsid w:val="002F6D3B"/>
    <w:rsid w:val="002F708A"/>
    <w:rsid w:val="002F718A"/>
    <w:rsid w:val="00301E3D"/>
    <w:rsid w:val="00303516"/>
    <w:rsid w:val="00306318"/>
    <w:rsid w:val="00311D90"/>
    <w:rsid w:val="00312E8C"/>
    <w:rsid w:val="00314219"/>
    <w:rsid w:val="003149BC"/>
    <w:rsid w:val="00320529"/>
    <w:rsid w:val="003312BF"/>
    <w:rsid w:val="0033340D"/>
    <w:rsid w:val="00336AD9"/>
    <w:rsid w:val="00340D3C"/>
    <w:rsid w:val="0035073D"/>
    <w:rsid w:val="00353270"/>
    <w:rsid w:val="00365468"/>
    <w:rsid w:val="003658A2"/>
    <w:rsid w:val="003673EC"/>
    <w:rsid w:val="00370657"/>
    <w:rsid w:val="00373A2E"/>
    <w:rsid w:val="003758CE"/>
    <w:rsid w:val="00376525"/>
    <w:rsid w:val="003801BF"/>
    <w:rsid w:val="00393CA9"/>
    <w:rsid w:val="00397ABE"/>
    <w:rsid w:val="003A2C3F"/>
    <w:rsid w:val="003A32E7"/>
    <w:rsid w:val="003B25B4"/>
    <w:rsid w:val="003B29FB"/>
    <w:rsid w:val="003B435C"/>
    <w:rsid w:val="003B5B0B"/>
    <w:rsid w:val="003C08DE"/>
    <w:rsid w:val="003C3E7A"/>
    <w:rsid w:val="003C7D47"/>
    <w:rsid w:val="003D0BB4"/>
    <w:rsid w:val="003D1CA7"/>
    <w:rsid w:val="003D28D2"/>
    <w:rsid w:val="003D361D"/>
    <w:rsid w:val="003E1657"/>
    <w:rsid w:val="003E1B25"/>
    <w:rsid w:val="003E1B5A"/>
    <w:rsid w:val="003E40B2"/>
    <w:rsid w:val="003E44AD"/>
    <w:rsid w:val="003F0FE7"/>
    <w:rsid w:val="003F12C5"/>
    <w:rsid w:val="003F2E32"/>
    <w:rsid w:val="003F2EC7"/>
    <w:rsid w:val="003F50FD"/>
    <w:rsid w:val="003F570B"/>
    <w:rsid w:val="003F6466"/>
    <w:rsid w:val="003F7A51"/>
    <w:rsid w:val="004063C2"/>
    <w:rsid w:val="00407BCE"/>
    <w:rsid w:val="00410A8B"/>
    <w:rsid w:val="00411B62"/>
    <w:rsid w:val="00413AA8"/>
    <w:rsid w:val="00413FDE"/>
    <w:rsid w:val="004177CD"/>
    <w:rsid w:val="0042688C"/>
    <w:rsid w:val="0042765E"/>
    <w:rsid w:val="00427AE5"/>
    <w:rsid w:val="004417C4"/>
    <w:rsid w:val="00441F16"/>
    <w:rsid w:val="00443282"/>
    <w:rsid w:val="004445C8"/>
    <w:rsid w:val="00447C9E"/>
    <w:rsid w:val="00450D64"/>
    <w:rsid w:val="004562F1"/>
    <w:rsid w:val="004628F2"/>
    <w:rsid w:val="00465456"/>
    <w:rsid w:val="00471921"/>
    <w:rsid w:val="00473A39"/>
    <w:rsid w:val="00480D2D"/>
    <w:rsid w:val="00483AF2"/>
    <w:rsid w:val="00491543"/>
    <w:rsid w:val="00492E7E"/>
    <w:rsid w:val="00497A62"/>
    <w:rsid w:val="004A2FEC"/>
    <w:rsid w:val="004A661D"/>
    <w:rsid w:val="004A6FC8"/>
    <w:rsid w:val="004B0AE0"/>
    <w:rsid w:val="004B3CCB"/>
    <w:rsid w:val="004C0BC3"/>
    <w:rsid w:val="004C19E9"/>
    <w:rsid w:val="004C6F01"/>
    <w:rsid w:val="004C70C8"/>
    <w:rsid w:val="004D213D"/>
    <w:rsid w:val="004E44F8"/>
    <w:rsid w:val="004E683E"/>
    <w:rsid w:val="004F264A"/>
    <w:rsid w:val="004F56E3"/>
    <w:rsid w:val="00506F3A"/>
    <w:rsid w:val="00524164"/>
    <w:rsid w:val="00527733"/>
    <w:rsid w:val="00531000"/>
    <w:rsid w:val="00531792"/>
    <w:rsid w:val="00535B17"/>
    <w:rsid w:val="005401E0"/>
    <w:rsid w:val="00544424"/>
    <w:rsid w:val="005452CC"/>
    <w:rsid w:val="0054746C"/>
    <w:rsid w:val="0055326E"/>
    <w:rsid w:val="00561908"/>
    <w:rsid w:val="00565830"/>
    <w:rsid w:val="00565B5E"/>
    <w:rsid w:val="00566B5F"/>
    <w:rsid w:val="00567315"/>
    <w:rsid w:val="00573720"/>
    <w:rsid w:val="005739F7"/>
    <w:rsid w:val="005749DE"/>
    <w:rsid w:val="0058195F"/>
    <w:rsid w:val="00584A11"/>
    <w:rsid w:val="00587D1F"/>
    <w:rsid w:val="00592484"/>
    <w:rsid w:val="00592487"/>
    <w:rsid w:val="00592B20"/>
    <w:rsid w:val="005953A1"/>
    <w:rsid w:val="00597970"/>
    <w:rsid w:val="005A0B82"/>
    <w:rsid w:val="005A0D62"/>
    <w:rsid w:val="005A1E8A"/>
    <w:rsid w:val="005A2F24"/>
    <w:rsid w:val="005A2F38"/>
    <w:rsid w:val="005A5AB9"/>
    <w:rsid w:val="005A6119"/>
    <w:rsid w:val="005B0254"/>
    <w:rsid w:val="005B2622"/>
    <w:rsid w:val="005B46F0"/>
    <w:rsid w:val="005B4DA4"/>
    <w:rsid w:val="005B7231"/>
    <w:rsid w:val="005C09F1"/>
    <w:rsid w:val="005C12CF"/>
    <w:rsid w:val="005C180F"/>
    <w:rsid w:val="005C6CBE"/>
    <w:rsid w:val="005C77BE"/>
    <w:rsid w:val="005D0259"/>
    <w:rsid w:val="005D0FDC"/>
    <w:rsid w:val="005D1156"/>
    <w:rsid w:val="005D238D"/>
    <w:rsid w:val="005D4628"/>
    <w:rsid w:val="005D580E"/>
    <w:rsid w:val="005E0B1A"/>
    <w:rsid w:val="005E410C"/>
    <w:rsid w:val="005E45C6"/>
    <w:rsid w:val="005E68E7"/>
    <w:rsid w:val="005F039D"/>
    <w:rsid w:val="005F0FB9"/>
    <w:rsid w:val="005F7CE1"/>
    <w:rsid w:val="00602995"/>
    <w:rsid w:val="006049C2"/>
    <w:rsid w:val="00610C9D"/>
    <w:rsid w:val="006128A5"/>
    <w:rsid w:val="00613169"/>
    <w:rsid w:val="00623E1C"/>
    <w:rsid w:val="0062572C"/>
    <w:rsid w:val="00630E07"/>
    <w:rsid w:val="0063784F"/>
    <w:rsid w:val="00637F43"/>
    <w:rsid w:val="00640A9B"/>
    <w:rsid w:val="00641587"/>
    <w:rsid w:val="00641F0D"/>
    <w:rsid w:val="00643772"/>
    <w:rsid w:val="00644A1B"/>
    <w:rsid w:val="00650E6C"/>
    <w:rsid w:val="006536D8"/>
    <w:rsid w:val="00653BDC"/>
    <w:rsid w:val="00654399"/>
    <w:rsid w:val="00654BA4"/>
    <w:rsid w:val="0066195A"/>
    <w:rsid w:val="0066281B"/>
    <w:rsid w:val="00663FBE"/>
    <w:rsid w:val="00664931"/>
    <w:rsid w:val="006670C8"/>
    <w:rsid w:val="00672790"/>
    <w:rsid w:val="006841A7"/>
    <w:rsid w:val="00686FCE"/>
    <w:rsid w:val="00687348"/>
    <w:rsid w:val="006904F4"/>
    <w:rsid w:val="00691D3A"/>
    <w:rsid w:val="00693721"/>
    <w:rsid w:val="00694C22"/>
    <w:rsid w:val="006963BC"/>
    <w:rsid w:val="00696A87"/>
    <w:rsid w:val="006970F4"/>
    <w:rsid w:val="006A0E86"/>
    <w:rsid w:val="006A2E15"/>
    <w:rsid w:val="006A4398"/>
    <w:rsid w:val="006B3479"/>
    <w:rsid w:val="006B39A8"/>
    <w:rsid w:val="006B3A1E"/>
    <w:rsid w:val="006B6A0B"/>
    <w:rsid w:val="006C455B"/>
    <w:rsid w:val="006C73D0"/>
    <w:rsid w:val="006D0A38"/>
    <w:rsid w:val="006D5669"/>
    <w:rsid w:val="006E647B"/>
    <w:rsid w:val="006E7CBB"/>
    <w:rsid w:val="006E7EBE"/>
    <w:rsid w:val="006F3633"/>
    <w:rsid w:val="006F7028"/>
    <w:rsid w:val="006F749E"/>
    <w:rsid w:val="007024F1"/>
    <w:rsid w:val="0070711F"/>
    <w:rsid w:val="00707D60"/>
    <w:rsid w:val="00713417"/>
    <w:rsid w:val="007142E3"/>
    <w:rsid w:val="00714EDD"/>
    <w:rsid w:val="0071596F"/>
    <w:rsid w:val="00723505"/>
    <w:rsid w:val="007263B9"/>
    <w:rsid w:val="007352B7"/>
    <w:rsid w:val="007352F2"/>
    <w:rsid w:val="007439D4"/>
    <w:rsid w:val="0075009F"/>
    <w:rsid w:val="00752A48"/>
    <w:rsid w:val="007537A8"/>
    <w:rsid w:val="00756D0C"/>
    <w:rsid w:val="00757503"/>
    <w:rsid w:val="00757707"/>
    <w:rsid w:val="00761148"/>
    <w:rsid w:val="007633DD"/>
    <w:rsid w:val="007755E3"/>
    <w:rsid w:val="00775977"/>
    <w:rsid w:val="00781E6A"/>
    <w:rsid w:val="0079284E"/>
    <w:rsid w:val="007B1F57"/>
    <w:rsid w:val="007B2861"/>
    <w:rsid w:val="007B370F"/>
    <w:rsid w:val="007B4938"/>
    <w:rsid w:val="007B71AB"/>
    <w:rsid w:val="007C6B19"/>
    <w:rsid w:val="007D02D8"/>
    <w:rsid w:val="007D4C60"/>
    <w:rsid w:val="007E198C"/>
    <w:rsid w:val="007E3706"/>
    <w:rsid w:val="007F4CD3"/>
    <w:rsid w:val="007F61C2"/>
    <w:rsid w:val="00800590"/>
    <w:rsid w:val="00801456"/>
    <w:rsid w:val="008018DB"/>
    <w:rsid w:val="00802851"/>
    <w:rsid w:val="00803CA2"/>
    <w:rsid w:val="00807CAC"/>
    <w:rsid w:val="008115BF"/>
    <w:rsid w:val="008124FC"/>
    <w:rsid w:val="008143B0"/>
    <w:rsid w:val="00816942"/>
    <w:rsid w:val="008212DA"/>
    <w:rsid w:val="00823681"/>
    <w:rsid w:val="00824D81"/>
    <w:rsid w:val="0082638F"/>
    <w:rsid w:val="00835322"/>
    <w:rsid w:val="008376AE"/>
    <w:rsid w:val="008416FD"/>
    <w:rsid w:val="00842013"/>
    <w:rsid w:val="00843747"/>
    <w:rsid w:val="00845FCF"/>
    <w:rsid w:val="008507FE"/>
    <w:rsid w:val="00851F24"/>
    <w:rsid w:val="00853ABC"/>
    <w:rsid w:val="00853E5E"/>
    <w:rsid w:val="00855C5B"/>
    <w:rsid w:val="00863E08"/>
    <w:rsid w:val="008677B5"/>
    <w:rsid w:val="00870281"/>
    <w:rsid w:val="00871D53"/>
    <w:rsid w:val="00871DCE"/>
    <w:rsid w:val="00873294"/>
    <w:rsid w:val="008755D6"/>
    <w:rsid w:val="00880340"/>
    <w:rsid w:val="00881405"/>
    <w:rsid w:val="00883F45"/>
    <w:rsid w:val="00886E29"/>
    <w:rsid w:val="0089069F"/>
    <w:rsid w:val="0089298D"/>
    <w:rsid w:val="00893C9F"/>
    <w:rsid w:val="00895354"/>
    <w:rsid w:val="00895B40"/>
    <w:rsid w:val="00895DA2"/>
    <w:rsid w:val="00896F3A"/>
    <w:rsid w:val="00897359"/>
    <w:rsid w:val="008A050A"/>
    <w:rsid w:val="008A1C9C"/>
    <w:rsid w:val="008A55FC"/>
    <w:rsid w:val="008A7371"/>
    <w:rsid w:val="008B4E35"/>
    <w:rsid w:val="008B7EC5"/>
    <w:rsid w:val="008D25B7"/>
    <w:rsid w:val="008D5479"/>
    <w:rsid w:val="008E034D"/>
    <w:rsid w:val="008E0DC0"/>
    <w:rsid w:val="008E0DF5"/>
    <w:rsid w:val="008E3273"/>
    <w:rsid w:val="008E34C2"/>
    <w:rsid w:val="008F0C45"/>
    <w:rsid w:val="008F6948"/>
    <w:rsid w:val="008F7821"/>
    <w:rsid w:val="00904B00"/>
    <w:rsid w:val="009112D0"/>
    <w:rsid w:val="00911636"/>
    <w:rsid w:val="00920472"/>
    <w:rsid w:val="00920F5B"/>
    <w:rsid w:val="00931A95"/>
    <w:rsid w:val="00932614"/>
    <w:rsid w:val="009330C3"/>
    <w:rsid w:val="009347F5"/>
    <w:rsid w:val="00936531"/>
    <w:rsid w:val="00940C0F"/>
    <w:rsid w:val="00944E3A"/>
    <w:rsid w:val="00946F1E"/>
    <w:rsid w:val="009475F9"/>
    <w:rsid w:val="00951DA7"/>
    <w:rsid w:val="00951DC3"/>
    <w:rsid w:val="0095548F"/>
    <w:rsid w:val="00956DD0"/>
    <w:rsid w:val="00957820"/>
    <w:rsid w:val="009744C8"/>
    <w:rsid w:val="00974530"/>
    <w:rsid w:val="00974659"/>
    <w:rsid w:val="00976F19"/>
    <w:rsid w:val="00980E58"/>
    <w:rsid w:val="009815BD"/>
    <w:rsid w:val="00981886"/>
    <w:rsid w:val="00990102"/>
    <w:rsid w:val="00990FEC"/>
    <w:rsid w:val="00992257"/>
    <w:rsid w:val="009928CD"/>
    <w:rsid w:val="009949AA"/>
    <w:rsid w:val="00995921"/>
    <w:rsid w:val="009A0780"/>
    <w:rsid w:val="009A1B08"/>
    <w:rsid w:val="009B0524"/>
    <w:rsid w:val="009B166F"/>
    <w:rsid w:val="009B20A4"/>
    <w:rsid w:val="009B3667"/>
    <w:rsid w:val="009B5381"/>
    <w:rsid w:val="009C3CB9"/>
    <w:rsid w:val="009C4A13"/>
    <w:rsid w:val="009C745D"/>
    <w:rsid w:val="009D50C1"/>
    <w:rsid w:val="009E097A"/>
    <w:rsid w:val="009E0AAA"/>
    <w:rsid w:val="009E2D84"/>
    <w:rsid w:val="009F279E"/>
    <w:rsid w:val="009F7DE3"/>
    <w:rsid w:val="00A00123"/>
    <w:rsid w:val="00A04C8E"/>
    <w:rsid w:val="00A07154"/>
    <w:rsid w:val="00A11868"/>
    <w:rsid w:val="00A1235E"/>
    <w:rsid w:val="00A127D3"/>
    <w:rsid w:val="00A1386C"/>
    <w:rsid w:val="00A14335"/>
    <w:rsid w:val="00A14B43"/>
    <w:rsid w:val="00A166E7"/>
    <w:rsid w:val="00A178B0"/>
    <w:rsid w:val="00A23612"/>
    <w:rsid w:val="00A2604E"/>
    <w:rsid w:val="00A27C67"/>
    <w:rsid w:val="00A32860"/>
    <w:rsid w:val="00A369A0"/>
    <w:rsid w:val="00A417A2"/>
    <w:rsid w:val="00A42056"/>
    <w:rsid w:val="00A50BB8"/>
    <w:rsid w:val="00A52189"/>
    <w:rsid w:val="00A57463"/>
    <w:rsid w:val="00A57B24"/>
    <w:rsid w:val="00A664DF"/>
    <w:rsid w:val="00A71219"/>
    <w:rsid w:val="00A713D0"/>
    <w:rsid w:val="00A722D4"/>
    <w:rsid w:val="00A75AAA"/>
    <w:rsid w:val="00A82A29"/>
    <w:rsid w:val="00A86B6F"/>
    <w:rsid w:val="00A959E1"/>
    <w:rsid w:val="00AA516A"/>
    <w:rsid w:val="00AA5B0E"/>
    <w:rsid w:val="00AA6A4A"/>
    <w:rsid w:val="00AB4DBF"/>
    <w:rsid w:val="00AC0504"/>
    <w:rsid w:val="00AC1DB7"/>
    <w:rsid w:val="00AC381D"/>
    <w:rsid w:val="00AC3A7C"/>
    <w:rsid w:val="00AC62A6"/>
    <w:rsid w:val="00AC664F"/>
    <w:rsid w:val="00AC750B"/>
    <w:rsid w:val="00AD1E15"/>
    <w:rsid w:val="00AD6937"/>
    <w:rsid w:val="00AE1F12"/>
    <w:rsid w:val="00AE24CC"/>
    <w:rsid w:val="00AE2B18"/>
    <w:rsid w:val="00AE4155"/>
    <w:rsid w:val="00AE4B7C"/>
    <w:rsid w:val="00AE66F6"/>
    <w:rsid w:val="00AF17CE"/>
    <w:rsid w:val="00AF336D"/>
    <w:rsid w:val="00AF349B"/>
    <w:rsid w:val="00AF5BBF"/>
    <w:rsid w:val="00AF60E7"/>
    <w:rsid w:val="00AF65F0"/>
    <w:rsid w:val="00B009E9"/>
    <w:rsid w:val="00B01711"/>
    <w:rsid w:val="00B01B16"/>
    <w:rsid w:val="00B04A35"/>
    <w:rsid w:val="00B062D0"/>
    <w:rsid w:val="00B11D16"/>
    <w:rsid w:val="00B17A95"/>
    <w:rsid w:val="00B20A44"/>
    <w:rsid w:val="00B24588"/>
    <w:rsid w:val="00B30F2D"/>
    <w:rsid w:val="00B34928"/>
    <w:rsid w:val="00B35B74"/>
    <w:rsid w:val="00B36055"/>
    <w:rsid w:val="00B3665F"/>
    <w:rsid w:val="00B403F1"/>
    <w:rsid w:val="00B40AB8"/>
    <w:rsid w:val="00B4163B"/>
    <w:rsid w:val="00B4246C"/>
    <w:rsid w:val="00B444EF"/>
    <w:rsid w:val="00B447D7"/>
    <w:rsid w:val="00B51621"/>
    <w:rsid w:val="00B556C9"/>
    <w:rsid w:val="00B60113"/>
    <w:rsid w:val="00B6081E"/>
    <w:rsid w:val="00B61016"/>
    <w:rsid w:val="00B624EB"/>
    <w:rsid w:val="00B65D21"/>
    <w:rsid w:val="00B71BAA"/>
    <w:rsid w:val="00B75E76"/>
    <w:rsid w:val="00B76A1F"/>
    <w:rsid w:val="00B806DD"/>
    <w:rsid w:val="00B82F8C"/>
    <w:rsid w:val="00B832C0"/>
    <w:rsid w:val="00B8460F"/>
    <w:rsid w:val="00B84D34"/>
    <w:rsid w:val="00B95477"/>
    <w:rsid w:val="00BA1D81"/>
    <w:rsid w:val="00BA7130"/>
    <w:rsid w:val="00BB1D8B"/>
    <w:rsid w:val="00BB436B"/>
    <w:rsid w:val="00BC473A"/>
    <w:rsid w:val="00BC58DF"/>
    <w:rsid w:val="00BC6431"/>
    <w:rsid w:val="00BD205B"/>
    <w:rsid w:val="00BD442B"/>
    <w:rsid w:val="00BD74AE"/>
    <w:rsid w:val="00BE16BC"/>
    <w:rsid w:val="00BE35F6"/>
    <w:rsid w:val="00BE3971"/>
    <w:rsid w:val="00BE3FE7"/>
    <w:rsid w:val="00BE4ECA"/>
    <w:rsid w:val="00BE66AB"/>
    <w:rsid w:val="00BE6EDF"/>
    <w:rsid w:val="00BF2922"/>
    <w:rsid w:val="00BF2D74"/>
    <w:rsid w:val="00BF4CC8"/>
    <w:rsid w:val="00BF51ED"/>
    <w:rsid w:val="00BF75B6"/>
    <w:rsid w:val="00BF77FB"/>
    <w:rsid w:val="00C001FE"/>
    <w:rsid w:val="00C00FB2"/>
    <w:rsid w:val="00C02547"/>
    <w:rsid w:val="00C025C8"/>
    <w:rsid w:val="00C04E54"/>
    <w:rsid w:val="00C058D5"/>
    <w:rsid w:val="00C07489"/>
    <w:rsid w:val="00C1124F"/>
    <w:rsid w:val="00C129C2"/>
    <w:rsid w:val="00C14903"/>
    <w:rsid w:val="00C1686C"/>
    <w:rsid w:val="00C168F3"/>
    <w:rsid w:val="00C21FB2"/>
    <w:rsid w:val="00C30486"/>
    <w:rsid w:val="00C30740"/>
    <w:rsid w:val="00C30A20"/>
    <w:rsid w:val="00C30DED"/>
    <w:rsid w:val="00C367A6"/>
    <w:rsid w:val="00C37BFF"/>
    <w:rsid w:val="00C42500"/>
    <w:rsid w:val="00C43470"/>
    <w:rsid w:val="00C45F17"/>
    <w:rsid w:val="00C4732B"/>
    <w:rsid w:val="00C47B34"/>
    <w:rsid w:val="00C50BD5"/>
    <w:rsid w:val="00C50EB1"/>
    <w:rsid w:val="00C51458"/>
    <w:rsid w:val="00C51E5F"/>
    <w:rsid w:val="00C52E2C"/>
    <w:rsid w:val="00C53580"/>
    <w:rsid w:val="00C55838"/>
    <w:rsid w:val="00C56745"/>
    <w:rsid w:val="00C57DC6"/>
    <w:rsid w:val="00C63C66"/>
    <w:rsid w:val="00C70729"/>
    <w:rsid w:val="00C713C3"/>
    <w:rsid w:val="00C71475"/>
    <w:rsid w:val="00C76958"/>
    <w:rsid w:val="00C77EF7"/>
    <w:rsid w:val="00C80D25"/>
    <w:rsid w:val="00C81407"/>
    <w:rsid w:val="00C82053"/>
    <w:rsid w:val="00C820F1"/>
    <w:rsid w:val="00C822C1"/>
    <w:rsid w:val="00C859F7"/>
    <w:rsid w:val="00C85A38"/>
    <w:rsid w:val="00C85D55"/>
    <w:rsid w:val="00C86AC1"/>
    <w:rsid w:val="00C876F0"/>
    <w:rsid w:val="00C91512"/>
    <w:rsid w:val="00C9349E"/>
    <w:rsid w:val="00C93B03"/>
    <w:rsid w:val="00C94A53"/>
    <w:rsid w:val="00C94AD8"/>
    <w:rsid w:val="00CA0DEC"/>
    <w:rsid w:val="00CA2DE2"/>
    <w:rsid w:val="00CA3A85"/>
    <w:rsid w:val="00CA6636"/>
    <w:rsid w:val="00CA6D76"/>
    <w:rsid w:val="00CA7FBE"/>
    <w:rsid w:val="00CB51CC"/>
    <w:rsid w:val="00CC0389"/>
    <w:rsid w:val="00CC1A72"/>
    <w:rsid w:val="00CC3633"/>
    <w:rsid w:val="00CC5692"/>
    <w:rsid w:val="00CC65F3"/>
    <w:rsid w:val="00CD0783"/>
    <w:rsid w:val="00CD09E8"/>
    <w:rsid w:val="00CD56E5"/>
    <w:rsid w:val="00CE0C1B"/>
    <w:rsid w:val="00CE64F2"/>
    <w:rsid w:val="00CF0C67"/>
    <w:rsid w:val="00CF0F40"/>
    <w:rsid w:val="00CF3AED"/>
    <w:rsid w:val="00CF4753"/>
    <w:rsid w:val="00D0083B"/>
    <w:rsid w:val="00D04DF4"/>
    <w:rsid w:val="00D06934"/>
    <w:rsid w:val="00D11979"/>
    <w:rsid w:val="00D1456C"/>
    <w:rsid w:val="00D15403"/>
    <w:rsid w:val="00D15797"/>
    <w:rsid w:val="00D172D8"/>
    <w:rsid w:val="00D25D3E"/>
    <w:rsid w:val="00D26488"/>
    <w:rsid w:val="00D318C1"/>
    <w:rsid w:val="00D3231A"/>
    <w:rsid w:val="00D3520E"/>
    <w:rsid w:val="00D3539A"/>
    <w:rsid w:val="00D35B2D"/>
    <w:rsid w:val="00D44183"/>
    <w:rsid w:val="00D44A55"/>
    <w:rsid w:val="00D47931"/>
    <w:rsid w:val="00D47B74"/>
    <w:rsid w:val="00D47F3F"/>
    <w:rsid w:val="00D5276C"/>
    <w:rsid w:val="00D5581C"/>
    <w:rsid w:val="00D60B31"/>
    <w:rsid w:val="00D61B79"/>
    <w:rsid w:val="00D62C84"/>
    <w:rsid w:val="00D6384D"/>
    <w:rsid w:val="00D653F3"/>
    <w:rsid w:val="00D65EC2"/>
    <w:rsid w:val="00D66B24"/>
    <w:rsid w:val="00D67307"/>
    <w:rsid w:val="00D75D59"/>
    <w:rsid w:val="00D75E4D"/>
    <w:rsid w:val="00D808E3"/>
    <w:rsid w:val="00D816CA"/>
    <w:rsid w:val="00D85E13"/>
    <w:rsid w:val="00D86288"/>
    <w:rsid w:val="00D872BC"/>
    <w:rsid w:val="00D954AE"/>
    <w:rsid w:val="00D96929"/>
    <w:rsid w:val="00DA1B6F"/>
    <w:rsid w:val="00DA3152"/>
    <w:rsid w:val="00DA529F"/>
    <w:rsid w:val="00DB5AAE"/>
    <w:rsid w:val="00DB62D5"/>
    <w:rsid w:val="00DB636B"/>
    <w:rsid w:val="00DB6882"/>
    <w:rsid w:val="00DC4B63"/>
    <w:rsid w:val="00DC5017"/>
    <w:rsid w:val="00DC5129"/>
    <w:rsid w:val="00DC6796"/>
    <w:rsid w:val="00DD01A0"/>
    <w:rsid w:val="00DD155E"/>
    <w:rsid w:val="00DD1BE3"/>
    <w:rsid w:val="00DD241D"/>
    <w:rsid w:val="00DD2D1E"/>
    <w:rsid w:val="00DD4F5D"/>
    <w:rsid w:val="00DD680A"/>
    <w:rsid w:val="00DD7F1B"/>
    <w:rsid w:val="00DE1A87"/>
    <w:rsid w:val="00DE451F"/>
    <w:rsid w:val="00DE5C30"/>
    <w:rsid w:val="00E03D2D"/>
    <w:rsid w:val="00E05652"/>
    <w:rsid w:val="00E12A7A"/>
    <w:rsid w:val="00E21B31"/>
    <w:rsid w:val="00E27FD6"/>
    <w:rsid w:val="00E36A0F"/>
    <w:rsid w:val="00E400C7"/>
    <w:rsid w:val="00E40322"/>
    <w:rsid w:val="00E40CB4"/>
    <w:rsid w:val="00E41DB9"/>
    <w:rsid w:val="00E4627E"/>
    <w:rsid w:val="00E56612"/>
    <w:rsid w:val="00E61065"/>
    <w:rsid w:val="00E63F74"/>
    <w:rsid w:val="00E66F23"/>
    <w:rsid w:val="00E71CC0"/>
    <w:rsid w:val="00E731AE"/>
    <w:rsid w:val="00E74310"/>
    <w:rsid w:val="00E762BB"/>
    <w:rsid w:val="00E76CE4"/>
    <w:rsid w:val="00E77CEE"/>
    <w:rsid w:val="00E865C8"/>
    <w:rsid w:val="00E8661B"/>
    <w:rsid w:val="00E9084E"/>
    <w:rsid w:val="00E962E6"/>
    <w:rsid w:val="00E97D7C"/>
    <w:rsid w:val="00EA1793"/>
    <w:rsid w:val="00EA689F"/>
    <w:rsid w:val="00EB5157"/>
    <w:rsid w:val="00EB74F2"/>
    <w:rsid w:val="00EC1434"/>
    <w:rsid w:val="00EC72B0"/>
    <w:rsid w:val="00EC77B3"/>
    <w:rsid w:val="00ED0142"/>
    <w:rsid w:val="00ED274C"/>
    <w:rsid w:val="00ED5149"/>
    <w:rsid w:val="00ED74AF"/>
    <w:rsid w:val="00EE18F2"/>
    <w:rsid w:val="00EE365D"/>
    <w:rsid w:val="00EF33BE"/>
    <w:rsid w:val="00EF4F97"/>
    <w:rsid w:val="00F05673"/>
    <w:rsid w:val="00F06848"/>
    <w:rsid w:val="00F126FC"/>
    <w:rsid w:val="00F12983"/>
    <w:rsid w:val="00F15359"/>
    <w:rsid w:val="00F17216"/>
    <w:rsid w:val="00F175C4"/>
    <w:rsid w:val="00F17BAB"/>
    <w:rsid w:val="00F2064B"/>
    <w:rsid w:val="00F23714"/>
    <w:rsid w:val="00F245A2"/>
    <w:rsid w:val="00F309CB"/>
    <w:rsid w:val="00F33725"/>
    <w:rsid w:val="00F33EED"/>
    <w:rsid w:val="00F33EEE"/>
    <w:rsid w:val="00F37677"/>
    <w:rsid w:val="00F37B05"/>
    <w:rsid w:val="00F42A7B"/>
    <w:rsid w:val="00F44A0E"/>
    <w:rsid w:val="00F4763C"/>
    <w:rsid w:val="00F51559"/>
    <w:rsid w:val="00F522CA"/>
    <w:rsid w:val="00F540BA"/>
    <w:rsid w:val="00F570C8"/>
    <w:rsid w:val="00F570F0"/>
    <w:rsid w:val="00F572B0"/>
    <w:rsid w:val="00F5741D"/>
    <w:rsid w:val="00F60E60"/>
    <w:rsid w:val="00F64069"/>
    <w:rsid w:val="00F640D9"/>
    <w:rsid w:val="00F64D6D"/>
    <w:rsid w:val="00F654D4"/>
    <w:rsid w:val="00F66182"/>
    <w:rsid w:val="00F705D2"/>
    <w:rsid w:val="00F71399"/>
    <w:rsid w:val="00F82EE1"/>
    <w:rsid w:val="00F9106E"/>
    <w:rsid w:val="00F93134"/>
    <w:rsid w:val="00F935CE"/>
    <w:rsid w:val="00FA3E17"/>
    <w:rsid w:val="00FB078F"/>
    <w:rsid w:val="00FB2818"/>
    <w:rsid w:val="00FB3586"/>
    <w:rsid w:val="00FB56C7"/>
    <w:rsid w:val="00FC128B"/>
    <w:rsid w:val="00FC3F00"/>
    <w:rsid w:val="00FC750D"/>
    <w:rsid w:val="00FD0EA3"/>
    <w:rsid w:val="00FD6AD8"/>
    <w:rsid w:val="00FE34E4"/>
    <w:rsid w:val="00FE79CF"/>
    <w:rsid w:val="00FF1D71"/>
    <w:rsid w:val="00FF5141"/>
    <w:rsid w:val="00FF74B3"/>
    <w:rsid w:val="079C044C"/>
    <w:rsid w:val="146A40B4"/>
    <w:rsid w:val="15439B46"/>
    <w:rsid w:val="1AA3EE03"/>
    <w:rsid w:val="4D350396"/>
    <w:rsid w:val="6A12B52E"/>
    <w:rsid w:val="77F2955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4ED575"/>
  <w15:docId w15:val="{1EC13800-30BA-4EF4-90F3-AE57D6F6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B16"/>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qFormat/>
    <w:rsid w:val="00B01B16"/>
    <w:rPr>
      <w:rFonts w:ascii="Times New Roman" w:hAnsi="Times New Roman"/>
      <w:b/>
      <w:sz w:val="26"/>
      <w:szCs w:val="26"/>
      <w:vertAlign w:val="superscript"/>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
    <w:qFormat/>
    <w:rsid w:val="00B01B16"/>
    <w:rPr>
      <w:sz w:val="22"/>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Char2 Char Char,fn Char,fn1 Char"/>
    <w:basedOn w:val="DefaultParagraphFont"/>
    <w:link w:val="FootnoteText"/>
    <w:rsid w:val="00B01B16"/>
    <w:rPr>
      <w:rFonts w:ascii="Times New Roman" w:eastAsia="Times New Roman" w:hAnsi="Times New Roman" w:cs="Times New Roman"/>
      <w:szCs w:val="20"/>
    </w:rPr>
  </w:style>
  <w:style w:type="character" w:styleId="Hyperlink">
    <w:name w:val="Hyperlink"/>
    <w:rsid w:val="00B01B16"/>
    <w:rPr>
      <w:color w:val="0000FF"/>
      <w:u w:val="single"/>
    </w:rPr>
  </w:style>
  <w:style w:type="paragraph" w:styleId="ListContinue">
    <w:name w:val="List Continue"/>
    <w:basedOn w:val="Normal"/>
    <w:unhideWhenUsed/>
    <w:rsid w:val="00B01B16"/>
    <w:pPr>
      <w:numPr>
        <w:numId w:val="1"/>
      </w:numPr>
      <w:spacing w:after="120" w:line="480" w:lineRule="auto"/>
    </w:pPr>
  </w:style>
  <w:style w:type="paragraph" w:customStyle="1" w:styleId="LegalFormat">
    <w:name w:val="Legal Format"/>
    <w:basedOn w:val="ListContinue"/>
    <w:rsid w:val="00B01B16"/>
    <w:pPr>
      <w:spacing w:after="0"/>
      <w:ind w:left="0"/>
    </w:pPr>
    <w:rPr>
      <w:u w:val="single"/>
    </w:rPr>
  </w:style>
  <w:style w:type="character" w:styleId="CommentReference">
    <w:name w:val="annotation reference"/>
    <w:basedOn w:val="DefaultParagraphFont"/>
    <w:uiPriority w:val="99"/>
    <w:semiHidden/>
    <w:unhideWhenUsed/>
    <w:rsid w:val="00B01B16"/>
    <w:rPr>
      <w:sz w:val="16"/>
      <w:szCs w:val="16"/>
    </w:rPr>
  </w:style>
  <w:style w:type="paragraph" w:styleId="CommentText">
    <w:name w:val="annotation text"/>
    <w:basedOn w:val="Normal"/>
    <w:link w:val="CommentTextChar"/>
    <w:uiPriority w:val="99"/>
    <w:unhideWhenUsed/>
    <w:rsid w:val="00B01B16"/>
    <w:rPr>
      <w:sz w:val="20"/>
      <w:szCs w:val="20"/>
    </w:rPr>
  </w:style>
  <w:style w:type="character" w:customStyle="1" w:styleId="CommentTextChar">
    <w:name w:val="Comment Text Char"/>
    <w:basedOn w:val="DefaultParagraphFont"/>
    <w:link w:val="CommentText"/>
    <w:uiPriority w:val="99"/>
    <w:rsid w:val="00B01B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01B16"/>
    <w:rPr>
      <w:b/>
      <w:bCs/>
    </w:rPr>
  </w:style>
  <w:style w:type="character" w:customStyle="1" w:styleId="CommentSubjectChar">
    <w:name w:val="Comment Subject Char"/>
    <w:basedOn w:val="CommentTextChar"/>
    <w:link w:val="CommentSubject"/>
    <w:uiPriority w:val="99"/>
    <w:semiHidden/>
    <w:rsid w:val="00B01B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01B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16"/>
    <w:rPr>
      <w:rFonts w:ascii="Segoe UI" w:eastAsia="Times New Roman" w:hAnsi="Segoe UI" w:cs="Segoe UI"/>
      <w:sz w:val="18"/>
      <w:szCs w:val="18"/>
    </w:rPr>
  </w:style>
  <w:style w:type="paragraph" w:styleId="Revision">
    <w:name w:val="Revision"/>
    <w:hidden/>
    <w:uiPriority w:val="99"/>
    <w:semiHidden/>
    <w:rsid w:val="0054746C"/>
    <w:pPr>
      <w:spacing w:after="0" w:line="240" w:lineRule="auto"/>
    </w:pPr>
    <w:rPr>
      <w:rFonts w:ascii="Times New Roman" w:eastAsia="Times New Roman" w:hAnsi="Times New Roman" w:cs="Times New Roman"/>
      <w:sz w:val="26"/>
      <w:szCs w:val="24"/>
    </w:rPr>
  </w:style>
  <w:style w:type="paragraph" w:styleId="Header">
    <w:name w:val="header"/>
    <w:basedOn w:val="Normal"/>
    <w:link w:val="HeaderChar"/>
    <w:uiPriority w:val="99"/>
    <w:unhideWhenUsed/>
    <w:rsid w:val="00BF2D74"/>
    <w:pPr>
      <w:tabs>
        <w:tab w:val="center" w:pos="4680"/>
        <w:tab w:val="right" w:pos="9360"/>
      </w:tabs>
    </w:pPr>
  </w:style>
  <w:style w:type="character" w:customStyle="1" w:styleId="HeaderChar">
    <w:name w:val="Header Char"/>
    <w:basedOn w:val="DefaultParagraphFont"/>
    <w:link w:val="Header"/>
    <w:uiPriority w:val="99"/>
    <w:rsid w:val="00BF2D74"/>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BF2D74"/>
    <w:pPr>
      <w:tabs>
        <w:tab w:val="center" w:pos="4680"/>
        <w:tab w:val="right" w:pos="9360"/>
      </w:tabs>
    </w:pPr>
  </w:style>
  <w:style w:type="character" w:customStyle="1" w:styleId="FooterChar">
    <w:name w:val="Footer Char"/>
    <w:basedOn w:val="DefaultParagraphFont"/>
    <w:link w:val="Footer"/>
    <w:uiPriority w:val="99"/>
    <w:rsid w:val="00BF2D74"/>
    <w:rPr>
      <w:rFonts w:ascii="Times New Roman" w:eastAsia="Times New Roman" w:hAnsi="Times New Roman" w:cs="Times New Roman"/>
      <w:sz w:val="26"/>
      <w:szCs w:val="24"/>
    </w:rPr>
  </w:style>
  <w:style w:type="paragraph" w:styleId="NormalWeb">
    <w:name w:val="Normal (Web)"/>
    <w:basedOn w:val="Normal"/>
    <w:uiPriority w:val="99"/>
    <w:unhideWhenUsed/>
    <w:rsid w:val="00AE4155"/>
    <w:rPr>
      <w:rFonts w:eastAsiaTheme="minorHAnsi"/>
      <w:sz w:val="24"/>
    </w:rPr>
  </w:style>
  <w:style w:type="character" w:styleId="FollowedHyperlink">
    <w:name w:val="FollowedHyperlink"/>
    <w:basedOn w:val="DefaultParagraphFont"/>
    <w:uiPriority w:val="99"/>
    <w:semiHidden/>
    <w:unhideWhenUsed/>
    <w:rsid w:val="00D35B2D"/>
    <w:rPr>
      <w:color w:val="954F72" w:themeColor="followedHyperlink"/>
      <w:u w:val="single"/>
    </w:rPr>
  </w:style>
  <w:style w:type="paragraph" w:styleId="ListParagraph">
    <w:name w:val="List Paragraph"/>
    <w:basedOn w:val="Normal"/>
    <w:uiPriority w:val="34"/>
    <w:qFormat/>
    <w:rsid w:val="00FB078F"/>
    <w:pPr>
      <w:ind w:left="720"/>
      <w:contextualSpacing/>
    </w:pPr>
  </w:style>
  <w:style w:type="character" w:customStyle="1" w:styleId="UnresolvedMention1">
    <w:name w:val="Unresolved Mention1"/>
    <w:basedOn w:val="DefaultParagraphFont"/>
    <w:uiPriority w:val="99"/>
    <w:semiHidden/>
    <w:unhideWhenUsed/>
    <w:rsid w:val="00C70729"/>
    <w:rPr>
      <w:color w:val="605E5C"/>
      <w:shd w:val="clear" w:color="auto" w:fill="E1DFDD"/>
    </w:rPr>
  </w:style>
  <w:style w:type="paragraph" w:customStyle="1" w:styleId="Default">
    <w:name w:val="Default"/>
    <w:rsid w:val="00E9084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dnoteText">
    <w:name w:val="endnote text"/>
    <w:basedOn w:val="Normal"/>
    <w:link w:val="EndnoteTextChar"/>
    <w:uiPriority w:val="99"/>
    <w:semiHidden/>
    <w:unhideWhenUsed/>
    <w:rsid w:val="00871D53"/>
    <w:rPr>
      <w:sz w:val="20"/>
      <w:szCs w:val="20"/>
    </w:rPr>
  </w:style>
  <w:style w:type="character" w:customStyle="1" w:styleId="EndnoteTextChar">
    <w:name w:val="Endnote Text Char"/>
    <w:basedOn w:val="DefaultParagraphFont"/>
    <w:link w:val="EndnoteText"/>
    <w:uiPriority w:val="99"/>
    <w:semiHidden/>
    <w:rsid w:val="00871D5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1D53"/>
    <w:rPr>
      <w:vertAlign w:val="superscript"/>
    </w:rPr>
  </w:style>
  <w:style w:type="table" w:styleId="TableGrid">
    <w:name w:val="Table Grid"/>
    <w:basedOn w:val="TableNormal"/>
    <w:uiPriority w:val="39"/>
    <w:rsid w:val="0029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0A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 TargetMode="External" /><Relationship Id="rId11" Type="http://schemas.openxmlformats.org/officeDocument/2006/relationships/hyperlink" Target="mailto:ferconlinesupport@ferc.gov"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BB1DD4-8130-4FE7-964C-24C804F058DC}">
  <ds:schemaRefs>
    <ds:schemaRef ds:uri="http://schemas.microsoft.com/office/2006/metadata/properties"/>
    <ds:schemaRef ds:uri="http://schemas.microsoft.com/office/infopath/2007/PartnerControls"/>
    <ds:schemaRef ds:uri="5e8733a2-e908-454b-85cf-c9d17e1d0943"/>
  </ds:schemaRefs>
</ds:datastoreItem>
</file>

<file path=customXml/itemProps2.xml><?xml version="1.0" encoding="utf-8"?>
<ds:datastoreItem xmlns:ds="http://schemas.openxmlformats.org/officeDocument/2006/customXml" ds:itemID="{0AC230B4-CCBD-4657-A2DA-15D90BA3FA86}">
  <ds:schemaRefs>
    <ds:schemaRef ds:uri="Microsoft.SharePoint.Taxonomy.ContentTypeSync"/>
  </ds:schemaRefs>
</ds:datastoreItem>
</file>

<file path=customXml/itemProps3.xml><?xml version="1.0" encoding="utf-8"?>
<ds:datastoreItem xmlns:ds="http://schemas.openxmlformats.org/officeDocument/2006/customXml" ds:itemID="{BAA0E044-8E26-43C9-904B-F4760BBA343A}">
  <ds:schemaRefs>
    <ds:schemaRef ds:uri="http://schemas.openxmlformats.org/officeDocument/2006/bibliography"/>
  </ds:schemaRefs>
</ds:datastoreItem>
</file>

<file path=customXml/itemProps4.xml><?xml version="1.0" encoding="utf-8"?>
<ds:datastoreItem xmlns:ds="http://schemas.openxmlformats.org/officeDocument/2006/customXml" ds:itemID="{975B9FB7-FB19-4D23-8864-0CA544E89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4B2BA4-42E3-4037-8954-0F628E67BE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967</Words>
  <Characters>5959</Characters>
  <Application>Microsoft Office Word</Application>
  <DocSecurity>0</DocSecurity>
  <Lines>175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cp:lastPrinted>2016-12-20T19:40:00Z</cp:lastPrinted>
  <dcterms:created xsi:type="dcterms:W3CDTF">2026-08-27T12:47:00Z</dcterms:created>
  <dcterms:modified xsi:type="dcterms:W3CDTF">2026-08-27T12:47:00Z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ce3062d4-48de-452f-a026-67e00baaff14</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2026-08-27T12:46:59Z</vt:lpwstr>
  </property>
  <property fmtid="{D5CDD505-2E9C-101B-9397-08002B2CF9AE}" pid="8" name="MSIP_Label_bd24d06a-0e85-4d57-b1e0-ba34b1abc708_SiteId">
    <vt:lpwstr>19caa9e9-04ff-43fa-885f-d77fac387903</vt:lpwstr>
  </property>
  <property fmtid="{D5CDD505-2E9C-101B-9397-08002B2CF9AE}" pid="9" name="MSIP_Label_bd24d06a-0e85-4d57-b1e0-ba34b1abc708_Tag">
    <vt:lpwstr>10, 0, 1, 1</vt:lpwstr>
  </property>
</Properties>
</file>