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645B8" w:rsidRPr="00371311" w:rsidP="31E729D7" w14:paraId="6D881B66" w14:textId="1EFF12E9">
      <w:pPr>
        <w:pStyle w:val="Title"/>
        <w:spacing w:after="200" w:line="276" w:lineRule="auto"/>
        <w:rPr>
          <w:rFonts w:asciiTheme="minorHAnsi" w:hAnsiTheme="minorHAnsi" w:cstheme="minorBidi"/>
        </w:rPr>
      </w:pPr>
      <w:bookmarkStart w:id="0" w:name="_Toc49148152"/>
      <w:r w:rsidRPr="31E729D7">
        <w:rPr>
          <w:rFonts w:asciiTheme="minorHAnsi" w:hAnsiTheme="minorHAnsi" w:cstheme="minorBidi"/>
        </w:rPr>
        <w:t xml:space="preserve">Supporting Statement for an Information Collection Request (ICR) </w:t>
      </w:r>
    </w:p>
    <w:p w:rsidR="005645B8" w:rsidRPr="00371311" w:rsidP="00B20FDA" w14:paraId="19900C7F" w14:textId="48571761">
      <w:pPr>
        <w:pStyle w:val="Title"/>
        <w:spacing w:after="200" w:line="276" w:lineRule="auto"/>
        <w:rPr>
          <w:rFonts w:asciiTheme="minorHAnsi" w:hAnsiTheme="minorHAnsi" w:cstheme="minorHAnsi"/>
          <w:szCs w:val="28"/>
        </w:rPr>
      </w:pPr>
      <w:r w:rsidRPr="00371311">
        <w:rPr>
          <w:rFonts w:asciiTheme="minorHAnsi" w:hAnsiTheme="minorHAnsi" w:cstheme="minorHAnsi"/>
          <w:szCs w:val="28"/>
        </w:rPr>
        <w:t>Under the Paperwork Reduction Act (PRA)</w:t>
      </w:r>
    </w:p>
    <w:p w:rsidR="005645B8" w:rsidRPr="00371311" w:rsidP="00B20FDA" w14:paraId="0BF5219B" w14:textId="77777777">
      <w:pPr>
        <w:pStyle w:val="Heading1"/>
        <w:spacing w:before="0" w:line="276" w:lineRule="auto"/>
        <w:rPr>
          <w:rFonts w:asciiTheme="minorHAnsi" w:hAnsiTheme="minorHAnsi" w:cstheme="minorHAnsi"/>
          <w:sz w:val="24"/>
          <w:szCs w:val="24"/>
        </w:rPr>
      </w:pPr>
      <w:r w:rsidRPr="00371311">
        <w:rPr>
          <w:rFonts w:asciiTheme="minorHAnsi" w:hAnsiTheme="minorHAnsi" w:cstheme="minorHAnsi"/>
          <w:sz w:val="24"/>
          <w:szCs w:val="24"/>
        </w:rPr>
        <w:t>EXECUTIVE SUMMARY</w:t>
      </w:r>
      <w:bookmarkEnd w:id="0"/>
    </w:p>
    <w:p w:rsidR="005645B8" w:rsidRPr="00371311" w:rsidP="00B20FDA" w14:paraId="5616E8D6" w14:textId="03BDFD68">
      <w:pPr>
        <w:pStyle w:val="Heading3"/>
        <w:spacing w:line="276" w:lineRule="auto"/>
        <w:rPr>
          <w:rFonts w:asciiTheme="minorHAnsi" w:hAnsiTheme="minorHAnsi" w:cstheme="minorHAnsi"/>
        </w:rPr>
      </w:pPr>
      <w:bookmarkStart w:id="1" w:name="_Toc49148153"/>
      <w:r w:rsidRPr="00371311">
        <w:rPr>
          <w:rFonts w:asciiTheme="minorHAnsi" w:hAnsiTheme="minorHAnsi" w:cstheme="minorHAnsi"/>
        </w:rPr>
        <w:t>Identification of the Information Collection – Title and Numbers</w:t>
      </w:r>
      <w:bookmarkEnd w:id="1"/>
    </w:p>
    <w:p w:rsidR="005645B8" w:rsidRPr="00371311" w:rsidP="00B20FDA" w14:paraId="47EF360E" w14:textId="1882B6A7">
      <w:pPr>
        <w:numPr>
          <w:ilvl w:val="12"/>
          <w:numId w:val="0"/>
        </w:numPr>
        <w:ind w:left="720" w:hanging="720"/>
        <w:rPr>
          <w:rFonts w:asciiTheme="minorHAnsi" w:hAnsiTheme="minorHAnsi" w:cstheme="minorHAnsi"/>
          <w:szCs w:val="24"/>
        </w:rPr>
      </w:pPr>
      <w:r w:rsidRPr="00371311">
        <w:rPr>
          <w:rFonts w:asciiTheme="minorHAnsi" w:hAnsiTheme="minorHAnsi" w:cstheme="minorHAnsi"/>
          <w:szCs w:val="24"/>
        </w:rPr>
        <w:tab/>
      </w:r>
      <w:r w:rsidRPr="00371311">
        <w:rPr>
          <w:rFonts w:asciiTheme="minorHAnsi" w:hAnsiTheme="minorHAnsi" w:cstheme="minorHAnsi"/>
          <w:b/>
          <w:szCs w:val="24"/>
        </w:rPr>
        <w:t xml:space="preserve">Title: </w:t>
      </w:r>
      <w:bookmarkStart w:id="2" w:name="_Hlk90551635"/>
      <w:r w:rsidRPr="00371311" w:rsidR="006F15AE">
        <w:rPr>
          <w:rFonts w:asciiTheme="minorHAnsi" w:hAnsiTheme="minorHAnsi" w:cstheme="minorHAnsi"/>
          <w:b/>
          <w:bCs/>
          <w:szCs w:val="24"/>
        </w:rPr>
        <w:t xml:space="preserve">Confidential </w:t>
      </w:r>
      <w:r w:rsidRPr="00371311" w:rsidR="00E84AAF">
        <w:rPr>
          <w:rFonts w:asciiTheme="minorHAnsi" w:hAnsiTheme="minorHAnsi" w:cstheme="minorHAnsi"/>
          <w:b/>
          <w:bCs/>
          <w:szCs w:val="24"/>
        </w:rPr>
        <w:t>B</w:t>
      </w:r>
      <w:r w:rsidRPr="00371311" w:rsidR="006F15AE">
        <w:rPr>
          <w:rFonts w:asciiTheme="minorHAnsi" w:hAnsiTheme="minorHAnsi" w:cstheme="minorHAnsi"/>
          <w:b/>
          <w:bCs/>
          <w:szCs w:val="24"/>
        </w:rPr>
        <w:t xml:space="preserve">usiness </w:t>
      </w:r>
      <w:r w:rsidRPr="00371311" w:rsidR="00E84AAF">
        <w:rPr>
          <w:rFonts w:asciiTheme="minorHAnsi" w:hAnsiTheme="minorHAnsi" w:cstheme="minorHAnsi"/>
          <w:b/>
          <w:bCs/>
          <w:szCs w:val="24"/>
        </w:rPr>
        <w:t xml:space="preserve">Information Claims </w:t>
      </w:r>
      <w:r w:rsidRPr="00371311" w:rsidR="00374F1F">
        <w:rPr>
          <w:rFonts w:asciiTheme="minorHAnsi" w:hAnsiTheme="minorHAnsi" w:cstheme="minorHAnsi"/>
          <w:b/>
          <w:bCs/>
          <w:szCs w:val="24"/>
        </w:rPr>
        <w:t>under the Toxic Substances Control Act (TSCA)</w:t>
      </w:r>
      <w:bookmarkEnd w:id="2"/>
    </w:p>
    <w:p w:rsidR="009505AD" w:rsidRPr="00371311" w:rsidP="00B20FDA" w14:paraId="1968D082" w14:textId="7173FA00">
      <w:pPr>
        <w:pStyle w:val="NoSpacing"/>
        <w:spacing w:after="200" w:line="276" w:lineRule="auto"/>
        <w:rPr>
          <w:rFonts w:cstheme="minorHAnsi"/>
          <w:sz w:val="24"/>
          <w:szCs w:val="24"/>
          <w:lang w:val="it-IT"/>
        </w:rPr>
      </w:pPr>
      <w:r w:rsidRPr="00371311">
        <w:rPr>
          <w:rFonts w:cstheme="minorHAnsi"/>
          <w:sz w:val="24"/>
          <w:szCs w:val="24"/>
        </w:rPr>
        <w:tab/>
      </w:r>
      <w:bookmarkStart w:id="3" w:name="_Hlk90551695"/>
      <w:r w:rsidRPr="00371311">
        <w:rPr>
          <w:rFonts w:cstheme="minorHAnsi"/>
          <w:b/>
          <w:bCs/>
          <w:sz w:val="24"/>
          <w:szCs w:val="24"/>
          <w:lang w:val="it-IT"/>
        </w:rPr>
        <w:t>EPA ICR No.:</w:t>
      </w:r>
      <w:r w:rsidRPr="00371311">
        <w:rPr>
          <w:rFonts w:cstheme="minorHAnsi"/>
          <w:b/>
          <w:sz w:val="24"/>
          <w:szCs w:val="24"/>
          <w:lang w:val="it-IT"/>
        </w:rPr>
        <w:t xml:space="preserve"> </w:t>
      </w:r>
      <w:r w:rsidRPr="00371311" w:rsidR="001A0481">
        <w:rPr>
          <w:rFonts w:cstheme="minorHAnsi"/>
          <w:sz w:val="24"/>
          <w:szCs w:val="24"/>
          <w:lang w:val="it-IT"/>
        </w:rPr>
        <w:t>2706.0</w:t>
      </w:r>
      <w:r w:rsidR="00F237AD">
        <w:rPr>
          <w:rFonts w:cstheme="minorHAnsi"/>
          <w:sz w:val="24"/>
          <w:szCs w:val="24"/>
          <w:lang w:val="it-IT"/>
        </w:rPr>
        <w:t>3</w:t>
      </w:r>
    </w:p>
    <w:p w:rsidR="005645B8" w:rsidRPr="00371311" w:rsidP="00B20FDA" w14:paraId="3EF98889" w14:textId="2E7EEEF0">
      <w:pPr>
        <w:pStyle w:val="NoSpacing"/>
        <w:spacing w:after="200" w:line="276" w:lineRule="auto"/>
        <w:rPr>
          <w:rFonts w:cstheme="minorHAnsi"/>
          <w:sz w:val="24"/>
          <w:szCs w:val="24"/>
          <w:lang w:val="it-IT"/>
        </w:rPr>
      </w:pPr>
      <w:r w:rsidRPr="00371311">
        <w:rPr>
          <w:rFonts w:cstheme="minorHAnsi"/>
          <w:sz w:val="24"/>
          <w:szCs w:val="24"/>
          <w:lang w:val="it-IT"/>
        </w:rPr>
        <w:tab/>
      </w:r>
      <w:r w:rsidRPr="00371311">
        <w:rPr>
          <w:rFonts w:cstheme="minorHAnsi"/>
          <w:b/>
          <w:bCs/>
          <w:sz w:val="24"/>
          <w:szCs w:val="24"/>
          <w:lang w:val="it-IT"/>
        </w:rPr>
        <w:t>OMB Control No.:</w:t>
      </w:r>
      <w:r w:rsidRPr="00371311">
        <w:rPr>
          <w:rFonts w:cstheme="minorHAnsi"/>
          <w:sz w:val="24"/>
          <w:szCs w:val="24"/>
          <w:lang w:val="it-IT"/>
        </w:rPr>
        <w:t xml:space="preserve"> </w:t>
      </w:r>
      <w:r w:rsidRPr="00371311" w:rsidR="006B3C71">
        <w:rPr>
          <w:rFonts w:cstheme="minorHAnsi"/>
          <w:sz w:val="24"/>
          <w:szCs w:val="24"/>
          <w:lang w:val="it-IT"/>
        </w:rPr>
        <w:t>2070</w:t>
      </w:r>
      <w:r w:rsidRPr="00371311" w:rsidR="003E2F88">
        <w:rPr>
          <w:rFonts w:cstheme="minorHAnsi"/>
          <w:sz w:val="24"/>
          <w:szCs w:val="24"/>
          <w:lang w:val="it-IT"/>
        </w:rPr>
        <w:t>-</w:t>
      </w:r>
      <w:r w:rsidRPr="00371311" w:rsidR="00171AD2">
        <w:rPr>
          <w:rFonts w:cstheme="minorHAnsi"/>
          <w:sz w:val="24"/>
          <w:szCs w:val="24"/>
          <w:lang w:val="it-IT"/>
        </w:rPr>
        <w:t>02</w:t>
      </w:r>
      <w:r w:rsidRPr="00371311" w:rsidR="00884BB8">
        <w:rPr>
          <w:rFonts w:cstheme="minorHAnsi"/>
          <w:sz w:val="24"/>
          <w:szCs w:val="24"/>
          <w:lang w:val="it-IT"/>
        </w:rPr>
        <w:t>23</w:t>
      </w:r>
    </w:p>
    <w:bookmarkEnd w:id="3"/>
    <w:p w:rsidR="000D1476" w:rsidRPr="00371311" w:rsidP="00B20FDA" w14:paraId="794BF458" w14:textId="219B7DAF">
      <w:pPr>
        <w:pStyle w:val="NoSpacing"/>
        <w:spacing w:after="200" w:line="276" w:lineRule="auto"/>
        <w:rPr>
          <w:rFonts w:cstheme="minorHAnsi"/>
          <w:sz w:val="24"/>
          <w:szCs w:val="24"/>
        </w:rPr>
      </w:pPr>
      <w:r w:rsidRPr="00371311">
        <w:rPr>
          <w:rFonts w:cstheme="minorHAnsi"/>
          <w:sz w:val="24"/>
          <w:szCs w:val="24"/>
          <w:lang w:val="it-IT"/>
        </w:rPr>
        <w:tab/>
      </w:r>
      <w:r w:rsidRPr="00371311">
        <w:rPr>
          <w:rFonts w:cstheme="minorHAnsi"/>
          <w:b/>
          <w:sz w:val="24"/>
          <w:szCs w:val="24"/>
        </w:rPr>
        <w:t xml:space="preserve">Docket ID No.: </w:t>
      </w:r>
      <w:r w:rsidRPr="00371311">
        <w:rPr>
          <w:rFonts w:cstheme="minorHAnsi"/>
          <w:sz w:val="24"/>
          <w:szCs w:val="24"/>
        </w:rPr>
        <w:t>EPA-HQ-OPPT-2025-3955</w:t>
      </w:r>
    </w:p>
    <w:p w:rsidR="005645B8" w:rsidRPr="00371311" w:rsidP="00B20FDA" w14:paraId="6A1E128E" w14:textId="63484549">
      <w:pPr>
        <w:pStyle w:val="Heading3"/>
        <w:spacing w:line="276" w:lineRule="auto"/>
        <w:rPr>
          <w:rFonts w:asciiTheme="minorHAnsi" w:hAnsiTheme="minorHAnsi" w:cstheme="minorHAnsi"/>
        </w:rPr>
      </w:pPr>
      <w:bookmarkStart w:id="4" w:name="_Toc49148156"/>
      <w:r w:rsidRPr="00371311">
        <w:rPr>
          <w:rFonts w:asciiTheme="minorHAnsi" w:hAnsiTheme="minorHAnsi" w:cstheme="minorHAnsi"/>
        </w:rPr>
        <w:t>Abstract</w:t>
      </w:r>
      <w:bookmarkEnd w:id="4"/>
    </w:p>
    <w:p w:rsidR="007E5C80" w:rsidRPr="00371311" w:rsidP="003B4B9C" w14:paraId="753CA257" w14:textId="6DB0FE84">
      <w:pPr>
        <w:rPr>
          <w:rFonts w:asciiTheme="minorHAnsi" w:hAnsiTheme="minorHAnsi" w:cstheme="minorHAnsi"/>
          <w:szCs w:val="24"/>
        </w:rPr>
      </w:pPr>
      <w:r w:rsidRPr="00371311">
        <w:rPr>
          <w:rFonts w:asciiTheme="minorHAnsi" w:hAnsiTheme="minorHAnsi" w:cstheme="minorHAnsi"/>
          <w:szCs w:val="24"/>
        </w:rPr>
        <w:t xml:space="preserve">EPA </w:t>
      </w:r>
      <w:r w:rsidRPr="00371311" w:rsidR="00263F84">
        <w:rPr>
          <w:rFonts w:asciiTheme="minorHAnsi" w:hAnsiTheme="minorHAnsi" w:cstheme="minorHAnsi"/>
          <w:szCs w:val="24"/>
        </w:rPr>
        <w:t xml:space="preserve">is </w:t>
      </w:r>
      <w:r w:rsidRPr="00371311">
        <w:rPr>
          <w:rFonts w:asciiTheme="minorHAnsi" w:hAnsiTheme="minorHAnsi" w:cstheme="minorHAnsi"/>
          <w:szCs w:val="24"/>
        </w:rPr>
        <w:t xml:space="preserve">renewing the information collection concerning the assertion and maintenance of claims of business confidentiality (also known as Confidential Business Information or “CBI”) under the Toxic Substances Control Act (TSCA), 15 U.S.C. §2601, et seq. The Frank R. Lautenberg Chemical Safety for the 21st Century Act, Pub. L. 114–182 referred to in this Notice as “Lautenberg”), made significant amendments to TSCA including new provisions governing the assertion of CBI claims and requirements concerning Agency review and treatment of confidentiality claims.  </w:t>
      </w:r>
      <w:r w:rsidRPr="00371311" w:rsidR="00F23547">
        <w:rPr>
          <w:rFonts w:asciiTheme="minorHAnsi" w:hAnsiTheme="minorHAnsi" w:cstheme="minorHAnsi"/>
          <w:szCs w:val="24"/>
        </w:rPr>
        <w:t xml:space="preserve">Among the changes to TSCA are new provisions on EPA review, submitter </w:t>
      </w:r>
      <w:r w:rsidRPr="00371311">
        <w:rPr>
          <w:rFonts w:asciiTheme="minorHAnsi" w:hAnsiTheme="minorHAnsi" w:cstheme="minorHAnsi"/>
          <w:szCs w:val="24"/>
        </w:rPr>
        <w:t>maintenance</w:t>
      </w:r>
      <w:r w:rsidRPr="00371311" w:rsidR="00F23547">
        <w:rPr>
          <w:rFonts w:asciiTheme="minorHAnsi" w:hAnsiTheme="minorHAnsi" w:cstheme="minorHAnsi"/>
          <w:szCs w:val="24"/>
        </w:rPr>
        <w:t>, time limitations</w:t>
      </w:r>
      <w:r w:rsidRPr="00371311" w:rsidR="00F27F68">
        <w:rPr>
          <w:rFonts w:asciiTheme="minorHAnsi" w:hAnsiTheme="minorHAnsi" w:cstheme="minorHAnsi"/>
          <w:szCs w:val="24"/>
        </w:rPr>
        <w:t xml:space="preserve"> for CBI claims</w:t>
      </w:r>
      <w:r w:rsidRPr="00371311" w:rsidR="00F23547">
        <w:rPr>
          <w:rFonts w:asciiTheme="minorHAnsi" w:hAnsiTheme="minorHAnsi" w:cstheme="minorHAnsi"/>
          <w:szCs w:val="24"/>
        </w:rPr>
        <w:t>, and an option to extend</w:t>
      </w:r>
      <w:r w:rsidRPr="00371311">
        <w:rPr>
          <w:rFonts w:asciiTheme="minorHAnsi" w:hAnsiTheme="minorHAnsi" w:cstheme="minorHAnsi"/>
          <w:szCs w:val="24"/>
        </w:rPr>
        <w:t xml:space="preserve"> confidentiality claims</w:t>
      </w:r>
      <w:r w:rsidRPr="00371311" w:rsidR="00F27F68">
        <w:rPr>
          <w:rFonts w:asciiTheme="minorHAnsi" w:hAnsiTheme="minorHAnsi" w:cstheme="minorHAnsi"/>
          <w:szCs w:val="24"/>
        </w:rPr>
        <w:t xml:space="preserve"> for up to 10 additional years</w:t>
      </w:r>
      <w:r w:rsidRPr="00371311">
        <w:rPr>
          <w:rFonts w:asciiTheme="minorHAnsi" w:hAnsiTheme="minorHAnsi" w:cstheme="minorHAnsi"/>
          <w:szCs w:val="24"/>
        </w:rPr>
        <w:t>. </w:t>
      </w:r>
      <w:r w:rsidRPr="00371311" w:rsidR="00F23547">
        <w:rPr>
          <w:rFonts w:asciiTheme="minorHAnsi" w:hAnsiTheme="minorHAnsi" w:cstheme="minorHAnsi"/>
          <w:szCs w:val="24"/>
        </w:rPr>
        <w:t>40 CFR 703</w:t>
      </w:r>
      <w:r w:rsidRPr="00371311">
        <w:rPr>
          <w:rFonts w:asciiTheme="minorHAnsi" w:hAnsiTheme="minorHAnsi" w:cstheme="minorHAnsi"/>
          <w:szCs w:val="24"/>
        </w:rPr>
        <w:t> specifies Agency procedures for reviewing and communicating with TSCA submitters about confidentiality claims, including requirements for submitters to maintain contact information, procedures EPA will use to provide notices to submitters concerning their claims, and the manner in which EPA will notify submitters concerning the impending expiration of certain claims.</w:t>
      </w:r>
      <w:r w:rsidRPr="00371311" w:rsidR="00F23547">
        <w:rPr>
          <w:rFonts w:asciiTheme="minorHAnsi" w:hAnsiTheme="minorHAnsi" w:cstheme="minorHAnsi"/>
          <w:szCs w:val="24"/>
        </w:rPr>
        <w:t xml:space="preserve">  </w:t>
      </w:r>
    </w:p>
    <w:p w:rsidR="00E276A3" w:rsidRPr="00371311" w:rsidP="00B20FDA" w14:paraId="3189B00F" w14:textId="751274A7">
      <w:pPr>
        <w:rPr>
          <w:rFonts w:asciiTheme="minorHAnsi" w:hAnsiTheme="minorHAnsi" w:cstheme="minorHAnsi"/>
          <w:szCs w:val="24"/>
        </w:rPr>
      </w:pPr>
      <w:r w:rsidRPr="00371311">
        <w:rPr>
          <w:rFonts w:asciiTheme="minorHAnsi" w:hAnsiTheme="minorHAnsi" w:cstheme="minorHAnsi"/>
          <w:szCs w:val="24"/>
        </w:rPr>
        <w:t xml:space="preserve">The following submissions under TSCA </w:t>
      </w:r>
      <w:r w:rsidRPr="00371311" w:rsidR="00F23547">
        <w:rPr>
          <w:rFonts w:asciiTheme="minorHAnsi" w:hAnsiTheme="minorHAnsi" w:cstheme="minorHAnsi"/>
          <w:szCs w:val="24"/>
        </w:rPr>
        <w:t>may include CBI claims and are subject to the procedural requirements in TSCA and its implementing rules</w:t>
      </w:r>
      <w:r>
        <w:rPr>
          <w:rStyle w:val="FootnoteReference"/>
          <w:rFonts w:asciiTheme="minorHAnsi" w:hAnsiTheme="minorHAnsi" w:cstheme="minorHAnsi"/>
          <w:szCs w:val="24"/>
        </w:rPr>
        <w:footnoteReference w:id="3"/>
      </w:r>
      <w:r w:rsidRPr="00371311">
        <w:rPr>
          <w:rFonts w:asciiTheme="minorHAnsi" w:hAnsiTheme="minorHAnsi" w:cstheme="minorHAnsi"/>
          <w:szCs w:val="24"/>
        </w:rPr>
        <w:t>:</w:t>
      </w:r>
    </w:p>
    <w:p w:rsidR="00CD4484" w:rsidRPr="00371311" w:rsidP="00B20FDA" w14:paraId="44BAE1FE" w14:textId="10F54FFC">
      <w:pPr>
        <w:pStyle w:val="ListParagraph"/>
        <w:numPr>
          <w:ilvl w:val="0"/>
          <w:numId w:val="33"/>
        </w:numPr>
        <w:rPr>
          <w:rFonts w:asciiTheme="minorHAnsi" w:hAnsiTheme="minorHAnsi" w:cstheme="minorHAnsi"/>
          <w:szCs w:val="24"/>
        </w:rPr>
      </w:pPr>
      <w:r w:rsidRPr="00371311">
        <w:rPr>
          <w:rFonts w:asciiTheme="minorHAnsi" w:hAnsiTheme="minorHAnsi" w:cstheme="minorHAnsi"/>
          <w:szCs w:val="24"/>
        </w:rPr>
        <w:t>TSCA Section 4 Test Orders; 40 CFR 79</w:t>
      </w:r>
    </w:p>
    <w:p w:rsidR="00CD4484" w:rsidRPr="00371311" w:rsidP="00B20FDA" w14:paraId="6BFC29E3" w14:textId="2EDF39D8">
      <w:pPr>
        <w:pStyle w:val="ListParagraph"/>
        <w:numPr>
          <w:ilvl w:val="0"/>
          <w:numId w:val="21"/>
        </w:numPr>
        <w:rPr>
          <w:rFonts w:asciiTheme="minorHAnsi" w:hAnsiTheme="minorHAnsi" w:cstheme="minorHAnsi"/>
          <w:szCs w:val="24"/>
        </w:rPr>
      </w:pPr>
      <w:r w:rsidRPr="00371311">
        <w:rPr>
          <w:rFonts w:asciiTheme="minorHAnsi" w:hAnsiTheme="minorHAnsi" w:cstheme="minorHAnsi"/>
          <w:szCs w:val="24"/>
        </w:rPr>
        <w:t>TSCA Section 5 Premanufacture Notices (PMNs); 40 CFR 720.85 and 720.90 and 720 Subpart F</w:t>
      </w:r>
    </w:p>
    <w:p w:rsidR="00CD4484" w:rsidRPr="00371311" w:rsidP="00B20FDA" w14:paraId="43DFCB65" w14:textId="77777777">
      <w:pPr>
        <w:pStyle w:val="ListParagraph"/>
        <w:numPr>
          <w:ilvl w:val="0"/>
          <w:numId w:val="21"/>
        </w:numPr>
        <w:rPr>
          <w:rFonts w:asciiTheme="minorHAnsi" w:hAnsiTheme="minorHAnsi" w:cstheme="minorHAnsi"/>
          <w:szCs w:val="24"/>
        </w:rPr>
      </w:pPr>
      <w:r w:rsidRPr="00371311">
        <w:rPr>
          <w:rFonts w:asciiTheme="minorHAnsi" w:hAnsiTheme="minorHAnsi" w:cstheme="minorHAnsi"/>
          <w:szCs w:val="24"/>
        </w:rPr>
        <w:t xml:space="preserve">TSCA Section 5 40 CFR 721 Significant New Use Rules (SNURs) </w:t>
      </w:r>
    </w:p>
    <w:p w:rsidR="00CD4484" w:rsidRPr="00371311" w:rsidP="00B20FDA" w14:paraId="7B8ACB1D" w14:textId="77777777">
      <w:pPr>
        <w:pStyle w:val="ListParagraph"/>
        <w:numPr>
          <w:ilvl w:val="0"/>
          <w:numId w:val="21"/>
        </w:numPr>
        <w:rPr>
          <w:rFonts w:asciiTheme="minorHAnsi" w:hAnsiTheme="minorHAnsi" w:cstheme="minorHAnsi"/>
          <w:szCs w:val="24"/>
        </w:rPr>
      </w:pPr>
      <w:r w:rsidRPr="00371311">
        <w:rPr>
          <w:rFonts w:asciiTheme="minorHAnsi" w:hAnsiTheme="minorHAnsi" w:cstheme="minorHAnsi"/>
          <w:szCs w:val="24"/>
        </w:rPr>
        <w:t xml:space="preserve">TSCA Section 5 Polymer Exemption; 40 CFR 723.250(f); and Low Volume Exemptions 40 CFR 723.50 </w:t>
      </w:r>
    </w:p>
    <w:p w:rsidR="00D61693" w:rsidRPr="00371311" w:rsidP="00B20FDA" w14:paraId="26727746" w14:textId="1C90EDEF">
      <w:pPr>
        <w:pStyle w:val="ListParagraph"/>
        <w:numPr>
          <w:ilvl w:val="0"/>
          <w:numId w:val="21"/>
        </w:numPr>
        <w:rPr>
          <w:rFonts w:asciiTheme="minorHAnsi" w:hAnsiTheme="minorHAnsi" w:cstheme="minorHAnsi"/>
          <w:szCs w:val="24"/>
        </w:rPr>
      </w:pPr>
      <w:r w:rsidRPr="00371311">
        <w:rPr>
          <w:rFonts w:asciiTheme="minorHAnsi" w:hAnsiTheme="minorHAnsi" w:cstheme="minorHAnsi"/>
          <w:szCs w:val="24"/>
          <w:lang w:val="fr-FR"/>
        </w:rPr>
        <w:t xml:space="preserve">TSCA Section 5 </w:t>
      </w:r>
      <w:r w:rsidRPr="00371311">
        <w:rPr>
          <w:rFonts w:asciiTheme="minorHAnsi" w:hAnsiTheme="minorHAnsi" w:cstheme="minorHAnsi"/>
          <w:szCs w:val="24"/>
          <w:lang w:val="fr-FR"/>
        </w:rPr>
        <w:t>microorganisms</w:t>
      </w:r>
      <w:r w:rsidRPr="00371311">
        <w:rPr>
          <w:rFonts w:asciiTheme="minorHAnsi" w:hAnsiTheme="minorHAnsi" w:cstheme="minorHAnsi"/>
          <w:szCs w:val="24"/>
          <w:lang w:val="fr-FR"/>
        </w:rPr>
        <w:t>;</w:t>
      </w:r>
      <w:r w:rsidRPr="00371311">
        <w:rPr>
          <w:rFonts w:asciiTheme="minorHAnsi" w:hAnsiTheme="minorHAnsi" w:cstheme="minorHAnsi"/>
          <w:szCs w:val="24"/>
          <w:lang w:val="fr-FR"/>
        </w:rPr>
        <w:t xml:space="preserve"> 40 CFR 725 </w:t>
      </w:r>
      <w:r w:rsidRPr="00371311">
        <w:rPr>
          <w:rFonts w:asciiTheme="minorHAnsi" w:hAnsiTheme="minorHAnsi" w:cstheme="minorHAnsi"/>
          <w:szCs w:val="24"/>
          <w:lang w:val="fr-FR"/>
        </w:rPr>
        <w:t>Subpart</w:t>
      </w:r>
      <w:r w:rsidRPr="00371311">
        <w:rPr>
          <w:rFonts w:asciiTheme="minorHAnsi" w:hAnsiTheme="minorHAnsi" w:cstheme="minorHAnsi"/>
          <w:szCs w:val="24"/>
          <w:lang w:val="fr-FR"/>
        </w:rPr>
        <w:t xml:space="preserve"> C</w:t>
      </w:r>
      <w:r w:rsidRPr="00371311" w:rsidR="006016D3">
        <w:rPr>
          <w:rFonts w:asciiTheme="minorHAnsi" w:hAnsiTheme="minorHAnsi" w:cstheme="minorHAnsi"/>
          <w:szCs w:val="24"/>
        </w:rPr>
        <w:t>TSCA Section 8(a</w:t>
      </w:r>
      <w:r w:rsidRPr="00371311" w:rsidR="006016D3">
        <w:rPr>
          <w:rFonts w:asciiTheme="minorHAnsi" w:hAnsiTheme="minorHAnsi" w:cstheme="minorHAnsi"/>
          <w:szCs w:val="24"/>
        </w:rPr>
        <w:t>);</w:t>
      </w:r>
      <w:r w:rsidRPr="00371311" w:rsidR="006016D3">
        <w:rPr>
          <w:rFonts w:asciiTheme="minorHAnsi" w:hAnsiTheme="minorHAnsi" w:cstheme="minorHAnsi"/>
          <w:szCs w:val="24"/>
        </w:rPr>
        <w:t xml:space="preserve"> 40 CFR 704</w:t>
      </w:r>
      <w:r w:rsidRPr="00371311">
        <w:rPr>
          <w:rFonts w:asciiTheme="minorHAnsi" w:hAnsiTheme="minorHAnsi" w:cstheme="minorHAnsi"/>
          <w:szCs w:val="24"/>
        </w:rPr>
        <w:t xml:space="preserve"> and 711</w:t>
      </w:r>
    </w:p>
    <w:p w:rsidR="00CD4484" w:rsidRPr="00371311" w:rsidP="00B20FDA" w14:paraId="173D0B01" w14:textId="204E140A">
      <w:pPr>
        <w:pStyle w:val="ListParagraph"/>
        <w:numPr>
          <w:ilvl w:val="0"/>
          <w:numId w:val="21"/>
        </w:numPr>
        <w:rPr>
          <w:rFonts w:asciiTheme="minorHAnsi" w:hAnsiTheme="minorHAnsi" w:cstheme="minorHAnsi"/>
          <w:szCs w:val="24"/>
        </w:rPr>
      </w:pPr>
      <w:r w:rsidRPr="00371311">
        <w:rPr>
          <w:rFonts w:asciiTheme="minorHAnsi" w:hAnsiTheme="minorHAnsi" w:cstheme="minorHAnsi"/>
          <w:szCs w:val="24"/>
        </w:rPr>
        <w:t>TSCA Section 8(b); 40 CFR 710</w:t>
      </w:r>
    </w:p>
    <w:p w:rsidR="00CD4484" w:rsidRPr="00371311" w:rsidP="00B20FDA" w14:paraId="224B696C" w14:textId="6518548D">
      <w:pPr>
        <w:pStyle w:val="ListParagraph"/>
        <w:numPr>
          <w:ilvl w:val="0"/>
          <w:numId w:val="21"/>
        </w:numPr>
        <w:rPr>
          <w:rFonts w:asciiTheme="minorHAnsi" w:hAnsiTheme="minorHAnsi" w:cstheme="minorHAnsi"/>
          <w:szCs w:val="24"/>
        </w:rPr>
      </w:pPr>
      <w:r w:rsidRPr="00371311">
        <w:rPr>
          <w:rFonts w:asciiTheme="minorHAnsi" w:hAnsiTheme="minorHAnsi" w:cstheme="minorHAnsi"/>
          <w:szCs w:val="24"/>
        </w:rPr>
        <w:t>TSCA Section 8(c) Allegations of Adverse Effects; 40 CFR 717.19</w:t>
      </w:r>
    </w:p>
    <w:p w:rsidR="00CD4484" w:rsidRPr="00371311" w:rsidP="00B20FDA" w14:paraId="5DA1251D" w14:textId="77777777">
      <w:pPr>
        <w:pStyle w:val="ListParagraph"/>
        <w:numPr>
          <w:ilvl w:val="0"/>
          <w:numId w:val="21"/>
        </w:numPr>
        <w:rPr>
          <w:rFonts w:asciiTheme="minorHAnsi" w:hAnsiTheme="minorHAnsi" w:cstheme="minorHAnsi"/>
          <w:szCs w:val="24"/>
        </w:rPr>
      </w:pPr>
      <w:r w:rsidRPr="00371311">
        <w:rPr>
          <w:rFonts w:asciiTheme="minorHAnsi" w:hAnsiTheme="minorHAnsi" w:cstheme="minorHAnsi"/>
          <w:szCs w:val="24"/>
        </w:rPr>
        <w:t>TSCA Section 8(d) Health and Safety Studies; 40 CFR 716.55(a) and (c)</w:t>
      </w:r>
    </w:p>
    <w:p w:rsidR="00CD4484" w:rsidRPr="00371311" w:rsidP="00B20FDA" w14:paraId="0399BF3A" w14:textId="610DABA8">
      <w:pPr>
        <w:pStyle w:val="ListParagraph"/>
        <w:numPr>
          <w:ilvl w:val="0"/>
          <w:numId w:val="21"/>
        </w:numPr>
        <w:rPr>
          <w:rFonts w:asciiTheme="minorHAnsi" w:hAnsiTheme="minorHAnsi" w:cstheme="minorHAnsi"/>
          <w:szCs w:val="24"/>
        </w:rPr>
      </w:pPr>
      <w:r w:rsidRPr="00371311">
        <w:rPr>
          <w:rFonts w:asciiTheme="minorHAnsi" w:hAnsiTheme="minorHAnsi" w:cstheme="minorHAnsi"/>
          <w:szCs w:val="24"/>
        </w:rPr>
        <w:t xml:space="preserve">TSCA Section 8(e) Notification of Substantial Risk </w:t>
      </w:r>
    </w:p>
    <w:p w:rsidR="00E276A3" w:rsidRPr="00371311" w:rsidP="00B20FDA" w14:paraId="4AB3501C" w14:textId="54218EDC">
      <w:pPr>
        <w:pStyle w:val="ListParagraph"/>
        <w:numPr>
          <w:ilvl w:val="0"/>
          <w:numId w:val="21"/>
        </w:numPr>
        <w:rPr>
          <w:rFonts w:asciiTheme="minorHAnsi" w:hAnsiTheme="minorHAnsi" w:cstheme="minorHAnsi"/>
          <w:szCs w:val="24"/>
        </w:rPr>
      </w:pPr>
      <w:r w:rsidRPr="00371311">
        <w:rPr>
          <w:rFonts w:asciiTheme="minorHAnsi" w:hAnsiTheme="minorHAnsi" w:cstheme="minorHAnsi"/>
          <w:szCs w:val="24"/>
        </w:rPr>
        <w:t xml:space="preserve">TSCA Section 12(b) Notification of Export; </w:t>
      </w:r>
      <w:r w:rsidRPr="00371311">
        <w:rPr>
          <w:rFonts w:asciiTheme="minorHAnsi" w:hAnsiTheme="minorHAnsi" w:cstheme="minorHAnsi"/>
          <w:color w:val="000000"/>
          <w:szCs w:val="24"/>
          <w:shd w:val="clear" w:color="auto" w:fill="FFFFFF"/>
        </w:rPr>
        <w:t>40 CFR 707.75(d)</w:t>
      </w:r>
    </w:p>
    <w:p w:rsidR="000372EB" w:rsidRPr="00371311" w:rsidP="00B20FDA" w14:paraId="417CEDA6" w14:textId="4E76D64A">
      <w:pPr>
        <w:pStyle w:val="ListParagraph"/>
        <w:numPr>
          <w:ilvl w:val="0"/>
          <w:numId w:val="21"/>
        </w:numPr>
        <w:rPr>
          <w:rFonts w:asciiTheme="minorHAnsi" w:hAnsiTheme="minorHAnsi" w:cstheme="minorHAnsi"/>
          <w:szCs w:val="24"/>
        </w:rPr>
      </w:pPr>
      <w:r w:rsidRPr="00371311">
        <w:rPr>
          <w:rFonts w:asciiTheme="minorHAnsi" w:hAnsiTheme="minorHAnsi" w:cstheme="minorHAnsi"/>
          <w:szCs w:val="24"/>
        </w:rPr>
        <w:t xml:space="preserve">TSCA Title VI Formaldehyde Emissions Standards for Composite Wood; 40 CFR 770 </w:t>
      </w:r>
    </w:p>
    <w:p w:rsidR="00374A8F" w:rsidRPr="00371311" w:rsidP="00B20FDA" w14:paraId="168CFD98" w14:textId="4B0AD5A6">
      <w:pPr>
        <w:rPr>
          <w:rFonts w:asciiTheme="minorHAnsi" w:hAnsiTheme="minorHAnsi" w:cstheme="minorHAnsi"/>
          <w:b/>
          <w:bCs/>
          <w:szCs w:val="24"/>
        </w:rPr>
      </w:pPr>
      <w:r w:rsidRPr="00371311">
        <w:rPr>
          <w:rFonts w:asciiTheme="minorHAnsi" w:hAnsiTheme="minorHAnsi" w:cstheme="minorHAnsi"/>
          <w:b/>
          <w:bCs/>
          <w:szCs w:val="24"/>
        </w:rPr>
        <w:t xml:space="preserve">Summary </w:t>
      </w:r>
      <w:r w:rsidRPr="00371311" w:rsidR="00F12CC9">
        <w:rPr>
          <w:rFonts w:asciiTheme="minorHAnsi" w:hAnsiTheme="minorHAnsi" w:cstheme="minorHAnsi"/>
          <w:b/>
          <w:bCs/>
          <w:szCs w:val="24"/>
        </w:rPr>
        <w:t xml:space="preserve">Annual </w:t>
      </w:r>
      <w:r w:rsidRPr="00371311">
        <w:rPr>
          <w:rFonts w:asciiTheme="minorHAnsi" w:hAnsiTheme="minorHAnsi" w:cstheme="minorHAnsi"/>
          <w:b/>
          <w:bCs/>
          <w:szCs w:val="24"/>
        </w:rPr>
        <w:t>Total Burden and Costs</w:t>
      </w:r>
    </w:p>
    <w:tbl>
      <w:tblPr>
        <w:tblStyle w:val="TableGrid"/>
        <w:tblW w:w="9494" w:type="dxa"/>
        <w:tblLook w:val="04A0"/>
      </w:tblPr>
      <w:tblGrid>
        <w:gridCol w:w="2913"/>
        <w:gridCol w:w="1585"/>
        <w:gridCol w:w="1706"/>
        <w:gridCol w:w="1461"/>
        <w:gridCol w:w="1829"/>
      </w:tblGrid>
      <w:tr w14:paraId="49079EA3" w14:textId="77777777" w:rsidTr="001A76B2">
        <w:tblPrEx>
          <w:tblW w:w="9494" w:type="dxa"/>
          <w:tblLook w:val="04A0"/>
        </w:tblPrEx>
        <w:tc>
          <w:tcPr>
            <w:tcW w:w="2913" w:type="dxa"/>
            <w:shd w:val="clear" w:color="auto" w:fill="D9D9D9" w:themeFill="background1" w:themeFillShade="D9"/>
            <w:vAlign w:val="center"/>
          </w:tcPr>
          <w:p w:rsidR="00904115" w:rsidRPr="00371311" w:rsidP="00B20FDA" w14:paraId="39E96305" w14:textId="39F5E418">
            <w:pPr>
              <w:jc w:val="center"/>
              <w:rPr>
                <w:rFonts w:asciiTheme="minorHAnsi" w:hAnsiTheme="minorHAnsi" w:cstheme="minorHAnsi"/>
                <w:b/>
                <w:bCs/>
                <w:szCs w:val="24"/>
              </w:rPr>
            </w:pPr>
            <w:r w:rsidRPr="00371311">
              <w:rPr>
                <w:rFonts w:asciiTheme="minorHAnsi" w:hAnsiTheme="minorHAnsi" w:cstheme="minorHAnsi"/>
                <w:b/>
                <w:bCs/>
                <w:szCs w:val="24"/>
              </w:rPr>
              <w:t>Information Collection</w:t>
            </w:r>
          </w:p>
        </w:tc>
        <w:tc>
          <w:tcPr>
            <w:tcW w:w="1585" w:type="dxa"/>
            <w:shd w:val="clear" w:color="auto" w:fill="D9D9D9" w:themeFill="background1" w:themeFillShade="D9"/>
            <w:vAlign w:val="center"/>
          </w:tcPr>
          <w:p w:rsidR="00904115" w:rsidRPr="00371311" w:rsidP="00B20FDA" w14:paraId="49889680" w14:textId="71473D7F">
            <w:pPr>
              <w:jc w:val="center"/>
              <w:rPr>
                <w:rFonts w:asciiTheme="minorHAnsi" w:hAnsiTheme="minorHAnsi" w:cstheme="minorHAnsi"/>
                <w:b/>
                <w:bCs/>
                <w:szCs w:val="24"/>
              </w:rPr>
            </w:pPr>
            <w:r w:rsidRPr="00371311">
              <w:rPr>
                <w:rFonts w:asciiTheme="minorHAnsi" w:hAnsiTheme="minorHAnsi" w:cstheme="minorHAnsi"/>
                <w:b/>
                <w:bCs/>
                <w:szCs w:val="24"/>
              </w:rPr>
              <w:t>Average Annual Respon</w:t>
            </w:r>
            <w:r w:rsidR="00BF3EA9">
              <w:rPr>
                <w:rFonts w:asciiTheme="minorHAnsi" w:hAnsiTheme="minorHAnsi" w:cstheme="minorHAnsi"/>
                <w:b/>
                <w:bCs/>
                <w:szCs w:val="24"/>
              </w:rPr>
              <w:t>dents</w:t>
            </w:r>
          </w:p>
        </w:tc>
        <w:tc>
          <w:tcPr>
            <w:tcW w:w="1706" w:type="dxa"/>
            <w:shd w:val="clear" w:color="auto" w:fill="D9D9D9" w:themeFill="background1" w:themeFillShade="D9"/>
            <w:vAlign w:val="center"/>
          </w:tcPr>
          <w:p w:rsidR="00904115" w:rsidRPr="00371311" w:rsidP="00B20FDA" w14:paraId="4553B162" w14:textId="250A4662">
            <w:pPr>
              <w:jc w:val="center"/>
              <w:rPr>
                <w:rFonts w:asciiTheme="minorHAnsi" w:hAnsiTheme="minorHAnsi" w:cstheme="minorHAnsi"/>
                <w:b/>
                <w:bCs/>
                <w:szCs w:val="24"/>
              </w:rPr>
            </w:pPr>
            <w:r w:rsidRPr="00371311">
              <w:rPr>
                <w:rFonts w:asciiTheme="minorHAnsi" w:hAnsiTheme="minorHAnsi" w:cstheme="minorHAnsi"/>
                <w:b/>
                <w:bCs/>
                <w:szCs w:val="24"/>
              </w:rPr>
              <w:t>Responses per Respondent</w:t>
            </w:r>
          </w:p>
        </w:tc>
        <w:tc>
          <w:tcPr>
            <w:tcW w:w="1461" w:type="dxa"/>
            <w:shd w:val="clear" w:color="auto" w:fill="D9D9D9" w:themeFill="background1" w:themeFillShade="D9"/>
            <w:vAlign w:val="center"/>
          </w:tcPr>
          <w:p w:rsidR="00904115" w:rsidRPr="00371311" w:rsidP="00B20FDA" w14:paraId="33A66C41" w14:textId="4F95EA8B">
            <w:pPr>
              <w:jc w:val="center"/>
              <w:rPr>
                <w:rFonts w:asciiTheme="minorHAnsi" w:hAnsiTheme="minorHAnsi" w:cstheme="minorHAnsi"/>
                <w:b/>
                <w:bCs/>
                <w:szCs w:val="24"/>
              </w:rPr>
            </w:pPr>
            <w:r w:rsidRPr="00371311">
              <w:rPr>
                <w:rFonts w:asciiTheme="minorHAnsi" w:hAnsiTheme="minorHAnsi" w:cstheme="minorHAnsi"/>
                <w:b/>
                <w:bCs/>
                <w:szCs w:val="24"/>
              </w:rPr>
              <w:t>Average Annual Burden Hours</w:t>
            </w:r>
          </w:p>
        </w:tc>
        <w:tc>
          <w:tcPr>
            <w:tcW w:w="1829" w:type="dxa"/>
            <w:shd w:val="clear" w:color="auto" w:fill="D9D9D9" w:themeFill="background1" w:themeFillShade="D9"/>
            <w:vAlign w:val="center"/>
          </w:tcPr>
          <w:p w:rsidR="00904115" w:rsidRPr="00371311" w:rsidP="00B20FDA" w14:paraId="1293BEB3" w14:textId="0CCED9B3">
            <w:pPr>
              <w:jc w:val="center"/>
              <w:rPr>
                <w:rFonts w:asciiTheme="minorHAnsi" w:hAnsiTheme="minorHAnsi" w:cstheme="minorHAnsi"/>
                <w:b/>
                <w:bCs/>
                <w:szCs w:val="24"/>
              </w:rPr>
            </w:pPr>
            <w:r w:rsidRPr="00371311">
              <w:rPr>
                <w:rFonts w:asciiTheme="minorHAnsi" w:hAnsiTheme="minorHAnsi" w:cstheme="minorHAnsi"/>
                <w:b/>
                <w:bCs/>
                <w:szCs w:val="24"/>
              </w:rPr>
              <w:t>Average Annual Costs (202</w:t>
            </w:r>
            <w:r w:rsidRPr="00371311" w:rsidR="00371311">
              <w:rPr>
                <w:rFonts w:asciiTheme="minorHAnsi" w:hAnsiTheme="minorHAnsi" w:cstheme="minorHAnsi"/>
                <w:b/>
                <w:bCs/>
                <w:szCs w:val="24"/>
              </w:rPr>
              <w:t>5</w:t>
            </w:r>
            <w:r w:rsidRPr="00371311">
              <w:rPr>
                <w:rFonts w:asciiTheme="minorHAnsi" w:hAnsiTheme="minorHAnsi" w:cstheme="minorHAnsi"/>
                <w:b/>
                <w:bCs/>
                <w:szCs w:val="24"/>
              </w:rPr>
              <w:t>$)</w:t>
            </w:r>
          </w:p>
        </w:tc>
      </w:tr>
      <w:tr w14:paraId="4FBE7037" w14:textId="77777777" w:rsidTr="001A76B2">
        <w:tblPrEx>
          <w:tblW w:w="9494" w:type="dxa"/>
          <w:tblLook w:val="04A0"/>
        </w:tblPrEx>
        <w:tc>
          <w:tcPr>
            <w:tcW w:w="2913" w:type="dxa"/>
            <w:vAlign w:val="center"/>
          </w:tcPr>
          <w:p w:rsidR="00904115" w:rsidRPr="00371311" w:rsidP="00B20FDA" w14:paraId="29D78E56" w14:textId="420CA35B">
            <w:pPr>
              <w:jc w:val="center"/>
              <w:rPr>
                <w:rFonts w:asciiTheme="minorHAnsi" w:hAnsiTheme="minorHAnsi" w:cstheme="minorHAnsi"/>
                <w:szCs w:val="24"/>
              </w:rPr>
            </w:pPr>
            <w:r w:rsidRPr="00371311">
              <w:rPr>
                <w:rFonts w:asciiTheme="minorHAnsi" w:hAnsiTheme="minorHAnsi" w:cstheme="minorHAnsi"/>
                <w:szCs w:val="24"/>
              </w:rPr>
              <w:t>Withdrawing Confidentiality Claims</w:t>
            </w:r>
            <w:r w:rsidR="0033548F">
              <w:rPr>
                <w:rFonts w:asciiTheme="minorHAnsi" w:hAnsiTheme="minorHAnsi" w:cstheme="minorHAnsi"/>
                <w:szCs w:val="24"/>
              </w:rPr>
              <w:t xml:space="preserve">, </w:t>
            </w:r>
            <w:r w:rsidRPr="00371311">
              <w:rPr>
                <w:rFonts w:asciiTheme="minorHAnsi" w:hAnsiTheme="minorHAnsi" w:cstheme="minorHAnsi"/>
                <w:szCs w:val="24"/>
              </w:rPr>
              <w:t>Amending Public Copy</w:t>
            </w:r>
            <w:r w:rsidR="0033548F">
              <w:rPr>
                <w:rFonts w:asciiTheme="minorHAnsi" w:hAnsiTheme="minorHAnsi" w:cstheme="minorHAnsi"/>
                <w:szCs w:val="24"/>
              </w:rPr>
              <w:t>,</w:t>
            </w:r>
            <w:r w:rsidRPr="00371311" w:rsidR="00FE6422">
              <w:rPr>
                <w:rFonts w:asciiTheme="minorHAnsi" w:hAnsiTheme="minorHAnsi" w:cstheme="minorHAnsi"/>
                <w:szCs w:val="24"/>
              </w:rPr>
              <w:t xml:space="preserve"> and Extending Claims</w:t>
            </w:r>
          </w:p>
        </w:tc>
        <w:tc>
          <w:tcPr>
            <w:tcW w:w="1585" w:type="dxa"/>
            <w:vAlign w:val="center"/>
          </w:tcPr>
          <w:p w:rsidR="00904115" w:rsidRPr="00371311" w:rsidP="00B20FDA" w14:paraId="4D7C3EDA" w14:textId="1DDD121A">
            <w:pPr>
              <w:jc w:val="center"/>
              <w:rPr>
                <w:rFonts w:asciiTheme="minorHAnsi" w:hAnsiTheme="minorHAnsi" w:cstheme="minorHAnsi"/>
                <w:szCs w:val="24"/>
              </w:rPr>
            </w:pPr>
            <w:r w:rsidRPr="00371311">
              <w:rPr>
                <w:rFonts w:asciiTheme="minorHAnsi" w:hAnsiTheme="minorHAnsi" w:cstheme="minorHAnsi"/>
                <w:szCs w:val="24"/>
              </w:rPr>
              <w:t>1</w:t>
            </w:r>
            <w:r w:rsidRPr="00371311" w:rsidR="00FE6422">
              <w:rPr>
                <w:rFonts w:asciiTheme="minorHAnsi" w:hAnsiTheme="minorHAnsi" w:cstheme="minorHAnsi"/>
                <w:szCs w:val="24"/>
              </w:rPr>
              <w:t>04</w:t>
            </w:r>
          </w:p>
        </w:tc>
        <w:tc>
          <w:tcPr>
            <w:tcW w:w="1706" w:type="dxa"/>
            <w:vAlign w:val="center"/>
          </w:tcPr>
          <w:p w:rsidR="00904115" w:rsidRPr="00371311" w:rsidP="00B20FDA" w14:paraId="2FB61972" w14:textId="7FAC4B55">
            <w:pPr>
              <w:jc w:val="center"/>
              <w:rPr>
                <w:rFonts w:asciiTheme="minorHAnsi" w:hAnsiTheme="minorHAnsi" w:cstheme="minorHAnsi"/>
                <w:szCs w:val="24"/>
              </w:rPr>
            </w:pPr>
            <w:r w:rsidRPr="00371311">
              <w:rPr>
                <w:rFonts w:asciiTheme="minorHAnsi" w:hAnsiTheme="minorHAnsi" w:cstheme="minorHAnsi"/>
                <w:szCs w:val="24"/>
              </w:rPr>
              <w:t>1</w:t>
            </w:r>
          </w:p>
        </w:tc>
        <w:tc>
          <w:tcPr>
            <w:tcW w:w="1461" w:type="dxa"/>
            <w:vAlign w:val="center"/>
          </w:tcPr>
          <w:p w:rsidR="00904115" w:rsidRPr="00371311" w:rsidP="37B89732" w14:paraId="0D2F9AE3" w14:textId="73C3BE36">
            <w:pPr>
              <w:jc w:val="center"/>
              <w:rPr>
                <w:rFonts w:asciiTheme="minorHAnsi" w:hAnsiTheme="minorHAnsi"/>
              </w:rPr>
            </w:pPr>
            <w:r>
              <w:rPr>
                <w:rFonts w:asciiTheme="minorHAnsi" w:hAnsiTheme="minorHAnsi"/>
              </w:rPr>
              <w:t>73</w:t>
            </w:r>
          </w:p>
        </w:tc>
        <w:tc>
          <w:tcPr>
            <w:tcW w:w="1829" w:type="dxa"/>
            <w:vAlign w:val="center"/>
          </w:tcPr>
          <w:p w:rsidR="37B89732" w:rsidP="37B89732" w14:paraId="72893989" w14:textId="6ADB057A">
            <w:pPr>
              <w:jc w:val="center"/>
              <w:rPr>
                <w:rFonts w:ascii="Calibri" w:eastAsia="Times New Roman" w:hAnsi="Calibri" w:cs="Calibri"/>
                <w:szCs w:val="24"/>
              </w:rPr>
            </w:pPr>
            <w:r w:rsidRPr="37B89732">
              <w:rPr>
                <w:rFonts w:ascii="Calibri" w:eastAsia="Times New Roman" w:hAnsi="Calibri" w:cs="Calibri"/>
                <w:szCs w:val="24"/>
              </w:rPr>
              <w:t xml:space="preserve">$6,201.10 </w:t>
            </w:r>
          </w:p>
        </w:tc>
      </w:tr>
      <w:tr w14:paraId="18CDDB92" w14:textId="77777777" w:rsidTr="001A76B2">
        <w:tblPrEx>
          <w:tblW w:w="9494" w:type="dxa"/>
          <w:tblLook w:val="04A0"/>
        </w:tblPrEx>
        <w:tc>
          <w:tcPr>
            <w:tcW w:w="2913" w:type="dxa"/>
            <w:vAlign w:val="center"/>
          </w:tcPr>
          <w:p w:rsidR="00904115" w:rsidRPr="00371311" w:rsidP="00B20FDA" w14:paraId="5F1C8C07" w14:textId="00B592FB">
            <w:pPr>
              <w:jc w:val="center"/>
              <w:rPr>
                <w:rFonts w:asciiTheme="minorHAnsi" w:hAnsiTheme="minorHAnsi" w:cstheme="minorHAnsi"/>
                <w:szCs w:val="24"/>
              </w:rPr>
            </w:pPr>
            <w:r w:rsidRPr="00371311">
              <w:rPr>
                <w:rFonts w:asciiTheme="minorHAnsi" w:hAnsiTheme="minorHAnsi" w:cstheme="minorHAnsi"/>
                <w:szCs w:val="24"/>
              </w:rPr>
              <w:t>Re</w:t>
            </w:r>
            <w:r w:rsidRPr="00371311" w:rsidR="00FE6422">
              <w:rPr>
                <w:rFonts w:asciiTheme="minorHAnsi" w:hAnsiTheme="minorHAnsi" w:cstheme="minorHAnsi"/>
                <w:szCs w:val="24"/>
              </w:rPr>
              <w:t>-</w:t>
            </w:r>
            <w:r w:rsidRPr="00371311">
              <w:rPr>
                <w:rFonts w:asciiTheme="minorHAnsi" w:hAnsiTheme="minorHAnsi" w:cstheme="minorHAnsi"/>
                <w:szCs w:val="24"/>
              </w:rPr>
              <w:t>substantiation of CBI Claims</w:t>
            </w:r>
          </w:p>
        </w:tc>
        <w:tc>
          <w:tcPr>
            <w:tcW w:w="1585" w:type="dxa"/>
            <w:vAlign w:val="center"/>
          </w:tcPr>
          <w:p w:rsidR="00904115" w:rsidRPr="00371311" w:rsidP="00B20FDA" w14:paraId="6534C3E1" w14:textId="28406D93">
            <w:pPr>
              <w:jc w:val="center"/>
              <w:rPr>
                <w:rFonts w:asciiTheme="minorHAnsi" w:hAnsiTheme="minorHAnsi" w:cstheme="minorHAnsi"/>
                <w:szCs w:val="24"/>
              </w:rPr>
            </w:pPr>
            <w:r>
              <w:rPr>
                <w:rFonts w:asciiTheme="minorHAnsi" w:hAnsiTheme="minorHAnsi" w:cstheme="minorHAnsi"/>
                <w:szCs w:val="24"/>
              </w:rPr>
              <w:t>1,100</w:t>
            </w:r>
          </w:p>
        </w:tc>
        <w:tc>
          <w:tcPr>
            <w:tcW w:w="1706" w:type="dxa"/>
            <w:vAlign w:val="center"/>
          </w:tcPr>
          <w:p w:rsidR="00904115" w:rsidRPr="00371311" w:rsidP="00B20FDA" w14:paraId="6524E2DC" w14:textId="20D05530">
            <w:pPr>
              <w:jc w:val="center"/>
              <w:rPr>
                <w:rFonts w:asciiTheme="minorHAnsi" w:hAnsiTheme="minorHAnsi" w:cstheme="minorHAnsi"/>
                <w:szCs w:val="24"/>
              </w:rPr>
            </w:pPr>
            <w:r>
              <w:rPr>
                <w:rFonts w:asciiTheme="minorHAnsi" w:hAnsiTheme="minorHAnsi" w:cstheme="minorHAnsi"/>
                <w:szCs w:val="24"/>
              </w:rPr>
              <w:t>2</w:t>
            </w:r>
          </w:p>
        </w:tc>
        <w:tc>
          <w:tcPr>
            <w:tcW w:w="1461" w:type="dxa"/>
            <w:vAlign w:val="center"/>
          </w:tcPr>
          <w:p w:rsidR="00904115" w:rsidRPr="00371311" w:rsidP="00B20FDA" w14:paraId="344B78B0" w14:textId="2F6C6804">
            <w:pPr>
              <w:jc w:val="center"/>
              <w:rPr>
                <w:rFonts w:asciiTheme="minorHAnsi" w:hAnsiTheme="minorHAnsi" w:cstheme="minorHAnsi"/>
                <w:szCs w:val="24"/>
              </w:rPr>
            </w:pPr>
            <w:r>
              <w:rPr>
                <w:rFonts w:asciiTheme="minorHAnsi" w:hAnsiTheme="minorHAnsi" w:cstheme="minorHAnsi"/>
                <w:szCs w:val="24"/>
              </w:rPr>
              <w:t>550</w:t>
            </w:r>
          </w:p>
        </w:tc>
        <w:tc>
          <w:tcPr>
            <w:tcW w:w="1829" w:type="dxa"/>
            <w:vAlign w:val="center"/>
          </w:tcPr>
          <w:p w:rsidR="37B89732" w:rsidP="37B89732" w14:paraId="3BA0A6D2" w14:textId="038B45B6">
            <w:pPr>
              <w:jc w:val="center"/>
              <w:rPr>
                <w:rFonts w:ascii="Calibri" w:eastAsia="Times New Roman" w:hAnsi="Calibri" w:cs="Calibri"/>
                <w:szCs w:val="24"/>
              </w:rPr>
            </w:pPr>
            <w:r w:rsidRPr="37B89732">
              <w:rPr>
                <w:rFonts w:ascii="Calibri" w:eastAsia="Times New Roman" w:hAnsi="Calibri" w:cs="Calibri"/>
                <w:szCs w:val="24"/>
              </w:rPr>
              <w:t>$46,849.00</w:t>
            </w:r>
          </w:p>
        </w:tc>
      </w:tr>
      <w:tr w14:paraId="145B363A" w14:textId="77777777" w:rsidTr="001A76B2">
        <w:tblPrEx>
          <w:tblW w:w="9494" w:type="dxa"/>
          <w:tblLook w:val="04A0"/>
        </w:tblPrEx>
        <w:tc>
          <w:tcPr>
            <w:tcW w:w="2913" w:type="dxa"/>
            <w:vAlign w:val="center"/>
          </w:tcPr>
          <w:p w:rsidR="00904115" w:rsidRPr="00371311" w:rsidP="00B20FDA" w14:paraId="445DA33D" w14:textId="50D45052">
            <w:pPr>
              <w:jc w:val="center"/>
              <w:rPr>
                <w:rFonts w:asciiTheme="minorHAnsi" w:hAnsiTheme="minorHAnsi" w:cstheme="minorHAnsi"/>
                <w:b/>
                <w:bCs/>
                <w:szCs w:val="24"/>
              </w:rPr>
            </w:pPr>
            <w:r w:rsidRPr="00371311">
              <w:rPr>
                <w:rFonts w:asciiTheme="minorHAnsi" w:hAnsiTheme="minorHAnsi" w:cstheme="minorHAnsi"/>
                <w:b/>
                <w:bCs/>
                <w:szCs w:val="24"/>
              </w:rPr>
              <w:t>Respondent Total</w:t>
            </w:r>
          </w:p>
        </w:tc>
        <w:tc>
          <w:tcPr>
            <w:tcW w:w="1585" w:type="dxa"/>
            <w:vAlign w:val="center"/>
          </w:tcPr>
          <w:p w:rsidR="00904115" w:rsidRPr="00371311" w:rsidP="00B20FDA" w14:paraId="574C34B3" w14:textId="13F9EE81">
            <w:pPr>
              <w:jc w:val="center"/>
              <w:rPr>
                <w:rFonts w:asciiTheme="minorHAnsi" w:hAnsiTheme="minorHAnsi" w:cstheme="minorHAnsi"/>
                <w:szCs w:val="24"/>
              </w:rPr>
            </w:pPr>
            <w:r>
              <w:rPr>
                <w:rFonts w:asciiTheme="minorHAnsi" w:hAnsiTheme="minorHAnsi" w:cstheme="minorHAnsi"/>
                <w:szCs w:val="24"/>
              </w:rPr>
              <w:t>1,504</w:t>
            </w:r>
          </w:p>
        </w:tc>
        <w:tc>
          <w:tcPr>
            <w:tcW w:w="1706" w:type="dxa"/>
            <w:vAlign w:val="center"/>
          </w:tcPr>
          <w:p w:rsidR="00904115" w:rsidRPr="00371311" w:rsidP="00B20FDA" w14:paraId="38A3EF6F" w14:textId="77777777">
            <w:pPr>
              <w:jc w:val="center"/>
              <w:rPr>
                <w:rFonts w:asciiTheme="minorHAnsi" w:hAnsiTheme="minorHAnsi" w:cstheme="minorHAnsi"/>
                <w:szCs w:val="24"/>
              </w:rPr>
            </w:pPr>
          </w:p>
        </w:tc>
        <w:tc>
          <w:tcPr>
            <w:tcW w:w="1461" w:type="dxa"/>
            <w:vAlign w:val="center"/>
          </w:tcPr>
          <w:p w:rsidR="00904115" w:rsidRPr="00371311" w:rsidP="37B89732" w14:paraId="75B1824F" w14:textId="32F17698">
            <w:pPr>
              <w:jc w:val="center"/>
              <w:rPr>
                <w:rFonts w:asciiTheme="minorHAnsi" w:hAnsiTheme="minorHAnsi"/>
                <w:b/>
                <w:bCs/>
              </w:rPr>
            </w:pPr>
            <w:r>
              <w:rPr>
                <w:rFonts w:asciiTheme="minorHAnsi" w:hAnsiTheme="minorHAnsi"/>
                <w:b/>
                <w:bCs/>
              </w:rPr>
              <w:t>623</w:t>
            </w:r>
          </w:p>
        </w:tc>
        <w:tc>
          <w:tcPr>
            <w:tcW w:w="1829" w:type="dxa"/>
            <w:vAlign w:val="center"/>
          </w:tcPr>
          <w:p w:rsidR="37B89732" w:rsidP="37B89732" w14:paraId="516CADAC" w14:textId="3F9D8116">
            <w:pPr>
              <w:jc w:val="center"/>
              <w:rPr>
                <w:rFonts w:ascii="Calibri" w:eastAsia="Times New Roman" w:hAnsi="Calibri" w:cs="Calibri"/>
                <w:b/>
                <w:bCs/>
                <w:szCs w:val="24"/>
              </w:rPr>
            </w:pPr>
            <w:r w:rsidRPr="37B89732">
              <w:rPr>
                <w:rFonts w:ascii="Calibri" w:eastAsia="Times New Roman" w:hAnsi="Calibri" w:cs="Calibri"/>
                <w:b/>
                <w:bCs/>
                <w:szCs w:val="24"/>
              </w:rPr>
              <w:t>$53,050.10</w:t>
            </w:r>
          </w:p>
        </w:tc>
      </w:tr>
      <w:tr w14:paraId="5C66A3D0" w14:textId="77777777" w:rsidTr="001A76B2">
        <w:tblPrEx>
          <w:tblW w:w="9494" w:type="dxa"/>
          <w:tblLook w:val="04A0"/>
        </w:tblPrEx>
        <w:tc>
          <w:tcPr>
            <w:tcW w:w="2913" w:type="dxa"/>
            <w:vAlign w:val="center"/>
          </w:tcPr>
          <w:p w:rsidR="00904115" w:rsidRPr="00371311" w:rsidP="00B20FDA" w14:paraId="0A3BFA62" w14:textId="7C1A28E9">
            <w:pPr>
              <w:jc w:val="center"/>
              <w:rPr>
                <w:rFonts w:asciiTheme="minorHAnsi" w:hAnsiTheme="minorHAnsi" w:cstheme="minorHAnsi"/>
                <w:b/>
                <w:bCs/>
                <w:szCs w:val="24"/>
              </w:rPr>
            </w:pPr>
            <w:r w:rsidRPr="00371311">
              <w:rPr>
                <w:rFonts w:asciiTheme="minorHAnsi" w:hAnsiTheme="minorHAnsi" w:cstheme="minorHAnsi"/>
                <w:b/>
                <w:bCs/>
                <w:szCs w:val="24"/>
              </w:rPr>
              <w:t>Agency Total</w:t>
            </w:r>
          </w:p>
        </w:tc>
        <w:tc>
          <w:tcPr>
            <w:tcW w:w="1585" w:type="dxa"/>
            <w:vAlign w:val="center"/>
          </w:tcPr>
          <w:p w:rsidR="00904115" w:rsidRPr="00371311" w:rsidP="37B89732" w14:paraId="3A0134A1" w14:textId="6B1BEE84">
            <w:pPr>
              <w:jc w:val="center"/>
              <w:rPr>
                <w:rFonts w:asciiTheme="minorHAnsi" w:hAnsiTheme="minorHAnsi"/>
              </w:rPr>
            </w:pPr>
          </w:p>
        </w:tc>
        <w:tc>
          <w:tcPr>
            <w:tcW w:w="1706" w:type="dxa"/>
            <w:vAlign w:val="center"/>
          </w:tcPr>
          <w:p w:rsidR="00904115" w:rsidRPr="00371311" w:rsidP="00B20FDA" w14:paraId="4DE200AC" w14:textId="77777777">
            <w:pPr>
              <w:jc w:val="center"/>
              <w:rPr>
                <w:rFonts w:asciiTheme="minorHAnsi" w:hAnsiTheme="minorHAnsi" w:cstheme="minorHAnsi"/>
                <w:szCs w:val="24"/>
              </w:rPr>
            </w:pPr>
          </w:p>
        </w:tc>
        <w:tc>
          <w:tcPr>
            <w:tcW w:w="1461" w:type="dxa"/>
            <w:vAlign w:val="center"/>
          </w:tcPr>
          <w:p w:rsidR="00904115" w:rsidRPr="00371311" w:rsidP="37B89732" w14:paraId="2D3C823C" w14:textId="304E6CFE">
            <w:pPr>
              <w:jc w:val="center"/>
              <w:rPr>
                <w:rFonts w:eastAsia="Times New Roman" w:asciiTheme="minorHAnsi" w:hAnsiTheme="minorHAnsi"/>
                <w:b/>
                <w:bCs/>
              </w:rPr>
            </w:pPr>
            <w:r w:rsidRPr="37B89732">
              <w:rPr>
                <w:rFonts w:eastAsia="Times New Roman" w:asciiTheme="minorHAnsi" w:hAnsiTheme="minorHAnsi"/>
                <w:b/>
                <w:bCs/>
              </w:rPr>
              <w:t>1,160</w:t>
            </w:r>
          </w:p>
        </w:tc>
        <w:tc>
          <w:tcPr>
            <w:tcW w:w="1829" w:type="dxa"/>
            <w:vAlign w:val="center"/>
          </w:tcPr>
          <w:p w:rsidR="00904115" w:rsidRPr="00371311" w:rsidP="37B89732" w14:paraId="6718700C" w14:textId="72AAC176">
            <w:pPr>
              <w:spacing w:after="0"/>
              <w:jc w:val="center"/>
              <w:rPr>
                <w:rFonts w:ascii="Calibri" w:eastAsia="Calibri" w:hAnsi="Calibri" w:cs="Calibri"/>
                <w:b/>
                <w:bCs/>
                <w:szCs w:val="24"/>
              </w:rPr>
            </w:pPr>
            <w:r w:rsidRPr="37B89732">
              <w:rPr>
                <w:rFonts w:ascii="Calibri" w:eastAsia="Calibri" w:hAnsi="Calibri" w:cs="Calibri"/>
                <w:b/>
                <w:bCs/>
                <w:szCs w:val="24"/>
              </w:rPr>
              <w:t>$150,892.80</w:t>
            </w:r>
          </w:p>
          <w:p w:rsidR="00904115" w:rsidRPr="00371311" w:rsidP="37B89732" w14:paraId="055D03C7" w14:textId="5DEAA881">
            <w:pPr>
              <w:jc w:val="center"/>
              <w:rPr>
                <w:rFonts w:asciiTheme="minorHAnsi" w:hAnsiTheme="minorHAnsi"/>
              </w:rPr>
            </w:pPr>
          </w:p>
        </w:tc>
      </w:tr>
    </w:tbl>
    <w:p w:rsidR="00374A8F" w:rsidRPr="00A456CD" w:rsidP="00B20FDA" w14:paraId="68A73714" w14:textId="4903D630">
      <w:pPr>
        <w:pStyle w:val="NoSpacing"/>
        <w:spacing w:after="200" w:line="276" w:lineRule="auto"/>
        <w:rPr>
          <w:rFonts w:cstheme="minorHAnsi"/>
          <w:sz w:val="16"/>
          <w:szCs w:val="16"/>
        </w:rPr>
      </w:pPr>
      <w:r w:rsidRPr="00A456CD">
        <w:rPr>
          <w:rFonts w:cstheme="minorHAnsi"/>
          <w:sz w:val="16"/>
          <w:szCs w:val="16"/>
        </w:rPr>
        <w:t>Note: Burden and cost estimates are rounded to the nearest hour and dollar, respectively.</w:t>
      </w:r>
      <w:r w:rsidRPr="00A456CD" w:rsidR="00C347DE">
        <w:rPr>
          <w:rFonts w:cstheme="minorHAnsi"/>
          <w:sz w:val="16"/>
          <w:szCs w:val="16"/>
        </w:rPr>
        <w:t xml:space="preserve"> Negative values correspond to burden reductions and cost savings.</w:t>
      </w:r>
    </w:p>
    <w:p w:rsidR="00B262D4" w:rsidRPr="00371311" w:rsidP="00B20FDA" w14:paraId="526A56DE" w14:textId="4ADD5A01">
      <w:pPr>
        <w:pStyle w:val="Heading1"/>
        <w:spacing w:before="0" w:line="276" w:lineRule="auto"/>
        <w:rPr>
          <w:rFonts w:asciiTheme="minorHAnsi" w:hAnsiTheme="minorHAnsi" w:cstheme="minorHAnsi"/>
          <w:sz w:val="24"/>
          <w:szCs w:val="24"/>
        </w:rPr>
      </w:pPr>
      <w:r w:rsidRPr="00371311">
        <w:rPr>
          <w:rFonts w:asciiTheme="minorHAnsi" w:hAnsiTheme="minorHAnsi" w:cstheme="minorHAnsi"/>
          <w:sz w:val="24"/>
          <w:szCs w:val="24"/>
        </w:rPr>
        <w:t>Supporting Statement</w:t>
      </w:r>
    </w:p>
    <w:p w:rsidR="00983407" w:rsidRPr="00371311" w:rsidP="00B20FDA" w14:paraId="271E316D" w14:textId="7EE50866">
      <w:pPr>
        <w:pStyle w:val="Heading2"/>
        <w:spacing w:line="276" w:lineRule="auto"/>
        <w:ind w:left="360"/>
        <w:rPr>
          <w:rFonts w:asciiTheme="minorHAnsi" w:hAnsiTheme="minorHAnsi" w:cstheme="minorHAnsi"/>
          <w:szCs w:val="24"/>
        </w:rPr>
      </w:pPr>
      <w:bookmarkStart w:id="5" w:name="_Toc49148160"/>
      <w:r w:rsidRPr="00371311">
        <w:rPr>
          <w:rFonts w:asciiTheme="minorHAnsi" w:hAnsiTheme="minorHAnsi" w:cstheme="minorHAnsi"/>
          <w:szCs w:val="24"/>
        </w:rPr>
        <w:t>Need and Authority for the Collection</w:t>
      </w:r>
      <w:r w:rsidRPr="00371311" w:rsidR="00245CCC">
        <w:rPr>
          <w:rFonts w:asciiTheme="minorHAnsi" w:hAnsiTheme="minorHAnsi" w:cstheme="minorHAnsi"/>
          <w:szCs w:val="24"/>
        </w:rPr>
        <w:t>:</w:t>
      </w:r>
      <w:r w:rsidRPr="00371311">
        <w:rPr>
          <w:rFonts w:asciiTheme="minorHAnsi" w:hAnsiTheme="minorHAnsi" w:cstheme="minorHAnsi"/>
          <w:szCs w:val="24"/>
        </w:rPr>
        <w:t xml:space="preserve"> </w:t>
      </w:r>
    </w:p>
    <w:p w:rsidR="00897D7E" w:rsidRPr="00740161" w:rsidP="00436458" w14:paraId="163FE936" w14:textId="7CF8F38F">
      <w:pPr>
        <w:pStyle w:val="Heading2"/>
        <w:numPr>
          <w:ilvl w:val="0"/>
          <w:numId w:val="0"/>
        </w:numPr>
        <w:pBdr>
          <w:bottom w:val="single" w:sz="4" w:space="1" w:color="auto"/>
        </w:pBdr>
        <w:spacing w:line="276" w:lineRule="auto"/>
        <w:rPr>
          <w:rFonts w:asciiTheme="minorHAnsi" w:hAnsiTheme="minorHAnsi" w:cstheme="minorHAnsi"/>
          <w:b w:val="0"/>
          <w:bCs w:val="0"/>
          <w:i/>
          <w:iCs/>
          <w:szCs w:val="24"/>
        </w:rPr>
      </w:pPr>
      <w:r w:rsidRPr="00740161">
        <w:rPr>
          <w:rFonts w:asciiTheme="minorHAnsi" w:hAnsiTheme="minorHAnsi" w:cstheme="minorHAnsi"/>
          <w:b w:val="0"/>
          <w:bCs w:val="0"/>
          <w:i/>
          <w:iCs/>
          <w:szCs w:val="24"/>
        </w:rPr>
        <w:t xml:space="preserve">Explain the circumstances that make the collection of information necessary. Identify any legal or administrative requirements that necessitate the collection. </w:t>
      </w:r>
    </w:p>
    <w:p w:rsidR="6EF98C62" w:rsidRPr="00371311" w:rsidP="00B20FDA" w14:paraId="22CCCCD1" w14:textId="46E180C0">
      <w:pPr>
        <w:rPr>
          <w:rFonts w:eastAsia="Calibri" w:asciiTheme="minorHAnsi" w:hAnsiTheme="minorHAnsi" w:cstheme="minorHAnsi"/>
          <w:color w:val="000000" w:themeColor="text1"/>
          <w:szCs w:val="24"/>
        </w:rPr>
      </w:pPr>
      <w:r w:rsidRPr="00371311">
        <w:rPr>
          <w:rFonts w:asciiTheme="minorHAnsi" w:hAnsiTheme="minorHAnsi" w:cstheme="minorHAnsi"/>
          <w:szCs w:val="24"/>
        </w:rPr>
        <w:t>Lautenberg included several significant amendments to the provisions on CBI included in Section 14 of the TSCA</w:t>
      </w:r>
      <w:r w:rsidR="009A0EB5">
        <w:rPr>
          <w:rFonts w:asciiTheme="minorHAnsi" w:hAnsiTheme="minorHAnsi" w:cstheme="minorHAnsi"/>
          <w:szCs w:val="24"/>
        </w:rPr>
        <w:t xml:space="preserve"> (Ref. 1)</w:t>
      </w:r>
      <w:r w:rsidRPr="00371311">
        <w:rPr>
          <w:rFonts w:asciiTheme="minorHAnsi" w:hAnsiTheme="minorHAnsi" w:cstheme="minorHAnsi"/>
          <w:szCs w:val="24"/>
        </w:rPr>
        <w:t>. These included new requirements that persons submitting information under TSCA must substantiate most confidentiality claims at the time of submission, as well as additional certification and generic name requirements. In order to maintain most claims beyond a 10-year period, submitters will also be required to reassert and substantiate those claims</w:t>
      </w:r>
      <w:r w:rsidRPr="00371311" w:rsidR="008856BB">
        <w:rPr>
          <w:rFonts w:asciiTheme="minorHAnsi" w:hAnsiTheme="minorHAnsi" w:cstheme="minorHAnsi"/>
          <w:szCs w:val="24"/>
        </w:rPr>
        <w:t>, beginning in 2026 for claims made in 2016</w:t>
      </w:r>
      <w:r w:rsidRPr="00371311">
        <w:rPr>
          <w:rFonts w:asciiTheme="minorHAnsi" w:hAnsiTheme="minorHAnsi" w:cstheme="minorHAnsi"/>
          <w:szCs w:val="24"/>
        </w:rPr>
        <w:t xml:space="preserve">. </w:t>
      </w:r>
    </w:p>
    <w:p w:rsidR="007E1376" w:rsidRPr="00371311" w:rsidP="00B20FDA" w14:paraId="4DCA7457" w14:textId="12A0771F">
      <w:pPr>
        <w:rPr>
          <w:rFonts w:asciiTheme="minorHAnsi" w:hAnsiTheme="minorHAnsi" w:cstheme="minorHAnsi"/>
          <w:szCs w:val="24"/>
        </w:rPr>
      </w:pPr>
      <w:r w:rsidRPr="00371311">
        <w:rPr>
          <w:rFonts w:asciiTheme="minorHAnsi" w:hAnsiTheme="minorHAnsi" w:cstheme="minorHAnsi"/>
          <w:szCs w:val="24"/>
        </w:rPr>
        <w:t xml:space="preserve">Regulations implementing the statutory mandate in TSCA section 14 </w:t>
      </w:r>
      <w:r w:rsidRPr="00371311" w:rsidR="00B206F4">
        <w:rPr>
          <w:rFonts w:asciiTheme="minorHAnsi" w:hAnsiTheme="minorHAnsi" w:cstheme="minorHAnsi"/>
          <w:szCs w:val="24"/>
        </w:rPr>
        <w:t xml:space="preserve">are </w:t>
      </w:r>
      <w:r w:rsidRPr="00371311">
        <w:rPr>
          <w:rFonts w:asciiTheme="minorHAnsi" w:hAnsiTheme="minorHAnsi" w:cstheme="minorHAnsi"/>
          <w:szCs w:val="24"/>
        </w:rPr>
        <w:t>under 40 CFR 703, and in</w:t>
      </w:r>
      <w:r w:rsidRPr="00371311" w:rsidR="001A34E7">
        <w:rPr>
          <w:rFonts w:asciiTheme="minorHAnsi" w:hAnsiTheme="minorHAnsi" w:cstheme="minorHAnsi"/>
          <w:szCs w:val="24"/>
        </w:rPr>
        <w:t>corporated into</w:t>
      </w:r>
      <w:r w:rsidR="00371311">
        <w:rPr>
          <w:rFonts w:asciiTheme="minorHAnsi" w:hAnsiTheme="minorHAnsi" w:cstheme="minorHAnsi"/>
          <w:szCs w:val="24"/>
        </w:rPr>
        <w:t xml:space="preserve"> </w:t>
      </w:r>
      <w:r w:rsidRPr="00371311">
        <w:rPr>
          <w:rFonts w:asciiTheme="minorHAnsi" w:hAnsiTheme="minorHAnsi" w:cstheme="minorHAnsi"/>
          <w:szCs w:val="24"/>
        </w:rPr>
        <w:t xml:space="preserve">the following provisions: </w:t>
      </w:r>
    </w:p>
    <w:p w:rsidR="000173B9" w:rsidRPr="00371311" w:rsidP="00B20FDA" w14:paraId="5BC19D7D" w14:textId="30003EFB">
      <w:pPr>
        <w:pStyle w:val="ListParagraph"/>
        <w:numPr>
          <w:ilvl w:val="0"/>
          <w:numId w:val="29"/>
        </w:numPr>
        <w:rPr>
          <w:rFonts w:asciiTheme="minorHAnsi" w:hAnsiTheme="minorHAnsi" w:cstheme="minorHAnsi"/>
          <w:szCs w:val="24"/>
        </w:rPr>
      </w:pPr>
      <w:r w:rsidRPr="00371311">
        <w:rPr>
          <w:rFonts w:asciiTheme="minorHAnsi" w:hAnsiTheme="minorHAnsi" w:cstheme="minorHAnsi"/>
          <w:szCs w:val="24"/>
        </w:rPr>
        <w:t xml:space="preserve">40 CFR </w:t>
      </w:r>
      <w:r w:rsidRPr="00371311" w:rsidR="00263F84">
        <w:rPr>
          <w:rFonts w:asciiTheme="minorHAnsi" w:hAnsiTheme="minorHAnsi" w:cstheme="minorHAnsi"/>
          <w:szCs w:val="24"/>
        </w:rPr>
        <w:t xml:space="preserve"> </w:t>
      </w:r>
      <w:r w:rsidRPr="00371311">
        <w:rPr>
          <w:rFonts w:asciiTheme="minorHAnsi" w:hAnsiTheme="minorHAnsi" w:cstheme="minorHAnsi"/>
          <w:szCs w:val="24"/>
        </w:rPr>
        <w:t xml:space="preserve">704.7, the confidentiality provision for section 8(a) rules; </w:t>
      </w:r>
    </w:p>
    <w:p w:rsidR="000173B9" w:rsidRPr="00371311" w:rsidP="00B20FDA" w14:paraId="2DC3BDF2" w14:textId="147CE08E">
      <w:pPr>
        <w:pStyle w:val="ListParagraph"/>
        <w:widowControl w:val="0"/>
        <w:numPr>
          <w:ilvl w:val="0"/>
          <w:numId w:val="28"/>
        </w:numPr>
        <w:autoSpaceDE w:val="0"/>
        <w:autoSpaceDN w:val="0"/>
        <w:adjustRightInd w:val="0"/>
        <w:rPr>
          <w:rFonts w:asciiTheme="minorHAnsi" w:hAnsiTheme="minorHAnsi" w:cstheme="minorHAnsi"/>
          <w:szCs w:val="24"/>
        </w:rPr>
      </w:pPr>
      <w:r w:rsidRPr="00371311">
        <w:rPr>
          <w:rFonts w:asciiTheme="minorHAnsi" w:hAnsiTheme="minorHAnsi" w:cstheme="minorHAnsi"/>
          <w:szCs w:val="24"/>
        </w:rPr>
        <w:t xml:space="preserve">40 CFR 707.75(d), the confidentiality provision of rules concerning section 12(b) notices of export; </w:t>
      </w:r>
    </w:p>
    <w:p w:rsidR="000173B9" w:rsidRPr="00371311" w:rsidP="00B20FDA" w14:paraId="495AB837" w14:textId="15BF6900">
      <w:pPr>
        <w:pStyle w:val="ListParagraph"/>
        <w:widowControl w:val="0"/>
        <w:numPr>
          <w:ilvl w:val="0"/>
          <w:numId w:val="28"/>
        </w:numPr>
        <w:autoSpaceDE w:val="0"/>
        <w:autoSpaceDN w:val="0"/>
        <w:adjustRightInd w:val="0"/>
        <w:rPr>
          <w:rFonts w:asciiTheme="minorHAnsi" w:hAnsiTheme="minorHAnsi" w:cstheme="minorHAnsi"/>
          <w:szCs w:val="24"/>
        </w:rPr>
      </w:pPr>
      <w:r w:rsidRPr="00371311">
        <w:rPr>
          <w:rFonts w:asciiTheme="minorHAnsi" w:hAnsiTheme="minorHAnsi" w:cstheme="minorHAnsi"/>
          <w:szCs w:val="24"/>
        </w:rPr>
        <w:t xml:space="preserve">40 CFR 716.55, the confidentiality provisions for section 8(d) reporting rules; </w:t>
      </w:r>
    </w:p>
    <w:p w:rsidR="000173B9" w:rsidRPr="00371311" w:rsidP="00B20FDA" w14:paraId="385A04E0" w14:textId="6B2BEE6D">
      <w:pPr>
        <w:pStyle w:val="ListParagraph"/>
        <w:widowControl w:val="0"/>
        <w:numPr>
          <w:ilvl w:val="0"/>
          <w:numId w:val="28"/>
        </w:numPr>
        <w:autoSpaceDE w:val="0"/>
        <w:autoSpaceDN w:val="0"/>
        <w:adjustRightInd w:val="0"/>
        <w:rPr>
          <w:rFonts w:asciiTheme="minorHAnsi" w:hAnsiTheme="minorHAnsi" w:cstheme="minorHAnsi"/>
          <w:szCs w:val="24"/>
        </w:rPr>
      </w:pPr>
      <w:r w:rsidRPr="00371311">
        <w:rPr>
          <w:rFonts w:asciiTheme="minorHAnsi" w:hAnsiTheme="minorHAnsi" w:cstheme="minorHAnsi"/>
          <w:szCs w:val="24"/>
        </w:rPr>
        <w:t xml:space="preserve">40 CFR 717.19, the confidentiality provision for section 8(c) recordkeeping and reporting rules; </w:t>
      </w:r>
    </w:p>
    <w:p w:rsidR="001A34E7" w:rsidRPr="00371311" w:rsidP="00B20FDA" w14:paraId="456200F7" w14:textId="40251854">
      <w:pPr>
        <w:pStyle w:val="ListParagraph"/>
        <w:widowControl w:val="0"/>
        <w:numPr>
          <w:ilvl w:val="0"/>
          <w:numId w:val="28"/>
        </w:numPr>
        <w:autoSpaceDE w:val="0"/>
        <w:autoSpaceDN w:val="0"/>
        <w:adjustRightInd w:val="0"/>
        <w:rPr>
          <w:rFonts w:asciiTheme="minorHAnsi" w:hAnsiTheme="minorHAnsi" w:cstheme="minorHAnsi"/>
          <w:szCs w:val="24"/>
        </w:rPr>
      </w:pPr>
      <w:r w:rsidRPr="00371311">
        <w:rPr>
          <w:rFonts w:asciiTheme="minorHAnsi" w:hAnsiTheme="minorHAnsi" w:cstheme="minorHAnsi"/>
          <w:szCs w:val="24"/>
        </w:rPr>
        <w:t xml:space="preserve">40 CFR 720, </w:t>
      </w:r>
      <w:bookmarkStart w:id="6" w:name="_Hlk217912660"/>
      <w:r w:rsidRPr="00371311" w:rsidR="00A753B0">
        <w:rPr>
          <w:rFonts w:asciiTheme="minorHAnsi" w:hAnsiTheme="minorHAnsi" w:cstheme="minorHAnsi"/>
          <w:szCs w:val="24"/>
        </w:rPr>
        <w:t>the confidentiality provision for section 5</w:t>
      </w:r>
      <w:bookmarkEnd w:id="6"/>
    </w:p>
    <w:p w:rsidR="001A34E7" w:rsidRPr="00371311" w:rsidP="00B20FDA" w14:paraId="4937BB23" w14:textId="16BEA8A9">
      <w:pPr>
        <w:pStyle w:val="ListParagraph"/>
        <w:widowControl w:val="0"/>
        <w:numPr>
          <w:ilvl w:val="0"/>
          <w:numId w:val="28"/>
        </w:numPr>
        <w:autoSpaceDE w:val="0"/>
        <w:autoSpaceDN w:val="0"/>
        <w:adjustRightInd w:val="0"/>
        <w:rPr>
          <w:rFonts w:asciiTheme="minorHAnsi" w:hAnsiTheme="minorHAnsi" w:cstheme="minorHAnsi"/>
          <w:szCs w:val="24"/>
        </w:rPr>
      </w:pPr>
      <w:r w:rsidRPr="00371311">
        <w:rPr>
          <w:rFonts w:asciiTheme="minorHAnsi" w:hAnsiTheme="minorHAnsi" w:cstheme="minorHAnsi"/>
          <w:szCs w:val="24"/>
        </w:rPr>
        <w:t xml:space="preserve">40 CFR 721, </w:t>
      </w:r>
      <w:r w:rsidRPr="00371311" w:rsidR="00A753B0">
        <w:rPr>
          <w:rFonts w:asciiTheme="minorHAnsi" w:hAnsiTheme="minorHAnsi" w:cstheme="minorHAnsi"/>
          <w:szCs w:val="24"/>
        </w:rPr>
        <w:t>the confidentiality provision for section 5</w:t>
      </w:r>
    </w:p>
    <w:p w:rsidR="00BC687D" w:rsidRPr="00371311" w:rsidP="00B20FDA" w14:paraId="52397C31" w14:textId="77777777">
      <w:pPr>
        <w:pStyle w:val="ListParagraph"/>
        <w:widowControl w:val="0"/>
        <w:numPr>
          <w:ilvl w:val="0"/>
          <w:numId w:val="28"/>
        </w:numPr>
        <w:autoSpaceDE w:val="0"/>
        <w:autoSpaceDN w:val="0"/>
        <w:adjustRightInd w:val="0"/>
        <w:rPr>
          <w:rFonts w:asciiTheme="minorHAnsi" w:hAnsiTheme="minorHAnsi" w:cstheme="minorHAnsi"/>
          <w:szCs w:val="24"/>
        </w:rPr>
      </w:pPr>
      <w:r w:rsidRPr="00371311">
        <w:rPr>
          <w:rFonts w:asciiTheme="minorHAnsi" w:hAnsiTheme="minorHAnsi" w:cstheme="minorHAnsi"/>
          <w:szCs w:val="24"/>
        </w:rPr>
        <w:t>40 CFR 723.50(l) and 723.250 (f), the confidentiality provision for certain exemption requests under section 5 (low volume exemption and</w:t>
      </w:r>
      <w:r w:rsidRPr="00371311" w:rsidR="00263F84">
        <w:rPr>
          <w:rFonts w:asciiTheme="minorHAnsi" w:hAnsiTheme="minorHAnsi" w:cstheme="minorHAnsi"/>
          <w:szCs w:val="24"/>
        </w:rPr>
        <w:t xml:space="preserve"> </w:t>
      </w:r>
      <w:r w:rsidRPr="00371311">
        <w:rPr>
          <w:rFonts w:asciiTheme="minorHAnsi" w:hAnsiTheme="minorHAnsi" w:cstheme="minorHAnsi"/>
          <w:szCs w:val="24"/>
        </w:rPr>
        <w:t xml:space="preserve">low releases and low exposures exemption); </w:t>
      </w:r>
    </w:p>
    <w:p w:rsidR="000173B9" w:rsidRPr="00371311" w:rsidP="00B20FDA" w14:paraId="7079D89E" w14:textId="5CD70C2E">
      <w:pPr>
        <w:pStyle w:val="ListParagraph"/>
        <w:widowControl w:val="0"/>
        <w:numPr>
          <w:ilvl w:val="0"/>
          <w:numId w:val="28"/>
        </w:numPr>
        <w:autoSpaceDE w:val="0"/>
        <w:autoSpaceDN w:val="0"/>
        <w:adjustRightInd w:val="0"/>
        <w:rPr>
          <w:rFonts w:asciiTheme="minorHAnsi" w:hAnsiTheme="minorHAnsi" w:cstheme="minorHAnsi"/>
          <w:szCs w:val="24"/>
        </w:rPr>
      </w:pPr>
      <w:r w:rsidRPr="00371311">
        <w:rPr>
          <w:rFonts w:asciiTheme="minorHAnsi" w:hAnsiTheme="minorHAnsi" w:cstheme="minorHAnsi"/>
          <w:szCs w:val="24"/>
        </w:rPr>
        <w:t xml:space="preserve">40 CFR 770 the confidentiality provisions for reporting formaldehyde emissions; and </w:t>
      </w:r>
    </w:p>
    <w:p w:rsidR="000173B9" w:rsidP="00B20FDA" w14:paraId="0D781E09" w14:textId="2B466332">
      <w:pPr>
        <w:pStyle w:val="ListParagraph"/>
        <w:widowControl w:val="0"/>
        <w:numPr>
          <w:ilvl w:val="0"/>
          <w:numId w:val="28"/>
        </w:numPr>
        <w:autoSpaceDE w:val="0"/>
        <w:autoSpaceDN w:val="0"/>
        <w:adjustRightInd w:val="0"/>
        <w:rPr>
          <w:rFonts w:asciiTheme="minorHAnsi" w:hAnsiTheme="minorHAnsi" w:cstheme="minorHAnsi"/>
          <w:szCs w:val="24"/>
        </w:rPr>
      </w:pPr>
      <w:r w:rsidRPr="00371311">
        <w:rPr>
          <w:rFonts w:asciiTheme="minorHAnsi" w:hAnsiTheme="minorHAnsi" w:cstheme="minorHAnsi"/>
          <w:szCs w:val="24"/>
        </w:rPr>
        <w:t>40 CFR 790, the confidentiality provision of rules concerning section 4 test rules, orders, and agreements.</w:t>
      </w:r>
    </w:p>
    <w:p w:rsidR="00A456CD" w:rsidRPr="00371311" w:rsidP="00A456CD" w14:paraId="75871325" w14:textId="77777777">
      <w:pPr>
        <w:pStyle w:val="ListParagraph"/>
        <w:widowControl w:val="0"/>
        <w:autoSpaceDE w:val="0"/>
        <w:autoSpaceDN w:val="0"/>
        <w:adjustRightInd w:val="0"/>
        <w:spacing w:after="0" w:line="240" w:lineRule="auto"/>
        <w:rPr>
          <w:rFonts w:asciiTheme="minorHAnsi" w:hAnsiTheme="minorHAnsi" w:cstheme="minorHAnsi"/>
          <w:szCs w:val="24"/>
        </w:rPr>
      </w:pPr>
    </w:p>
    <w:p w:rsidR="00983407" w:rsidRPr="00371311" w:rsidP="00B20FDA" w14:paraId="58D2C90D" w14:textId="276DE828">
      <w:pPr>
        <w:pStyle w:val="Heading2"/>
        <w:spacing w:line="276" w:lineRule="auto"/>
        <w:ind w:left="360"/>
        <w:rPr>
          <w:rFonts w:asciiTheme="minorHAnsi" w:hAnsiTheme="minorHAnsi" w:cstheme="minorHAnsi"/>
          <w:szCs w:val="24"/>
        </w:rPr>
      </w:pPr>
      <w:r w:rsidRPr="00371311">
        <w:rPr>
          <w:rFonts w:asciiTheme="minorHAnsi" w:hAnsiTheme="minorHAnsi" w:cstheme="minorHAnsi"/>
          <w:szCs w:val="24"/>
        </w:rPr>
        <w:t>Practical Utility/Users of the Data</w:t>
      </w:r>
      <w:r w:rsidRPr="00371311" w:rsidR="00245CCC">
        <w:rPr>
          <w:rFonts w:asciiTheme="minorHAnsi" w:hAnsiTheme="minorHAnsi" w:cstheme="minorHAnsi"/>
          <w:szCs w:val="24"/>
        </w:rPr>
        <w:t>:</w:t>
      </w:r>
    </w:p>
    <w:p w:rsidR="000D5E31" w:rsidRPr="00740161" w:rsidP="00436458" w14:paraId="36FA8BB3" w14:textId="3CDBD6F8">
      <w:pPr>
        <w:pStyle w:val="Heading2"/>
        <w:numPr>
          <w:ilvl w:val="0"/>
          <w:numId w:val="0"/>
        </w:numPr>
        <w:pBdr>
          <w:bottom w:val="single" w:sz="4" w:space="1" w:color="auto"/>
        </w:pBdr>
        <w:spacing w:line="276" w:lineRule="auto"/>
        <w:rPr>
          <w:rFonts w:asciiTheme="minorHAnsi" w:hAnsiTheme="minorHAnsi" w:cstheme="minorHAnsi"/>
          <w:b w:val="0"/>
          <w:bCs w:val="0"/>
          <w:i/>
          <w:iCs/>
          <w:szCs w:val="24"/>
        </w:rPr>
      </w:pPr>
      <w:r w:rsidRPr="00740161">
        <w:rPr>
          <w:rFonts w:asciiTheme="minorHAnsi" w:hAnsiTheme="minorHAnsi" w:cstheme="minorHAnsi"/>
          <w:b w:val="0"/>
          <w:bCs w:val="0"/>
          <w:i/>
          <w:iCs/>
          <w:szCs w:val="24"/>
        </w:rPr>
        <w:t>Indicate how, by whom, and for what purpose the information is to be used.  Except for a new collection, indicate the actual use the Agency has made of the information received from the current collection</w:t>
      </w:r>
      <w:bookmarkEnd w:id="5"/>
      <w:r w:rsidRPr="00740161" w:rsidR="00945215">
        <w:rPr>
          <w:rFonts w:asciiTheme="minorHAnsi" w:hAnsiTheme="minorHAnsi" w:cstheme="minorHAnsi"/>
          <w:b w:val="0"/>
          <w:bCs w:val="0"/>
          <w:i/>
          <w:iCs/>
          <w:szCs w:val="24"/>
        </w:rPr>
        <w:t xml:space="preserve">. </w:t>
      </w:r>
    </w:p>
    <w:p w:rsidR="00945215" w:rsidP="00B20FDA" w14:paraId="4B984BDA" w14:textId="592A5851">
      <w:pPr>
        <w:rPr>
          <w:rFonts w:asciiTheme="minorHAnsi" w:hAnsiTheme="minorHAnsi" w:cstheme="minorHAnsi"/>
          <w:szCs w:val="24"/>
        </w:rPr>
      </w:pPr>
      <w:r w:rsidRPr="00371311">
        <w:rPr>
          <w:rFonts w:asciiTheme="minorHAnsi" w:hAnsiTheme="minorHAnsi" w:cstheme="minorHAnsi"/>
          <w:szCs w:val="24"/>
        </w:rPr>
        <w:t xml:space="preserve">The requirements of </w:t>
      </w:r>
      <w:r w:rsidR="00371311">
        <w:rPr>
          <w:rFonts w:asciiTheme="minorHAnsi" w:hAnsiTheme="minorHAnsi" w:cstheme="minorHAnsi"/>
          <w:szCs w:val="24"/>
        </w:rPr>
        <w:t xml:space="preserve">TSCA </w:t>
      </w:r>
      <w:r w:rsidRPr="00371311">
        <w:rPr>
          <w:rFonts w:asciiTheme="minorHAnsi" w:hAnsiTheme="minorHAnsi" w:cstheme="minorHAnsi"/>
          <w:szCs w:val="24"/>
        </w:rPr>
        <w:t xml:space="preserve">section 14 and implementing rule at 40 CFR 703 </w:t>
      </w:r>
      <w:r w:rsidRPr="00371311" w:rsidR="0063003D">
        <w:rPr>
          <w:rFonts w:asciiTheme="minorHAnsi" w:hAnsiTheme="minorHAnsi" w:cstheme="minorHAnsi"/>
          <w:szCs w:val="24"/>
        </w:rPr>
        <w:t>appl</w:t>
      </w:r>
      <w:r w:rsidRPr="00371311" w:rsidR="008856BB">
        <w:rPr>
          <w:rFonts w:asciiTheme="minorHAnsi" w:hAnsiTheme="minorHAnsi" w:cstheme="minorHAnsi"/>
          <w:szCs w:val="24"/>
        </w:rPr>
        <w:t>y</w:t>
      </w:r>
      <w:r w:rsidRPr="00371311" w:rsidR="0063003D">
        <w:rPr>
          <w:rFonts w:asciiTheme="minorHAnsi" w:hAnsiTheme="minorHAnsi" w:cstheme="minorHAnsi"/>
          <w:szCs w:val="24"/>
        </w:rPr>
        <w:t xml:space="preserve"> </w:t>
      </w:r>
      <w:r w:rsidRPr="00371311" w:rsidR="006016D3">
        <w:rPr>
          <w:rFonts w:asciiTheme="minorHAnsi" w:hAnsiTheme="minorHAnsi" w:cstheme="minorHAnsi"/>
          <w:szCs w:val="24"/>
        </w:rPr>
        <w:t>broadly to any information that is reported to, or otherwise obtained by, the Agency under TSCA. This includes, for example, information that is submitted pursuant to a requirement of TSCA or its implementing regulations (e.g., a section 5 Premanufacture Notificatio</w:t>
      </w:r>
      <w:r w:rsidRPr="00371311" w:rsidR="002F4E42">
        <w:rPr>
          <w:rFonts w:asciiTheme="minorHAnsi" w:hAnsiTheme="minorHAnsi" w:cstheme="minorHAnsi"/>
          <w:szCs w:val="24"/>
        </w:rPr>
        <w:t>n</w:t>
      </w:r>
      <w:r w:rsidRPr="00371311" w:rsidR="006016D3">
        <w:rPr>
          <w:rFonts w:asciiTheme="minorHAnsi" w:hAnsiTheme="minorHAnsi" w:cstheme="minorHAnsi"/>
          <w:szCs w:val="24"/>
        </w:rPr>
        <w:t xml:space="preserve"> (PMN) or a section 8(e) notice of substantial risk), information that is collected in the course of a TSCA inspection or other TSCA enforcement-related activity, materials that are subpoenaed pursuant to TSCA, and any other information submitted to or obtained by EPA that is used to satisfy a TSCA obligation, or used by EPA to carry out its responsibilities under TSCA.</w:t>
      </w:r>
      <w:r w:rsidRPr="00371311">
        <w:rPr>
          <w:rFonts w:asciiTheme="minorHAnsi" w:hAnsiTheme="minorHAnsi" w:cstheme="minorHAnsi"/>
          <w:szCs w:val="24"/>
        </w:rPr>
        <w:t xml:space="preserve"> CBI claims that expire after 10 years, but may be renewed by request, are discussed in TSCA section 14(e), and exclude information types exempt from substantiation requirements at the time of initial submission, as listed in section 14(c)(2).</w:t>
      </w:r>
    </w:p>
    <w:p w:rsidR="00A456CD" w:rsidRPr="00371311" w:rsidP="00A456CD" w14:paraId="261D9AFF" w14:textId="77777777">
      <w:pPr>
        <w:spacing w:after="0" w:line="240" w:lineRule="auto"/>
        <w:rPr>
          <w:rFonts w:asciiTheme="minorHAnsi" w:hAnsiTheme="minorHAnsi" w:cstheme="minorHAnsi"/>
          <w:szCs w:val="24"/>
        </w:rPr>
      </w:pPr>
    </w:p>
    <w:p w:rsidR="00983407" w:rsidRPr="00371311" w:rsidP="00B20FDA" w14:paraId="369ECBA8" w14:textId="38833BCC">
      <w:pPr>
        <w:pStyle w:val="Heading2"/>
        <w:spacing w:line="276" w:lineRule="auto"/>
        <w:ind w:left="360"/>
        <w:rPr>
          <w:rFonts w:asciiTheme="minorHAnsi" w:hAnsiTheme="minorHAnsi" w:cstheme="minorHAnsi"/>
          <w:szCs w:val="24"/>
        </w:rPr>
      </w:pPr>
      <w:r w:rsidRPr="00371311">
        <w:rPr>
          <w:rFonts w:asciiTheme="minorHAnsi" w:hAnsiTheme="minorHAnsi" w:cstheme="minorHAnsi"/>
          <w:szCs w:val="24"/>
        </w:rPr>
        <w:t>Use of Technology</w:t>
      </w:r>
      <w:r w:rsidRPr="00371311" w:rsidR="00245CCC">
        <w:rPr>
          <w:rFonts w:asciiTheme="minorHAnsi" w:hAnsiTheme="minorHAnsi" w:cstheme="minorHAnsi"/>
          <w:szCs w:val="24"/>
        </w:rPr>
        <w:t>:</w:t>
      </w:r>
      <w:r w:rsidRPr="00371311">
        <w:rPr>
          <w:rFonts w:asciiTheme="minorHAnsi" w:hAnsiTheme="minorHAnsi" w:cstheme="minorHAnsi"/>
          <w:szCs w:val="24"/>
        </w:rPr>
        <w:t xml:space="preserve"> </w:t>
      </w:r>
    </w:p>
    <w:p w:rsidR="00371311" w:rsidRPr="00740161" w:rsidP="00436458" w14:paraId="58A195C7" w14:textId="77777777">
      <w:pPr>
        <w:pStyle w:val="Heading2"/>
        <w:numPr>
          <w:ilvl w:val="0"/>
          <w:numId w:val="0"/>
        </w:numPr>
        <w:pBdr>
          <w:bottom w:val="single" w:sz="4" w:space="1" w:color="auto"/>
        </w:pBdr>
        <w:spacing w:line="276" w:lineRule="auto"/>
        <w:rPr>
          <w:rFonts w:asciiTheme="minorHAnsi" w:hAnsiTheme="minorHAnsi" w:cstheme="minorHAnsi"/>
          <w:b w:val="0"/>
          <w:bCs w:val="0"/>
          <w:i/>
          <w:iCs/>
          <w:szCs w:val="24"/>
        </w:rPr>
      </w:pPr>
      <w:r w:rsidRPr="00740161">
        <w:rPr>
          <w:rFonts w:asciiTheme="minorHAnsi" w:hAnsiTheme="minorHAnsi" w:cstheme="minorHAnsi"/>
          <w:b w:val="0"/>
          <w:bCs w:val="0"/>
          <w:i/>
          <w:iCs/>
          <w:szCs w:val="24"/>
        </w:rPr>
        <w:t>Describe whether, and to what extent, the collection of information involves the use of automated, electronic, mechanical, or other technological collection techniques or other forms of information technology, e.g., permitting electronic submission of responses</w:t>
      </w:r>
      <w:r w:rsidRPr="00740161" w:rsidR="00103B2E">
        <w:rPr>
          <w:rFonts w:asciiTheme="minorHAnsi" w:hAnsiTheme="minorHAnsi" w:cstheme="minorHAnsi"/>
          <w:b w:val="0"/>
          <w:bCs w:val="0"/>
          <w:i/>
          <w:iCs/>
          <w:szCs w:val="24"/>
        </w:rPr>
        <w:t>, and the basis for the decision for adopting this means of collection. Also describe any consideration of using information technology to reduce burden.</w:t>
      </w:r>
    </w:p>
    <w:p w:rsidR="00BC687D" w:rsidRPr="00371311" w:rsidP="00B20FDA" w14:paraId="3C99F711" w14:textId="2DD98063">
      <w:pPr>
        <w:rPr>
          <w:rFonts w:ascii="Calibri" w:hAnsi="Calibri" w:cs="Calibri"/>
        </w:rPr>
      </w:pPr>
      <w:r w:rsidRPr="00371311">
        <w:rPr>
          <w:rFonts w:ascii="Calibri" w:hAnsi="Calibri" w:cs="Calibri"/>
        </w:rPr>
        <w:t xml:space="preserve">40 CFR 703 </w:t>
      </w:r>
      <w:r w:rsidRPr="00371311" w:rsidR="00263F84">
        <w:rPr>
          <w:rFonts w:ascii="Calibri" w:hAnsi="Calibri" w:cs="Calibri"/>
        </w:rPr>
        <w:t>requir</w:t>
      </w:r>
      <w:r w:rsidRPr="00371311" w:rsidR="008817D2">
        <w:rPr>
          <w:rFonts w:ascii="Calibri" w:hAnsi="Calibri" w:cs="Calibri"/>
        </w:rPr>
        <w:t>es</w:t>
      </w:r>
      <w:r w:rsidRPr="00371311" w:rsidR="006016D3">
        <w:rPr>
          <w:rFonts w:ascii="Calibri" w:hAnsi="Calibri" w:cs="Calibri"/>
        </w:rPr>
        <w:t xml:space="preserve"> electronic reporting </w:t>
      </w:r>
      <w:r w:rsidRPr="00371311">
        <w:rPr>
          <w:rFonts w:ascii="Calibri" w:hAnsi="Calibri" w:cs="Calibri"/>
        </w:rPr>
        <w:t xml:space="preserve">of CBI </w:t>
      </w:r>
      <w:r w:rsidRPr="00371311" w:rsidR="006016D3">
        <w:rPr>
          <w:rFonts w:ascii="Calibri" w:hAnsi="Calibri" w:cs="Calibri"/>
        </w:rPr>
        <w:t xml:space="preserve">claims </w:t>
      </w:r>
      <w:r w:rsidRPr="00371311">
        <w:rPr>
          <w:rFonts w:ascii="Calibri" w:hAnsi="Calibri" w:cs="Calibri"/>
        </w:rPr>
        <w:t xml:space="preserve">and substantiation for all TSCA submissions that include CBI claims, with a few narrow exceptions where electronic reporting may not be practicable. The rule requires that requests to extend CBI treatment for expiring CBI claims must be submitted using the appropriate electronic reporting tool available in EPA’s </w:t>
      </w:r>
      <w:r w:rsidRPr="00371311" w:rsidR="00371311">
        <w:rPr>
          <w:rFonts w:asciiTheme="minorHAnsi" w:hAnsiTheme="minorHAnsi" w:cstheme="minorHAnsi"/>
          <w:color w:val="000000"/>
          <w:szCs w:val="24"/>
          <w:lang w:val="en"/>
        </w:rPr>
        <w:t>Chemical Information Submission System</w:t>
      </w:r>
      <w:r w:rsidRPr="00371311" w:rsidR="00371311">
        <w:rPr>
          <w:rFonts w:ascii="Calibri" w:hAnsi="Calibri" w:cs="Calibri"/>
        </w:rPr>
        <w:t xml:space="preserve"> </w:t>
      </w:r>
      <w:r w:rsidR="00371311">
        <w:rPr>
          <w:rFonts w:ascii="Calibri" w:hAnsi="Calibri" w:cs="Calibri"/>
        </w:rPr>
        <w:t>(</w:t>
      </w:r>
      <w:r w:rsidRPr="00371311">
        <w:rPr>
          <w:rFonts w:ascii="Calibri" w:hAnsi="Calibri" w:cs="Calibri"/>
        </w:rPr>
        <w:t>CISS</w:t>
      </w:r>
      <w:r w:rsidR="00371311">
        <w:rPr>
          <w:rFonts w:ascii="Calibri" w:hAnsi="Calibri" w:cs="Calibri"/>
        </w:rPr>
        <w:t>)</w:t>
      </w:r>
      <w:r w:rsidRPr="00371311">
        <w:rPr>
          <w:rFonts w:ascii="Calibri" w:hAnsi="Calibri" w:cs="Calibri"/>
        </w:rPr>
        <w:t>.</w:t>
      </w:r>
    </w:p>
    <w:p w:rsidR="002C15B1" w:rsidRPr="00371311" w:rsidP="00B20FDA" w14:paraId="58861E3A" w14:textId="379D3052">
      <w:pPr>
        <w:rPr>
          <w:rFonts w:asciiTheme="minorHAnsi" w:hAnsiTheme="minorHAnsi" w:cstheme="minorHAnsi"/>
          <w:color w:val="000000"/>
          <w:szCs w:val="24"/>
          <w:lang w:val="en"/>
        </w:rPr>
      </w:pPr>
      <w:r w:rsidRPr="00371311">
        <w:rPr>
          <w:rFonts w:asciiTheme="minorHAnsi" w:hAnsiTheme="minorHAnsi" w:cstheme="minorHAnsi"/>
          <w:szCs w:val="24"/>
        </w:rPr>
        <w:t>U</w:t>
      </w:r>
      <w:r w:rsidRPr="00371311" w:rsidR="006016D3">
        <w:rPr>
          <w:rFonts w:asciiTheme="minorHAnsi" w:hAnsiTheme="minorHAnsi" w:cstheme="minorHAnsi"/>
          <w:szCs w:val="24"/>
        </w:rPr>
        <w:t xml:space="preserve">sers prepare and submit their notifications to the Agency electronically using a web-based application. </w:t>
      </w:r>
      <w:r w:rsidRPr="00371311" w:rsidR="006016D3">
        <w:rPr>
          <w:rFonts w:asciiTheme="minorHAnsi" w:hAnsiTheme="minorHAnsi" w:cstheme="minorHAnsi"/>
          <w:color w:val="000000"/>
          <w:szCs w:val="24"/>
          <w:lang w:val="en"/>
        </w:rPr>
        <w:t>To file electronically, submitters must use the EPA provided application.</w:t>
      </w:r>
      <w:r w:rsidRPr="00371311" w:rsidR="001300B1">
        <w:rPr>
          <w:rFonts w:asciiTheme="minorHAnsi" w:hAnsiTheme="minorHAnsi" w:cstheme="minorHAnsi"/>
          <w:color w:val="000000"/>
          <w:szCs w:val="24"/>
          <w:lang w:val="en"/>
        </w:rPr>
        <w:t xml:space="preserve"> </w:t>
      </w:r>
      <w:r w:rsidRPr="00371311">
        <w:rPr>
          <w:rFonts w:asciiTheme="minorHAnsi" w:hAnsiTheme="minorHAnsi" w:cstheme="minorHAnsi"/>
          <w:color w:val="000000"/>
          <w:szCs w:val="24"/>
          <w:lang w:val="en"/>
        </w:rPr>
        <w:t xml:space="preserve">The application also permits the user to assert CBI claims (often with a simple checkbox) and automatically prompts for required substantiation. </w:t>
      </w:r>
      <w:r w:rsidRPr="00371311" w:rsidR="001300B1">
        <w:rPr>
          <w:rFonts w:asciiTheme="minorHAnsi" w:hAnsiTheme="minorHAnsi" w:cstheme="minorHAnsi"/>
          <w:color w:val="000000"/>
          <w:szCs w:val="24"/>
          <w:lang w:val="en"/>
        </w:rPr>
        <w:t>All persons asserting CBI claims under TSCA, including those not previously submitted to EPA in elect</w:t>
      </w:r>
      <w:r w:rsidRPr="00371311" w:rsidR="00F17A59">
        <w:rPr>
          <w:rFonts w:asciiTheme="minorHAnsi" w:hAnsiTheme="minorHAnsi" w:cstheme="minorHAnsi"/>
          <w:color w:val="000000"/>
          <w:szCs w:val="24"/>
          <w:lang w:val="en"/>
        </w:rPr>
        <w:t>ronic form, would be required to use this application.</w:t>
      </w:r>
      <w:r w:rsidRPr="00371311" w:rsidR="006016D3">
        <w:rPr>
          <w:rFonts w:asciiTheme="minorHAnsi" w:hAnsiTheme="minorHAnsi" w:cstheme="minorHAnsi"/>
          <w:color w:val="000000"/>
          <w:szCs w:val="24"/>
          <w:lang w:val="en"/>
        </w:rPr>
        <w:t xml:space="preserve"> To access the application, users must register with EPA’s Central Data Exchange (CDX)</w:t>
      </w:r>
      <w:r w:rsidRPr="00371311">
        <w:rPr>
          <w:rFonts w:asciiTheme="minorHAnsi" w:hAnsiTheme="minorHAnsi" w:cstheme="minorHAnsi"/>
          <w:color w:val="000000"/>
          <w:szCs w:val="24"/>
          <w:lang w:val="en"/>
        </w:rPr>
        <w:t xml:space="preserve"> (unless the user has already registered)</w:t>
      </w:r>
      <w:r w:rsidRPr="00371311" w:rsidR="006016D3">
        <w:rPr>
          <w:rFonts w:asciiTheme="minorHAnsi" w:hAnsiTheme="minorHAnsi" w:cstheme="minorHAnsi"/>
          <w:color w:val="000000"/>
          <w:szCs w:val="24"/>
          <w:lang w:val="en"/>
        </w:rPr>
        <w:t xml:space="preserve">. CDX is the Agency’s portal for submitting information to EPA in a secure manner. When registering, a user will need to ensure they are registering for the Chemical Safety and Pesticide Programs (CSPP) data flow which will provide them access to the CISS where the submissions can be accessed. (Note: Users who have previously registered with CDX are able to add CSPP to their current registration.) This reporting tool is compatible with Windows, Mac, Linux, and UNIX based computers, and uses "Extensible Markup Language" (XML) specifications for efficient data transmission across the Internet. </w:t>
      </w:r>
    </w:p>
    <w:p w:rsidR="003C53C0" w:rsidRPr="00371311" w:rsidP="66874D1C" w14:paraId="2107DEFF" w14:textId="01BBF124">
      <w:pPr>
        <w:rPr>
          <w:rFonts w:asciiTheme="minorHAnsi" w:hAnsiTheme="minorHAnsi"/>
        </w:rPr>
      </w:pPr>
      <w:r w:rsidRPr="66874D1C">
        <w:rPr>
          <w:rFonts w:asciiTheme="minorHAnsi" w:hAnsiTheme="minorHAnsi"/>
        </w:rPr>
        <w:t>Any information being sent via CDX is transmitted using secure technologies to protect CBI. The software encrypts submissions using a Federal Information Processing Standards (FIPS)-compliant encryption module. The encryption module employs a public key algorithm which converts readable text into encrypted text. This public key is downloaded from CDX, and the corresponding private key is sent to EPA. The encryption remains while the submission is transmitted via CDX. The file can be decrypted only with a private key when it has reached its final destination. The N</w:t>
      </w:r>
      <w:r w:rsidR="00C50D8A">
        <w:rPr>
          <w:rFonts w:asciiTheme="minorHAnsi" w:hAnsiTheme="minorHAnsi"/>
        </w:rPr>
        <w:t>ational Cryptographic Standards (N</w:t>
      </w:r>
      <w:r w:rsidRPr="66874D1C">
        <w:rPr>
          <w:rFonts w:asciiTheme="minorHAnsi" w:hAnsiTheme="minorHAnsi"/>
        </w:rPr>
        <w:t>CS</w:t>
      </w:r>
      <w:r w:rsidR="00C50D8A">
        <w:rPr>
          <w:rFonts w:asciiTheme="minorHAnsi" w:hAnsiTheme="minorHAnsi"/>
        </w:rPr>
        <w:t>)</w:t>
      </w:r>
      <w:r w:rsidRPr="66874D1C">
        <w:rPr>
          <w:rFonts w:asciiTheme="minorHAnsi" w:hAnsiTheme="minorHAnsi"/>
        </w:rPr>
        <w:t xml:space="preserve"> is the only party that possesses the private key, which converts the encrypted text back into readable text.</w:t>
      </w:r>
    </w:p>
    <w:p w:rsidR="003C53C0" w:rsidRPr="00371311" w:rsidP="00B20FDA" w14:paraId="7101B63A" w14:textId="19372252">
      <w:pPr>
        <w:rPr>
          <w:rFonts w:asciiTheme="minorHAnsi" w:hAnsiTheme="minorHAnsi" w:cstheme="minorHAnsi"/>
          <w:szCs w:val="24"/>
        </w:rPr>
      </w:pPr>
      <w:r w:rsidRPr="00371311">
        <w:rPr>
          <w:rFonts w:asciiTheme="minorHAnsi" w:hAnsiTheme="minorHAnsi" w:cstheme="minorHAnsi"/>
          <w:szCs w:val="24"/>
        </w:rPr>
        <w:t xml:space="preserve">The same thing will occur for all correspondence going back to the submitter. Software </w:t>
      </w:r>
      <w:r w:rsidRPr="00371311">
        <w:rPr>
          <w:rFonts w:asciiTheme="minorHAnsi" w:hAnsiTheme="minorHAnsi" w:cstheme="minorHAnsi"/>
          <w:szCs w:val="24"/>
        </w:rPr>
        <w:t>are</w:t>
      </w:r>
      <w:r w:rsidRPr="00371311">
        <w:rPr>
          <w:rFonts w:asciiTheme="minorHAnsi" w:hAnsiTheme="minorHAnsi" w:cstheme="minorHAnsi"/>
          <w:szCs w:val="24"/>
        </w:rPr>
        <w:t xml:space="preserve"> also provided with a set of public and private keys, so that correspondence containing any potential confidential business information will remain encrypted during transmission via CDX</w:t>
      </w:r>
      <w:r w:rsidRPr="00371311">
        <w:rPr>
          <w:rFonts w:asciiTheme="minorHAnsi" w:hAnsiTheme="minorHAnsi" w:cstheme="minorHAnsi"/>
          <w:color w:val="FF0000"/>
          <w:szCs w:val="24"/>
        </w:rPr>
        <w:t xml:space="preserve"> </w:t>
      </w:r>
      <w:r w:rsidRPr="00371311">
        <w:rPr>
          <w:rFonts w:asciiTheme="minorHAnsi" w:hAnsiTheme="minorHAnsi" w:cstheme="minorHAnsi"/>
          <w:szCs w:val="24"/>
        </w:rPr>
        <w:t>and can be opened only by the submitter within the software.</w:t>
      </w:r>
      <w:r w:rsidRPr="00371311" w:rsidR="00BC370A">
        <w:rPr>
          <w:rFonts w:asciiTheme="minorHAnsi" w:hAnsiTheme="minorHAnsi" w:cstheme="minorHAnsi"/>
          <w:szCs w:val="24"/>
        </w:rPr>
        <w:t xml:space="preserve"> This rule also enhances communication through CDX. </w:t>
      </w:r>
      <w:r w:rsidRPr="00371311" w:rsidR="00BC370A">
        <w:rPr>
          <w:rStyle w:val="normaltextrun"/>
          <w:rFonts w:asciiTheme="minorHAnsi" w:hAnsiTheme="minorHAnsi" w:cstheme="minorHAnsi"/>
          <w:color w:val="000000"/>
          <w:szCs w:val="24"/>
          <w:shd w:val="clear" w:color="auto" w:fill="FFFFFF"/>
        </w:rPr>
        <w:t xml:space="preserve">EPA can more readily assure that </w:t>
      </w:r>
      <w:r w:rsidRPr="00371311" w:rsidR="00BC370A">
        <w:rPr>
          <w:rStyle w:val="normaltextrun"/>
          <w:rFonts w:asciiTheme="minorHAnsi" w:hAnsiTheme="minorHAnsi" w:cstheme="minorHAnsi"/>
          <w:color w:val="000000"/>
          <w:szCs w:val="24"/>
          <w:shd w:val="clear" w:color="auto" w:fill="FFFFFF"/>
        </w:rPr>
        <w:t>a communication</w:t>
      </w:r>
      <w:r w:rsidRPr="00371311" w:rsidR="00BC370A">
        <w:rPr>
          <w:rStyle w:val="normaltextrun"/>
          <w:rFonts w:asciiTheme="minorHAnsi" w:hAnsiTheme="minorHAnsi" w:cstheme="minorHAnsi"/>
          <w:color w:val="000000"/>
          <w:szCs w:val="24"/>
          <w:shd w:val="clear" w:color="auto" w:fill="FFFFFF"/>
        </w:rPr>
        <w:t xml:space="preserve"> is available to a company or particular submitter by using CDX to communicate, rather than certified mail or a courier.  In CDX, EPA is able to verify that a particular communication is available to the submitter of a particular submission and is able to track the date the communication was sent.  EPA believes that these facts satisfy statutory requirements that certain notifications be sent by means that “allows verification of the fact and date of receipt.”</w:t>
      </w:r>
      <w:r w:rsidRPr="00371311" w:rsidR="0059573C">
        <w:rPr>
          <w:rStyle w:val="normaltextrun"/>
          <w:rFonts w:asciiTheme="minorHAnsi" w:hAnsiTheme="minorHAnsi" w:cstheme="minorHAnsi"/>
          <w:color w:val="000000"/>
          <w:szCs w:val="24"/>
          <w:shd w:val="clear" w:color="auto" w:fill="FFFFFF"/>
        </w:rPr>
        <w:t xml:space="preserve"> </w:t>
      </w:r>
      <w:r w:rsidRPr="00740161" w:rsidR="0059573C">
        <w:rPr>
          <w:rStyle w:val="normaltextrun"/>
          <w:rFonts w:asciiTheme="minorHAnsi" w:hAnsiTheme="minorHAnsi" w:cstheme="minorHAnsi"/>
          <w:color w:val="000000"/>
          <w:szCs w:val="24"/>
          <w:shd w:val="clear" w:color="auto" w:fill="FFFFFF"/>
        </w:rPr>
        <w:t xml:space="preserve">See </w:t>
      </w:r>
      <w:r w:rsidRPr="00740161" w:rsidR="0059573C">
        <w:rPr>
          <w:rStyle w:val="normaltextrun"/>
          <w:rFonts w:asciiTheme="minorHAnsi" w:hAnsiTheme="minorHAnsi" w:cstheme="minorHAnsi"/>
          <w:szCs w:val="24"/>
          <w:shd w:val="clear" w:color="auto" w:fill="FFFFFF"/>
        </w:rPr>
        <w:t xml:space="preserve">Attachment </w:t>
      </w:r>
      <w:r w:rsidR="00740161">
        <w:rPr>
          <w:rStyle w:val="normaltextrun"/>
          <w:rFonts w:asciiTheme="minorHAnsi" w:hAnsiTheme="minorHAnsi" w:cstheme="minorHAnsi"/>
          <w:szCs w:val="24"/>
          <w:shd w:val="clear" w:color="auto" w:fill="FFFFFF"/>
        </w:rPr>
        <w:t>1</w:t>
      </w:r>
      <w:r w:rsidRPr="00371311" w:rsidR="0059573C">
        <w:rPr>
          <w:rStyle w:val="normaltextrun"/>
          <w:rFonts w:asciiTheme="minorHAnsi" w:hAnsiTheme="minorHAnsi" w:cstheme="minorHAnsi"/>
          <w:b/>
          <w:bCs/>
          <w:szCs w:val="24"/>
          <w:shd w:val="clear" w:color="auto" w:fill="FFFFFF"/>
        </w:rPr>
        <w:t xml:space="preserve"> </w:t>
      </w:r>
      <w:r w:rsidRPr="00371311" w:rsidR="0059573C">
        <w:rPr>
          <w:rStyle w:val="normaltextrun"/>
          <w:rFonts w:asciiTheme="minorHAnsi" w:hAnsiTheme="minorHAnsi" w:cstheme="minorHAnsi"/>
          <w:szCs w:val="24"/>
          <w:shd w:val="clear" w:color="auto" w:fill="FFFFFF"/>
        </w:rPr>
        <w:t>for information on submissions through CDX</w:t>
      </w:r>
      <w:r w:rsidRPr="00371311" w:rsidR="0059573C">
        <w:rPr>
          <w:rStyle w:val="normaltextrun"/>
          <w:rFonts w:asciiTheme="minorHAnsi" w:hAnsiTheme="minorHAnsi" w:cstheme="minorHAnsi"/>
          <w:color w:val="000000"/>
          <w:szCs w:val="24"/>
          <w:shd w:val="clear" w:color="auto" w:fill="FFFFFF"/>
        </w:rPr>
        <w:t>.</w:t>
      </w:r>
    </w:p>
    <w:p w:rsidR="0031148B" w:rsidRPr="00371311" w:rsidP="00B20FDA" w14:paraId="4F2192E6" w14:textId="63C5200B">
      <w:pPr>
        <w:pStyle w:val="Heading2"/>
        <w:spacing w:line="276" w:lineRule="auto"/>
        <w:ind w:left="360"/>
        <w:rPr>
          <w:rFonts w:asciiTheme="minorHAnsi" w:hAnsiTheme="minorHAnsi" w:cstheme="minorHAnsi"/>
          <w:szCs w:val="24"/>
        </w:rPr>
      </w:pPr>
      <w:r w:rsidRPr="00371311">
        <w:rPr>
          <w:rFonts w:asciiTheme="minorHAnsi" w:hAnsiTheme="minorHAnsi" w:cstheme="minorHAnsi"/>
          <w:szCs w:val="24"/>
        </w:rPr>
        <w:t>Efforts to Identify Duplication</w:t>
      </w:r>
      <w:r w:rsidRPr="00371311" w:rsidR="00245CCC">
        <w:rPr>
          <w:rFonts w:asciiTheme="minorHAnsi" w:hAnsiTheme="minorHAnsi" w:cstheme="minorHAnsi"/>
          <w:szCs w:val="24"/>
        </w:rPr>
        <w:t>:</w:t>
      </w:r>
    </w:p>
    <w:p w:rsidR="000D5E31" w:rsidRPr="00740161" w:rsidP="00436458" w14:paraId="3222B018" w14:textId="678AB3D3">
      <w:pPr>
        <w:pStyle w:val="Heading2"/>
        <w:numPr>
          <w:ilvl w:val="0"/>
          <w:numId w:val="0"/>
        </w:numPr>
        <w:pBdr>
          <w:bottom w:val="single" w:sz="4" w:space="1" w:color="auto"/>
        </w:pBdr>
        <w:spacing w:line="276" w:lineRule="auto"/>
        <w:rPr>
          <w:rFonts w:asciiTheme="minorHAnsi" w:hAnsiTheme="minorHAnsi" w:cstheme="minorHAnsi"/>
          <w:b w:val="0"/>
          <w:bCs w:val="0"/>
          <w:i/>
          <w:iCs/>
          <w:szCs w:val="24"/>
        </w:rPr>
      </w:pPr>
      <w:r w:rsidRPr="00740161">
        <w:rPr>
          <w:rFonts w:asciiTheme="minorHAnsi" w:hAnsiTheme="minorHAnsi" w:cstheme="minorHAnsi"/>
          <w:b w:val="0"/>
          <w:bCs w:val="0"/>
          <w:i/>
          <w:iCs/>
          <w:szCs w:val="24"/>
        </w:rPr>
        <w:t>Describe efforts to identify duplication.</w:t>
      </w:r>
      <w:r w:rsidRPr="00740161" w:rsidR="0093316B">
        <w:rPr>
          <w:rFonts w:asciiTheme="minorHAnsi" w:hAnsiTheme="minorHAnsi" w:cstheme="minorHAnsi"/>
          <w:b w:val="0"/>
          <w:bCs w:val="0"/>
          <w:i/>
          <w:iCs/>
          <w:szCs w:val="24"/>
        </w:rPr>
        <w:t xml:space="preserve"> Show specifically why any similar information already available cannot be used or modified for use for the purposes described in Item 2 above.</w:t>
      </w:r>
    </w:p>
    <w:p w:rsidR="00945215" w:rsidP="00B20FDA" w14:paraId="16E71C7E" w14:textId="078CF5F0">
      <w:pPr>
        <w:rPr>
          <w:rFonts w:asciiTheme="minorHAnsi" w:hAnsiTheme="minorHAnsi" w:cstheme="minorHAnsi"/>
          <w:szCs w:val="24"/>
        </w:rPr>
      </w:pPr>
      <w:r w:rsidRPr="00371311">
        <w:rPr>
          <w:rFonts w:asciiTheme="minorHAnsi" w:hAnsiTheme="minorHAnsi" w:cstheme="minorHAnsi"/>
          <w:szCs w:val="24"/>
        </w:rPr>
        <w:t>There is no duplication of this mandate or collection activity, and there are no viable alternate sources for the Agency to obtain the information necessary to satisfy the statutory mandate.</w:t>
      </w:r>
    </w:p>
    <w:p w:rsidR="00A456CD" w:rsidRPr="00371311" w:rsidP="00A456CD" w14:paraId="73459476" w14:textId="77777777">
      <w:pPr>
        <w:spacing w:after="0" w:line="240" w:lineRule="auto"/>
        <w:rPr>
          <w:rFonts w:asciiTheme="minorHAnsi" w:hAnsiTheme="minorHAnsi" w:cstheme="minorHAnsi"/>
          <w:szCs w:val="24"/>
          <w:lang w:bidi="en-US"/>
        </w:rPr>
      </w:pPr>
    </w:p>
    <w:p w:rsidR="0031148B" w:rsidRPr="00371311" w:rsidP="00B20FDA" w14:paraId="38EB0585" w14:textId="6899CE81">
      <w:pPr>
        <w:pStyle w:val="Heading2"/>
        <w:spacing w:line="276" w:lineRule="auto"/>
        <w:ind w:left="360"/>
        <w:rPr>
          <w:rFonts w:asciiTheme="minorHAnsi" w:hAnsiTheme="minorHAnsi" w:cstheme="minorHAnsi"/>
          <w:szCs w:val="24"/>
        </w:rPr>
      </w:pPr>
      <w:r w:rsidRPr="00371311">
        <w:rPr>
          <w:rFonts w:asciiTheme="minorHAnsi" w:hAnsiTheme="minorHAnsi" w:cstheme="minorHAnsi"/>
          <w:szCs w:val="24"/>
        </w:rPr>
        <w:t>Minimizing Burden on Small Entities</w:t>
      </w:r>
      <w:r w:rsidRPr="00371311" w:rsidR="00245CCC">
        <w:rPr>
          <w:rFonts w:asciiTheme="minorHAnsi" w:hAnsiTheme="minorHAnsi" w:cstheme="minorHAnsi"/>
          <w:szCs w:val="24"/>
        </w:rPr>
        <w:t>:</w:t>
      </w:r>
      <w:r w:rsidRPr="00371311">
        <w:rPr>
          <w:rFonts w:asciiTheme="minorHAnsi" w:hAnsiTheme="minorHAnsi" w:cstheme="minorHAnsi"/>
          <w:szCs w:val="24"/>
        </w:rPr>
        <w:t xml:space="preserve"> </w:t>
      </w:r>
    </w:p>
    <w:p w:rsidR="000D5E31" w:rsidRPr="00740161" w:rsidP="00436458" w14:paraId="318B9393" w14:textId="677CC6FF">
      <w:pPr>
        <w:pStyle w:val="Heading2"/>
        <w:numPr>
          <w:ilvl w:val="0"/>
          <w:numId w:val="0"/>
        </w:numPr>
        <w:pBdr>
          <w:bottom w:val="single" w:sz="4" w:space="1" w:color="auto"/>
        </w:pBdr>
        <w:spacing w:line="276" w:lineRule="auto"/>
        <w:rPr>
          <w:rFonts w:asciiTheme="minorHAnsi" w:hAnsiTheme="minorHAnsi" w:cstheme="minorHAnsi"/>
          <w:b w:val="0"/>
          <w:bCs w:val="0"/>
          <w:i/>
          <w:iCs/>
          <w:szCs w:val="24"/>
        </w:rPr>
      </w:pPr>
      <w:r w:rsidRPr="00740161">
        <w:rPr>
          <w:rFonts w:asciiTheme="minorHAnsi" w:hAnsiTheme="minorHAnsi" w:cstheme="minorHAnsi"/>
          <w:b w:val="0"/>
          <w:bCs w:val="0"/>
          <w:i/>
          <w:iCs/>
          <w:szCs w:val="24"/>
        </w:rPr>
        <w:t>If the collection of information impacts small businesses or other small entities, describe the methods used to minimize burden.</w:t>
      </w:r>
    </w:p>
    <w:p w:rsidR="00271002" w:rsidP="00B20FDA" w14:paraId="0023163D" w14:textId="59B61D23">
      <w:pPr>
        <w:rPr>
          <w:rFonts w:asciiTheme="minorHAnsi" w:hAnsiTheme="minorHAnsi" w:cstheme="minorHAnsi"/>
          <w:szCs w:val="24"/>
        </w:rPr>
      </w:pPr>
      <w:r w:rsidRPr="00371311">
        <w:rPr>
          <w:rFonts w:asciiTheme="minorHAnsi" w:hAnsiTheme="minorHAnsi" w:cstheme="minorHAnsi"/>
          <w:szCs w:val="24"/>
          <w:lang w:bidi="en-US"/>
        </w:rPr>
        <w:t xml:space="preserve">This rule does not exempt small businesses. </w:t>
      </w:r>
      <w:r w:rsidRPr="00371311" w:rsidR="00C500DC">
        <w:rPr>
          <w:rFonts w:eastAsia="Times New Roman" w:asciiTheme="minorHAnsi" w:hAnsiTheme="minorHAnsi" w:cstheme="minorHAnsi"/>
          <w:spacing w:val="-1"/>
          <w:szCs w:val="24"/>
        </w:rPr>
        <w:t xml:space="preserve">The </w:t>
      </w:r>
      <w:r w:rsidRPr="00371311" w:rsidR="00C500DC">
        <w:rPr>
          <w:rFonts w:eastAsia="Times New Roman" w:asciiTheme="minorHAnsi" w:hAnsiTheme="minorHAnsi" w:cstheme="minorHAnsi"/>
          <w:szCs w:val="24"/>
        </w:rPr>
        <w:t>reporting and recordkeeping requirements associated with TSCA section 14 are</w:t>
      </w:r>
      <w:r w:rsidRPr="00371311" w:rsidR="00C500DC">
        <w:rPr>
          <w:rFonts w:eastAsia="Times New Roman" w:asciiTheme="minorHAnsi" w:hAnsiTheme="minorHAnsi" w:cstheme="minorHAnsi"/>
          <w:spacing w:val="21"/>
          <w:szCs w:val="24"/>
        </w:rPr>
        <w:t xml:space="preserve"> </w:t>
      </w:r>
      <w:r w:rsidRPr="00371311" w:rsidR="00C500DC">
        <w:rPr>
          <w:rFonts w:eastAsia="Times New Roman" w:asciiTheme="minorHAnsi" w:hAnsiTheme="minorHAnsi" w:cstheme="minorHAnsi"/>
          <w:szCs w:val="24"/>
        </w:rPr>
        <w:t xml:space="preserve">applicable to all affected entities, regardless of size of </w:t>
      </w:r>
      <w:r w:rsidRPr="00371311" w:rsidR="00C500DC">
        <w:rPr>
          <w:rFonts w:eastAsia="Times New Roman" w:asciiTheme="minorHAnsi" w:hAnsiTheme="minorHAnsi" w:cstheme="minorHAnsi"/>
          <w:spacing w:val="-1"/>
          <w:szCs w:val="24"/>
        </w:rPr>
        <w:t>business.</w:t>
      </w:r>
      <w:r w:rsidRPr="00371311">
        <w:rPr>
          <w:rFonts w:asciiTheme="minorHAnsi" w:hAnsiTheme="minorHAnsi" w:cstheme="minorHAnsi"/>
          <w:szCs w:val="24"/>
        </w:rPr>
        <w:t xml:space="preserve"> </w:t>
      </w:r>
    </w:p>
    <w:p w:rsidR="00A456CD" w:rsidRPr="00371311" w:rsidP="00A456CD" w14:paraId="1D71144B" w14:textId="77777777">
      <w:pPr>
        <w:spacing w:after="0" w:line="240" w:lineRule="auto"/>
        <w:rPr>
          <w:rFonts w:asciiTheme="minorHAnsi" w:hAnsiTheme="minorHAnsi" w:cstheme="minorHAnsi"/>
          <w:szCs w:val="24"/>
        </w:rPr>
      </w:pPr>
    </w:p>
    <w:p w:rsidR="0031148B" w:rsidRPr="00371311" w:rsidP="00B20FDA" w14:paraId="14D8D9A5" w14:textId="1F9AE9B4">
      <w:pPr>
        <w:pStyle w:val="Heading2"/>
        <w:spacing w:line="276" w:lineRule="auto"/>
        <w:ind w:left="360"/>
        <w:rPr>
          <w:rFonts w:asciiTheme="minorHAnsi" w:hAnsiTheme="minorHAnsi" w:cstheme="minorHAnsi"/>
          <w:szCs w:val="24"/>
        </w:rPr>
      </w:pPr>
      <w:r w:rsidRPr="00371311">
        <w:rPr>
          <w:rFonts w:asciiTheme="minorHAnsi" w:hAnsiTheme="minorHAnsi" w:cstheme="minorHAnsi"/>
          <w:szCs w:val="24"/>
        </w:rPr>
        <w:t>Effects of Less Frequent Collection</w:t>
      </w:r>
      <w:r w:rsidRPr="00371311" w:rsidR="00245CCC">
        <w:rPr>
          <w:rFonts w:asciiTheme="minorHAnsi" w:hAnsiTheme="minorHAnsi" w:cstheme="minorHAnsi"/>
          <w:szCs w:val="24"/>
        </w:rPr>
        <w:t>:</w:t>
      </w:r>
      <w:r w:rsidRPr="00371311">
        <w:rPr>
          <w:rFonts w:asciiTheme="minorHAnsi" w:hAnsiTheme="minorHAnsi" w:cstheme="minorHAnsi"/>
          <w:szCs w:val="24"/>
        </w:rPr>
        <w:t xml:space="preserve"> </w:t>
      </w:r>
    </w:p>
    <w:p w:rsidR="00897D7E" w:rsidRPr="00740161" w:rsidP="00436458" w14:paraId="5F088A3E" w14:textId="6C1C4D92">
      <w:pPr>
        <w:pStyle w:val="Heading2"/>
        <w:numPr>
          <w:ilvl w:val="0"/>
          <w:numId w:val="0"/>
        </w:numPr>
        <w:pBdr>
          <w:bottom w:val="single" w:sz="4" w:space="1" w:color="auto"/>
        </w:pBdr>
        <w:spacing w:line="276" w:lineRule="auto"/>
        <w:rPr>
          <w:rFonts w:asciiTheme="minorHAnsi" w:hAnsiTheme="minorHAnsi" w:cstheme="minorHAnsi"/>
          <w:b w:val="0"/>
          <w:bCs w:val="0"/>
          <w:i/>
          <w:iCs/>
          <w:szCs w:val="24"/>
        </w:rPr>
      </w:pPr>
      <w:r w:rsidRPr="00740161">
        <w:rPr>
          <w:rFonts w:asciiTheme="minorHAnsi" w:hAnsiTheme="minorHAnsi" w:cstheme="minorHAnsi"/>
          <w:b w:val="0"/>
          <w:bCs w:val="0"/>
          <w:i/>
          <w:iCs/>
          <w:szCs w:val="24"/>
        </w:rPr>
        <w:t xml:space="preserve">Describe the consequence </w:t>
      </w:r>
      <w:r w:rsidRPr="00740161">
        <w:rPr>
          <w:rFonts w:asciiTheme="minorHAnsi" w:hAnsiTheme="minorHAnsi" w:cstheme="minorHAnsi"/>
          <w:b w:val="0"/>
          <w:bCs w:val="0"/>
          <w:i/>
          <w:iCs/>
          <w:szCs w:val="24"/>
        </w:rPr>
        <w:t>to</w:t>
      </w:r>
      <w:r w:rsidRPr="00740161">
        <w:rPr>
          <w:rFonts w:asciiTheme="minorHAnsi" w:hAnsiTheme="minorHAnsi" w:cstheme="minorHAnsi"/>
          <w:b w:val="0"/>
          <w:bCs w:val="0"/>
          <w:i/>
          <w:iCs/>
          <w:szCs w:val="24"/>
        </w:rPr>
        <w:t xml:space="preserve"> Federal program or policy activities if the collection is not conducted or is conducted less frequently, as well as any technical or legal obstacles to reducing burden.</w:t>
      </w:r>
    </w:p>
    <w:p w:rsidR="00FF794A" w:rsidRPr="00371311" w:rsidP="00B20FDA" w14:paraId="79E8407B" w14:textId="12851965">
      <w:pPr>
        <w:numPr>
          <w:ilvl w:val="12"/>
          <w:numId w:val="0"/>
        </w:numPr>
        <w:rPr>
          <w:rFonts w:asciiTheme="minorHAnsi" w:hAnsiTheme="minorHAnsi" w:cstheme="minorHAnsi"/>
          <w:szCs w:val="24"/>
        </w:rPr>
      </w:pPr>
      <w:r w:rsidRPr="00371311">
        <w:rPr>
          <w:rFonts w:asciiTheme="minorHAnsi" w:hAnsiTheme="minorHAnsi" w:cstheme="minorHAnsi"/>
          <w:szCs w:val="24"/>
        </w:rPr>
        <w:t xml:space="preserve">The collection methodology is event-based, i.e., </w:t>
      </w:r>
      <w:r w:rsidRPr="00371311" w:rsidR="622E012B">
        <w:rPr>
          <w:rFonts w:asciiTheme="minorHAnsi" w:hAnsiTheme="minorHAnsi" w:cstheme="minorHAnsi"/>
          <w:szCs w:val="24"/>
        </w:rPr>
        <w:t xml:space="preserve">it is </w:t>
      </w:r>
      <w:r w:rsidRPr="00371311">
        <w:rPr>
          <w:rFonts w:asciiTheme="minorHAnsi" w:hAnsiTheme="minorHAnsi" w:cstheme="minorHAnsi"/>
          <w:szCs w:val="24"/>
        </w:rPr>
        <w:t>the submitter’s decision to claim information as confidential</w:t>
      </w:r>
      <w:r w:rsidRPr="00371311" w:rsidR="622E012B">
        <w:rPr>
          <w:rFonts w:asciiTheme="minorHAnsi" w:hAnsiTheme="minorHAnsi" w:cstheme="minorHAnsi"/>
          <w:szCs w:val="24"/>
        </w:rPr>
        <w:t xml:space="preserve"> under section</w:t>
      </w:r>
      <w:r w:rsidRPr="00371311" w:rsidR="504A6595">
        <w:rPr>
          <w:rFonts w:asciiTheme="minorHAnsi" w:hAnsiTheme="minorHAnsi" w:cstheme="minorHAnsi"/>
          <w:szCs w:val="24"/>
        </w:rPr>
        <w:t xml:space="preserve"> 14</w:t>
      </w:r>
      <w:r w:rsidRPr="00371311" w:rsidR="019FB251">
        <w:rPr>
          <w:rFonts w:asciiTheme="minorHAnsi" w:hAnsiTheme="minorHAnsi" w:cstheme="minorHAnsi"/>
          <w:szCs w:val="24"/>
        </w:rPr>
        <w:t xml:space="preserve"> of TSCA</w:t>
      </w:r>
      <w:r w:rsidRPr="00371311" w:rsidR="00924DB1">
        <w:rPr>
          <w:rFonts w:asciiTheme="minorHAnsi" w:hAnsiTheme="minorHAnsi" w:cstheme="minorHAnsi"/>
          <w:szCs w:val="24"/>
        </w:rPr>
        <w:t>, or to request an extension of an expiring CBI claim</w:t>
      </w:r>
      <w:r w:rsidRPr="00371311">
        <w:rPr>
          <w:rFonts w:asciiTheme="minorHAnsi" w:hAnsiTheme="minorHAnsi" w:cstheme="minorHAnsi"/>
          <w:szCs w:val="24"/>
        </w:rPr>
        <w:t xml:space="preserve">. </w:t>
      </w:r>
    </w:p>
    <w:p w:rsidR="001B35E7" w:rsidP="00B20FDA" w14:paraId="3892FE41" w14:textId="2CA1962E">
      <w:pPr>
        <w:numPr>
          <w:ilvl w:val="12"/>
          <w:numId w:val="0"/>
        </w:numPr>
        <w:rPr>
          <w:rFonts w:asciiTheme="minorHAnsi" w:hAnsiTheme="minorHAnsi" w:cstheme="minorHAnsi"/>
          <w:szCs w:val="24"/>
        </w:rPr>
      </w:pPr>
      <w:r w:rsidRPr="00371311">
        <w:rPr>
          <w:rFonts w:asciiTheme="minorHAnsi" w:hAnsiTheme="minorHAnsi" w:cstheme="minorHAnsi"/>
          <w:szCs w:val="24"/>
        </w:rPr>
        <w:t>If the collection of information was conducted less frequently, the statutory requirements would not be met.</w:t>
      </w:r>
      <w:r w:rsidRPr="00371311" w:rsidR="78CE4229">
        <w:rPr>
          <w:rFonts w:asciiTheme="minorHAnsi" w:hAnsiTheme="minorHAnsi" w:cstheme="minorHAnsi"/>
          <w:szCs w:val="24"/>
        </w:rPr>
        <w:t xml:space="preserve"> </w:t>
      </w:r>
    </w:p>
    <w:p w:rsidR="00A456CD" w:rsidRPr="00371311" w:rsidP="00A456CD" w14:paraId="7670BA03" w14:textId="77777777">
      <w:pPr>
        <w:numPr>
          <w:ilvl w:val="12"/>
          <w:numId w:val="0"/>
        </w:numPr>
        <w:spacing w:after="0" w:line="240" w:lineRule="auto"/>
        <w:rPr>
          <w:rFonts w:asciiTheme="minorHAnsi" w:hAnsiTheme="minorHAnsi" w:cstheme="minorHAnsi"/>
          <w:szCs w:val="24"/>
        </w:rPr>
      </w:pPr>
    </w:p>
    <w:p w:rsidR="0031148B" w:rsidRPr="00371311" w:rsidP="00B20FDA" w14:paraId="6CF77BED" w14:textId="204F2F05">
      <w:pPr>
        <w:pStyle w:val="Heading2"/>
        <w:spacing w:line="276" w:lineRule="auto"/>
        <w:ind w:left="360"/>
        <w:rPr>
          <w:rFonts w:asciiTheme="minorHAnsi" w:hAnsiTheme="minorHAnsi" w:cstheme="minorHAnsi"/>
          <w:szCs w:val="24"/>
        </w:rPr>
      </w:pPr>
      <w:r w:rsidRPr="00371311">
        <w:rPr>
          <w:rFonts w:asciiTheme="minorHAnsi" w:hAnsiTheme="minorHAnsi" w:cstheme="minorHAnsi"/>
          <w:szCs w:val="24"/>
        </w:rPr>
        <w:t>General Guidelines</w:t>
      </w:r>
      <w:r w:rsidRPr="00371311" w:rsidR="00245CCC">
        <w:rPr>
          <w:rFonts w:asciiTheme="minorHAnsi" w:hAnsiTheme="minorHAnsi" w:cstheme="minorHAnsi"/>
          <w:szCs w:val="24"/>
        </w:rPr>
        <w:t>:</w:t>
      </w:r>
    </w:p>
    <w:p w:rsidR="0093316B" w:rsidRPr="00740161" w:rsidP="00436458" w14:paraId="6B8F0DD0" w14:textId="08F52278">
      <w:pPr>
        <w:pStyle w:val="Heading2"/>
        <w:numPr>
          <w:ilvl w:val="0"/>
          <w:numId w:val="0"/>
        </w:numPr>
        <w:pBdr>
          <w:bottom w:val="single" w:sz="4" w:space="1" w:color="auto"/>
        </w:pBdr>
        <w:spacing w:line="276" w:lineRule="auto"/>
        <w:rPr>
          <w:rFonts w:asciiTheme="minorHAnsi" w:hAnsiTheme="minorHAnsi" w:cstheme="minorHAnsi"/>
          <w:b w:val="0"/>
          <w:bCs w:val="0"/>
          <w:i/>
          <w:iCs/>
          <w:szCs w:val="24"/>
        </w:rPr>
      </w:pPr>
      <w:r w:rsidRPr="00740161">
        <w:rPr>
          <w:rFonts w:asciiTheme="minorHAnsi" w:hAnsiTheme="minorHAnsi" w:cstheme="minorHAnsi"/>
          <w:b w:val="0"/>
          <w:bCs w:val="0"/>
          <w:i/>
          <w:iCs/>
          <w:szCs w:val="24"/>
        </w:rPr>
        <w:t>Explain any special circumstances that require the collection to be conducted in a manner</w:t>
      </w:r>
      <w:r w:rsidRPr="00740161" w:rsidR="0031148B">
        <w:rPr>
          <w:rFonts w:asciiTheme="minorHAnsi" w:hAnsiTheme="minorHAnsi" w:cstheme="minorHAnsi"/>
          <w:b w:val="0"/>
          <w:bCs w:val="0"/>
          <w:i/>
          <w:iCs/>
          <w:szCs w:val="24"/>
        </w:rPr>
        <w:t xml:space="preserve"> inconsistent with OMB guidelines.</w:t>
      </w:r>
    </w:p>
    <w:p w:rsidR="00371311" w:rsidP="00B20FDA" w14:paraId="5475DA1B" w14:textId="12E490C2">
      <w:pPr>
        <w:tabs>
          <w:tab w:val="left" w:pos="720"/>
        </w:tabs>
        <w:rPr>
          <w:rFonts w:asciiTheme="minorHAnsi" w:hAnsiTheme="minorHAnsi" w:cstheme="minorHAnsi"/>
          <w:szCs w:val="24"/>
        </w:rPr>
      </w:pPr>
      <w:r w:rsidRPr="00371311">
        <w:rPr>
          <w:rFonts w:asciiTheme="minorHAnsi" w:hAnsiTheme="minorHAnsi" w:cstheme="minorHAnsi"/>
          <w:szCs w:val="24"/>
        </w:rPr>
        <w:t xml:space="preserve"> There are no special circumstances. The collection of information is conducted in a manner consistent with the guidelines in 5 CFR 1320.5(d)(2).</w:t>
      </w:r>
    </w:p>
    <w:p w:rsidR="00A456CD" w:rsidRPr="00371311" w:rsidP="00A456CD" w14:paraId="737E9582" w14:textId="77777777">
      <w:pPr>
        <w:tabs>
          <w:tab w:val="left" w:pos="720"/>
        </w:tabs>
        <w:spacing w:after="0"/>
        <w:rPr>
          <w:rFonts w:asciiTheme="minorHAnsi" w:hAnsiTheme="minorHAnsi" w:cstheme="minorHAnsi"/>
          <w:szCs w:val="24"/>
        </w:rPr>
      </w:pPr>
    </w:p>
    <w:p w:rsidR="0031148B" w:rsidRPr="00371311" w:rsidP="00B20FDA" w14:paraId="0D863329" w14:textId="04366778">
      <w:pPr>
        <w:pStyle w:val="Heading2"/>
        <w:spacing w:line="276" w:lineRule="auto"/>
        <w:ind w:left="360"/>
        <w:rPr>
          <w:rFonts w:asciiTheme="minorHAnsi" w:hAnsiTheme="minorHAnsi" w:cstheme="minorHAnsi"/>
          <w:szCs w:val="24"/>
        </w:rPr>
      </w:pPr>
      <w:r w:rsidRPr="00371311">
        <w:rPr>
          <w:rFonts w:asciiTheme="minorHAnsi" w:hAnsiTheme="minorHAnsi" w:cstheme="minorHAnsi"/>
          <w:szCs w:val="24"/>
        </w:rPr>
        <w:t>Public Comment Period and Consultations</w:t>
      </w:r>
      <w:r w:rsidRPr="00371311" w:rsidR="00245CCC">
        <w:rPr>
          <w:rFonts w:asciiTheme="minorHAnsi" w:hAnsiTheme="minorHAnsi" w:cstheme="minorHAnsi"/>
          <w:szCs w:val="24"/>
        </w:rPr>
        <w:t>:</w:t>
      </w:r>
      <w:r w:rsidRPr="00371311">
        <w:rPr>
          <w:rFonts w:asciiTheme="minorHAnsi" w:hAnsiTheme="minorHAnsi" w:cstheme="minorHAnsi"/>
          <w:szCs w:val="24"/>
        </w:rPr>
        <w:t xml:space="preserve"> </w:t>
      </w:r>
    </w:p>
    <w:p w:rsidR="00371311" w:rsidP="0084690D" w14:paraId="6B5C6877" w14:textId="4A4371F7">
      <w:pPr>
        <w:pStyle w:val="Heading2"/>
        <w:numPr>
          <w:ilvl w:val="0"/>
          <w:numId w:val="0"/>
        </w:numPr>
        <w:pBdr>
          <w:bottom w:val="single" w:sz="4" w:space="1" w:color="auto"/>
        </w:pBdr>
        <w:spacing w:line="276" w:lineRule="auto"/>
        <w:rPr>
          <w:rFonts w:asciiTheme="minorHAnsi" w:hAnsiTheme="minorHAnsi" w:cstheme="minorHAnsi"/>
          <w:b w:val="0"/>
          <w:bCs w:val="0"/>
          <w:i/>
          <w:iCs/>
          <w:szCs w:val="24"/>
        </w:rPr>
      </w:pPr>
      <w:r w:rsidRPr="00740161">
        <w:rPr>
          <w:rFonts w:asciiTheme="minorHAnsi" w:hAnsiTheme="minorHAnsi" w:cstheme="minorHAnsi"/>
          <w:b w:val="0"/>
          <w:bCs w:val="0"/>
          <w:i/>
          <w:iCs/>
          <w:szCs w:val="24"/>
        </w:rPr>
        <w:t>If applicable, provide a copy and identify the date and page number of publication in the Federal Register of the agency’s notice, required by 5</w:t>
      </w:r>
      <w:r w:rsidRPr="00740161" w:rsidR="002059F4">
        <w:rPr>
          <w:rFonts w:asciiTheme="minorHAnsi" w:hAnsiTheme="minorHAnsi" w:cstheme="minorHAnsi"/>
          <w:b w:val="0"/>
          <w:bCs w:val="0"/>
          <w:i/>
          <w:iCs/>
          <w:szCs w:val="24"/>
        </w:rPr>
        <w:t xml:space="preserve"> </w:t>
      </w:r>
      <w:r w:rsidRPr="00740161">
        <w:rPr>
          <w:rFonts w:asciiTheme="minorHAnsi" w:hAnsiTheme="minorHAnsi" w:cstheme="minorHAnsi"/>
          <w:b w:val="0"/>
          <w:bCs w:val="0"/>
          <w:i/>
          <w:iCs/>
          <w:szCs w:val="24"/>
        </w:rPr>
        <w:t xml:space="preserve">CFR </w:t>
      </w:r>
      <w:r w:rsidRPr="00740161" w:rsidR="002059F4">
        <w:rPr>
          <w:rFonts w:asciiTheme="minorHAnsi" w:hAnsiTheme="minorHAnsi" w:cstheme="minorHAnsi"/>
          <w:b w:val="0"/>
          <w:bCs w:val="0"/>
          <w:i/>
          <w:iCs/>
          <w:szCs w:val="24"/>
        </w:rPr>
        <w:t>1</w:t>
      </w:r>
      <w:r w:rsidRPr="00740161">
        <w:rPr>
          <w:rFonts w:asciiTheme="minorHAnsi" w:hAnsiTheme="minorHAnsi" w:cstheme="minorHAnsi"/>
          <w:b w:val="0"/>
          <w:bCs w:val="0"/>
          <w:i/>
          <w:iCs/>
          <w:szCs w:val="24"/>
        </w:rPr>
        <w:t xml:space="preserve">320.8(d), soliciting comments on the information collection prior to submission to OMB. Summarize public comments received in response to that notice and describe actions taken in response to the comments. Specifically address comments received on cost and hour burden. </w:t>
      </w:r>
    </w:p>
    <w:p w:rsidR="008C0384" w:rsidRPr="00DD3C7F" w:rsidP="008C0384" w14:paraId="21C3EC1A" w14:textId="550F2DBE">
      <w:pPr>
        <w:rPr>
          <w:rFonts w:ascii="Calibri" w:hAnsi="Calibri" w:cs="Calibri"/>
        </w:rPr>
      </w:pPr>
      <w:r w:rsidRPr="00DD3C7F">
        <w:rPr>
          <w:rFonts w:ascii="Calibri" w:hAnsi="Calibri" w:cs="Calibri"/>
        </w:rPr>
        <w:t xml:space="preserve">Pursuant to 5 CFR 1320.8(d), EPA published a notice in the </w:t>
      </w:r>
      <w:r w:rsidRPr="00B1567C">
        <w:rPr>
          <w:rFonts w:ascii="Calibri" w:hAnsi="Calibri" w:cs="Calibri"/>
          <w:i/>
          <w:iCs/>
        </w:rPr>
        <w:t>Federal Register</w:t>
      </w:r>
      <w:r w:rsidRPr="00DD3C7F">
        <w:rPr>
          <w:rFonts w:ascii="Calibri" w:hAnsi="Calibri" w:cs="Calibri"/>
        </w:rPr>
        <w:t xml:space="preserve"> on February 25, 2026, </w:t>
      </w:r>
      <w:r w:rsidRPr="00A456CD">
        <w:rPr>
          <w:rFonts w:ascii="Calibri" w:hAnsi="Calibri" w:cs="Calibri"/>
        </w:rPr>
        <w:t>(90 FR 9250</w:t>
      </w:r>
      <w:r w:rsidRPr="00DD3C7F">
        <w:rPr>
          <w:rFonts w:ascii="Calibri" w:hAnsi="Calibri" w:cs="Calibri"/>
        </w:rPr>
        <w:t>), announcing the planned renewal of this information collection activity, soliciting public comment on specific aspects of the ICR and providing a 60-day public comment period.</w:t>
      </w:r>
    </w:p>
    <w:p w:rsidR="008C0384" w:rsidP="008C0384" w14:paraId="375F294E" w14:textId="68CB493F">
      <w:pPr>
        <w:pStyle w:val="Heading2"/>
        <w:numPr>
          <w:ilvl w:val="0"/>
          <w:numId w:val="0"/>
        </w:numPr>
        <w:spacing w:after="0"/>
        <w:rPr>
          <w:rFonts w:ascii="Calibri" w:hAnsi="Calibri" w:cs="Calibri"/>
          <w:b w:val="0"/>
          <w:i/>
          <w:iCs/>
        </w:rPr>
      </w:pPr>
      <w:r w:rsidRPr="008C0384">
        <w:rPr>
          <w:rFonts w:ascii="Calibri" w:hAnsi="Calibri" w:cs="Calibri"/>
          <w:b w:val="0"/>
          <w:i/>
          <w:iCs/>
        </w:rPr>
        <w:t xml:space="preserve">Describe efforts to consult with persons outside EPA to obtain their views on the availability of data, frequency of collection, the clarity of instructions and recordkeeping, disclosure, or reporting format (if any), and on the data elements to be recorded, disclosed, or report. </w:t>
      </w:r>
    </w:p>
    <w:p w:rsidR="008C0384" w:rsidRPr="008C0384" w:rsidP="008C0384" w14:paraId="18D5352C" w14:textId="77777777">
      <w:pPr>
        <w:spacing w:after="0" w:line="240" w:lineRule="auto"/>
        <w:rPr>
          <w:lang w:bidi="en-US"/>
        </w:rPr>
      </w:pPr>
    </w:p>
    <w:p w:rsidR="008C0384" w:rsidRPr="008C0384" w:rsidP="008C0384" w14:paraId="0596C380" w14:textId="77777777">
      <w:pPr>
        <w:pStyle w:val="Heading2"/>
        <w:numPr>
          <w:ilvl w:val="0"/>
          <w:numId w:val="0"/>
        </w:numPr>
        <w:spacing w:after="0"/>
        <w:ind w:left="360" w:hanging="360"/>
        <w:rPr>
          <w:rFonts w:ascii="Calibri" w:hAnsi="Calibri" w:cs="Calibri"/>
          <w:b w:val="0"/>
          <w:i/>
          <w:iCs/>
        </w:rPr>
      </w:pPr>
      <w:r w:rsidRPr="008C0384">
        <w:rPr>
          <w:rFonts w:ascii="Calibri" w:hAnsi="Calibri" w:cs="Calibri"/>
          <w:b w:val="0"/>
          <w:i/>
          <w:iCs/>
        </w:rPr>
        <w:t>Consultation with representatives of those from whom information is to be obtained or</w:t>
      </w:r>
    </w:p>
    <w:p w:rsidR="008C0384" w:rsidRPr="008C0384" w:rsidP="008C0384" w14:paraId="4E8143E9" w14:textId="77777777">
      <w:pPr>
        <w:pStyle w:val="Heading2"/>
        <w:numPr>
          <w:ilvl w:val="0"/>
          <w:numId w:val="0"/>
        </w:numPr>
        <w:spacing w:after="0"/>
        <w:ind w:left="360" w:hanging="360"/>
        <w:rPr>
          <w:rFonts w:ascii="Calibri" w:hAnsi="Calibri" w:cs="Calibri"/>
          <w:b w:val="0"/>
          <w:i/>
          <w:iCs/>
        </w:rPr>
      </w:pPr>
      <w:r w:rsidRPr="008C0384">
        <w:rPr>
          <w:rFonts w:ascii="Calibri" w:hAnsi="Calibri" w:cs="Calibri"/>
          <w:b w:val="0"/>
          <w:i/>
          <w:iCs/>
        </w:rPr>
        <w:t>those who must compile records should occur at least once every 3 years - even if the</w:t>
      </w:r>
    </w:p>
    <w:p w:rsidR="008C0384" w:rsidRPr="008C0384" w:rsidP="008C0384" w14:paraId="2EF3E3F0" w14:textId="77777777">
      <w:pPr>
        <w:pStyle w:val="Heading2"/>
        <w:numPr>
          <w:ilvl w:val="0"/>
          <w:numId w:val="0"/>
        </w:numPr>
        <w:spacing w:after="0"/>
        <w:ind w:left="360" w:hanging="360"/>
        <w:rPr>
          <w:rFonts w:ascii="Calibri" w:hAnsi="Calibri" w:cs="Calibri"/>
          <w:b w:val="0"/>
          <w:i/>
          <w:iCs/>
        </w:rPr>
      </w:pPr>
      <w:r w:rsidRPr="008C0384">
        <w:rPr>
          <w:rFonts w:ascii="Calibri" w:hAnsi="Calibri" w:cs="Calibri"/>
          <w:b w:val="0"/>
          <w:i/>
          <w:iCs/>
        </w:rPr>
        <w:t>collection of information activity is the same as in prior periods. There may be</w:t>
      </w:r>
    </w:p>
    <w:p w:rsidR="008C0384" w:rsidRPr="008C0384" w:rsidP="008C0384" w14:paraId="7C0A39D2" w14:textId="77777777">
      <w:pPr>
        <w:pStyle w:val="Heading2"/>
        <w:numPr>
          <w:ilvl w:val="0"/>
          <w:numId w:val="0"/>
        </w:numPr>
        <w:spacing w:after="0"/>
        <w:ind w:left="360" w:hanging="360"/>
        <w:rPr>
          <w:rFonts w:ascii="Calibri" w:hAnsi="Calibri" w:cs="Calibri"/>
          <w:b w:val="0"/>
          <w:i/>
          <w:iCs/>
        </w:rPr>
      </w:pPr>
      <w:r w:rsidRPr="008C0384">
        <w:rPr>
          <w:rFonts w:ascii="Calibri" w:hAnsi="Calibri" w:cs="Calibri"/>
          <w:b w:val="0"/>
          <w:i/>
          <w:iCs/>
        </w:rPr>
        <w:t>circumstances that may preclude consultation in a specific situation. These circumstances</w:t>
      </w:r>
    </w:p>
    <w:p w:rsidR="00D0547E" w:rsidP="00D0547E" w14:paraId="4FFDCFD0" w14:textId="77777777">
      <w:pPr>
        <w:pStyle w:val="Heading2"/>
        <w:numPr>
          <w:ilvl w:val="0"/>
          <w:numId w:val="0"/>
        </w:numPr>
        <w:pBdr>
          <w:bottom w:val="single" w:sz="4" w:space="1" w:color="auto"/>
        </w:pBdr>
        <w:spacing w:line="276" w:lineRule="auto"/>
        <w:rPr>
          <w:rFonts w:asciiTheme="minorHAnsi" w:hAnsiTheme="minorHAnsi" w:cstheme="minorHAnsi"/>
          <w:b w:val="0"/>
          <w:bCs w:val="0"/>
          <w:i/>
          <w:iCs/>
          <w:szCs w:val="24"/>
        </w:rPr>
      </w:pPr>
      <w:r w:rsidRPr="008C0384">
        <w:rPr>
          <w:rFonts w:ascii="Calibri" w:hAnsi="Calibri" w:cs="Calibri"/>
          <w:b w:val="0"/>
          <w:i/>
          <w:iCs/>
        </w:rPr>
        <w:t>should be explained.</w:t>
      </w:r>
    </w:p>
    <w:p w:rsidR="008C0384" w:rsidRPr="00F93A42" w:rsidP="008C0384" w14:paraId="27B37B48" w14:textId="36BE0585">
      <w:pPr>
        <w:rPr>
          <w:rFonts w:ascii="Calibri" w:hAnsi="Calibri" w:cs="Calibri"/>
        </w:rPr>
      </w:pPr>
      <w:bookmarkStart w:id="7" w:name="_Hlk167353459"/>
      <w:r w:rsidRPr="00F93A42">
        <w:rPr>
          <w:rFonts w:ascii="Calibri" w:hAnsi="Calibri" w:cs="Calibri"/>
        </w:rPr>
        <w:t xml:space="preserve">The EPA also consulted </w:t>
      </w:r>
      <w:r w:rsidR="00A20DA8">
        <w:rPr>
          <w:rFonts w:ascii="Calibri" w:hAnsi="Calibri" w:cs="Calibri"/>
        </w:rPr>
        <w:t>eight</w:t>
      </w:r>
      <w:r w:rsidRPr="00F93A42">
        <w:rPr>
          <w:rFonts w:ascii="Calibri" w:hAnsi="Calibri" w:cs="Calibri"/>
        </w:rPr>
        <w:t xml:space="preserve"> stakeholders, specifically asking them for </w:t>
      </w:r>
      <w:r w:rsidR="008464FA">
        <w:rPr>
          <w:rFonts w:ascii="Calibri" w:hAnsi="Calibri" w:cs="Calibri"/>
        </w:rPr>
        <w:t>information on</w:t>
      </w:r>
      <w:r w:rsidR="00723FE0">
        <w:rPr>
          <w:rFonts w:ascii="Calibri" w:hAnsi="Calibri" w:cs="Calibri"/>
        </w:rPr>
        <w:t>:</w:t>
      </w:r>
      <w:r w:rsidR="008464FA">
        <w:rPr>
          <w:rFonts w:ascii="Calibri" w:hAnsi="Calibri" w:cs="Calibri"/>
        </w:rPr>
        <w:t xml:space="preserve"> </w:t>
      </w:r>
      <w:r w:rsidR="00264E6A">
        <w:rPr>
          <w:rFonts w:ascii="Calibri" w:hAnsi="Calibri" w:cs="Calibri"/>
        </w:rPr>
        <w:t xml:space="preserve">1) </w:t>
      </w:r>
      <w:r w:rsidR="00D50FEB">
        <w:rPr>
          <w:rFonts w:ascii="Calibri" w:hAnsi="Calibri" w:cs="Calibri"/>
        </w:rPr>
        <w:t>publicly</w:t>
      </w:r>
      <w:r w:rsidR="008464FA">
        <w:rPr>
          <w:rFonts w:ascii="Calibri" w:hAnsi="Calibri" w:cs="Calibri"/>
        </w:rPr>
        <w:t xml:space="preserve"> available data, </w:t>
      </w:r>
      <w:r w:rsidR="00264E6A">
        <w:rPr>
          <w:rFonts w:ascii="Calibri" w:hAnsi="Calibri" w:cs="Calibri"/>
        </w:rPr>
        <w:t xml:space="preserve">2) </w:t>
      </w:r>
      <w:r w:rsidR="008464FA">
        <w:rPr>
          <w:rFonts w:ascii="Calibri" w:hAnsi="Calibri" w:cs="Calibri"/>
        </w:rPr>
        <w:t xml:space="preserve">frequency of collection, </w:t>
      </w:r>
      <w:r w:rsidR="00264E6A">
        <w:rPr>
          <w:rFonts w:ascii="Calibri" w:hAnsi="Calibri" w:cs="Calibri"/>
        </w:rPr>
        <w:t xml:space="preserve">3) </w:t>
      </w:r>
      <w:r w:rsidR="008464FA">
        <w:rPr>
          <w:rFonts w:ascii="Calibri" w:hAnsi="Calibri" w:cs="Calibri"/>
        </w:rPr>
        <w:t xml:space="preserve">clarity of instructions, </w:t>
      </w:r>
      <w:r w:rsidR="00264E6A">
        <w:rPr>
          <w:rFonts w:ascii="Calibri" w:hAnsi="Calibri" w:cs="Calibri"/>
        </w:rPr>
        <w:t xml:space="preserve">4) </w:t>
      </w:r>
      <w:r w:rsidR="008464FA">
        <w:rPr>
          <w:rFonts w:ascii="Calibri" w:hAnsi="Calibri" w:cs="Calibri"/>
        </w:rPr>
        <w:t>electronic reporting</w:t>
      </w:r>
      <w:r w:rsidR="00D50FEB">
        <w:rPr>
          <w:rFonts w:ascii="Calibri" w:hAnsi="Calibri" w:cs="Calibri"/>
        </w:rPr>
        <w:t xml:space="preserve"> and recordkeeping</w:t>
      </w:r>
      <w:r w:rsidR="008464FA">
        <w:rPr>
          <w:rFonts w:ascii="Calibri" w:hAnsi="Calibri" w:cs="Calibri"/>
        </w:rPr>
        <w:t xml:space="preserve">, and </w:t>
      </w:r>
      <w:r w:rsidR="00A25EF9">
        <w:rPr>
          <w:rFonts w:ascii="Calibri" w:hAnsi="Calibri" w:cs="Calibri"/>
        </w:rPr>
        <w:t xml:space="preserve">5) </w:t>
      </w:r>
      <w:r w:rsidRPr="00F93A42">
        <w:rPr>
          <w:rFonts w:ascii="Calibri" w:hAnsi="Calibri" w:cs="Calibri"/>
        </w:rPr>
        <w:t>their assessment of the regulatory burden estimates expressed by the Agency in this ICR (</w:t>
      </w:r>
      <w:r w:rsidRPr="00DD3C7F">
        <w:rPr>
          <w:rFonts w:ascii="Calibri" w:hAnsi="Calibri" w:cs="Calibri"/>
          <w:bCs/>
          <w14:shadow w14:blurRad="38100" w14:dist="25400" w14:dir="5400000" w14:sx="100000" w14:sy="100000" w14:kx="0" w14:ky="0" w14:algn="ctr">
            <w14:srgbClr w14:val="6E747A">
              <w14:alpha w14:val="57000"/>
            </w14:srgbClr>
          </w14:shadow>
          <w14:textOutline w14:w="0">
            <w14:noFill/>
            <w14:prstDash w14:val="solid"/>
            <w14:round/>
          </w14:textOutline>
        </w:rPr>
        <w:t>Attachment</w:t>
      </w:r>
      <w:r w:rsidRPr="00DD3C7F">
        <w:rPr>
          <w:rFonts w:ascii="Calibri" w:hAnsi="Calibri" w:cs="Calibri"/>
          <w:bCs/>
        </w:rPr>
        <w:t xml:space="preserve"> </w:t>
      </w:r>
      <w:r w:rsidRPr="00DD3C7F" w:rsidR="00A20DA8">
        <w:rPr>
          <w:rFonts w:ascii="Calibri" w:hAnsi="Calibri" w:cs="Calibri"/>
          <w:bCs/>
          <w14:shadow w14:blurRad="38100" w14:dist="25400" w14:dir="5400000" w14:sx="100000" w14:sy="100000" w14:kx="0" w14:ky="0" w14:algn="ctr">
            <w14:srgbClr w14:val="6E747A">
              <w14:alpha w14:val="57000"/>
            </w14:srgbClr>
          </w14:shadow>
          <w14:textOutline w14:w="0">
            <w14:noFill/>
            <w14:prstDash w14:val="solid"/>
            <w14:round/>
          </w14:textOutline>
        </w:rPr>
        <w:t>1</w:t>
      </w:r>
      <w:r w:rsidRPr="00DD3C7F" w:rsidR="00DD3C7F">
        <w:rPr>
          <w:rFonts w:ascii="Calibri" w:hAnsi="Calibri" w:cs="Calibri"/>
          <w:bCs/>
          <w14:shadow w14:blurRad="38100" w14:dist="25400" w14:dir="5400000" w14:sx="100000" w14:sy="100000" w14:kx="0" w14:ky="0" w14:algn="ctr">
            <w14:srgbClr w14:val="6E747A">
              <w14:alpha w14:val="57000"/>
            </w14:srgbClr>
          </w14:shadow>
          <w14:textOutline w14:w="0">
            <w14:noFill/>
            <w14:prstDash w14:val="solid"/>
            <w14:round/>
          </w14:textOutline>
        </w:rPr>
        <w:t>4</w:t>
      </w:r>
      <w:r w:rsidRPr="00F93A42">
        <w:rPr>
          <w:rFonts w:ascii="Calibri" w:hAnsi="Calibri" w:cs="Calibri"/>
        </w:rPr>
        <w:t xml:space="preserve">). </w:t>
      </w:r>
      <w:bookmarkStart w:id="8" w:name="_Hlk172121000"/>
      <w:r w:rsidRPr="00F93A42">
        <w:rPr>
          <w:rFonts w:ascii="Calibri" w:hAnsi="Calibri" w:cs="Calibri"/>
        </w:rPr>
        <w:t>The stakeholders consulted were:</w:t>
      </w:r>
      <w:bookmarkEnd w:id="8"/>
    </w:p>
    <w:bookmarkEnd w:id="7"/>
    <w:p w:rsidR="008C0384" w:rsidRPr="00F93A42" w:rsidP="008C0384" w14:paraId="2B8D4B21" w14:textId="355DDA05">
      <w:pPr>
        <w:pStyle w:val="ListParagraph"/>
        <w:numPr>
          <w:ilvl w:val="0"/>
          <w:numId w:val="37"/>
        </w:numPr>
        <w:spacing w:after="240" w:line="259" w:lineRule="auto"/>
        <w:rPr>
          <w:rFonts w:ascii="Calibri" w:hAnsi="Calibri" w:cs="Calibri"/>
        </w:rPr>
      </w:pPr>
      <w:r>
        <w:rPr>
          <w:rFonts w:ascii="Calibri" w:hAnsi="Calibri" w:cs="Calibri"/>
        </w:rPr>
        <w:t xml:space="preserve">American Chemistry Council </w:t>
      </w:r>
    </w:p>
    <w:p w:rsidR="008C0384" w:rsidP="008C0384" w14:paraId="6687FFE3" w14:textId="15885062">
      <w:pPr>
        <w:pStyle w:val="ListParagraph"/>
        <w:numPr>
          <w:ilvl w:val="0"/>
          <w:numId w:val="37"/>
        </w:numPr>
        <w:spacing w:after="240" w:line="259" w:lineRule="auto"/>
        <w:rPr>
          <w:rFonts w:ascii="Calibri" w:hAnsi="Calibri" w:cs="Calibri"/>
        </w:rPr>
      </w:pPr>
      <w:r>
        <w:rPr>
          <w:rFonts w:ascii="Calibri" w:hAnsi="Calibri" w:cs="Calibri"/>
        </w:rPr>
        <w:t xml:space="preserve">BASF </w:t>
      </w:r>
    </w:p>
    <w:p w:rsidR="00281CBD" w:rsidRPr="00F93A42" w:rsidP="008C0384" w14:paraId="58E55678" w14:textId="66F3993A">
      <w:pPr>
        <w:pStyle w:val="ListParagraph"/>
        <w:numPr>
          <w:ilvl w:val="0"/>
          <w:numId w:val="37"/>
        </w:numPr>
        <w:spacing w:after="240" w:line="259" w:lineRule="auto"/>
        <w:rPr>
          <w:rFonts w:ascii="Calibri" w:hAnsi="Calibri" w:cs="Calibri"/>
        </w:rPr>
      </w:pPr>
      <w:r>
        <w:rPr>
          <w:rFonts w:ascii="Calibri" w:hAnsi="Calibri" w:cs="Calibri"/>
        </w:rPr>
        <w:t>Bergeson and Campbell</w:t>
      </w:r>
    </w:p>
    <w:p w:rsidR="008C0384" w:rsidP="008C0384" w14:paraId="0A708B93" w14:textId="4E315F34">
      <w:pPr>
        <w:pStyle w:val="ListParagraph"/>
        <w:numPr>
          <w:ilvl w:val="0"/>
          <w:numId w:val="37"/>
        </w:numPr>
        <w:spacing w:after="240" w:line="259" w:lineRule="auto"/>
        <w:rPr>
          <w:rFonts w:ascii="Calibri" w:hAnsi="Calibri" w:cs="Calibri"/>
        </w:rPr>
      </w:pPr>
      <w:r>
        <w:rPr>
          <w:rFonts w:ascii="Calibri" w:hAnsi="Calibri" w:cs="Calibri"/>
        </w:rPr>
        <w:t xml:space="preserve">Dow </w:t>
      </w:r>
    </w:p>
    <w:p w:rsidR="00281CBD" w:rsidRPr="00F93A42" w:rsidP="008C0384" w14:paraId="7D34CB95" w14:textId="0514B912">
      <w:pPr>
        <w:pStyle w:val="ListParagraph"/>
        <w:numPr>
          <w:ilvl w:val="0"/>
          <w:numId w:val="37"/>
        </w:numPr>
        <w:spacing w:after="240" w:line="259" w:lineRule="auto"/>
        <w:rPr>
          <w:rFonts w:ascii="Calibri" w:hAnsi="Calibri" w:cs="Calibri"/>
        </w:rPr>
      </w:pPr>
      <w:r>
        <w:rPr>
          <w:rFonts w:ascii="Calibri" w:hAnsi="Calibri" w:cs="Calibri"/>
        </w:rPr>
        <w:t>Integral</w:t>
      </w:r>
      <w:r>
        <w:rPr>
          <w:rFonts w:ascii="Calibri" w:hAnsi="Calibri" w:cs="Calibri"/>
        </w:rPr>
        <w:t xml:space="preserve"> Corporation </w:t>
      </w:r>
    </w:p>
    <w:p w:rsidR="008C0384" w:rsidP="008C0384" w14:paraId="1AA72D4B" w14:textId="0953670D">
      <w:pPr>
        <w:pStyle w:val="ListParagraph"/>
        <w:numPr>
          <w:ilvl w:val="0"/>
          <w:numId w:val="37"/>
        </w:numPr>
        <w:spacing w:after="240" w:line="259" w:lineRule="auto"/>
        <w:rPr>
          <w:rFonts w:ascii="Calibri" w:hAnsi="Calibri" w:cs="Calibri"/>
        </w:rPr>
      </w:pPr>
      <w:r>
        <w:rPr>
          <w:rFonts w:ascii="Calibri" w:hAnsi="Calibri" w:cs="Calibri"/>
        </w:rPr>
        <w:t>OxyChem</w:t>
      </w:r>
    </w:p>
    <w:p w:rsidR="00281CBD" w:rsidP="008C0384" w14:paraId="55597892" w14:textId="207E8D24">
      <w:pPr>
        <w:pStyle w:val="ListParagraph"/>
        <w:numPr>
          <w:ilvl w:val="0"/>
          <w:numId w:val="37"/>
        </w:numPr>
        <w:spacing w:after="240" w:line="259" w:lineRule="auto"/>
        <w:rPr>
          <w:rFonts w:ascii="Calibri" w:hAnsi="Calibri" w:cs="Calibri"/>
        </w:rPr>
      </w:pPr>
      <w:r>
        <w:rPr>
          <w:rFonts w:ascii="Calibri" w:hAnsi="Calibri" w:cs="Calibri"/>
        </w:rPr>
        <w:t xml:space="preserve">Mitsui Chemicals </w:t>
      </w:r>
    </w:p>
    <w:p w:rsidR="00281CBD" w:rsidRPr="00F93A42" w:rsidP="008C0384" w14:paraId="5CC5825D" w14:textId="29CBC89D">
      <w:pPr>
        <w:pStyle w:val="ListParagraph"/>
        <w:numPr>
          <w:ilvl w:val="0"/>
          <w:numId w:val="37"/>
        </w:numPr>
        <w:spacing w:after="240" w:line="259" w:lineRule="auto"/>
        <w:rPr>
          <w:rFonts w:ascii="Calibri" w:hAnsi="Calibri" w:cs="Calibri"/>
        </w:rPr>
      </w:pPr>
      <w:r>
        <w:rPr>
          <w:rFonts w:ascii="Calibri" w:hAnsi="Calibri" w:cs="Calibri"/>
        </w:rPr>
        <w:t xml:space="preserve">Toyota </w:t>
      </w:r>
    </w:p>
    <w:p w:rsidR="00DD3C7F" w:rsidP="66874D1C" w14:paraId="55C40AA1" w14:textId="6D37DB5C">
      <w:pPr>
        <w:rPr>
          <w:rFonts w:asciiTheme="minorHAnsi" w:hAnsiTheme="minorHAnsi"/>
          <w:lang w:bidi="en-US"/>
        </w:rPr>
      </w:pPr>
      <w:r w:rsidRPr="66874D1C">
        <w:rPr>
          <w:rFonts w:asciiTheme="minorHAnsi" w:hAnsiTheme="minorHAnsi"/>
          <w:lang w:bidi="en-US"/>
        </w:rPr>
        <w:t xml:space="preserve">Of those consulted, EPA received comments from Dow, </w:t>
      </w:r>
      <w:r w:rsidRPr="66874D1C">
        <w:rPr>
          <w:rFonts w:asciiTheme="minorHAnsi" w:hAnsiTheme="minorHAnsi"/>
          <w:lang w:bidi="en-US"/>
        </w:rPr>
        <w:t>OxyChem</w:t>
      </w:r>
      <w:r w:rsidRPr="66874D1C">
        <w:rPr>
          <w:rFonts w:asciiTheme="minorHAnsi" w:hAnsiTheme="minorHAnsi"/>
          <w:lang w:bidi="en-US"/>
        </w:rPr>
        <w:t xml:space="preserve">, and the American Chemistry Council (Attachment 15). EPA also received comments from Millipore Sigma and the Vinyl Institute during the comment period (Attachment 16 and 17). </w:t>
      </w:r>
    </w:p>
    <w:p w:rsidR="00EE37AC" w:rsidP="0051750E" w14:paraId="592117E4" w14:textId="46CBAA82">
      <w:pPr>
        <w:rPr>
          <w:rFonts w:asciiTheme="minorHAnsi" w:hAnsiTheme="minorHAnsi" w:cstheme="minorHAnsi"/>
          <w:lang w:bidi="en-US"/>
        </w:rPr>
      </w:pPr>
      <w:r>
        <w:rPr>
          <w:rFonts w:asciiTheme="minorHAnsi" w:hAnsiTheme="minorHAnsi" w:cstheme="minorHAnsi"/>
          <w:lang w:bidi="en-US"/>
        </w:rPr>
        <w:t>For those consulted, c</w:t>
      </w:r>
      <w:r w:rsidR="006755C7">
        <w:rPr>
          <w:rFonts w:asciiTheme="minorHAnsi" w:hAnsiTheme="minorHAnsi" w:cstheme="minorHAnsi"/>
          <w:lang w:bidi="en-US"/>
        </w:rPr>
        <w:t>ommente</w:t>
      </w:r>
      <w:r>
        <w:rPr>
          <w:rFonts w:asciiTheme="minorHAnsi" w:hAnsiTheme="minorHAnsi" w:cstheme="minorHAnsi"/>
          <w:lang w:bidi="en-US"/>
        </w:rPr>
        <w:t>rs all noted</w:t>
      </w:r>
      <w:r w:rsidR="006755C7">
        <w:rPr>
          <w:rFonts w:asciiTheme="minorHAnsi" w:hAnsiTheme="minorHAnsi" w:cstheme="minorHAnsi"/>
          <w:lang w:bidi="en-US"/>
        </w:rPr>
        <w:t xml:space="preserve"> that the information the Agency collects is not publicly available</w:t>
      </w:r>
      <w:r>
        <w:rPr>
          <w:rFonts w:asciiTheme="minorHAnsi" w:hAnsiTheme="minorHAnsi" w:cstheme="minorHAnsi"/>
          <w:lang w:bidi="en-US"/>
        </w:rPr>
        <w:t xml:space="preserve">. </w:t>
      </w:r>
    </w:p>
    <w:p w:rsidR="00EE37AC" w:rsidP="2191ED1D" w14:paraId="1AC919FD" w14:textId="425AAE8F">
      <w:pPr>
        <w:rPr>
          <w:rFonts w:asciiTheme="minorHAnsi" w:hAnsiTheme="minorHAnsi"/>
        </w:rPr>
      </w:pPr>
      <w:r w:rsidRPr="00945AAB">
        <w:rPr>
          <w:rStyle w:val="Heading2Char"/>
          <w:rFonts w:ascii="Calibri" w:hAnsi="Calibri" w:cs="Calibri"/>
          <w:b w:val="0"/>
          <w:bCs w:val="0"/>
          <w:i/>
          <w:iCs/>
        </w:rPr>
        <w:t>Comment Summary 1:</w:t>
      </w:r>
      <w:r w:rsidRPr="2191ED1D">
        <w:rPr>
          <w:rFonts w:asciiTheme="minorHAnsi" w:hAnsiTheme="minorHAnsi"/>
          <w:lang w:bidi="en-US"/>
        </w:rPr>
        <w:t xml:space="preserve"> </w:t>
      </w:r>
      <w:r w:rsidRPr="2191ED1D" w:rsidR="7AD1AEEB">
        <w:rPr>
          <w:rFonts w:asciiTheme="minorHAnsi" w:hAnsiTheme="minorHAnsi"/>
          <w:lang w:bidi="en-US"/>
        </w:rPr>
        <w:t>C</w:t>
      </w:r>
      <w:r w:rsidRPr="2191ED1D" w:rsidR="1AF24759">
        <w:rPr>
          <w:rFonts w:asciiTheme="minorHAnsi" w:hAnsiTheme="minorHAnsi"/>
          <w:lang w:bidi="en-US"/>
        </w:rPr>
        <w:t xml:space="preserve">ommenters </w:t>
      </w:r>
      <w:r w:rsidRPr="2191ED1D" w:rsidR="29C60420">
        <w:rPr>
          <w:rFonts w:asciiTheme="minorHAnsi" w:hAnsiTheme="minorHAnsi"/>
          <w:lang w:bidi="en-US"/>
        </w:rPr>
        <w:t>assert</w:t>
      </w:r>
      <w:r w:rsidRPr="2191ED1D" w:rsidR="21F318DC">
        <w:rPr>
          <w:rFonts w:asciiTheme="minorHAnsi" w:hAnsiTheme="minorHAnsi"/>
          <w:lang w:bidi="en-US"/>
        </w:rPr>
        <w:t>ed</w:t>
      </w:r>
      <w:r w:rsidRPr="2191ED1D" w:rsidR="29C60420">
        <w:rPr>
          <w:rFonts w:asciiTheme="minorHAnsi" w:hAnsiTheme="minorHAnsi"/>
          <w:lang w:bidi="en-US"/>
        </w:rPr>
        <w:t xml:space="preserve"> needed clarity regarding the frequency of collection, </w:t>
      </w:r>
      <w:r w:rsidRPr="2191ED1D" w:rsidR="7AD1AEEB">
        <w:rPr>
          <w:rFonts w:asciiTheme="minorHAnsi" w:hAnsiTheme="minorHAnsi"/>
          <w:lang w:bidi="en-US"/>
        </w:rPr>
        <w:t>commenters</w:t>
      </w:r>
      <w:r w:rsidRPr="2191ED1D" w:rsidR="1AF24759">
        <w:rPr>
          <w:rFonts w:asciiTheme="minorHAnsi" w:hAnsiTheme="minorHAnsi"/>
          <w:lang w:bidi="en-US"/>
        </w:rPr>
        <w:t xml:space="preserve"> state</w:t>
      </w:r>
      <w:r w:rsidRPr="2191ED1D" w:rsidR="21F318DC">
        <w:rPr>
          <w:rFonts w:asciiTheme="minorHAnsi" w:hAnsiTheme="minorHAnsi"/>
          <w:lang w:bidi="en-US"/>
        </w:rPr>
        <w:t>d</w:t>
      </w:r>
      <w:r w:rsidRPr="2191ED1D" w:rsidR="1AF24759">
        <w:rPr>
          <w:rFonts w:asciiTheme="minorHAnsi" w:hAnsiTheme="minorHAnsi"/>
          <w:lang w:bidi="en-US"/>
        </w:rPr>
        <w:t xml:space="preserve"> that u</w:t>
      </w:r>
      <w:r w:rsidRPr="2191ED1D" w:rsidR="29C60420">
        <w:rPr>
          <w:rFonts w:asciiTheme="minorHAnsi" w:hAnsiTheme="minorHAnsi"/>
          <w:lang w:bidi="en-US"/>
        </w:rPr>
        <w:t>nder</w:t>
      </w:r>
      <w:r w:rsidRPr="2191ED1D" w:rsidR="1AF24759">
        <w:rPr>
          <w:rFonts w:asciiTheme="minorHAnsi" w:hAnsiTheme="minorHAnsi"/>
          <w:lang w:bidi="en-US"/>
        </w:rPr>
        <w:t xml:space="preserve"> the Agency’s </w:t>
      </w:r>
      <w:r w:rsidRPr="2191ED1D" w:rsidR="4853035A">
        <w:rPr>
          <w:rFonts w:asciiTheme="minorHAnsi" w:hAnsiTheme="minorHAnsi"/>
          <w:lang w:bidi="en-US"/>
        </w:rPr>
        <w:t xml:space="preserve">current </w:t>
      </w:r>
      <w:r w:rsidRPr="2191ED1D" w:rsidR="29C60420">
        <w:rPr>
          <w:rFonts w:asciiTheme="minorHAnsi" w:hAnsiTheme="minorHAnsi"/>
          <w:lang w:bidi="en-US"/>
        </w:rPr>
        <w:t>approach</w:t>
      </w:r>
      <w:r w:rsidRPr="2191ED1D" w:rsidR="21F318DC">
        <w:rPr>
          <w:rFonts w:asciiTheme="minorHAnsi" w:hAnsiTheme="minorHAnsi"/>
          <w:lang w:bidi="en-US"/>
        </w:rPr>
        <w:t xml:space="preserve">, </w:t>
      </w:r>
      <w:r w:rsidRPr="2191ED1D" w:rsidR="29C60420">
        <w:rPr>
          <w:rFonts w:asciiTheme="minorHAnsi" w:hAnsiTheme="minorHAnsi"/>
          <w:lang w:bidi="en-US"/>
        </w:rPr>
        <w:t xml:space="preserve">each submission </w:t>
      </w:r>
      <w:r w:rsidRPr="2191ED1D" w:rsidR="4853035A">
        <w:rPr>
          <w:rFonts w:asciiTheme="minorHAnsi" w:hAnsiTheme="minorHAnsi"/>
          <w:lang w:bidi="en-US"/>
        </w:rPr>
        <w:t>would be</w:t>
      </w:r>
      <w:r w:rsidRPr="2191ED1D" w:rsidR="29C60420">
        <w:rPr>
          <w:rFonts w:asciiTheme="minorHAnsi" w:hAnsiTheme="minorHAnsi"/>
          <w:lang w:bidi="en-US"/>
        </w:rPr>
        <w:t xml:space="preserve"> treated as a distinct CBI claim with its own ten-year substantiation period, </w:t>
      </w:r>
      <w:r w:rsidRPr="2191ED1D" w:rsidR="1AF24759">
        <w:rPr>
          <w:rFonts w:asciiTheme="minorHAnsi" w:hAnsiTheme="minorHAnsi"/>
          <w:lang w:bidi="en-US"/>
        </w:rPr>
        <w:t xml:space="preserve">and </w:t>
      </w:r>
      <w:r w:rsidRPr="2191ED1D" w:rsidR="7AD1AEEB">
        <w:rPr>
          <w:rFonts w:asciiTheme="minorHAnsi" w:hAnsiTheme="minorHAnsi"/>
          <w:lang w:bidi="en-US"/>
        </w:rPr>
        <w:t>companies</w:t>
      </w:r>
      <w:r w:rsidRPr="2191ED1D" w:rsidR="29C60420">
        <w:rPr>
          <w:rFonts w:asciiTheme="minorHAnsi" w:hAnsiTheme="minorHAnsi"/>
          <w:lang w:bidi="en-US"/>
        </w:rPr>
        <w:t xml:space="preserve"> would be required to re-substantiate confidentiality for the same chemical identity repeatedly and indefinitely. </w:t>
      </w:r>
      <w:r w:rsidRPr="2191ED1D" w:rsidR="1AF24759">
        <w:rPr>
          <w:rFonts w:asciiTheme="minorHAnsi" w:hAnsiTheme="minorHAnsi"/>
          <w:lang w:bidi="en-US"/>
        </w:rPr>
        <w:t>T</w:t>
      </w:r>
      <w:r w:rsidRPr="2191ED1D" w:rsidR="29C60420">
        <w:rPr>
          <w:rFonts w:asciiTheme="minorHAnsi" w:hAnsiTheme="minorHAnsi"/>
          <w:lang w:bidi="en-US"/>
        </w:rPr>
        <w:t>h</w:t>
      </w:r>
      <w:r w:rsidRPr="2191ED1D" w:rsidR="1AF24759">
        <w:rPr>
          <w:rFonts w:asciiTheme="minorHAnsi" w:hAnsiTheme="minorHAnsi"/>
          <w:lang w:bidi="en-US"/>
        </w:rPr>
        <w:t>e commenter note</w:t>
      </w:r>
      <w:r w:rsidRPr="2191ED1D" w:rsidR="6F541074">
        <w:rPr>
          <w:rFonts w:asciiTheme="minorHAnsi" w:hAnsiTheme="minorHAnsi"/>
          <w:lang w:bidi="en-US"/>
        </w:rPr>
        <w:t>d</w:t>
      </w:r>
      <w:r w:rsidRPr="2191ED1D" w:rsidR="1AF24759">
        <w:rPr>
          <w:rFonts w:asciiTheme="minorHAnsi" w:hAnsiTheme="minorHAnsi"/>
          <w:lang w:bidi="en-US"/>
        </w:rPr>
        <w:t xml:space="preserve"> that</w:t>
      </w:r>
      <w:r w:rsidRPr="2191ED1D" w:rsidR="29C60420">
        <w:rPr>
          <w:rFonts w:asciiTheme="minorHAnsi" w:hAnsiTheme="minorHAnsi"/>
          <w:lang w:bidi="en-US"/>
        </w:rPr>
        <w:t xml:space="preserve"> </w:t>
      </w:r>
      <w:r w:rsidRPr="2191ED1D" w:rsidR="1AF24759">
        <w:rPr>
          <w:rFonts w:asciiTheme="minorHAnsi" w:hAnsiTheme="minorHAnsi"/>
          <w:lang w:bidi="en-US"/>
        </w:rPr>
        <w:t xml:space="preserve">this </w:t>
      </w:r>
      <w:r w:rsidRPr="2191ED1D" w:rsidR="29C60420">
        <w:rPr>
          <w:rFonts w:asciiTheme="minorHAnsi" w:hAnsiTheme="minorHAnsi"/>
          <w:lang w:bidi="en-US"/>
        </w:rPr>
        <w:t xml:space="preserve">means a “ten-year” confidentiality period would not function as a true ten-year protection, but rather as a rolling and overlapping series of substantiation deadlines. </w:t>
      </w:r>
      <w:r w:rsidRPr="2191ED1D" w:rsidR="7AD1AEEB">
        <w:rPr>
          <w:rFonts w:asciiTheme="minorHAnsi" w:hAnsiTheme="minorHAnsi"/>
        </w:rPr>
        <w:t>Commenters</w:t>
      </w:r>
      <w:r w:rsidRPr="2191ED1D" w:rsidR="29C60420">
        <w:rPr>
          <w:rFonts w:asciiTheme="minorHAnsi" w:hAnsiTheme="minorHAnsi"/>
        </w:rPr>
        <w:t xml:space="preserve"> recommend that EPA consider an approach in which CBI claims are tracked at the chemical substance level, rather than at the individual submission level. </w:t>
      </w:r>
      <w:r w:rsidRPr="2191ED1D" w:rsidR="7A74E4F2">
        <w:rPr>
          <w:rFonts w:asciiTheme="minorHAnsi" w:hAnsiTheme="minorHAnsi"/>
        </w:rPr>
        <w:t xml:space="preserve">The commenter recommended that instead the Agency should adopt </w:t>
      </w:r>
      <w:r w:rsidRPr="2191ED1D" w:rsidR="29C60420">
        <w:rPr>
          <w:rFonts w:asciiTheme="minorHAnsi" w:hAnsiTheme="minorHAnsi"/>
        </w:rPr>
        <w:t xml:space="preserve">a single ten-year substantiation period </w:t>
      </w:r>
      <w:r w:rsidRPr="2191ED1D" w:rsidR="2B5C9F5C">
        <w:rPr>
          <w:rFonts w:asciiTheme="minorHAnsi" w:hAnsiTheme="minorHAnsi"/>
        </w:rPr>
        <w:t>to apply</w:t>
      </w:r>
      <w:r w:rsidRPr="2191ED1D" w:rsidR="29C60420">
        <w:rPr>
          <w:rFonts w:asciiTheme="minorHAnsi" w:hAnsiTheme="minorHAnsi"/>
        </w:rPr>
        <w:t xml:space="preserve"> </w:t>
      </w:r>
      <w:r w:rsidRPr="2191ED1D" w:rsidR="2B5C9F5C">
        <w:rPr>
          <w:rFonts w:asciiTheme="minorHAnsi" w:hAnsiTheme="minorHAnsi"/>
        </w:rPr>
        <w:t xml:space="preserve">to </w:t>
      </w:r>
      <w:r w:rsidRPr="2191ED1D" w:rsidR="29C60420">
        <w:rPr>
          <w:rFonts w:asciiTheme="minorHAnsi" w:hAnsiTheme="minorHAnsi"/>
        </w:rPr>
        <w:t xml:space="preserve">all claims of confidentiality for the chemical identity across TSCA submissions during that period. </w:t>
      </w:r>
      <w:r w:rsidRPr="2191ED1D" w:rsidR="22EDE632">
        <w:rPr>
          <w:rFonts w:asciiTheme="minorHAnsi" w:hAnsiTheme="minorHAnsi"/>
        </w:rPr>
        <w:t>This recommended</w:t>
      </w:r>
      <w:r w:rsidRPr="2191ED1D" w:rsidR="29C60420">
        <w:rPr>
          <w:rFonts w:asciiTheme="minorHAnsi" w:hAnsiTheme="minorHAnsi"/>
        </w:rPr>
        <w:t xml:space="preserve"> approach would better align with the intent of TSCA section 14, </w:t>
      </w:r>
      <w:r w:rsidRPr="2191ED1D" w:rsidR="22EDE632">
        <w:rPr>
          <w:rFonts w:asciiTheme="minorHAnsi" w:hAnsiTheme="minorHAnsi"/>
        </w:rPr>
        <w:t xml:space="preserve">to </w:t>
      </w:r>
      <w:r w:rsidRPr="2191ED1D" w:rsidR="29C60420">
        <w:rPr>
          <w:rFonts w:asciiTheme="minorHAnsi" w:hAnsiTheme="minorHAnsi"/>
        </w:rPr>
        <w:t>reduce unnecessary administrative burden, and improve predictability and manageability for both submitters and the Agency, while still preserving EPA’s ability to review and assess confidentiality claims as required.</w:t>
      </w:r>
      <w:r w:rsidRPr="2191ED1D" w:rsidR="51C8B615">
        <w:rPr>
          <w:rFonts w:asciiTheme="minorHAnsi" w:hAnsiTheme="minorHAnsi"/>
        </w:rPr>
        <w:t xml:space="preserve"> </w:t>
      </w:r>
      <w:r w:rsidRPr="2191ED1D" w:rsidR="7AD1AEEB">
        <w:rPr>
          <w:rFonts w:asciiTheme="minorHAnsi" w:hAnsiTheme="minorHAnsi"/>
        </w:rPr>
        <w:t>Commenters also suggest</w:t>
      </w:r>
      <w:r w:rsidRPr="2191ED1D" w:rsidR="22EDE632">
        <w:rPr>
          <w:rFonts w:asciiTheme="minorHAnsi" w:hAnsiTheme="minorHAnsi"/>
        </w:rPr>
        <w:t>ed</w:t>
      </w:r>
      <w:r w:rsidRPr="2191ED1D" w:rsidR="7AD1AEEB">
        <w:rPr>
          <w:rFonts w:asciiTheme="minorHAnsi" w:hAnsiTheme="minorHAnsi"/>
        </w:rPr>
        <w:t xml:space="preserve"> that once a CBI claim is substantiated, that CBI claim will continue to be considered substantiated for the entire 10 years by providing the EPA’s Unique Identifier. </w:t>
      </w:r>
    </w:p>
    <w:p w:rsidR="6244596F" w:rsidP="2191ED1D" w14:paraId="107E62A4" w14:textId="743BD0FB">
      <w:pPr>
        <w:shd w:val="clear" w:color="auto" w:fill="FFFFFF" w:themeFill="background1"/>
        <w:spacing w:after="0"/>
        <w:rPr>
          <w:rFonts w:asciiTheme="minorHAnsi" w:eastAsiaTheme="minorEastAsia" w:hAnsiTheme="minorHAnsi"/>
          <w:szCs w:val="24"/>
        </w:rPr>
      </w:pPr>
      <w:r w:rsidRPr="00945AAB">
        <w:rPr>
          <w:rStyle w:val="Heading2Char"/>
          <w:rFonts w:ascii="Calibri" w:hAnsi="Calibri" w:cs="Calibri"/>
          <w:b w:val="0"/>
          <w:bCs w:val="0"/>
          <w:i/>
          <w:iCs/>
        </w:rPr>
        <w:t>Response</w:t>
      </w:r>
      <w:r w:rsidRPr="00945AAB" w:rsidR="067CCA51">
        <w:rPr>
          <w:rStyle w:val="Heading2Char"/>
          <w:rFonts w:ascii="Calibri" w:hAnsi="Calibri" w:cs="Calibri"/>
          <w:b w:val="0"/>
          <w:bCs w:val="0"/>
          <w:i/>
          <w:iCs/>
        </w:rPr>
        <w:t xml:space="preserve"> </w:t>
      </w:r>
      <w:r w:rsidRPr="00945AAB">
        <w:rPr>
          <w:rStyle w:val="Heading2Char"/>
          <w:rFonts w:ascii="Calibri" w:hAnsi="Calibri" w:cs="Calibri"/>
          <w:b w:val="0"/>
          <w:bCs w:val="0"/>
          <w:i/>
          <w:iCs/>
        </w:rPr>
        <w:t>:</w:t>
      </w:r>
      <w:r w:rsidRPr="00945AAB">
        <w:rPr>
          <w:rFonts w:asciiTheme="minorHAnsi" w:eastAsiaTheme="minorEastAsia" w:hAnsiTheme="minorHAnsi"/>
          <w:szCs w:val="24"/>
        </w:rPr>
        <w:t xml:space="preserve"> </w:t>
      </w:r>
      <w:r w:rsidRPr="2191ED1D" w:rsidR="789C7D0E">
        <w:rPr>
          <w:rFonts w:asciiTheme="minorHAnsi" w:eastAsiaTheme="minorEastAsia" w:hAnsiTheme="minorHAnsi"/>
          <w:szCs w:val="24"/>
        </w:rPr>
        <w:t xml:space="preserve">Per the requirements of section 14(e) of TSCA, all CBI claims (except those exempt under section </w:t>
      </w:r>
      <w:r w:rsidRPr="2191ED1D" w:rsidR="789C7D0E">
        <w:rPr>
          <w:rFonts w:asciiTheme="minorHAnsi" w:eastAsiaTheme="minorEastAsia" w:hAnsiTheme="minorHAnsi"/>
          <w:szCs w:val="24"/>
        </w:rPr>
        <w:t>14(c)</w:t>
      </w:r>
      <w:r w:rsidRPr="2191ED1D" w:rsidR="789C7D0E">
        <w:rPr>
          <w:rFonts w:asciiTheme="minorHAnsi" w:eastAsiaTheme="minorEastAsia" w:hAnsiTheme="minorHAnsi"/>
          <w:szCs w:val="24"/>
        </w:rPr>
        <w:t>(2)) expir</w:t>
      </w:r>
      <w:r w:rsidRPr="2191ED1D" w:rsidR="3CD14792">
        <w:rPr>
          <w:rFonts w:asciiTheme="minorHAnsi" w:eastAsiaTheme="minorEastAsia" w:hAnsiTheme="minorHAnsi"/>
          <w:szCs w:val="24"/>
        </w:rPr>
        <w:t xml:space="preserve">e after 10 years unless an extension is requested and approved.  </w:t>
      </w:r>
      <w:r w:rsidRPr="2191ED1D">
        <w:rPr>
          <w:rFonts w:asciiTheme="minorHAnsi" w:eastAsiaTheme="minorEastAsia" w:hAnsiTheme="minorHAnsi"/>
          <w:szCs w:val="24"/>
        </w:rPr>
        <w:t>Non-chemical identity claims expire ten years after the submission in which they were asserted is made</w:t>
      </w:r>
      <w:r w:rsidRPr="2191ED1D" w:rsidR="71FB984A">
        <w:rPr>
          <w:rFonts w:asciiTheme="minorHAnsi" w:eastAsiaTheme="minorEastAsia" w:hAnsiTheme="minorHAnsi"/>
          <w:szCs w:val="24"/>
        </w:rPr>
        <w:t xml:space="preserve"> (e.g., non-chemical identity claims made in 2016 in a CDR submission expire in 2026)</w:t>
      </w:r>
      <w:r w:rsidRPr="2191ED1D">
        <w:rPr>
          <w:rFonts w:asciiTheme="minorHAnsi" w:eastAsiaTheme="minorEastAsia" w:hAnsiTheme="minorHAnsi"/>
          <w:szCs w:val="24"/>
        </w:rPr>
        <w:t>.</w:t>
      </w:r>
      <w:r w:rsidRPr="2191ED1D" w:rsidR="37A01D30">
        <w:rPr>
          <w:rFonts w:asciiTheme="minorHAnsi" w:eastAsiaTheme="minorEastAsia" w:hAnsiTheme="minorHAnsi"/>
          <w:szCs w:val="24"/>
        </w:rPr>
        <w:t xml:space="preserve"> </w:t>
      </w:r>
      <w:r w:rsidRPr="2191ED1D">
        <w:rPr>
          <w:rFonts w:asciiTheme="minorHAnsi" w:eastAsiaTheme="minorEastAsia" w:hAnsiTheme="minorHAnsi"/>
          <w:szCs w:val="24"/>
        </w:rPr>
        <w:t xml:space="preserve"> Expiration of these claims is tracked on the submission level</w:t>
      </w:r>
      <w:r w:rsidRPr="2191ED1D" w:rsidR="47CE2893">
        <w:rPr>
          <w:rFonts w:asciiTheme="minorHAnsi" w:eastAsiaTheme="minorEastAsia" w:hAnsiTheme="minorHAnsi"/>
          <w:szCs w:val="24"/>
        </w:rPr>
        <w:t>, i.e., all of the claims in a given submission expire at the same time (except chemical identity claims)</w:t>
      </w:r>
      <w:r w:rsidRPr="2191ED1D">
        <w:rPr>
          <w:rFonts w:asciiTheme="minorHAnsi" w:eastAsiaTheme="minorEastAsia" w:hAnsiTheme="minorHAnsi"/>
          <w:szCs w:val="24"/>
        </w:rPr>
        <w:t>.</w:t>
      </w:r>
    </w:p>
    <w:p w:rsidR="2191ED1D" w:rsidP="2191ED1D" w14:paraId="1328CCED" w14:textId="0A188378">
      <w:pPr>
        <w:shd w:val="clear" w:color="auto" w:fill="FFFFFF" w:themeFill="background1"/>
        <w:spacing w:after="0"/>
        <w:rPr>
          <w:rFonts w:ascii="Segoe UI" w:eastAsia="Segoe UI" w:hAnsi="Segoe UI" w:cs="Segoe UI"/>
          <w:color w:val="333333"/>
          <w:sz w:val="18"/>
          <w:szCs w:val="18"/>
        </w:rPr>
      </w:pPr>
    </w:p>
    <w:p w:rsidR="6244596F" w:rsidP="2191ED1D" w14:paraId="0EC3F5F1" w14:textId="2BE78A4E">
      <w:pPr>
        <w:shd w:val="clear" w:color="auto" w:fill="FFFFFF" w:themeFill="background1"/>
        <w:spacing w:after="0"/>
        <w:rPr>
          <w:rFonts w:asciiTheme="minorHAnsi" w:eastAsiaTheme="minorEastAsia" w:hAnsiTheme="minorHAnsi"/>
          <w:szCs w:val="24"/>
        </w:rPr>
      </w:pPr>
      <w:r w:rsidRPr="2191ED1D">
        <w:rPr>
          <w:rFonts w:asciiTheme="minorHAnsi" w:eastAsiaTheme="minorEastAsia" w:hAnsiTheme="minorHAnsi"/>
          <w:szCs w:val="24"/>
        </w:rPr>
        <w:t xml:space="preserve">The expiration of chemical identity claims is not tracked on the submission level--chemical identity claims are tracked on the individual chemical level. </w:t>
      </w:r>
      <w:r w:rsidRPr="2191ED1D" w:rsidR="2C2DC20F">
        <w:rPr>
          <w:rFonts w:asciiTheme="minorHAnsi" w:eastAsiaTheme="minorEastAsia" w:hAnsiTheme="minorHAnsi"/>
          <w:szCs w:val="24"/>
        </w:rPr>
        <w:t xml:space="preserve"> </w:t>
      </w:r>
      <w:r w:rsidRPr="2191ED1D">
        <w:rPr>
          <w:rFonts w:asciiTheme="minorHAnsi" w:eastAsiaTheme="minorEastAsia" w:hAnsiTheme="minorHAnsi"/>
          <w:szCs w:val="24"/>
        </w:rPr>
        <w:t>Chemical identity claims expire every ten years also, but the expiration date is ten years after the first claim</w:t>
      </w:r>
      <w:r w:rsidRPr="2191ED1D" w:rsidR="215E95B9">
        <w:rPr>
          <w:rFonts w:asciiTheme="minorHAnsi" w:eastAsiaTheme="minorEastAsia" w:hAnsiTheme="minorHAnsi"/>
          <w:szCs w:val="24"/>
        </w:rPr>
        <w:t xml:space="preserve"> made on or after June 22, 2016</w:t>
      </w:r>
      <w:r w:rsidRPr="2191ED1D">
        <w:rPr>
          <w:rFonts w:asciiTheme="minorHAnsi" w:eastAsiaTheme="minorEastAsia" w:hAnsiTheme="minorHAnsi"/>
          <w:szCs w:val="24"/>
        </w:rPr>
        <w:t>.</w:t>
      </w:r>
      <w:r w:rsidRPr="2191ED1D" w:rsidR="0F8B949B">
        <w:rPr>
          <w:rFonts w:asciiTheme="minorHAnsi" w:eastAsiaTheme="minorEastAsia" w:hAnsiTheme="minorHAnsi"/>
          <w:szCs w:val="24"/>
        </w:rPr>
        <w:t xml:space="preserve"> </w:t>
      </w:r>
      <w:r w:rsidRPr="2191ED1D">
        <w:rPr>
          <w:rFonts w:asciiTheme="minorHAnsi" w:eastAsiaTheme="minorEastAsia" w:hAnsiTheme="minorHAnsi"/>
          <w:szCs w:val="24"/>
        </w:rPr>
        <w:t xml:space="preserve"> As EPA explained in </w:t>
      </w:r>
      <w:r w:rsidR="00945AAB">
        <w:rPr>
          <w:rFonts w:asciiTheme="minorHAnsi" w:eastAsiaTheme="minorEastAsia" w:hAnsiTheme="minorHAnsi"/>
          <w:szCs w:val="24"/>
        </w:rPr>
        <w:t>(</w:t>
      </w:r>
      <w:r w:rsidRPr="2191ED1D" w:rsidR="6069F792">
        <w:rPr>
          <w:rFonts w:asciiTheme="minorHAnsi" w:eastAsiaTheme="minorEastAsia" w:hAnsiTheme="minorHAnsi"/>
          <w:szCs w:val="24"/>
        </w:rPr>
        <w:t>83 FR 30168</w:t>
      </w:r>
      <w:r w:rsidR="00945AAB">
        <w:rPr>
          <w:rFonts w:asciiTheme="minorHAnsi" w:eastAsiaTheme="minorEastAsia" w:hAnsiTheme="minorHAnsi"/>
          <w:szCs w:val="24"/>
        </w:rPr>
        <w:t>,</w:t>
      </w:r>
      <w:r w:rsidRPr="2191ED1D" w:rsidR="6069F792">
        <w:rPr>
          <w:rFonts w:asciiTheme="minorHAnsi" w:eastAsiaTheme="minorEastAsia" w:hAnsiTheme="minorHAnsi"/>
          <w:szCs w:val="24"/>
        </w:rPr>
        <w:t xml:space="preserve"> June 27, 2018</w:t>
      </w:r>
      <w:r w:rsidR="00945AAB">
        <w:rPr>
          <w:rFonts w:asciiTheme="minorHAnsi" w:eastAsiaTheme="minorEastAsia" w:hAnsiTheme="minorHAnsi"/>
          <w:szCs w:val="24"/>
        </w:rPr>
        <w:t>)</w:t>
      </w:r>
      <w:r w:rsidRPr="2191ED1D">
        <w:rPr>
          <w:rFonts w:asciiTheme="minorHAnsi" w:eastAsiaTheme="minorEastAsia" w:hAnsiTheme="minorHAnsi"/>
          <w:szCs w:val="24"/>
        </w:rPr>
        <w:t xml:space="preserve">, </w:t>
      </w:r>
      <w:r w:rsidRPr="2191ED1D" w:rsidR="41F30F8C">
        <w:rPr>
          <w:rFonts w:asciiTheme="minorHAnsi" w:eastAsiaTheme="minorEastAsia" w:hAnsiTheme="minorHAnsi"/>
          <w:szCs w:val="24"/>
        </w:rPr>
        <w:t>each confidential chemical identity has one unique identifier and one CBI claim expiration date</w:t>
      </w:r>
      <w:r w:rsidRPr="2191ED1D" w:rsidR="7E2546C1">
        <w:rPr>
          <w:rFonts w:asciiTheme="minorHAnsi" w:eastAsiaTheme="minorEastAsia" w:hAnsiTheme="minorHAnsi"/>
          <w:szCs w:val="24"/>
        </w:rPr>
        <w:t>, both of which are required to be published on a list at least annually (EPA implements this requirement by including the UID and</w:t>
      </w:r>
      <w:r w:rsidRPr="2191ED1D" w:rsidR="76C19DD3">
        <w:rPr>
          <w:rFonts w:asciiTheme="minorHAnsi" w:eastAsiaTheme="minorEastAsia" w:hAnsiTheme="minorHAnsi"/>
          <w:szCs w:val="24"/>
        </w:rPr>
        <w:t xml:space="preserve"> expiration date in </w:t>
      </w:r>
      <w:r w:rsidRPr="2191ED1D" w:rsidR="7E2546C1">
        <w:rPr>
          <w:rFonts w:asciiTheme="minorHAnsi" w:eastAsiaTheme="minorEastAsia" w:hAnsiTheme="minorHAnsi"/>
          <w:szCs w:val="24"/>
        </w:rPr>
        <w:t xml:space="preserve">the public </w:t>
      </w:r>
      <w:r w:rsidRPr="2191ED1D" w:rsidR="0E8CD780">
        <w:rPr>
          <w:rFonts w:asciiTheme="minorHAnsi" w:eastAsiaTheme="minorEastAsia" w:hAnsiTheme="minorHAnsi"/>
          <w:szCs w:val="24"/>
        </w:rPr>
        <w:t xml:space="preserve">TSCA </w:t>
      </w:r>
      <w:r w:rsidRPr="2191ED1D" w:rsidR="7E2546C1">
        <w:rPr>
          <w:rFonts w:asciiTheme="minorHAnsi" w:eastAsiaTheme="minorEastAsia" w:hAnsiTheme="minorHAnsi"/>
          <w:szCs w:val="24"/>
        </w:rPr>
        <w:t>Inventory listing</w:t>
      </w:r>
      <w:r w:rsidRPr="2191ED1D" w:rsidR="67B681DF">
        <w:rPr>
          <w:rFonts w:asciiTheme="minorHAnsi" w:eastAsiaTheme="minorEastAsia" w:hAnsiTheme="minorHAnsi"/>
          <w:szCs w:val="24"/>
        </w:rPr>
        <w:t>, typically updated twice a year</w:t>
      </w:r>
      <w:r w:rsidRPr="2191ED1D" w:rsidR="7E2546C1">
        <w:rPr>
          <w:rFonts w:asciiTheme="minorHAnsi" w:eastAsiaTheme="minorEastAsia" w:hAnsiTheme="minorHAnsi"/>
          <w:szCs w:val="24"/>
        </w:rPr>
        <w:t>)</w:t>
      </w:r>
      <w:r w:rsidRPr="2191ED1D" w:rsidR="41F30F8C">
        <w:rPr>
          <w:rFonts w:asciiTheme="minorHAnsi" w:eastAsiaTheme="minorEastAsia" w:hAnsiTheme="minorHAnsi"/>
          <w:szCs w:val="24"/>
        </w:rPr>
        <w:t>.  T</w:t>
      </w:r>
      <w:r w:rsidRPr="2191ED1D">
        <w:rPr>
          <w:rFonts w:asciiTheme="minorHAnsi" w:eastAsiaTheme="minorEastAsia" w:hAnsiTheme="minorHAnsi"/>
          <w:szCs w:val="24"/>
        </w:rPr>
        <w:t xml:space="preserve">he </w:t>
      </w:r>
      <w:r w:rsidRPr="2191ED1D" w:rsidR="434AF3C3">
        <w:rPr>
          <w:rFonts w:asciiTheme="minorHAnsi" w:eastAsiaTheme="minorEastAsia" w:hAnsiTheme="minorHAnsi"/>
          <w:szCs w:val="24"/>
        </w:rPr>
        <w:t xml:space="preserve">claim </w:t>
      </w:r>
      <w:r w:rsidRPr="2191ED1D">
        <w:rPr>
          <w:rFonts w:asciiTheme="minorHAnsi" w:eastAsiaTheme="minorEastAsia" w:hAnsiTheme="minorHAnsi"/>
          <w:szCs w:val="24"/>
        </w:rPr>
        <w:t xml:space="preserve">expiration date is not reset each time the same chemical identity is reasserted in a new TSCA submission or else the chemical identity claim would either have multiple expiration dates (corresponding to each submission concerning that substance) or it would never have a fixed expiration date at all, which is inconsistent with the requirements of section 14(e)). </w:t>
      </w:r>
    </w:p>
    <w:p w:rsidR="2191ED1D" w:rsidP="2191ED1D" w14:paraId="08EE64BE" w14:textId="6401E9D1">
      <w:pPr>
        <w:shd w:val="clear" w:color="auto" w:fill="FFFFFF" w:themeFill="background1"/>
        <w:spacing w:after="0"/>
        <w:rPr>
          <w:rFonts w:asciiTheme="minorHAnsi" w:eastAsiaTheme="minorEastAsia" w:hAnsiTheme="minorHAnsi"/>
          <w:szCs w:val="24"/>
        </w:rPr>
      </w:pPr>
    </w:p>
    <w:p w:rsidR="2191ED1D" w:rsidP="66874D1C" w14:paraId="4D767B82" w14:textId="4080DD87">
      <w:pPr>
        <w:shd w:val="clear" w:color="auto" w:fill="FFFFFF" w:themeFill="background1"/>
        <w:spacing w:after="0"/>
        <w:rPr>
          <w:rFonts w:asciiTheme="minorHAnsi" w:eastAsiaTheme="minorEastAsia" w:hAnsiTheme="minorHAnsi"/>
        </w:rPr>
      </w:pPr>
      <w:r w:rsidRPr="66874D1C">
        <w:rPr>
          <w:rFonts w:asciiTheme="minorHAnsi" w:eastAsiaTheme="minorEastAsia" w:hAnsiTheme="minorHAnsi"/>
        </w:rPr>
        <w:t>Relatedly, TSCA requires that submitters of CBI claims, including for chemical identity, assert, substantiate, and follow other requirements in section 14 of TSCA each time they submit a CBI claim. Section 14 also requires that EPA review every chemical identity CBI claim asserted for a chemical that is offered for commercial distribution every time it is asserted.  EPA canno</w:t>
      </w:r>
      <w:r w:rsidR="00723FE0">
        <w:rPr>
          <w:rFonts w:asciiTheme="minorHAnsi" w:eastAsiaTheme="minorEastAsia" w:hAnsiTheme="minorHAnsi"/>
        </w:rPr>
        <w:t>t</w:t>
      </w:r>
      <w:r w:rsidRPr="66874D1C">
        <w:rPr>
          <w:rFonts w:asciiTheme="minorHAnsi" w:eastAsiaTheme="minorEastAsia" w:hAnsiTheme="minorHAnsi"/>
        </w:rPr>
        <w:t xml:space="preserve"> waive or ignore these statutory requirements.  EPA must deny CBI claims that are asserted without </w:t>
      </w:r>
      <w:r w:rsidRPr="66874D1C" w:rsidR="00D34E93">
        <w:rPr>
          <w:rFonts w:asciiTheme="minorHAnsi" w:eastAsiaTheme="minorEastAsia" w:hAnsiTheme="minorHAnsi"/>
        </w:rPr>
        <w:t>substantiation and</w:t>
      </w:r>
      <w:r w:rsidRPr="66874D1C">
        <w:rPr>
          <w:rFonts w:asciiTheme="minorHAnsi" w:eastAsiaTheme="minorEastAsia" w:hAnsiTheme="minorHAnsi"/>
        </w:rPr>
        <w:t xml:space="preserve"> will consider CBI claims as waived or withdrawn when information is submitted under TSCA without a claim of CBI.  CBI claims only expire after the 10-year period of protection afforded to that particular claim, though such claims may be time-limited by their submitter to less than 10 years, and may be waived, withdrawn, or denied before that 10-year period has elapsed.</w:t>
      </w:r>
    </w:p>
    <w:p w:rsidR="00945AAB" w:rsidRPr="00945AAB" w:rsidP="00945AAB" w14:paraId="28E72B66" w14:textId="77777777">
      <w:pPr>
        <w:shd w:val="clear" w:color="auto" w:fill="FFFFFF" w:themeFill="background1"/>
        <w:spacing w:after="0"/>
        <w:rPr>
          <w:rFonts w:asciiTheme="minorHAnsi" w:eastAsiaTheme="minorEastAsia" w:hAnsiTheme="minorHAnsi"/>
          <w:szCs w:val="24"/>
        </w:rPr>
      </w:pPr>
    </w:p>
    <w:p w:rsidR="00EE37AC" w:rsidP="0051750E" w14:paraId="2386CB58" w14:textId="46BA0C7D">
      <w:pPr>
        <w:rPr>
          <w:rFonts w:ascii="Calibri" w:hAnsi="Calibri" w:cs="Calibri"/>
        </w:rPr>
      </w:pPr>
      <w:r w:rsidRPr="00945AAB">
        <w:rPr>
          <w:rStyle w:val="Heading2Char"/>
          <w:rFonts w:asciiTheme="minorHAnsi" w:hAnsiTheme="minorHAnsi" w:cstheme="minorHAnsi"/>
          <w:b w:val="0"/>
          <w:bCs w:val="0"/>
          <w:i/>
          <w:iCs/>
        </w:rPr>
        <w:t>Comment Summary 2</w:t>
      </w:r>
      <w:r w:rsidRPr="00945AAB">
        <w:rPr>
          <w:rFonts w:asciiTheme="minorHAnsi" w:hAnsiTheme="minorHAnsi" w:cstheme="minorHAnsi"/>
          <w:b/>
          <w:bCs/>
          <w:i/>
          <w:iCs/>
        </w:rPr>
        <w:t>:</w:t>
      </w:r>
      <w:r w:rsidRPr="2191ED1D">
        <w:rPr>
          <w:rFonts w:asciiTheme="minorHAnsi" w:hAnsiTheme="minorHAnsi"/>
        </w:rPr>
        <w:t xml:space="preserve"> </w:t>
      </w:r>
      <w:r w:rsidRPr="2191ED1D" w:rsidR="00270F96">
        <w:rPr>
          <w:rFonts w:asciiTheme="minorHAnsi" w:hAnsiTheme="minorHAnsi"/>
        </w:rPr>
        <w:t xml:space="preserve">For clarity of instructions, </w:t>
      </w:r>
      <w:r w:rsidRPr="2191ED1D">
        <w:rPr>
          <w:rFonts w:asciiTheme="minorHAnsi" w:hAnsiTheme="minorHAnsi"/>
        </w:rPr>
        <w:t xml:space="preserve">commenters </w:t>
      </w:r>
      <w:r w:rsidRPr="2191ED1D" w:rsidR="00C32976">
        <w:rPr>
          <w:rFonts w:asciiTheme="minorHAnsi" w:hAnsiTheme="minorHAnsi"/>
        </w:rPr>
        <w:t>assert</w:t>
      </w:r>
      <w:r w:rsidRPr="2191ED1D" w:rsidR="00F97E92">
        <w:rPr>
          <w:rFonts w:asciiTheme="minorHAnsi" w:hAnsiTheme="minorHAnsi"/>
        </w:rPr>
        <w:t>ed</w:t>
      </w:r>
      <w:r w:rsidRPr="2191ED1D" w:rsidR="00C32976">
        <w:rPr>
          <w:rFonts w:asciiTheme="minorHAnsi" w:hAnsiTheme="minorHAnsi"/>
        </w:rPr>
        <w:t xml:space="preserve"> that the regulatory requirements are clear however, </w:t>
      </w:r>
      <w:r w:rsidRPr="2191ED1D" w:rsidR="00F97E92">
        <w:rPr>
          <w:rFonts w:asciiTheme="minorHAnsi" w:hAnsiTheme="minorHAnsi"/>
        </w:rPr>
        <w:t>a</w:t>
      </w:r>
      <w:r w:rsidRPr="2191ED1D" w:rsidR="00C32976">
        <w:rPr>
          <w:rFonts w:asciiTheme="minorHAnsi" w:hAnsiTheme="minorHAnsi"/>
        </w:rPr>
        <w:t xml:space="preserve"> commenter suggest</w:t>
      </w:r>
      <w:r w:rsidRPr="2191ED1D" w:rsidR="00F97E92">
        <w:rPr>
          <w:rFonts w:asciiTheme="minorHAnsi" w:hAnsiTheme="minorHAnsi"/>
        </w:rPr>
        <w:t>ed</w:t>
      </w:r>
      <w:r w:rsidRPr="2191ED1D" w:rsidR="00C32976">
        <w:rPr>
          <w:rFonts w:asciiTheme="minorHAnsi" w:hAnsiTheme="minorHAnsi"/>
        </w:rPr>
        <w:t xml:space="preserve"> needed clarity on the re-substantiation process. Specifically, the commenter note</w:t>
      </w:r>
      <w:r w:rsidRPr="2191ED1D" w:rsidR="00850511">
        <w:rPr>
          <w:rFonts w:asciiTheme="minorHAnsi" w:hAnsiTheme="minorHAnsi"/>
        </w:rPr>
        <w:t>d</w:t>
      </w:r>
      <w:r w:rsidRPr="2191ED1D" w:rsidR="00C32976">
        <w:rPr>
          <w:rFonts w:asciiTheme="minorHAnsi" w:hAnsiTheme="minorHAnsi"/>
        </w:rPr>
        <w:t xml:space="preserve"> the Agency should be proactive in reaching out to companies regarding claims because of personnel turnover, and that the CBI claims should be based on chemical substances level and not the initial submission.  </w:t>
      </w:r>
      <w:r w:rsidRPr="2191ED1D">
        <w:rPr>
          <w:rFonts w:asciiTheme="minorHAnsi" w:hAnsiTheme="minorHAnsi"/>
        </w:rPr>
        <w:t xml:space="preserve">The commenters </w:t>
      </w:r>
      <w:r w:rsidRPr="2191ED1D" w:rsidR="00C32976">
        <w:rPr>
          <w:rFonts w:ascii="Calibri" w:hAnsi="Calibri" w:cs="Calibri"/>
        </w:rPr>
        <w:t xml:space="preserve">also </w:t>
      </w:r>
      <w:r w:rsidRPr="2191ED1D" w:rsidR="007079ED">
        <w:rPr>
          <w:rFonts w:ascii="Calibri" w:hAnsi="Calibri" w:cs="Calibri"/>
        </w:rPr>
        <w:t>recommend</w:t>
      </w:r>
      <w:r w:rsidRPr="2191ED1D" w:rsidR="00850511">
        <w:rPr>
          <w:rFonts w:ascii="Calibri" w:hAnsi="Calibri" w:cs="Calibri"/>
        </w:rPr>
        <w:t>ed</w:t>
      </w:r>
      <w:r w:rsidRPr="2191ED1D" w:rsidR="00C32976">
        <w:rPr>
          <w:rFonts w:ascii="Calibri" w:hAnsi="Calibri" w:cs="Calibri"/>
        </w:rPr>
        <w:t xml:space="preserve"> that CBI claims associated with CDR submissions be addressed during the subsequent CDR reporting cycle, rather than triggering independent re-substantiation obligations tied to prior submissions. </w:t>
      </w:r>
      <w:r w:rsidRPr="2191ED1D" w:rsidR="00527CDF">
        <w:rPr>
          <w:rFonts w:ascii="Calibri" w:hAnsi="Calibri" w:cs="Calibri"/>
        </w:rPr>
        <w:t>Commenters note</w:t>
      </w:r>
      <w:r w:rsidRPr="2191ED1D" w:rsidR="00056768">
        <w:rPr>
          <w:rFonts w:ascii="Calibri" w:hAnsi="Calibri" w:cs="Calibri"/>
        </w:rPr>
        <w:t>d</w:t>
      </w:r>
      <w:r w:rsidRPr="2191ED1D" w:rsidR="00527CDF">
        <w:rPr>
          <w:rFonts w:ascii="Calibri" w:hAnsi="Calibri" w:cs="Calibri"/>
        </w:rPr>
        <w:t xml:space="preserve"> instructions provided in CDX are clear, although the Agency could provide updates to the reporting templates since they were last updated in 2023. </w:t>
      </w:r>
      <w:r w:rsidRPr="2191ED1D" w:rsidR="00162F81">
        <w:rPr>
          <w:rFonts w:ascii="Calibri" w:hAnsi="Calibri" w:cs="Calibri"/>
        </w:rPr>
        <w:t xml:space="preserve">Commenters also asserted that the Agency should provide guidance </w:t>
      </w:r>
      <w:r w:rsidRPr="2191ED1D" w:rsidR="00283194">
        <w:rPr>
          <w:rFonts w:ascii="Calibri" w:hAnsi="Calibri" w:cs="Calibri"/>
        </w:rPr>
        <w:t>on re-substan</w:t>
      </w:r>
      <w:r w:rsidRPr="2191ED1D" w:rsidR="00056768">
        <w:rPr>
          <w:rFonts w:ascii="Calibri" w:hAnsi="Calibri" w:cs="Calibri"/>
        </w:rPr>
        <w:t>t</w:t>
      </w:r>
      <w:r w:rsidRPr="2191ED1D" w:rsidR="5F707A6C">
        <w:rPr>
          <w:rFonts w:ascii="Calibri" w:hAnsi="Calibri" w:cs="Calibri"/>
        </w:rPr>
        <w:t>iation</w:t>
      </w:r>
      <w:r w:rsidRPr="2191ED1D" w:rsidR="00056768">
        <w:rPr>
          <w:rFonts w:ascii="Calibri" w:hAnsi="Calibri" w:cs="Calibri"/>
        </w:rPr>
        <w:t xml:space="preserve"> </w:t>
      </w:r>
      <w:r w:rsidRPr="2191ED1D" w:rsidR="00283194">
        <w:rPr>
          <w:rFonts w:ascii="Calibri" w:hAnsi="Calibri" w:cs="Calibri"/>
        </w:rPr>
        <w:t xml:space="preserve"> submissions that </w:t>
      </w:r>
      <w:r w:rsidRPr="2191ED1D" w:rsidR="00535054">
        <w:rPr>
          <w:rFonts w:ascii="Calibri" w:hAnsi="Calibri" w:cs="Calibri"/>
        </w:rPr>
        <w:t>covers</w:t>
      </w:r>
      <w:r w:rsidRPr="2191ED1D" w:rsidR="00283194">
        <w:rPr>
          <w:rFonts w:ascii="Calibri" w:hAnsi="Calibri" w:cs="Calibri"/>
        </w:rPr>
        <w:t xml:space="preserve"> </w:t>
      </w:r>
      <w:r w:rsidRPr="2191ED1D" w:rsidR="00BA1151">
        <w:rPr>
          <w:rFonts w:ascii="Calibri" w:hAnsi="Calibri" w:cs="Calibri"/>
        </w:rPr>
        <w:t xml:space="preserve">1) submission types in scope for the 10-year expiration and extension process 2) </w:t>
      </w:r>
      <w:r w:rsidRPr="2191ED1D" w:rsidR="00683229">
        <w:rPr>
          <w:rFonts w:ascii="Calibri" w:hAnsi="Calibri" w:cs="Calibri"/>
        </w:rPr>
        <w:t xml:space="preserve">how expiration is claims are calculated 3) </w:t>
      </w:r>
      <w:r w:rsidRPr="2191ED1D" w:rsidR="00CC5A95">
        <w:rPr>
          <w:rFonts w:ascii="Calibri" w:hAnsi="Calibri" w:cs="Calibri"/>
        </w:rPr>
        <w:t xml:space="preserve">duplicative claims for other types of TSCA reporting </w:t>
      </w:r>
      <w:r w:rsidRPr="2191ED1D" w:rsidR="00CC5A95">
        <w:rPr>
          <w:rFonts w:ascii="Calibri" w:hAnsi="Calibri" w:cs="Calibri"/>
        </w:rPr>
        <w:t>ie</w:t>
      </w:r>
      <w:r w:rsidRPr="2191ED1D" w:rsidR="00CC5A95">
        <w:rPr>
          <w:rFonts w:ascii="Calibri" w:hAnsi="Calibri" w:cs="Calibri"/>
        </w:rPr>
        <w:t xml:space="preserve"> CDR</w:t>
      </w:r>
      <w:r w:rsidRPr="2191ED1D" w:rsidR="00F85532">
        <w:rPr>
          <w:rFonts w:ascii="Calibri" w:hAnsi="Calibri" w:cs="Calibri"/>
        </w:rPr>
        <w:t>, and section</w:t>
      </w:r>
      <w:r w:rsidRPr="2191ED1D" w:rsidR="008B503C">
        <w:rPr>
          <w:rFonts w:ascii="Calibri" w:hAnsi="Calibri" w:cs="Calibri"/>
        </w:rPr>
        <w:t>s</w:t>
      </w:r>
      <w:r w:rsidRPr="2191ED1D" w:rsidR="00F85532">
        <w:rPr>
          <w:rFonts w:ascii="Calibri" w:hAnsi="Calibri" w:cs="Calibri"/>
        </w:rPr>
        <w:t xml:space="preserve"> for “scope and applicability”</w:t>
      </w:r>
      <w:r w:rsidRPr="2191ED1D" w:rsidR="00994578">
        <w:rPr>
          <w:rFonts w:ascii="Calibri" w:hAnsi="Calibri" w:cs="Calibri"/>
        </w:rPr>
        <w:t xml:space="preserve"> </w:t>
      </w:r>
      <w:r w:rsidRPr="2191ED1D" w:rsidR="008B503C">
        <w:rPr>
          <w:rFonts w:ascii="Calibri" w:hAnsi="Calibri" w:cs="Calibri"/>
        </w:rPr>
        <w:t xml:space="preserve">and a checklist for </w:t>
      </w:r>
      <w:r w:rsidRPr="2191ED1D" w:rsidR="00BA55BF">
        <w:rPr>
          <w:rFonts w:ascii="Calibri" w:hAnsi="Calibri" w:cs="Calibri"/>
        </w:rPr>
        <w:t xml:space="preserve">“what must be substantiated.” </w:t>
      </w:r>
      <w:r w:rsidRPr="2191ED1D" w:rsidR="00CC5A95">
        <w:rPr>
          <w:rFonts w:ascii="Calibri" w:hAnsi="Calibri" w:cs="Calibri"/>
        </w:rPr>
        <w:t xml:space="preserve"> </w:t>
      </w:r>
    </w:p>
    <w:p w:rsidR="622CA7EC" w:rsidP="66874D1C" w14:paraId="54A313FA" w14:textId="2ABF5006">
      <w:pPr>
        <w:rPr>
          <w:rFonts w:asciiTheme="minorHAnsi" w:eastAsiaTheme="minorEastAsia" w:hAnsiTheme="minorHAnsi"/>
        </w:rPr>
      </w:pPr>
      <w:r w:rsidRPr="66874D1C">
        <w:rPr>
          <w:rStyle w:val="Heading2Char"/>
          <w:rFonts w:ascii="Calibri" w:hAnsi="Calibri" w:cs="Calibri"/>
          <w:b w:val="0"/>
          <w:bCs w:val="0"/>
          <w:i/>
          <w:iCs/>
        </w:rPr>
        <w:t>Response:</w:t>
      </w:r>
      <w:r w:rsidRPr="66874D1C">
        <w:rPr>
          <w:rStyle w:val="Heading2Char"/>
          <w:rFonts w:ascii="Calibri" w:hAnsi="Calibri" w:cs="Calibri"/>
          <w:i/>
          <w:iCs/>
        </w:rPr>
        <w:t xml:space="preserve"> </w:t>
      </w:r>
      <w:r w:rsidRPr="66874D1C">
        <w:rPr>
          <w:rFonts w:ascii="Calibri" w:hAnsi="Calibri" w:cs="Calibri"/>
        </w:rPr>
        <w:t xml:space="preserve"> </w:t>
      </w:r>
      <w:r w:rsidRPr="66874D1C">
        <w:rPr>
          <w:rFonts w:asciiTheme="minorHAnsi" w:eastAsiaTheme="minorEastAsia" w:hAnsiTheme="minorHAnsi"/>
        </w:rPr>
        <w:t xml:space="preserve">EPA has provided initial guidance and notice of expiring claims on its website </w:t>
      </w:r>
      <w:hyperlink r:id="rId9">
        <w:r w:rsidRPr="66874D1C">
          <w:rPr>
            <w:rStyle w:val="Hyperlink"/>
            <w:rFonts w:asciiTheme="minorHAnsi" w:eastAsiaTheme="minorEastAsia" w:hAnsiTheme="minorHAnsi"/>
            <w:i/>
            <w:iCs/>
            <w:color w:val="auto"/>
            <w:u w:val="none"/>
          </w:rPr>
          <w:t>https://www.epa.gov/tsca-cbi/cbi-claim-expiration</w:t>
        </w:r>
      </w:hyperlink>
      <w:r w:rsidRPr="66874D1C">
        <w:rPr>
          <w:rFonts w:asciiTheme="minorHAnsi" w:eastAsiaTheme="minorEastAsia" w:hAnsiTheme="minorHAnsi"/>
        </w:rPr>
        <w:t xml:space="preserve">; see also (91 FR 371, January 6, 2026) and will be enhancing this initial information as the CBI claim extension request program is implemented. EPA is issuing expiration notices by listing submissions and chemical identities with expiring claims on its website and, where feasible, </w:t>
      </w:r>
      <w:r w:rsidRPr="66874D1C">
        <w:rPr>
          <w:rFonts w:asciiTheme="minorHAnsi" w:eastAsiaTheme="minorEastAsia" w:hAnsiTheme="minorHAnsi"/>
        </w:rPr>
        <w:t>by</w:t>
      </w:r>
      <w:r w:rsidRPr="66874D1C">
        <w:rPr>
          <w:rFonts w:asciiTheme="minorHAnsi" w:eastAsiaTheme="minorEastAsia" w:hAnsiTheme="minorHAnsi"/>
        </w:rPr>
        <w:t xml:space="preserve"> individual electronic notice to companies via CDX.  This is consistent with the notice requirements in TSCA section 14(e) and 40 CFR 703.5(h).  </w:t>
      </w:r>
    </w:p>
    <w:p w:rsidR="0D221467" w:rsidP="2191ED1D" w14:paraId="4D25975E" w14:textId="1CB5F643">
      <w:pPr>
        <w:rPr>
          <w:rFonts w:asciiTheme="minorHAnsi" w:eastAsiaTheme="minorEastAsia" w:hAnsiTheme="minorHAnsi"/>
          <w:szCs w:val="24"/>
        </w:rPr>
      </w:pPr>
      <w:r w:rsidRPr="2191ED1D">
        <w:rPr>
          <w:rFonts w:asciiTheme="minorHAnsi" w:eastAsiaTheme="minorEastAsia" w:hAnsiTheme="minorHAnsi"/>
          <w:szCs w:val="24"/>
        </w:rPr>
        <w:t xml:space="preserve">EPA does not view the assertion of similar CBI claims in subsequent CDR reporting periods as asserting the same claim (except in the case of chemical identity claims). As such, </w:t>
      </w:r>
      <w:r w:rsidRPr="2191ED1D" w:rsidR="07969A92">
        <w:rPr>
          <w:rFonts w:asciiTheme="minorHAnsi" w:eastAsiaTheme="minorEastAsia" w:hAnsiTheme="minorHAnsi"/>
          <w:szCs w:val="24"/>
        </w:rPr>
        <w:t xml:space="preserve">approval of </w:t>
      </w:r>
      <w:r w:rsidRPr="2191ED1D">
        <w:rPr>
          <w:rFonts w:asciiTheme="minorHAnsi" w:eastAsiaTheme="minorEastAsia" w:hAnsiTheme="minorHAnsi"/>
          <w:szCs w:val="24"/>
        </w:rPr>
        <w:t xml:space="preserve">a company's CBI claim for export volume or company identity in 2020 does not depend on whether it made similar claims in 2016. If a company lets its non-chemical identity 2016 CDR claims expire in 2026, the expiration of those claims does not affect the 2020 or 2024 </w:t>
      </w:r>
      <w:r w:rsidRPr="2191ED1D" w:rsidR="78CCDF8D">
        <w:rPr>
          <w:rFonts w:asciiTheme="minorHAnsi" w:eastAsiaTheme="minorEastAsia" w:hAnsiTheme="minorHAnsi"/>
          <w:szCs w:val="24"/>
        </w:rPr>
        <w:t xml:space="preserve">CDR </w:t>
      </w:r>
      <w:r w:rsidRPr="2191ED1D">
        <w:rPr>
          <w:rFonts w:asciiTheme="minorHAnsi" w:eastAsiaTheme="minorEastAsia" w:hAnsiTheme="minorHAnsi"/>
          <w:szCs w:val="24"/>
        </w:rPr>
        <w:t xml:space="preserve">claims the same company may have made for similar information. </w:t>
      </w:r>
      <w:r w:rsidRPr="2191ED1D" w:rsidR="5770A191">
        <w:rPr>
          <w:rFonts w:asciiTheme="minorHAnsi" w:eastAsiaTheme="minorEastAsia" w:hAnsiTheme="minorHAnsi"/>
          <w:szCs w:val="24"/>
        </w:rPr>
        <w:t xml:space="preserve">Even if these periodic claims for similar information were considered the same claim, </w:t>
      </w:r>
      <w:r w:rsidRPr="2191ED1D" w:rsidR="649CC80E">
        <w:rPr>
          <w:rFonts w:asciiTheme="minorHAnsi" w:eastAsiaTheme="minorEastAsia" w:hAnsiTheme="minorHAnsi"/>
          <w:szCs w:val="24"/>
        </w:rPr>
        <w:t>companies would still have to assert and substantiate the claim each time the information is reported, as is the case with chemical identity claims</w:t>
      </w:r>
      <w:r w:rsidRPr="2191ED1D" w:rsidR="48B997DE">
        <w:rPr>
          <w:rFonts w:asciiTheme="minorHAnsi" w:eastAsiaTheme="minorEastAsia" w:hAnsiTheme="minorHAnsi"/>
          <w:szCs w:val="24"/>
        </w:rPr>
        <w:t xml:space="preserve">; TSCA section 14(e) provides </w:t>
      </w:r>
      <w:r w:rsidRPr="2191ED1D" w:rsidR="13FDF0C3">
        <w:rPr>
          <w:rFonts w:asciiTheme="minorHAnsi" w:eastAsiaTheme="minorEastAsia" w:hAnsiTheme="minorHAnsi"/>
          <w:szCs w:val="24"/>
        </w:rPr>
        <w:t>that CBI claims automatically expire after</w:t>
      </w:r>
      <w:r w:rsidRPr="2191ED1D" w:rsidR="48B997DE">
        <w:rPr>
          <w:rFonts w:asciiTheme="minorHAnsi" w:eastAsiaTheme="minorEastAsia" w:hAnsiTheme="minorHAnsi"/>
          <w:szCs w:val="24"/>
        </w:rPr>
        <w:t xml:space="preserve"> 10</w:t>
      </w:r>
      <w:r w:rsidRPr="2191ED1D" w:rsidR="1781E510">
        <w:rPr>
          <w:rFonts w:asciiTheme="minorHAnsi" w:eastAsiaTheme="minorEastAsia" w:hAnsiTheme="minorHAnsi"/>
          <w:szCs w:val="24"/>
        </w:rPr>
        <w:t xml:space="preserve"> </w:t>
      </w:r>
      <w:r w:rsidRPr="2191ED1D" w:rsidR="48B997DE">
        <w:rPr>
          <w:rFonts w:asciiTheme="minorHAnsi" w:eastAsiaTheme="minorEastAsia" w:hAnsiTheme="minorHAnsi"/>
          <w:szCs w:val="24"/>
        </w:rPr>
        <w:t>year</w:t>
      </w:r>
      <w:r w:rsidRPr="2191ED1D" w:rsidR="4B137AD6">
        <w:rPr>
          <w:rFonts w:asciiTheme="minorHAnsi" w:eastAsiaTheme="minorEastAsia" w:hAnsiTheme="minorHAnsi"/>
          <w:szCs w:val="24"/>
        </w:rPr>
        <w:t>s</w:t>
      </w:r>
      <w:r w:rsidRPr="2191ED1D" w:rsidR="48B997DE">
        <w:rPr>
          <w:rFonts w:asciiTheme="minorHAnsi" w:eastAsiaTheme="minorEastAsia" w:hAnsiTheme="minorHAnsi"/>
          <w:szCs w:val="24"/>
        </w:rPr>
        <w:t xml:space="preserve"> </w:t>
      </w:r>
      <w:r w:rsidRPr="2191ED1D" w:rsidR="055336E7">
        <w:rPr>
          <w:rFonts w:asciiTheme="minorHAnsi" w:eastAsiaTheme="minorEastAsia" w:hAnsiTheme="minorHAnsi"/>
          <w:szCs w:val="24"/>
        </w:rPr>
        <w:t>unless extension is requested. Section 14(e) does not provide a 10</w:t>
      </w:r>
      <w:r w:rsidRPr="2191ED1D" w:rsidR="4FEF313A">
        <w:rPr>
          <w:rFonts w:asciiTheme="minorHAnsi" w:eastAsiaTheme="minorEastAsia" w:hAnsiTheme="minorHAnsi"/>
          <w:szCs w:val="24"/>
        </w:rPr>
        <w:t>-</w:t>
      </w:r>
      <w:r w:rsidRPr="2191ED1D" w:rsidR="055336E7">
        <w:rPr>
          <w:rFonts w:asciiTheme="minorHAnsi" w:eastAsiaTheme="minorEastAsia" w:hAnsiTheme="minorHAnsi"/>
          <w:szCs w:val="24"/>
        </w:rPr>
        <w:t xml:space="preserve">year period wherein CBI </w:t>
      </w:r>
      <w:r w:rsidRPr="2191ED1D" w:rsidR="55E292E0">
        <w:rPr>
          <w:rFonts w:asciiTheme="minorHAnsi" w:eastAsiaTheme="minorEastAsia" w:hAnsiTheme="minorHAnsi"/>
          <w:szCs w:val="24"/>
        </w:rPr>
        <w:t>treatment</w:t>
      </w:r>
      <w:r w:rsidRPr="2191ED1D" w:rsidR="45D3DB4F">
        <w:rPr>
          <w:rFonts w:asciiTheme="minorHAnsi" w:eastAsiaTheme="minorEastAsia" w:hAnsiTheme="minorHAnsi"/>
          <w:szCs w:val="24"/>
        </w:rPr>
        <w:t xml:space="preserve"> is guaranteed, however—claims may be reviewed and denied, waived or withdrawn, or </w:t>
      </w:r>
      <w:r w:rsidRPr="2191ED1D" w:rsidR="22074159">
        <w:rPr>
          <w:rFonts w:asciiTheme="minorHAnsi" w:eastAsiaTheme="minorEastAsia" w:hAnsiTheme="minorHAnsi"/>
          <w:szCs w:val="24"/>
        </w:rPr>
        <w:t>expire on a shorter timeframe as specified by the person asserting the claim.</w:t>
      </w:r>
      <w:r w:rsidRPr="2191ED1D" w:rsidR="649CC80E">
        <w:rPr>
          <w:rFonts w:asciiTheme="minorHAnsi" w:eastAsiaTheme="minorEastAsia" w:hAnsiTheme="minorHAnsi"/>
          <w:szCs w:val="24"/>
        </w:rPr>
        <w:t xml:space="preserve">  </w:t>
      </w:r>
      <w:r w:rsidRPr="2191ED1D" w:rsidR="60FB4C9F">
        <w:rPr>
          <w:rFonts w:asciiTheme="minorHAnsi" w:eastAsiaTheme="minorEastAsia" w:hAnsiTheme="minorHAnsi"/>
          <w:szCs w:val="24"/>
        </w:rPr>
        <w:t>G</w:t>
      </w:r>
      <w:r w:rsidRPr="2191ED1D" w:rsidR="23D4DB3C">
        <w:rPr>
          <w:rFonts w:asciiTheme="minorHAnsi" w:eastAsiaTheme="minorEastAsia" w:hAnsiTheme="minorHAnsi"/>
          <w:szCs w:val="24"/>
        </w:rPr>
        <w:t>iven that CDR reporting is on a four-year cycle, it would be premature for EPA to provide the require</w:t>
      </w:r>
      <w:r w:rsidRPr="2191ED1D" w:rsidR="428F2B9C">
        <w:rPr>
          <w:rFonts w:asciiTheme="minorHAnsi" w:eastAsiaTheme="minorEastAsia" w:hAnsiTheme="minorHAnsi"/>
          <w:szCs w:val="24"/>
        </w:rPr>
        <w:t>d</w:t>
      </w:r>
      <w:r w:rsidRPr="2191ED1D" w:rsidR="23D4DB3C">
        <w:rPr>
          <w:rFonts w:asciiTheme="minorHAnsi" w:eastAsiaTheme="minorEastAsia" w:hAnsiTheme="minorHAnsi"/>
          <w:szCs w:val="24"/>
        </w:rPr>
        <w:t xml:space="preserve"> </w:t>
      </w:r>
      <w:r w:rsidRPr="2191ED1D" w:rsidR="56F41EB0">
        <w:rPr>
          <w:rFonts w:asciiTheme="minorHAnsi" w:eastAsiaTheme="minorEastAsia" w:hAnsiTheme="minorHAnsi"/>
          <w:szCs w:val="24"/>
        </w:rPr>
        <w:t xml:space="preserve">section </w:t>
      </w:r>
      <w:r w:rsidRPr="2191ED1D" w:rsidR="23D4DB3C">
        <w:rPr>
          <w:rFonts w:asciiTheme="minorHAnsi" w:eastAsiaTheme="minorEastAsia" w:hAnsiTheme="minorHAnsi"/>
          <w:szCs w:val="24"/>
        </w:rPr>
        <w:t xml:space="preserve">14(e) </w:t>
      </w:r>
      <w:r w:rsidRPr="2191ED1D" w:rsidR="069A4AD8">
        <w:rPr>
          <w:rFonts w:asciiTheme="minorHAnsi" w:eastAsiaTheme="minorEastAsia" w:hAnsiTheme="minorHAnsi"/>
          <w:i/>
          <w:iCs/>
          <w:szCs w:val="24"/>
        </w:rPr>
        <w:t>60-day</w:t>
      </w:r>
      <w:r w:rsidRPr="2191ED1D" w:rsidR="069A4AD8">
        <w:rPr>
          <w:rFonts w:asciiTheme="minorHAnsi" w:eastAsiaTheme="minorEastAsia" w:hAnsiTheme="minorHAnsi"/>
          <w:szCs w:val="24"/>
        </w:rPr>
        <w:t xml:space="preserve"> </w:t>
      </w:r>
      <w:r w:rsidRPr="2191ED1D" w:rsidR="23D4DB3C">
        <w:rPr>
          <w:rFonts w:asciiTheme="minorHAnsi" w:eastAsiaTheme="minorEastAsia" w:hAnsiTheme="minorHAnsi"/>
          <w:szCs w:val="24"/>
        </w:rPr>
        <w:t xml:space="preserve">notice </w:t>
      </w:r>
      <w:r w:rsidRPr="2191ED1D" w:rsidR="12C0DCC5">
        <w:rPr>
          <w:rFonts w:asciiTheme="minorHAnsi" w:eastAsiaTheme="minorEastAsia" w:hAnsiTheme="minorHAnsi"/>
          <w:szCs w:val="24"/>
        </w:rPr>
        <w:t>of expiration during the next CDR reporting cycle (6 years too early</w:t>
      </w:r>
      <w:r w:rsidRPr="2191ED1D" w:rsidR="3EF09D96">
        <w:rPr>
          <w:rFonts w:asciiTheme="minorHAnsi" w:eastAsiaTheme="minorEastAsia" w:hAnsiTheme="minorHAnsi"/>
          <w:szCs w:val="24"/>
        </w:rPr>
        <w:t>)</w:t>
      </w:r>
      <w:r w:rsidRPr="2191ED1D" w:rsidR="545CC2FD">
        <w:rPr>
          <w:rFonts w:asciiTheme="minorHAnsi" w:eastAsiaTheme="minorEastAsia" w:hAnsiTheme="minorHAnsi"/>
          <w:szCs w:val="24"/>
        </w:rPr>
        <w:t xml:space="preserve">. </w:t>
      </w:r>
      <w:r w:rsidRPr="2191ED1D" w:rsidR="4B744802">
        <w:rPr>
          <w:rFonts w:asciiTheme="minorHAnsi" w:eastAsiaTheme="minorEastAsia" w:hAnsiTheme="minorHAnsi"/>
          <w:szCs w:val="24"/>
        </w:rPr>
        <w:t xml:space="preserve"> </w:t>
      </w:r>
    </w:p>
    <w:p w:rsidR="545CC2FD" w:rsidP="66874D1C" w14:paraId="6AE5C2EE" w14:textId="7D26775E">
      <w:pPr>
        <w:rPr>
          <w:rFonts w:asciiTheme="minorHAnsi" w:eastAsiaTheme="minorEastAsia" w:hAnsiTheme="minorHAnsi"/>
        </w:rPr>
      </w:pPr>
      <w:r w:rsidRPr="66874D1C">
        <w:rPr>
          <w:rFonts w:asciiTheme="minorHAnsi" w:eastAsiaTheme="minorEastAsia" w:hAnsiTheme="minorHAnsi"/>
        </w:rPr>
        <w:t xml:space="preserve">TSCA section 14 requires that CBI claims be asserted and supported with substantiation and meet other requirements every time they are submitted (see TSCA section 14(c) and 40 CFR 703; see also (82 FR 6522, January 19, 2017 (FRL-9958-34)). TSCA section 14(g) also requires that these claims be reviewed by EPA and approved or denied each time such claims are submitted (all chemical identity claims and at least 25% of other claims). EPA cannot waive these statutory requirements.  </w:t>
      </w:r>
    </w:p>
    <w:p w:rsidR="6FDAB454" w:rsidP="2191ED1D" w14:paraId="58DCCB0A" w14:textId="4A3432BF">
      <w:pPr>
        <w:rPr>
          <w:rFonts w:asciiTheme="minorHAnsi" w:eastAsiaTheme="minorEastAsia" w:hAnsiTheme="minorHAnsi"/>
          <w:szCs w:val="24"/>
        </w:rPr>
      </w:pPr>
      <w:r w:rsidRPr="2191ED1D">
        <w:rPr>
          <w:rFonts w:asciiTheme="minorHAnsi" w:eastAsiaTheme="minorEastAsia" w:hAnsiTheme="minorHAnsi"/>
          <w:szCs w:val="24"/>
        </w:rPr>
        <w:t>EPA notes that the optional</w:t>
      </w:r>
      <w:r w:rsidRPr="2191ED1D" w:rsidR="545CC2FD">
        <w:rPr>
          <w:rFonts w:asciiTheme="minorHAnsi" w:eastAsiaTheme="minorEastAsia" w:hAnsiTheme="minorHAnsi"/>
          <w:szCs w:val="24"/>
        </w:rPr>
        <w:t xml:space="preserve"> substantiation templates</w:t>
      </w:r>
      <w:r w:rsidRPr="2191ED1D" w:rsidR="6C9E6445">
        <w:rPr>
          <w:rFonts w:asciiTheme="minorHAnsi" w:eastAsiaTheme="minorEastAsia" w:hAnsiTheme="minorHAnsi"/>
          <w:szCs w:val="24"/>
        </w:rPr>
        <w:t xml:space="preserve"> the commenter is likely referring to</w:t>
      </w:r>
      <w:r w:rsidRPr="2191ED1D" w:rsidR="545CC2FD">
        <w:rPr>
          <w:rFonts w:asciiTheme="minorHAnsi" w:eastAsiaTheme="minorEastAsia" w:hAnsiTheme="minorHAnsi"/>
          <w:szCs w:val="24"/>
        </w:rPr>
        <w:t xml:space="preserve"> are no longer in regular use, as substantiation has been incorporated into most reporting applications</w:t>
      </w:r>
      <w:r w:rsidRPr="2191ED1D" w:rsidR="5820B242">
        <w:rPr>
          <w:rFonts w:asciiTheme="minorHAnsi" w:eastAsiaTheme="minorEastAsia" w:hAnsiTheme="minorHAnsi"/>
          <w:szCs w:val="24"/>
        </w:rPr>
        <w:t xml:space="preserve"> (the templates may continue to be helpful guid</w:t>
      </w:r>
      <w:r w:rsidRPr="2191ED1D" w:rsidR="643580C5">
        <w:rPr>
          <w:rFonts w:asciiTheme="minorHAnsi" w:eastAsiaTheme="minorEastAsia" w:hAnsiTheme="minorHAnsi"/>
          <w:szCs w:val="24"/>
        </w:rPr>
        <w:t>es to providing substantiation</w:t>
      </w:r>
      <w:r w:rsidRPr="2191ED1D" w:rsidR="5820B242">
        <w:rPr>
          <w:rFonts w:asciiTheme="minorHAnsi" w:eastAsiaTheme="minorEastAsia" w:hAnsiTheme="minorHAnsi"/>
          <w:szCs w:val="24"/>
        </w:rPr>
        <w:t>, so they remain available on EPA’s website</w:t>
      </w:r>
      <w:r w:rsidRPr="2191ED1D" w:rsidR="3FA056A1">
        <w:rPr>
          <w:rFonts w:asciiTheme="minorHAnsi" w:eastAsiaTheme="minorEastAsia" w:hAnsiTheme="minorHAnsi"/>
          <w:szCs w:val="24"/>
        </w:rPr>
        <w:t xml:space="preserve"> as a resource</w:t>
      </w:r>
      <w:r w:rsidRPr="2191ED1D" w:rsidR="5820B242">
        <w:rPr>
          <w:rFonts w:asciiTheme="minorHAnsi" w:eastAsiaTheme="minorEastAsia" w:hAnsiTheme="minorHAnsi"/>
          <w:szCs w:val="24"/>
        </w:rPr>
        <w:t>)</w:t>
      </w:r>
      <w:r w:rsidRPr="2191ED1D" w:rsidR="545CC2FD">
        <w:rPr>
          <w:rFonts w:asciiTheme="minorHAnsi" w:eastAsiaTheme="minorEastAsia" w:hAnsiTheme="minorHAnsi"/>
          <w:szCs w:val="24"/>
        </w:rPr>
        <w:t>. The substantiation templates are not used for requesting extension of CBI claims</w:t>
      </w:r>
      <w:r w:rsidRPr="2191ED1D" w:rsidR="4DB7566C">
        <w:rPr>
          <w:rFonts w:asciiTheme="minorHAnsi" w:eastAsiaTheme="minorEastAsia" w:hAnsiTheme="minorHAnsi"/>
          <w:szCs w:val="24"/>
        </w:rPr>
        <w:t xml:space="preserve">—as required by 40 CFR 703, </w:t>
      </w:r>
      <w:r w:rsidRPr="2191ED1D" w:rsidR="06F8F439">
        <w:rPr>
          <w:rFonts w:asciiTheme="minorHAnsi" w:eastAsiaTheme="minorEastAsia" w:hAnsiTheme="minorHAnsi"/>
          <w:szCs w:val="24"/>
        </w:rPr>
        <w:t>virtually all TSCA submissions including CBI claims, including requests for extension, must be made via CDX. T</w:t>
      </w:r>
      <w:r w:rsidRPr="2191ED1D" w:rsidR="4DB7566C">
        <w:rPr>
          <w:rFonts w:asciiTheme="minorHAnsi" w:eastAsiaTheme="minorEastAsia" w:hAnsiTheme="minorHAnsi"/>
          <w:szCs w:val="24"/>
        </w:rPr>
        <w:t>he appropriate reporting tool</w:t>
      </w:r>
      <w:r w:rsidRPr="2191ED1D" w:rsidR="3B339030">
        <w:rPr>
          <w:rFonts w:asciiTheme="minorHAnsi" w:eastAsiaTheme="minorEastAsia" w:hAnsiTheme="minorHAnsi"/>
          <w:szCs w:val="24"/>
        </w:rPr>
        <w:t xml:space="preserve"> for requesting CBI claim extensions has recently been made available</w:t>
      </w:r>
      <w:r w:rsidRPr="2191ED1D" w:rsidR="545CC2FD">
        <w:rPr>
          <w:rFonts w:asciiTheme="minorHAnsi" w:eastAsiaTheme="minorEastAsia" w:hAnsiTheme="minorHAnsi"/>
          <w:szCs w:val="24"/>
        </w:rPr>
        <w:t>.</w:t>
      </w:r>
      <w:r w:rsidRPr="2191ED1D" w:rsidR="12F2FF52">
        <w:rPr>
          <w:rFonts w:asciiTheme="minorHAnsi" w:eastAsiaTheme="minorEastAsia" w:hAnsiTheme="minorHAnsi"/>
          <w:szCs w:val="24"/>
        </w:rPr>
        <w:t xml:space="preserve">  </w:t>
      </w:r>
    </w:p>
    <w:p w:rsidR="26C1BD02" w:rsidP="2191ED1D" w14:paraId="759A32B1" w14:textId="3A850F33">
      <w:pPr>
        <w:rPr>
          <w:rFonts w:asciiTheme="minorHAnsi" w:eastAsiaTheme="minorEastAsia" w:hAnsiTheme="minorHAnsi"/>
          <w:szCs w:val="24"/>
        </w:rPr>
      </w:pPr>
      <w:r w:rsidRPr="2191ED1D">
        <w:rPr>
          <w:rFonts w:asciiTheme="minorHAnsi" w:eastAsiaTheme="minorEastAsia" w:hAnsiTheme="minorHAnsi"/>
          <w:szCs w:val="24"/>
        </w:rPr>
        <w:t xml:space="preserve">With respect to the request for guidance on which types of CBI claims or TSCA submissions are affected by CBI claim expiration, </w:t>
      </w:r>
      <w:r w:rsidRPr="2191ED1D" w:rsidR="12F2FF52">
        <w:rPr>
          <w:rFonts w:asciiTheme="minorHAnsi" w:eastAsiaTheme="minorEastAsia" w:hAnsiTheme="minorHAnsi"/>
          <w:szCs w:val="24"/>
        </w:rPr>
        <w:t xml:space="preserve">40 CFR 703.7 describes which TSCA submissions are subject to review under section 14(e) and (g). </w:t>
      </w:r>
      <w:r w:rsidRPr="2191ED1D" w:rsidR="45E9EEA3">
        <w:rPr>
          <w:rFonts w:asciiTheme="minorHAnsi" w:eastAsiaTheme="minorEastAsia" w:hAnsiTheme="minorHAnsi"/>
          <w:szCs w:val="24"/>
        </w:rPr>
        <w:t xml:space="preserve"> </w:t>
      </w:r>
    </w:p>
    <w:p w:rsidR="45E9EEA3" w:rsidP="2191ED1D" w14:paraId="51F009C8" w14:textId="4F8BA6BF">
      <w:pPr>
        <w:rPr>
          <w:rFonts w:asciiTheme="minorHAnsi" w:eastAsiaTheme="minorEastAsia" w:hAnsiTheme="minorHAnsi"/>
          <w:szCs w:val="24"/>
        </w:rPr>
      </w:pPr>
      <w:r w:rsidRPr="2191ED1D">
        <w:rPr>
          <w:rFonts w:asciiTheme="minorHAnsi" w:eastAsiaTheme="minorEastAsia" w:hAnsiTheme="minorHAnsi"/>
          <w:szCs w:val="24"/>
        </w:rPr>
        <w:t>C</w:t>
      </w:r>
      <w:r w:rsidRPr="2191ED1D" w:rsidR="15F1BCF3">
        <w:rPr>
          <w:rFonts w:asciiTheme="minorHAnsi" w:eastAsiaTheme="minorEastAsia" w:hAnsiTheme="minorHAnsi"/>
          <w:szCs w:val="24"/>
        </w:rPr>
        <w:t>o</w:t>
      </w:r>
      <w:r w:rsidRPr="2191ED1D">
        <w:rPr>
          <w:rFonts w:asciiTheme="minorHAnsi" w:eastAsiaTheme="minorEastAsia" w:hAnsiTheme="minorHAnsi"/>
          <w:szCs w:val="24"/>
        </w:rPr>
        <w:t>ncerning notice, TSCA s</w:t>
      </w:r>
      <w:r w:rsidRPr="2191ED1D" w:rsidR="12F2FF52">
        <w:rPr>
          <w:rFonts w:asciiTheme="minorHAnsi" w:eastAsiaTheme="minorEastAsia" w:hAnsiTheme="minorHAnsi"/>
          <w:szCs w:val="24"/>
        </w:rPr>
        <w:t xml:space="preserve">ection 14(e) requires that EPA </w:t>
      </w:r>
      <w:r w:rsidRPr="2191ED1D" w:rsidR="12F2FF52">
        <w:rPr>
          <w:rFonts w:asciiTheme="minorHAnsi" w:eastAsiaTheme="minorEastAsia" w:hAnsiTheme="minorHAnsi"/>
          <w:szCs w:val="24"/>
        </w:rPr>
        <w:t>provide</w:t>
      </w:r>
      <w:r w:rsidRPr="2191ED1D" w:rsidR="12F2FF52">
        <w:rPr>
          <w:rFonts w:asciiTheme="minorHAnsi" w:eastAsiaTheme="minorEastAsia" w:hAnsiTheme="minorHAnsi"/>
          <w:szCs w:val="24"/>
        </w:rPr>
        <w:t xml:space="preserve"> notice of expiration and an opportunity to request an extension of CBI claims prior to being permitted to disclose the information. 40 CFR 703.5(h) explains how EPA will provide notice of expiring claims</w:t>
      </w:r>
      <w:r w:rsidRPr="2191ED1D" w:rsidR="69B51D62">
        <w:rPr>
          <w:rFonts w:asciiTheme="minorHAnsi" w:eastAsiaTheme="minorEastAsia" w:hAnsiTheme="minorHAnsi"/>
          <w:szCs w:val="24"/>
        </w:rPr>
        <w:t xml:space="preserve">—by periodically posting a list of </w:t>
      </w:r>
      <w:r w:rsidRPr="2191ED1D" w:rsidR="4495BFF4">
        <w:rPr>
          <w:rFonts w:asciiTheme="minorHAnsi" w:eastAsiaTheme="minorEastAsia" w:hAnsiTheme="minorHAnsi"/>
          <w:szCs w:val="24"/>
        </w:rPr>
        <w:t>claims (listed by submission or chemical identity (usually accession number))</w:t>
      </w:r>
      <w:r w:rsidRPr="2191ED1D" w:rsidR="69B51D62">
        <w:rPr>
          <w:rFonts w:asciiTheme="minorHAnsi" w:eastAsiaTheme="minorEastAsia" w:hAnsiTheme="minorHAnsi"/>
          <w:szCs w:val="24"/>
        </w:rPr>
        <w:t xml:space="preserve"> approaching their expiration date, and by electronic notice (to the extent feasible, </w:t>
      </w:r>
      <w:r w:rsidRPr="2191ED1D" w:rsidR="5BC644AD">
        <w:rPr>
          <w:rFonts w:asciiTheme="minorHAnsi" w:eastAsiaTheme="minorEastAsia" w:hAnsiTheme="minorHAnsi"/>
          <w:szCs w:val="24"/>
        </w:rPr>
        <w:t>given company changes and staff turnover).</w:t>
      </w:r>
    </w:p>
    <w:p w:rsidR="12F2FF52" w:rsidP="2191ED1D" w14:paraId="4EDB3823" w14:textId="3080AC21">
      <w:pPr>
        <w:rPr>
          <w:rFonts w:asciiTheme="minorHAnsi" w:eastAsiaTheme="minorEastAsia" w:hAnsiTheme="minorHAnsi"/>
          <w:szCs w:val="24"/>
        </w:rPr>
      </w:pPr>
      <w:r w:rsidRPr="2191ED1D">
        <w:rPr>
          <w:rFonts w:asciiTheme="minorHAnsi" w:eastAsiaTheme="minorEastAsia" w:hAnsiTheme="minorHAnsi"/>
          <w:szCs w:val="24"/>
        </w:rPr>
        <w:t>TSCA section 14(e) defines how expiration dates must be calculated for most claims, and EPA provided additional information on how expiration would be calculated for chemical identity claims in 201</w:t>
      </w:r>
      <w:r w:rsidRPr="2191ED1D" w:rsidR="26F07630">
        <w:rPr>
          <w:rFonts w:asciiTheme="minorHAnsi" w:eastAsiaTheme="minorEastAsia" w:hAnsiTheme="minorHAnsi"/>
          <w:szCs w:val="24"/>
        </w:rPr>
        <w:t>8</w:t>
      </w:r>
      <w:r w:rsidRPr="2191ED1D" w:rsidR="458A4406">
        <w:rPr>
          <w:rFonts w:asciiTheme="minorHAnsi" w:eastAsiaTheme="minorEastAsia" w:hAnsiTheme="minorHAnsi"/>
          <w:szCs w:val="24"/>
        </w:rPr>
        <w:t>, as related to assigning and applying the unique identifiers required by TSCA section 14(g)</w:t>
      </w:r>
      <w:r w:rsidRPr="2191ED1D" w:rsidR="221EBE11">
        <w:rPr>
          <w:rFonts w:asciiTheme="minorHAnsi" w:eastAsiaTheme="minorEastAsia" w:hAnsiTheme="minorHAnsi"/>
          <w:szCs w:val="24"/>
        </w:rPr>
        <w:t>(4)</w:t>
      </w:r>
      <w:r w:rsidRPr="2191ED1D" w:rsidR="458A4406">
        <w:rPr>
          <w:rFonts w:asciiTheme="minorHAnsi" w:eastAsiaTheme="minorEastAsia" w:hAnsiTheme="minorHAnsi"/>
          <w:szCs w:val="24"/>
        </w:rPr>
        <w:t xml:space="preserve"> and publishing these and chemical identity </w:t>
      </w:r>
      <w:r w:rsidRPr="2191ED1D" w:rsidR="716E200A">
        <w:rPr>
          <w:rFonts w:asciiTheme="minorHAnsi" w:eastAsiaTheme="minorEastAsia" w:hAnsiTheme="minorHAnsi"/>
          <w:szCs w:val="24"/>
        </w:rPr>
        <w:t xml:space="preserve">claim </w:t>
      </w:r>
      <w:r w:rsidRPr="2191ED1D" w:rsidR="458A4406">
        <w:rPr>
          <w:rFonts w:asciiTheme="minorHAnsi" w:eastAsiaTheme="minorEastAsia" w:hAnsiTheme="minorHAnsi"/>
          <w:szCs w:val="24"/>
        </w:rPr>
        <w:t>expiration dates</w:t>
      </w:r>
      <w:r w:rsidRPr="2191ED1D">
        <w:rPr>
          <w:rFonts w:asciiTheme="minorHAnsi" w:eastAsiaTheme="minorEastAsia" w:hAnsiTheme="minorHAnsi"/>
          <w:szCs w:val="24"/>
        </w:rPr>
        <w:t xml:space="preserve"> </w:t>
      </w:r>
      <w:r w:rsidRPr="2191ED1D" w:rsidR="5FCFDE1A">
        <w:rPr>
          <w:rFonts w:asciiTheme="minorHAnsi" w:eastAsiaTheme="minorEastAsia" w:hAnsiTheme="minorHAnsi"/>
          <w:szCs w:val="24"/>
        </w:rPr>
        <w:t>(</w:t>
      </w:r>
      <w:r w:rsidRPr="2191ED1D" w:rsidR="6440A49E">
        <w:rPr>
          <w:rFonts w:asciiTheme="minorHAnsi" w:eastAsiaTheme="minorEastAsia" w:hAnsiTheme="minorHAnsi"/>
          <w:szCs w:val="24"/>
        </w:rPr>
        <w:t xml:space="preserve">also required by TSCA section 14(g)(4); </w:t>
      </w:r>
      <w:r w:rsidRPr="2191ED1D" w:rsidR="5FCFDE1A">
        <w:rPr>
          <w:rFonts w:asciiTheme="minorHAnsi" w:eastAsiaTheme="minorEastAsia" w:hAnsiTheme="minorHAnsi"/>
          <w:szCs w:val="24"/>
        </w:rPr>
        <w:t xml:space="preserve">see </w:t>
      </w:r>
      <w:r w:rsidR="006C083B">
        <w:rPr>
          <w:rFonts w:asciiTheme="minorHAnsi" w:eastAsiaTheme="minorEastAsia" w:hAnsiTheme="minorHAnsi"/>
          <w:szCs w:val="24"/>
        </w:rPr>
        <w:t>(</w:t>
      </w:r>
      <w:r w:rsidRPr="2191ED1D" w:rsidR="5FCFDE1A">
        <w:rPr>
          <w:rFonts w:asciiTheme="minorHAnsi" w:eastAsiaTheme="minorEastAsia" w:hAnsiTheme="minorHAnsi"/>
          <w:szCs w:val="24"/>
        </w:rPr>
        <w:t>83 FR 30168 June 27, 2018</w:t>
      </w:r>
      <w:r w:rsidR="006C083B">
        <w:rPr>
          <w:rFonts w:asciiTheme="minorHAnsi" w:eastAsiaTheme="minorEastAsia" w:hAnsiTheme="minorHAnsi"/>
          <w:szCs w:val="24"/>
        </w:rPr>
        <w:t xml:space="preserve"> (</w:t>
      </w:r>
      <w:r w:rsidRPr="006C083B" w:rsidR="006C083B">
        <w:rPr>
          <w:rFonts w:asciiTheme="minorHAnsi" w:eastAsiaTheme="minorEastAsia" w:hAnsiTheme="minorHAnsi"/>
          <w:szCs w:val="24"/>
        </w:rPr>
        <w:t>FRL-9979-59</w:t>
      </w:r>
      <w:r w:rsidR="006C083B">
        <w:rPr>
          <w:rFonts w:asciiTheme="minorHAnsi" w:eastAsiaTheme="minorEastAsia" w:hAnsiTheme="minorHAnsi"/>
          <w:szCs w:val="24"/>
        </w:rPr>
        <w:t>)</w:t>
      </w:r>
      <w:r w:rsidRPr="2191ED1D" w:rsidR="5FCFDE1A">
        <w:rPr>
          <w:rFonts w:asciiTheme="minorHAnsi" w:eastAsiaTheme="minorEastAsia" w:hAnsiTheme="minorHAnsi"/>
          <w:szCs w:val="24"/>
        </w:rPr>
        <w:t>)</w:t>
      </w:r>
      <w:r w:rsidRPr="2191ED1D">
        <w:rPr>
          <w:rFonts w:asciiTheme="minorHAnsi" w:eastAsiaTheme="minorEastAsia" w:hAnsiTheme="minorHAnsi"/>
          <w:szCs w:val="24"/>
        </w:rPr>
        <w:t xml:space="preserve">. </w:t>
      </w:r>
      <w:r w:rsidRPr="2191ED1D" w:rsidR="2BB25501">
        <w:rPr>
          <w:rFonts w:asciiTheme="minorHAnsi" w:eastAsiaTheme="minorEastAsia" w:hAnsiTheme="minorHAnsi"/>
          <w:szCs w:val="24"/>
        </w:rPr>
        <w:t xml:space="preserve"> </w:t>
      </w:r>
    </w:p>
    <w:p w:rsidR="00527CDF" w:rsidP="0051750E" w14:paraId="31088052" w14:textId="5F9EE202">
      <w:pPr>
        <w:rPr>
          <w:rFonts w:ascii="Calibri" w:hAnsi="Calibri" w:cs="Calibri"/>
        </w:rPr>
      </w:pPr>
      <w:r w:rsidRPr="009F7261">
        <w:rPr>
          <w:rStyle w:val="Heading2Char"/>
          <w:rFonts w:ascii="Calibri" w:hAnsi="Calibri" w:cs="Calibri"/>
          <w:b w:val="0"/>
          <w:bCs w:val="0"/>
          <w:i/>
          <w:iCs/>
        </w:rPr>
        <w:t xml:space="preserve">Comment Summary 3: </w:t>
      </w:r>
      <w:r w:rsidRPr="2191ED1D" w:rsidR="00C32976">
        <w:rPr>
          <w:rFonts w:ascii="Calibri" w:hAnsi="Calibri" w:cs="Calibri"/>
        </w:rPr>
        <w:t xml:space="preserve">For electronic reporting, </w:t>
      </w:r>
      <w:r w:rsidRPr="2191ED1D">
        <w:rPr>
          <w:rFonts w:ascii="Calibri" w:hAnsi="Calibri" w:cs="Calibri"/>
        </w:rPr>
        <w:t>commenters support</w:t>
      </w:r>
      <w:r w:rsidRPr="2191ED1D" w:rsidR="00535054">
        <w:rPr>
          <w:rFonts w:ascii="Calibri" w:hAnsi="Calibri" w:cs="Calibri"/>
        </w:rPr>
        <w:t>ed</w:t>
      </w:r>
      <w:r w:rsidRPr="2191ED1D">
        <w:rPr>
          <w:rFonts w:ascii="Calibri" w:hAnsi="Calibri" w:cs="Calibri"/>
        </w:rPr>
        <w:t xml:space="preserve"> the use, however there are challenges with CDX, especially for use as a communication tool with stakeholder</w:t>
      </w:r>
      <w:r w:rsidRPr="2191ED1D" w:rsidR="002026A1">
        <w:rPr>
          <w:rFonts w:ascii="Calibri" w:hAnsi="Calibri" w:cs="Calibri"/>
        </w:rPr>
        <w:t>, and better help desk support.</w:t>
      </w:r>
      <w:r w:rsidRPr="2191ED1D">
        <w:rPr>
          <w:rFonts w:ascii="Calibri" w:hAnsi="Calibri" w:cs="Calibri"/>
        </w:rPr>
        <w:t xml:space="preserve"> </w:t>
      </w:r>
    </w:p>
    <w:p w:rsidR="7817D5F9" w:rsidP="2191ED1D" w14:paraId="5C541315" w14:textId="6F15C859">
      <w:pPr>
        <w:rPr>
          <w:rFonts w:ascii="Calibri" w:hAnsi="Calibri" w:cs="Calibri"/>
        </w:rPr>
      </w:pPr>
      <w:r w:rsidRPr="009F7261">
        <w:rPr>
          <w:rStyle w:val="Heading2Char"/>
          <w:rFonts w:ascii="Calibri" w:hAnsi="Calibri" w:cs="Calibri"/>
          <w:b w:val="0"/>
          <w:bCs w:val="0"/>
          <w:i/>
          <w:iCs/>
        </w:rPr>
        <w:t>Response</w:t>
      </w:r>
      <w:r w:rsidRPr="009F7261" w:rsidR="7F5FE8F4">
        <w:rPr>
          <w:rStyle w:val="Heading2Char"/>
          <w:rFonts w:ascii="Calibri" w:hAnsi="Calibri" w:cs="Calibri"/>
          <w:b w:val="0"/>
          <w:bCs w:val="0"/>
          <w:i/>
          <w:iCs/>
        </w:rPr>
        <w:t xml:space="preserve"> </w:t>
      </w:r>
      <w:r w:rsidRPr="009F7261">
        <w:rPr>
          <w:rStyle w:val="Heading2Char"/>
          <w:rFonts w:ascii="Calibri" w:hAnsi="Calibri" w:cs="Calibri"/>
          <w:b w:val="0"/>
          <w:bCs w:val="0"/>
          <w:i/>
          <w:iCs/>
        </w:rPr>
        <w:t>:</w:t>
      </w:r>
      <w:r w:rsidRPr="2191ED1D">
        <w:rPr>
          <w:rFonts w:ascii="Calibri" w:hAnsi="Calibri" w:cs="Calibri"/>
        </w:rPr>
        <w:t xml:space="preserve"> EPA appreciates this comment.</w:t>
      </w:r>
    </w:p>
    <w:p w:rsidR="00F63981" w:rsidP="0051750E" w14:paraId="3A4EB598" w14:textId="7DA65D04">
      <w:pPr>
        <w:rPr>
          <w:rFonts w:ascii="Calibri" w:hAnsi="Calibri" w:cs="Calibri"/>
        </w:rPr>
      </w:pPr>
      <w:r w:rsidRPr="009F7261">
        <w:rPr>
          <w:rStyle w:val="Heading2Char"/>
          <w:rFonts w:ascii="Calibri" w:hAnsi="Calibri" w:cs="Calibri"/>
          <w:b w:val="0"/>
          <w:bCs w:val="0"/>
          <w:i/>
          <w:iCs/>
        </w:rPr>
        <w:t>Comment Summary 4:</w:t>
      </w:r>
      <w:r w:rsidRPr="2191ED1D">
        <w:rPr>
          <w:rFonts w:ascii="Calibri" w:hAnsi="Calibri" w:cs="Calibri"/>
        </w:rPr>
        <w:t xml:space="preserve"> </w:t>
      </w:r>
      <w:r w:rsidRPr="2191ED1D" w:rsidR="00527CDF">
        <w:rPr>
          <w:rFonts w:ascii="Calibri" w:hAnsi="Calibri" w:cs="Calibri"/>
        </w:rPr>
        <w:t>A</w:t>
      </w:r>
      <w:r w:rsidRPr="2191ED1D" w:rsidR="00C32976">
        <w:rPr>
          <w:rFonts w:ascii="Calibri" w:hAnsi="Calibri" w:cs="Calibri"/>
        </w:rPr>
        <w:t xml:space="preserve">fter reviewing the </w:t>
      </w:r>
      <w:r w:rsidRPr="2191ED1D" w:rsidR="00C26406">
        <w:rPr>
          <w:rFonts w:ascii="Calibri" w:hAnsi="Calibri" w:cs="Calibri"/>
        </w:rPr>
        <w:t>burden,</w:t>
      </w:r>
      <w:r w:rsidRPr="2191ED1D" w:rsidR="00C32976">
        <w:rPr>
          <w:rFonts w:ascii="Calibri" w:hAnsi="Calibri" w:cs="Calibri"/>
        </w:rPr>
        <w:t xml:space="preserve"> the costs </w:t>
      </w:r>
      <w:r w:rsidRPr="2191ED1D" w:rsidR="00C32976">
        <w:rPr>
          <w:rFonts w:ascii="Calibri" w:hAnsi="Calibri" w:cs="Calibri"/>
        </w:rPr>
        <w:t>estimates</w:t>
      </w:r>
      <w:r w:rsidRPr="2191ED1D" w:rsidR="00C32976">
        <w:rPr>
          <w:rFonts w:ascii="Calibri" w:hAnsi="Calibri" w:cs="Calibri"/>
        </w:rPr>
        <w:t xml:space="preserve"> provided in the Supporting Statement</w:t>
      </w:r>
      <w:r w:rsidRPr="2191ED1D" w:rsidR="00D04D68">
        <w:rPr>
          <w:rFonts w:ascii="Calibri" w:hAnsi="Calibri" w:cs="Calibri"/>
        </w:rPr>
        <w:t>,</w:t>
      </w:r>
      <w:r w:rsidRPr="2191ED1D" w:rsidR="007079ED">
        <w:rPr>
          <w:rFonts w:ascii="Calibri" w:hAnsi="Calibri" w:cs="Calibri"/>
        </w:rPr>
        <w:t xml:space="preserve"> </w:t>
      </w:r>
      <w:r w:rsidRPr="2191ED1D" w:rsidR="00C32976">
        <w:rPr>
          <w:rFonts w:ascii="Calibri" w:hAnsi="Calibri" w:cs="Calibri"/>
        </w:rPr>
        <w:t>commenter</w:t>
      </w:r>
      <w:r w:rsidRPr="2191ED1D" w:rsidR="00527CDF">
        <w:rPr>
          <w:rFonts w:ascii="Calibri" w:hAnsi="Calibri" w:cs="Calibri"/>
        </w:rPr>
        <w:t>s</w:t>
      </w:r>
      <w:r w:rsidRPr="2191ED1D" w:rsidR="00C32976">
        <w:rPr>
          <w:rFonts w:ascii="Calibri" w:hAnsi="Calibri" w:cs="Calibri"/>
        </w:rPr>
        <w:t xml:space="preserve"> believe</w:t>
      </w:r>
      <w:r w:rsidRPr="2191ED1D" w:rsidR="00E945DF">
        <w:rPr>
          <w:rFonts w:ascii="Calibri" w:hAnsi="Calibri" w:cs="Calibri"/>
        </w:rPr>
        <w:t>d</w:t>
      </w:r>
      <w:r w:rsidRPr="2191ED1D" w:rsidR="00C32976">
        <w:rPr>
          <w:rFonts w:ascii="Calibri" w:hAnsi="Calibri" w:cs="Calibri"/>
        </w:rPr>
        <w:t xml:space="preserve"> they were assessed correctly. </w:t>
      </w:r>
      <w:r w:rsidRPr="2191ED1D" w:rsidR="007079ED">
        <w:rPr>
          <w:rFonts w:ascii="Calibri" w:hAnsi="Calibri" w:cs="Calibri"/>
        </w:rPr>
        <w:t>However, other commenters note</w:t>
      </w:r>
      <w:r w:rsidRPr="2191ED1D" w:rsidR="00E945DF">
        <w:rPr>
          <w:rFonts w:ascii="Calibri" w:hAnsi="Calibri" w:cs="Calibri"/>
        </w:rPr>
        <w:t>d</w:t>
      </w:r>
      <w:r w:rsidRPr="2191ED1D" w:rsidR="007079ED">
        <w:rPr>
          <w:rFonts w:ascii="Calibri" w:hAnsi="Calibri" w:cs="Calibri"/>
        </w:rPr>
        <w:t xml:space="preserve"> that the wage rate are underestimated and the Agency does not account for </w:t>
      </w:r>
      <w:r w:rsidRPr="2191ED1D" w:rsidR="002026A1">
        <w:rPr>
          <w:rFonts w:ascii="Calibri" w:hAnsi="Calibri" w:cs="Calibri"/>
        </w:rPr>
        <w:t xml:space="preserve">industry activities associated with the assertion of CBI claims, and the Agency should also add burden for compliance determination, rule familiarization, and withdrawing confidentiality claims. </w:t>
      </w:r>
      <w:r w:rsidRPr="2191ED1D" w:rsidR="004302E3">
        <w:rPr>
          <w:rFonts w:ascii="Calibri" w:hAnsi="Calibri" w:cs="Calibri"/>
        </w:rPr>
        <w:t>Another commenter note</w:t>
      </w:r>
      <w:r w:rsidRPr="2191ED1D" w:rsidR="008A5B0F">
        <w:rPr>
          <w:rFonts w:ascii="Calibri" w:hAnsi="Calibri" w:cs="Calibri"/>
        </w:rPr>
        <w:t>d</w:t>
      </w:r>
      <w:r w:rsidRPr="2191ED1D" w:rsidR="004302E3">
        <w:rPr>
          <w:rFonts w:ascii="Calibri" w:hAnsi="Calibri" w:cs="Calibri"/>
        </w:rPr>
        <w:t xml:space="preserve"> that the operational burdens of locating historical claims, </w:t>
      </w:r>
      <w:r w:rsidRPr="2191ED1D" w:rsidR="002F638A">
        <w:rPr>
          <w:rFonts w:ascii="Calibri" w:hAnsi="Calibri" w:cs="Calibri"/>
        </w:rPr>
        <w:t xml:space="preserve">updating contacts, </w:t>
      </w:r>
      <w:r w:rsidRPr="2191ED1D" w:rsidR="00FD74DD">
        <w:rPr>
          <w:rFonts w:ascii="Calibri" w:hAnsi="Calibri" w:cs="Calibri"/>
        </w:rPr>
        <w:t xml:space="preserve">legal review, and ownership transfer should be accounted for in the Agency’s analysis. </w:t>
      </w:r>
    </w:p>
    <w:p w:rsidR="0EAEC76A" w:rsidP="2191ED1D" w14:paraId="0A0851C8" w14:textId="6BB5532B">
      <w:pPr>
        <w:rPr>
          <w:rFonts w:ascii="Calibri" w:hAnsi="Calibri" w:cs="Calibri"/>
        </w:rPr>
      </w:pPr>
      <w:r w:rsidRPr="009F7261">
        <w:rPr>
          <w:rStyle w:val="Heading2Char"/>
          <w:rFonts w:ascii="Calibri" w:hAnsi="Calibri" w:cs="Calibri"/>
          <w:b w:val="0"/>
          <w:bCs w:val="0"/>
          <w:i/>
          <w:iCs/>
        </w:rPr>
        <w:t>Response:</w:t>
      </w:r>
      <w:r w:rsidRPr="2191ED1D">
        <w:rPr>
          <w:rFonts w:ascii="Calibri" w:hAnsi="Calibri" w:cs="Calibri"/>
        </w:rPr>
        <w:t xml:space="preserve"> </w:t>
      </w:r>
      <w:r w:rsidRPr="2191ED1D" w:rsidR="5DD38963">
        <w:rPr>
          <w:rFonts w:ascii="Calibri" w:hAnsi="Calibri" w:cs="Calibri"/>
        </w:rPr>
        <w:t>Industry activities associated with asserting or withdrawing CBI claims</w:t>
      </w:r>
      <w:r w:rsidRPr="2191ED1D" w:rsidR="4EB370BD">
        <w:rPr>
          <w:rFonts w:ascii="Calibri" w:hAnsi="Calibri" w:cs="Calibri"/>
        </w:rPr>
        <w:t>, rule familiarization and other activities relating to assertion and maintenance of CBI claims up until the time a CBI claims e</w:t>
      </w:r>
      <w:r w:rsidRPr="2191ED1D" w:rsidR="3211BD70">
        <w:rPr>
          <w:rFonts w:ascii="Calibri" w:hAnsi="Calibri" w:cs="Calibri"/>
        </w:rPr>
        <w:t xml:space="preserve">xpires are </w:t>
      </w:r>
      <w:r w:rsidRPr="2191ED1D" w:rsidR="422078BF">
        <w:rPr>
          <w:rFonts w:ascii="Calibri" w:hAnsi="Calibri" w:cs="Calibri"/>
        </w:rPr>
        <w:t xml:space="preserve">now </w:t>
      </w:r>
      <w:r w:rsidRPr="2191ED1D" w:rsidR="3211BD70">
        <w:rPr>
          <w:rFonts w:ascii="Calibri" w:hAnsi="Calibri" w:cs="Calibri"/>
        </w:rPr>
        <w:t xml:space="preserve">incorporated into other ICRs supporting the various TSCA reporting rules.  Additionally, the TSCA procedural rule </w:t>
      </w:r>
      <w:r w:rsidRPr="2191ED1D" w:rsidR="5C919E80">
        <w:rPr>
          <w:rFonts w:ascii="Calibri" w:hAnsi="Calibri" w:cs="Calibri"/>
        </w:rPr>
        <w:t xml:space="preserve">implementing TSCA section 14(e) has not been amended since 2023, so there is no new rule to become familiar with as relates to this ICR </w:t>
      </w:r>
      <w:r w:rsidRPr="2191ED1D" w:rsidR="5BD2A680">
        <w:rPr>
          <w:rFonts w:ascii="Calibri" w:hAnsi="Calibri" w:cs="Calibri"/>
        </w:rPr>
        <w:t>renewal</w:t>
      </w:r>
      <w:r w:rsidRPr="2191ED1D" w:rsidR="5C919E80">
        <w:rPr>
          <w:rFonts w:ascii="Calibri" w:hAnsi="Calibri" w:cs="Calibri"/>
        </w:rPr>
        <w:t xml:space="preserve">.  </w:t>
      </w:r>
    </w:p>
    <w:p w:rsidR="00091B69" w:rsidP="2191ED1D" w14:paraId="520B9840" w14:textId="15E04855">
      <w:pPr>
        <w:pStyle w:val="Default"/>
        <w:spacing w:after="200" w:line="276" w:lineRule="auto"/>
        <w:rPr>
          <w:color w:val="auto"/>
        </w:rPr>
      </w:pPr>
      <w:r w:rsidRPr="31E729D7">
        <w:rPr>
          <w:rStyle w:val="Heading2Char"/>
          <w:rFonts w:ascii="Calibri" w:hAnsi="Calibri" w:cs="Calibri"/>
          <w:b w:val="0"/>
          <w:bCs w:val="0"/>
          <w:i/>
          <w:iCs/>
        </w:rPr>
        <w:t>Public Comment Summary 5</w:t>
      </w:r>
      <w:r>
        <w:t xml:space="preserve">: Public comments requested the Agency allow companies to submit a single CBI extension to decrease the burden of submitting individual extensions, and the commenters requested that the Agency allow for extensions to be submitted using a filing number or company name instead of by the authorized agent. Another public commenter requested the Agency account for burden associated with asserting CBI claims for TSCA section 4 test order submissions, as well as the burden of identifying CBI, substantiating the CBI claim, and preparing genericized submissions under TSCA section 6. Commenters also noted that the </w:t>
      </w:r>
      <w:r w:rsidRPr="31E729D7">
        <w:rPr>
          <w:color w:val="auto"/>
        </w:rPr>
        <w:t xml:space="preserve">Agency should increase the burden for submitting information to the Agency through CDX. </w:t>
      </w:r>
    </w:p>
    <w:p w:rsidR="04479685" w:rsidP="2191ED1D" w14:paraId="6E94D090" w14:textId="65B5045D">
      <w:pPr>
        <w:pStyle w:val="Default"/>
        <w:spacing w:after="200" w:line="276" w:lineRule="auto"/>
        <w:rPr>
          <w:rFonts w:asciiTheme="minorHAnsi" w:eastAsiaTheme="minorEastAsia" w:hAnsiTheme="minorHAnsi" w:cstheme="minorBidi"/>
          <w:color w:val="auto"/>
        </w:rPr>
      </w:pPr>
      <w:r w:rsidRPr="009F7261">
        <w:rPr>
          <w:rStyle w:val="Heading2Char"/>
          <w:rFonts w:ascii="Calibri" w:hAnsi="Calibri" w:cs="Calibri"/>
          <w:b w:val="0"/>
          <w:bCs w:val="0"/>
          <w:i/>
          <w:iCs/>
        </w:rPr>
        <w:t xml:space="preserve">Response: </w:t>
      </w:r>
      <w:r w:rsidRPr="2191ED1D">
        <w:rPr>
          <w:rFonts w:asciiTheme="minorHAnsi" w:eastAsiaTheme="minorEastAsia" w:hAnsiTheme="minorHAnsi" w:cstheme="minorBidi"/>
          <w:color w:val="auto"/>
        </w:rPr>
        <w:t xml:space="preserve">The extension request application allows a person to make one request to extend some or all non-chemical identity claims in a given submission (identified by submission number). They can rely on previously provided </w:t>
      </w:r>
      <w:r w:rsidRPr="2191ED1D">
        <w:rPr>
          <w:rFonts w:asciiTheme="minorHAnsi" w:eastAsiaTheme="minorEastAsia" w:hAnsiTheme="minorHAnsi" w:cstheme="minorBidi"/>
          <w:color w:val="auto"/>
        </w:rPr>
        <w:t>substantiation</w:t>
      </w:r>
      <w:r w:rsidRPr="2191ED1D">
        <w:rPr>
          <w:rFonts w:asciiTheme="minorHAnsi" w:eastAsiaTheme="minorEastAsia" w:hAnsiTheme="minorHAnsi" w:cstheme="minorBidi"/>
          <w:color w:val="auto"/>
        </w:rPr>
        <w:t xml:space="preserve"> or they can provide new substantiation. </w:t>
      </w:r>
      <w:r w:rsidRPr="2191ED1D" w:rsidR="24B16F97">
        <w:rPr>
          <w:rFonts w:asciiTheme="minorHAnsi" w:eastAsiaTheme="minorEastAsia" w:hAnsiTheme="minorHAnsi" w:cstheme="minorBidi"/>
          <w:color w:val="auto"/>
        </w:rPr>
        <w:t xml:space="preserve"> </w:t>
      </w:r>
      <w:r w:rsidRPr="2191ED1D">
        <w:rPr>
          <w:rFonts w:asciiTheme="minorHAnsi" w:eastAsiaTheme="minorEastAsia" w:hAnsiTheme="minorHAnsi" w:cstheme="minorBidi"/>
          <w:color w:val="auto"/>
        </w:rPr>
        <w:t>For chemical identities (identified by accession number or other identifier specific to that chemical), they can request extension for more than one expiring chemical identity at the same time and may, again, rely on previously provided substantiation or provide new substantiation. Any registered CDX user with an AO or secondary AO role may request extension of a claim.</w:t>
      </w:r>
    </w:p>
    <w:p w:rsidR="73282084" w:rsidP="2191ED1D" w14:paraId="4BBE1F60" w14:textId="52633386">
      <w:pPr>
        <w:pStyle w:val="Default"/>
        <w:spacing w:after="200" w:line="276" w:lineRule="auto"/>
        <w:rPr>
          <w:rFonts w:asciiTheme="minorHAnsi" w:eastAsiaTheme="minorEastAsia" w:hAnsiTheme="minorHAnsi" w:cstheme="minorBidi"/>
          <w:color w:val="auto"/>
        </w:rPr>
      </w:pPr>
      <w:r w:rsidRPr="2191ED1D">
        <w:rPr>
          <w:rFonts w:asciiTheme="minorHAnsi" w:eastAsiaTheme="minorEastAsia" w:hAnsiTheme="minorHAnsi" w:cstheme="minorBidi"/>
          <w:color w:val="auto"/>
        </w:rPr>
        <w:t>Burdens associated with asserting CBI claims in section 4 and 6 submissions are already included in the ICRs for those sections of TSCA.</w:t>
      </w:r>
    </w:p>
    <w:p w:rsidR="008C0384" w:rsidP="2191ED1D" w14:paraId="60392183" w14:textId="0A33E60E">
      <w:pPr>
        <w:rPr>
          <w:rFonts w:asciiTheme="minorHAnsi" w:hAnsiTheme="minorHAnsi"/>
          <w:lang w:bidi="en-US"/>
        </w:rPr>
      </w:pPr>
      <w:r w:rsidRPr="2191ED1D">
        <w:rPr>
          <w:rFonts w:asciiTheme="minorHAnsi" w:hAnsiTheme="minorHAnsi"/>
          <w:lang w:bidi="en-US"/>
        </w:rPr>
        <w:t>The Agency thanks all commenters for their comments and has considered them in developing this ICR.</w:t>
      </w:r>
    </w:p>
    <w:p w:rsidR="00A456CD" w:rsidRPr="008C0384" w:rsidP="00A456CD" w14:paraId="21AFDCB9" w14:textId="77777777">
      <w:pPr>
        <w:spacing w:after="0"/>
        <w:rPr>
          <w:rFonts w:asciiTheme="minorHAnsi" w:hAnsiTheme="minorHAnsi"/>
          <w:lang w:bidi="en-US"/>
        </w:rPr>
      </w:pPr>
    </w:p>
    <w:p w:rsidR="0031148B" w:rsidRPr="00371311" w:rsidP="00B20FDA" w14:paraId="6B2879C0" w14:textId="2B313C8E">
      <w:pPr>
        <w:pStyle w:val="Heading2"/>
        <w:spacing w:line="276" w:lineRule="auto"/>
        <w:ind w:left="360"/>
        <w:rPr>
          <w:rFonts w:asciiTheme="minorHAnsi" w:hAnsiTheme="minorHAnsi" w:cstheme="minorHAnsi"/>
          <w:szCs w:val="24"/>
        </w:rPr>
      </w:pPr>
      <w:r w:rsidRPr="00371311">
        <w:rPr>
          <w:rFonts w:asciiTheme="minorHAnsi" w:hAnsiTheme="minorHAnsi" w:cstheme="minorHAnsi"/>
          <w:szCs w:val="24"/>
        </w:rPr>
        <w:t>Payments of Gifts to Respondents</w:t>
      </w:r>
      <w:r w:rsidRPr="00371311" w:rsidR="00245CCC">
        <w:rPr>
          <w:rFonts w:asciiTheme="minorHAnsi" w:hAnsiTheme="minorHAnsi" w:cstheme="minorHAnsi"/>
          <w:szCs w:val="24"/>
        </w:rPr>
        <w:t>:</w:t>
      </w:r>
      <w:r w:rsidRPr="00371311">
        <w:rPr>
          <w:rFonts w:asciiTheme="minorHAnsi" w:hAnsiTheme="minorHAnsi" w:cstheme="minorHAnsi"/>
          <w:szCs w:val="24"/>
        </w:rPr>
        <w:t xml:space="preserve"> </w:t>
      </w:r>
    </w:p>
    <w:p w:rsidR="009A7738" w:rsidRPr="00740161" w:rsidP="0084690D" w14:paraId="68CD10BA" w14:textId="19A1B1A3">
      <w:pPr>
        <w:pStyle w:val="Heading2"/>
        <w:numPr>
          <w:ilvl w:val="0"/>
          <w:numId w:val="0"/>
        </w:numPr>
        <w:pBdr>
          <w:bottom w:val="single" w:sz="4" w:space="1" w:color="auto"/>
        </w:pBdr>
        <w:spacing w:line="276" w:lineRule="auto"/>
        <w:rPr>
          <w:rFonts w:asciiTheme="minorHAnsi" w:hAnsiTheme="minorHAnsi" w:cstheme="minorHAnsi"/>
          <w:b w:val="0"/>
          <w:bCs w:val="0"/>
          <w:i/>
          <w:iCs/>
          <w:szCs w:val="24"/>
        </w:rPr>
      </w:pPr>
      <w:r w:rsidRPr="00740161">
        <w:rPr>
          <w:rFonts w:asciiTheme="minorHAnsi" w:hAnsiTheme="minorHAnsi" w:cstheme="minorHAnsi"/>
          <w:b w:val="0"/>
          <w:bCs w:val="0"/>
          <w:i/>
          <w:iCs/>
          <w:szCs w:val="24"/>
        </w:rPr>
        <w:t>Explain any decision to provide any payment or gift to respondents, other than remuneration of contractors or grantees.</w:t>
      </w:r>
    </w:p>
    <w:p w:rsidR="00A456CD" w:rsidP="00B20FDA" w14:paraId="763E9C6F" w14:textId="148495DE">
      <w:pPr>
        <w:rPr>
          <w:rFonts w:asciiTheme="minorHAnsi" w:hAnsiTheme="minorHAnsi" w:cstheme="minorHAnsi"/>
          <w:szCs w:val="24"/>
          <w:lang w:bidi="en-US"/>
        </w:rPr>
      </w:pPr>
      <w:r w:rsidRPr="00371311">
        <w:rPr>
          <w:rFonts w:asciiTheme="minorHAnsi" w:hAnsiTheme="minorHAnsi" w:cstheme="minorHAnsi"/>
          <w:szCs w:val="24"/>
        </w:rPr>
        <w:t>No payments or gifts are provided to respondents</w:t>
      </w:r>
      <w:r w:rsidRPr="00371311" w:rsidR="006016D3">
        <w:rPr>
          <w:rFonts w:asciiTheme="minorHAnsi" w:hAnsiTheme="minorHAnsi" w:cstheme="minorHAnsi"/>
          <w:szCs w:val="24"/>
          <w:lang w:bidi="en-US"/>
        </w:rPr>
        <w:t xml:space="preserve">. </w:t>
      </w:r>
    </w:p>
    <w:p w:rsidR="00A456CD" w:rsidRPr="00371311" w:rsidP="00A456CD" w14:paraId="76EDEF73" w14:textId="77777777">
      <w:pPr>
        <w:spacing w:after="0"/>
        <w:rPr>
          <w:rFonts w:asciiTheme="minorHAnsi" w:hAnsiTheme="minorHAnsi" w:cstheme="minorHAnsi"/>
          <w:szCs w:val="24"/>
          <w:lang w:bidi="en-US"/>
        </w:rPr>
      </w:pPr>
    </w:p>
    <w:p w:rsidR="0031148B" w:rsidRPr="00371311" w:rsidP="00B20FDA" w14:paraId="0FB7798A" w14:textId="6F38B2A3">
      <w:pPr>
        <w:pStyle w:val="Heading2"/>
        <w:spacing w:line="276" w:lineRule="auto"/>
        <w:ind w:left="360"/>
        <w:rPr>
          <w:rFonts w:asciiTheme="minorHAnsi" w:hAnsiTheme="minorHAnsi" w:cstheme="minorHAnsi"/>
          <w:szCs w:val="24"/>
        </w:rPr>
      </w:pPr>
      <w:r w:rsidRPr="00371311">
        <w:rPr>
          <w:rFonts w:asciiTheme="minorHAnsi" w:hAnsiTheme="minorHAnsi" w:cstheme="minorHAnsi"/>
          <w:szCs w:val="24"/>
        </w:rPr>
        <w:t>Provisions for Protection of Information</w:t>
      </w:r>
      <w:r w:rsidRPr="00371311" w:rsidR="00245CCC">
        <w:rPr>
          <w:rFonts w:asciiTheme="minorHAnsi" w:hAnsiTheme="minorHAnsi" w:cstheme="minorHAnsi"/>
          <w:szCs w:val="24"/>
        </w:rPr>
        <w:t>:</w:t>
      </w:r>
    </w:p>
    <w:p w:rsidR="009A7738" w:rsidRPr="00740161" w:rsidP="0084690D" w14:paraId="1E0798B2" w14:textId="4C3105C7">
      <w:pPr>
        <w:pStyle w:val="Heading2"/>
        <w:numPr>
          <w:ilvl w:val="0"/>
          <w:numId w:val="0"/>
        </w:numPr>
        <w:pBdr>
          <w:bottom w:val="single" w:sz="4" w:space="1" w:color="auto"/>
        </w:pBdr>
        <w:spacing w:line="276" w:lineRule="auto"/>
        <w:rPr>
          <w:rFonts w:asciiTheme="minorHAnsi" w:hAnsiTheme="minorHAnsi" w:cstheme="minorHAnsi"/>
          <w:b w:val="0"/>
          <w:bCs w:val="0"/>
          <w:i/>
          <w:iCs/>
          <w:szCs w:val="24"/>
        </w:rPr>
      </w:pPr>
      <w:r w:rsidRPr="00740161">
        <w:rPr>
          <w:rFonts w:asciiTheme="minorHAnsi" w:hAnsiTheme="minorHAnsi" w:cstheme="minorHAnsi"/>
          <w:b w:val="0"/>
          <w:bCs w:val="0"/>
          <w:i/>
          <w:iCs/>
          <w:szCs w:val="24"/>
        </w:rPr>
        <w:t>Describe any assurance of confidentiality provided to respondents and the basis for the assurance in statute, regulation, or agency policy.</w:t>
      </w:r>
      <w:r w:rsidRPr="00740161" w:rsidR="00E00E93">
        <w:rPr>
          <w:rFonts w:asciiTheme="minorHAnsi" w:hAnsiTheme="minorHAnsi" w:cstheme="minorHAnsi"/>
          <w:b w:val="0"/>
          <w:bCs w:val="0"/>
          <w:i/>
          <w:iCs/>
          <w:szCs w:val="24"/>
        </w:rPr>
        <w:t xml:space="preserve"> If the collection requires a system of records notice (SORN) or privacy impact assessment (PIA), those should be cited and described here.</w:t>
      </w:r>
    </w:p>
    <w:p w:rsidR="006B3C71" w:rsidRPr="00371311" w:rsidP="00B20FDA" w14:paraId="2906CEA5" w14:textId="227C69DC">
      <w:pPr>
        <w:rPr>
          <w:rFonts w:asciiTheme="minorHAnsi" w:hAnsiTheme="minorHAnsi" w:cstheme="minorHAnsi"/>
          <w:szCs w:val="24"/>
        </w:rPr>
      </w:pPr>
      <w:r w:rsidRPr="00371311">
        <w:rPr>
          <w:rFonts w:asciiTheme="minorHAnsi" w:hAnsiTheme="minorHAnsi" w:cstheme="minorHAnsi"/>
          <w:szCs w:val="24"/>
        </w:rPr>
        <w:t xml:space="preserve">The Agency’s policies allow public involvement while preserving confidentiality. Amended TSCA section 14(a) prohibits disclosure of </w:t>
      </w:r>
      <w:r w:rsidRPr="00371311" w:rsidR="005774D9">
        <w:rPr>
          <w:rFonts w:asciiTheme="minorHAnsi" w:hAnsiTheme="minorHAnsi" w:cstheme="minorHAnsi"/>
          <w:szCs w:val="24"/>
        </w:rPr>
        <w:t>CBI</w:t>
      </w:r>
      <w:r w:rsidRPr="00371311">
        <w:rPr>
          <w:rFonts w:asciiTheme="minorHAnsi" w:hAnsiTheme="minorHAnsi" w:cstheme="minorHAnsi"/>
          <w:szCs w:val="24"/>
        </w:rPr>
        <w:t xml:space="preserve"> when the requirements of TSCA section 14(c) are met. Also, TSCA section 14(b)</w:t>
      </w:r>
      <w:r w:rsidRPr="00371311" w:rsidR="00990160">
        <w:rPr>
          <w:rFonts w:asciiTheme="minorHAnsi" w:hAnsiTheme="minorHAnsi" w:cstheme="minorHAnsi"/>
          <w:szCs w:val="24"/>
        </w:rPr>
        <w:t>(2)</w:t>
      </w:r>
      <w:r w:rsidRPr="00371311">
        <w:rPr>
          <w:rFonts w:asciiTheme="minorHAnsi" w:hAnsiTheme="minorHAnsi" w:cstheme="minorHAnsi"/>
          <w:szCs w:val="24"/>
        </w:rPr>
        <w:t xml:space="preserve"> allows disclosure of health and safety studies</w:t>
      </w:r>
      <w:r w:rsidRPr="00371311" w:rsidR="006D7E61">
        <w:rPr>
          <w:rFonts w:asciiTheme="minorHAnsi" w:hAnsiTheme="minorHAnsi" w:cstheme="minorHAnsi"/>
          <w:szCs w:val="24"/>
        </w:rPr>
        <w:t xml:space="preserve"> </w:t>
      </w:r>
      <w:r w:rsidRPr="00371311" w:rsidR="00CB3B90">
        <w:rPr>
          <w:rFonts w:asciiTheme="minorHAnsi" w:hAnsiTheme="minorHAnsi" w:cstheme="minorHAnsi"/>
          <w:szCs w:val="24"/>
        </w:rPr>
        <w:t>pertaining</w:t>
      </w:r>
      <w:r w:rsidRPr="00371311" w:rsidR="006D7E61">
        <w:rPr>
          <w:rFonts w:asciiTheme="minorHAnsi" w:hAnsiTheme="minorHAnsi" w:cstheme="minorHAnsi"/>
          <w:szCs w:val="24"/>
        </w:rPr>
        <w:t xml:space="preserve"> to chemical substance that have been offered for commercial distribution</w:t>
      </w:r>
      <w:r w:rsidRPr="00371311">
        <w:rPr>
          <w:rFonts w:asciiTheme="minorHAnsi" w:hAnsiTheme="minorHAnsi" w:cstheme="minorHAnsi"/>
          <w:szCs w:val="24"/>
        </w:rPr>
        <w:t>, including underlying information, unless these studies disclose confidential process or mixture information. Under 40 CFR 720.85 and 720.87 (</w:t>
      </w:r>
      <w:r w:rsidRPr="00371311" w:rsidR="009863DF">
        <w:rPr>
          <w:rFonts w:asciiTheme="minorHAnsi" w:hAnsiTheme="minorHAnsi" w:cstheme="minorHAnsi"/>
          <w:szCs w:val="24"/>
        </w:rPr>
        <w:t>s</w:t>
      </w:r>
      <w:r w:rsidRPr="00371311">
        <w:rPr>
          <w:rFonts w:asciiTheme="minorHAnsi" w:hAnsiTheme="minorHAnsi" w:cstheme="minorHAnsi"/>
          <w:szCs w:val="24"/>
        </w:rPr>
        <w:t xml:space="preserve">ee also 40 CFR part 2), when the specific chemical identity or use information are claimed confidential, the Agency requires the submitter to provide generic descriptions for inclusion in </w:t>
      </w:r>
      <w:r w:rsidRPr="00B377E9">
        <w:rPr>
          <w:rFonts w:asciiTheme="minorHAnsi" w:hAnsiTheme="minorHAnsi" w:cstheme="minorHAnsi"/>
          <w:i/>
          <w:iCs/>
          <w:szCs w:val="24"/>
        </w:rPr>
        <w:t>Federal Register</w:t>
      </w:r>
      <w:r w:rsidRPr="00371311">
        <w:rPr>
          <w:rFonts w:asciiTheme="minorHAnsi" w:hAnsiTheme="minorHAnsi" w:cstheme="minorHAnsi"/>
          <w:szCs w:val="24"/>
        </w:rPr>
        <w:t xml:space="preserve"> notices and the public file. Additionally, the submitter must provide a “sanitized” copy of all health and environmental effects information, with confidential information deleted, for placement in the public docket. Within the Agency, only personnel with the required clearance may handle TSCA CBI.</w:t>
      </w:r>
    </w:p>
    <w:p w:rsidR="006B3C71" w:rsidRPr="00371311" w:rsidP="00B20FDA" w14:paraId="78A2E43B" w14:textId="18B6EE89">
      <w:pPr>
        <w:rPr>
          <w:rFonts w:asciiTheme="minorHAnsi" w:hAnsiTheme="minorHAnsi" w:cstheme="minorHAnsi"/>
          <w:szCs w:val="24"/>
        </w:rPr>
      </w:pPr>
      <w:r w:rsidRPr="00371311">
        <w:rPr>
          <w:rFonts w:asciiTheme="minorHAnsi" w:hAnsiTheme="minorHAnsi" w:cstheme="minorHAnsi"/>
          <w:szCs w:val="24"/>
        </w:rPr>
        <w:t xml:space="preserve">As amended by the Lautenberg Act, TSCA section 14(c)(3) requires that any CBI claims be substantiated concurrently with the submission of the information, except that CBI claims described in TSCA section 14(c)(2) are not subject to substantiation. </w:t>
      </w:r>
    </w:p>
    <w:p w:rsidR="001B35E7" w:rsidP="00B20FDA" w14:paraId="614C76E7" w14:textId="0F2BA71E">
      <w:pPr>
        <w:rPr>
          <w:rFonts w:asciiTheme="minorHAnsi" w:hAnsiTheme="minorHAnsi" w:cstheme="minorHAnsi"/>
          <w:szCs w:val="24"/>
        </w:rPr>
      </w:pPr>
      <w:r w:rsidRPr="00371311">
        <w:rPr>
          <w:rFonts w:asciiTheme="minorHAnsi" w:hAnsiTheme="minorHAnsi" w:cstheme="minorHAnsi"/>
          <w:szCs w:val="24"/>
        </w:rPr>
        <w:t>These procedures are detailed in the “TSCA CBI Protection Manual,” October 2003. EPA believes these procedures protect confidential business information while providing the public with as much information as possible.</w:t>
      </w:r>
    </w:p>
    <w:p w:rsidR="00A456CD" w:rsidRPr="00371311" w:rsidP="00A456CD" w14:paraId="5FDF1840" w14:textId="77777777">
      <w:pPr>
        <w:spacing w:after="0"/>
        <w:rPr>
          <w:rFonts w:asciiTheme="minorHAnsi" w:hAnsiTheme="minorHAnsi" w:cstheme="minorHAnsi"/>
          <w:szCs w:val="24"/>
        </w:rPr>
      </w:pPr>
    </w:p>
    <w:p w:rsidR="0031148B" w:rsidRPr="00371311" w:rsidP="00B20FDA" w14:paraId="30E44819" w14:textId="683ACDA4">
      <w:pPr>
        <w:pStyle w:val="Heading2"/>
        <w:spacing w:line="276" w:lineRule="auto"/>
        <w:ind w:left="360"/>
        <w:rPr>
          <w:rFonts w:asciiTheme="minorHAnsi" w:hAnsiTheme="minorHAnsi" w:cstheme="minorHAnsi"/>
          <w:szCs w:val="24"/>
        </w:rPr>
      </w:pPr>
      <w:r w:rsidRPr="00371311">
        <w:rPr>
          <w:rFonts w:asciiTheme="minorHAnsi" w:hAnsiTheme="minorHAnsi" w:cstheme="minorHAnsi"/>
          <w:szCs w:val="24"/>
        </w:rPr>
        <w:t>Justification for Sensitive Questions</w:t>
      </w:r>
      <w:r w:rsidRPr="00371311" w:rsidR="00245CCC">
        <w:rPr>
          <w:rFonts w:asciiTheme="minorHAnsi" w:hAnsiTheme="minorHAnsi" w:cstheme="minorHAnsi"/>
          <w:szCs w:val="24"/>
        </w:rPr>
        <w:t>:</w:t>
      </w:r>
      <w:r w:rsidRPr="00371311">
        <w:rPr>
          <w:rFonts w:asciiTheme="minorHAnsi" w:hAnsiTheme="minorHAnsi" w:cstheme="minorHAnsi"/>
          <w:szCs w:val="24"/>
        </w:rPr>
        <w:t xml:space="preserve"> </w:t>
      </w:r>
    </w:p>
    <w:p w:rsidR="00575DC0" w:rsidRPr="00740161" w:rsidP="0084690D" w14:paraId="675D5854" w14:textId="529ECB26">
      <w:pPr>
        <w:pStyle w:val="Heading2"/>
        <w:numPr>
          <w:ilvl w:val="0"/>
          <w:numId w:val="0"/>
        </w:numPr>
        <w:pBdr>
          <w:bottom w:val="single" w:sz="4" w:space="1" w:color="auto"/>
        </w:pBdr>
        <w:spacing w:line="276" w:lineRule="auto"/>
        <w:rPr>
          <w:rFonts w:asciiTheme="minorHAnsi" w:hAnsiTheme="minorHAnsi" w:cstheme="minorHAnsi"/>
          <w:b w:val="0"/>
          <w:bCs w:val="0"/>
          <w:i/>
          <w:iCs/>
          <w:szCs w:val="24"/>
        </w:rPr>
      </w:pPr>
      <w:r w:rsidRPr="00740161">
        <w:rPr>
          <w:rFonts w:asciiTheme="minorHAnsi" w:hAnsiTheme="minorHAnsi" w:cstheme="minorHAnsi"/>
          <w:b w:val="0"/>
          <w:bCs w:val="0"/>
          <w:i/>
          <w:iCs/>
          <w:szCs w:val="24"/>
        </w:rPr>
        <w:t>Provide additional justification for any questions of a sensitive nature, such as sexual behavior and attitudes, religious beliefs, and other matters that are commonly considered private.</w:t>
      </w:r>
      <w:r w:rsidRPr="00740161" w:rsidR="00E00E93">
        <w:rPr>
          <w:rFonts w:asciiTheme="minorHAnsi" w:hAnsiTheme="minorHAnsi" w:cstheme="minorHAnsi"/>
          <w:b w:val="0"/>
          <w:bCs w:val="0"/>
          <w:i/>
          <w:iCs/>
          <w:szCs w:val="24"/>
        </w:rPr>
        <w:t xml:space="preserv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456CD" w:rsidP="00B20FDA" w14:paraId="0188F761" w14:textId="2B25DC88">
      <w:pPr>
        <w:rPr>
          <w:rFonts w:asciiTheme="minorHAnsi" w:hAnsiTheme="minorHAnsi" w:cstheme="minorHAnsi"/>
          <w:szCs w:val="24"/>
        </w:rPr>
      </w:pPr>
      <w:r w:rsidRPr="00371311">
        <w:rPr>
          <w:rFonts w:asciiTheme="minorHAnsi" w:hAnsiTheme="minorHAnsi" w:cstheme="minorHAnsi"/>
          <w:szCs w:val="24"/>
        </w:rPr>
        <w:t>Information requirements under TSCA do not include questions of a sensitive natur</w:t>
      </w:r>
      <w:r>
        <w:rPr>
          <w:rFonts w:asciiTheme="minorHAnsi" w:hAnsiTheme="minorHAnsi" w:cstheme="minorHAnsi"/>
          <w:szCs w:val="24"/>
        </w:rPr>
        <w:t>e.</w:t>
      </w:r>
    </w:p>
    <w:p w:rsidR="00A456CD" w:rsidRPr="00371311" w:rsidP="00A456CD" w14:paraId="5C47369C" w14:textId="77777777">
      <w:pPr>
        <w:spacing w:after="0"/>
        <w:rPr>
          <w:rFonts w:asciiTheme="minorHAnsi" w:hAnsiTheme="minorHAnsi" w:cstheme="minorHAnsi"/>
          <w:szCs w:val="24"/>
        </w:rPr>
      </w:pPr>
    </w:p>
    <w:p w:rsidR="0031148B" w:rsidRPr="00371311" w:rsidP="00B20FDA" w14:paraId="6574793B" w14:textId="62333E02">
      <w:pPr>
        <w:pStyle w:val="Heading2"/>
        <w:spacing w:line="276" w:lineRule="auto"/>
        <w:ind w:left="360"/>
        <w:rPr>
          <w:rFonts w:asciiTheme="minorHAnsi" w:hAnsiTheme="minorHAnsi" w:cstheme="minorHAnsi"/>
          <w:szCs w:val="24"/>
        </w:rPr>
      </w:pPr>
      <w:r w:rsidRPr="00371311">
        <w:rPr>
          <w:rFonts w:asciiTheme="minorHAnsi" w:hAnsiTheme="minorHAnsi" w:cstheme="minorHAnsi"/>
          <w:szCs w:val="24"/>
        </w:rPr>
        <w:t>Respondent Burden Hours and Labor Costs</w:t>
      </w:r>
      <w:r w:rsidRPr="00371311" w:rsidR="00245CCC">
        <w:rPr>
          <w:rFonts w:asciiTheme="minorHAnsi" w:hAnsiTheme="minorHAnsi" w:cstheme="minorHAnsi"/>
          <w:szCs w:val="24"/>
        </w:rPr>
        <w:t>:</w:t>
      </w:r>
      <w:r w:rsidRPr="00371311">
        <w:rPr>
          <w:rFonts w:asciiTheme="minorHAnsi" w:hAnsiTheme="minorHAnsi" w:cstheme="minorHAnsi"/>
          <w:szCs w:val="24"/>
        </w:rPr>
        <w:t xml:space="preserve"> </w:t>
      </w:r>
    </w:p>
    <w:p w:rsidR="00E00E93" w:rsidRPr="00740161" w:rsidP="00740161" w14:paraId="29AD7DEB" w14:textId="34A24937">
      <w:pPr>
        <w:pStyle w:val="Heading2"/>
        <w:numPr>
          <w:ilvl w:val="0"/>
          <w:numId w:val="0"/>
        </w:numPr>
        <w:spacing w:line="276" w:lineRule="auto"/>
        <w:rPr>
          <w:rFonts w:asciiTheme="minorHAnsi" w:hAnsiTheme="minorHAnsi" w:cstheme="minorHAnsi"/>
          <w:b w:val="0"/>
          <w:bCs w:val="0"/>
          <w:i/>
          <w:iCs/>
          <w:szCs w:val="24"/>
        </w:rPr>
      </w:pPr>
      <w:r w:rsidRPr="00740161">
        <w:rPr>
          <w:rFonts w:asciiTheme="minorHAnsi" w:hAnsiTheme="minorHAnsi" w:cstheme="minorHAnsi"/>
          <w:b w:val="0"/>
          <w:bCs w:val="0"/>
          <w:i/>
          <w:iCs/>
          <w:szCs w:val="24"/>
        </w:rPr>
        <w:t>Provide estimates of the hour burden of the collection of information</w:t>
      </w:r>
      <w:r w:rsidRPr="00740161" w:rsidR="0031148B">
        <w:rPr>
          <w:rFonts w:asciiTheme="minorHAnsi" w:hAnsiTheme="minorHAnsi" w:cstheme="minorHAnsi"/>
          <w:b w:val="0"/>
          <w:bCs w:val="0"/>
          <w:i/>
          <w:iCs/>
          <w:szCs w:val="24"/>
        </w:rPr>
        <w:t>:</w:t>
      </w:r>
      <w:r w:rsidRPr="00740161">
        <w:rPr>
          <w:rFonts w:asciiTheme="minorHAnsi" w:hAnsiTheme="minorHAnsi" w:cstheme="minorHAnsi"/>
          <w:b w:val="0"/>
          <w:bCs w:val="0"/>
          <w:i/>
          <w:iCs/>
          <w:szCs w:val="24"/>
        </w:rPr>
        <w:t xml:space="preserve"> </w:t>
      </w:r>
    </w:p>
    <w:p w:rsidR="00E00E93" w:rsidRPr="00740161" w:rsidP="00740161" w14:paraId="7FC47722" w14:textId="50DF98EC">
      <w:pPr>
        <w:pStyle w:val="Heading3"/>
        <w:numPr>
          <w:ilvl w:val="0"/>
          <w:numId w:val="30"/>
        </w:numPr>
        <w:spacing w:line="276" w:lineRule="auto"/>
        <w:ind w:left="360"/>
        <w:rPr>
          <w:rFonts w:asciiTheme="minorHAnsi" w:hAnsiTheme="minorHAnsi" w:cstheme="minorHAnsi"/>
          <w:b w:val="0"/>
          <w:bCs w:val="0"/>
          <w:i/>
          <w:iCs/>
        </w:rPr>
      </w:pPr>
      <w:r w:rsidRPr="00740161">
        <w:rPr>
          <w:rFonts w:asciiTheme="minorHAnsi" w:hAnsiTheme="minorHAnsi" w:cstheme="minorHAnsi"/>
          <w:b w:val="0"/>
          <w:bCs w:val="0"/>
          <w:i/>
          <w:iCs/>
        </w:rPr>
        <w:t xml:space="preserve">Indicate the number of respondents, frequency of response, annual hour burden, and an explanation of how the burden was estimated. </w:t>
      </w:r>
    </w:p>
    <w:p w:rsidR="00294EAC" w:rsidRPr="00740161" w:rsidP="0084690D" w14:paraId="2E905BB2" w14:textId="799014F4">
      <w:pPr>
        <w:pStyle w:val="Heading3"/>
        <w:numPr>
          <w:ilvl w:val="0"/>
          <w:numId w:val="5"/>
        </w:numPr>
        <w:pBdr>
          <w:bottom w:val="single" w:sz="4" w:space="1" w:color="auto"/>
        </w:pBdr>
        <w:spacing w:line="276" w:lineRule="auto"/>
        <w:ind w:left="360"/>
        <w:rPr>
          <w:rFonts w:asciiTheme="minorHAnsi" w:hAnsiTheme="minorHAnsi" w:cstheme="minorHAnsi"/>
          <w:b w:val="0"/>
          <w:bCs w:val="0"/>
          <w:i/>
          <w:iCs/>
        </w:rPr>
      </w:pPr>
      <w:r w:rsidRPr="00740161">
        <w:rPr>
          <w:rFonts w:asciiTheme="minorHAnsi" w:hAnsiTheme="minorHAnsi" w:cstheme="minorHAnsi"/>
          <w:b w:val="0"/>
          <w:bCs w:val="0"/>
          <w:i/>
          <w:iCs/>
        </w:rPr>
        <w:t xml:space="preserve">If this request for approval covers more than one form, provide separate hour burden estimates for each form and aggregate the hour burdens.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w:t>
      </w:r>
      <w:r w:rsidRPr="00740161" w:rsidR="0031148B">
        <w:rPr>
          <w:rFonts w:asciiTheme="minorHAnsi" w:hAnsiTheme="minorHAnsi" w:cstheme="minorHAnsi"/>
          <w:b w:val="0"/>
          <w:bCs w:val="0"/>
          <w:i/>
          <w:iCs/>
        </w:rPr>
        <w:t xml:space="preserve">as O&amp;M costs under on-labor costs covered under question 13. </w:t>
      </w:r>
    </w:p>
    <w:p w:rsidR="0031148B" w:rsidRPr="00B377E9" w:rsidP="00B20FDA" w14:paraId="2D105465" w14:textId="6E3B14DA">
      <w:pPr>
        <w:pStyle w:val="Heading3"/>
        <w:spacing w:line="276" w:lineRule="auto"/>
        <w:rPr>
          <w:rFonts w:ascii="Calibri" w:hAnsi="Calibri" w:cs="Calibri"/>
        </w:rPr>
      </w:pPr>
      <w:bookmarkStart w:id="9" w:name="_Hlk31644583"/>
      <w:r w:rsidRPr="00B377E9">
        <w:rPr>
          <w:rFonts w:ascii="Calibri" w:hAnsi="Calibri" w:cs="Calibri"/>
        </w:rPr>
        <w:t>12a</w:t>
      </w:r>
      <w:r w:rsidRPr="00B377E9" w:rsidR="00592284">
        <w:rPr>
          <w:rFonts w:ascii="Calibri" w:hAnsi="Calibri" w:cs="Calibri"/>
        </w:rPr>
        <w:t xml:space="preserve"> and b</w:t>
      </w:r>
      <w:r w:rsidRPr="00B377E9">
        <w:rPr>
          <w:rFonts w:ascii="Calibri" w:hAnsi="Calibri" w:cs="Calibri"/>
        </w:rPr>
        <w:t xml:space="preserve">. Respondents/NAICS Codes </w:t>
      </w:r>
      <w:r w:rsidRPr="00B377E9" w:rsidR="00592284">
        <w:rPr>
          <w:rFonts w:ascii="Calibri" w:hAnsi="Calibri" w:cs="Calibri"/>
        </w:rPr>
        <w:t>and Information Requested</w:t>
      </w:r>
    </w:p>
    <w:p w:rsidR="0063003D" w:rsidRPr="00371311" w:rsidP="66874D1C" w14:paraId="0954F41D" w14:textId="7F15EC55">
      <w:pPr>
        <w:rPr>
          <w:rFonts w:asciiTheme="minorHAnsi" w:hAnsiTheme="minorHAnsi"/>
          <w:color w:val="000000"/>
        </w:rPr>
      </w:pPr>
      <w:r w:rsidRPr="66874D1C">
        <w:rPr>
          <w:rFonts w:asciiTheme="minorHAnsi" w:hAnsiTheme="minorHAnsi"/>
        </w:rPr>
        <w:t xml:space="preserve">Impacted respondents include entities that previously asserted a TSCA CBI claim and have decided to request to extend that CBI claim, or who have been requested to provide substantiation (or waive their CBI claims) in the context of a TSCA section 14(f) CBI review. </w:t>
      </w:r>
      <w:r w:rsidRPr="66874D1C">
        <w:rPr>
          <w:rFonts w:asciiTheme="minorHAnsi" w:hAnsiTheme="minorHAnsi"/>
          <w:color w:val="000000" w:themeColor="text1"/>
        </w:rPr>
        <w:t xml:space="preserve"> </w:t>
      </w:r>
      <w:bookmarkEnd w:id="9"/>
    </w:p>
    <w:p w:rsidR="00245CCC" w:rsidRPr="00B377E9" w:rsidP="00B20FDA" w14:paraId="709A89E5" w14:textId="157D5DE8">
      <w:pPr>
        <w:pStyle w:val="Heading3"/>
        <w:spacing w:line="276" w:lineRule="auto"/>
        <w:rPr>
          <w:rFonts w:ascii="Calibri" w:hAnsi="Calibri" w:cs="Calibri"/>
          <w:i/>
          <w:iCs/>
        </w:rPr>
      </w:pPr>
      <w:r w:rsidRPr="00B377E9">
        <w:rPr>
          <w:rFonts w:ascii="Calibri" w:hAnsi="Calibri" w:cs="Calibri"/>
        </w:rPr>
        <w:t>12c. R</w:t>
      </w:r>
      <w:r w:rsidR="00B377E9">
        <w:rPr>
          <w:rFonts w:ascii="Calibri" w:hAnsi="Calibri" w:cs="Calibri"/>
        </w:rPr>
        <w:t xml:space="preserve">espondent activities and frequency </w:t>
      </w:r>
    </w:p>
    <w:p w:rsidR="006C61E2" w:rsidRPr="00371311" w:rsidP="00B20FDA" w14:paraId="210852D7" w14:textId="77777777">
      <w:pPr>
        <w:rPr>
          <w:rFonts w:asciiTheme="minorHAnsi" w:hAnsiTheme="minorHAnsi" w:cstheme="minorHAnsi"/>
          <w:szCs w:val="24"/>
        </w:rPr>
      </w:pPr>
      <w:r w:rsidRPr="00371311">
        <w:rPr>
          <w:rFonts w:asciiTheme="minorHAnsi" w:hAnsiTheme="minorHAnsi" w:cstheme="minorHAnsi"/>
          <w:szCs w:val="24"/>
        </w:rPr>
        <w:t>This section presents the burden of this information collection activity to respondents in terms of the time required by respondents to perform the activities. The overall unit burden experienced by respondents is estimated by combining activity-level unit burdens at the appropriate scale (e.g. per company or per chemical) to produce estimates for unit burden per submission, by company.</w:t>
      </w:r>
    </w:p>
    <w:p w:rsidR="002D6CA0" w:rsidRPr="00371311" w:rsidP="00B20FDA" w14:paraId="2276A515" w14:textId="746D3E1C">
      <w:pPr>
        <w:rPr>
          <w:rFonts w:asciiTheme="minorHAnsi" w:hAnsiTheme="minorHAnsi" w:cstheme="minorHAnsi"/>
          <w:szCs w:val="24"/>
        </w:rPr>
      </w:pPr>
      <w:r w:rsidRPr="00371311">
        <w:rPr>
          <w:rFonts w:asciiTheme="minorHAnsi" w:hAnsiTheme="minorHAnsi" w:cstheme="minorHAnsi"/>
          <w:szCs w:val="24"/>
        </w:rPr>
        <w:t xml:space="preserve">Burden and cost calculations are based on </w:t>
      </w:r>
      <w:r w:rsidRPr="00B377E9">
        <w:rPr>
          <w:rFonts w:asciiTheme="minorHAnsi" w:hAnsiTheme="minorHAnsi" w:cstheme="minorHAnsi"/>
          <w:szCs w:val="24"/>
        </w:rPr>
        <w:t>EPA’s estimates that</w:t>
      </w:r>
      <w:r w:rsidR="00153CFF">
        <w:rPr>
          <w:rFonts w:asciiTheme="minorHAnsi" w:hAnsiTheme="minorHAnsi" w:cstheme="minorHAnsi"/>
          <w:szCs w:val="24"/>
        </w:rPr>
        <w:t xml:space="preserve"> up to</w:t>
      </w:r>
      <w:r w:rsidRPr="00B377E9">
        <w:rPr>
          <w:rFonts w:asciiTheme="minorHAnsi" w:hAnsiTheme="minorHAnsi" w:cstheme="minorHAnsi"/>
          <w:szCs w:val="24"/>
        </w:rPr>
        <w:t xml:space="preserve"> 1,100 firms will undertake some or all of the listed activities.</w:t>
      </w:r>
      <w:r w:rsidRPr="00371311">
        <w:rPr>
          <w:rFonts w:asciiTheme="minorHAnsi" w:hAnsiTheme="minorHAnsi" w:cstheme="minorHAnsi"/>
          <w:szCs w:val="24"/>
        </w:rPr>
        <w:t xml:space="preserve"> This section details the activity-level unit burdens grouped by type of activity. </w:t>
      </w:r>
    </w:p>
    <w:p w:rsidR="0063003D" w:rsidRPr="00371311" w:rsidP="00B20FDA" w14:paraId="4ADBB7F5" w14:textId="45782027">
      <w:pPr>
        <w:rPr>
          <w:rStyle w:val="normaltextrun"/>
          <w:rFonts w:asciiTheme="minorHAnsi" w:hAnsiTheme="minorHAnsi" w:cstheme="minorHAnsi"/>
          <w:color w:val="000000"/>
          <w:szCs w:val="24"/>
          <w:shd w:val="clear" w:color="auto" w:fill="FFFFFF"/>
        </w:rPr>
      </w:pPr>
      <w:r w:rsidRPr="00371311">
        <w:rPr>
          <w:rFonts w:asciiTheme="minorHAnsi" w:hAnsiTheme="minorHAnsi" w:cstheme="minorHAnsi"/>
          <w:b/>
          <w:i/>
          <w:szCs w:val="24"/>
        </w:rPr>
        <w:t>Compliance Determination</w:t>
      </w:r>
      <w:r w:rsidRPr="00371311">
        <w:rPr>
          <w:rFonts w:asciiTheme="minorHAnsi" w:hAnsiTheme="minorHAnsi" w:cstheme="minorHAnsi"/>
          <w:b/>
          <w:szCs w:val="24"/>
        </w:rPr>
        <w:t>.</w:t>
      </w:r>
      <w:r w:rsidRPr="00371311">
        <w:rPr>
          <w:rFonts w:asciiTheme="minorHAnsi" w:hAnsiTheme="minorHAnsi" w:cstheme="minorHAnsi"/>
          <w:szCs w:val="24"/>
        </w:rPr>
        <w:t xml:space="preserve"> The burden associated with compliance determination involves determining whether </w:t>
      </w:r>
      <w:r w:rsidRPr="00371311" w:rsidR="00D41D82">
        <w:rPr>
          <w:rFonts w:asciiTheme="minorHAnsi" w:hAnsiTheme="minorHAnsi" w:cstheme="minorHAnsi"/>
          <w:szCs w:val="24"/>
        </w:rPr>
        <w:t>a firm has asserted or will assert claims for confidentiality in a submission to EPA under TSCA</w:t>
      </w:r>
      <w:r w:rsidRPr="00371311">
        <w:rPr>
          <w:rFonts w:asciiTheme="minorHAnsi" w:hAnsiTheme="minorHAnsi" w:cstheme="minorHAnsi"/>
          <w:szCs w:val="24"/>
        </w:rPr>
        <w:t xml:space="preserve">. </w:t>
      </w:r>
      <w:r w:rsidRPr="00371311" w:rsidR="00D41D82">
        <w:rPr>
          <w:rStyle w:val="normaltextrun"/>
          <w:rFonts w:asciiTheme="minorHAnsi" w:hAnsiTheme="minorHAnsi" w:cstheme="minorHAnsi"/>
          <w:color w:val="000000"/>
          <w:szCs w:val="24"/>
          <w:shd w:val="clear" w:color="auto" w:fill="FFFFFF"/>
        </w:rPr>
        <w:t>As a firm should already know if it has asserted or will assert any claims for confidentiality, there is no burden or cost associated with this activity.</w:t>
      </w:r>
    </w:p>
    <w:p w:rsidR="00FA07C5" w:rsidRPr="00371311" w:rsidP="00B20FDA" w14:paraId="0280504E" w14:textId="2DFDBC5F">
      <w:pPr>
        <w:pStyle w:val="paragraph"/>
        <w:spacing w:before="0" w:beforeAutospacing="0" w:after="200" w:afterAutospacing="0" w:line="276" w:lineRule="auto"/>
        <w:textAlignment w:val="baseline"/>
        <w:rPr>
          <w:rFonts w:asciiTheme="minorHAnsi" w:eastAsiaTheme="majorEastAsia" w:hAnsiTheme="minorHAnsi" w:cstheme="minorHAnsi"/>
        </w:rPr>
      </w:pPr>
      <w:r w:rsidRPr="00371311">
        <w:rPr>
          <w:rStyle w:val="normaltextrun"/>
          <w:rFonts w:asciiTheme="minorHAnsi" w:hAnsiTheme="minorHAnsi" w:cstheme="minorHAnsi"/>
          <w:b/>
          <w:bCs/>
          <w:i/>
          <w:iCs/>
        </w:rPr>
        <w:t>Withdrawing Confidentiality Claims</w:t>
      </w:r>
      <w:r w:rsidRPr="00371311" w:rsidR="000627D4">
        <w:rPr>
          <w:rStyle w:val="normaltextrun"/>
          <w:rFonts w:asciiTheme="minorHAnsi" w:hAnsiTheme="minorHAnsi" w:cstheme="minorHAnsi"/>
          <w:b/>
          <w:bCs/>
          <w:i/>
          <w:iCs/>
        </w:rPr>
        <w:t xml:space="preserve">, </w:t>
      </w:r>
      <w:r w:rsidRPr="00371311">
        <w:rPr>
          <w:rStyle w:val="normaltextrun"/>
          <w:rFonts w:asciiTheme="minorHAnsi" w:hAnsiTheme="minorHAnsi" w:cstheme="minorHAnsi"/>
          <w:b/>
          <w:bCs/>
          <w:i/>
          <w:iCs/>
        </w:rPr>
        <w:t>Amending Public Copy</w:t>
      </w:r>
      <w:r w:rsidRPr="00371311" w:rsidR="000627D4">
        <w:rPr>
          <w:rStyle w:val="normaltextrun"/>
          <w:rFonts w:asciiTheme="minorHAnsi" w:hAnsiTheme="minorHAnsi" w:cstheme="minorHAnsi"/>
          <w:b/>
          <w:bCs/>
          <w:i/>
          <w:iCs/>
        </w:rPr>
        <w:t>, and Extending CBI Claims</w:t>
      </w:r>
      <w:r w:rsidRPr="00371311">
        <w:rPr>
          <w:rStyle w:val="normaltextrun"/>
          <w:rFonts w:asciiTheme="minorHAnsi" w:hAnsiTheme="minorHAnsi" w:cstheme="minorHAnsi"/>
          <w:b/>
          <w:bCs/>
          <w:i/>
          <w:iCs/>
        </w:rPr>
        <w:t>.</w:t>
      </w:r>
      <w:r w:rsidR="00B377E9">
        <w:rPr>
          <w:rStyle w:val="normaltextrun"/>
          <w:rFonts w:asciiTheme="minorHAnsi" w:hAnsiTheme="minorHAnsi" w:cstheme="minorHAnsi"/>
          <w:b/>
          <w:bCs/>
          <w:i/>
          <w:iCs/>
        </w:rPr>
        <w:t xml:space="preserve"> </w:t>
      </w:r>
      <w:r w:rsidRPr="00371311">
        <w:rPr>
          <w:rFonts w:asciiTheme="minorHAnsi" w:hAnsiTheme="minorHAnsi" w:cstheme="minorHAnsi"/>
        </w:rPr>
        <w:t xml:space="preserve">Confidentiality claims in TSCA submissions that were originally made via electronic submission may be withdrawn by reopening the submission in CDX, </w:t>
      </w:r>
      <w:r w:rsidRPr="00371311" w:rsidR="007D07C8">
        <w:rPr>
          <w:rFonts w:asciiTheme="minorHAnsi" w:hAnsiTheme="minorHAnsi" w:cstheme="minorHAnsi"/>
        </w:rPr>
        <w:t>removing</w:t>
      </w:r>
      <w:r w:rsidRPr="00371311">
        <w:rPr>
          <w:rFonts w:asciiTheme="minorHAnsi" w:hAnsiTheme="minorHAnsi" w:cstheme="minorHAnsi"/>
        </w:rPr>
        <w:t> confidentiality markings (e.g., confidential checkmarks or bracketing), revising sanitized attachments or copies as appropriate, and then resubmitting the submission.</w:t>
      </w:r>
      <w:r w:rsidRPr="00371311">
        <w:rPr>
          <w:rFonts w:asciiTheme="minorHAnsi" w:eastAsiaTheme="majorEastAsia" w:hAnsiTheme="minorHAnsi" w:cstheme="minorHAnsi"/>
        </w:rPr>
        <w:t> </w:t>
      </w:r>
    </w:p>
    <w:p w:rsidR="00FA07C5" w:rsidRPr="00371311" w:rsidP="00B20FDA" w14:paraId="0F955FA9" w14:textId="0BFD2500">
      <w:pPr>
        <w:pStyle w:val="paragraph"/>
        <w:spacing w:before="0" w:beforeAutospacing="0" w:after="200" w:afterAutospacing="0" w:line="276" w:lineRule="auto"/>
        <w:textAlignment w:val="baseline"/>
        <w:rPr>
          <w:rStyle w:val="eop"/>
          <w:rFonts w:asciiTheme="minorHAnsi" w:eastAsiaTheme="majorEastAsia" w:hAnsiTheme="minorHAnsi" w:cstheme="minorHAnsi"/>
        </w:rPr>
      </w:pPr>
      <w:r w:rsidRPr="00371311">
        <w:rPr>
          <w:rStyle w:val="normaltextrun"/>
          <w:rFonts w:asciiTheme="minorHAnsi" w:hAnsiTheme="minorHAnsi" w:cstheme="minorHAnsi"/>
        </w:rPr>
        <w:t>For submissions that were originally made on paper, or that are no longer accessible to the submitting company via CDX, confidentiality claims may also be withdrawn via CDX</w:t>
      </w:r>
      <w:r w:rsidRPr="00371311" w:rsidR="3C587ECE">
        <w:rPr>
          <w:rFonts w:asciiTheme="minorHAnsi" w:hAnsiTheme="minorHAnsi" w:cstheme="minorHAnsi"/>
        </w:rPr>
        <w:t xml:space="preserve"> (</w:t>
      </w:r>
      <w:r w:rsidRPr="00371311" w:rsidR="006E1E3C">
        <w:rPr>
          <w:rFonts w:asciiTheme="minorHAnsi" w:hAnsiTheme="minorHAnsi" w:cstheme="minorHAnsi"/>
        </w:rPr>
        <w:t>i.e.</w:t>
      </w:r>
      <w:r w:rsidRPr="00371311" w:rsidR="3C587ECE">
        <w:rPr>
          <w:rFonts w:asciiTheme="minorHAnsi" w:hAnsiTheme="minorHAnsi" w:cstheme="minorHAnsi"/>
        </w:rPr>
        <w:t>, the “TSCA Communications” application).</w:t>
      </w:r>
      <w:r w:rsidRPr="00371311">
        <w:rPr>
          <w:rStyle w:val="normaltextrun"/>
          <w:rFonts w:asciiTheme="minorHAnsi" w:hAnsiTheme="minorHAnsi" w:cstheme="minorHAnsi"/>
        </w:rPr>
        <w:t xml:space="preserve">  The withdrawal correspondence </w:t>
      </w:r>
      <w:r w:rsidRPr="00371311" w:rsidR="0042191A">
        <w:rPr>
          <w:rStyle w:val="normaltextrun"/>
          <w:rFonts w:asciiTheme="minorHAnsi" w:hAnsiTheme="minorHAnsi" w:cstheme="minorHAnsi"/>
        </w:rPr>
        <w:t xml:space="preserve">must </w:t>
      </w:r>
      <w:r w:rsidRPr="00371311">
        <w:rPr>
          <w:rStyle w:val="normaltextrun"/>
          <w:rFonts w:asciiTheme="minorHAnsi" w:hAnsiTheme="minorHAnsi" w:cstheme="minorHAnsi"/>
        </w:rPr>
        <w:t xml:space="preserve">clearly indicate the case or document number (or other applicable document identifier or document identifying details) from which CBI claims are being withdrawn, identify the submitting company, and include a list or description of the information for which CBI claims are being withdrawn, including page numbers, where relevant.  Current contact information for the person withdrawing the claim </w:t>
      </w:r>
      <w:r w:rsidRPr="00371311" w:rsidR="0042191A">
        <w:rPr>
          <w:rStyle w:val="normaltextrun"/>
          <w:rFonts w:asciiTheme="minorHAnsi" w:hAnsiTheme="minorHAnsi" w:cstheme="minorHAnsi"/>
        </w:rPr>
        <w:t xml:space="preserve">must </w:t>
      </w:r>
      <w:r w:rsidRPr="00371311">
        <w:rPr>
          <w:rStyle w:val="normaltextrun"/>
          <w:rFonts w:asciiTheme="minorHAnsi" w:hAnsiTheme="minorHAnsi" w:cstheme="minorHAnsi"/>
        </w:rPr>
        <w:t>also be provided, in the event EPA needs clarification concerning which claim or claims are being withdrawn.  </w:t>
      </w:r>
      <w:r w:rsidRPr="00371311">
        <w:rPr>
          <w:rStyle w:val="eop"/>
          <w:rFonts w:asciiTheme="minorHAnsi" w:eastAsiaTheme="majorEastAsia" w:hAnsiTheme="minorHAnsi" w:cstheme="minorHAnsi"/>
        </w:rPr>
        <w:t> </w:t>
      </w:r>
    </w:p>
    <w:p w:rsidR="00270500" w:rsidRPr="00371311" w:rsidP="00B20FDA" w14:paraId="73CEE465" w14:textId="36C13685">
      <w:pPr>
        <w:pStyle w:val="paragraph"/>
        <w:spacing w:before="0" w:beforeAutospacing="0" w:after="200" w:afterAutospacing="0" w:line="276" w:lineRule="auto"/>
        <w:ind w:firstLine="360"/>
        <w:textAlignment w:val="baseline"/>
        <w:rPr>
          <w:rFonts w:asciiTheme="minorHAnsi" w:hAnsiTheme="minorHAnsi" w:cstheme="minorHAnsi"/>
        </w:rPr>
      </w:pPr>
      <w:r w:rsidRPr="00371311">
        <w:rPr>
          <w:rStyle w:val="normaltextrun"/>
          <w:rFonts w:asciiTheme="minorHAnsi" w:hAnsiTheme="minorHAnsi" w:cstheme="minorHAnsi"/>
        </w:rPr>
        <w:t xml:space="preserve">a) Following the expiration or EPA’s denial of a TSCA confidentiality claim, the person who asserted the denied or expired claim </w:t>
      </w:r>
      <w:r w:rsidRPr="00371311" w:rsidR="00712CB3">
        <w:rPr>
          <w:rStyle w:val="normaltextrun"/>
          <w:rFonts w:asciiTheme="minorHAnsi" w:hAnsiTheme="minorHAnsi" w:cstheme="minorHAnsi"/>
        </w:rPr>
        <w:t>is encouraged to </w:t>
      </w:r>
      <w:r w:rsidRPr="00371311">
        <w:rPr>
          <w:rStyle w:val="normaltextrun"/>
          <w:rFonts w:asciiTheme="minorHAnsi" w:hAnsiTheme="minorHAnsi" w:cstheme="minorHAnsi"/>
        </w:rPr>
        <w:t>prepare and submit a revised public copy of the submission to EPA, following the procedures for voluntarily withdrawing claims described in paragraph 703.5(</w:t>
      </w:r>
      <w:r w:rsidRPr="00371311">
        <w:rPr>
          <w:rStyle w:val="spellingerror"/>
          <w:rFonts w:asciiTheme="minorHAnsi" w:eastAsiaTheme="majorEastAsia" w:hAnsiTheme="minorHAnsi" w:cstheme="minorHAnsi"/>
        </w:rPr>
        <w:t>i</w:t>
      </w:r>
      <w:r w:rsidRPr="00371311">
        <w:rPr>
          <w:rStyle w:val="normaltextrun"/>
          <w:rFonts w:asciiTheme="minorHAnsi" w:hAnsiTheme="minorHAnsi" w:cstheme="minorHAnsi"/>
        </w:rPr>
        <w:t>).</w:t>
      </w:r>
      <w:r w:rsidRPr="00371311">
        <w:rPr>
          <w:rStyle w:val="eop"/>
          <w:rFonts w:asciiTheme="minorHAnsi" w:eastAsiaTheme="majorEastAsia" w:hAnsiTheme="minorHAnsi" w:cstheme="minorHAnsi"/>
        </w:rPr>
        <w:t> </w:t>
      </w:r>
    </w:p>
    <w:p w:rsidR="00270500" w:rsidRPr="00371311" w:rsidP="00B20FDA" w14:paraId="631CE2BC" w14:textId="6CDE115D">
      <w:pPr>
        <w:pStyle w:val="paragraph"/>
        <w:spacing w:before="0" w:beforeAutospacing="0" w:after="200" w:afterAutospacing="0" w:line="276" w:lineRule="auto"/>
        <w:ind w:firstLine="360"/>
        <w:textAlignment w:val="baseline"/>
        <w:rPr>
          <w:rStyle w:val="normaltextrun"/>
          <w:rFonts w:asciiTheme="minorHAnsi" w:hAnsiTheme="minorHAnsi" w:cstheme="minorHAnsi"/>
        </w:rPr>
      </w:pPr>
      <w:r w:rsidRPr="00371311">
        <w:rPr>
          <w:rFonts w:asciiTheme="minorHAnsi" w:hAnsiTheme="minorHAnsi" w:cstheme="minorHAnsi"/>
        </w:rPr>
        <w:t xml:space="preserve">b) </w:t>
      </w:r>
      <w:r w:rsidRPr="00371311">
        <w:rPr>
          <w:rStyle w:val="normaltextrun"/>
          <w:rFonts w:asciiTheme="minorHAnsi" w:hAnsiTheme="minorHAnsi" w:cstheme="minorHAnsi"/>
        </w:rPr>
        <w:t>If the person who asserted the denied or expired claim declines or fails to timely provide a revised public copy of the submission that includes the information for which the confidentiality claim(s) were denied or expired, EPA will prepare an addendum to the original public copy, as needed, in order to provide the newly available information to the public.</w:t>
      </w:r>
      <w:r w:rsidRPr="00371311" w:rsidR="00D13943">
        <w:rPr>
          <w:rStyle w:val="normaltextrun"/>
          <w:rFonts w:asciiTheme="minorHAnsi" w:hAnsiTheme="minorHAnsi" w:cstheme="minorHAnsi"/>
        </w:rPr>
        <w:t xml:space="preserve">  </w:t>
      </w:r>
    </w:p>
    <w:p w:rsidR="00FE6422" w:rsidRPr="00371311" w:rsidP="00B20FDA" w14:paraId="754BC143" w14:textId="37976D5F">
      <w:pPr>
        <w:pStyle w:val="paragraph"/>
        <w:spacing w:before="0" w:beforeAutospacing="0" w:after="200" w:afterAutospacing="0" w:line="276" w:lineRule="auto"/>
        <w:ind w:firstLine="360"/>
        <w:textAlignment w:val="baseline"/>
        <w:rPr>
          <w:rStyle w:val="normaltextrun"/>
          <w:rFonts w:asciiTheme="minorHAnsi" w:hAnsiTheme="minorHAnsi" w:cstheme="minorHAnsi"/>
        </w:rPr>
      </w:pPr>
      <w:r w:rsidRPr="00371311">
        <w:rPr>
          <w:rStyle w:val="normaltextrun"/>
          <w:rFonts w:asciiTheme="minorHAnsi" w:hAnsiTheme="minorHAnsi" w:cstheme="minorHAnsi"/>
        </w:rPr>
        <w:t xml:space="preserve">c) </w:t>
      </w:r>
      <w:r w:rsidRPr="00371311" w:rsidR="0DCCEC96">
        <w:rPr>
          <w:rStyle w:val="normaltextrun"/>
          <w:rFonts w:asciiTheme="minorHAnsi" w:hAnsiTheme="minorHAnsi" w:cstheme="minorHAnsi"/>
        </w:rPr>
        <w:t xml:space="preserve">Persons whose CBI claims are expiring will need to consider every ten years whether they would like to request extension of </w:t>
      </w:r>
      <w:r w:rsidRPr="00371311" w:rsidR="578FC5DA">
        <w:rPr>
          <w:rStyle w:val="normaltextrun"/>
          <w:rFonts w:asciiTheme="minorHAnsi" w:hAnsiTheme="minorHAnsi" w:cstheme="minorHAnsi"/>
        </w:rPr>
        <w:t>the period of protection for these CBI claims for another ten years.</w:t>
      </w:r>
    </w:p>
    <w:p w:rsidR="009A6561" w:rsidRPr="00A456CD" w:rsidP="00B20FDA" w14:paraId="64014A33" w14:textId="3189195E">
      <w:pPr>
        <w:rPr>
          <w:rFonts w:asciiTheme="minorHAnsi" w:hAnsiTheme="minorHAnsi" w:cstheme="minorHAnsi"/>
          <w:b/>
          <w:bCs/>
          <w:i/>
          <w:iCs/>
          <w:szCs w:val="24"/>
        </w:rPr>
      </w:pPr>
      <w:r w:rsidRPr="00371311">
        <w:rPr>
          <w:rFonts w:asciiTheme="minorHAnsi" w:hAnsiTheme="minorHAnsi" w:cstheme="minorHAnsi"/>
          <w:b/>
          <w:bCs/>
          <w:i/>
          <w:iCs/>
          <w:szCs w:val="24"/>
        </w:rPr>
        <w:t>Re-substantiation</w:t>
      </w:r>
      <w:r w:rsidR="00A456CD">
        <w:rPr>
          <w:rFonts w:asciiTheme="minorHAnsi" w:hAnsiTheme="minorHAnsi" w:cstheme="minorHAnsi"/>
          <w:b/>
          <w:bCs/>
          <w:i/>
          <w:iCs/>
          <w:szCs w:val="24"/>
        </w:rPr>
        <w:t xml:space="preserve">. </w:t>
      </w:r>
      <w:r w:rsidRPr="00371311" w:rsidR="4C82CA7B">
        <w:rPr>
          <w:rFonts w:asciiTheme="minorHAnsi" w:hAnsiTheme="minorHAnsi" w:cstheme="minorHAnsi"/>
          <w:szCs w:val="24"/>
        </w:rPr>
        <w:t xml:space="preserve">Pursuant to TSCA section 14(e), most CBI claims expire ten years after they are asserted.  Submitters of expiring claims may request an extension of these claims every ten years, with the first CBI claims expiring in 2026.  </w:t>
      </w:r>
      <w:r w:rsidRPr="00371311" w:rsidR="32C29F0C">
        <w:rPr>
          <w:rFonts w:asciiTheme="minorHAnsi" w:hAnsiTheme="minorHAnsi" w:cstheme="minorHAnsi"/>
          <w:szCs w:val="24"/>
        </w:rPr>
        <w:t>EPA must provide submitters notification of expiring claims at least 60 days prior to expiration, and s</w:t>
      </w:r>
      <w:r w:rsidRPr="00371311" w:rsidR="4C82CA7B">
        <w:rPr>
          <w:rFonts w:asciiTheme="minorHAnsi" w:hAnsiTheme="minorHAnsi" w:cstheme="minorHAnsi"/>
          <w:szCs w:val="24"/>
        </w:rPr>
        <w:t>ubmit</w:t>
      </w:r>
      <w:r w:rsidRPr="00371311" w:rsidR="0ED84977">
        <w:rPr>
          <w:rFonts w:asciiTheme="minorHAnsi" w:hAnsiTheme="minorHAnsi" w:cstheme="minorHAnsi"/>
          <w:szCs w:val="24"/>
        </w:rPr>
        <w:t>ters who wish to extend the period of CBI protection for their claims must notify EPA at least 30 days before their claims expire</w:t>
      </w:r>
      <w:r w:rsidRPr="00371311" w:rsidR="46AB8898">
        <w:rPr>
          <w:rFonts w:asciiTheme="minorHAnsi" w:hAnsiTheme="minorHAnsi" w:cstheme="minorHAnsi"/>
          <w:szCs w:val="24"/>
        </w:rPr>
        <w:t>.  To support a request for CBI claim extension, TSCA 14(e) requires that submitters substantiate the need to extend CBI protections. Submitters</w:t>
      </w:r>
      <w:r w:rsidRPr="00371311" w:rsidR="353DCA09">
        <w:rPr>
          <w:rFonts w:asciiTheme="minorHAnsi" w:hAnsiTheme="minorHAnsi" w:cstheme="minorHAnsi"/>
          <w:szCs w:val="24"/>
        </w:rPr>
        <w:t xml:space="preserve"> may do so by providing new responses to a standard set of substantiation questions, or by referring to previously provi</w:t>
      </w:r>
      <w:r w:rsidRPr="00371311" w:rsidR="7656FC7C">
        <w:rPr>
          <w:rFonts w:asciiTheme="minorHAnsi" w:hAnsiTheme="minorHAnsi" w:cstheme="minorHAnsi"/>
          <w:szCs w:val="24"/>
        </w:rPr>
        <w:t>ded substantiation and certifying that the older substantiation is still accurate and applicable.</w:t>
      </w:r>
    </w:p>
    <w:p w:rsidR="006147C0" w:rsidRPr="00371311" w:rsidP="00EB69DF" w14:paraId="66E4EC4D" w14:textId="350D50E6">
      <w:pPr>
        <w:pStyle w:val="Caption"/>
        <w:spacing w:after="0" w:line="276" w:lineRule="auto"/>
        <w:rPr>
          <w:rFonts w:asciiTheme="minorHAnsi" w:hAnsiTheme="minorHAnsi" w:cstheme="minorHAnsi"/>
          <w:szCs w:val="24"/>
        </w:rPr>
      </w:pPr>
      <w:r w:rsidRPr="00371311">
        <w:rPr>
          <w:rFonts w:asciiTheme="minorHAnsi" w:hAnsiTheme="minorHAnsi" w:cstheme="minorHAnsi"/>
          <w:szCs w:val="24"/>
        </w:rPr>
        <w:t xml:space="preserve">Table </w:t>
      </w:r>
      <w:r w:rsidRPr="00371311" w:rsidR="00B30872">
        <w:rPr>
          <w:rFonts w:asciiTheme="minorHAnsi" w:hAnsiTheme="minorHAnsi" w:cstheme="minorHAnsi"/>
          <w:szCs w:val="24"/>
        </w:rPr>
        <w:t>2</w:t>
      </w:r>
      <w:r w:rsidRPr="00371311">
        <w:rPr>
          <w:rFonts w:asciiTheme="minorHAnsi" w:hAnsiTheme="minorHAnsi" w:cstheme="minorHAnsi"/>
          <w:szCs w:val="24"/>
        </w:rPr>
        <w:t>: Activity Level Burdens</w:t>
      </w:r>
    </w:p>
    <w:tbl>
      <w:tblPr>
        <w:tblStyle w:val="TableGrid"/>
        <w:tblW w:w="9414" w:type="dxa"/>
        <w:tblLayout w:type="fixed"/>
        <w:tblLook w:val="04A0"/>
      </w:tblPr>
      <w:tblGrid>
        <w:gridCol w:w="2966"/>
        <w:gridCol w:w="1612"/>
        <w:gridCol w:w="1612"/>
        <w:gridCol w:w="1612"/>
        <w:gridCol w:w="1612"/>
      </w:tblGrid>
      <w:tr w14:paraId="0AC4CD8F" w14:textId="77777777" w:rsidTr="37B89732">
        <w:tblPrEx>
          <w:tblW w:w="9414" w:type="dxa"/>
          <w:tblLayout w:type="fixed"/>
          <w:tblLook w:val="04A0"/>
        </w:tblPrEx>
        <w:trPr>
          <w:trHeight w:val="201"/>
        </w:trPr>
        <w:tc>
          <w:tcPr>
            <w:tcW w:w="2966" w:type="dxa"/>
            <w:vMerge w:val="restart"/>
            <w:shd w:val="clear" w:color="auto" w:fill="9CC2E5" w:themeFill="accent1" w:themeFillTint="99"/>
            <w:vAlign w:val="center"/>
          </w:tcPr>
          <w:p w:rsidR="006147C0" w:rsidRPr="00371311" w:rsidP="00B20FDA" w14:paraId="373E3596" w14:textId="77777777">
            <w:pPr>
              <w:jc w:val="center"/>
              <w:rPr>
                <w:rFonts w:asciiTheme="minorHAnsi" w:hAnsiTheme="minorHAnsi" w:cstheme="minorHAnsi"/>
                <w:b/>
                <w:szCs w:val="24"/>
              </w:rPr>
            </w:pPr>
            <w:r w:rsidRPr="00371311">
              <w:rPr>
                <w:rFonts w:asciiTheme="minorHAnsi" w:hAnsiTheme="minorHAnsi" w:cstheme="minorHAnsi"/>
                <w:b/>
                <w:szCs w:val="24"/>
              </w:rPr>
              <w:t>Activity</w:t>
            </w:r>
          </w:p>
        </w:tc>
        <w:tc>
          <w:tcPr>
            <w:tcW w:w="6448" w:type="dxa"/>
            <w:gridSpan w:val="4"/>
            <w:shd w:val="clear" w:color="auto" w:fill="9CC2E5" w:themeFill="accent1" w:themeFillTint="99"/>
            <w:vAlign w:val="center"/>
          </w:tcPr>
          <w:p w:rsidR="006147C0" w:rsidRPr="00371311" w:rsidP="00B20FDA" w14:paraId="689A83F2" w14:textId="77777777">
            <w:pPr>
              <w:jc w:val="center"/>
              <w:rPr>
                <w:rFonts w:asciiTheme="minorHAnsi" w:hAnsiTheme="minorHAnsi" w:cstheme="minorHAnsi"/>
                <w:b/>
                <w:szCs w:val="24"/>
              </w:rPr>
            </w:pPr>
            <w:r w:rsidRPr="00371311">
              <w:rPr>
                <w:rFonts w:asciiTheme="minorHAnsi" w:hAnsiTheme="minorHAnsi" w:cstheme="minorHAnsi"/>
                <w:b/>
                <w:szCs w:val="24"/>
              </w:rPr>
              <w:t>Burden per Firm</w:t>
            </w:r>
          </w:p>
        </w:tc>
      </w:tr>
      <w:tr w14:paraId="63FEF237" w14:textId="77777777" w:rsidTr="37B89732">
        <w:tblPrEx>
          <w:tblW w:w="9414" w:type="dxa"/>
          <w:tblLayout w:type="fixed"/>
          <w:tblLook w:val="04A0"/>
        </w:tblPrEx>
        <w:trPr>
          <w:trHeight w:val="256"/>
        </w:trPr>
        <w:tc>
          <w:tcPr>
            <w:tcW w:w="2966" w:type="dxa"/>
            <w:vMerge/>
            <w:vAlign w:val="center"/>
          </w:tcPr>
          <w:p w:rsidR="006147C0" w:rsidRPr="00371311" w:rsidP="00B20FDA" w14:paraId="3B0E96FB" w14:textId="77777777">
            <w:pPr>
              <w:jc w:val="center"/>
              <w:rPr>
                <w:rFonts w:asciiTheme="minorHAnsi" w:hAnsiTheme="minorHAnsi" w:cstheme="minorHAnsi"/>
                <w:szCs w:val="24"/>
              </w:rPr>
            </w:pPr>
          </w:p>
        </w:tc>
        <w:tc>
          <w:tcPr>
            <w:tcW w:w="1612" w:type="dxa"/>
            <w:shd w:val="clear" w:color="auto" w:fill="9CC2E5" w:themeFill="accent1" w:themeFillTint="99"/>
            <w:vAlign w:val="center"/>
          </w:tcPr>
          <w:p w:rsidR="006147C0" w:rsidRPr="00371311" w:rsidP="00B20FDA" w14:paraId="39C2DF38" w14:textId="77777777">
            <w:pPr>
              <w:jc w:val="center"/>
              <w:rPr>
                <w:rFonts w:asciiTheme="minorHAnsi" w:hAnsiTheme="minorHAnsi" w:cstheme="minorHAnsi"/>
                <w:b/>
                <w:szCs w:val="24"/>
              </w:rPr>
            </w:pPr>
            <w:r w:rsidRPr="00371311">
              <w:rPr>
                <w:rFonts w:asciiTheme="minorHAnsi" w:hAnsiTheme="minorHAnsi" w:cstheme="minorHAnsi"/>
                <w:b/>
                <w:szCs w:val="24"/>
              </w:rPr>
              <w:t>Managerial Burden</w:t>
            </w:r>
          </w:p>
        </w:tc>
        <w:tc>
          <w:tcPr>
            <w:tcW w:w="1612" w:type="dxa"/>
            <w:shd w:val="clear" w:color="auto" w:fill="9CC2E5" w:themeFill="accent1" w:themeFillTint="99"/>
            <w:vAlign w:val="center"/>
          </w:tcPr>
          <w:p w:rsidR="006147C0" w:rsidRPr="00371311" w:rsidP="00B20FDA" w14:paraId="03FA3E7D" w14:textId="77777777">
            <w:pPr>
              <w:jc w:val="center"/>
              <w:rPr>
                <w:rFonts w:asciiTheme="minorHAnsi" w:hAnsiTheme="minorHAnsi" w:cstheme="minorHAnsi"/>
                <w:b/>
                <w:szCs w:val="24"/>
              </w:rPr>
            </w:pPr>
            <w:r w:rsidRPr="00371311">
              <w:rPr>
                <w:rFonts w:asciiTheme="minorHAnsi" w:hAnsiTheme="minorHAnsi" w:cstheme="minorHAnsi"/>
                <w:b/>
                <w:szCs w:val="24"/>
              </w:rPr>
              <w:t>Technical   Burden</w:t>
            </w:r>
          </w:p>
        </w:tc>
        <w:tc>
          <w:tcPr>
            <w:tcW w:w="1612" w:type="dxa"/>
            <w:shd w:val="clear" w:color="auto" w:fill="9CC2E5" w:themeFill="accent1" w:themeFillTint="99"/>
            <w:vAlign w:val="center"/>
          </w:tcPr>
          <w:p w:rsidR="006147C0" w:rsidRPr="00371311" w:rsidP="00B20FDA" w14:paraId="323BFE67" w14:textId="77777777">
            <w:pPr>
              <w:jc w:val="center"/>
              <w:rPr>
                <w:rFonts w:asciiTheme="minorHAnsi" w:hAnsiTheme="minorHAnsi" w:cstheme="minorHAnsi"/>
                <w:b/>
                <w:szCs w:val="24"/>
              </w:rPr>
            </w:pPr>
            <w:r w:rsidRPr="00371311">
              <w:rPr>
                <w:rFonts w:asciiTheme="minorHAnsi" w:hAnsiTheme="minorHAnsi" w:cstheme="minorHAnsi"/>
                <w:b/>
                <w:szCs w:val="24"/>
              </w:rPr>
              <w:t>Clerical   Burden</w:t>
            </w:r>
          </w:p>
        </w:tc>
        <w:tc>
          <w:tcPr>
            <w:tcW w:w="1612" w:type="dxa"/>
            <w:shd w:val="clear" w:color="auto" w:fill="9CC2E5" w:themeFill="accent1" w:themeFillTint="99"/>
            <w:vAlign w:val="center"/>
          </w:tcPr>
          <w:p w:rsidR="006147C0" w:rsidRPr="00371311" w:rsidP="00B20FDA" w14:paraId="429B89B6" w14:textId="77777777">
            <w:pPr>
              <w:jc w:val="center"/>
              <w:rPr>
                <w:rFonts w:asciiTheme="minorHAnsi" w:hAnsiTheme="minorHAnsi" w:cstheme="minorHAnsi"/>
                <w:b/>
                <w:szCs w:val="24"/>
              </w:rPr>
            </w:pPr>
            <w:r w:rsidRPr="00371311">
              <w:rPr>
                <w:rFonts w:asciiTheme="minorHAnsi" w:hAnsiTheme="minorHAnsi" w:cstheme="minorHAnsi"/>
                <w:b/>
                <w:szCs w:val="24"/>
              </w:rPr>
              <w:t>Total Burden (hours)</w:t>
            </w:r>
          </w:p>
        </w:tc>
      </w:tr>
      <w:tr w14:paraId="7D2D7550" w14:textId="77777777" w:rsidTr="37B89732">
        <w:tblPrEx>
          <w:tblW w:w="9414" w:type="dxa"/>
          <w:tblLayout w:type="fixed"/>
          <w:tblLook w:val="04A0"/>
        </w:tblPrEx>
        <w:trPr>
          <w:trHeight w:val="378"/>
        </w:trPr>
        <w:tc>
          <w:tcPr>
            <w:tcW w:w="2966" w:type="dxa"/>
            <w:vAlign w:val="center"/>
          </w:tcPr>
          <w:p w:rsidR="006147C0" w:rsidRPr="00371311" w:rsidP="00B20FDA" w14:paraId="53D9FFC4" w14:textId="77777777">
            <w:pPr>
              <w:rPr>
                <w:rFonts w:asciiTheme="minorHAnsi" w:hAnsiTheme="minorHAnsi" w:cstheme="minorHAnsi"/>
                <w:szCs w:val="24"/>
              </w:rPr>
            </w:pPr>
            <w:r w:rsidRPr="00371311">
              <w:rPr>
                <w:rFonts w:asciiTheme="minorHAnsi" w:hAnsiTheme="minorHAnsi" w:cstheme="minorHAnsi"/>
                <w:szCs w:val="24"/>
              </w:rPr>
              <w:t>Compliance Determination</w:t>
            </w:r>
          </w:p>
        </w:tc>
        <w:tc>
          <w:tcPr>
            <w:tcW w:w="1612" w:type="dxa"/>
            <w:vAlign w:val="center"/>
          </w:tcPr>
          <w:p w:rsidR="006147C0" w:rsidRPr="00371311" w:rsidP="00B20FDA" w14:paraId="6D35DD9D" w14:textId="31E16DEE">
            <w:pPr>
              <w:jc w:val="center"/>
              <w:rPr>
                <w:rFonts w:asciiTheme="minorHAnsi" w:hAnsiTheme="minorHAnsi" w:cstheme="minorHAnsi"/>
                <w:szCs w:val="24"/>
              </w:rPr>
            </w:pPr>
            <w:r w:rsidRPr="00371311">
              <w:rPr>
                <w:rFonts w:asciiTheme="minorHAnsi" w:hAnsiTheme="minorHAnsi" w:cstheme="minorHAnsi"/>
                <w:szCs w:val="24"/>
              </w:rPr>
              <w:t>0.00</w:t>
            </w:r>
            <w:r w:rsidRPr="00371311" w:rsidR="00E666B4">
              <w:rPr>
                <w:rFonts w:asciiTheme="minorHAnsi" w:hAnsiTheme="minorHAnsi" w:cstheme="minorHAnsi"/>
                <w:szCs w:val="24"/>
              </w:rPr>
              <w:t>0</w:t>
            </w:r>
          </w:p>
        </w:tc>
        <w:tc>
          <w:tcPr>
            <w:tcW w:w="1612" w:type="dxa"/>
            <w:vAlign w:val="center"/>
          </w:tcPr>
          <w:p w:rsidR="006147C0" w:rsidRPr="00371311" w:rsidP="00B20FDA" w14:paraId="4683C0F4" w14:textId="50047F0A">
            <w:pPr>
              <w:jc w:val="center"/>
              <w:rPr>
                <w:rFonts w:asciiTheme="minorHAnsi" w:hAnsiTheme="minorHAnsi" w:cstheme="minorHAnsi"/>
                <w:szCs w:val="24"/>
              </w:rPr>
            </w:pPr>
            <w:r w:rsidRPr="00371311">
              <w:rPr>
                <w:rFonts w:asciiTheme="minorHAnsi" w:hAnsiTheme="minorHAnsi" w:cstheme="minorHAnsi"/>
                <w:szCs w:val="24"/>
              </w:rPr>
              <w:t>0.00</w:t>
            </w:r>
            <w:r w:rsidRPr="00371311" w:rsidR="00E666B4">
              <w:rPr>
                <w:rFonts w:asciiTheme="minorHAnsi" w:hAnsiTheme="minorHAnsi" w:cstheme="minorHAnsi"/>
                <w:szCs w:val="24"/>
              </w:rPr>
              <w:t>0</w:t>
            </w:r>
          </w:p>
        </w:tc>
        <w:tc>
          <w:tcPr>
            <w:tcW w:w="1612" w:type="dxa"/>
            <w:vAlign w:val="center"/>
          </w:tcPr>
          <w:p w:rsidR="006147C0" w:rsidRPr="00371311" w:rsidP="00B20FDA" w14:paraId="478E204A" w14:textId="29EF1CBB">
            <w:pPr>
              <w:jc w:val="center"/>
              <w:rPr>
                <w:rFonts w:asciiTheme="minorHAnsi" w:hAnsiTheme="minorHAnsi" w:cstheme="minorHAnsi"/>
                <w:szCs w:val="24"/>
              </w:rPr>
            </w:pPr>
            <w:r w:rsidRPr="00371311">
              <w:rPr>
                <w:rFonts w:asciiTheme="minorHAnsi" w:hAnsiTheme="minorHAnsi" w:cstheme="minorHAnsi"/>
                <w:szCs w:val="24"/>
              </w:rPr>
              <w:t>0.00</w:t>
            </w:r>
            <w:r w:rsidRPr="00371311" w:rsidR="00E666B4">
              <w:rPr>
                <w:rFonts w:asciiTheme="minorHAnsi" w:hAnsiTheme="minorHAnsi" w:cstheme="minorHAnsi"/>
                <w:szCs w:val="24"/>
              </w:rPr>
              <w:t>0</w:t>
            </w:r>
          </w:p>
        </w:tc>
        <w:tc>
          <w:tcPr>
            <w:tcW w:w="1612" w:type="dxa"/>
            <w:vAlign w:val="center"/>
          </w:tcPr>
          <w:p w:rsidR="006147C0" w:rsidRPr="00371311" w:rsidP="00B20FDA" w14:paraId="327993F2" w14:textId="5F4AA1D9">
            <w:pPr>
              <w:jc w:val="center"/>
              <w:rPr>
                <w:rFonts w:asciiTheme="minorHAnsi" w:hAnsiTheme="minorHAnsi" w:cstheme="minorHAnsi"/>
                <w:szCs w:val="24"/>
              </w:rPr>
            </w:pPr>
            <w:r w:rsidRPr="00371311">
              <w:rPr>
                <w:rFonts w:asciiTheme="minorHAnsi" w:hAnsiTheme="minorHAnsi" w:cstheme="minorHAnsi"/>
                <w:szCs w:val="24"/>
              </w:rPr>
              <w:t>0.00</w:t>
            </w:r>
            <w:r w:rsidRPr="00371311" w:rsidR="00E666B4">
              <w:rPr>
                <w:rFonts w:asciiTheme="minorHAnsi" w:hAnsiTheme="minorHAnsi" w:cstheme="minorHAnsi"/>
                <w:szCs w:val="24"/>
              </w:rPr>
              <w:t>0</w:t>
            </w:r>
          </w:p>
        </w:tc>
      </w:tr>
      <w:tr w14:paraId="728477E9" w14:textId="77777777" w:rsidTr="37B89732">
        <w:tblPrEx>
          <w:tblW w:w="9414" w:type="dxa"/>
          <w:tblLayout w:type="fixed"/>
          <w:tblLook w:val="04A0"/>
        </w:tblPrEx>
        <w:trPr>
          <w:trHeight w:val="378"/>
        </w:trPr>
        <w:tc>
          <w:tcPr>
            <w:tcW w:w="2966" w:type="dxa"/>
            <w:vAlign w:val="center"/>
          </w:tcPr>
          <w:p w:rsidR="006147C0" w:rsidRPr="00371311" w:rsidP="00B20FDA" w14:paraId="2571EC10" w14:textId="3E7FC80B">
            <w:pPr>
              <w:rPr>
                <w:rFonts w:asciiTheme="minorHAnsi" w:hAnsiTheme="minorHAnsi" w:cstheme="minorHAnsi"/>
                <w:szCs w:val="24"/>
              </w:rPr>
            </w:pPr>
            <w:r w:rsidRPr="00371311">
              <w:rPr>
                <w:rFonts w:asciiTheme="minorHAnsi" w:hAnsiTheme="minorHAnsi" w:cstheme="minorHAnsi"/>
                <w:szCs w:val="24"/>
              </w:rPr>
              <w:t>Withdrawing Confidentiality Claims and Amending Public Copy</w:t>
            </w:r>
            <w:r w:rsidRPr="00371311" w:rsidR="00DA141B">
              <w:rPr>
                <w:rFonts w:asciiTheme="minorHAnsi" w:hAnsiTheme="minorHAnsi" w:cstheme="minorHAnsi"/>
                <w:szCs w:val="24"/>
              </w:rPr>
              <w:t xml:space="preserve"> </w:t>
            </w:r>
            <w:r w:rsidRPr="00371311" w:rsidR="00FE6422">
              <w:rPr>
                <w:rFonts w:asciiTheme="minorHAnsi" w:hAnsiTheme="minorHAnsi" w:cstheme="minorHAnsi"/>
                <w:szCs w:val="24"/>
              </w:rPr>
              <w:t xml:space="preserve">and Extension of Claims </w:t>
            </w:r>
          </w:p>
        </w:tc>
        <w:tc>
          <w:tcPr>
            <w:tcW w:w="1612" w:type="dxa"/>
            <w:vAlign w:val="center"/>
          </w:tcPr>
          <w:p w:rsidR="006147C0" w:rsidRPr="00371311" w:rsidP="00B20FDA" w14:paraId="1E79E447" w14:textId="775F0D55">
            <w:pPr>
              <w:jc w:val="center"/>
              <w:rPr>
                <w:rFonts w:asciiTheme="minorHAnsi" w:hAnsiTheme="minorHAnsi" w:cstheme="minorHAnsi"/>
                <w:szCs w:val="24"/>
              </w:rPr>
            </w:pPr>
            <w:r w:rsidRPr="00371311">
              <w:rPr>
                <w:rFonts w:asciiTheme="minorHAnsi" w:hAnsiTheme="minorHAnsi" w:cstheme="minorHAnsi"/>
                <w:szCs w:val="24"/>
              </w:rPr>
              <w:t>0.00</w:t>
            </w:r>
            <w:r w:rsidRPr="00371311" w:rsidR="00E666B4">
              <w:rPr>
                <w:rFonts w:asciiTheme="minorHAnsi" w:hAnsiTheme="minorHAnsi" w:cstheme="minorHAnsi"/>
                <w:szCs w:val="24"/>
              </w:rPr>
              <w:t>0</w:t>
            </w:r>
          </w:p>
        </w:tc>
        <w:tc>
          <w:tcPr>
            <w:tcW w:w="1612" w:type="dxa"/>
            <w:vAlign w:val="center"/>
          </w:tcPr>
          <w:p w:rsidR="006147C0" w:rsidRPr="00371311" w:rsidP="00B20FDA" w14:paraId="45372FB1" w14:textId="0DA1BC9C">
            <w:pPr>
              <w:jc w:val="center"/>
              <w:rPr>
                <w:rFonts w:asciiTheme="minorHAnsi" w:hAnsiTheme="minorHAnsi" w:cstheme="minorHAnsi"/>
                <w:szCs w:val="24"/>
              </w:rPr>
            </w:pPr>
            <w:r w:rsidRPr="00371311">
              <w:rPr>
                <w:rFonts w:asciiTheme="minorHAnsi" w:hAnsiTheme="minorHAnsi" w:cstheme="minorHAnsi"/>
                <w:szCs w:val="24"/>
              </w:rPr>
              <w:t>0.</w:t>
            </w:r>
            <w:r w:rsidRPr="00371311" w:rsidR="004A08B0">
              <w:rPr>
                <w:rFonts w:asciiTheme="minorHAnsi" w:hAnsiTheme="minorHAnsi" w:cstheme="minorHAnsi"/>
                <w:szCs w:val="24"/>
              </w:rPr>
              <w:t>700</w:t>
            </w:r>
          </w:p>
        </w:tc>
        <w:tc>
          <w:tcPr>
            <w:tcW w:w="1612" w:type="dxa"/>
            <w:vAlign w:val="center"/>
          </w:tcPr>
          <w:p w:rsidR="006147C0" w:rsidRPr="00371311" w:rsidP="00B20FDA" w14:paraId="712D601B" w14:textId="4334C961">
            <w:pPr>
              <w:jc w:val="center"/>
              <w:rPr>
                <w:rFonts w:asciiTheme="minorHAnsi" w:hAnsiTheme="minorHAnsi" w:cstheme="minorHAnsi"/>
                <w:szCs w:val="24"/>
              </w:rPr>
            </w:pPr>
            <w:r w:rsidRPr="00371311">
              <w:rPr>
                <w:rFonts w:asciiTheme="minorHAnsi" w:hAnsiTheme="minorHAnsi" w:cstheme="minorHAnsi"/>
                <w:szCs w:val="24"/>
              </w:rPr>
              <w:t>0.00</w:t>
            </w:r>
            <w:r w:rsidRPr="00371311" w:rsidR="00E666B4">
              <w:rPr>
                <w:rFonts w:asciiTheme="minorHAnsi" w:hAnsiTheme="minorHAnsi" w:cstheme="minorHAnsi"/>
                <w:szCs w:val="24"/>
              </w:rPr>
              <w:t>0</w:t>
            </w:r>
          </w:p>
        </w:tc>
        <w:tc>
          <w:tcPr>
            <w:tcW w:w="1612" w:type="dxa"/>
            <w:vAlign w:val="center"/>
          </w:tcPr>
          <w:p w:rsidR="006147C0" w:rsidRPr="00371311" w:rsidP="00B20FDA" w14:paraId="74CCDE99" w14:textId="10CD69F8">
            <w:pPr>
              <w:jc w:val="center"/>
              <w:rPr>
                <w:rFonts w:asciiTheme="minorHAnsi" w:hAnsiTheme="minorHAnsi" w:cstheme="minorHAnsi"/>
                <w:szCs w:val="24"/>
              </w:rPr>
            </w:pPr>
            <w:bookmarkStart w:id="10" w:name="_Hlk68685298"/>
            <w:r w:rsidRPr="00371311">
              <w:rPr>
                <w:rFonts w:asciiTheme="minorHAnsi" w:hAnsiTheme="minorHAnsi" w:cstheme="minorHAnsi"/>
                <w:szCs w:val="24"/>
              </w:rPr>
              <w:t>0.</w:t>
            </w:r>
            <w:r w:rsidRPr="00371311" w:rsidR="004A08B0">
              <w:rPr>
                <w:rFonts w:asciiTheme="minorHAnsi" w:hAnsiTheme="minorHAnsi" w:cstheme="minorHAnsi"/>
                <w:szCs w:val="24"/>
              </w:rPr>
              <w:t>700</w:t>
            </w:r>
            <w:bookmarkEnd w:id="10"/>
          </w:p>
        </w:tc>
      </w:tr>
      <w:tr w14:paraId="7B25A7B0" w14:textId="77777777" w:rsidTr="37B89732">
        <w:tblPrEx>
          <w:tblW w:w="9414" w:type="dxa"/>
          <w:tblLayout w:type="fixed"/>
          <w:tblLook w:val="04A0"/>
        </w:tblPrEx>
        <w:trPr>
          <w:trHeight w:val="378"/>
        </w:trPr>
        <w:tc>
          <w:tcPr>
            <w:tcW w:w="2966" w:type="dxa"/>
            <w:vAlign w:val="center"/>
          </w:tcPr>
          <w:p w:rsidR="006147C0" w:rsidRPr="00371311" w:rsidP="00B20FDA" w14:paraId="5EF907E0" w14:textId="7ED33479">
            <w:pPr>
              <w:rPr>
                <w:rFonts w:asciiTheme="minorHAnsi" w:hAnsiTheme="minorHAnsi" w:cstheme="minorHAnsi"/>
                <w:szCs w:val="24"/>
              </w:rPr>
            </w:pPr>
            <w:r w:rsidRPr="00371311">
              <w:rPr>
                <w:rFonts w:asciiTheme="minorHAnsi" w:hAnsiTheme="minorHAnsi" w:cstheme="minorHAnsi"/>
                <w:szCs w:val="24"/>
              </w:rPr>
              <w:t xml:space="preserve">Re-substantiation </w:t>
            </w:r>
          </w:p>
        </w:tc>
        <w:tc>
          <w:tcPr>
            <w:tcW w:w="1612" w:type="dxa"/>
            <w:vAlign w:val="center"/>
          </w:tcPr>
          <w:p w:rsidR="006147C0" w:rsidRPr="00371311" w:rsidP="00B20FDA" w14:paraId="12AFFB50" w14:textId="148F6932">
            <w:pPr>
              <w:jc w:val="center"/>
              <w:rPr>
                <w:rFonts w:asciiTheme="minorHAnsi" w:hAnsiTheme="minorHAnsi" w:cstheme="minorHAnsi"/>
                <w:szCs w:val="24"/>
              </w:rPr>
            </w:pPr>
            <w:r w:rsidRPr="00371311">
              <w:rPr>
                <w:rFonts w:asciiTheme="minorHAnsi" w:hAnsiTheme="minorHAnsi" w:cstheme="minorHAnsi"/>
                <w:szCs w:val="24"/>
              </w:rPr>
              <w:t>0.00</w:t>
            </w:r>
            <w:r w:rsidRPr="00371311" w:rsidR="00E666B4">
              <w:rPr>
                <w:rFonts w:asciiTheme="minorHAnsi" w:hAnsiTheme="minorHAnsi" w:cstheme="minorHAnsi"/>
                <w:szCs w:val="24"/>
              </w:rPr>
              <w:t>0</w:t>
            </w:r>
          </w:p>
        </w:tc>
        <w:tc>
          <w:tcPr>
            <w:tcW w:w="1612" w:type="dxa"/>
            <w:vAlign w:val="center"/>
          </w:tcPr>
          <w:p w:rsidR="006147C0" w:rsidRPr="00371311" w:rsidP="37B89732" w14:paraId="0448E4DD" w14:textId="27D846AE">
            <w:pPr>
              <w:jc w:val="center"/>
              <w:rPr>
                <w:rFonts w:asciiTheme="minorHAnsi" w:hAnsiTheme="minorHAnsi"/>
              </w:rPr>
            </w:pPr>
            <w:r w:rsidRPr="37B89732">
              <w:rPr>
                <w:rFonts w:asciiTheme="minorHAnsi" w:hAnsiTheme="minorHAnsi"/>
              </w:rPr>
              <w:t>0.</w:t>
            </w:r>
            <w:r w:rsidRPr="37B89732" w:rsidR="09C693C6">
              <w:rPr>
                <w:rFonts w:asciiTheme="minorHAnsi" w:hAnsiTheme="minorHAnsi"/>
              </w:rPr>
              <w:t>2</w:t>
            </w:r>
            <w:r w:rsidRPr="37B89732">
              <w:rPr>
                <w:rFonts w:asciiTheme="minorHAnsi" w:hAnsiTheme="minorHAnsi"/>
              </w:rPr>
              <w:t>5</w:t>
            </w:r>
            <w:r w:rsidRPr="37B89732" w:rsidR="277DACF0">
              <w:rPr>
                <w:rFonts w:asciiTheme="minorHAnsi" w:hAnsiTheme="minorHAnsi"/>
              </w:rPr>
              <w:t>0</w:t>
            </w:r>
          </w:p>
        </w:tc>
        <w:tc>
          <w:tcPr>
            <w:tcW w:w="1612" w:type="dxa"/>
            <w:vAlign w:val="center"/>
          </w:tcPr>
          <w:p w:rsidR="006147C0" w:rsidRPr="00371311" w:rsidP="00B20FDA" w14:paraId="7B80999F" w14:textId="6924C8B5">
            <w:pPr>
              <w:jc w:val="center"/>
              <w:rPr>
                <w:rFonts w:asciiTheme="minorHAnsi" w:hAnsiTheme="minorHAnsi" w:cstheme="minorHAnsi"/>
                <w:szCs w:val="24"/>
              </w:rPr>
            </w:pPr>
            <w:r w:rsidRPr="00371311">
              <w:rPr>
                <w:rFonts w:asciiTheme="minorHAnsi" w:hAnsiTheme="minorHAnsi" w:cstheme="minorHAnsi"/>
                <w:szCs w:val="24"/>
              </w:rPr>
              <w:t>0.0</w:t>
            </w:r>
            <w:r w:rsidRPr="00371311" w:rsidR="00E666B4">
              <w:rPr>
                <w:rFonts w:asciiTheme="minorHAnsi" w:hAnsiTheme="minorHAnsi" w:cstheme="minorHAnsi"/>
                <w:szCs w:val="24"/>
              </w:rPr>
              <w:t>0</w:t>
            </w:r>
            <w:r w:rsidRPr="00371311">
              <w:rPr>
                <w:rFonts w:asciiTheme="minorHAnsi" w:hAnsiTheme="minorHAnsi" w:cstheme="minorHAnsi"/>
                <w:szCs w:val="24"/>
              </w:rPr>
              <w:t>0</w:t>
            </w:r>
          </w:p>
        </w:tc>
        <w:tc>
          <w:tcPr>
            <w:tcW w:w="1612" w:type="dxa"/>
            <w:vAlign w:val="center"/>
          </w:tcPr>
          <w:p w:rsidR="006147C0" w:rsidRPr="00371311" w:rsidP="37B89732" w14:paraId="0F925077" w14:textId="258EB3E2">
            <w:pPr>
              <w:jc w:val="center"/>
              <w:rPr>
                <w:rFonts w:asciiTheme="minorHAnsi" w:hAnsiTheme="minorHAnsi"/>
              </w:rPr>
            </w:pPr>
            <w:r w:rsidRPr="37B89732">
              <w:rPr>
                <w:rFonts w:asciiTheme="minorHAnsi" w:hAnsiTheme="minorHAnsi"/>
              </w:rPr>
              <w:t>0.</w:t>
            </w:r>
            <w:r w:rsidRPr="37B89732" w:rsidR="3B58EE41">
              <w:rPr>
                <w:rFonts w:asciiTheme="minorHAnsi" w:hAnsiTheme="minorHAnsi"/>
              </w:rPr>
              <w:t>2</w:t>
            </w:r>
            <w:r w:rsidRPr="37B89732">
              <w:rPr>
                <w:rFonts w:asciiTheme="minorHAnsi" w:hAnsiTheme="minorHAnsi"/>
              </w:rPr>
              <w:t>5</w:t>
            </w:r>
            <w:r w:rsidRPr="37B89732" w:rsidR="4AB643C1">
              <w:rPr>
                <w:rFonts w:asciiTheme="minorHAnsi" w:hAnsiTheme="minorHAnsi"/>
              </w:rPr>
              <w:t>0</w:t>
            </w:r>
          </w:p>
        </w:tc>
      </w:tr>
    </w:tbl>
    <w:p w:rsidR="006147C0" w:rsidRPr="00EB69DF" w:rsidP="00B20FDA" w14:paraId="6E9F0F8F" w14:textId="77777777">
      <w:pPr>
        <w:rPr>
          <w:rFonts w:asciiTheme="minorHAnsi" w:hAnsiTheme="minorHAnsi" w:cstheme="minorHAnsi"/>
          <w:sz w:val="16"/>
          <w:szCs w:val="16"/>
        </w:rPr>
      </w:pPr>
      <w:r w:rsidRPr="00EB69DF">
        <w:rPr>
          <w:rFonts w:asciiTheme="minorHAnsi" w:hAnsiTheme="minorHAnsi" w:cstheme="minorHAnsi"/>
          <w:sz w:val="16"/>
          <w:szCs w:val="16"/>
          <w:vertAlign w:val="superscript"/>
        </w:rPr>
        <w:t>1</w:t>
      </w:r>
      <w:r w:rsidRPr="00EB69DF">
        <w:rPr>
          <w:rFonts w:asciiTheme="minorHAnsi" w:hAnsiTheme="minorHAnsi" w:cstheme="minorHAnsi"/>
          <w:sz w:val="16"/>
          <w:szCs w:val="16"/>
        </w:rPr>
        <w:t xml:space="preserve">The burden presented accounts for maintain company contact information for five employees. </w:t>
      </w:r>
    </w:p>
    <w:p w:rsidR="00EB69DF" w:rsidP="00B20FDA" w14:paraId="6249613D" w14:textId="3E0DFD56">
      <w:pPr>
        <w:rPr>
          <w:rFonts w:asciiTheme="minorHAnsi" w:hAnsiTheme="minorHAnsi" w:cstheme="minorHAnsi"/>
          <w:szCs w:val="24"/>
        </w:rPr>
      </w:pPr>
      <w:r w:rsidRPr="00371311">
        <w:rPr>
          <w:rFonts w:asciiTheme="minorHAnsi" w:hAnsiTheme="minorHAnsi" w:cstheme="minorHAnsi"/>
          <w:szCs w:val="24"/>
        </w:rPr>
        <w:t xml:space="preserve">Estimation of industry unit cost per submission involves combining the activity-level unit burdens identified in wage data from the Bureau of Labor Statistics (BLS), as converted from raw wage rate and benefit data to loaded wage rates. </w:t>
      </w:r>
      <w:r w:rsidRPr="00371311">
        <w:rPr>
          <w:rFonts w:asciiTheme="minorHAnsi" w:hAnsiTheme="minorHAnsi" w:cstheme="minorHAnsi"/>
          <w:szCs w:val="24"/>
        </w:rPr>
        <w:fldChar w:fldCharType="begin"/>
      </w:r>
      <w:r w:rsidRPr="00371311">
        <w:rPr>
          <w:rFonts w:asciiTheme="minorHAnsi" w:hAnsiTheme="minorHAnsi" w:cstheme="minorHAnsi"/>
          <w:szCs w:val="24"/>
        </w:rPr>
        <w:instrText xml:space="preserve"> REF _Ref526493290 \h </w:instrText>
      </w:r>
      <w:r w:rsidRPr="00371311" w:rsidR="00371311">
        <w:rPr>
          <w:rFonts w:asciiTheme="minorHAnsi" w:hAnsiTheme="minorHAnsi" w:cstheme="minorHAnsi"/>
          <w:szCs w:val="24"/>
        </w:rPr>
        <w:instrText xml:space="preserve"> \* MERGEFORMAT </w:instrText>
      </w:r>
      <w:r w:rsidRPr="00371311">
        <w:rPr>
          <w:rFonts w:asciiTheme="minorHAnsi" w:hAnsiTheme="minorHAnsi" w:cstheme="minorHAnsi"/>
          <w:szCs w:val="24"/>
        </w:rPr>
        <w:fldChar w:fldCharType="separate"/>
      </w:r>
      <w:r w:rsidRPr="00371311">
        <w:rPr>
          <w:rFonts w:asciiTheme="minorHAnsi" w:hAnsiTheme="minorHAnsi" w:cstheme="minorHAnsi"/>
          <w:szCs w:val="24"/>
        </w:rPr>
        <w:t xml:space="preserve">Table </w:t>
      </w:r>
      <w:r w:rsidRPr="00371311">
        <w:rPr>
          <w:rFonts w:asciiTheme="minorHAnsi" w:hAnsiTheme="minorHAnsi" w:cstheme="minorHAnsi"/>
          <w:szCs w:val="24"/>
        </w:rPr>
        <w:fldChar w:fldCharType="end"/>
      </w:r>
      <w:r w:rsidRPr="00371311" w:rsidR="00B30872">
        <w:rPr>
          <w:rFonts w:asciiTheme="minorHAnsi" w:hAnsiTheme="minorHAnsi" w:cstheme="minorHAnsi"/>
          <w:szCs w:val="24"/>
        </w:rPr>
        <w:t>3</w:t>
      </w:r>
      <w:r w:rsidRPr="00371311">
        <w:rPr>
          <w:rFonts w:asciiTheme="minorHAnsi" w:hAnsiTheme="minorHAnsi" w:cstheme="minorHAnsi"/>
          <w:szCs w:val="24"/>
        </w:rPr>
        <w:t xml:space="preserve"> presents the resultant loaded wage rates for managerial, professional/technical, and clerical staff.</w:t>
      </w:r>
    </w:p>
    <w:p w:rsidR="00EB69DF" w14:paraId="39BC955F" w14:textId="77777777">
      <w:pPr>
        <w:spacing w:after="160" w:line="259" w:lineRule="auto"/>
        <w:rPr>
          <w:rFonts w:asciiTheme="minorHAnsi" w:hAnsiTheme="minorHAnsi" w:cstheme="minorHAnsi"/>
          <w:szCs w:val="24"/>
        </w:rPr>
      </w:pPr>
      <w:r>
        <w:rPr>
          <w:rFonts w:asciiTheme="minorHAnsi" w:hAnsiTheme="minorHAnsi" w:cstheme="minorHAnsi"/>
          <w:szCs w:val="24"/>
        </w:rPr>
        <w:br w:type="page"/>
      </w:r>
    </w:p>
    <w:p w:rsidR="00B764D1" w:rsidRPr="00371311" w:rsidP="00EB69DF" w14:paraId="381E0DBB" w14:textId="2F073001">
      <w:pPr>
        <w:pStyle w:val="Caption"/>
        <w:spacing w:after="0" w:line="276" w:lineRule="auto"/>
        <w:rPr>
          <w:rFonts w:asciiTheme="minorHAnsi" w:hAnsiTheme="minorHAnsi" w:cstheme="minorBidi"/>
        </w:rPr>
      </w:pPr>
      <w:r w:rsidRPr="37B89732">
        <w:rPr>
          <w:rFonts w:asciiTheme="minorHAnsi" w:hAnsiTheme="minorHAnsi" w:cstheme="minorBidi"/>
        </w:rPr>
        <w:t xml:space="preserve">Table </w:t>
      </w:r>
      <w:r w:rsidRPr="37B89732" w:rsidR="0F61D55C">
        <w:rPr>
          <w:rFonts w:asciiTheme="minorHAnsi" w:hAnsiTheme="minorHAnsi" w:cstheme="minorBidi"/>
        </w:rPr>
        <w:t>3</w:t>
      </w:r>
      <w:r w:rsidRPr="37B89732">
        <w:rPr>
          <w:rFonts w:asciiTheme="minorHAnsi" w:hAnsiTheme="minorHAnsi" w:cstheme="minorBidi"/>
        </w:rPr>
        <w:t xml:space="preserve">: Industry Wage Rates </w:t>
      </w:r>
      <w:r w:rsidR="00EB69DF">
        <w:rPr>
          <w:rFonts w:asciiTheme="minorHAnsi" w:hAnsiTheme="minorHAnsi" w:cstheme="minorBidi"/>
        </w:rPr>
        <w:t>(</w:t>
      </w:r>
      <w:r w:rsidRPr="37B89732" w:rsidR="000647C9">
        <w:rPr>
          <w:rFonts w:asciiTheme="minorHAnsi" w:hAnsiTheme="minorHAnsi" w:cstheme="minorBidi"/>
        </w:rPr>
        <w:t>202</w:t>
      </w:r>
      <w:r w:rsidRPr="37B89732" w:rsidR="67C84B93">
        <w:rPr>
          <w:rFonts w:asciiTheme="minorHAnsi" w:hAnsiTheme="minorHAnsi" w:cstheme="minorBidi"/>
        </w:rPr>
        <w:t>5</w:t>
      </w:r>
      <w:r w:rsidRPr="37B89732">
        <w:rPr>
          <w:rFonts w:asciiTheme="minorHAnsi" w:hAnsiTheme="minorHAnsi" w:cstheme="minorBidi"/>
        </w:rPr>
        <w:t>$)</w:t>
      </w:r>
      <w:bookmarkStart w:id="11" w:name="_Toc49148207"/>
    </w:p>
    <w:tbl>
      <w:tblPr>
        <w:tblW w:w="0" w:type="auto"/>
        <w:tblLook w:val="06A0"/>
      </w:tblPr>
      <w:tblGrid>
        <w:gridCol w:w="1219"/>
        <w:gridCol w:w="1311"/>
        <w:gridCol w:w="702"/>
        <w:gridCol w:w="780"/>
        <w:gridCol w:w="801"/>
        <w:gridCol w:w="1293"/>
        <w:gridCol w:w="1338"/>
        <w:gridCol w:w="920"/>
        <w:gridCol w:w="976"/>
      </w:tblGrid>
      <w:tr w14:paraId="51A97CC2" w14:textId="77777777" w:rsidTr="51623177">
        <w:tblPrEx>
          <w:tblW w:w="0" w:type="auto"/>
          <w:tblLook w:val="06A0"/>
        </w:tblPrEx>
        <w:trPr>
          <w:trHeight w:val="1140"/>
        </w:trPr>
        <w:tc>
          <w:tcPr>
            <w:tcW w:w="1352" w:type="dxa"/>
            <w:vMerge w:val="restart"/>
            <w:tcBorders>
              <w:top w:val="single" w:sz="8" w:space="0" w:color="auto"/>
              <w:left w:val="single" w:sz="8" w:space="0" w:color="auto"/>
              <w:bottom w:val="single" w:sz="8" w:space="0" w:color="000000" w:themeColor="text1"/>
              <w:right w:val="single" w:sz="8" w:space="0" w:color="auto"/>
            </w:tcBorders>
            <w:shd w:val="clear" w:color="auto" w:fill="8EAADB" w:themeFill="accent5" w:themeFillTint="99"/>
            <w:tcMar>
              <w:top w:w="15" w:type="dxa"/>
              <w:left w:w="15" w:type="dxa"/>
              <w:right w:w="15" w:type="dxa"/>
            </w:tcMar>
            <w:vAlign w:val="center"/>
          </w:tcPr>
          <w:p w:rsidR="51623177" w:rsidRPr="002F16DD" w:rsidP="51623177" w14:paraId="2E622B0B" w14:textId="225B1138">
            <w:pPr>
              <w:spacing w:after="0"/>
              <w:jc w:val="center"/>
              <w:rPr>
                <w:sz w:val="20"/>
                <w:szCs w:val="20"/>
              </w:rPr>
            </w:pPr>
            <w:r w:rsidRPr="002F16DD">
              <w:rPr>
                <w:rFonts w:ascii="Calibri" w:eastAsia="Calibri" w:hAnsi="Calibri" w:cs="Calibri"/>
                <w:b/>
                <w:bCs/>
                <w:color w:val="000000" w:themeColor="text1"/>
                <w:sz w:val="20"/>
                <w:szCs w:val="20"/>
              </w:rPr>
              <w:t>Labor Category</w:t>
            </w:r>
          </w:p>
        </w:tc>
        <w:tc>
          <w:tcPr>
            <w:tcW w:w="1361" w:type="dxa"/>
            <w:vMerge w:val="restart"/>
            <w:tcBorders>
              <w:top w:val="single" w:sz="8" w:space="0" w:color="auto"/>
              <w:left w:val="single" w:sz="8" w:space="0" w:color="auto"/>
              <w:bottom w:val="single" w:sz="8" w:space="0" w:color="000000" w:themeColor="text1"/>
              <w:right w:val="single" w:sz="8" w:space="0" w:color="auto"/>
            </w:tcBorders>
            <w:shd w:val="clear" w:color="auto" w:fill="8EAADB" w:themeFill="accent5" w:themeFillTint="99"/>
            <w:tcMar>
              <w:top w:w="15" w:type="dxa"/>
              <w:left w:w="15" w:type="dxa"/>
              <w:right w:w="15" w:type="dxa"/>
            </w:tcMar>
            <w:vAlign w:val="center"/>
          </w:tcPr>
          <w:p w:rsidR="51623177" w:rsidRPr="002F16DD" w:rsidP="51623177" w14:paraId="56B81690" w14:textId="4FD5CA6A">
            <w:pPr>
              <w:spacing w:after="0"/>
              <w:jc w:val="center"/>
              <w:rPr>
                <w:sz w:val="20"/>
                <w:szCs w:val="20"/>
              </w:rPr>
            </w:pPr>
            <w:r w:rsidRPr="002F16DD">
              <w:rPr>
                <w:rFonts w:ascii="Calibri" w:eastAsia="Calibri" w:hAnsi="Calibri" w:cs="Calibri"/>
                <w:b/>
                <w:bCs/>
                <w:color w:val="000000" w:themeColor="text1"/>
                <w:sz w:val="20"/>
                <w:szCs w:val="20"/>
              </w:rPr>
              <w:t>Data Series</w:t>
            </w:r>
            <w:r w:rsidRPr="002F16DD">
              <w:rPr>
                <w:rFonts w:ascii="Calibri" w:eastAsia="Calibri" w:hAnsi="Calibri" w:cs="Calibri"/>
                <w:b/>
                <w:bCs/>
                <w:color w:val="000000" w:themeColor="text1"/>
                <w:sz w:val="20"/>
                <w:szCs w:val="20"/>
                <w:vertAlign w:val="superscript"/>
              </w:rPr>
              <w:t xml:space="preserve"> a</w:t>
            </w:r>
          </w:p>
        </w:tc>
        <w:tc>
          <w:tcPr>
            <w:tcW w:w="888" w:type="dxa"/>
            <w:vMerge w:val="restart"/>
            <w:tcBorders>
              <w:top w:val="single" w:sz="8" w:space="0" w:color="auto"/>
              <w:left w:val="single" w:sz="8" w:space="0" w:color="auto"/>
              <w:bottom w:val="single" w:sz="8" w:space="0" w:color="000000" w:themeColor="text1"/>
              <w:right w:val="single" w:sz="8" w:space="0" w:color="auto"/>
            </w:tcBorders>
            <w:shd w:val="clear" w:color="auto" w:fill="8EAADB" w:themeFill="accent5" w:themeFillTint="99"/>
            <w:tcMar>
              <w:top w:w="15" w:type="dxa"/>
              <w:left w:w="15" w:type="dxa"/>
              <w:right w:w="15" w:type="dxa"/>
            </w:tcMar>
            <w:vAlign w:val="center"/>
          </w:tcPr>
          <w:p w:rsidR="51623177" w:rsidRPr="002F16DD" w:rsidP="51623177" w14:paraId="56148A1B" w14:textId="1CD9BC27">
            <w:pPr>
              <w:spacing w:after="0"/>
              <w:jc w:val="center"/>
              <w:rPr>
                <w:sz w:val="20"/>
                <w:szCs w:val="20"/>
              </w:rPr>
            </w:pPr>
            <w:r w:rsidRPr="002F16DD">
              <w:rPr>
                <w:rFonts w:ascii="Calibri" w:eastAsia="Calibri" w:hAnsi="Calibri" w:cs="Calibri"/>
                <w:b/>
                <w:bCs/>
                <w:color w:val="000000" w:themeColor="text1"/>
                <w:sz w:val="20"/>
                <w:szCs w:val="20"/>
              </w:rPr>
              <w:t>Date</w:t>
            </w:r>
          </w:p>
        </w:tc>
        <w:tc>
          <w:tcPr>
            <w:tcW w:w="909"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15" w:type="dxa"/>
              <w:left w:w="15" w:type="dxa"/>
              <w:right w:w="15" w:type="dxa"/>
            </w:tcMar>
            <w:vAlign w:val="center"/>
          </w:tcPr>
          <w:p w:rsidR="51623177" w:rsidRPr="002F16DD" w:rsidP="51623177" w14:paraId="18608708" w14:textId="45B7FC13">
            <w:pPr>
              <w:spacing w:after="0"/>
              <w:jc w:val="center"/>
              <w:rPr>
                <w:sz w:val="20"/>
                <w:szCs w:val="20"/>
              </w:rPr>
            </w:pPr>
            <w:r w:rsidRPr="002F16DD">
              <w:rPr>
                <w:rFonts w:ascii="Calibri" w:eastAsia="Calibri" w:hAnsi="Calibri" w:cs="Calibri"/>
                <w:b/>
                <w:bCs/>
                <w:color w:val="000000" w:themeColor="text1"/>
                <w:sz w:val="20"/>
                <w:szCs w:val="20"/>
              </w:rPr>
              <w:t>Wage</w:t>
            </w:r>
          </w:p>
        </w:tc>
        <w:tc>
          <w:tcPr>
            <w:tcW w:w="914"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15" w:type="dxa"/>
              <w:left w:w="15" w:type="dxa"/>
              <w:right w:w="15" w:type="dxa"/>
            </w:tcMar>
            <w:vAlign w:val="center"/>
          </w:tcPr>
          <w:p w:rsidR="51623177" w:rsidRPr="002F16DD" w:rsidP="51623177" w14:paraId="72BCDC21" w14:textId="7A1EFEF9">
            <w:pPr>
              <w:spacing w:after="0"/>
              <w:jc w:val="center"/>
              <w:rPr>
                <w:sz w:val="20"/>
                <w:szCs w:val="20"/>
              </w:rPr>
            </w:pPr>
            <w:r w:rsidRPr="002F16DD">
              <w:rPr>
                <w:rFonts w:ascii="Calibri" w:eastAsia="Calibri" w:hAnsi="Calibri" w:cs="Calibri"/>
                <w:b/>
                <w:bCs/>
                <w:color w:val="000000" w:themeColor="text1"/>
                <w:sz w:val="20"/>
                <w:szCs w:val="20"/>
              </w:rPr>
              <w:t>Fringe Benefit</w:t>
            </w:r>
          </w:p>
        </w:tc>
        <w:tc>
          <w:tcPr>
            <w:tcW w:w="1332"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15" w:type="dxa"/>
              <w:left w:w="15" w:type="dxa"/>
              <w:right w:w="15" w:type="dxa"/>
            </w:tcMar>
            <w:vAlign w:val="center"/>
          </w:tcPr>
          <w:p w:rsidR="51623177" w:rsidRPr="002F16DD" w:rsidP="51623177" w14:paraId="2C85A46C" w14:textId="253198A5">
            <w:pPr>
              <w:spacing w:after="0"/>
              <w:jc w:val="center"/>
              <w:rPr>
                <w:sz w:val="20"/>
                <w:szCs w:val="20"/>
              </w:rPr>
            </w:pPr>
            <w:r w:rsidRPr="002F16DD">
              <w:rPr>
                <w:rFonts w:ascii="Calibri" w:eastAsia="Calibri" w:hAnsi="Calibri" w:cs="Calibri"/>
                <w:b/>
                <w:bCs/>
                <w:color w:val="000000" w:themeColor="text1"/>
                <w:sz w:val="20"/>
                <w:szCs w:val="20"/>
              </w:rPr>
              <w:t>Total Compensation</w:t>
            </w:r>
          </w:p>
        </w:tc>
        <w:tc>
          <w:tcPr>
            <w:tcW w:w="1361"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15" w:type="dxa"/>
              <w:left w:w="15" w:type="dxa"/>
              <w:right w:w="15" w:type="dxa"/>
            </w:tcMar>
            <w:vAlign w:val="center"/>
          </w:tcPr>
          <w:p w:rsidR="51623177" w:rsidRPr="002F16DD" w:rsidP="51623177" w14:paraId="1EE7988F" w14:textId="5297F9EE">
            <w:pPr>
              <w:spacing w:after="0"/>
              <w:jc w:val="center"/>
              <w:rPr>
                <w:sz w:val="20"/>
                <w:szCs w:val="20"/>
              </w:rPr>
            </w:pPr>
            <w:r w:rsidRPr="002F16DD">
              <w:rPr>
                <w:rFonts w:ascii="Calibri" w:eastAsia="Calibri" w:hAnsi="Calibri" w:cs="Calibri"/>
                <w:b/>
                <w:bCs/>
                <w:color w:val="000000" w:themeColor="text1"/>
                <w:sz w:val="20"/>
                <w:szCs w:val="20"/>
              </w:rPr>
              <w:t xml:space="preserve">Overhead % of Total </w:t>
            </w:r>
            <w:r w:rsidRPr="002F16DD">
              <w:rPr>
                <w:rFonts w:ascii="Calibri" w:eastAsia="Calibri" w:hAnsi="Calibri" w:cs="Calibri"/>
                <w:b/>
                <w:bCs/>
                <w:color w:val="000000" w:themeColor="text1"/>
                <w:sz w:val="20"/>
                <w:szCs w:val="20"/>
              </w:rPr>
              <w:t>Compensation</w:t>
            </w:r>
            <w:r w:rsidRPr="002F16DD">
              <w:rPr>
                <w:rFonts w:ascii="Calibri" w:eastAsia="Calibri" w:hAnsi="Calibri" w:cs="Calibri"/>
                <w:b/>
                <w:bCs/>
                <w:color w:val="000000" w:themeColor="text1"/>
                <w:sz w:val="20"/>
                <w:szCs w:val="20"/>
                <w:vertAlign w:val="superscript"/>
              </w:rPr>
              <w:t>b</w:t>
            </w:r>
          </w:p>
        </w:tc>
        <w:tc>
          <w:tcPr>
            <w:tcW w:w="941"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15" w:type="dxa"/>
              <w:left w:w="15" w:type="dxa"/>
              <w:right w:w="15" w:type="dxa"/>
            </w:tcMar>
            <w:vAlign w:val="center"/>
          </w:tcPr>
          <w:p w:rsidR="51623177" w:rsidRPr="002F16DD" w:rsidP="51623177" w14:paraId="5C9F0E6D" w14:textId="1CF1A1F6">
            <w:pPr>
              <w:spacing w:after="0"/>
              <w:jc w:val="center"/>
              <w:rPr>
                <w:sz w:val="20"/>
                <w:szCs w:val="20"/>
              </w:rPr>
            </w:pPr>
            <w:r w:rsidRPr="002F16DD">
              <w:rPr>
                <w:rFonts w:ascii="Calibri" w:eastAsia="Calibri" w:hAnsi="Calibri" w:cs="Calibri"/>
                <w:b/>
                <w:bCs/>
                <w:color w:val="000000" w:themeColor="text1"/>
                <w:sz w:val="20"/>
                <w:szCs w:val="20"/>
              </w:rPr>
              <w:t>Overhead</w:t>
            </w:r>
          </w:p>
        </w:tc>
        <w:tc>
          <w:tcPr>
            <w:tcW w:w="1062"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15" w:type="dxa"/>
              <w:left w:w="15" w:type="dxa"/>
              <w:right w:w="15" w:type="dxa"/>
            </w:tcMar>
            <w:vAlign w:val="center"/>
          </w:tcPr>
          <w:p w:rsidR="51623177" w:rsidRPr="002F16DD" w:rsidP="51623177" w14:paraId="50B96A18" w14:textId="47E5B1C2">
            <w:pPr>
              <w:spacing w:after="0"/>
              <w:jc w:val="center"/>
              <w:rPr>
                <w:sz w:val="20"/>
                <w:szCs w:val="20"/>
              </w:rPr>
            </w:pPr>
            <w:r w:rsidRPr="002F16DD">
              <w:rPr>
                <w:rFonts w:ascii="Calibri" w:eastAsia="Calibri" w:hAnsi="Calibri" w:cs="Calibri"/>
                <w:b/>
                <w:bCs/>
                <w:color w:val="000000" w:themeColor="text1"/>
                <w:sz w:val="20"/>
                <w:szCs w:val="20"/>
              </w:rPr>
              <w:t>Hourly Loaded Wages</w:t>
            </w:r>
            <w:r w:rsidRPr="002F16DD">
              <w:rPr>
                <w:rFonts w:ascii="Calibri" w:eastAsia="Calibri" w:hAnsi="Calibri" w:cs="Calibri"/>
                <w:b/>
                <w:bCs/>
                <w:color w:val="000000" w:themeColor="text1"/>
                <w:sz w:val="20"/>
                <w:szCs w:val="20"/>
                <w:vertAlign w:val="superscript"/>
              </w:rPr>
              <w:t xml:space="preserve"> c</w:t>
            </w:r>
          </w:p>
        </w:tc>
      </w:tr>
      <w:tr w14:paraId="2747A6BA" w14:textId="77777777" w:rsidTr="51623177">
        <w:tblPrEx>
          <w:tblW w:w="0" w:type="auto"/>
          <w:tblLook w:val="06A0"/>
        </w:tblPrEx>
        <w:trPr>
          <w:trHeight w:val="315"/>
        </w:trPr>
        <w:tc>
          <w:tcPr>
            <w:tcW w:w="1352" w:type="dxa"/>
            <w:vMerge/>
            <w:tcBorders>
              <w:left w:val="single" w:sz="0" w:space="0" w:color="auto"/>
              <w:bottom w:val="single" w:sz="0" w:space="0" w:color="000000" w:themeColor="text1"/>
              <w:right w:val="single" w:sz="0" w:space="0" w:color="auto"/>
            </w:tcBorders>
            <w:vAlign w:val="center"/>
          </w:tcPr>
          <w:p w:rsidR="006601D5" w:rsidRPr="002F16DD" w14:paraId="71096777" w14:textId="77777777">
            <w:pPr>
              <w:rPr>
                <w:sz w:val="20"/>
                <w:szCs w:val="20"/>
              </w:rPr>
            </w:pPr>
          </w:p>
        </w:tc>
        <w:tc>
          <w:tcPr>
            <w:tcW w:w="1361" w:type="dxa"/>
            <w:vMerge/>
            <w:tcBorders>
              <w:left w:val="single" w:sz="0" w:space="0" w:color="auto"/>
              <w:bottom w:val="single" w:sz="0" w:space="0" w:color="000000" w:themeColor="text1"/>
              <w:right w:val="single" w:sz="0" w:space="0" w:color="auto"/>
            </w:tcBorders>
            <w:vAlign w:val="center"/>
          </w:tcPr>
          <w:p w:rsidR="006601D5" w:rsidRPr="002F16DD" w14:paraId="3A277A41" w14:textId="77777777">
            <w:pPr>
              <w:rPr>
                <w:sz w:val="20"/>
                <w:szCs w:val="20"/>
              </w:rPr>
            </w:pPr>
          </w:p>
        </w:tc>
        <w:tc>
          <w:tcPr>
            <w:tcW w:w="888" w:type="dxa"/>
            <w:vMerge/>
            <w:tcBorders>
              <w:left w:val="single" w:sz="0" w:space="0" w:color="auto"/>
              <w:bottom w:val="single" w:sz="0" w:space="0" w:color="000000" w:themeColor="text1"/>
              <w:right w:val="single" w:sz="0" w:space="0" w:color="auto"/>
            </w:tcBorders>
            <w:vAlign w:val="center"/>
          </w:tcPr>
          <w:p w:rsidR="006601D5" w:rsidRPr="002F16DD" w14:paraId="29BA46D7" w14:textId="77777777">
            <w:pPr>
              <w:rPr>
                <w:sz w:val="20"/>
                <w:szCs w:val="20"/>
              </w:rPr>
            </w:pPr>
          </w:p>
        </w:tc>
        <w:tc>
          <w:tcPr>
            <w:tcW w:w="909" w:type="dxa"/>
            <w:tcBorders>
              <w:top w:val="single" w:sz="8" w:space="0" w:color="auto"/>
              <w:left w:val="nil"/>
              <w:bottom w:val="single" w:sz="8" w:space="0" w:color="auto"/>
              <w:right w:val="single" w:sz="8" w:space="0" w:color="auto"/>
            </w:tcBorders>
            <w:shd w:val="clear" w:color="auto" w:fill="8EAADB" w:themeFill="accent5" w:themeFillTint="99"/>
            <w:tcMar>
              <w:top w:w="15" w:type="dxa"/>
              <w:left w:w="15" w:type="dxa"/>
              <w:right w:w="15" w:type="dxa"/>
            </w:tcMar>
            <w:vAlign w:val="center"/>
          </w:tcPr>
          <w:p w:rsidR="51623177" w:rsidRPr="002F16DD" w:rsidP="51623177" w14:paraId="08709739" w14:textId="0A5AA4C8">
            <w:pPr>
              <w:spacing w:after="0"/>
              <w:jc w:val="center"/>
              <w:rPr>
                <w:sz w:val="20"/>
                <w:szCs w:val="20"/>
              </w:rPr>
            </w:pPr>
            <w:r w:rsidRPr="002F16DD">
              <w:rPr>
                <w:rFonts w:ascii="Calibri" w:eastAsia="Calibri" w:hAnsi="Calibri" w:cs="Calibri"/>
                <w:b/>
                <w:bCs/>
                <w:i/>
                <w:iCs/>
                <w:color w:val="000000" w:themeColor="text1"/>
                <w:sz w:val="20"/>
                <w:szCs w:val="20"/>
              </w:rPr>
              <w:t>(a)</w:t>
            </w:r>
          </w:p>
        </w:tc>
        <w:tc>
          <w:tcPr>
            <w:tcW w:w="914"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15" w:type="dxa"/>
              <w:left w:w="15" w:type="dxa"/>
              <w:right w:w="15" w:type="dxa"/>
            </w:tcMar>
            <w:vAlign w:val="center"/>
          </w:tcPr>
          <w:p w:rsidR="51623177" w:rsidRPr="002F16DD" w:rsidP="51623177" w14:paraId="2D8CAE48" w14:textId="26148C61">
            <w:pPr>
              <w:spacing w:after="0"/>
              <w:jc w:val="center"/>
              <w:rPr>
                <w:sz w:val="20"/>
                <w:szCs w:val="20"/>
              </w:rPr>
            </w:pPr>
            <w:r w:rsidRPr="002F16DD">
              <w:rPr>
                <w:rFonts w:ascii="Calibri" w:eastAsia="Calibri" w:hAnsi="Calibri" w:cs="Calibri"/>
                <w:b/>
                <w:bCs/>
                <w:i/>
                <w:iCs/>
                <w:color w:val="000000" w:themeColor="text1"/>
                <w:sz w:val="20"/>
                <w:szCs w:val="20"/>
              </w:rPr>
              <w:t>(b)</w:t>
            </w:r>
          </w:p>
        </w:tc>
        <w:tc>
          <w:tcPr>
            <w:tcW w:w="1332"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15" w:type="dxa"/>
              <w:left w:w="15" w:type="dxa"/>
              <w:right w:w="15" w:type="dxa"/>
            </w:tcMar>
            <w:vAlign w:val="center"/>
          </w:tcPr>
          <w:p w:rsidR="51623177" w:rsidRPr="002F16DD" w:rsidP="51623177" w14:paraId="57039BC7" w14:textId="1215F42B">
            <w:pPr>
              <w:spacing w:after="0"/>
              <w:jc w:val="center"/>
              <w:rPr>
                <w:sz w:val="20"/>
                <w:szCs w:val="20"/>
              </w:rPr>
            </w:pPr>
            <w:r w:rsidRPr="002F16DD">
              <w:rPr>
                <w:rFonts w:ascii="Calibri" w:eastAsia="Calibri" w:hAnsi="Calibri" w:cs="Calibri"/>
                <w:b/>
                <w:bCs/>
                <w:i/>
                <w:iCs/>
                <w:color w:val="000000" w:themeColor="text1"/>
                <w:sz w:val="20"/>
                <w:szCs w:val="20"/>
              </w:rPr>
              <w:t>(c) = (a)+(b)</w:t>
            </w:r>
          </w:p>
        </w:tc>
        <w:tc>
          <w:tcPr>
            <w:tcW w:w="1361"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15" w:type="dxa"/>
              <w:left w:w="15" w:type="dxa"/>
              <w:right w:w="15" w:type="dxa"/>
            </w:tcMar>
            <w:vAlign w:val="center"/>
          </w:tcPr>
          <w:p w:rsidR="51623177" w:rsidRPr="002F16DD" w:rsidP="51623177" w14:paraId="5D51558D" w14:textId="68B4E557">
            <w:pPr>
              <w:spacing w:after="0"/>
              <w:jc w:val="center"/>
              <w:rPr>
                <w:sz w:val="20"/>
                <w:szCs w:val="20"/>
              </w:rPr>
            </w:pPr>
            <w:r w:rsidRPr="002F16DD">
              <w:rPr>
                <w:rFonts w:ascii="Calibri" w:eastAsia="Calibri" w:hAnsi="Calibri" w:cs="Calibri"/>
                <w:b/>
                <w:bCs/>
                <w:i/>
                <w:iCs/>
                <w:color w:val="000000" w:themeColor="text1"/>
                <w:sz w:val="20"/>
                <w:szCs w:val="20"/>
              </w:rPr>
              <w:t>(d)</w:t>
            </w:r>
          </w:p>
        </w:tc>
        <w:tc>
          <w:tcPr>
            <w:tcW w:w="941"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15" w:type="dxa"/>
              <w:left w:w="15" w:type="dxa"/>
              <w:right w:w="15" w:type="dxa"/>
            </w:tcMar>
            <w:vAlign w:val="center"/>
          </w:tcPr>
          <w:p w:rsidR="51623177" w:rsidRPr="002F16DD" w:rsidP="51623177" w14:paraId="5EAD982D" w14:textId="0E427927">
            <w:pPr>
              <w:spacing w:after="0"/>
              <w:jc w:val="center"/>
              <w:rPr>
                <w:sz w:val="20"/>
                <w:szCs w:val="20"/>
              </w:rPr>
            </w:pPr>
            <w:r w:rsidRPr="002F16DD">
              <w:rPr>
                <w:rFonts w:ascii="Calibri" w:eastAsia="Calibri" w:hAnsi="Calibri" w:cs="Calibri"/>
                <w:b/>
                <w:bCs/>
                <w:i/>
                <w:iCs/>
                <w:color w:val="000000" w:themeColor="text1"/>
                <w:sz w:val="20"/>
                <w:szCs w:val="20"/>
              </w:rPr>
              <w:t>(e)=(c)*(d)</w:t>
            </w:r>
          </w:p>
        </w:tc>
        <w:tc>
          <w:tcPr>
            <w:tcW w:w="1062"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15" w:type="dxa"/>
              <w:left w:w="15" w:type="dxa"/>
              <w:right w:w="15" w:type="dxa"/>
            </w:tcMar>
            <w:vAlign w:val="center"/>
          </w:tcPr>
          <w:p w:rsidR="51623177" w:rsidRPr="002F16DD" w:rsidP="51623177" w14:paraId="561E23CE" w14:textId="5A0EA2CF">
            <w:pPr>
              <w:spacing w:after="0"/>
              <w:jc w:val="center"/>
              <w:rPr>
                <w:sz w:val="20"/>
                <w:szCs w:val="20"/>
              </w:rPr>
            </w:pPr>
            <w:r w:rsidRPr="002F16DD">
              <w:rPr>
                <w:rFonts w:ascii="Calibri" w:eastAsia="Calibri" w:hAnsi="Calibri" w:cs="Calibri"/>
                <w:b/>
                <w:bCs/>
                <w:i/>
                <w:iCs/>
                <w:color w:val="000000" w:themeColor="text1"/>
                <w:sz w:val="20"/>
                <w:szCs w:val="20"/>
              </w:rPr>
              <w:t>(f)=(c)+(e)</w:t>
            </w:r>
          </w:p>
        </w:tc>
      </w:tr>
      <w:tr w14:paraId="19A83968" w14:textId="77777777" w:rsidTr="51623177">
        <w:tblPrEx>
          <w:tblW w:w="0" w:type="auto"/>
          <w:tblLook w:val="06A0"/>
        </w:tblPrEx>
        <w:trPr>
          <w:trHeight w:val="1140"/>
        </w:trPr>
        <w:tc>
          <w:tcPr>
            <w:tcW w:w="1352" w:type="dxa"/>
            <w:tcBorders>
              <w:top w:val="nil"/>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71CD1CA0" w14:textId="72AE6B90">
            <w:pPr>
              <w:spacing w:after="0"/>
              <w:rPr>
                <w:sz w:val="20"/>
                <w:szCs w:val="20"/>
              </w:rPr>
            </w:pPr>
            <w:r w:rsidRPr="002F16DD">
              <w:rPr>
                <w:rFonts w:ascii="Calibri" w:eastAsia="Calibri" w:hAnsi="Calibri" w:cs="Calibri"/>
                <w:color w:val="000000" w:themeColor="text1"/>
                <w:sz w:val="20"/>
                <w:szCs w:val="20"/>
              </w:rPr>
              <w:t>Managerial</w:t>
            </w:r>
          </w:p>
        </w:tc>
        <w:tc>
          <w:tcPr>
            <w:tcW w:w="1361" w:type="dxa"/>
            <w:tcBorders>
              <w:top w:val="nil"/>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0DF9A2D7" w14:textId="6EEF663F">
            <w:pPr>
              <w:spacing w:after="0"/>
              <w:rPr>
                <w:sz w:val="20"/>
                <w:szCs w:val="20"/>
              </w:rPr>
            </w:pPr>
            <w:r w:rsidRPr="002F16DD">
              <w:rPr>
                <w:rFonts w:ascii="Calibri" w:eastAsia="Calibri" w:hAnsi="Calibri" w:cs="Calibri"/>
                <w:color w:val="000000" w:themeColor="text1"/>
                <w:sz w:val="20"/>
                <w:szCs w:val="20"/>
              </w:rPr>
              <w:t>BLS ECEC, Private Manufacturing industries, “Mgt, Business, and Financial”</w:t>
            </w:r>
          </w:p>
        </w:tc>
        <w:tc>
          <w:tcPr>
            <w:tcW w:w="888" w:type="dxa"/>
            <w:tcBorders>
              <w:top w:val="nil"/>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629EA1EC" w14:textId="3793DDEE">
            <w:pPr>
              <w:spacing w:after="0"/>
              <w:jc w:val="center"/>
              <w:rPr>
                <w:sz w:val="20"/>
                <w:szCs w:val="20"/>
              </w:rPr>
            </w:pPr>
            <w:r w:rsidRPr="002F16DD">
              <w:rPr>
                <w:rFonts w:ascii="Calibri" w:eastAsia="Calibri" w:hAnsi="Calibri" w:cs="Calibri"/>
                <w:color w:val="000000" w:themeColor="text1"/>
                <w:sz w:val="20"/>
                <w:szCs w:val="20"/>
              </w:rPr>
              <w:t>24-Dec</w:t>
            </w:r>
          </w:p>
        </w:tc>
        <w:tc>
          <w:tcPr>
            <w:tcW w:w="9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14552574" w14:textId="3DDB796B">
            <w:pPr>
              <w:spacing w:after="0"/>
              <w:jc w:val="right"/>
              <w:rPr>
                <w:sz w:val="20"/>
                <w:szCs w:val="20"/>
              </w:rPr>
            </w:pPr>
            <w:r w:rsidRPr="002F16DD">
              <w:rPr>
                <w:rFonts w:ascii="Calibri" w:eastAsia="Calibri" w:hAnsi="Calibri" w:cs="Calibri"/>
                <w:color w:val="000000" w:themeColor="text1"/>
                <w:sz w:val="20"/>
                <w:szCs w:val="20"/>
              </w:rPr>
              <w:t xml:space="preserve">$58.01 </w:t>
            </w:r>
          </w:p>
        </w:tc>
        <w:tc>
          <w:tcPr>
            <w:tcW w:w="9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3B849AC7" w14:textId="72E477AE">
            <w:pPr>
              <w:spacing w:after="0"/>
              <w:jc w:val="right"/>
              <w:rPr>
                <w:sz w:val="20"/>
                <w:szCs w:val="20"/>
              </w:rPr>
            </w:pPr>
            <w:r w:rsidRPr="002F16DD">
              <w:rPr>
                <w:rFonts w:ascii="Calibri" w:eastAsia="Calibri" w:hAnsi="Calibri" w:cs="Calibri"/>
                <w:color w:val="000000" w:themeColor="text1"/>
                <w:sz w:val="20"/>
                <w:szCs w:val="20"/>
              </w:rPr>
              <w:t xml:space="preserve">$26.57 </w:t>
            </w:r>
          </w:p>
        </w:tc>
        <w:tc>
          <w:tcPr>
            <w:tcW w:w="133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7D2BC71B" w14:textId="0EEF72C7">
            <w:pPr>
              <w:spacing w:after="0"/>
              <w:jc w:val="center"/>
              <w:rPr>
                <w:sz w:val="20"/>
                <w:szCs w:val="20"/>
              </w:rPr>
            </w:pPr>
            <w:r w:rsidRPr="002F16DD">
              <w:rPr>
                <w:rFonts w:ascii="Calibri" w:eastAsia="Calibri" w:hAnsi="Calibri" w:cs="Calibri"/>
                <w:color w:val="000000" w:themeColor="text1"/>
                <w:sz w:val="20"/>
                <w:szCs w:val="20"/>
              </w:rPr>
              <w:t xml:space="preserve">$84.58 </w:t>
            </w:r>
          </w:p>
        </w:tc>
        <w:tc>
          <w:tcPr>
            <w:tcW w:w="136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61590B51" w14:textId="63F2CD64">
            <w:pPr>
              <w:spacing w:after="0"/>
              <w:jc w:val="center"/>
              <w:rPr>
                <w:sz w:val="20"/>
                <w:szCs w:val="20"/>
              </w:rPr>
            </w:pPr>
            <w:r w:rsidRPr="002F16DD">
              <w:rPr>
                <w:rFonts w:ascii="Calibri" w:eastAsia="Calibri" w:hAnsi="Calibri" w:cs="Calibri"/>
                <w:color w:val="000000" w:themeColor="text1"/>
                <w:sz w:val="20"/>
                <w:szCs w:val="20"/>
              </w:rPr>
              <w:t>20%</w:t>
            </w:r>
          </w:p>
        </w:tc>
        <w:tc>
          <w:tcPr>
            <w:tcW w:w="94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079CA813" w14:textId="2F71E997">
            <w:pPr>
              <w:spacing w:after="0"/>
              <w:jc w:val="center"/>
              <w:rPr>
                <w:sz w:val="20"/>
                <w:szCs w:val="20"/>
              </w:rPr>
            </w:pPr>
            <w:r w:rsidRPr="002F16DD">
              <w:rPr>
                <w:rFonts w:ascii="Calibri" w:eastAsia="Calibri" w:hAnsi="Calibri" w:cs="Calibri"/>
                <w:color w:val="000000" w:themeColor="text1"/>
                <w:sz w:val="20"/>
                <w:szCs w:val="20"/>
              </w:rPr>
              <w:t xml:space="preserve">$16.92 </w:t>
            </w:r>
          </w:p>
        </w:tc>
        <w:tc>
          <w:tcPr>
            <w:tcW w:w="106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2AA49F2A" w14:textId="7C7F417B">
            <w:pPr>
              <w:spacing w:after="0"/>
              <w:jc w:val="center"/>
              <w:rPr>
                <w:sz w:val="20"/>
                <w:szCs w:val="20"/>
              </w:rPr>
            </w:pPr>
            <w:r w:rsidRPr="002F16DD">
              <w:rPr>
                <w:rFonts w:ascii="Calibri" w:eastAsia="Calibri" w:hAnsi="Calibri" w:cs="Calibri"/>
                <w:color w:val="000000" w:themeColor="text1"/>
                <w:sz w:val="20"/>
                <w:szCs w:val="20"/>
              </w:rPr>
              <w:t xml:space="preserve">$101.50 </w:t>
            </w:r>
          </w:p>
        </w:tc>
      </w:tr>
      <w:tr w14:paraId="011BC305" w14:textId="77777777" w:rsidTr="51623177">
        <w:tblPrEx>
          <w:tblW w:w="0" w:type="auto"/>
          <w:tblLook w:val="06A0"/>
        </w:tblPrEx>
        <w:trPr>
          <w:trHeight w:val="1140"/>
        </w:trPr>
        <w:tc>
          <w:tcPr>
            <w:tcW w:w="1352" w:type="dxa"/>
            <w:tcBorders>
              <w:top w:val="single" w:sz="8" w:space="0" w:color="auto"/>
              <w:left w:val="single" w:sz="8" w:space="0" w:color="auto"/>
              <w:bottom w:val="single" w:sz="8" w:space="0" w:color="000000" w:themeColor="text1"/>
              <w:right w:val="single" w:sz="8" w:space="0" w:color="auto"/>
            </w:tcBorders>
            <w:tcMar>
              <w:top w:w="15" w:type="dxa"/>
              <w:left w:w="15" w:type="dxa"/>
              <w:right w:w="15" w:type="dxa"/>
            </w:tcMar>
            <w:vAlign w:val="center"/>
          </w:tcPr>
          <w:p w:rsidR="51623177" w:rsidRPr="002F16DD" w:rsidP="51623177" w14:paraId="3D9BD770" w14:textId="3B33AB7C">
            <w:pPr>
              <w:spacing w:after="0"/>
              <w:rPr>
                <w:sz w:val="20"/>
                <w:szCs w:val="20"/>
              </w:rPr>
            </w:pPr>
            <w:r w:rsidRPr="002F16DD">
              <w:rPr>
                <w:rFonts w:ascii="Calibri" w:eastAsia="Calibri" w:hAnsi="Calibri" w:cs="Calibri"/>
                <w:color w:val="000000" w:themeColor="text1"/>
                <w:sz w:val="20"/>
                <w:szCs w:val="20"/>
              </w:rPr>
              <w:t>Professional / Technical</w:t>
            </w:r>
          </w:p>
        </w:tc>
        <w:tc>
          <w:tcPr>
            <w:tcW w:w="1361" w:type="dxa"/>
            <w:tcBorders>
              <w:top w:val="single" w:sz="8" w:space="0" w:color="auto"/>
              <w:left w:val="single" w:sz="8" w:space="0" w:color="auto"/>
              <w:bottom w:val="single" w:sz="8" w:space="0" w:color="000000" w:themeColor="text1"/>
              <w:right w:val="single" w:sz="8" w:space="0" w:color="auto"/>
            </w:tcBorders>
            <w:tcMar>
              <w:top w:w="15" w:type="dxa"/>
              <w:left w:w="15" w:type="dxa"/>
              <w:right w:w="15" w:type="dxa"/>
            </w:tcMar>
            <w:vAlign w:val="center"/>
          </w:tcPr>
          <w:p w:rsidR="51623177" w:rsidRPr="002F16DD" w:rsidP="51623177" w14:paraId="0E78157D" w14:textId="6B3ABCC2">
            <w:pPr>
              <w:spacing w:after="0"/>
              <w:rPr>
                <w:sz w:val="20"/>
                <w:szCs w:val="20"/>
              </w:rPr>
            </w:pPr>
            <w:r w:rsidRPr="002F16DD">
              <w:rPr>
                <w:rFonts w:ascii="Calibri" w:eastAsia="Calibri" w:hAnsi="Calibri" w:cs="Calibri"/>
                <w:color w:val="000000" w:themeColor="text1"/>
                <w:sz w:val="20"/>
                <w:szCs w:val="20"/>
              </w:rPr>
              <w:t>BLS ECEC, Private Manufacturing industries, “Professional and related“</w:t>
            </w:r>
          </w:p>
        </w:tc>
        <w:tc>
          <w:tcPr>
            <w:tcW w:w="888" w:type="dxa"/>
            <w:tcBorders>
              <w:top w:val="single" w:sz="8" w:space="0" w:color="auto"/>
              <w:left w:val="single" w:sz="8" w:space="0" w:color="auto"/>
              <w:bottom w:val="single" w:sz="8" w:space="0" w:color="000000" w:themeColor="text1"/>
              <w:right w:val="single" w:sz="8" w:space="0" w:color="auto"/>
            </w:tcBorders>
            <w:tcMar>
              <w:top w:w="15" w:type="dxa"/>
              <w:left w:w="15" w:type="dxa"/>
              <w:right w:w="15" w:type="dxa"/>
            </w:tcMar>
            <w:vAlign w:val="center"/>
          </w:tcPr>
          <w:p w:rsidR="51623177" w:rsidRPr="002F16DD" w:rsidP="51623177" w14:paraId="61D7709F" w14:textId="1B26733E">
            <w:pPr>
              <w:spacing w:after="0"/>
              <w:jc w:val="center"/>
              <w:rPr>
                <w:sz w:val="20"/>
                <w:szCs w:val="20"/>
              </w:rPr>
            </w:pPr>
            <w:r w:rsidRPr="002F16DD">
              <w:rPr>
                <w:rFonts w:ascii="Calibri" w:eastAsia="Calibri" w:hAnsi="Calibri" w:cs="Calibri"/>
                <w:color w:val="000000" w:themeColor="text1"/>
                <w:sz w:val="20"/>
                <w:szCs w:val="20"/>
              </w:rPr>
              <w:t>24-Dec</w:t>
            </w:r>
          </w:p>
        </w:tc>
        <w:tc>
          <w:tcPr>
            <w:tcW w:w="9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76915C9D" w14:textId="19506034">
            <w:pPr>
              <w:spacing w:after="0"/>
              <w:jc w:val="right"/>
              <w:rPr>
                <w:sz w:val="20"/>
                <w:szCs w:val="20"/>
              </w:rPr>
            </w:pPr>
            <w:r w:rsidRPr="002F16DD">
              <w:rPr>
                <w:rFonts w:ascii="Calibri" w:eastAsia="Calibri" w:hAnsi="Calibri" w:cs="Calibri"/>
                <w:color w:val="000000" w:themeColor="text1"/>
                <w:sz w:val="20"/>
                <w:szCs w:val="20"/>
              </w:rPr>
              <w:t xml:space="preserve">$47.87 </w:t>
            </w:r>
          </w:p>
        </w:tc>
        <w:tc>
          <w:tcPr>
            <w:tcW w:w="9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77319A63" w14:textId="49680713">
            <w:pPr>
              <w:spacing w:after="0"/>
              <w:jc w:val="right"/>
              <w:rPr>
                <w:sz w:val="20"/>
                <w:szCs w:val="20"/>
              </w:rPr>
            </w:pPr>
            <w:r w:rsidRPr="002F16DD">
              <w:rPr>
                <w:rFonts w:ascii="Calibri" w:eastAsia="Calibri" w:hAnsi="Calibri" w:cs="Calibri"/>
                <w:color w:val="000000" w:themeColor="text1"/>
                <w:sz w:val="20"/>
                <w:szCs w:val="20"/>
              </w:rPr>
              <w:t xml:space="preserve">$23.11 </w:t>
            </w:r>
          </w:p>
        </w:tc>
        <w:tc>
          <w:tcPr>
            <w:tcW w:w="133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6D9906D3" w14:textId="25BA65F5">
            <w:pPr>
              <w:spacing w:after="0"/>
              <w:jc w:val="center"/>
              <w:rPr>
                <w:sz w:val="20"/>
                <w:szCs w:val="20"/>
              </w:rPr>
            </w:pPr>
            <w:r w:rsidRPr="002F16DD">
              <w:rPr>
                <w:rFonts w:ascii="Calibri" w:eastAsia="Calibri" w:hAnsi="Calibri" w:cs="Calibri"/>
                <w:color w:val="000000" w:themeColor="text1"/>
                <w:sz w:val="20"/>
                <w:szCs w:val="20"/>
              </w:rPr>
              <w:t xml:space="preserve">$70.98 </w:t>
            </w:r>
          </w:p>
        </w:tc>
        <w:tc>
          <w:tcPr>
            <w:tcW w:w="136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2AF5213A" w14:textId="5BEDBAA2">
            <w:pPr>
              <w:spacing w:after="0"/>
              <w:jc w:val="center"/>
              <w:rPr>
                <w:sz w:val="20"/>
                <w:szCs w:val="20"/>
              </w:rPr>
            </w:pPr>
            <w:r w:rsidRPr="002F16DD">
              <w:rPr>
                <w:rFonts w:ascii="Calibri" w:eastAsia="Calibri" w:hAnsi="Calibri" w:cs="Calibri"/>
                <w:color w:val="000000" w:themeColor="text1"/>
                <w:sz w:val="20"/>
                <w:szCs w:val="20"/>
              </w:rPr>
              <w:t>20%</w:t>
            </w:r>
          </w:p>
        </w:tc>
        <w:tc>
          <w:tcPr>
            <w:tcW w:w="94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09D48674" w14:textId="6F5D081A">
            <w:pPr>
              <w:spacing w:after="0"/>
              <w:jc w:val="center"/>
              <w:rPr>
                <w:sz w:val="20"/>
                <w:szCs w:val="20"/>
              </w:rPr>
            </w:pPr>
            <w:r w:rsidRPr="002F16DD">
              <w:rPr>
                <w:rFonts w:ascii="Calibri" w:eastAsia="Calibri" w:hAnsi="Calibri" w:cs="Calibri"/>
                <w:color w:val="000000" w:themeColor="text1"/>
                <w:sz w:val="20"/>
                <w:szCs w:val="20"/>
              </w:rPr>
              <w:t xml:space="preserve">$14.20 </w:t>
            </w:r>
          </w:p>
        </w:tc>
        <w:tc>
          <w:tcPr>
            <w:tcW w:w="106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480B3C45" w14:textId="756F4ED9">
            <w:pPr>
              <w:spacing w:after="0"/>
              <w:jc w:val="center"/>
              <w:rPr>
                <w:sz w:val="20"/>
                <w:szCs w:val="20"/>
              </w:rPr>
            </w:pPr>
            <w:r w:rsidRPr="002F16DD">
              <w:rPr>
                <w:rFonts w:ascii="Calibri" w:eastAsia="Calibri" w:hAnsi="Calibri" w:cs="Calibri"/>
                <w:color w:val="000000" w:themeColor="text1"/>
                <w:sz w:val="20"/>
                <w:szCs w:val="20"/>
              </w:rPr>
              <w:t xml:space="preserve">$85.18 </w:t>
            </w:r>
          </w:p>
        </w:tc>
      </w:tr>
      <w:tr w14:paraId="44E7784A" w14:textId="77777777" w:rsidTr="51623177">
        <w:tblPrEx>
          <w:tblW w:w="0" w:type="auto"/>
          <w:tblLook w:val="06A0"/>
        </w:tblPrEx>
        <w:trPr>
          <w:trHeight w:val="1365"/>
        </w:trPr>
        <w:tc>
          <w:tcPr>
            <w:tcW w:w="135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0CD904F0" w14:textId="6FF483F1">
            <w:pPr>
              <w:spacing w:after="0"/>
              <w:rPr>
                <w:sz w:val="20"/>
                <w:szCs w:val="20"/>
              </w:rPr>
            </w:pPr>
            <w:r w:rsidRPr="002F16DD">
              <w:rPr>
                <w:rFonts w:ascii="Calibri" w:eastAsia="Calibri" w:hAnsi="Calibri" w:cs="Calibri"/>
                <w:color w:val="000000" w:themeColor="text1"/>
                <w:sz w:val="20"/>
                <w:szCs w:val="20"/>
              </w:rPr>
              <w:t>Clerical</w:t>
            </w:r>
          </w:p>
        </w:tc>
        <w:tc>
          <w:tcPr>
            <w:tcW w:w="136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3B188653" w14:textId="28A6B6D4">
            <w:pPr>
              <w:spacing w:after="0"/>
              <w:rPr>
                <w:sz w:val="20"/>
                <w:szCs w:val="20"/>
              </w:rPr>
            </w:pPr>
            <w:r w:rsidRPr="002F16DD">
              <w:rPr>
                <w:rFonts w:ascii="Calibri" w:eastAsia="Calibri" w:hAnsi="Calibri" w:cs="Calibri"/>
                <w:color w:val="000000" w:themeColor="text1"/>
                <w:sz w:val="20"/>
                <w:szCs w:val="20"/>
              </w:rPr>
              <w:t>BLS ECEC, Private Manufacturing industries, “Office and Administrative Support”</w:t>
            </w:r>
          </w:p>
        </w:tc>
        <w:tc>
          <w:tcPr>
            <w:tcW w:w="888"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31CD6AE9" w14:textId="27E7EBF2">
            <w:pPr>
              <w:spacing w:after="0"/>
              <w:jc w:val="center"/>
              <w:rPr>
                <w:sz w:val="20"/>
                <w:szCs w:val="20"/>
              </w:rPr>
            </w:pPr>
            <w:r w:rsidRPr="002F16DD">
              <w:rPr>
                <w:rFonts w:ascii="Calibri" w:eastAsia="Calibri" w:hAnsi="Calibri" w:cs="Calibri"/>
                <w:color w:val="000000" w:themeColor="text1"/>
                <w:sz w:val="20"/>
                <w:szCs w:val="20"/>
              </w:rPr>
              <w:t>24-Dec</w:t>
            </w:r>
          </w:p>
        </w:tc>
        <w:tc>
          <w:tcPr>
            <w:tcW w:w="909"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13418E0A" w14:textId="3CCCF4D1">
            <w:pPr>
              <w:spacing w:after="0"/>
              <w:jc w:val="right"/>
              <w:rPr>
                <w:sz w:val="20"/>
                <w:szCs w:val="20"/>
              </w:rPr>
            </w:pPr>
            <w:r w:rsidRPr="002F16DD">
              <w:rPr>
                <w:rFonts w:ascii="Calibri" w:eastAsia="Calibri" w:hAnsi="Calibri" w:cs="Calibri"/>
                <w:color w:val="000000" w:themeColor="text1"/>
                <w:sz w:val="20"/>
                <w:szCs w:val="20"/>
              </w:rPr>
              <w:t xml:space="preserve">$24.84 </w:t>
            </w:r>
          </w:p>
        </w:tc>
        <w:tc>
          <w:tcPr>
            <w:tcW w:w="9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71840B3E" w14:textId="3F8320A2">
            <w:pPr>
              <w:spacing w:after="0"/>
              <w:jc w:val="right"/>
              <w:rPr>
                <w:sz w:val="20"/>
                <w:szCs w:val="20"/>
              </w:rPr>
            </w:pPr>
            <w:r w:rsidRPr="002F16DD">
              <w:rPr>
                <w:rFonts w:ascii="Calibri" w:eastAsia="Calibri" w:hAnsi="Calibri" w:cs="Calibri"/>
                <w:color w:val="000000" w:themeColor="text1"/>
                <w:sz w:val="20"/>
                <w:szCs w:val="20"/>
              </w:rPr>
              <w:t xml:space="preserve">$11.34 </w:t>
            </w:r>
          </w:p>
        </w:tc>
        <w:tc>
          <w:tcPr>
            <w:tcW w:w="133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74A594DA" w14:textId="299CD1BA">
            <w:pPr>
              <w:spacing w:after="0"/>
              <w:jc w:val="center"/>
              <w:rPr>
                <w:sz w:val="20"/>
                <w:szCs w:val="20"/>
              </w:rPr>
            </w:pPr>
            <w:r w:rsidRPr="002F16DD">
              <w:rPr>
                <w:rFonts w:ascii="Calibri" w:eastAsia="Calibri" w:hAnsi="Calibri" w:cs="Calibri"/>
                <w:color w:val="000000" w:themeColor="text1"/>
                <w:sz w:val="20"/>
                <w:szCs w:val="20"/>
              </w:rPr>
              <w:t xml:space="preserve">$36.18 </w:t>
            </w:r>
          </w:p>
        </w:tc>
        <w:tc>
          <w:tcPr>
            <w:tcW w:w="136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6E938A33" w14:textId="0E50F040">
            <w:pPr>
              <w:spacing w:after="0"/>
              <w:jc w:val="center"/>
              <w:rPr>
                <w:sz w:val="20"/>
                <w:szCs w:val="20"/>
              </w:rPr>
            </w:pPr>
            <w:r w:rsidRPr="002F16DD">
              <w:rPr>
                <w:rFonts w:ascii="Calibri" w:eastAsia="Calibri" w:hAnsi="Calibri" w:cs="Calibri"/>
                <w:color w:val="000000" w:themeColor="text1"/>
                <w:sz w:val="20"/>
                <w:szCs w:val="20"/>
              </w:rPr>
              <w:t>20%</w:t>
            </w:r>
          </w:p>
        </w:tc>
        <w:tc>
          <w:tcPr>
            <w:tcW w:w="94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3B05CE27" w14:textId="76E60656">
            <w:pPr>
              <w:spacing w:after="0"/>
              <w:jc w:val="center"/>
              <w:rPr>
                <w:sz w:val="20"/>
                <w:szCs w:val="20"/>
              </w:rPr>
            </w:pPr>
            <w:r w:rsidRPr="002F16DD">
              <w:rPr>
                <w:rFonts w:ascii="Calibri" w:eastAsia="Calibri" w:hAnsi="Calibri" w:cs="Calibri"/>
                <w:color w:val="000000" w:themeColor="text1"/>
                <w:sz w:val="20"/>
                <w:szCs w:val="20"/>
              </w:rPr>
              <w:t xml:space="preserve">$7.24 </w:t>
            </w:r>
          </w:p>
        </w:tc>
        <w:tc>
          <w:tcPr>
            <w:tcW w:w="106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51623177" w:rsidRPr="002F16DD" w:rsidP="51623177" w14:paraId="2A63F0AE" w14:textId="61752931">
            <w:pPr>
              <w:spacing w:after="0"/>
              <w:jc w:val="center"/>
              <w:rPr>
                <w:sz w:val="20"/>
                <w:szCs w:val="20"/>
              </w:rPr>
            </w:pPr>
            <w:r w:rsidRPr="002F16DD">
              <w:rPr>
                <w:rFonts w:ascii="Calibri" w:eastAsia="Calibri" w:hAnsi="Calibri" w:cs="Calibri"/>
                <w:color w:val="000000" w:themeColor="text1"/>
                <w:sz w:val="20"/>
                <w:szCs w:val="20"/>
              </w:rPr>
              <w:t>$43.42</w:t>
            </w:r>
          </w:p>
        </w:tc>
      </w:tr>
    </w:tbl>
    <w:p w:rsidR="000E304B" w:rsidRPr="00EB69DF" w:rsidP="51623177" w14:paraId="7623ADE1" w14:textId="3B30641C">
      <w:pPr>
        <w:rPr>
          <w:rFonts w:asciiTheme="minorHAnsi" w:hAnsiTheme="minorHAnsi"/>
          <w:sz w:val="16"/>
          <w:szCs w:val="16"/>
        </w:rPr>
      </w:pPr>
      <w:r w:rsidRPr="00EB69DF">
        <w:rPr>
          <w:rFonts w:asciiTheme="minorHAnsi" w:hAnsiTheme="minorHAnsi"/>
          <w:sz w:val="16"/>
          <w:szCs w:val="16"/>
        </w:rPr>
        <w:t>Note: Values may not sum due to rounding.</w:t>
      </w:r>
    </w:p>
    <w:p w:rsidR="00B377E9" w:rsidRPr="00B377E9" w:rsidP="00B20FDA" w14:paraId="0237FCFC" w14:textId="01C63AF7">
      <w:pPr>
        <w:pStyle w:val="Heading3"/>
        <w:spacing w:line="276" w:lineRule="auto"/>
        <w:rPr>
          <w:rFonts w:eastAsia="Calibri" w:asciiTheme="minorHAnsi" w:hAnsiTheme="minorHAnsi" w:cstheme="minorHAnsi"/>
        </w:rPr>
      </w:pPr>
      <w:r w:rsidRPr="00B377E9">
        <w:rPr>
          <w:rFonts w:asciiTheme="minorHAnsi" w:hAnsiTheme="minorHAnsi" w:cstheme="minorHAnsi"/>
        </w:rPr>
        <w:t xml:space="preserve">12d. Respondent Burden Hours and Labor Costs </w:t>
      </w:r>
    </w:p>
    <w:p w:rsidR="00FF701C" w:rsidRPr="00371311" w:rsidP="00EB69DF" w14:paraId="733B2A74" w14:textId="6ED65F62">
      <w:pPr>
        <w:pStyle w:val="Caption"/>
        <w:spacing w:after="0" w:line="276" w:lineRule="auto"/>
        <w:rPr>
          <w:rFonts w:asciiTheme="minorHAnsi" w:hAnsiTheme="minorHAnsi" w:cstheme="minorHAnsi"/>
          <w:szCs w:val="24"/>
        </w:rPr>
      </w:pPr>
      <w:r w:rsidRPr="00371311">
        <w:rPr>
          <w:rFonts w:asciiTheme="minorHAnsi" w:hAnsiTheme="minorHAnsi" w:cstheme="minorHAnsi"/>
          <w:szCs w:val="24"/>
        </w:rPr>
        <w:t xml:space="preserve">Table </w:t>
      </w:r>
      <w:r w:rsidRPr="00371311" w:rsidR="1FBB939E">
        <w:rPr>
          <w:rFonts w:asciiTheme="minorHAnsi" w:hAnsiTheme="minorHAnsi" w:cstheme="minorHAnsi"/>
          <w:szCs w:val="24"/>
        </w:rPr>
        <w:t>4</w:t>
      </w:r>
      <w:r w:rsidRPr="00371311">
        <w:rPr>
          <w:rFonts w:asciiTheme="minorHAnsi" w:hAnsiTheme="minorHAnsi" w:cstheme="minorHAnsi"/>
          <w:szCs w:val="24"/>
        </w:rPr>
        <w:t>: Total Burden and Cost to Industry</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32"/>
        <w:gridCol w:w="1966"/>
        <w:gridCol w:w="2259"/>
        <w:gridCol w:w="2287"/>
      </w:tblGrid>
      <w:tr w14:paraId="187195E9" w14:textId="77777777" w:rsidTr="37B89732">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780"/>
        </w:trPr>
        <w:tc>
          <w:tcPr>
            <w:tcW w:w="2832"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hideMark/>
          </w:tcPr>
          <w:p w:rsidR="00660C25" w:rsidRPr="00371311" w:rsidP="00EB69DF" w14:paraId="054CC3EA" w14:textId="77777777">
            <w:pPr>
              <w:spacing w:after="0"/>
              <w:jc w:val="center"/>
              <w:textAlignment w:val="baseline"/>
              <w:rPr>
                <w:rFonts w:eastAsia="Times New Roman" w:asciiTheme="minorHAnsi" w:hAnsiTheme="minorHAnsi"/>
              </w:rPr>
            </w:pPr>
            <w:r w:rsidRPr="37B89732">
              <w:rPr>
                <w:rFonts w:eastAsia="Times New Roman" w:asciiTheme="minorHAnsi" w:hAnsiTheme="minorHAnsi"/>
                <w:b/>
                <w:bCs/>
              </w:rPr>
              <w:t>Activity</w:t>
            </w:r>
            <w:r w:rsidRPr="37B89732">
              <w:rPr>
                <w:rFonts w:eastAsia="Times New Roman" w:asciiTheme="minorHAnsi" w:hAnsiTheme="minorHAnsi"/>
              </w:rPr>
              <w:t> </w:t>
            </w:r>
          </w:p>
        </w:tc>
        <w:tc>
          <w:tcPr>
            <w:tcW w:w="1966"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hideMark/>
          </w:tcPr>
          <w:p w:rsidR="00660C25" w:rsidRPr="00371311" w:rsidP="00EB69DF" w14:paraId="6D049BDB" w14:textId="77777777">
            <w:pPr>
              <w:spacing w:after="0"/>
              <w:jc w:val="center"/>
              <w:textAlignment w:val="baseline"/>
              <w:rPr>
                <w:rFonts w:eastAsia="Times New Roman" w:asciiTheme="minorHAnsi" w:hAnsiTheme="minorHAnsi" w:cstheme="minorHAnsi"/>
                <w:szCs w:val="24"/>
              </w:rPr>
            </w:pPr>
            <w:r w:rsidRPr="00371311">
              <w:rPr>
                <w:rFonts w:eastAsia="Times New Roman" w:asciiTheme="minorHAnsi" w:hAnsiTheme="minorHAnsi" w:cstheme="minorHAnsi"/>
                <w:b/>
                <w:bCs/>
                <w:szCs w:val="24"/>
              </w:rPr>
              <w:t>Number of Affected Entities</w:t>
            </w:r>
            <w:r w:rsidRPr="00371311">
              <w:rPr>
                <w:rFonts w:eastAsia="Times New Roman" w:asciiTheme="minorHAnsi" w:hAnsiTheme="minorHAnsi" w:cstheme="minorHAnsi"/>
                <w:szCs w:val="24"/>
              </w:rPr>
              <w:t> </w:t>
            </w:r>
          </w:p>
        </w:tc>
        <w:tc>
          <w:tcPr>
            <w:tcW w:w="2259"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hideMark/>
          </w:tcPr>
          <w:p w:rsidR="00660C25" w:rsidRPr="00371311" w:rsidP="00EB69DF" w14:paraId="64DC1512" w14:textId="77777777">
            <w:pPr>
              <w:spacing w:after="0"/>
              <w:jc w:val="center"/>
              <w:textAlignment w:val="baseline"/>
              <w:rPr>
                <w:rFonts w:eastAsia="Times New Roman" w:asciiTheme="minorHAnsi" w:hAnsiTheme="minorHAnsi" w:cstheme="minorHAnsi"/>
                <w:szCs w:val="24"/>
              </w:rPr>
            </w:pPr>
            <w:r w:rsidRPr="00371311">
              <w:rPr>
                <w:rFonts w:eastAsia="Times New Roman" w:asciiTheme="minorHAnsi" w:hAnsiTheme="minorHAnsi" w:cstheme="minorHAnsi"/>
                <w:b/>
                <w:bCs/>
                <w:szCs w:val="24"/>
              </w:rPr>
              <w:t>Total Burden (hours)</w:t>
            </w:r>
            <w:r w:rsidRPr="00371311">
              <w:rPr>
                <w:rFonts w:eastAsia="Times New Roman" w:asciiTheme="minorHAnsi" w:hAnsiTheme="minorHAnsi" w:cstheme="minorHAnsi"/>
                <w:szCs w:val="24"/>
              </w:rPr>
              <w:t> </w:t>
            </w:r>
          </w:p>
        </w:tc>
        <w:tc>
          <w:tcPr>
            <w:tcW w:w="2287"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hideMark/>
          </w:tcPr>
          <w:p w:rsidR="00660C25" w:rsidRPr="00371311" w:rsidP="00EB69DF" w14:paraId="6A213EC2" w14:textId="53E1269C">
            <w:pPr>
              <w:spacing w:after="0"/>
              <w:jc w:val="center"/>
              <w:textAlignment w:val="baseline"/>
              <w:rPr>
                <w:rFonts w:eastAsia="Times New Roman" w:asciiTheme="minorHAnsi" w:hAnsiTheme="minorHAnsi" w:cstheme="minorHAnsi"/>
                <w:szCs w:val="24"/>
              </w:rPr>
            </w:pPr>
            <w:r w:rsidRPr="00371311">
              <w:rPr>
                <w:rFonts w:eastAsia="Times New Roman" w:asciiTheme="minorHAnsi" w:hAnsiTheme="minorHAnsi" w:cstheme="minorHAnsi"/>
                <w:b/>
                <w:bCs/>
                <w:szCs w:val="24"/>
              </w:rPr>
              <w:t>Total Cost (</w:t>
            </w:r>
            <w:r w:rsidRPr="00371311" w:rsidR="000647C9">
              <w:rPr>
                <w:rFonts w:eastAsia="Times New Roman" w:asciiTheme="minorHAnsi" w:hAnsiTheme="minorHAnsi" w:cstheme="minorHAnsi"/>
                <w:b/>
                <w:bCs/>
                <w:szCs w:val="24"/>
              </w:rPr>
              <w:t>202</w:t>
            </w:r>
            <w:r w:rsidR="00B377E9">
              <w:rPr>
                <w:rFonts w:eastAsia="Times New Roman" w:asciiTheme="minorHAnsi" w:hAnsiTheme="minorHAnsi" w:cstheme="minorHAnsi"/>
                <w:b/>
                <w:bCs/>
                <w:szCs w:val="24"/>
              </w:rPr>
              <w:t>5</w:t>
            </w:r>
            <w:r w:rsidRPr="00371311">
              <w:rPr>
                <w:rFonts w:eastAsia="Times New Roman" w:asciiTheme="minorHAnsi" w:hAnsiTheme="minorHAnsi" w:cstheme="minorHAnsi"/>
                <w:b/>
                <w:bCs/>
                <w:szCs w:val="24"/>
              </w:rPr>
              <w:t>$)</w:t>
            </w:r>
            <w:r w:rsidRPr="00371311">
              <w:rPr>
                <w:rFonts w:eastAsia="Times New Roman" w:asciiTheme="minorHAnsi" w:hAnsiTheme="minorHAnsi" w:cstheme="minorHAnsi"/>
                <w:szCs w:val="24"/>
              </w:rPr>
              <w:t> </w:t>
            </w:r>
          </w:p>
        </w:tc>
      </w:tr>
      <w:tr w14:paraId="6246C138" w14:textId="77777777" w:rsidTr="37B89732">
        <w:tblPrEx>
          <w:tblW w:w="9344" w:type="dxa"/>
          <w:tblCellMar>
            <w:left w:w="0" w:type="dxa"/>
            <w:right w:w="0" w:type="dxa"/>
          </w:tblCellMar>
          <w:tblLook w:val="04A0"/>
        </w:tblPrEx>
        <w:trPr>
          <w:trHeight w:val="210"/>
        </w:trPr>
        <w:tc>
          <w:tcPr>
            <w:tcW w:w="2832" w:type="dxa"/>
            <w:tcBorders>
              <w:top w:val="single" w:sz="6" w:space="0" w:color="auto"/>
              <w:left w:val="single" w:sz="6" w:space="0" w:color="auto"/>
              <w:bottom w:val="single" w:sz="6" w:space="0" w:color="auto"/>
              <w:right w:val="single" w:sz="6" w:space="0" w:color="auto"/>
            </w:tcBorders>
            <w:vAlign w:val="center"/>
            <w:hideMark/>
          </w:tcPr>
          <w:p w:rsidR="000647C9" w:rsidRPr="00371311" w:rsidP="00B20FDA" w14:paraId="7EC35314" w14:textId="2F4718EE">
            <w:pPr>
              <w:textAlignment w:val="baseline"/>
              <w:rPr>
                <w:rFonts w:eastAsia="Times New Roman" w:asciiTheme="minorHAnsi" w:hAnsiTheme="minorHAnsi" w:cstheme="minorHAnsi"/>
                <w:szCs w:val="24"/>
              </w:rPr>
            </w:pPr>
            <w:r w:rsidRPr="00371311">
              <w:rPr>
                <w:rFonts w:eastAsia="Times New Roman" w:asciiTheme="minorHAnsi" w:hAnsiTheme="minorHAnsi" w:cstheme="minorHAnsi"/>
                <w:szCs w:val="24"/>
              </w:rPr>
              <w:t>Withdrawing Confidentiality Claims</w:t>
            </w:r>
            <w:r w:rsidR="0033548F">
              <w:rPr>
                <w:rFonts w:eastAsia="Times New Roman" w:asciiTheme="minorHAnsi" w:hAnsiTheme="minorHAnsi" w:cstheme="minorHAnsi"/>
                <w:szCs w:val="24"/>
              </w:rPr>
              <w:t xml:space="preserve">, </w:t>
            </w:r>
            <w:r w:rsidRPr="00371311">
              <w:rPr>
                <w:rFonts w:eastAsia="Times New Roman" w:asciiTheme="minorHAnsi" w:hAnsiTheme="minorHAnsi" w:cstheme="minorHAnsi"/>
                <w:szCs w:val="24"/>
              </w:rPr>
              <w:t>Amending Public Copy</w:t>
            </w:r>
            <w:r w:rsidR="0033548F">
              <w:rPr>
                <w:rFonts w:eastAsia="Times New Roman" w:asciiTheme="minorHAnsi" w:hAnsiTheme="minorHAnsi" w:cstheme="minorHAnsi"/>
                <w:szCs w:val="24"/>
              </w:rPr>
              <w:t>,</w:t>
            </w:r>
            <w:r w:rsidRPr="00371311" w:rsidR="00FE6422">
              <w:rPr>
                <w:rFonts w:eastAsia="Times New Roman" w:asciiTheme="minorHAnsi" w:hAnsiTheme="minorHAnsi" w:cstheme="minorHAnsi"/>
                <w:szCs w:val="24"/>
              </w:rPr>
              <w:t xml:space="preserve"> and Extension of Claims </w:t>
            </w:r>
          </w:p>
        </w:tc>
        <w:tc>
          <w:tcPr>
            <w:tcW w:w="1966" w:type="dxa"/>
            <w:tcBorders>
              <w:top w:val="single" w:sz="6" w:space="0" w:color="auto"/>
              <w:left w:val="single" w:sz="6" w:space="0" w:color="auto"/>
              <w:bottom w:val="single" w:sz="6" w:space="0" w:color="auto"/>
              <w:right w:val="single" w:sz="6" w:space="0" w:color="auto"/>
            </w:tcBorders>
            <w:vAlign w:val="center"/>
            <w:hideMark/>
          </w:tcPr>
          <w:p w:rsidR="000647C9" w:rsidRPr="00371311" w:rsidP="00B20FDA" w14:paraId="26570F51" w14:textId="6D7B71C0">
            <w:pPr>
              <w:jc w:val="center"/>
              <w:textAlignment w:val="baseline"/>
              <w:rPr>
                <w:rFonts w:eastAsia="Times New Roman" w:asciiTheme="minorHAnsi" w:hAnsiTheme="minorHAnsi" w:cstheme="minorHAnsi"/>
                <w:szCs w:val="24"/>
              </w:rPr>
            </w:pPr>
            <w:r w:rsidRPr="00371311">
              <w:rPr>
                <w:rFonts w:eastAsia="Times New Roman" w:asciiTheme="minorHAnsi" w:hAnsiTheme="minorHAnsi" w:cstheme="minorHAnsi"/>
                <w:szCs w:val="24"/>
              </w:rPr>
              <w:t>104</w:t>
            </w:r>
            <w:r w:rsidRPr="00371311" w:rsidR="006016D3">
              <w:rPr>
                <w:rFonts w:eastAsia="Times New Roman" w:asciiTheme="minorHAnsi" w:hAnsiTheme="minorHAnsi" w:cstheme="minorHAnsi"/>
                <w:szCs w:val="24"/>
              </w:rPr>
              <w:t> </w:t>
            </w:r>
          </w:p>
        </w:tc>
        <w:tc>
          <w:tcPr>
            <w:tcW w:w="2259" w:type="dxa"/>
            <w:tcBorders>
              <w:top w:val="single" w:sz="6" w:space="0" w:color="auto"/>
              <w:left w:val="single" w:sz="6" w:space="0" w:color="auto"/>
              <w:bottom w:val="single" w:sz="6" w:space="0" w:color="auto"/>
              <w:right w:val="single" w:sz="6" w:space="0" w:color="auto"/>
            </w:tcBorders>
            <w:vAlign w:val="center"/>
            <w:hideMark/>
          </w:tcPr>
          <w:p w:rsidR="000647C9" w:rsidRPr="00371311" w:rsidP="37B89732" w14:paraId="74F36360" w14:textId="088FE0B6">
            <w:pPr>
              <w:jc w:val="center"/>
            </w:pPr>
            <w:r w:rsidRPr="37B89732">
              <w:rPr>
                <w:rFonts w:eastAsia="Times New Roman" w:asciiTheme="minorHAnsi" w:hAnsiTheme="minorHAnsi"/>
              </w:rPr>
              <w:t>72.8</w:t>
            </w:r>
          </w:p>
        </w:tc>
        <w:tc>
          <w:tcPr>
            <w:tcW w:w="2287" w:type="dxa"/>
            <w:tcBorders>
              <w:top w:val="single" w:sz="4" w:space="0" w:color="auto"/>
              <w:left w:val="single" w:sz="4" w:space="0" w:color="auto"/>
              <w:bottom w:val="single" w:sz="4" w:space="0" w:color="auto"/>
              <w:right w:val="single" w:sz="4" w:space="0" w:color="auto"/>
            </w:tcBorders>
            <w:vAlign w:val="center"/>
            <w:hideMark/>
          </w:tcPr>
          <w:p w:rsidR="37B89732" w:rsidP="37B89732" w14:paraId="5C68F7C9" w14:textId="6ADB057A">
            <w:pPr>
              <w:jc w:val="center"/>
              <w:rPr>
                <w:rFonts w:ascii="Calibri" w:eastAsia="Times New Roman" w:hAnsi="Calibri" w:cs="Calibri"/>
                <w:szCs w:val="24"/>
              </w:rPr>
            </w:pPr>
            <w:r w:rsidRPr="37B89732">
              <w:rPr>
                <w:rFonts w:ascii="Calibri" w:eastAsia="Times New Roman" w:hAnsi="Calibri" w:cs="Calibri"/>
                <w:szCs w:val="24"/>
              </w:rPr>
              <w:t xml:space="preserve">$6,201.10 </w:t>
            </w:r>
          </w:p>
        </w:tc>
      </w:tr>
      <w:tr w14:paraId="39D1C469" w14:textId="77777777" w:rsidTr="37B89732">
        <w:tblPrEx>
          <w:tblW w:w="9344" w:type="dxa"/>
          <w:tblCellMar>
            <w:left w:w="0" w:type="dxa"/>
            <w:right w:w="0" w:type="dxa"/>
          </w:tblCellMar>
          <w:tblLook w:val="04A0"/>
        </w:tblPrEx>
        <w:trPr>
          <w:trHeight w:val="210"/>
        </w:trPr>
        <w:tc>
          <w:tcPr>
            <w:tcW w:w="2832" w:type="dxa"/>
            <w:tcBorders>
              <w:top w:val="single" w:sz="6" w:space="0" w:color="auto"/>
              <w:left w:val="single" w:sz="6" w:space="0" w:color="auto"/>
              <w:bottom w:val="single" w:sz="6" w:space="0" w:color="auto"/>
              <w:right w:val="single" w:sz="6" w:space="0" w:color="auto"/>
            </w:tcBorders>
            <w:vAlign w:val="center"/>
          </w:tcPr>
          <w:p w:rsidR="000647C9" w:rsidRPr="00371311" w:rsidP="00B20FDA" w14:paraId="4F6F69CB" w14:textId="77788D19">
            <w:pPr>
              <w:textAlignment w:val="baseline"/>
              <w:rPr>
                <w:rFonts w:eastAsia="Times New Roman" w:asciiTheme="minorHAnsi" w:hAnsiTheme="minorHAnsi" w:cstheme="minorHAnsi"/>
                <w:szCs w:val="24"/>
              </w:rPr>
            </w:pPr>
            <w:r w:rsidRPr="00371311">
              <w:rPr>
                <w:rFonts w:eastAsia="Times New Roman" w:asciiTheme="minorHAnsi" w:hAnsiTheme="minorHAnsi" w:cstheme="minorHAnsi"/>
                <w:color w:val="000000"/>
                <w:szCs w:val="24"/>
              </w:rPr>
              <w:t>Re-substantiation</w:t>
            </w:r>
          </w:p>
        </w:tc>
        <w:tc>
          <w:tcPr>
            <w:tcW w:w="1966" w:type="dxa"/>
            <w:tcBorders>
              <w:top w:val="single" w:sz="6" w:space="0" w:color="auto"/>
              <w:left w:val="single" w:sz="6" w:space="0" w:color="auto"/>
              <w:bottom w:val="single" w:sz="6" w:space="0" w:color="auto"/>
              <w:right w:val="single" w:sz="6" w:space="0" w:color="auto"/>
            </w:tcBorders>
            <w:vAlign w:val="center"/>
          </w:tcPr>
          <w:p w:rsidR="000647C9" w:rsidRPr="00371311" w:rsidP="00B20FDA" w14:paraId="003A7288" w14:textId="734861C0">
            <w:pPr>
              <w:jc w:val="center"/>
              <w:textAlignment w:val="baseline"/>
              <w:rPr>
                <w:rFonts w:eastAsia="Times New Roman" w:asciiTheme="minorHAnsi" w:hAnsiTheme="minorHAnsi" w:cstheme="minorHAnsi"/>
                <w:szCs w:val="24"/>
              </w:rPr>
            </w:pPr>
            <w:r w:rsidRPr="00371311">
              <w:rPr>
                <w:rFonts w:eastAsia="Times New Roman" w:asciiTheme="minorHAnsi" w:hAnsiTheme="minorHAnsi" w:cstheme="minorHAnsi"/>
                <w:szCs w:val="24"/>
              </w:rPr>
              <w:t>1,1</w:t>
            </w:r>
            <w:r w:rsidR="00D013EA">
              <w:rPr>
                <w:rFonts w:eastAsia="Times New Roman" w:asciiTheme="minorHAnsi" w:hAnsiTheme="minorHAnsi" w:cstheme="minorHAnsi"/>
                <w:szCs w:val="24"/>
              </w:rPr>
              <w:t>00</w:t>
            </w:r>
          </w:p>
        </w:tc>
        <w:tc>
          <w:tcPr>
            <w:tcW w:w="2259" w:type="dxa"/>
            <w:tcBorders>
              <w:top w:val="single" w:sz="6" w:space="0" w:color="auto"/>
              <w:left w:val="single" w:sz="6" w:space="0" w:color="auto"/>
              <w:bottom w:val="single" w:sz="6" w:space="0" w:color="auto"/>
              <w:right w:val="single" w:sz="6" w:space="0" w:color="auto"/>
            </w:tcBorders>
            <w:vAlign w:val="center"/>
          </w:tcPr>
          <w:p w:rsidR="000647C9" w:rsidRPr="00371311" w:rsidP="00B20FDA" w14:paraId="5D488074" w14:textId="4DE6BC4A">
            <w:pPr>
              <w:jc w:val="center"/>
              <w:textAlignment w:val="baseline"/>
              <w:rPr>
                <w:rFonts w:eastAsia="Times New Roman" w:asciiTheme="minorHAnsi" w:hAnsiTheme="minorHAnsi" w:cstheme="minorHAnsi"/>
                <w:szCs w:val="24"/>
              </w:rPr>
            </w:pPr>
            <w:r>
              <w:rPr>
                <w:rFonts w:eastAsia="Times New Roman" w:asciiTheme="minorHAnsi" w:hAnsiTheme="minorHAnsi" w:cstheme="minorHAnsi"/>
                <w:szCs w:val="24"/>
              </w:rPr>
              <w:t>5</w:t>
            </w:r>
            <w:r w:rsidRPr="00371311" w:rsidR="000627D4">
              <w:rPr>
                <w:rFonts w:eastAsia="Times New Roman" w:asciiTheme="minorHAnsi" w:hAnsiTheme="minorHAnsi" w:cstheme="minorHAnsi"/>
                <w:szCs w:val="24"/>
              </w:rPr>
              <w:t>50</w:t>
            </w:r>
          </w:p>
        </w:tc>
        <w:tc>
          <w:tcPr>
            <w:tcW w:w="2287" w:type="dxa"/>
            <w:tcBorders>
              <w:top w:val="single" w:sz="4" w:space="0" w:color="auto"/>
              <w:left w:val="single" w:sz="4" w:space="0" w:color="auto"/>
              <w:bottom w:val="single" w:sz="4" w:space="0" w:color="auto"/>
              <w:right w:val="single" w:sz="4" w:space="0" w:color="auto"/>
            </w:tcBorders>
            <w:vAlign w:val="center"/>
          </w:tcPr>
          <w:p w:rsidR="37B89732" w:rsidP="37B89732" w14:paraId="717553B6" w14:textId="038B45B6">
            <w:pPr>
              <w:jc w:val="center"/>
              <w:rPr>
                <w:rFonts w:ascii="Calibri" w:eastAsia="Times New Roman" w:hAnsi="Calibri" w:cs="Calibri"/>
                <w:szCs w:val="24"/>
              </w:rPr>
            </w:pPr>
            <w:r w:rsidRPr="37B89732">
              <w:rPr>
                <w:rFonts w:ascii="Calibri" w:eastAsia="Times New Roman" w:hAnsi="Calibri" w:cs="Calibri"/>
                <w:szCs w:val="24"/>
              </w:rPr>
              <w:t>$46,849.00</w:t>
            </w:r>
          </w:p>
        </w:tc>
      </w:tr>
      <w:tr w14:paraId="51A0CE1C" w14:textId="77777777" w:rsidTr="37B89732">
        <w:tblPrEx>
          <w:tblW w:w="9344" w:type="dxa"/>
          <w:tblCellMar>
            <w:left w:w="0" w:type="dxa"/>
            <w:right w:w="0" w:type="dxa"/>
          </w:tblCellMar>
          <w:tblLook w:val="04A0"/>
        </w:tblPrEx>
        <w:trPr>
          <w:trHeight w:val="240"/>
        </w:trPr>
        <w:tc>
          <w:tcPr>
            <w:tcW w:w="2832" w:type="dxa"/>
            <w:tcBorders>
              <w:top w:val="single" w:sz="6" w:space="0" w:color="auto"/>
              <w:left w:val="single" w:sz="6" w:space="0" w:color="auto"/>
              <w:bottom w:val="single" w:sz="6" w:space="0" w:color="auto"/>
              <w:right w:val="single" w:sz="6" w:space="0" w:color="FFFFFF" w:themeColor="background1"/>
            </w:tcBorders>
            <w:vAlign w:val="center"/>
            <w:hideMark/>
          </w:tcPr>
          <w:p w:rsidR="00660C25" w:rsidRPr="00371311" w:rsidP="00B20FDA" w14:paraId="1D92E12E" w14:textId="0550F617">
            <w:pPr>
              <w:textAlignment w:val="baseline"/>
              <w:rPr>
                <w:rFonts w:eastAsia="Times New Roman" w:asciiTheme="minorHAnsi" w:hAnsiTheme="minorHAnsi" w:cstheme="minorHAnsi"/>
                <w:szCs w:val="24"/>
              </w:rPr>
            </w:pPr>
            <w:r w:rsidRPr="00371311">
              <w:rPr>
                <w:rFonts w:eastAsia="Times New Roman" w:asciiTheme="minorHAnsi" w:hAnsiTheme="minorHAnsi" w:cstheme="minorHAnsi"/>
                <w:b/>
                <w:bCs/>
                <w:color w:val="000000"/>
                <w:szCs w:val="24"/>
              </w:rPr>
              <w:t>Annual</w:t>
            </w:r>
          </w:p>
        </w:tc>
        <w:tc>
          <w:tcPr>
            <w:tcW w:w="1966" w:type="dxa"/>
            <w:tcBorders>
              <w:top w:val="single" w:sz="6" w:space="0" w:color="auto"/>
              <w:left w:val="single" w:sz="6" w:space="0" w:color="FFFFFF" w:themeColor="background1"/>
              <w:bottom w:val="single" w:sz="6" w:space="0" w:color="auto"/>
              <w:right w:val="single" w:sz="6" w:space="0" w:color="FFFFFF" w:themeColor="background1"/>
            </w:tcBorders>
            <w:vAlign w:val="center"/>
            <w:hideMark/>
          </w:tcPr>
          <w:p w:rsidR="00660C25" w:rsidRPr="00371311" w:rsidP="00B20FDA" w14:paraId="26D56A18" w14:textId="77777777">
            <w:pPr>
              <w:jc w:val="center"/>
              <w:textAlignment w:val="baseline"/>
              <w:rPr>
                <w:rFonts w:eastAsia="Times New Roman" w:asciiTheme="minorHAnsi" w:hAnsiTheme="minorHAnsi" w:cstheme="minorHAnsi"/>
                <w:szCs w:val="24"/>
              </w:rPr>
            </w:pPr>
            <w:r w:rsidRPr="00371311">
              <w:rPr>
                <w:rFonts w:eastAsia="Times New Roman" w:asciiTheme="minorHAnsi" w:hAnsiTheme="minorHAnsi" w:cstheme="minorHAnsi"/>
                <w:szCs w:val="24"/>
              </w:rPr>
              <w:t> </w:t>
            </w:r>
          </w:p>
        </w:tc>
        <w:tc>
          <w:tcPr>
            <w:tcW w:w="2259" w:type="dxa"/>
            <w:tcBorders>
              <w:top w:val="single" w:sz="6" w:space="0" w:color="auto"/>
              <w:left w:val="single" w:sz="6" w:space="0" w:color="FFFFFF" w:themeColor="background1"/>
              <w:bottom w:val="single" w:sz="6" w:space="0" w:color="auto"/>
              <w:right w:val="single" w:sz="4" w:space="0" w:color="auto"/>
            </w:tcBorders>
            <w:vAlign w:val="center"/>
            <w:hideMark/>
          </w:tcPr>
          <w:p w:rsidR="00660C25" w:rsidRPr="00371311" w:rsidP="37B89732" w14:paraId="6453E007" w14:textId="446C67F7">
            <w:pPr>
              <w:jc w:val="center"/>
              <w:textAlignment w:val="baseline"/>
              <w:rPr>
                <w:rFonts w:eastAsia="Times New Roman" w:asciiTheme="minorHAnsi" w:hAnsiTheme="minorHAnsi"/>
              </w:rPr>
            </w:pPr>
            <w:r w:rsidRPr="37B89732">
              <w:rPr>
                <w:rFonts w:eastAsia="Times New Roman" w:asciiTheme="minorHAnsi" w:hAnsiTheme="minorHAnsi"/>
                <w:b/>
                <w:bCs/>
              </w:rPr>
              <w:t>6</w:t>
            </w:r>
            <w:r w:rsidRPr="37B89732" w:rsidR="55E308F9">
              <w:rPr>
                <w:rFonts w:eastAsia="Times New Roman" w:asciiTheme="minorHAnsi" w:hAnsiTheme="minorHAnsi"/>
                <w:b/>
                <w:bCs/>
              </w:rPr>
              <w:t>22.8</w:t>
            </w:r>
            <w:r w:rsidRPr="37B89732" w:rsidR="006016D3">
              <w:rPr>
                <w:rFonts w:eastAsia="Times New Roman" w:asciiTheme="minorHAnsi" w:hAnsiTheme="minorHAnsi"/>
                <w:b/>
                <w:bCs/>
              </w:rPr>
              <w:t xml:space="preserve"> hours</w:t>
            </w:r>
            <w:r w:rsidRPr="37B89732" w:rsidR="006016D3">
              <w:rPr>
                <w:rFonts w:eastAsia="Times New Roman" w:asciiTheme="minorHAnsi" w:hAnsiTheme="minorHAnsi"/>
              </w:rPr>
              <w:t> </w:t>
            </w:r>
          </w:p>
        </w:tc>
        <w:tc>
          <w:tcPr>
            <w:tcW w:w="2287" w:type="dxa"/>
            <w:tcBorders>
              <w:top w:val="single" w:sz="4" w:space="0" w:color="auto"/>
              <w:left w:val="single" w:sz="4" w:space="0" w:color="auto"/>
              <w:bottom w:val="single" w:sz="4" w:space="0" w:color="auto"/>
              <w:right w:val="single" w:sz="4" w:space="0" w:color="auto"/>
            </w:tcBorders>
            <w:vAlign w:val="center"/>
            <w:hideMark/>
          </w:tcPr>
          <w:p w:rsidR="37B89732" w:rsidP="37B89732" w14:paraId="70FB68FC" w14:textId="3F9D8116">
            <w:pPr>
              <w:jc w:val="center"/>
              <w:rPr>
                <w:rFonts w:ascii="Calibri" w:eastAsia="Times New Roman" w:hAnsi="Calibri" w:cs="Calibri"/>
                <w:szCs w:val="24"/>
              </w:rPr>
            </w:pPr>
            <w:r w:rsidRPr="37B89732">
              <w:rPr>
                <w:rFonts w:ascii="Calibri" w:eastAsia="Times New Roman" w:hAnsi="Calibri" w:cs="Calibri"/>
                <w:szCs w:val="24"/>
              </w:rPr>
              <w:t>$53,050.10</w:t>
            </w:r>
          </w:p>
        </w:tc>
      </w:tr>
    </w:tbl>
    <w:p w:rsidR="00EB69DF" w:rsidRPr="00EB69DF" w:rsidP="00B20FDA" w14:paraId="1B8FA3DB" w14:textId="4152D068">
      <w:pPr>
        <w:keepNext/>
        <w:rPr>
          <w:rFonts w:asciiTheme="minorHAnsi" w:hAnsiTheme="minorHAnsi" w:cstheme="minorHAnsi"/>
          <w:sz w:val="16"/>
          <w:szCs w:val="16"/>
        </w:rPr>
      </w:pPr>
      <w:r w:rsidRPr="00EB69DF">
        <w:rPr>
          <w:rFonts w:asciiTheme="minorHAnsi" w:hAnsiTheme="minorHAnsi" w:cstheme="minorHAnsi"/>
          <w:sz w:val="16"/>
          <w:szCs w:val="16"/>
        </w:rPr>
        <w:t>Note: Values may not sum due to rounding. Total industry burden and cost are calculated using unrounded numbers and then rounded to the nearest hour and dollar, respectively. Activities without burden (compliance determination and generic name) are not listed in the table.</w:t>
      </w:r>
    </w:p>
    <w:p w:rsidR="00FF701C" w:rsidRPr="00A746A3" w:rsidP="00EB69DF" w14:paraId="56EF9C7A" w14:textId="77777777">
      <w:pPr>
        <w:keepNext/>
        <w:spacing w:after="0"/>
        <w:rPr>
          <w:rFonts w:asciiTheme="minorHAnsi" w:hAnsiTheme="minorHAnsi" w:cstheme="minorHAnsi"/>
          <w:sz w:val="20"/>
          <w:szCs w:val="20"/>
        </w:rPr>
      </w:pPr>
    </w:p>
    <w:p w:rsidR="00245CCC" w:rsidP="00B20FDA" w14:paraId="36324968" w14:textId="0103100B">
      <w:pPr>
        <w:pStyle w:val="Heading2"/>
        <w:numPr>
          <w:ilvl w:val="0"/>
          <w:numId w:val="0"/>
        </w:numPr>
        <w:spacing w:line="276" w:lineRule="auto"/>
        <w:rPr>
          <w:rFonts w:asciiTheme="minorHAnsi" w:hAnsiTheme="minorHAnsi" w:cstheme="minorHAnsi"/>
          <w:szCs w:val="24"/>
        </w:rPr>
      </w:pPr>
      <w:r w:rsidRPr="00371311">
        <w:rPr>
          <w:rFonts w:asciiTheme="minorHAnsi" w:hAnsiTheme="minorHAnsi" w:cstheme="minorHAnsi"/>
          <w:szCs w:val="24"/>
        </w:rPr>
        <w:t xml:space="preserve">13. </w:t>
      </w:r>
      <w:r w:rsidRPr="00371311">
        <w:rPr>
          <w:rFonts w:asciiTheme="minorHAnsi" w:hAnsiTheme="minorHAnsi" w:cstheme="minorHAnsi"/>
          <w:szCs w:val="24"/>
        </w:rPr>
        <w:t xml:space="preserve">Respondent Capital and O&amp;M Costs: </w:t>
      </w:r>
    </w:p>
    <w:p w:rsidR="00B377E9" w:rsidRPr="009343BA" w:rsidP="00B20FDA" w14:paraId="5C94D4FB" w14:textId="77777777">
      <w:pPr>
        <w:rPr>
          <w:rFonts w:ascii="Calibri" w:hAnsi="Calibri" w:cs="Calibri"/>
          <w:i/>
          <w:iCs/>
        </w:rPr>
      </w:pPr>
      <w:r w:rsidRPr="009343BA">
        <w:rPr>
          <w:rFonts w:ascii="Calibri" w:hAnsi="Calibri" w:cs="Calibri"/>
          <w:i/>
          <w:iCs/>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D30F07" w:rsidP="00D30F07" w14:paraId="33571B69" w14:textId="77777777">
      <w:pPr>
        <w:rPr>
          <w:rFonts w:ascii="Calibri" w:hAnsi="Calibri" w:cs="Calibri"/>
          <w:i/>
          <w:iCs/>
        </w:rPr>
      </w:pPr>
      <w:r w:rsidRPr="009343BA">
        <w:rPr>
          <w:rFonts w:ascii="Calibri" w:hAnsi="Calibri" w:cs="Calibri"/>
          <w:i/>
          <w:iCs/>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377E9" w:rsidRPr="00D30F07" w:rsidP="0084690D" w14:paraId="7E176BD9" w14:textId="350F9F18">
      <w:pPr>
        <w:pBdr>
          <w:bottom w:val="single" w:sz="4" w:space="1" w:color="auto"/>
        </w:pBdr>
        <w:rPr>
          <w:rFonts w:ascii="Calibri" w:hAnsi="Calibri" w:cs="Calibri"/>
          <w:i/>
          <w:iCs/>
        </w:rPr>
      </w:pPr>
      <w:r w:rsidRPr="00D30F07">
        <w:rPr>
          <w:rFonts w:ascii="Calibri" w:hAnsi="Calibri" w:cs="Calibr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9C0580" w:rsidP="00D30F07" w14:paraId="2DD2E5ED" w14:textId="65A3B650">
      <w:pPr>
        <w:rPr>
          <w:rFonts w:asciiTheme="minorHAnsi" w:hAnsiTheme="minorHAnsi" w:cstheme="minorHAnsi"/>
          <w:szCs w:val="24"/>
        </w:rPr>
      </w:pPr>
      <w:r w:rsidRPr="00371311">
        <w:rPr>
          <w:rFonts w:asciiTheme="minorHAnsi" w:hAnsiTheme="minorHAnsi" w:cstheme="minorHAnsi"/>
          <w:szCs w:val="24"/>
        </w:rPr>
        <w:t xml:space="preserve">There are no operation and </w:t>
      </w:r>
      <w:r w:rsidRPr="00371311" w:rsidR="00BC00F6">
        <w:rPr>
          <w:rFonts w:asciiTheme="minorHAnsi" w:hAnsiTheme="minorHAnsi" w:cstheme="minorHAnsi"/>
          <w:szCs w:val="24"/>
        </w:rPr>
        <w:t>maintenance</w:t>
      </w:r>
      <w:r w:rsidRPr="00371311">
        <w:rPr>
          <w:rFonts w:asciiTheme="minorHAnsi" w:hAnsiTheme="minorHAnsi" w:cstheme="minorHAnsi"/>
          <w:szCs w:val="24"/>
        </w:rPr>
        <w:t xml:space="preserve"> costs associated with this collection.</w:t>
      </w:r>
    </w:p>
    <w:p w:rsidR="00EB69DF" w:rsidRPr="00371311" w:rsidP="00EB69DF" w14:paraId="1BC3A6D8" w14:textId="77777777">
      <w:pPr>
        <w:spacing w:after="0"/>
        <w:rPr>
          <w:rFonts w:asciiTheme="minorHAnsi" w:hAnsiTheme="minorHAnsi" w:cstheme="minorHAnsi"/>
          <w:szCs w:val="24"/>
        </w:rPr>
      </w:pPr>
    </w:p>
    <w:bookmarkEnd w:id="11"/>
    <w:p w:rsidR="00245CCC" w:rsidP="00B20FDA" w14:paraId="2807BBE8" w14:textId="0FCFAB5D">
      <w:pPr>
        <w:pStyle w:val="Heading2"/>
        <w:numPr>
          <w:ilvl w:val="0"/>
          <w:numId w:val="0"/>
        </w:numPr>
        <w:spacing w:line="276" w:lineRule="auto"/>
        <w:ind w:left="90" w:hanging="90"/>
        <w:rPr>
          <w:rFonts w:asciiTheme="minorHAnsi" w:hAnsiTheme="minorHAnsi" w:cstheme="minorHAnsi"/>
          <w:szCs w:val="24"/>
        </w:rPr>
      </w:pPr>
      <w:r w:rsidRPr="00371311">
        <w:rPr>
          <w:rFonts w:asciiTheme="minorHAnsi" w:hAnsiTheme="minorHAnsi" w:cstheme="minorHAnsi"/>
          <w:szCs w:val="24"/>
        </w:rPr>
        <w:t>14.</w:t>
      </w:r>
      <w:r w:rsidRPr="00371311">
        <w:rPr>
          <w:rFonts w:asciiTheme="minorHAnsi" w:hAnsiTheme="minorHAnsi" w:cstheme="minorHAnsi"/>
          <w:szCs w:val="24"/>
        </w:rPr>
        <w:t xml:space="preserve"> Agency Costs: </w:t>
      </w:r>
    </w:p>
    <w:p w:rsidR="00B377E9" w:rsidRPr="00D30F07" w:rsidP="0084690D" w14:paraId="2FFB8EA1" w14:textId="1644AFAF">
      <w:pPr>
        <w:pStyle w:val="Heading2"/>
        <w:numPr>
          <w:ilvl w:val="0"/>
          <w:numId w:val="0"/>
        </w:numPr>
        <w:pBdr>
          <w:bottom w:val="single" w:sz="4" w:space="1" w:color="auto"/>
        </w:pBdr>
        <w:ind w:left="90"/>
        <w:rPr>
          <w:rFonts w:asciiTheme="minorHAnsi" w:hAnsiTheme="minorHAnsi" w:cstheme="minorHAnsi"/>
          <w:b w:val="0"/>
          <w:bCs w:val="0"/>
          <w:i/>
          <w:iCs/>
        </w:rPr>
      </w:pPr>
      <w:r w:rsidRPr="00D30F07">
        <w:rPr>
          <w:rFonts w:asciiTheme="minorHAnsi" w:hAnsiTheme="minorHAnsi" w:cstheme="minorHAnsi"/>
          <w:b w:val="0"/>
          <w:bCs w:val="0"/>
          <w:i/>
          <w:iCs/>
        </w:rPr>
        <w:t>P</w:t>
      </w:r>
      <w:r w:rsidRPr="00D30F07" w:rsidR="00D30F07">
        <w:rPr>
          <w:rFonts w:asciiTheme="minorHAnsi" w:hAnsiTheme="minorHAnsi" w:cstheme="minorHAnsi"/>
          <w:b w:val="0"/>
          <w:bCs w:val="0"/>
          <w:i/>
          <w:iCs/>
        </w:rPr>
        <w:t>r</w:t>
      </w:r>
      <w:r w:rsidRPr="00D30F07">
        <w:rPr>
          <w:rFonts w:asciiTheme="minorHAnsi" w:hAnsiTheme="minorHAnsi" w:cstheme="minorHAnsi"/>
          <w:b w:val="0"/>
          <w:bCs w:val="0"/>
          <w:i/>
          <w:iCs/>
        </w:rPr>
        <w:t xml:space="preserve">ovide </w:t>
      </w:r>
      <w:bookmarkStart w:id="12" w:name="_Hlk82508788"/>
      <w:r w:rsidRPr="00D30F07">
        <w:rPr>
          <w:rFonts w:asciiTheme="minorHAnsi" w:hAnsiTheme="minorHAnsi" w:cstheme="minorHAnsi"/>
          <w:b w:val="0"/>
          <w:bCs w:val="0"/>
          <w:i/>
          <w:iCs/>
        </w:rPr>
        <w:t>estimates of annualized cost to the Federal government.</w:t>
      </w:r>
      <w:bookmarkEnd w:id="12"/>
      <w:r w:rsidRPr="00D30F07">
        <w:rPr>
          <w:rFonts w:asciiTheme="minorHAnsi" w:hAnsiTheme="minorHAnsi" w:cstheme="minorHAnsi"/>
          <w:b w:val="0"/>
          <w:bCs w:val="0"/>
          <w:i/>
          <w:iCs/>
        </w:rPr>
        <w:t xml:space="preserve">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245CCC" w:rsidRPr="00371311" w:rsidP="00D30F07" w14:paraId="1E3DA585" w14:textId="7EB810AF">
      <w:pPr>
        <w:rPr>
          <w:rFonts w:asciiTheme="minorHAnsi" w:hAnsiTheme="minorHAnsi" w:cstheme="minorHAnsi"/>
          <w:b/>
          <w:szCs w:val="24"/>
        </w:rPr>
      </w:pPr>
      <w:r w:rsidRPr="00371311">
        <w:rPr>
          <w:rFonts w:asciiTheme="minorHAnsi" w:hAnsiTheme="minorHAnsi" w:cstheme="minorHAnsi"/>
          <w:b/>
          <w:szCs w:val="24"/>
        </w:rPr>
        <w:t xml:space="preserve">14a. </w:t>
      </w:r>
      <w:r w:rsidR="00740161">
        <w:rPr>
          <w:rFonts w:asciiTheme="minorHAnsi" w:hAnsiTheme="minorHAnsi" w:cstheme="minorHAnsi"/>
          <w:b/>
          <w:szCs w:val="24"/>
        </w:rPr>
        <w:t xml:space="preserve">Agency activities and frequency </w:t>
      </w:r>
    </w:p>
    <w:p w:rsidR="00A746A3" w:rsidRPr="008E5BFA" w:rsidP="00A746A3" w14:paraId="2BB02311" w14:textId="77777777">
      <w:pPr>
        <w:spacing w:after="0"/>
        <w:rPr>
          <w:rFonts w:ascii="Calibri" w:hAnsi="Calibri" w:cs="Calibri"/>
        </w:rPr>
      </w:pPr>
      <w:r w:rsidRPr="008E5BFA">
        <w:rPr>
          <w:rFonts w:ascii="Calibri" w:hAnsi="Calibri" w:cs="Calibri"/>
        </w:rPr>
        <w:t xml:space="preserve">The following describe the Agency’s activities once the submission is received via CDX: </w:t>
      </w:r>
    </w:p>
    <w:p w:rsidR="00A746A3" w:rsidRPr="008E5BFA" w:rsidP="00A746A3" w14:paraId="2868681E" w14:textId="110E80D6">
      <w:pPr>
        <w:spacing w:after="0"/>
        <w:rPr>
          <w:rFonts w:ascii="Calibri" w:hAnsi="Calibri" w:cs="Calibri"/>
        </w:rPr>
      </w:pPr>
      <w:r>
        <w:rPr>
          <w:rFonts w:ascii="Calibri" w:hAnsi="Calibri" w:cs="Calibri"/>
        </w:rPr>
        <w:tab/>
        <w:t xml:space="preserve">1) </w:t>
      </w:r>
      <w:r w:rsidRPr="008E5BFA">
        <w:rPr>
          <w:rFonts w:ascii="Calibri" w:hAnsi="Calibri" w:cs="Calibri"/>
        </w:rPr>
        <w:t>EPA will review all timely requests for extension of claims under Section 14(e) of TSCA within 30 days of receipt.</w:t>
      </w:r>
    </w:p>
    <w:p w:rsidR="00A746A3" w:rsidRPr="008E5BFA" w:rsidP="00A746A3" w14:paraId="486F00F8" w14:textId="59213FF3">
      <w:pPr>
        <w:spacing w:after="0"/>
        <w:rPr>
          <w:rFonts w:ascii="Calibri" w:hAnsi="Calibri" w:cs="Calibri"/>
        </w:rPr>
      </w:pPr>
      <w:r>
        <w:rPr>
          <w:rFonts w:ascii="Calibri" w:hAnsi="Calibri" w:cs="Calibri"/>
        </w:rPr>
        <w:tab/>
        <w:t xml:space="preserve">2) </w:t>
      </w:r>
      <w:r w:rsidRPr="008E5BFA">
        <w:rPr>
          <w:rFonts w:ascii="Calibri" w:hAnsi="Calibri" w:cs="Calibri"/>
        </w:rPr>
        <w:t xml:space="preserve">EPA will also review or re-review confidentiality claims under certain other circumstances, as set out in TSCA section 14(f).  </w:t>
      </w:r>
    </w:p>
    <w:p w:rsidR="00A746A3" w:rsidP="00A746A3" w14:paraId="3790717E" w14:textId="77777777">
      <w:pPr>
        <w:spacing w:after="0"/>
        <w:rPr>
          <w:rFonts w:ascii="Calibri" w:hAnsi="Calibri" w:cs="Calibri"/>
        </w:rPr>
      </w:pPr>
    </w:p>
    <w:p w:rsidR="00A746A3" w:rsidRPr="008E5BFA" w:rsidP="00A746A3" w14:paraId="6584FB2A" w14:textId="74713F25">
      <w:pPr>
        <w:spacing w:after="0"/>
        <w:rPr>
          <w:rFonts w:ascii="Calibri" w:hAnsi="Calibri" w:cs="Calibri"/>
        </w:rPr>
      </w:pPr>
      <w:r w:rsidRPr="008E5BFA">
        <w:rPr>
          <w:rFonts w:ascii="Calibri" w:hAnsi="Calibri" w:cs="Calibri"/>
        </w:rPr>
        <w:t>In the case that EPA determines that a claim or part of a claim is not entitled to confidential</w:t>
      </w:r>
    </w:p>
    <w:p w:rsidR="00A746A3" w:rsidRPr="008E5BFA" w:rsidP="00A746A3" w14:paraId="39A468A1" w14:textId="77777777">
      <w:pPr>
        <w:spacing w:after="0"/>
        <w:rPr>
          <w:rFonts w:ascii="Calibri" w:hAnsi="Calibri" w:cs="Calibri"/>
        </w:rPr>
      </w:pPr>
      <w:r w:rsidRPr="008E5BFA">
        <w:rPr>
          <w:rFonts w:ascii="Calibri" w:hAnsi="Calibri" w:cs="Calibri"/>
        </w:rPr>
        <w:t>treatment (or continued confidential treatment), EPA will provide written notice of the</w:t>
      </w:r>
    </w:p>
    <w:p w:rsidR="00A746A3" w:rsidRPr="008E5BFA" w:rsidP="00A746A3" w14:paraId="734EB151" w14:textId="77777777">
      <w:pPr>
        <w:spacing w:after="0"/>
        <w:rPr>
          <w:rFonts w:ascii="Calibri" w:hAnsi="Calibri" w:cs="Calibri"/>
        </w:rPr>
      </w:pPr>
      <w:r w:rsidRPr="008E5BFA">
        <w:rPr>
          <w:rFonts w:ascii="Calibri" w:hAnsi="Calibri" w:cs="Calibri"/>
        </w:rPr>
        <w:t>denial to the person who made the claim and provide reasons for the denial or denial in</w:t>
      </w:r>
    </w:p>
    <w:p w:rsidR="00A746A3" w:rsidRPr="008E5BFA" w:rsidP="00A746A3" w14:paraId="2CF55F8C" w14:textId="77777777">
      <w:pPr>
        <w:spacing w:after="0"/>
        <w:rPr>
          <w:rFonts w:ascii="Calibri" w:hAnsi="Calibri" w:cs="Calibri"/>
        </w:rPr>
      </w:pPr>
      <w:r w:rsidRPr="008E5BFA">
        <w:rPr>
          <w:rFonts w:ascii="Calibri" w:hAnsi="Calibri" w:cs="Calibri"/>
        </w:rPr>
        <w:t>part. The notice will be provided electronically, as described in 40 CFR 703.5(e); the 30</w:t>
      </w:r>
    </w:p>
    <w:p w:rsidR="00A746A3" w:rsidRPr="008E5BFA" w:rsidP="00A746A3" w14:paraId="5C5F3FB8" w14:textId="77777777">
      <w:pPr>
        <w:spacing w:after="0"/>
        <w:rPr>
          <w:rFonts w:ascii="Calibri" w:hAnsi="Calibri" w:cs="Calibri"/>
        </w:rPr>
      </w:pPr>
      <w:r w:rsidRPr="008E5BFA">
        <w:rPr>
          <w:rFonts w:ascii="Calibri" w:hAnsi="Calibri" w:cs="Calibri"/>
        </w:rPr>
        <w:t>day notice period described in TSCA section 14(g)(2)(B) begins on the next business</w:t>
      </w:r>
    </w:p>
    <w:p w:rsidR="00A746A3" w:rsidRPr="008E5BFA" w:rsidP="00A746A3" w14:paraId="4D1C6915" w14:textId="77777777">
      <w:pPr>
        <w:spacing w:after="0"/>
        <w:rPr>
          <w:rFonts w:ascii="Calibri" w:hAnsi="Calibri" w:cs="Calibri"/>
        </w:rPr>
      </w:pPr>
      <w:r w:rsidRPr="008E5BFA">
        <w:rPr>
          <w:rFonts w:ascii="Calibri" w:hAnsi="Calibri" w:cs="Calibri"/>
        </w:rPr>
        <w:t>day following the date the notice is transmitted to the submitter via CDX.  Final</w:t>
      </w:r>
    </w:p>
    <w:p w:rsidR="00A746A3" w:rsidRPr="008E5BFA" w:rsidP="00A746A3" w14:paraId="55F83267" w14:textId="77777777">
      <w:pPr>
        <w:spacing w:after="0"/>
        <w:rPr>
          <w:rFonts w:ascii="Calibri" w:hAnsi="Calibri" w:cs="Calibri"/>
        </w:rPr>
      </w:pPr>
      <w:r w:rsidRPr="008E5BFA">
        <w:rPr>
          <w:rFonts w:ascii="Calibri" w:hAnsi="Calibri" w:cs="Calibri"/>
        </w:rPr>
        <w:t>confidentiality determinations will be published on EPA’s website periodically, in</w:t>
      </w:r>
    </w:p>
    <w:p w:rsidR="00A746A3" w:rsidRPr="008E5BFA" w:rsidP="00A746A3" w14:paraId="2DB28936" w14:textId="77777777">
      <w:pPr>
        <w:spacing w:after="0"/>
        <w:rPr>
          <w:rFonts w:ascii="Calibri" w:hAnsi="Calibri" w:cs="Calibri"/>
        </w:rPr>
      </w:pPr>
      <w:r w:rsidRPr="008E5BFA">
        <w:rPr>
          <w:rFonts w:ascii="Calibri" w:hAnsi="Calibri" w:cs="Calibri"/>
        </w:rPr>
        <w:t>accordance with the requirements of TSCA section 26(j).</w:t>
      </w:r>
    </w:p>
    <w:p w:rsidR="00A746A3" w:rsidRPr="008E5BFA" w:rsidP="00A746A3" w14:paraId="3546B6C2" w14:textId="77777777">
      <w:pPr>
        <w:spacing w:after="0"/>
        <w:rPr>
          <w:rFonts w:ascii="Calibri" w:hAnsi="Calibri" w:cs="Calibri"/>
        </w:rPr>
      </w:pPr>
    </w:p>
    <w:p w:rsidR="00A746A3" w:rsidRPr="008E5BFA" w:rsidP="00A746A3" w14:paraId="74DDF7A8" w14:textId="77777777">
      <w:pPr>
        <w:spacing w:after="0"/>
        <w:rPr>
          <w:rFonts w:ascii="Calibri" w:hAnsi="Calibri" w:cs="Calibri"/>
        </w:rPr>
      </w:pPr>
      <w:r w:rsidRPr="008E5BFA">
        <w:rPr>
          <w:rFonts w:ascii="Calibri" w:hAnsi="Calibri" w:cs="Calibri"/>
        </w:rPr>
        <w:t>When it is necessary for EPA to contact a TSCA submitter concerning confidentiality</w:t>
      </w:r>
    </w:p>
    <w:p w:rsidR="00A746A3" w:rsidRPr="008E5BFA" w:rsidP="00A746A3" w14:paraId="0272D74E" w14:textId="77777777">
      <w:pPr>
        <w:spacing w:after="0"/>
        <w:rPr>
          <w:rFonts w:ascii="Calibri" w:hAnsi="Calibri" w:cs="Calibri"/>
        </w:rPr>
      </w:pPr>
      <w:r w:rsidRPr="008E5BFA">
        <w:rPr>
          <w:rFonts w:ascii="Calibri" w:hAnsi="Calibri" w:cs="Calibri"/>
        </w:rPr>
        <w:t>claims (e.g., related to a pending or concluded confidentiality claim review, a deficient or</w:t>
      </w:r>
    </w:p>
    <w:p w:rsidR="00A746A3" w:rsidRPr="008E5BFA" w:rsidP="00A746A3" w14:paraId="0ABA74C6" w14:textId="77777777">
      <w:pPr>
        <w:spacing w:after="0"/>
        <w:rPr>
          <w:rFonts w:ascii="Calibri" w:hAnsi="Calibri" w:cs="Calibri"/>
        </w:rPr>
      </w:pPr>
      <w:r w:rsidRPr="008E5BFA">
        <w:rPr>
          <w:rFonts w:ascii="Calibri" w:hAnsi="Calibri" w:cs="Calibri"/>
        </w:rPr>
        <w:t>incomplete submission, or in relation to the 10-year expiration of a confidentiality claim</w:t>
      </w:r>
    </w:p>
    <w:p w:rsidR="00A746A3" w:rsidRPr="008E5BFA" w:rsidP="00A746A3" w14:paraId="2E1E9491" w14:textId="77777777">
      <w:pPr>
        <w:spacing w:after="0"/>
        <w:rPr>
          <w:rFonts w:ascii="Calibri" w:hAnsi="Calibri" w:cs="Calibri"/>
        </w:rPr>
      </w:pPr>
      <w:r w:rsidRPr="008E5BFA">
        <w:rPr>
          <w:rFonts w:ascii="Calibri" w:hAnsi="Calibri" w:cs="Calibri"/>
        </w:rPr>
        <w:t>(described in TSCA section 14(e))), EPA will provide notices and other correspondence</w:t>
      </w:r>
    </w:p>
    <w:p w:rsidR="00A746A3" w:rsidRPr="008E5BFA" w:rsidP="00A746A3" w14:paraId="663657D4" w14:textId="77777777">
      <w:pPr>
        <w:spacing w:after="0"/>
        <w:rPr>
          <w:rFonts w:ascii="Calibri" w:hAnsi="Calibri" w:cs="Calibri"/>
        </w:rPr>
      </w:pPr>
      <w:r w:rsidRPr="008E5BFA">
        <w:rPr>
          <w:rFonts w:ascii="Calibri" w:hAnsi="Calibri" w:cs="Calibri"/>
        </w:rPr>
        <w:t>to the submitter via CDX, using the contact information provided in the most recent</w:t>
      </w:r>
    </w:p>
    <w:p w:rsidR="00A746A3" w:rsidRPr="008E5BFA" w:rsidP="00A746A3" w14:paraId="4DD456D0" w14:textId="77777777">
      <w:pPr>
        <w:spacing w:after="0"/>
        <w:rPr>
          <w:rFonts w:ascii="Calibri" w:hAnsi="Calibri" w:cs="Calibri"/>
        </w:rPr>
      </w:pPr>
      <w:r w:rsidRPr="008E5BFA">
        <w:rPr>
          <w:rFonts w:ascii="Calibri" w:hAnsi="Calibri" w:cs="Calibri"/>
        </w:rPr>
        <w:t>version of the submission, or using the contact information provided in a more recent</w:t>
      </w:r>
    </w:p>
    <w:p w:rsidR="00A746A3" w:rsidRPr="008E5BFA" w:rsidP="00A746A3" w14:paraId="66135635" w14:textId="77777777">
      <w:pPr>
        <w:spacing w:after="0"/>
        <w:rPr>
          <w:rFonts w:ascii="Calibri" w:hAnsi="Calibri" w:cs="Calibri"/>
        </w:rPr>
      </w:pPr>
      <w:r w:rsidRPr="008E5BFA">
        <w:rPr>
          <w:rFonts w:ascii="Calibri" w:hAnsi="Calibri" w:cs="Calibri"/>
        </w:rPr>
        <w:t>notice of transfer of ownership relating to that submission.  The fact and date of</w:t>
      </w:r>
    </w:p>
    <w:p w:rsidR="00A746A3" w:rsidRPr="008E5BFA" w:rsidP="00A746A3" w14:paraId="0EDF17A2" w14:textId="77777777">
      <w:pPr>
        <w:spacing w:after="0"/>
        <w:rPr>
          <w:rFonts w:ascii="Calibri" w:hAnsi="Calibri" w:cs="Calibri"/>
        </w:rPr>
      </w:pPr>
      <w:r w:rsidRPr="008E5BFA">
        <w:rPr>
          <w:rFonts w:ascii="Calibri" w:hAnsi="Calibri" w:cs="Calibri"/>
        </w:rPr>
        <w:t>delivery of such notice is verified automatically by CDX.  Alternatively, if this initial CDX</w:t>
      </w:r>
    </w:p>
    <w:p w:rsidR="00A746A3" w:rsidRPr="008E5BFA" w:rsidP="00A746A3" w14:paraId="1F9A564E" w14:textId="77777777">
      <w:pPr>
        <w:spacing w:after="0"/>
        <w:rPr>
          <w:rFonts w:ascii="Calibri" w:hAnsi="Calibri" w:cs="Calibri"/>
        </w:rPr>
      </w:pPr>
      <w:r w:rsidRPr="008E5BFA">
        <w:rPr>
          <w:rFonts w:ascii="Calibri" w:hAnsi="Calibri" w:cs="Calibri"/>
        </w:rPr>
        <w:t>notice is not deliverable, EPA will send the notice or other communication via CDX to the</w:t>
      </w:r>
    </w:p>
    <w:p w:rsidR="00A746A3" w:rsidRPr="008E5BFA" w:rsidP="00A746A3" w14:paraId="7EEDA781" w14:textId="77777777">
      <w:pPr>
        <w:spacing w:after="0"/>
        <w:rPr>
          <w:rFonts w:ascii="Calibri" w:hAnsi="Calibri" w:cs="Calibri"/>
        </w:rPr>
      </w:pPr>
      <w:r w:rsidRPr="008E5BFA">
        <w:rPr>
          <w:rFonts w:ascii="Calibri" w:hAnsi="Calibri" w:cs="Calibri"/>
        </w:rPr>
        <w:t>company contact provided in the most recent TSCA submission made by that company. </w:t>
      </w:r>
    </w:p>
    <w:p w:rsidR="00A746A3" w:rsidRPr="008E5BFA" w:rsidP="00A746A3" w14:paraId="7E3FF067" w14:textId="77777777">
      <w:pPr>
        <w:spacing w:after="0"/>
        <w:rPr>
          <w:rFonts w:ascii="Calibri" w:hAnsi="Calibri" w:cs="Calibri"/>
        </w:rPr>
      </w:pPr>
      <w:r w:rsidRPr="008E5BFA">
        <w:rPr>
          <w:rFonts w:ascii="Calibri" w:hAnsi="Calibri" w:cs="Calibri"/>
        </w:rPr>
        <w:t>In addition to individual notice provided via CDX communication, EPA will periodically</w:t>
      </w:r>
    </w:p>
    <w:p w:rsidR="00A746A3" w:rsidRPr="008E5BFA" w:rsidP="00A746A3" w14:paraId="75F69906" w14:textId="77777777">
      <w:pPr>
        <w:spacing w:after="0"/>
        <w:rPr>
          <w:rFonts w:ascii="Calibri" w:hAnsi="Calibri" w:cs="Calibri"/>
        </w:rPr>
      </w:pPr>
      <w:r w:rsidRPr="008E5BFA">
        <w:rPr>
          <w:rFonts w:ascii="Calibri" w:hAnsi="Calibri" w:cs="Calibri"/>
        </w:rPr>
        <w:t>publish on its website a list of TSCA submissions with confidentiality claims that are</w:t>
      </w:r>
    </w:p>
    <w:p w:rsidR="00A746A3" w:rsidRPr="008E5BFA" w:rsidP="00A746A3" w14:paraId="105973E4" w14:textId="77777777">
      <w:pPr>
        <w:spacing w:after="0"/>
        <w:rPr>
          <w:rFonts w:ascii="Calibri" w:hAnsi="Calibri" w:cs="Calibri"/>
        </w:rPr>
      </w:pPr>
      <w:r w:rsidRPr="008E5BFA">
        <w:rPr>
          <w:rFonts w:ascii="Calibri" w:hAnsi="Calibri" w:cs="Calibri"/>
        </w:rPr>
        <w:t>approaching the end of the ten-year period of protection described in TSCA section</w:t>
      </w:r>
    </w:p>
    <w:p w:rsidR="00A746A3" w:rsidRPr="008E5BFA" w:rsidP="00A746A3" w14:paraId="52BFBD48" w14:textId="77777777">
      <w:pPr>
        <w:spacing w:after="0"/>
        <w:rPr>
          <w:rFonts w:ascii="Calibri" w:hAnsi="Calibri" w:cs="Calibri"/>
        </w:rPr>
      </w:pPr>
      <w:r w:rsidRPr="008E5BFA">
        <w:rPr>
          <w:rFonts w:ascii="Calibri" w:hAnsi="Calibri" w:cs="Calibri"/>
        </w:rPr>
        <w:t>14(e).  Such TSCA submissions will be referred to by the TSCA case or document</w:t>
      </w:r>
    </w:p>
    <w:p w:rsidR="00A746A3" w:rsidRPr="008E5BFA" w:rsidP="00A746A3" w14:paraId="20CD49A0" w14:textId="77777777">
      <w:pPr>
        <w:spacing w:after="0"/>
        <w:rPr>
          <w:rFonts w:ascii="Calibri" w:hAnsi="Calibri" w:cs="Calibri"/>
        </w:rPr>
      </w:pPr>
      <w:r w:rsidRPr="008E5BFA">
        <w:rPr>
          <w:rFonts w:ascii="Calibri" w:hAnsi="Calibri" w:cs="Calibri"/>
        </w:rPr>
        <w:t>identifier (as described in subparagraph (e)(4)) that was assigned to the submission by</w:t>
      </w:r>
    </w:p>
    <w:p w:rsidR="00A746A3" w:rsidRPr="008E5BFA" w:rsidP="00A746A3" w14:paraId="7E8E4A20" w14:textId="77777777">
      <w:pPr>
        <w:spacing w:after="0"/>
        <w:rPr>
          <w:rFonts w:ascii="Calibri" w:hAnsi="Calibri" w:cs="Calibri"/>
        </w:rPr>
      </w:pPr>
      <w:r w:rsidRPr="008E5BFA">
        <w:rPr>
          <w:rFonts w:ascii="Calibri" w:hAnsi="Calibri" w:cs="Calibri"/>
        </w:rPr>
        <w:t>EPA when it was originally submitted, or, in the case of confidential chemical identities,</w:t>
      </w:r>
    </w:p>
    <w:p w:rsidR="00A746A3" w:rsidRPr="008E5BFA" w:rsidP="00A746A3" w14:paraId="33BEA703" w14:textId="77777777">
      <w:pPr>
        <w:spacing w:after="0"/>
        <w:rPr>
          <w:rFonts w:ascii="Calibri" w:hAnsi="Calibri" w:cs="Calibri"/>
        </w:rPr>
      </w:pPr>
      <w:r w:rsidRPr="008E5BFA">
        <w:rPr>
          <w:rFonts w:ascii="Calibri" w:hAnsi="Calibri" w:cs="Calibri"/>
        </w:rPr>
        <w:t>the TSCA Inventory accession number for that substance.  This list will be published on</w:t>
      </w:r>
    </w:p>
    <w:p w:rsidR="00A746A3" w:rsidRPr="008E5BFA" w:rsidP="00A746A3" w14:paraId="3419DB75" w14:textId="77777777">
      <w:pPr>
        <w:spacing w:after="0"/>
        <w:rPr>
          <w:rFonts w:ascii="Calibri" w:hAnsi="Calibri" w:cs="Calibri"/>
        </w:rPr>
      </w:pPr>
      <w:r w:rsidRPr="008E5BFA">
        <w:rPr>
          <w:rFonts w:ascii="Calibri" w:hAnsi="Calibri" w:cs="Calibri"/>
        </w:rPr>
        <w:t>the EPA website at least 60 days prior to the end of the ten-year period of protection,</w:t>
      </w:r>
    </w:p>
    <w:p w:rsidR="00A746A3" w:rsidRPr="008E5BFA" w:rsidP="00A746A3" w14:paraId="5F04E846" w14:textId="77777777">
      <w:pPr>
        <w:spacing w:after="0"/>
        <w:rPr>
          <w:rFonts w:ascii="Calibri" w:hAnsi="Calibri" w:cs="Calibri"/>
        </w:rPr>
      </w:pPr>
      <w:r w:rsidRPr="008E5BFA">
        <w:rPr>
          <w:rFonts w:ascii="Calibri" w:hAnsi="Calibri" w:cs="Calibri"/>
        </w:rPr>
        <w:t>along with instructions for reasserting and substantiating expiring claims to request</w:t>
      </w:r>
    </w:p>
    <w:p w:rsidR="00A746A3" w:rsidRPr="008E5BFA" w:rsidP="00A746A3" w14:paraId="5A4FBE4A" w14:textId="77777777">
      <w:pPr>
        <w:spacing w:after="0"/>
        <w:rPr>
          <w:rFonts w:ascii="Calibri" w:hAnsi="Calibri" w:cs="Calibri"/>
        </w:rPr>
      </w:pPr>
      <w:r w:rsidRPr="008E5BFA">
        <w:rPr>
          <w:rFonts w:ascii="Calibri" w:hAnsi="Calibri" w:cs="Calibri"/>
        </w:rPr>
        <w:t>extension of CBI protections. </w:t>
      </w:r>
    </w:p>
    <w:p w:rsidR="00A746A3" w:rsidRPr="008E5BFA" w:rsidP="00A746A3" w14:paraId="4043F633" w14:textId="77777777">
      <w:pPr>
        <w:spacing w:after="0"/>
        <w:rPr>
          <w:rFonts w:ascii="Calibri" w:hAnsi="Calibri" w:cs="Calibri"/>
        </w:rPr>
      </w:pPr>
    </w:p>
    <w:p w:rsidR="00A746A3" w:rsidRPr="008E5BFA" w:rsidP="00A746A3" w14:paraId="0A48C9CA" w14:textId="7EA0FC3E">
      <w:pPr>
        <w:spacing w:after="0"/>
        <w:rPr>
          <w:rFonts w:ascii="Calibri" w:hAnsi="Calibri" w:cs="Calibri"/>
        </w:rPr>
      </w:pPr>
      <w:r w:rsidRPr="008E5BFA">
        <w:rPr>
          <w:rFonts w:ascii="Calibri" w:hAnsi="Calibri" w:cs="Calibri"/>
        </w:rPr>
        <w:t xml:space="preserve">When a confidentiality claim is </w:t>
      </w:r>
      <w:r w:rsidRPr="008E5BFA" w:rsidR="00C26406">
        <w:rPr>
          <w:rFonts w:ascii="Calibri" w:hAnsi="Calibri" w:cs="Calibri"/>
        </w:rPr>
        <w:t>reviewed</w:t>
      </w:r>
      <w:r w:rsidRPr="008E5BFA">
        <w:rPr>
          <w:rFonts w:ascii="Calibri" w:hAnsi="Calibri" w:cs="Calibri"/>
        </w:rPr>
        <w:t xml:space="preserve"> pursuant to TSCA section 14(f), EPA will</w:t>
      </w:r>
    </w:p>
    <w:p w:rsidR="00A746A3" w:rsidRPr="008E5BFA" w:rsidP="00A746A3" w14:paraId="2571F3E5" w14:textId="77777777">
      <w:pPr>
        <w:spacing w:after="0"/>
        <w:rPr>
          <w:rFonts w:ascii="Calibri" w:hAnsi="Calibri" w:cs="Calibri"/>
        </w:rPr>
      </w:pPr>
      <w:r w:rsidRPr="008E5BFA">
        <w:rPr>
          <w:rFonts w:ascii="Calibri" w:hAnsi="Calibri" w:cs="Calibri"/>
        </w:rPr>
        <w:t>provide, when necessary, notice of such review and an opportunity to substantiate or</w:t>
      </w:r>
    </w:p>
    <w:p w:rsidR="00A746A3" w:rsidRPr="008E5BFA" w:rsidP="00A746A3" w14:paraId="1FA663CC" w14:textId="7C6FBC9C">
      <w:pPr>
        <w:spacing w:after="0"/>
        <w:rPr>
          <w:rFonts w:ascii="Calibri" w:hAnsi="Calibri" w:cs="Calibri"/>
        </w:rPr>
      </w:pPr>
      <w:r w:rsidRPr="008E5BFA">
        <w:rPr>
          <w:rFonts w:ascii="Calibri" w:hAnsi="Calibri" w:cs="Calibri"/>
        </w:rPr>
        <w:t>re</w:t>
      </w:r>
      <w:r w:rsidR="00EB69DF">
        <w:rPr>
          <w:rFonts w:ascii="Calibri" w:hAnsi="Calibri" w:cs="Calibri"/>
        </w:rPr>
        <w:t>-</w:t>
      </w:r>
      <w:r w:rsidRPr="008E5BFA">
        <w:rPr>
          <w:rFonts w:ascii="Calibri" w:hAnsi="Calibri" w:cs="Calibri"/>
        </w:rPr>
        <w:t>substantiate the affected confidentiality claim to the submitter via CDX using the</w:t>
      </w:r>
    </w:p>
    <w:p w:rsidR="00A746A3" w:rsidRPr="008E5BFA" w:rsidP="00A746A3" w14:paraId="4D4F4726" w14:textId="77777777">
      <w:pPr>
        <w:spacing w:after="0"/>
        <w:rPr>
          <w:rFonts w:ascii="Calibri" w:hAnsi="Calibri" w:cs="Calibri"/>
        </w:rPr>
      </w:pPr>
      <w:r w:rsidRPr="008E5BFA">
        <w:rPr>
          <w:rFonts w:ascii="Calibri" w:hAnsi="Calibri" w:cs="Calibri"/>
        </w:rPr>
        <w:t>contact information for the authorized official and/or technical contact provided in the</w:t>
      </w:r>
    </w:p>
    <w:p w:rsidR="00A746A3" w:rsidRPr="008E5BFA" w:rsidP="00A746A3" w14:paraId="756965ED" w14:textId="77777777">
      <w:pPr>
        <w:spacing w:after="0"/>
        <w:rPr>
          <w:rFonts w:ascii="Calibri" w:hAnsi="Calibri" w:cs="Calibri"/>
        </w:rPr>
      </w:pPr>
      <w:r w:rsidRPr="008E5BFA">
        <w:rPr>
          <w:rFonts w:ascii="Calibri" w:hAnsi="Calibri" w:cs="Calibri"/>
        </w:rPr>
        <w:t>most recent version of the submission or in a more recent notice of transfer of ownership</w:t>
      </w:r>
    </w:p>
    <w:p w:rsidR="00A746A3" w:rsidRPr="008E5BFA" w:rsidP="00A746A3" w14:paraId="67782F3B" w14:textId="77777777">
      <w:pPr>
        <w:spacing w:after="0"/>
        <w:rPr>
          <w:rFonts w:ascii="Calibri" w:hAnsi="Calibri" w:cs="Calibri"/>
        </w:rPr>
      </w:pPr>
      <w:r w:rsidRPr="008E5BFA">
        <w:rPr>
          <w:rFonts w:ascii="Calibri" w:hAnsi="Calibri" w:cs="Calibri"/>
        </w:rPr>
        <w:t xml:space="preserve">relating to that submission. The fact and date of delivery of such a notice </w:t>
      </w:r>
      <w:r w:rsidRPr="008E5BFA">
        <w:rPr>
          <w:rFonts w:ascii="Calibri" w:hAnsi="Calibri" w:cs="Calibri"/>
        </w:rPr>
        <w:t>is</w:t>
      </w:r>
      <w:r w:rsidRPr="008E5BFA">
        <w:rPr>
          <w:rFonts w:ascii="Calibri" w:hAnsi="Calibri" w:cs="Calibri"/>
        </w:rPr>
        <w:t xml:space="preserve"> verified</w:t>
      </w:r>
    </w:p>
    <w:p w:rsidR="00A746A3" w:rsidRPr="008E5BFA" w:rsidP="00A746A3" w14:paraId="08B8C746" w14:textId="77777777">
      <w:pPr>
        <w:spacing w:after="0"/>
        <w:rPr>
          <w:rFonts w:ascii="Calibri" w:hAnsi="Calibri" w:cs="Calibri"/>
        </w:rPr>
      </w:pPr>
      <w:r w:rsidRPr="008E5BFA">
        <w:rPr>
          <w:rFonts w:ascii="Calibri" w:hAnsi="Calibri" w:cs="Calibri"/>
        </w:rPr>
        <w:t>automatically by CDX.  Alternatively, if this initial CDX notice is not deliverable, EPA will</w:t>
      </w:r>
    </w:p>
    <w:p w:rsidR="00A746A3" w:rsidRPr="008E5BFA" w:rsidP="00A746A3" w14:paraId="33C17DEE" w14:textId="77777777">
      <w:pPr>
        <w:spacing w:after="0"/>
        <w:rPr>
          <w:rFonts w:ascii="Calibri" w:hAnsi="Calibri" w:cs="Calibri"/>
        </w:rPr>
      </w:pPr>
      <w:r w:rsidRPr="008E5BFA">
        <w:rPr>
          <w:rFonts w:ascii="Calibri" w:hAnsi="Calibri" w:cs="Calibri"/>
        </w:rPr>
        <w:t>send the notice via CDX to the company contact provided in the most recent TSCA</w:t>
      </w:r>
    </w:p>
    <w:p w:rsidR="00A746A3" w:rsidRPr="008E5BFA" w:rsidP="00A746A3" w14:paraId="2108E177" w14:textId="77777777">
      <w:pPr>
        <w:spacing w:after="0"/>
        <w:rPr>
          <w:rFonts w:ascii="Calibri" w:hAnsi="Calibri" w:cs="Calibri"/>
        </w:rPr>
      </w:pPr>
      <w:r w:rsidRPr="008E5BFA">
        <w:rPr>
          <w:rFonts w:ascii="Calibri" w:hAnsi="Calibri" w:cs="Calibri"/>
        </w:rPr>
        <w:t>submission made by that company. Under circumstances in which the notice is not</w:t>
      </w:r>
    </w:p>
    <w:p w:rsidR="00A746A3" w:rsidRPr="008E5BFA" w:rsidP="00A746A3" w14:paraId="6CBE4913" w14:textId="77777777">
      <w:pPr>
        <w:spacing w:after="0"/>
        <w:rPr>
          <w:rFonts w:ascii="Calibri" w:hAnsi="Calibri" w:cs="Calibri"/>
        </w:rPr>
      </w:pPr>
      <w:r w:rsidRPr="008E5BFA">
        <w:rPr>
          <w:rFonts w:ascii="Calibri" w:hAnsi="Calibri" w:cs="Calibri"/>
        </w:rPr>
        <w:t>deliverable via CDX to any of these company contacts, EPA will send the notice via</w:t>
      </w:r>
    </w:p>
    <w:p w:rsidR="00A746A3" w:rsidRPr="008E5BFA" w:rsidP="00A746A3" w14:paraId="5B065C9B" w14:textId="77777777">
      <w:pPr>
        <w:spacing w:after="0"/>
        <w:rPr>
          <w:rFonts w:ascii="Calibri" w:hAnsi="Calibri" w:cs="Calibri"/>
        </w:rPr>
      </w:pPr>
      <w:r w:rsidRPr="008E5BFA">
        <w:rPr>
          <w:rFonts w:ascii="Calibri" w:hAnsi="Calibri" w:cs="Calibri"/>
        </w:rPr>
        <w:t>courier or US Mail to the company address provided in the most recent TSCA</w:t>
      </w:r>
    </w:p>
    <w:p w:rsidR="00A746A3" w:rsidRPr="008E5BFA" w:rsidP="00A746A3" w14:paraId="1E1B8625" w14:textId="77777777">
      <w:pPr>
        <w:spacing w:after="0"/>
        <w:rPr>
          <w:rFonts w:ascii="Calibri" w:hAnsi="Calibri" w:cs="Calibri"/>
        </w:rPr>
      </w:pPr>
      <w:r w:rsidRPr="008E5BFA">
        <w:rPr>
          <w:rFonts w:ascii="Calibri" w:hAnsi="Calibri" w:cs="Calibri"/>
        </w:rPr>
        <w:t>submission made by that company. The notice will provide instructions for substantiating</w:t>
      </w:r>
    </w:p>
    <w:p w:rsidR="00A746A3" w:rsidRPr="008E5BFA" w:rsidP="00A746A3" w14:paraId="20F5F922" w14:textId="77777777">
      <w:pPr>
        <w:spacing w:after="0"/>
        <w:rPr>
          <w:rFonts w:ascii="Calibri" w:hAnsi="Calibri" w:cs="Calibri"/>
        </w:rPr>
      </w:pPr>
      <w:r w:rsidRPr="008E5BFA">
        <w:rPr>
          <w:rFonts w:ascii="Calibri" w:hAnsi="Calibri" w:cs="Calibri"/>
        </w:rPr>
        <w:t>claims that were exempt or for which the submitter was otherwise not required to provide</w:t>
      </w:r>
    </w:p>
    <w:p w:rsidR="00A746A3" w:rsidRPr="008E5BFA" w:rsidP="00A746A3" w14:paraId="17634FF7" w14:textId="77777777">
      <w:pPr>
        <w:spacing w:after="0"/>
        <w:rPr>
          <w:rFonts w:ascii="Calibri" w:hAnsi="Calibri" w:cs="Calibri"/>
        </w:rPr>
      </w:pPr>
      <w:r w:rsidRPr="008E5BFA">
        <w:rPr>
          <w:rFonts w:ascii="Calibri" w:hAnsi="Calibri" w:cs="Calibri"/>
        </w:rPr>
        <w:t>substantiation at the time of initial submission, and for updating or substantiating any</w:t>
      </w:r>
    </w:p>
    <w:p w:rsidR="00A746A3" w:rsidRPr="008E5BFA" w:rsidP="00A746A3" w14:paraId="57FF7C90" w14:textId="77777777">
      <w:pPr>
        <w:spacing w:after="0"/>
        <w:rPr>
          <w:rFonts w:ascii="Calibri" w:hAnsi="Calibri" w:cs="Calibri"/>
        </w:rPr>
      </w:pPr>
      <w:r w:rsidRPr="008E5BFA">
        <w:rPr>
          <w:rFonts w:ascii="Calibri" w:hAnsi="Calibri" w:cs="Calibri"/>
        </w:rPr>
        <w:t xml:space="preserve">claims that were previously substantiated.  </w:t>
      </w:r>
    </w:p>
    <w:p w:rsidR="00A746A3" w:rsidRPr="008E5BFA" w:rsidP="00A746A3" w14:paraId="7F5A853D" w14:textId="77777777">
      <w:pPr>
        <w:spacing w:after="0"/>
        <w:rPr>
          <w:rFonts w:ascii="Calibri" w:hAnsi="Calibri" w:cs="Calibri"/>
        </w:rPr>
      </w:pPr>
    </w:p>
    <w:p w:rsidR="2CC1EC8D" w:rsidRPr="00371311" w:rsidP="51623177" w14:paraId="4505F239" w14:textId="30B44754">
      <w:pPr>
        <w:pStyle w:val="paragraph"/>
        <w:spacing w:before="0" w:beforeAutospacing="0" w:after="200" w:afterAutospacing="0" w:line="276" w:lineRule="auto"/>
        <w:rPr>
          <w:rFonts w:asciiTheme="minorHAnsi" w:hAnsiTheme="minorHAnsi" w:cstheme="minorBidi"/>
          <w:b/>
          <w:bCs/>
        </w:rPr>
      </w:pPr>
      <w:r w:rsidRPr="51623177">
        <w:rPr>
          <w:rFonts w:asciiTheme="minorHAnsi" w:hAnsiTheme="minorHAnsi" w:cstheme="minorBidi"/>
          <w:b/>
          <w:bCs/>
        </w:rPr>
        <w:t xml:space="preserve">Table </w:t>
      </w:r>
      <w:r w:rsidRPr="51623177" w:rsidR="1FBB939E">
        <w:rPr>
          <w:rFonts w:asciiTheme="minorHAnsi" w:hAnsiTheme="minorHAnsi" w:cstheme="minorBidi"/>
          <w:b/>
          <w:bCs/>
        </w:rPr>
        <w:t>5</w:t>
      </w:r>
      <w:r w:rsidRPr="51623177">
        <w:rPr>
          <w:rFonts w:asciiTheme="minorHAnsi" w:hAnsiTheme="minorHAnsi" w:cstheme="minorBidi"/>
          <w:b/>
          <w:bCs/>
        </w:rPr>
        <w:t>: Agency Wage Rate (</w:t>
      </w:r>
      <w:r w:rsidRPr="51623177" w:rsidR="000647C9">
        <w:rPr>
          <w:rFonts w:asciiTheme="minorHAnsi" w:hAnsiTheme="minorHAnsi" w:cstheme="minorBidi"/>
          <w:b/>
          <w:bCs/>
        </w:rPr>
        <w:t>202</w:t>
      </w:r>
      <w:r w:rsidRPr="51623177" w:rsidR="5BDFC725">
        <w:rPr>
          <w:rFonts w:asciiTheme="minorHAnsi" w:hAnsiTheme="minorHAnsi" w:cstheme="minorBidi"/>
          <w:b/>
          <w:bCs/>
        </w:rPr>
        <w:t>6</w:t>
      </w:r>
      <w:r w:rsidRPr="51623177">
        <w:rPr>
          <w:rFonts w:asciiTheme="minorHAnsi" w:hAnsiTheme="minorHAnsi" w:cstheme="minorBidi"/>
          <w:b/>
          <w:bCs/>
        </w:rPr>
        <w:t>$)</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0"/>
        <w:gridCol w:w="1260"/>
        <w:gridCol w:w="964"/>
        <w:gridCol w:w="964"/>
        <w:gridCol w:w="964"/>
        <w:gridCol w:w="965"/>
        <w:gridCol w:w="964"/>
        <w:gridCol w:w="870"/>
        <w:gridCol w:w="994"/>
      </w:tblGrid>
      <w:tr w14:paraId="0BF19D3F" w14:textId="77777777" w:rsidTr="51623177">
        <w:tblPrEx>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095"/>
        </w:trPr>
        <w:tc>
          <w:tcPr>
            <w:tcW w:w="1070" w:type="dxa"/>
            <w:vMerge w:val="restart"/>
            <w:shd w:val="clear" w:color="auto" w:fill="8EAADB" w:themeFill="accent5" w:themeFillTint="99"/>
            <w:vAlign w:val="center"/>
          </w:tcPr>
          <w:p w:rsidR="000647C9" w:rsidRPr="00F76BF4" w:rsidP="00B20FDA" w14:paraId="3DC470A6" w14:textId="1594CD24">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Labor Category</w:t>
            </w:r>
          </w:p>
        </w:tc>
        <w:tc>
          <w:tcPr>
            <w:tcW w:w="1260" w:type="dxa"/>
            <w:vMerge w:val="restart"/>
            <w:shd w:val="clear" w:color="auto" w:fill="8EAADB" w:themeFill="accent5" w:themeFillTint="99"/>
            <w:vAlign w:val="center"/>
          </w:tcPr>
          <w:p w:rsidR="000647C9" w:rsidRPr="00F76BF4" w:rsidP="00B20FDA" w14:paraId="52D6B518" w14:textId="75109D97">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Data Source for Wage Information</w:t>
            </w:r>
          </w:p>
        </w:tc>
        <w:tc>
          <w:tcPr>
            <w:tcW w:w="964" w:type="dxa"/>
            <w:shd w:val="clear" w:color="auto" w:fill="8EAADB" w:themeFill="accent5" w:themeFillTint="99"/>
            <w:vAlign w:val="center"/>
          </w:tcPr>
          <w:p w:rsidR="000647C9" w:rsidRPr="00F76BF4" w:rsidP="00B20FDA" w14:paraId="602DE61C" w14:textId="5DCA3055">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Wage ($/hour)</w:t>
            </w:r>
          </w:p>
        </w:tc>
        <w:tc>
          <w:tcPr>
            <w:tcW w:w="964" w:type="dxa"/>
            <w:shd w:val="clear" w:color="auto" w:fill="8EAADB" w:themeFill="accent5" w:themeFillTint="99"/>
            <w:vAlign w:val="center"/>
          </w:tcPr>
          <w:p w:rsidR="000647C9" w:rsidRPr="00F76BF4" w:rsidP="00B20FDA" w14:paraId="318DECFD" w14:textId="1863E9B2">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 xml:space="preserve">Fringes as % </w:t>
            </w:r>
            <w:r w:rsidRPr="00F76BF4">
              <w:rPr>
                <w:rFonts w:eastAsia="Times New Roman" w:asciiTheme="minorHAnsi" w:hAnsiTheme="minorHAnsi" w:cstheme="minorHAnsi"/>
                <w:b/>
                <w:bCs/>
                <w:color w:val="000000" w:themeColor="text1"/>
                <w:sz w:val="20"/>
                <w:szCs w:val="20"/>
              </w:rPr>
              <w:t>wage</w:t>
            </w:r>
            <w:r w:rsidRPr="00F76BF4">
              <w:rPr>
                <w:rFonts w:eastAsia="Times New Roman" w:asciiTheme="minorHAnsi" w:hAnsiTheme="minorHAnsi" w:cstheme="minorHAnsi"/>
                <w:b/>
                <w:bCs/>
                <w:color w:val="000000" w:themeColor="text1"/>
                <w:sz w:val="20"/>
                <w:szCs w:val="20"/>
                <w:vertAlign w:val="superscript"/>
              </w:rPr>
              <w:t>b</w:t>
            </w:r>
          </w:p>
        </w:tc>
        <w:tc>
          <w:tcPr>
            <w:tcW w:w="964" w:type="dxa"/>
            <w:shd w:val="clear" w:color="auto" w:fill="8EAADB" w:themeFill="accent5" w:themeFillTint="99"/>
            <w:vAlign w:val="center"/>
          </w:tcPr>
          <w:p w:rsidR="000647C9" w:rsidRPr="00F76BF4" w:rsidP="00B20FDA" w14:paraId="43D035B3" w14:textId="385040DB">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Fringe Benefit</w:t>
            </w:r>
          </w:p>
        </w:tc>
        <w:tc>
          <w:tcPr>
            <w:tcW w:w="965" w:type="dxa"/>
            <w:shd w:val="clear" w:color="auto" w:fill="8EAADB" w:themeFill="accent5" w:themeFillTint="99"/>
            <w:vAlign w:val="center"/>
          </w:tcPr>
          <w:p w:rsidR="000647C9" w:rsidRPr="00F76BF4" w:rsidP="00B20FDA" w14:paraId="2B618BE1" w14:textId="6776F102">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Total Compensation</w:t>
            </w:r>
          </w:p>
        </w:tc>
        <w:tc>
          <w:tcPr>
            <w:tcW w:w="964" w:type="dxa"/>
            <w:shd w:val="clear" w:color="auto" w:fill="8EAADB" w:themeFill="accent5" w:themeFillTint="99"/>
            <w:vAlign w:val="center"/>
          </w:tcPr>
          <w:p w:rsidR="000647C9" w:rsidRPr="00F76BF4" w:rsidP="00B20FDA" w14:paraId="15CE2FE1" w14:textId="6B74BA5B">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 xml:space="preserve">Overhead as % total </w:t>
            </w:r>
            <w:r w:rsidRPr="00F76BF4">
              <w:rPr>
                <w:rFonts w:eastAsia="Times New Roman" w:asciiTheme="minorHAnsi" w:hAnsiTheme="minorHAnsi" w:cstheme="minorHAnsi"/>
                <w:b/>
                <w:bCs/>
                <w:color w:val="000000" w:themeColor="text1"/>
                <w:sz w:val="20"/>
                <w:szCs w:val="20"/>
              </w:rPr>
              <w:t>compensation</w:t>
            </w:r>
            <w:r w:rsidRPr="00F76BF4">
              <w:rPr>
                <w:rFonts w:eastAsia="Times New Roman" w:asciiTheme="minorHAnsi" w:hAnsiTheme="minorHAnsi" w:cstheme="minorHAnsi"/>
                <w:b/>
                <w:bCs/>
                <w:color w:val="000000" w:themeColor="text1"/>
                <w:sz w:val="20"/>
                <w:szCs w:val="20"/>
                <w:vertAlign w:val="superscript"/>
              </w:rPr>
              <w:t>c</w:t>
            </w:r>
          </w:p>
        </w:tc>
        <w:tc>
          <w:tcPr>
            <w:tcW w:w="870" w:type="dxa"/>
            <w:shd w:val="clear" w:color="auto" w:fill="8EAADB" w:themeFill="accent5" w:themeFillTint="99"/>
            <w:vAlign w:val="center"/>
          </w:tcPr>
          <w:p w:rsidR="000647C9" w:rsidRPr="00F76BF4" w:rsidP="00B20FDA" w14:paraId="38A19569" w14:textId="432FA665">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Overhead</w:t>
            </w:r>
          </w:p>
        </w:tc>
        <w:tc>
          <w:tcPr>
            <w:tcW w:w="994" w:type="dxa"/>
            <w:shd w:val="clear" w:color="auto" w:fill="8EAADB" w:themeFill="accent5" w:themeFillTint="99"/>
            <w:vAlign w:val="center"/>
          </w:tcPr>
          <w:p w:rsidR="000647C9" w:rsidRPr="00F76BF4" w:rsidP="00B20FDA" w14:paraId="79CD0520" w14:textId="1D0EC98E">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Loaded Wage ($/</w:t>
            </w:r>
            <w:r w:rsidRPr="00F76BF4">
              <w:rPr>
                <w:rFonts w:eastAsia="Times New Roman" w:asciiTheme="minorHAnsi" w:hAnsiTheme="minorHAnsi" w:cstheme="minorHAnsi"/>
                <w:b/>
                <w:bCs/>
                <w:color w:val="000000" w:themeColor="text1"/>
                <w:sz w:val="20"/>
                <w:szCs w:val="20"/>
              </w:rPr>
              <w:t>hr</w:t>
            </w:r>
            <w:r w:rsidRPr="00F76BF4">
              <w:rPr>
                <w:rFonts w:eastAsia="Times New Roman" w:asciiTheme="minorHAnsi" w:hAnsiTheme="minorHAnsi" w:cstheme="minorHAnsi"/>
                <w:b/>
                <w:bCs/>
                <w:color w:val="000000" w:themeColor="text1"/>
                <w:sz w:val="20"/>
                <w:szCs w:val="20"/>
              </w:rPr>
              <w:t>)</w:t>
            </w:r>
          </w:p>
        </w:tc>
      </w:tr>
      <w:tr w14:paraId="3DDE36A2" w14:textId="77777777" w:rsidTr="51623177">
        <w:tblPrEx>
          <w:tblW w:w="9015" w:type="dxa"/>
          <w:tblLayout w:type="fixed"/>
          <w:tblLook w:val="04A0"/>
        </w:tblPrEx>
        <w:trPr>
          <w:trHeight w:val="525"/>
        </w:trPr>
        <w:tc>
          <w:tcPr>
            <w:tcW w:w="1070" w:type="dxa"/>
            <w:vMerge/>
            <w:vAlign w:val="center"/>
          </w:tcPr>
          <w:p w:rsidR="000647C9" w:rsidRPr="00F76BF4" w:rsidP="00B20FDA" w14:paraId="0C710ED5" w14:textId="77777777">
            <w:pPr>
              <w:rPr>
                <w:rFonts w:asciiTheme="minorHAnsi" w:hAnsiTheme="minorHAnsi" w:cstheme="minorHAnsi"/>
                <w:sz w:val="20"/>
                <w:szCs w:val="20"/>
              </w:rPr>
            </w:pPr>
          </w:p>
        </w:tc>
        <w:tc>
          <w:tcPr>
            <w:tcW w:w="1260" w:type="dxa"/>
            <w:vMerge/>
            <w:vAlign w:val="center"/>
          </w:tcPr>
          <w:p w:rsidR="000647C9" w:rsidRPr="00F76BF4" w:rsidP="00B20FDA" w14:paraId="1CA68AD5" w14:textId="77777777">
            <w:pPr>
              <w:rPr>
                <w:rFonts w:asciiTheme="minorHAnsi" w:hAnsiTheme="minorHAnsi" w:cstheme="minorHAnsi"/>
                <w:sz w:val="20"/>
                <w:szCs w:val="20"/>
              </w:rPr>
            </w:pPr>
          </w:p>
        </w:tc>
        <w:tc>
          <w:tcPr>
            <w:tcW w:w="964" w:type="dxa"/>
            <w:shd w:val="clear" w:color="auto" w:fill="8EAADB" w:themeFill="accent5" w:themeFillTint="99"/>
            <w:vAlign w:val="center"/>
          </w:tcPr>
          <w:p w:rsidR="000647C9" w:rsidRPr="00F76BF4" w:rsidP="00B20FDA" w14:paraId="36129B89" w14:textId="40319ADC">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(a)</w:t>
            </w:r>
          </w:p>
        </w:tc>
        <w:tc>
          <w:tcPr>
            <w:tcW w:w="964" w:type="dxa"/>
            <w:shd w:val="clear" w:color="auto" w:fill="8EAADB" w:themeFill="accent5" w:themeFillTint="99"/>
            <w:vAlign w:val="center"/>
          </w:tcPr>
          <w:p w:rsidR="000647C9" w:rsidRPr="00F76BF4" w:rsidP="00B20FDA" w14:paraId="3349B8F4" w14:textId="2AD84F97">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(b)</w:t>
            </w:r>
          </w:p>
        </w:tc>
        <w:tc>
          <w:tcPr>
            <w:tcW w:w="964" w:type="dxa"/>
            <w:shd w:val="clear" w:color="auto" w:fill="8EAADB" w:themeFill="accent5" w:themeFillTint="99"/>
            <w:vAlign w:val="center"/>
          </w:tcPr>
          <w:p w:rsidR="000647C9" w:rsidRPr="00F76BF4" w:rsidP="00B20FDA" w14:paraId="306CAFE4" w14:textId="47260C56">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(c) = (a)*(b)</w:t>
            </w:r>
          </w:p>
        </w:tc>
        <w:tc>
          <w:tcPr>
            <w:tcW w:w="965" w:type="dxa"/>
            <w:shd w:val="clear" w:color="auto" w:fill="8EAADB" w:themeFill="accent5" w:themeFillTint="99"/>
            <w:vAlign w:val="center"/>
          </w:tcPr>
          <w:p w:rsidR="000647C9" w:rsidRPr="00F76BF4" w:rsidP="00B20FDA" w14:paraId="30BC5E1C" w14:textId="08677393">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(d) = (a)+(c)</w:t>
            </w:r>
          </w:p>
        </w:tc>
        <w:tc>
          <w:tcPr>
            <w:tcW w:w="964" w:type="dxa"/>
            <w:shd w:val="clear" w:color="auto" w:fill="8EAADB" w:themeFill="accent5" w:themeFillTint="99"/>
            <w:vAlign w:val="center"/>
          </w:tcPr>
          <w:p w:rsidR="000647C9" w:rsidRPr="00F76BF4" w:rsidP="00B20FDA" w14:paraId="280931E5" w14:textId="6E016439">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(e)</w:t>
            </w:r>
          </w:p>
        </w:tc>
        <w:tc>
          <w:tcPr>
            <w:tcW w:w="870" w:type="dxa"/>
            <w:shd w:val="clear" w:color="auto" w:fill="8EAADB" w:themeFill="accent5" w:themeFillTint="99"/>
            <w:vAlign w:val="center"/>
          </w:tcPr>
          <w:p w:rsidR="000647C9" w:rsidRPr="00F76BF4" w:rsidP="00B20FDA" w14:paraId="2C4E3212" w14:textId="3DF33A2D">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 xml:space="preserve">(f) = (d)*(e) </w:t>
            </w:r>
          </w:p>
        </w:tc>
        <w:tc>
          <w:tcPr>
            <w:tcW w:w="994" w:type="dxa"/>
            <w:shd w:val="clear" w:color="auto" w:fill="8EAADB" w:themeFill="accent5" w:themeFillTint="99"/>
            <w:vAlign w:val="center"/>
          </w:tcPr>
          <w:p w:rsidR="000647C9" w:rsidRPr="00F76BF4" w:rsidP="00B20FDA" w14:paraId="41F4744A" w14:textId="0AC1D1A7">
            <w:pPr>
              <w:jc w:val="center"/>
              <w:rPr>
                <w:rFonts w:asciiTheme="minorHAnsi" w:hAnsiTheme="minorHAnsi" w:cstheme="minorHAnsi"/>
                <w:sz w:val="20"/>
                <w:szCs w:val="20"/>
              </w:rPr>
            </w:pPr>
            <w:r w:rsidRPr="00F76BF4">
              <w:rPr>
                <w:rFonts w:eastAsia="Times New Roman" w:asciiTheme="minorHAnsi" w:hAnsiTheme="minorHAnsi" w:cstheme="minorHAnsi"/>
                <w:b/>
                <w:bCs/>
                <w:color w:val="000000" w:themeColor="text1"/>
                <w:sz w:val="20"/>
                <w:szCs w:val="20"/>
              </w:rPr>
              <w:t>(g) = (d)+(f)</w:t>
            </w:r>
          </w:p>
        </w:tc>
      </w:tr>
      <w:tr w14:paraId="2171102F" w14:textId="77777777" w:rsidTr="51623177">
        <w:tblPrEx>
          <w:tblW w:w="9015" w:type="dxa"/>
          <w:tblLayout w:type="fixed"/>
          <w:tblLook w:val="04A0"/>
        </w:tblPrEx>
        <w:trPr>
          <w:trHeight w:val="537"/>
        </w:trPr>
        <w:tc>
          <w:tcPr>
            <w:tcW w:w="1070" w:type="dxa"/>
            <w:vMerge w:val="restart"/>
            <w:vAlign w:val="center"/>
          </w:tcPr>
          <w:p w:rsidR="000647C9" w:rsidRPr="00F76BF4" w:rsidP="00B20FDA" w14:paraId="7FC66D9E" w14:textId="4C347778">
            <w:pPr>
              <w:rPr>
                <w:rFonts w:asciiTheme="minorHAnsi" w:hAnsiTheme="minorHAnsi" w:cstheme="minorHAnsi"/>
                <w:sz w:val="20"/>
                <w:szCs w:val="20"/>
              </w:rPr>
            </w:pPr>
            <w:r w:rsidRPr="00F76BF4">
              <w:rPr>
                <w:rFonts w:eastAsia="Times New Roman" w:asciiTheme="minorHAnsi" w:hAnsiTheme="minorHAnsi" w:cstheme="minorHAnsi"/>
                <w:color w:val="000000" w:themeColor="text1"/>
                <w:sz w:val="20"/>
                <w:szCs w:val="20"/>
              </w:rPr>
              <w:t>EPA staff</w:t>
            </w:r>
          </w:p>
        </w:tc>
        <w:tc>
          <w:tcPr>
            <w:tcW w:w="1260" w:type="dxa"/>
            <w:vMerge w:val="restart"/>
            <w:vAlign w:val="center"/>
          </w:tcPr>
          <w:p w:rsidR="000647C9" w:rsidRPr="00F76BF4" w:rsidP="00B20FDA" w14:paraId="0EA283BB" w14:textId="29F0278B">
            <w:pPr>
              <w:rPr>
                <w:rFonts w:asciiTheme="minorHAnsi" w:hAnsiTheme="minorHAnsi" w:cstheme="minorHAnsi"/>
                <w:sz w:val="20"/>
                <w:szCs w:val="20"/>
              </w:rPr>
            </w:pPr>
            <w:r w:rsidRPr="00F76BF4">
              <w:rPr>
                <w:rFonts w:eastAsia="Times New Roman" w:asciiTheme="minorHAnsi" w:hAnsiTheme="minorHAnsi" w:cstheme="minorHAnsi"/>
                <w:color w:val="000000" w:themeColor="text1"/>
                <w:sz w:val="20"/>
                <w:szCs w:val="20"/>
              </w:rPr>
              <w:t>Annual federal staff cost: OPM Washington-Baltimore-Northern Virginia, DC-MD-PA-VA-WV area,</w:t>
            </w:r>
            <w:r w:rsidRPr="00F76BF4">
              <w:rPr>
                <w:rFonts w:eastAsia="Times New Roman" w:asciiTheme="minorHAnsi" w:hAnsiTheme="minorHAnsi" w:cstheme="minorHAnsi"/>
                <w:color w:val="000000" w:themeColor="text1"/>
                <w:sz w:val="20"/>
                <w:szCs w:val="20"/>
                <w:u w:val="single"/>
              </w:rPr>
              <w:t xml:space="preserve"> </w:t>
            </w:r>
            <w:r w:rsidRPr="00F76BF4">
              <w:rPr>
                <w:rFonts w:eastAsia="Times New Roman" w:asciiTheme="minorHAnsi" w:hAnsiTheme="minorHAnsi" w:cstheme="minorHAnsi"/>
                <w:color w:val="000000" w:themeColor="text1"/>
                <w:sz w:val="20"/>
                <w:szCs w:val="20"/>
              </w:rPr>
              <w:t xml:space="preserve">GS-13 Step 5 pay rates </w:t>
            </w:r>
            <w:r w:rsidRPr="00F76BF4">
              <w:rPr>
                <w:rFonts w:eastAsia="Times New Roman" w:asciiTheme="minorHAnsi" w:hAnsiTheme="minorHAnsi" w:cstheme="minorHAnsi"/>
                <w:color w:val="000000" w:themeColor="text1"/>
                <w:sz w:val="20"/>
                <w:szCs w:val="20"/>
                <w:vertAlign w:val="superscript"/>
              </w:rPr>
              <w:t>a</w:t>
            </w:r>
          </w:p>
        </w:tc>
        <w:tc>
          <w:tcPr>
            <w:tcW w:w="964" w:type="dxa"/>
            <w:vMerge w:val="restart"/>
            <w:vAlign w:val="center"/>
          </w:tcPr>
          <w:p w:rsidR="51623177" w:rsidRPr="00F76BF4" w:rsidP="51623177" w14:paraId="6D65188F" w14:textId="0E96B34E">
            <w:pPr>
              <w:spacing w:after="0"/>
              <w:jc w:val="center"/>
              <w:rPr>
                <w:rFonts w:asciiTheme="minorHAnsi" w:hAnsiTheme="minorHAnsi" w:cstheme="minorHAnsi"/>
                <w:sz w:val="20"/>
                <w:szCs w:val="20"/>
              </w:rPr>
            </w:pPr>
            <w:r w:rsidRPr="00F76BF4">
              <w:rPr>
                <w:rFonts w:eastAsia="Arial" w:asciiTheme="minorHAnsi" w:hAnsiTheme="minorHAnsi" w:cstheme="minorHAnsi"/>
                <w:color w:val="000000" w:themeColor="text1"/>
                <w:sz w:val="20"/>
                <w:szCs w:val="20"/>
              </w:rPr>
              <w:t xml:space="preserve">$66.14 </w:t>
            </w:r>
          </w:p>
        </w:tc>
        <w:tc>
          <w:tcPr>
            <w:tcW w:w="964" w:type="dxa"/>
            <w:vMerge w:val="restart"/>
            <w:vAlign w:val="center"/>
          </w:tcPr>
          <w:p w:rsidR="51623177" w:rsidRPr="00F76BF4" w:rsidP="51623177" w14:paraId="5CF5B536" w14:textId="3BF0BA90">
            <w:pPr>
              <w:spacing w:after="0"/>
              <w:jc w:val="center"/>
              <w:rPr>
                <w:rFonts w:asciiTheme="minorHAnsi" w:hAnsiTheme="minorHAnsi" w:cstheme="minorHAnsi"/>
                <w:sz w:val="20"/>
                <w:szCs w:val="20"/>
              </w:rPr>
            </w:pPr>
            <w:r w:rsidRPr="00F76BF4">
              <w:rPr>
                <w:rFonts w:eastAsia="Arial" w:asciiTheme="minorHAnsi" w:hAnsiTheme="minorHAnsi" w:cstheme="minorHAnsi"/>
                <w:color w:val="000000" w:themeColor="text1"/>
                <w:sz w:val="20"/>
                <w:szCs w:val="20"/>
              </w:rPr>
              <w:t>63.90%</w:t>
            </w:r>
          </w:p>
        </w:tc>
        <w:tc>
          <w:tcPr>
            <w:tcW w:w="964" w:type="dxa"/>
            <w:vMerge w:val="restart"/>
            <w:vAlign w:val="center"/>
          </w:tcPr>
          <w:p w:rsidR="51623177" w:rsidRPr="00F76BF4" w:rsidP="51623177" w14:paraId="52E11A30" w14:textId="2523396F">
            <w:pPr>
              <w:spacing w:after="0"/>
              <w:jc w:val="center"/>
              <w:rPr>
                <w:rFonts w:asciiTheme="minorHAnsi" w:hAnsiTheme="minorHAnsi" w:cstheme="minorHAnsi"/>
                <w:sz w:val="20"/>
                <w:szCs w:val="20"/>
              </w:rPr>
            </w:pPr>
            <w:r w:rsidRPr="00F76BF4">
              <w:rPr>
                <w:rFonts w:eastAsia="Arial" w:asciiTheme="minorHAnsi" w:hAnsiTheme="minorHAnsi" w:cstheme="minorHAnsi"/>
                <w:color w:val="000000" w:themeColor="text1"/>
                <w:sz w:val="20"/>
                <w:szCs w:val="20"/>
              </w:rPr>
              <w:t xml:space="preserve">$42.26 </w:t>
            </w:r>
          </w:p>
        </w:tc>
        <w:tc>
          <w:tcPr>
            <w:tcW w:w="965" w:type="dxa"/>
            <w:vMerge w:val="restart"/>
            <w:vAlign w:val="center"/>
          </w:tcPr>
          <w:p w:rsidR="51623177" w:rsidRPr="00F76BF4" w:rsidP="51623177" w14:paraId="1D397B69" w14:textId="35F58AA1">
            <w:pPr>
              <w:spacing w:after="0"/>
              <w:jc w:val="center"/>
              <w:rPr>
                <w:rFonts w:asciiTheme="minorHAnsi" w:hAnsiTheme="minorHAnsi" w:cstheme="minorHAnsi"/>
                <w:sz w:val="20"/>
                <w:szCs w:val="20"/>
              </w:rPr>
            </w:pPr>
            <w:r w:rsidRPr="00F76BF4">
              <w:rPr>
                <w:rFonts w:eastAsia="Arial" w:asciiTheme="minorHAnsi" w:hAnsiTheme="minorHAnsi" w:cstheme="minorHAnsi"/>
                <w:color w:val="000000" w:themeColor="text1"/>
                <w:sz w:val="20"/>
                <w:szCs w:val="20"/>
              </w:rPr>
              <w:t xml:space="preserve">$108.40 </w:t>
            </w:r>
          </w:p>
        </w:tc>
        <w:tc>
          <w:tcPr>
            <w:tcW w:w="964" w:type="dxa"/>
            <w:vMerge w:val="restart"/>
            <w:vAlign w:val="center"/>
          </w:tcPr>
          <w:p w:rsidR="51623177" w:rsidRPr="00F76BF4" w:rsidP="51623177" w14:paraId="4B2CE51A" w14:textId="2CFD3D86">
            <w:pPr>
              <w:spacing w:after="0"/>
              <w:jc w:val="center"/>
              <w:rPr>
                <w:rFonts w:asciiTheme="minorHAnsi" w:hAnsiTheme="minorHAnsi" w:cstheme="minorHAnsi"/>
                <w:sz w:val="20"/>
                <w:szCs w:val="20"/>
              </w:rPr>
            </w:pPr>
            <w:r w:rsidRPr="00F76BF4">
              <w:rPr>
                <w:rFonts w:eastAsia="Arial" w:asciiTheme="minorHAnsi" w:hAnsiTheme="minorHAnsi" w:cstheme="minorHAnsi"/>
                <w:color w:val="000000" w:themeColor="text1"/>
                <w:sz w:val="20"/>
                <w:szCs w:val="20"/>
              </w:rPr>
              <w:t>20%</w:t>
            </w:r>
          </w:p>
        </w:tc>
        <w:tc>
          <w:tcPr>
            <w:tcW w:w="870" w:type="dxa"/>
            <w:vMerge w:val="restart"/>
            <w:vAlign w:val="center"/>
          </w:tcPr>
          <w:p w:rsidR="51623177" w:rsidRPr="00F76BF4" w:rsidP="51623177" w14:paraId="17A09161" w14:textId="0B648960">
            <w:pPr>
              <w:spacing w:after="0"/>
              <w:jc w:val="center"/>
              <w:rPr>
                <w:rFonts w:asciiTheme="minorHAnsi" w:hAnsiTheme="minorHAnsi" w:cstheme="minorHAnsi"/>
                <w:sz w:val="20"/>
                <w:szCs w:val="20"/>
              </w:rPr>
            </w:pPr>
            <w:r w:rsidRPr="00F76BF4">
              <w:rPr>
                <w:rFonts w:eastAsia="Arial" w:asciiTheme="minorHAnsi" w:hAnsiTheme="minorHAnsi" w:cstheme="minorHAnsi"/>
                <w:color w:val="000000" w:themeColor="text1"/>
                <w:sz w:val="20"/>
                <w:szCs w:val="20"/>
              </w:rPr>
              <w:t xml:space="preserve">$21.68 </w:t>
            </w:r>
          </w:p>
        </w:tc>
        <w:tc>
          <w:tcPr>
            <w:tcW w:w="994" w:type="dxa"/>
            <w:vMerge w:val="restart"/>
            <w:vAlign w:val="center"/>
          </w:tcPr>
          <w:p w:rsidR="51623177" w:rsidRPr="00F76BF4" w:rsidP="51623177" w14:paraId="45CF5130" w14:textId="2E2F51CB">
            <w:pPr>
              <w:spacing w:after="0"/>
              <w:jc w:val="center"/>
              <w:rPr>
                <w:rFonts w:asciiTheme="minorHAnsi" w:hAnsiTheme="minorHAnsi" w:cstheme="minorHAnsi"/>
                <w:sz w:val="20"/>
                <w:szCs w:val="20"/>
              </w:rPr>
            </w:pPr>
            <w:r w:rsidRPr="00F76BF4">
              <w:rPr>
                <w:rFonts w:eastAsia="Arial" w:asciiTheme="minorHAnsi" w:hAnsiTheme="minorHAnsi" w:cstheme="minorHAnsi"/>
                <w:color w:val="000000" w:themeColor="text1"/>
                <w:sz w:val="20"/>
                <w:szCs w:val="20"/>
              </w:rPr>
              <w:t>$130.08</w:t>
            </w:r>
          </w:p>
        </w:tc>
      </w:tr>
      <w:tr w14:paraId="77ABD8D6" w14:textId="77777777" w:rsidTr="51623177">
        <w:tblPrEx>
          <w:tblW w:w="9015" w:type="dxa"/>
          <w:tblLayout w:type="fixed"/>
          <w:tblLook w:val="04A0"/>
        </w:tblPrEx>
        <w:trPr>
          <w:trHeight w:val="1545"/>
        </w:trPr>
        <w:tc>
          <w:tcPr>
            <w:tcW w:w="1070" w:type="dxa"/>
            <w:vMerge/>
            <w:vAlign w:val="center"/>
          </w:tcPr>
          <w:p w:rsidR="000647C9" w:rsidRPr="00F76BF4" w:rsidP="00B20FDA" w14:paraId="237B9420" w14:textId="77777777">
            <w:pPr>
              <w:rPr>
                <w:rFonts w:asciiTheme="minorHAnsi" w:hAnsiTheme="minorHAnsi" w:cstheme="minorHAnsi"/>
                <w:sz w:val="20"/>
                <w:szCs w:val="20"/>
              </w:rPr>
            </w:pPr>
          </w:p>
        </w:tc>
        <w:tc>
          <w:tcPr>
            <w:tcW w:w="1260" w:type="dxa"/>
            <w:vMerge/>
            <w:vAlign w:val="center"/>
          </w:tcPr>
          <w:p w:rsidR="000647C9" w:rsidRPr="00F76BF4" w:rsidP="00B20FDA" w14:paraId="692626D7" w14:textId="77777777">
            <w:pPr>
              <w:rPr>
                <w:rFonts w:asciiTheme="minorHAnsi" w:hAnsiTheme="minorHAnsi" w:cstheme="minorHAnsi"/>
                <w:sz w:val="20"/>
                <w:szCs w:val="20"/>
              </w:rPr>
            </w:pPr>
          </w:p>
        </w:tc>
        <w:tc>
          <w:tcPr>
            <w:tcW w:w="964" w:type="dxa"/>
            <w:vMerge/>
            <w:vAlign w:val="center"/>
          </w:tcPr>
          <w:p w:rsidR="000647C9" w:rsidRPr="00F76BF4" w:rsidP="00B20FDA" w14:paraId="2DB5CEDE" w14:textId="77777777">
            <w:pPr>
              <w:rPr>
                <w:rFonts w:asciiTheme="minorHAnsi" w:hAnsiTheme="minorHAnsi" w:cstheme="minorHAnsi"/>
                <w:sz w:val="20"/>
                <w:szCs w:val="20"/>
              </w:rPr>
            </w:pPr>
          </w:p>
        </w:tc>
        <w:tc>
          <w:tcPr>
            <w:tcW w:w="964" w:type="dxa"/>
            <w:vMerge/>
            <w:vAlign w:val="center"/>
          </w:tcPr>
          <w:p w:rsidR="000647C9" w:rsidRPr="00F76BF4" w:rsidP="00B20FDA" w14:paraId="37364758" w14:textId="77777777">
            <w:pPr>
              <w:rPr>
                <w:rFonts w:asciiTheme="minorHAnsi" w:hAnsiTheme="minorHAnsi" w:cstheme="minorHAnsi"/>
                <w:sz w:val="20"/>
                <w:szCs w:val="20"/>
              </w:rPr>
            </w:pPr>
          </w:p>
        </w:tc>
        <w:tc>
          <w:tcPr>
            <w:tcW w:w="964" w:type="dxa"/>
            <w:vMerge/>
            <w:vAlign w:val="center"/>
          </w:tcPr>
          <w:p w:rsidR="000647C9" w:rsidRPr="00F76BF4" w:rsidP="00B20FDA" w14:paraId="7CD6F0CE" w14:textId="77777777">
            <w:pPr>
              <w:rPr>
                <w:rFonts w:asciiTheme="minorHAnsi" w:hAnsiTheme="minorHAnsi" w:cstheme="minorHAnsi"/>
                <w:sz w:val="20"/>
                <w:szCs w:val="20"/>
              </w:rPr>
            </w:pPr>
          </w:p>
        </w:tc>
        <w:tc>
          <w:tcPr>
            <w:tcW w:w="965" w:type="dxa"/>
            <w:vMerge/>
            <w:vAlign w:val="center"/>
          </w:tcPr>
          <w:p w:rsidR="000647C9" w:rsidRPr="00F76BF4" w:rsidP="00B20FDA" w14:paraId="22442341" w14:textId="77777777">
            <w:pPr>
              <w:rPr>
                <w:rFonts w:asciiTheme="minorHAnsi" w:hAnsiTheme="minorHAnsi" w:cstheme="minorHAnsi"/>
                <w:sz w:val="20"/>
                <w:szCs w:val="20"/>
              </w:rPr>
            </w:pPr>
          </w:p>
        </w:tc>
        <w:tc>
          <w:tcPr>
            <w:tcW w:w="964" w:type="dxa"/>
            <w:vMerge/>
            <w:vAlign w:val="center"/>
          </w:tcPr>
          <w:p w:rsidR="000647C9" w:rsidRPr="00F76BF4" w:rsidP="00B20FDA" w14:paraId="3AD4E423" w14:textId="77777777">
            <w:pPr>
              <w:rPr>
                <w:rFonts w:asciiTheme="minorHAnsi" w:hAnsiTheme="minorHAnsi" w:cstheme="minorHAnsi"/>
                <w:sz w:val="20"/>
                <w:szCs w:val="20"/>
              </w:rPr>
            </w:pPr>
          </w:p>
        </w:tc>
        <w:tc>
          <w:tcPr>
            <w:tcW w:w="870" w:type="dxa"/>
            <w:vMerge/>
            <w:vAlign w:val="center"/>
          </w:tcPr>
          <w:p w:rsidR="000647C9" w:rsidRPr="00F76BF4" w:rsidP="00B20FDA" w14:paraId="220A40C2" w14:textId="77777777">
            <w:pPr>
              <w:rPr>
                <w:rFonts w:asciiTheme="minorHAnsi" w:hAnsiTheme="minorHAnsi" w:cstheme="minorHAnsi"/>
                <w:sz w:val="20"/>
                <w:szCs w:val="20"/>
              </w:rPr>
            </w:pPr>
          </w:p>
        </w:tc>
        <w:tc>
          <w:tcPr>
            <w:tcW w:w="994" w:type="dxa"/>
            <w:vMerge/>
            <w:vAlign w:val="center"/>
          </w:tcPr>
          <w:p w:rsidR="000647C9" w:rsidRPr="00F76BF4" w:rsidP="00B20FDA" w14:paraId="02F4C85D" w14:textId="77777777">
            <w:pPr>
              <w:rPr>
                <w:rFonts w:asciiTheme="minorHAnsi" w:hAnsiTheme="minorHAnsi" w:cstheme="minorHAnsi"/>
                <w:sz w:val="20"/>
                <w:szCs w:val="20"/>
              </w:rPr>
            </w:pPr>
          </w:p>
        </w:tc>
      </w:tr>
    </w:tbl>
    <w:p w:rsidR="2CC1EC8D" w:rsidRPr="00EB69DF" w:rsidP="51623177" w14:paraId="266AE179" w14:textId="4B85A6AA">
      <w:pPr>
        <w:pStyle w:val="NoSpacing"/>
        <w:rPr>
          <w:sz w:val="16"/>
          <w:szCs w:val="16"/>
        </w:rPr>
      </w:pPr>
      <w:r w:rsidRPr="00EB69DF">
        <w:rPr>
          <w:sz w:val="16"/>
          <w:szCs w:val="16"/>
        </w:rPr>
        <w:t xml:space="preserve">Note: Values may not sum due to rounding. Costs are rounded to the nearest penny for display </w:t>
      </w:r>
      <w:r w:rsidRPr="00EB69DF">
        <w:rPr>
          <w:sz w:val="16"/>
          <w:szCs w:val="16"/>
        </w:rPr>
        <w:t>purposes.</w:t>
      </w:r>
      <w:r w:rsidRPr="00EB69DF">
        <w:rPr>
          <w:sz w:val="16"/>
          <w:szCs w:val="16"/>
          <w:vertAlign w:val="superscript"/>
        </w:rPr>
        <w:t>a</w:t>
      </w:r>
      <w:r w:rsidRPr="00EB69DF">
        <w:rPr>
          <w:sz w:val="16"/>
          <w:szCs w:val="16"/>
          <w:vertAlign w:val="superscript"/>
        </w:rPr>
        <w:t xml:space="preserve"> </w:t>
      </w:r>
      <w:r w:rsidRPr="00EB69DF">
        <w:rPr>
          <w:sz w:val="16"/>
          <w:szCs w:val="16"/>
        </w:rPr>
        <w:t>Source: U.S. Office of Personnel Management. (</w:t>
      </w:r>
      <w:r w:rsidRPr="00EB69DF" w:rsidR="000647C9">
        <w:rPr>
          <w:sz w:val="16"/>
          <w:szCs w:val="16"/>
        </w:rPr>
        <w:t>202</w:t>
      </w:r>
      <w:r w:rsidRPr="00EB69DF" w:rsidR="6206E57D">
        <w:rPr>
          <w:sz w:val="16"/>
          <w:szCs w:val="16"/>
        </w:rPr>
        <w:t>6</w:t>
      </w:r>
      <w:r w:rsidRPr="00EB69DF">
        <w:rPr>
          <w:sz w:val="16"/>
          <w:szCs w:val="16"/>
        </w:rPr>
        <w:t xml:space="preserve">). Salary Table </w:t>
      </w:r>
      <w:r w:rsidRPr="00EB69DF" w:rsidR="000647C9">
        <w:rPr>
          <w:sz w:val="16"/>
          <w:szCs w:val="16"/>
        </w:rPr>
        <w:t>202</w:t>
      </w:r>
      <w:r w:rsidRPr="00EB69DF" w:rsidR="56E3129F">
        <w:rPr>
          <w:sz w:val="16"/>
          <w:szCs w:val="16"/>
        </w:rPr>
        <w:t>6</w:t>
      </w:r>
      <w:r w:rsidRPr="00EB69DF">
        <w:rPr>
          <w:sz w:val="16"/>
          <w:szCs w:val="16"/>
        </w:rPr>
        <w:t xml:space="preserve">-DCB. Retrieved </w:t>
      </w:r>
      <w:r w:rsidRPr="00EB69DF" w:rsidR="51C6DD2B">
        <w:rPr>
          <w:sz w:val="16"/>
          <w:szCs w:val="16"/>
        </w:rPr>
        <w:t>January 20</w:t>
      </w:r>
      <w:r w:rsidRPr="00EB69DF" w:rsidR="51C6DD2B">
        <w:rPr>
          <w:sz w:val="16"/>
          <w:szCs w:val="16"/>
          <w:vertAlign w:val="superscript"/>
        </w:rPr>
        <w:t>th</w:t>
      </w:r>
      <w:r w:rsidRPr="00EB69DF" w:rsidR="51C6DD2B">
        <w:rPr>
          <w:sz w:val="16"/>
          <w:szCs w:val="16"/>
        </w:rPr>
        <w:t>, 2026</w:t>
      </w:r>
      <w:r w:rsidRPr="00EB69DF">
        <w:rPr>
          <w:sz w:val="16"/>
          <w:szCs w:val="16"/>
        </w:rPr>
        <w:t xml:space="preserve"> from Pay &amp; Leave: Salaries &amp; Wages: </w:t>
      </w:r>
      <w:r w:rsidRPr="00EB69DF" w:rsidR="745F525D">
        <w:rPr>
          <w:sz w:val="16"/>
          <w:szCs w:val="16"/>
        </w:rPr>
        <w:t>https://www.opm.gov/policy-data-oversight/pay-leave/salaries-wages/salary-tables/26Tables/html/DCB_h.aspx</w:t>
      </w:r>
    </w:p>
    <w:p w:rsidR="2CC1EC8D" w:rsidRPr="00EB69DF" w:rsidP="00D30F07" w14:paraId="395213C2" w14:textId="1461AC51">
      <w:pPr>
        <w:pStyle w:val="NoSpacing"/>
        <w:rPr>
          <w:rFonts w:cstheme="minorHAnsi"/>
          <w:sz w:val="16"/>
          <w:szCs w:val="16"/>
        </w:rPr>
      </w:pPr>
      <w:r w:rsidRPr="00EB69DF">
        <w:rPr>
          <w:rFonts w:cstheme="minorHAnsi"/>
          <w:sz w:val="16"/>
          <w:szCs w:val="16"/>
          <w:vertAlign w:val="superscript"/>
        </w:rPr>
        <w:t>b</w:t>
      </w:r>
      <w:r w:rsidRPr="00EB69DF">
        <w:rPr>
          <w:rFonts w:cstheme="minorHAnsi"/>
          <w:sz w:val="16"/>
          <w:szCs w:val="16"/>
        </w:rPr>
        <w:t xml:space="preserve"> Source: Falk, J. 2012. “Comparing Benefits and Total Compensation in the Federal Government and the Private Sector.” Congressional Budget Office Working Paper Series. </w:t>
      </w:r>
      <w:hyperlink r:id="rId10">
        <w:r w:rsidRPr="00EB69DF">
          <w:rPr>
            <w:rStyle w:val="Hyperlink"/>
            <w:rFonts w:eastAsia="Times New Roman" w:cstheme="minorHAnsi"/>
            <w:sz w:val="16"/>
            <w:szCs w:val="16"/>
          </w:rPr>
          <w:t>https://www.cbo.gov/sites/default/files/112th-congress-2011-2012/workingpaper/2012-04fedbenefitswp0.pdf</w:t>
        </w:r>
      </w:hyperlink>
    </w:p>
    <w:p w:rsidR="2CC1EC8D" w:rsidRPr="00EB69DF" w:rsidP="51623177" w14:paraId="0F5C161F" w14:textId="02117DE4">
      <w:pPr>
        <w:pStyle w:val="NoSpacing"/>
        <w:rPr>
          <w:sz w:val="16"/>
          <w:szCs w:val="16"/>
        </w:rPr>
      </w:pPr>
      <w:r w:rsidRPr="00EB69DF">
        <w:rPr>
          <w:sz w:val="16"/>
          <w:szCs w:val="16"/>
          <w:vertAlign w:val="superscript"/>
        </w:rPr>
        <w:t xml:space="preserve">c </w:t>
      </w:r>
      <w:r w:rsidRPr="00EB69DF">
        <w:rPr>
          <w:sz w:val="16"/>
          <w:szCs w:val="16"/>
        </w:rPr>
        <w:t>An overhead rate of 20% is used based on assumptions in Handbook on Valuing Changes in Time Use Induced by Regulatory Requirements and Other U.S. EPA Actions (EPA 2020b).</w:t>
      </w:r>
    </w:p>
    <w:p w:rsidR="00EB69DF" w:rsidP="51623177" w14:paraId="5AEE20DE" w14:textId="77777777">
      <w:pPr>
        <w:pStyle w:val="NoSpacing"/>
        <w:rPr>
          <w:sz w:val="20"/>
          <w:szCs w:val="20"/>
        </w:rPr>
      </w:pPr>
    </w:p>
    <w:p w:rsidR="00245CCC" w:rsidRPr="00B20FDA" w:rsidP="00B20FDA" w14:paraId="54F7E7B4" w14:textId="328FA08C">
      <w:pPr>
        <w:pStyle w:val="Heading3"/>
        <w:spacing w:line="276" w:lineRule="auto"/>
        <w:rPr>
          <w:rFonts w:ascii="Calibri" w:hAnsi="Calibri" w:cs="Calibri"/>
          <w:lang w:val="en"/>
        </w:rPr>
      </w:pPr>
      <w:r w:rsidRPr="00B20FDA">
        <w:rPr>
          <w:rFonts w:ascii="Calibri" w:hAnsi="Calibri" w:cs="Calibri"/>
          <w:lang w:val="en"/>
        </w:rPr>
        <w:t xml:space="preserve">14b. Agency Burden and Labor Costs </w:t>
      </w:r>
    </w:p>
    <w:p w:rsidR="000E304B" w:rsidRPr="00371311" w:rsidP="00B20FDA" w14:paraId="60601636" w14:textId="04BA645B">
      <w:pPr>
        <w:rPr>
          <w:rFonts w:asciiTheme="minorHAnsi" w:hAnsiTheme="minorHAnsi" w:cstheme="minorHAnsi"/>
          <w:szCs w:val="24"/>
        </w:rPr>
      </w:pPr>
      <w:r w:rsidRPr="00371311">
        <w:rPr>
          <w:rFonts w:asciiTheme="minorHAnsi" w:hAnsiTheme="minorHAnsi" w:cstheme="minorHAnsi"/>
          <w:szCs w:val="24"/>
        </w:rPr>
        <w:t xml:space="preserve">Estimates of Agency labor required to complete substantiation review are discussed in </w:t>
      </w:r>
      <w:r w:rsidRPr="00371311" w:rsidR="00824849">
        <w:rPr>
          <w:rFonts w:asciiTheme="minorHAnsi" w:hAnsiTheme="minorHAnsi" w:cstheme="minorHAnsi"/>
          <w:szCs w:val="24"/>
        </w:rPr>
        <w:t xml:space="preserve">Table </w:t>
      </w:r>
      <w:r w:rsidRPr="00371311" w:rsidR="2D456559">
        <w:rPr>
          <w:rFonts w:asciiTheme="minorHAnsi" w:hAnsiTheme="minorHAnsi" w:cstheme="minorHAnsi"/>
          <w:szCs w:val="24"/>
        </w:rPr>
        <w:t>10</w:t>
      </w:r>
      <w:r w:rsidRPr="00371311" w:rsidR="00824849">
        <w:rPr>
          <w:rFonts w:asciiTheme="minorHAnsi" w:hAnsiTheme="minorHAnsi" w:cstheme="minorHAnsi"/>
          <w:szCs w:val="24"/>
        </w:rPr>
        <w:t xml:space="preserve"> </w:t>
      </w:r>
      <w:r w:rsidRPr="00371311">
        <w:rPr>
          <w:rFonts w:asciiTheme="minorHAnsi" w:hAnsiTheme="minorHAnsi" w:cstheme="minorHAnsi"/>
          <w:szCs w:val="24"/>
        </w:rPr>
        <w:t xml:space="preserve">of the Economic Analysis for the </w:t>
      </w:r>
      <w:r w:rsidR="00B20FDA">
        <w:rPr>
          <w:rFonts w:asciiTheme="minorHAnsi" w:hAnsiTheme="minorHAnsi" w:cstheme="minorHAnsi"/>
          <w:szCs w:val="24"/>
        </w:rPr>
        <w:t xml:space="preserve">TSCA </w:t>
      </w:r>
      <w:r w:rsidRPr="00371311" w:rsidR="006A224D">
        <w:rPr>
          <w:rFonts w:asciiTheme="minorHAnsi" w:hAnsiTheme="minorHAnsi" w:cstheme="minorHAnsi"/>
          <w:szCs w:val="24"/>
        </w:rPr>
        <w:t>Final</w:t>
      </w:r>
      <w:r w:rsidRPr="00371311">
        <w:rPr>
          <w:rFonts w:asciiTheme="minorHAnsi" w:hAnsiTheme="minorHAnsi" w:cstheme="minorHAnsi"/>
          <w:szCs w:val="24"/>
        </w:rPr>
        <w:t xml:space="preserve"> Rule</w:t>
      </w:r>
      <w:r w:rsidR="00B20FDA">
        <w:rPr>
          <w:rFonts w:asciiTheme="minorHAnsi" w:hAnsiTheme="minorHAnsi" w:cstheme="minorHAnsi"/>
          <w:szCs w:val="24"/>
        </w:rPr>
        <w:t xml:space="preserve"> </w:t>
      </w:r>
      <w:r w:rsidR="00740161">
        <w:rPr>
          <w:rFonts w:asciiTheme="minorHAnsi" w:hAnsiTheme="minorHAnsi" w:cstheme="minorHAnsi"/>
          <w:szCs w:val="24"/>
        </w:rPr>
        <w:t>“</w:t>
      </w:r>
      <w:r w:rsidRPr="00371311">
        <w:rPr>
          <w:rFonts w:asciiTheme="minorHAnsi" w:hAnsiTheme="minorHAnsi" w:cstheme="minorHAnsi"/>
          <w:szCs w:val="24"/>
        </w:rPr>
        <w:t>Procedures for Review of CBI Claims for the Identity of Chemicals on the TSCA Inventory</w:t>
      </w:r>
      <w:r w:rsidR="00740161">
        <w:rPr>
          <w:rFonts w:asciiTheme="minorHAnsi" w:hAnsiTheme="minorHAnsi" w:cstheme="minorHAnsi"/>
          <w:szCs w:val="24"/>
        </w:rPr>
        <w:t>” (Ref</w:t>
      </w:r>
      <w:r w:rsidR="00996107">
        <w:rPr>
          <w:rFonts w:asciiTheme="minorHAnsi" w:hAnsiTheme="minorHAnsi" w:cstheme="minorHAnsi"/>
          <w:szCs w:val="24"/>
        </w:rPr>
        <w:t xml:space="preserve"> 14</w:t>
      </w:r>
      <w:r w:rsidR="00740161">
        <w:rPr>
          <w:rFonts w:asciiTheme="minorHAnsi" w:hAnsiTheme="minorHAnsi" w:cstheme="minorHAnsi"/>
          <w:szCs w:val="24"/>
        </w:rPr>
        <w:t>)</w:t>
      </w:r>
      <w:r w:rsidRPr="00371311">
        <w:rPr>
          <w:rFonts w:asciiTheme="minorHAnsi" w:hAnsiTheme="minorHAnsi" w:cstheme="minorHAnsi"/>
          <w:szCs w:val="24"/>
        </w:rPr>
        <w:t xml:space="preserve">. Agency burden is combined with wage data in </w:t>
      </w:r>
      <w:r w:rsidRPr="00371311" w:rsidR="00824849">
        <w:rPr>
          <w:rFonts w:asciiTheme="minorHAnsi" w:hAnsiTheme="minorHAnsi" w:cstheme="minorHAnsi"/>
          <w:szCs w:val="24"/>
        </w:rPr>
        <w:t xml:space="preserve">Table </w:t>
      </w:r>
      <w:r w:rsidRPr="00371311" w:rsidR="00C944AF">
        <w:rPr>
          <w:rFonts w:asciiTheme="minorHAnsi" w:hAnsiTheme="minorHAnsi" w:cstheme="minorHAnsi"/>
          <w:szCs w:val="24"/>
        </w:rPr>
        <w:t>5</w:t>
      </w:r>
      <w:r w:rsidRPr="00371311">
        <w:rPr>
          <w:rFonts w:asciiTheme="minorHAnsi" w:hAnsiTheme="minorHAnsi" w:cstheme="minorHAnsi"/>
          <w:szCs w:val="24"/>
        </w:rPr>
        <w:t xml:space="preserve"> to estimate Agency cost</w:t>
      </w:r>
      <w:r w:rsidRPr="00371311" w:rsidR="002105BE">
        <w:rPr>
          <w:rFonts w:asciiTheme="minorHAnsi" w:hAnsiTheme="minorHAnsi" w:cstheme="minorHAnsi"/>
          <w:szCs w:val="24"/>
        </w:rPr>
        <w:t xml:space="preserve"> savings</w:t>
      </w:r>
      <w:r w:rsidRPr="00371311" w:rsidR="00824849">
        <w:rPr>
          <w:rFonts w:asciiTheme="minorHAnsi" w:hAnsiTheme="minorHAnsi" w:cstheme="minorHAnsi"/>
          <w:szCs w:val="24"/>
        </w:rPr>
        <w:t xml:space="preserve">. </w:t>
      </w:r>
    </w:p>
    <w:p w:rsidR="5D40FB0A" w:rsidRPr="00371311" w:rsidP="37B89732" w14:paraId="35087720" w14:textId="1B5E1032">
      <w:pPr>
        <w:rPr>
          <w:rFonts w:eastAsia="Times New Roman" w:asciiTheme="minorHAnsi" w:hAnsiTheme="minorHAnsi"/>
          <w:b/>
          <w:bCs/>
        </w:rPr>
      </w:pPr>
      <w:r w:rsidRPr="37B89732">
        <w:rPr>
          <w:rFonts w:eastAsia="Times New Roman" w:asciiTheme="minorHAnsi" w:hAnsiTheme="minorHAnsi"/>
          <w:b/>
          <w:bCs/>
        </w:rPr>
        <w:t xml:space="preserve">Table </w:t>
      </w:r>
      <w:r w:rsidRPr="37B89732" w:rsidR="00C944AF">
        <w:rPr>
          <w:rFonts w:eastAsia="Times New Roman" w:asciiTheme="minorHAnsi" w:hAnsiTheme="minorHAnsi"/>
          <w:b/>
          <w:bCs/>
        </w:rPr>
        <w:t>6</w:t>
      </w:r>
      <w:r w:rsidRPr="37B89732">
        <w:rPr>
          <w:rFonts w:eastAsia="Times New Roman" w:asciiTheme="minorHAnsi" w:hAnsiTheme="minorHAnsi"/>
          <w:b/>
          <w:bCs/>
        </w:rPr>
        <w:t>: Total Change in Burden and Cost to the Agency (</w:t>
      </w:r>
      <w:r w:rsidRPr="37B89732" w:rsidR="000647C9">
        <w:rPr>
          <w:rFonts w:eastAsia="Times New Roman" w:asciiTheme="minorHAnsi" w:hAnsiTheme="minorHAnsi"/>
          <w:b/>
          <w:bCs/>
        </w:rPr>
        <w:t>202</w:t>
      </w:r>
      <w:r w:rsidRPr="37B89732" w:rsidR="16084A70">
        <w:rPr>
          <w:rFonts w:eastAsia="Times New Roman" w:asciiTheme="minorHAnsi" w:hAnsiTheme="minorHAnsi"/>
          <w:b/>
          <w:bCs/>
        </w:rPr>
        <w:t>6</w:t>
      </w:r>
      <w:r w:rsidRPr="37B89732">
        <w:rPr>
          <w:rFonts w:eastAsia="Times New Roman" w:asciiTheme="minorHAnsi" w:hAnsiTheme="minorHAnsi"/>
          <w:b/>
          <w:bCs/>
        </w:rPr>
        <w:t>$)</w:t>
      </w:r>
      <w:r>
        <w:tab/>
      </w:r>
      <w:r w:rsidRPr="37B89732">
        <w:rPr>
          <w:rFonts w:eastAsia="Times New Roman" w:asciiTheme="minorHAnsi" w:hAnsiTheme="minorHAnsi"/>
          <w:b/>
          <w:bCs/>
        </w:rPr>
        <w:t xml:space="preserve"> </w:t>
      </w:r>
    </w:p>
    <w:tbl>
      <w:tblPr>
        <w:tblStyle w:val="TableGrid"/>
        <w:tblW w:w="8715" w:type="dxa"/>
        <w:tblLayout w:type="fixed"/>
        <w:tblLook w:val="04A0"/>
      </w:tblPr>
      <w:tblGrid>
        <w:gridCol w:w="3145"/>
        <w:gridCol w:w="1295"/>
        <w:gridCol w:w="1440"/>
        <w:gridCol w:w="1125"/>
        <w:gridCol w:w="1710"/>
      </w:tblGrid>
      <w:tr w14:paraId="0C2C2E57" w14:textId="77777777" w:rsidTr="00B1567C">
        <w:tblPrEx>
          <w:tblW w:w="8715" w:type="dxa"/>
          <w:tblLayout w:type="fixed"/>
          <w:tblLook w:val="04A0"/>
        </w:tblPrEx>
        <w:trPr>
          <w:trHeight w:val="435"/>
        </w:trPr>
        <w:tc>
          <w:tcPr>
            <w:tcW w:w="3145" w:type="dxa"/>
            <w:shd w:val="clear" w:color="auto" w:fill="8EAADB" w:themeFill="accent5" w:themeFillTint="99"/>
            <w:vAlign w:val="center"/>
          </w:tcPr>
          <w:p w:rsidR="00FA1649" w:rsidRPr="00371311" w:rsidP="37B89732" w14:paraId="0043569F" w14:textId="1E28F03C">
            <w:pPr>
              <w:jc w:val="center"/>
              <w:rPr>
                <w:rFonts w:asciiTheme="minorHAnsi" w:hAnsiTheme="minorHAnsi"/>
              </w:rPr>
            </w:pPr>
            <w:r w:rsidRPr="37B89732">
              <w:rPr>
                <w:rFonts w:eastAsia="Times New Roman" w:asciiTheme="minorHAnsi" w:hAnsiTheme="minorHAnsi"/>
                <w:b/>
                <w:bCs/>
              </w:rPr>
              <w:t xml:space="preserve">Activity </w:t>
            </w:r>
          </w:p>
        </w:tc>
        <w:tc>
          <w:tcPr>
            <w:tcW w:w="1295" w:type="dxa"/>
            <w:shd w:val="clear" w:color="auto" w:fill="8EAADB" w:themeFill="accent5" w:themeFillTint="99"/>
            <w:vAlign w:val="center"/>
          </w:tcPr>
          <w:p w:rsidR="00FA1649" w:rsidRPr="00371311" w:rsidP="00B20FDA" w14:paraId="06CC1330" w14:textId="7067E8EA">
            <w:pPr>
              <w:jc w:val="center"/>
              <w:rPr>
                <w:rFonts w:asciiTheme="minorHAnsi" w:hAnsiTheme="minorHAnsi" w:cstheme="minorHAnsi"/>
                <w:szCs w:val="24"/>
              </w:rPr>
            </w:pPr>
            <w:r w:rsidRPr="00371311">
              <w:rPr>
                <w:rFonts w:eastAsia="Times New Roman" w:asciiTheme="minorHAnsi" w:hAnsiTheme="minorHAnsi" w:cstheme="minorHAnsi"/>
                <w:b/>
                <w:bCs/>
                <w:color w:val="000000" w:themeColor="text1"/>
                <w:szCs w:val="24"/>
              </w:rPr>
              <w:t>Annual Frequency</w:t>
            </w:r>
          </w:p>
        </w:tc>
        <w:tc>
          <w:tcPr>
            <w:tcW w:w="1440" w:type="dxa"/>
            <w:shd w:val="clear" w:color="auto" w:fill="8EAADB" w:themeFill="accent5" w:themeFillTint="99"/>
            <w:vAlign w:val="center"/>
          </w:tcPr>
          <w:p w:rsidR="00FA1649" w:rsidRPr="00371311" w:rsidP="00B20FDA" w14:paraId="03EE769E" w14:textId="086DB0B4">
            <w:pPr>
              <w:jc w:val="center"/>
              <w:rPr>
                <w:rFonts w:asciiTheme="minorHAnsi" w:hAnsiTheme="minorHAnsi" w:cstheme="minorHAnsi"/>
                <w:szCs w:val="24"/>
              </w:rPr>
            </w:pPr>
            <w:r w:rsidRPr="00371311">
              <w:rPr>
                <w:rFonts w:eastAsia="Times New Roman" w:asciiTheme="minorHAnsi" w:hAnsiTheme="minorHAnsi" w:cstheme="minorHAnsi"/>
                <w:b/>
                <w:bCs/>
                <w:color w:val="000000" w:themeColor="text1"/>
                <w:szCs w:val="24"/>
              </w:rPr>
              <w:t>Burden per Submission</w:t>
            </w:r>
          </w:p>
        </w:tc>
        <w:tc>
          <w:tcPr>
            <w:tcW w:w="1125" w:type="dxa"/>
            <w:shd w:val="clear" w:color="auto" w:fill="8EAADB" w:themeFill="accent5" w:themeFillTint="99"/>
            <w:vAlign w:val="center"/>
          </w:tcPr>
          <w:p w:rsidR="00FA1649" w:rsidRPr="00371311" w:rsidP="00B20FDA" w14:paraId="4AE56D3A" w14:textId="7320978B">
            <w:pPr>
              <w:jc w:val="center"/>
              <w:rPr>
                <w:rFonts w:asciiTheme="minorHAnsi" w:hAnsiTheme="minorHAnsi" w:cstheme="minorHAnsi"/>
                <w:szCs w:val="24"/>
              </w:rPr>
            </w:pPr>
            <w:r w:rsidRPr="00371311">
              <w:rPr>
                <w:rFonts w:eastAsia="Times New Roman" w:asciiTheme="minorHAnsi" w:hAnsiTheme="minorHAnsi" w:cstheme="minorHAnsi"/>
                <w:b/>
                <w:bCs/>
                <w:color w:val="000000" w:themeColor="text1"/>
                <w:szCs w:val="24"/>
              </w:rPr>
              <w:t>Total Agency Burden</w:t>
            </w:r>
          </w:p>
        </w:tc>
        <w:tc>
          <w:tcPr>
            <w:tcW w:w="1710" w:type="dxa"/>
            <w:shd w:val="clear" w:color="auto" w:fill="8EAADB" w:themeFill="accent5" w:themeFillTint="99"/>
            <w:vAlign w:val="center"/>
          </w:tcPr>
          <w:p w:rsidR="00FA1649" w:rsidRPr="00371311" w:rsidP="37B89732" w14:paraId="31E8E687" w14:textId="0B6E6B54">
            <w:pPr>
              <w:jc w:val="center"/>
              <w:rPr>
                <w:rFonts w:asciiTheme="minorHAnsi" w:hAnsiTheme="minorHAnsi"/>
              </w:rPr>
            </w:pPr>
            <w:r w:rsidRPr="37B89732">
              <w:rPr>
                <w:rFonts w:eastAsia="Times New Roman" w:asciiTheme="minorHAnsi" w:hAnsiTheme="minorHAnsi"/>
                <w:b/>
                <w:bCs/>
                <w:color w:val="000000" w:themeColor="text1"/>
              </w:rPr>
              <w:t>Total  Agency Cost  (202</w:t>
            </w:r>
            <w:r w:rsidRPr="37B89732" w:rsidR="6CC8681D">
              <w:rPr>
                <w:rFonts w:eastAsia="Times New Roman" w:asciiTheme="minorHAnsi" w:hAnsiTheme="minorHAnsi"/>
                <w:b/>
                <w:bCs/>
                <w:color w:val="000000" w:themeColor="text1"/>
              </w:rPr>
              <w:t>6</w:t>
            </w:r>
            <w:r w:rsidRPr="37B89732">
              <w:rPr>
                <w:rFonts w:eastAsia="Times New Roman" w:asciiTheme="minorHAnsi" w:hAnsiTheme="minorHAnsi"/>
                <w:b/>
                <w:bCs/>
                <w:color w:val="000000" w:themeColor="text1"/>
              </w:rPr>
              <w:t>$)</w:t>
            </w:r>
          </w:p>
        </w:tc>
      </w:tr>
      <w:tr w14:paraId="3397AFB9" w14:textId="77777777" w:rsidTr="00B1567C">
        <w:tblPrEx>
          <w:tblW w:w="8715" w:type="dxa"/>
          <w:tblLayout w:type="fixed"/>
          <w:tblLook w:val="04A0"/>
        </w:tblPrEx>
        <w:trPr>
          <w:trHeight w:val="750"/>
        </w:trPr>
        <w:tc>
          <w:tcPr>
            <w:tcW w:w="3145" w:type="dxa"/>
            <w:vAlign w:val="center"/>
          </w:tcPr>
          <w:p w:rsidR="00FA1649" w:rsidRPr="00371311" w:rsidP="00B20FDA" w14:paraId="0E5A5FE3" w14:textId="01443E75">
            <w:pPr>
              <w:rPr>
                <w:rFonts w:eastAsia="Times New Roman" w:asciiTheme="minorHAnsi" w:hAnsiTheme="minorHAnsi" w:cstheme="minorHAnsi"/>
                <w:szCs w:val="24"/>
              </w:rPr>
            </w:pPr>
            <w:r w:rsidRPr="00371311">
              <w:rPr>
                <w:rFonts w:eastAsia="Times New Roman" w:asciiTheme="minorHAnsi" w:hAnsiTheme="minorHAnsi" w:cstheme="minorHAnsi"/>
                <w:szCs w:val="24"/>
              </w:rPr>
              <w:t>Review of re-substantiation</w:t>
            </w:r>
            <w:r>
              <w:rPr>
                <w:rFonts w:eastAsia="Times New Roman" w:asciiTheme="minorHAnsi" w:hAnsiTheme="minorHAnsi" w:cstheme="minorHAnsi"/>
                <w:szCs w:val="24"/>
              </w:rPr>
              <w:t xml:space="preserve"> TSCA section 14(e)</w:t>
            </w:r>
          </w:p>
        </w:tc>
        <w:tc>
          <w:tcPr>
            <w:tcW w:w="1295" w:type="dxa"/>
            <w:vAlign w:val="center"/>
          </w:tcPr>
          <w:p w:rsidR="00FA1649" w:rsidRPr="00371311" w:rsidP="00B20FDA" w14:paraId="3C1D4E46" w14:textId="5010E08B">
            <w:pPr>
              <w:jc w:val="center"/>
              <w:rPr>
                <w:rFonts w:eastAsia="Times New Roman" w:asciiTheme="minorHAnsi" w:hAnsiTheme="minorHAnsi" w:cstheme="minorHAnsi"/>
                <w:szCs w:val="24"/>
              </w:rPr>
            </w:pPr>
            <w:r>
              <w:rPr>
                <w:rFonts w:eastAsia="Times New Roman" w:asciiTheme="minorHAnsi" w:hAnsiTheme="minorHAnsi" w:cstheme="minorHAnsi"/>
                <w:szCs w:val="24"/>
              </w:rPr>
              <w:t>1,100</w:t>
            </w:r>
          </w:p>
        </w:tc>
        <w:tc>
          <w:tcPr>
            <w:tcW w:w="1440" w:type="dxa"/>
            <w:vAlign w:val="center"/>
          </w:tcPr>
          <w:p w:rsidR="00FA1649" w:rsidRPr="00371311" w:rsidP="00B20FDA" w14:paraId="4B509FDB" w14:textId="2D437F0A">
            <w:pPr>
              <w:jc w:val="center"/>
              <w:rPr>
                <w:rFonts w:eastAsia="Times New Roman" w:asciiTheme="minorHAnsi" w:hAnsiTheme="minorHAnsi" w:cstheme="minorHAnsi"/>
                <w:szCs w:val="24"/>
              </w:rPr>
            </w:pPr>
            <w:r>
              <w:rPr>
                <w:rFonts w:eastAsia="Times New Roman" w:asciiTheme="minorHAnsi" w:hAnsiTheme="minorHAnsi" w:cstheme="minorHAnsi"/>
                <w:szCs w:val="24"/>
              </w:rPr>
              <w:t>1 hour</w:t>
            </w:r>
          </w:p>
        </w:tc>
        <w:tc>
          <w:tcPr>
            <w:tcW w:w="1125" w:type="dxa"/>
            <w:vAlign w:val="center"/>
          </w:tcPr>
          <w:p w:rsidR="00FA1649" w:rsidRPr="00371311" w:rsidP="00B20FDA" w14:paraId="6F1178E3" w14:textId="44AAA450">
            <w:pPr>
              <w:jc w:val="center"/>
              <w:rPr>
                <w:rFonts w:eastAsia="Times New Roman" w:asciiTheme="minorHAnsi" w:hAnsiTheme="minorHAnsi" w:cstheme="minorHAnsi"/>
                <w:szCs w:val="24"/>
              </w:rPr>
            </w:pPr>
            <w:r>
              <w:rPr>
                <w:rFonts w:eastAsia="Times New Roman" w:asciiTheme="minorHAnsi" w:hAnsiTheme="minorHAnsi" w:cstheme="minorHAnsi"/>
                <w:szCs w:val="24"/>
              </w:rPr>
              <w:t>1,100 hours</w:t>
            </w:r>
          </w:p>
        </w:tc>
        <w:tc>
          <w:tcPr>
            <w:tcW w:w="1710" w:type="dxa"/>
            <w:vAlign w:val="center"/>
          </w:tcPr>
          <w:p w:rsidR="37B89732" w:rsidP="37B89732" w14:paraId="5D47E364" w14:textId="2F210CCB">
            <w:pPr>
              <w:spacing w:after="0"/>
              <w:jc w:val="center"/>
            </w:pPr>
            <w:r w:rsidRPr="37B89732">
              <w:rPr>
                <w:rFonts w:ascii="Calibri" w:eastAsia="Calibri" w:hAnsi="Calibri" w:cs="Calibri"/>
                <w:color w:val="000000" w:themeColor="text1"/>
                <w:szCs w:val="24"/>
              </w:rPr>
              <w:t xml:space="preserve">$143,088.00 </w:t>
            </w:r>
          </w:p>
        </w:tc>
      </w:tr>
      <w:tr w14:paraId="3A4F6CC6" w14:textId="77777777" w:rsidTr="00B1567C">
        <w:tblPrEx>
          <w:tblW w:w="8715" w:type="dxa"/>
          <w:tblLayout w:type="fixed"/>
          <w:tblLook w:val="04A0"/>
        </w:tblPrEx>
        <w:trPr>
          <w:trHeight w:val="750"/>
        </w:trPr>
        <w:tc>
          <w:tcPr>
            <w:tcW w:w="3145" w:type="dxa"/>
            <w:vAlign w:val="center"/>
          </w:tcPr>
          <w:p w:rsidR="00FA1649" w:rsidRPr="00371311" w:rsidP="00B20FDA" w14:paraId="37726A54" w14:textId="698775B2">
            <w:pPr>
              <w:rPr>
                <w:rFonts w:eastAsia="Times New Roman" w:asciiTheme="minorHAnsi" w:hAnsiTheme="minorHAnsi" w:cstheme="minorHAnsi"/>
                <w:szCs w:val="24"/>
              </w:rPr>
            </w:pPr>
            <w:r>
              <w:rPr>
                <w:rFonts w:eastAsia="Times New Roman" w:asciiTheme="minorHAnsi" w:hAnsiTheme="minorHAnsi" w:cstheme="minorHAnsi"/>
                <w:szCs w:val="24"/>
              </w:rPr>
              <w:t>Review of CBI determination under TSCA section 14(f)</w:t>
            </w:r>
          </w:p>
        </w:tc>
        <w:tc>
          <w:tcPr>
            <w:tcW w:w="1295" w:type="dxa"/>
            <w:vAlign w:val="center"/>
          </w:tcPr>
          <w:p w:rsidR="00FA1649" w:rsidRPr="00371311" w:rsidP="00B20FDA" w14:paraId="3B65FABF" w14:textId="69B886E5">
            <w:pPr>
              <w:jc w:val="center"/>
              <w:rPr>
                <w:rFonts w:eastAsia="Times New Roman" w:asciiTheme="minorHAnsi" w:hAnsiTheme="minorHAnsi" w:cstheme="minorHAnsi"/>
                <w:szCs w:val="24"/>
              </w:rPr>
            </w:pPr>
            <w:r>
              <w:rPr>
                <w:rFonts w:eastAsia="Times New Roman" w:asciiTheme="minorHAnsi" w:hAnsiTheme="minorHAnsi" w:cstheme="minorHAnsi"/>
                <w:szCs w:val="24"/>
              </w:rPr>
              <w:t>5</w:t>
            </w:r>
          </w:p>
        </w:tc>
        <w:tc>
          <w:tcPr>
            <w:tcW w:w="1440" w:type="dxa"/>
            <w:vAlign w:val="center"/>
          </w:tcPr>
          <w:p w:rsidR="00FA1649" w:rsidRPr="00371311" w:rsidP="00B20FDA" w14:paraId="5251503F" w14:textId="72F70384">
            <w:pPr>
              <w:jc w:val="center"/>
              <w:rPr>
                <w:rFonts w:eastAsia="Times New Roman" w:asciiTheme="minorHAnsi" w:hAnsiTheme="minorHAnsi" w:cstheme="minorHAnsi"/>
                <w:szCs w:val="24"/>
              </w:rPr>
            </w:pPr>
            <w:r>
              <w:rPr>
                <w:rFonts w:eastAsia="Times New Roman" w:asciiTheme="minorHAnsi" w:hAnsiTheme="minorHAnsi" w:cstheme="minorHAnsi"/>
                <w:szCs w:val="24"/>
              </w:rPr>
              <w:t>12 hours</w:t>
            </w:r>
          </w:p>
        </w:tc>
        <w:tc>
          <w:tcPr>
            <w:tcW w:w="1125" w:type="dxa"/>
            <w:vAlign w:val="center"/>
          </w:tcPr>
          <w:p w:rsidR="00FA1649" w:rsidRPr="00371311" w:rsidP="00B20FDA" w14:paraId="14805915" w14:textId="3E83C3ED">
            <w:pPr>
              <w:jc w:val="center"/>
              <w:rPr>
                <w:rFonts w:eastAsia="Times New Roman" w:asciiTheme="minorHAnsi" w:hAnsiTheme="minorHAnsi" w:cstheme="minorHAnsi"/>
                <w:szCs w:val="24"/>
              </w:rPr>
            </w:pPr>
            <w:r>
              <w:rPr>
                <w:rFonts w:eastAsia="Times New Roman" w:asciiTheme="minorHAnsi" w:hAnsiTheme="minorHAnsi" w:cstheme="minorHAnsi"/>
                <w:szCs w:val="24"/>
              </w:rPr>
              <w:t>60 hours</w:t>
            </w:r>
          </w:p>
        </w:tc>
        <w:tc>
          <w:tcPr>
            <w:tcW w:w="1710" w:type="dxa"/>
            <w:vAlign w:val="center"/>
          </w:tcPr>
          <w:p w:rsidR="37B89732" w:rsidP="37B89732" w14:paraId="65AA8163" w14:textId="59BA039D">
            <w:pPr>
              <w:spacing w:after="0"/>
              <w:jc w:val="center"/>
            </w:pPr>
            <w:r w:rsidRPr="37B89732">
              <w:rPr>
                <w:rFonts w:ascii="Calibri" w:eastAsia="Calibri" w:hAnsi="Calibri" w:cs="Calibri"/>
                <w:color w:val="000000" w:themeColor="text1"/>
                <w:szCs w:val="24"/>
              </w:rPr>
              <w:t>$7,804.80</w:t>
            </w:r>
          </w:p>
        </w:tc>
      </w:tr>
      <w:tr w14:paraId="6CACD8A3" w14:textId="77777777" w:rsidTr="00B1567C">
        <w:tblPrEx>
          <w:tblW w:w="8715" w:type="dxa"/>
          <w:tblLayout w:type="fixed"/>
          <w:tblLook w:val="04A0"/>
        </w:tblPrEx>
        <w:trPr>
          <w:trHeight w:val="750"/>
        </w:trPr>
        <w:tc>
          <w:tcPr>
            <w:tcW w:w="3145" w:type="dxa"/>
            <w:vAlign w:val="center"/>
          </w:tcPr>
          <w:p w:rsidR="004D61E6" w:rsidRPr="00FD7327" w:rsidP="00B20FDA" w14:paraId="5C8CC893" w14:textId="7AA34676">
            <w:pPr>
              <w:rPr>
                <w:rFonts w:eastAsia="Times New Roman" w:asciiTheme="minorHAnsi" w:hAnsiTheme="minorHAnsi" w:cstheme="minorHAnsi"/>
                <w:b/>
                <w:bCs/>
                <w:szCs w:val="24"/>
              </w:rPr>
            </w:pPr>
            <w:r w:rsidRPr="00FD7327">
              <w:rPr>
                <w:rFonts w:eastAsia="Times New Roman" w:asciiTheme="minorHAnsi" w:hAnsiTheme="minorHAnsi" w:cstheme="minorHAnsi"/>
                <w:b/>
                <w:bCs/>
                <w:szCs w:val="24"/>
              </w:rPr>
              <w:t xml:space="preserve">Total </w:t>
            </w:r>
          </w:p>
        </w:tc>
        <w:tc>
          <w:tcPr>
            <w:tcW w:w="3860" w:type="dxa"/>
            <w:gridSpan w:val="3"/>
            <w:vAlign w:val="center"/>
          </w:tcPr>
          <w:p w:rsidR="004D61E6" w:rsidRPr="00FD7327" w:rsidP="004D61E6" w14:paraId="777D825D" w14:textId="5FC44F93">
            <w:pPr>
              <w:jc w:val="right"/>
              <w:rPr>
                <w:rFonts w:eastAsia="Times New Roman" w:asciiTheme="minorHAnsi" w:hAnsiTheme="minorHAnsi" w:cstheme="minorHAnsi"/>
                <w:b/>
                <w:bCs/>
                <w:szCs w:val="24"/>
              </w:rPr>
            </w:pPr>
            <w:r w:rsidRPr="00FD7327">
              <w:rPr>
                <w:rFonts w:eastAsia="Times New Roman" w:asciiTheme="minorHAnsi" w:hAnsiTheme="minorHAnsi" w:cstheme="minorHAnsi"/>
                <w:b/>
                <w:bCs/>
                <w:szCs w:val="24"/>
              </w:rPr>
              <w:t>1,160 hours</w:t>
            </w:r>
          </w:p>
        </w:tc>
        <w:tc>
          <w:tcPr>
            <w:tcW w:w="1710" w:type="dxa"/>
            <w:vAlign w:val="center"/>
          </w:tcPr>
          <w:p w:rsidR="37B89732" w:rsidP="37B89732" w14:paraId="05729009" w14:textId="72AAC176">
            <w:pPr>
              <w:spacing w:after="0"/>
              <w:jc w:val="center"/>
              <w:rPr>
                <w:rFonts w:ascii="Calibri" w:eastAsia="Calibri" w:hAnsi="Calibri" w:cs="Calibri"/>
                <w:b/>
                <w:bCs/>
                <w:szCs w:val="24"/>
              </w:rPr>
            </w:pPr>
            <w:r w:rsidRPr="37B89732">
              <w:rPr>
                <w:rFonts w:ascii="Calibri" w:eastAsia="Calibri" w:hAnsi="Calibri" w:cs="Calibri"/>
                <w:b/>
                <w:bCs/>
                <w:szCs w:val="24"/>
              </w:rPr>
              <w:t>$150,892.80</w:t>
            </w:r>
          </w:p>
        </w:tc>
      </w:tr>
    </w:tbl>
    <w:p w:rsidR="5D40FB0A" w:rsidP="00B20FDA" w14:paraId="4AE9CD05" w14:textId="6E5E29CB">
      <w:pPr>
        <w:rPr>
          <w:rFonts w:eastAsia="Times New Roman" w:asciiTheme="minorHAnsi" w:hAnsiTheme="minorHAnsi"/>
          <w:sz w:val="20"/>
          <w:szCs w:val="20"/>
        </w:rPr>
      </w:pPr>
      <w:r w:rsidRPr="275E11E4">
        <w:rPr>
          <w:rFonts w:eastAsia="Times New Roman" w:asciiTheme="minorHAnsi" w:hAnsiTheme="minorHAnsi"/>
          <w:sz w:val="20"/>
          <w:szCs w:val="20"/>
        </w:rPr>
        <w:t>Note: Values may not sum due to rounding. Costs are rounded to the nearest penny for display purposes.</w:t>
      </w:r>
    </w:p>
    <w:p w:rsidR="004769D8" w:rsidRPr="002B089B" w:rsidP="00EB69DF" w14:paraId="09EFA0AF" w14:textId="77777777">
      <w:pPr>
        <w:spacing w:after="0"/>
        <w:rPr>
          <w:rFonts w:asciiTheme="minorHAnsi" w:hAnsiTheme="minorHAnsi" w:cstheme="minorHAnsi"/>
          <w:sz w:val="20"/>
          <w:szCs w:val="20"/>
        </w:rPr>
      </w:pPr>
    </w:p>
    <w:p w:rsidR="00245CCC" w:rsidRPr="004769D8" w:rsidP="004769D8" w14:paraId="7345139E" w14:textId="39E68719">
      <w:pPr>
        <w:pStyle w:val="Heading2"/>
        <w:numPr>
          <w:ilvl w:val="0"/>
          <w:numId w:val="0"/>
        </w:numPr>
        <w:spacing w:line="276" w:lineRule="auto"/>
        <w:ind w:left="-180"/>
        <w:rPr>
          <w:rFonts w:asciiTheme="minorHAnsi" w:hAnsiTheme="minorHAnsi" w:cstheme="minorHAnsi"/>
          <w:szCs w:val="24"/>
        </w:rPr>
      </w:pPr>
      <w:r w:rsidRPr="00371311">
        <w:rPr>
          <w:rFonts w:asciiTheme="minorHAnsi" w:hAnsiTheme="minorHAnsi" w:cstheme="minorHAnsi"/>
          <w:szCs w:val="24"/>
        </w:rPr>
        <w:t>1</w:t>
      </w:r>
      <w:r>
        <w:rPr>
          <w:rFonts w:asciiTheme="minorHAnsi" w:hAnsiTheme="minorHAnsi" w:cstheme="minorHAnsi"/>
          <w:szCs w:val="24"/>
        </w:rPr>
        <w:t>5</w:t>
      </w:r>
      <w:r w:rsidRPr="00371311">
        <w:rPr>
          <w:rFonts w:asciiTheme="minorHAnsi" w:hAnsiTheme="minorHAnsi" w:cstheme="minorHAnsi"/>
          <w:szCs w:val="24"/>
        </w:rPr>
        <w:t xml:space="preserve">. </w:t>
      </w:r>
      <w:r w:rsidRPr="275E11E4" w:rsidR="275E11E4">
        <w:rPr>
          <w:rFonts w:asciiTheme="minorHAnsi" w:hAnsiTheme="minorHAnsi" w:cstheme="minorBidi"/>
        </w:rPr>
        <w:t xml:space="preserve">Change in Burden: </w:t>
      </w:r>
    </w:p>
    <w:p w:rsidR="00BD1BAB" w:rsidRPr="00B840F7" w:rsidP="0084690D" w14:paraId="3AB88F5C" w14:textId="0391443D">
      <w:pPr>
        <w:pStyle w:val="Heading2"/>
        <w:numPr>
          <w:ilvl w:val="0"/>
          <w:numId w:val="0"/>
        </w:numPr>
        <w:pBdr>
          <w:bottom w:val="single" w:sz="4" w:space="1" w:color="auto"/>
        </w:pBdr>
        <w:spacing w:line="276" w:lineRule="auto"/>
        <w:ind w:left="360" w:hanging="450"/>
        <w:rPr>
          <w:rFonts w:asciiTheme="minorHAnsi" w:hAnsiTheme="minorHAnsi" w:cstheme="minorHAnsi"/>
          <w:b w:val="0"/>
          <w:bCs w:val="0"/>
          <w:i/>
          <w:iCs/>
          <w:szCs w:val="24"/>
        </w:rPr>
      </w:pPr>
      <w:r w:rsidRPr="00B840F7">
        <w:rPr>
          <w:rFonts w:ascii="Calibri" w:hAnsi="Calibri" w:cs="Calibri"/>
          <w:b w:val="0"/>
          <w:i/>
          <w:iCs/>
        </w:rPr>
        <w:t>Explain the reasons for any program changes or adjustments reported on the burden worksheet</w:t>
      </w:r>
      <w:r w:rsidRPr="00B840F7" w:rsidR="4FB6272D">
        <w:rPr>
          <w:rFonts w:asciiTheme="minorHAnsi" w:hAnsiTheme="minorHAnsi" w:cstheme="minorHAnsi"/>
          <w:b w:val="0"/>
          <w:bCs w:val="0"/>
          <w:i/>
          <w:iCs/>
          <w:szCs w:val="24"/>
        </w:rPr>
        <w:t>.</w:t>
      </w:r>
    </w:p>
    <w:p w:rsidR="007F34CB" w:rsidP="275E11E4" w14:paraId="5ECCF797" w14:textId="44355AFA">
      <w:pPr>
        <w:rPr>
          <w:rFonts w:asciiTheme="minorHAnsi" w:hAnsiTheme="minorHAnsi"/>
        </w:rPr>
      </w:pPr>
      <w:r>
        <w:rPr>
          <w:rFonts w:asciiTheme="minorHAnsi" w:hAnsiTheme="minorHAnsi"/>
        </w:rPr>
        <w:t xml:space="preserve">There is a decrease of 709 hours </w:t>
      </w:r>
      <w:r w:rsidRPr="275E11E4" w:rsidR="275E11E4">
        <w:rPr>
          <w:rFonts w:asciiTheme="minorHAnsi" w:hAnsiTheme="minorHAnsi"/>
        </w:rPr>
        <w:t xml:space="preserve">in the total estimated respondent burden compared with that identified in the ICR currently approved by OMB. </w:t>
      </w:r>
      <w:r w:rsidRPr="275E11E4" w:rsidR="275E11E4">
        <w:rPr>
          <w:rFonts w:asciiTheme="minorHAnsi" w:hAnsiTheme="minorHAnsi"/>
          <w:color w:val="000000" w:themeColor="text1"/>
        </w:rPr>
        <w:t>This decrease</w:t>
      </w:r>
      <w:r w:rsidRPr="275E11E4" w:rsidR="275E11E4">
        <w:rPr>
          <w:rFonts w:asciiTheme="minorHAnsi" w:hAnsiTheme="minorHAnsi"/>
          <w:color w:val="0000FF"/>
        </w:rPr>
        <w:t xml:space="preserve"> </w:t>
      </w:r>
      <w:r w:rsidRPr="275E11E4" w:rsidR="275E11E4">
        <w:rPr>
          <w:rFonts w:asciiTheme="minorHAnsi" w:hAnsiTheme="minorHAnsi"/>
        </w:rPr>
        <w:t xml:space="preserve">reflects EPA's successful implementation of the Lautenberg provisions governing the assertion of CBI claims through the finalization of the Confidential Business Information Claims Under the Toxic Substances Control Act (TSCA) rule published on June 7, 2023 (88 FR 37155 (8223-02-OCSPP)) which amended and reorganized requirements concerning Agency review and treatment of confidentiality claims. This information collection also accounts for provisions that </w:t>
      </w:r>
      <w:r w:rsidRPr="275E11E4" w:rsidR="009D1548">
        <w:rPr>
          <w:rFonts w:asciiTheme="minorHAnsi" w:hAnsiTheme="minorHAnsi"/>
        </w:rPr>
        <w:t>allow</w:t>
      </w:r>
      <w:r w:rsidRPr="275E11E4" w:rsidR="275E11E4">
        <w:rPr>
          <w:rFonts w:asciiTheme="minorHAnsi" w:hAnsiTheme="minorHAnsi"/>
        </w:rPr>
        <w:t xml:space="preserve"> submitters the opportunity to request an extension of CBI claims and for EPA to review time limitations for CBI claims and extension of confidentiality claims for up to 10 additional years. This change is an adjustment.</w:t>
      </w:r>
    </w:p>
    <w:p w:rsidR="00EB69DF" w:rsidRPr="007F34CB" w:rsidP="00EB69DF" w14:paraId="7B61CD11" w14:textId="77777777">
      <w:pPr>
        <w:spacing w:after="0"/>
        <w:rPr>
          <w:rFonts w:asciiTheme="minorHAnsi" w:hAnsiTheme="minorHAnsi"/>
        </w:rPr>
      </w:pPr>
    </w:p>
    <w:p w:rsidR="00245CCC" w:rsidRPr="00371311" w:rsidP="00B20FDA" w14:paraId="509E5B0A" w14:textId="49EEC2BE">
      <w:pPr>
        <w:pStyle w:val="Heading2"/>
        <w:numPr>
          <w:ilvl w:val="0"/>
          <w:numId w:val="0"/>
        </w:numPr>
        <w:spacing w:line="276" w:lineRule="auto"/>
        <w:ind w:left="-180"/>
        <w:rPr>
          <w:rFonts w:asciiTheme="minorHAnsi" w:hAnsiTheme="minorHAnsi" w:cstheme="minorHAnsi"/>
          <w:szCs w:val="24"/>
        </w:rPr>
      </w:pPr>
      <w:r w:rsidRPr="00371311">
        <w:rPr>
          <w:rFonts w:asciiTheme="minorHAnsi" w:hAnsiTheme="minorHAnsi" w:cstheme="minorHAnsi"/>
          <w:szCs w:val="24"/>
        </w:rPr>
        <w:t xml:space="preserve">16. </w:t>
      </w:r>
      <w:r w:rsidRPr="00371311">
        <w:rPr>
          <w:rFonts w:asciiTheme="minorHAnsi" w:hAnsiTheme="minorHAnsi" w:cstheme="minorHAnsi"/>
          <w:szCs w:val="24"/>
        </w:rPr>
        <w:t xml:space="preserve">Publication of Data: </w:t>
      </w:r>
    </w:p>
    <w:p w:rsidR="00A640A9" w:rsidRPr="00B20FDA" w:rsidP="0084690D" w14:paraId="67020DB0" w14:textId="2A3BBBBF">
      <w:pPr>
        <w:pStyle w:val="Heading2"/>
        <w:numPr>
          <w:ilvl w:val="0"/>
          <w:numId w:val="0"/>
        </w:numPr>
        <w:pBdr>
          <w:bottom w:val="single" w:sz="4" w:space="1" w:color="auto"/>
        </w:pBdr>
        <w:spacing w:line="276" w:lineRule="auto"/>
        <w:ind w:left="-180"/>
        <w:rPr>
          <w:rFonts w:asciiTheme="minorHAnsi" w:hAnsiTheme="minorHAnsi" w:cstheme="minorHAnsi"/>
          <w:b w:val="0"/>
          <w:bCs w:val="0"/>
          <w:i/>
          <w:iCs/>
          <w:szCs w:val="24"/>
        </w:rPr>
      </w:pPr>
      <w:r w:rsidRPr="00B20FDA">
        <w:rPr>
          <w:rFonts w:asciiTheme="minorHAnsi" w:hAnsiTheme="minorHAnsi" w:cstheme="minorHAnsi"/>
          <w:b w:val="0"/>
          <w:bCs w:val="0"/>
          <w:i/>
          <w:iCs/>
          <w:szCs w:val="24"/>
        </w:rPr>
        <w:t>For collections whose results will be published, outline the plans for tabulation and publication.</w:t>
      </w:r>
      <w:r w:rsidRPr="00B20FDA" w:rsidR="3ACBAAC9">
        <w:rPr>
          <w:rFonts w:asciiTheme="minorHAnsi" w:hAnsiTheme="minorHAnsi" w:cstheme="minorHAnsi"/>
          <w:b w:val="0"/>
          <w:bCs w:val="0"/>
          <w:i/>
          <w:iCs/>
          <w:szCs w:val="24"/>
        </w:rPr>
        <w:t xml:space="preserve"> Address any complex analytical techniques that will be used. Provide the time schedule for the entire project, including beginning and ending dates of the collection of information, completion of report, publication dates, and other actions.</w:t>
      </w:r>
    </w:p>
    <w:p w:rsidR="002D4226" w:rsidP="00B20FDA" w14:paraId="2B9CDD22" w14:textId="5D1EB400">
      <w:pPr>
        <w:rPr>
          <w:rFonts w:asciiTheme="minorHAnsi" w:hAnsiTheme="minorHAnsi" w:cstheme="minorHAnsi"/>
          <w:szCs w:val="24"/>
          <w:lang w:bidi="en-US"/>
        </w:rPr>
      </w:pPr>
      <w:r w:rsidRPr="00371311">
        <w:rPr>
          <w:rFonts w:asciiTheme="minorHAnsi" w:hAnsiTheme="minorHAnsi" w:cstheme="minorHAnsi"/>
          <w:szCs w:val="24"/>
          <w:lang w:bidi="en-US"/>
        </w:rPr>
        <w:t>The Agency does not intend to publish results of this information collection</w:t>
      </w:r>
      <w:r w:rsidRPr="00371311" w:rsidR="006016D3">
        <w:rPr>
          <w:rFonts w:asciiTheme="minorHAnsi" w:hAnsiTheme="minorHAnsi" w:cstheme="minorHAnsi"/>
          <w:szCs w:val="24"/>
          <w:lang w:bidi="en-US"/>
        </w:rPr>
        <w:t>.</w:t>
      </w:r>
    </w:p>
    <w:p w:rsidR="00EB69DF" w:rsidRPr="00371311" w:rsidP="00EB69DF" w14:paraId="6C12C702" w14:textId="77777777">
      <w:pPr>
        <w:spacing w:after="0"/>
        <w:rPr>
          <w:rFonts w:asciiTheme="minorHAnsi" w:hAnsiTheme="minorHAnsi" w:cstheme="minorHAnsi"/>
          <w:szCs w:val="24"/>
          <w:lang w:bidi="en-US"/>
        </w:rPr>
      </w:pPr>
    </w:p>
    <w:p w:rsidR="00245CCC" w:rsidRPr="00371311" w:rsidP="00B20FDA" w14:paraId="3735AAF4" w14:textId="0B1C52CF">
      <w:pPr>
        <w:pStyle w:val="Heading2"/>
        <w:numPr>
          <w:ilvl w:val="0"/>
          <w:numId w:val="0"/>
        </w:numPr>
        <w:spacing w:line="276" w:lineRule="auto"/>
        <w:ind w:left="-180"/>
        <w:rPr>
          <w:rFonts w:asciiTheme="minorHAnsi" w:hAnsiTheme="minorHAnsi" w:cstheme="minorHAnsi"/>
          <w:szCs w:val="24"/>
        </w:rPr>
      </w:pPr>
      <w:r w:rsidRPr="00371311">
        <w:rPr>
          <w:rFonts w:asciiTheme="minorHAnsi" w:hAnsiTheme="minorHAnsi" w:cstheme="minorHAnsi"/>
          <w:szCs w:val="24"/>
        </w:rPr>
        <w:t xml:space="preserve">17. </w:t>
      </w:r>
      <w:r w:rsidRPr="00371311">
        <w:rPr>
          <w:rFonts w:asciiTheme="minorHAnsi" w:hAnsiTheme="minorHAnsi" w:cstheme="minorHAnsi"/>
          <w:szCs w:val="24"/>
        </w:rPr>
        <w:t xml:space="preserve">Display of OMB Control Number and Expiration Date on Instruments: </w:t>
      </w:r>
    </w:p>
    <w:p w:rsidR="00D278E1" w:rsidRPr="00B20FDA" w:rsidP="0084690D" w14:paraId="3C058E98" w14:textId="21FB0D30">
      <w:pPr>
        <w:pStyle w:val="Heading2"/>
        <w:numPr>
          <w:ilvl w:val="0"/>
          <w:numId w:val="0"/>
        </w:numPr>
        <w:pBdr>
          <w:bottom w:val="single" w:sz="4" w:space="1" w:color="auto"/>
        </w:pBdr>
        <w:spacing w:line="276" w:lineRule="auto"/>
        <w:ind w:left="-180"/>
        <w:rPr>
          <w:rFonts w:asciiTheme="minorHAnsi" w:hAnsiTheme="minorHAnsi" w:cstheme="minorHAnsi"/>
          <w:b w:val="0"/>
          <w:bCs w:val="0"/>
          <w:i/>
          <w:iCs/>
          <w:szCs w:val="24"/>
        </w:rPr>
      </w:pPr>
      <w:r w:rsidRPr="00B20FDA">
        <w:rPr>
          <w:rFonts w:asciiTheme="minorHAnsi" w:hAnsiTheme="minorHAnsi" w:cstheme="minorHAnsi"/>
          <w:b w:val="0"/>
          <w:bCs w:val="0"/>
          <w:i/>
          <w:iCs/>
          <w:szCs w:val="24"/>
        </w:rPr>
        <w:t>If</w:t>
      </w:r>
      <w:r w:rsidRPr="00B20FDA" w:rsidR="08E0E8B1">
        <w:rPr>
          <w:rFonts w:asciiTheme="minorHAnsi" w:hAnsiTheme="minorHAnsi" w:cstheme="minorHAnsi"/>
          <w:b w:val="0"/>
          <w:bCs w:val="0"/>
          <w:i/>
          <w:iCs/>
          <w:szCs w:val="24"/>
        </w:rPr>
        <w:t xml:space="preserve"> seeking approval to not display the expiration date for OMB approval of the information collection, explain the reasons why display would be inappropriate.</w:t>
      </w:r>
    </w:p>
    <w:p w:rsidR="002D4226" w:rsidP="00B20FDA" w14:paraId="4CF4C329" w14:textId="6F8458DE">
      <w:pPr>
        <w:rPr>
          <w:rFonts w:asciiTheme="minorHAnsi" w:hAnsiTheme="minorHAnsi" w:cstheme="minorHAnsi"/>
          <w:szCs w:val="24"/>
          <w:lang w:bidi="en-US"/>
        </w:rPr>
      </w:pPr>
      <w:r w:rsidRPr="00371311">
        <w:rPr>
          <w:rFonts w:asciiTheme="minorHAnsi" w:eastAsiaTheme="majorEastAsia" w:hAnsiTheme="minorHAnsi" w:cstheme="minorHAnsi"/>
          <w:szCs w:val="24"/>
          <w:lang w:bidi="en-US"/>
        </w:rPr>
        <w:t>The Agency plans to display the expiration date for OMB approval of the information collection on all instruments</w:t>
      </w:r>
      <w:r w:rsidRPr="00371311" w:rsidR="006016D3">
        <w:rPr>
          <w:rFonts w:asciiTheme="minorHAnsi" w:hAnsiTheme="minorHAnsi" w:cstheme="minorHAnsi"/>
          <w:szCs w:val="24"/>
          <w:lang w:bidi="en-US"/>
        </w:rPr>
        <w:t xml:space="preserve">. </w:t>
      </w:r>
    </w:p>
    <w:p w:rsidR="00EB69DF" w:rsidRPr="00371311" w:rsidP="00EB69DF" w14:paraId="2B75D550" w14:textId="77777777">
      <w:pPr>
        <w:spacing w:after="0"/>
        <w:rPr>
          <w:rFonts w:asciiTheme="minorHAnsi" w:hAnsiTheme="minorHAnsi" w:cstheme="minorHAnsi"/>
          <w:szCs w:val="24"/>
          <w:lang w:bidi="en-US"/>
        </w:rPr>
      </w:pPr>
    </w:p>
    <w:p w:rsidR="00245CCC" w:rsidRPr="00371311" w:rsidP="00B20FDA" w14:paraId="7801DD60" w14:textId="5164EA3A">
      <w:pPr>
        <w:pStyle w:val="Heading2"/>
        <w:numPr>
          <w:ilvl w:val="0"/>
          <w:numId w:val="0"/>
        </w:numPr>
        <w:spacing w:line="276" w:lineRule="auto"/>
        <w:ind w:left="360" w:hanging="450"/>
        <w:rPr>
          <w:rFonts w:asciiTheme="minorHAnsi" w:hAnsiTheme="minorHAnsi" w:cstheme="minorHAnsi"/>
          <w:szCs w:val="24"/>
        </w:rPr>
      </w:pPr>
      <w:r w:rsidRPr="00371311">
        <w:rPr>
          <w:rFonts w:asciiTheme="minorHAnsi" w:hAnsiTheme="minorHAnsi" w:cstheme="minorHAnsi"/>
          <w:szCs w:val="24"/>
        </w:rPr>
        <w:t xml:space="preserve">18. </w:t>
      </w:r>
      <w:r w:rsidRPr="00371311">
        <w:rPr>
          <w:rFonts w:asciiTheme="minorHAnsi" w:hAnsiTheme="minorHAnsi" w:cstheme="minorHAnsi"/>
          <w:szCs w:val="24"/>
        </w:rPr>
        <w:t xml:space="preserve">Certification Statement: </w:t>
      </w:r>
    </w:p>
    <w:p w:rsidR="00B20FDA" w:rsidP="0084690D" w14:paraId="1D600286" w14:textId="77777777">
      <w:pPr>
        <w:pStyle w:val="Heading2"/>
        <w:numPr>
          <w:ilvl w:val="0"/>
          <w:numId w:val="0"/>
        </w:numPr>
        <w:spacing w:after="0"/>
        <w:ind w:left="360" w:hanging="446"/>
        <w:rPr>
          <w:rFonts w:asciiTheme="minorHAnsi" w:hAnsiTheme="minorHAnsi" w:cstheme="minorHAnsi"/>
          <w:b w:val="0"/>
          <w:bCs w:val="0"/>
          <w:i/>
          <w:iCs/>
          <w:szCs w:val="24"/>
        </w:rPr>
      </w:pPr>
      <w:r w:rsidRPr="00B20FDA">
        <w:rPr>
          <w:rFonts w:asciiTheme="minorHAnsi" w:hAnsiTheme="minorHAnsi" w:cstheme="minorHAnsi"/>
          <w:b w:val="0"/>
          <w:bCs w:val="0"/>
          <w:i/>
          <w:iCs/>
          <w:szCs w:val="24"/>
        </w:rPr>
        <w:t xml:space="preserve">Explain each exception to the certification statement identified in </w:t>
      </w:r>
      <w:r w:rsidRPr="00B20FDA" w:rsidR="3ACBAAC9">
        <w:rPr>
          <w:rFonts w:asciiTheme="minorHAnsi" w:hAnsiTheme="minorHAnsi" w:cstheme="minorHAnsi"/>
          <w:b w:val="0"/>
          <w:bCs w:val="0"/>
          <w:i/>
          <w:iCs/>
          <w:szCs w:val="24"/>
        </w:rPr>
        <w:t>“Certification for Paperwork</w:t>
      </w:r>
    </w:p>
    <w:p w:rsidR="00B20FDA" w:rsidP="0084690D" w14:paraId="2EF93E96" w14:textId="0EBAC0A8">
      <w:pPr>
        <w:pStyle w:val="Heading2"/>
        <w:numPr>
          <w:ilvl w:val="0"/>
          <w:numId w:val="0"/>
        </w:numPr>
        <w:pBdr>
          <w:bottom w:val="single" w:sz="4" w:space="1" w:color="auto"/>
        </w:pBdr>
        <w:spacing w:after="0"/>
        <w:ind w:left="360" w:hanging="446"/>
        <w:rPr>
          <w:rFonts w:asciiTheme="minorHAnsi" w:hAnsiTheme="minorHAnsi" w:cstheme="minorHAnsi"/>
          <w:b w:val="0"/>
          <w:bCs w:val="0"/>
          <w:i/>
          <w:iCs/>
          <w:szCs w:val="24"/>
        </w:rPr>
      </w:pPr>
      <w:r w:rsidRPr="00B20FDA">
        <w:rPr>
          <w:rFonts w:asciiTheme="minorHAnsi" w:hAnsiTheme="minorHAnsi" w:cstheme="minorHAnsi"/>
          <w:b w:val="0"/>
          <w:bCs w:val="0"/>
          <w:i/>
          <w:iCs/>
          <w:szCs w:val="24"/>
        </w:rPr>
        <w:t>Reduction Act Submissions.”</w:t>
      </w:r>
    </w:p>
    <w:p w:rsidR="00C83675" w:rsidP="00EB69DF" w14:paraId="7DF1C58C" w14:textId="77777777">
      <w:pPr>
        <w:spacing w:after="0"/>
        <w:rPr>
          <w:rFonts w:asciiTheme="minorHAnsi" w:hAnsiTheme="minorHAnsi" w:cstheme="minorHAnsi"/>
          <w:szCs w:val="24"/>
        </w:rPr>
      </w:pPr>
    </w:p>
    <w:p w:rsidR="00F9414F" w:rsidP="00B20FDA" w14:paraId="7A92DE02" w14:textId="68F0EE45">
      <w:pPr>
        <w:rPr>
          <w:rFonts w:asciiTheme="minorHAnsi" w:hAnsiTheme="minorHAnsi" w:cstheme="minorHAnsi"/>
          <w:szCs w:val="24"/>
        </w:rPr>
      </w:pPr>
      <w:r w:rsidRPr="00371311">
        <w:rPr>
          <w:rFonts w:asciiTheme="minorHAnsi" w:hAnsiTheme="minorHAnsi" w:cstheme="minorHAnsi"/>
          <w:szCs w:val="24"/>
        </w:rPr>
        <w:t xml:space="preserve">EPA does not request an exception to the certification of this information collection. </w:t>
      </w:r>
    </w:p>
    <w:p w:rsidR="00EB69DF" w:rsidRPr="00371311" w:rsidP="00B20FDA" w14:paraId="4F93CAF5" w14:textId="77777777">
      <w:pPr>
        <w:rPr>
          <w:rFonts w:asciiTheme="minorHAnsi" w:hAnsiTheme="minorHAnsi" w:cstheme="minorHAnsi"/>
          <w:szCs w:val="24"/>
        </w:rPr>
      </w:pPr>
    </w:p>
    <w:p w:rsidR="00A640A9" w:rsidRPr="00371311" w:rsidP="00B20FDA" w14:paraId="4CFB748D" w14:textId="22D4FE42">
      <w:pPr>
        <w:pStyle w:val="Heading1"/>
        <w:spacing w:before="0" w:line="276" w:lineRule="auto"/>
        <w:rPr>
          <w:rFonts w:asciiTheme="minorHAnsi" w:hAnsiTheme="minorHAnsi" w:cstheme="minorHAnsi"/>
          <w:sz w:val="24"/>
          <w:szCs w:val="24"/>
        </w:rPr>
      </w:pPr>
      <w:r w:rsidRPr="00371311">
        <w:rPr>
          <w:rFonts w:asciiTheme="minorHAnsi" w:hAnsiTheme="minorHAnsi" w:cstheme="minorHAnsi"/>
          <w:sz w:val="24"/>
          <w:szCs w:val="24"/>
        </w:rPr>
        <w:t xml:space="preserve">Supplemental information </w:t>
      </w:r>
    </w:p>
    <w:p w:rsidR="007312D5" w:rsidRPr="00371311" w:rsidP="00B20FDA" w14:paraId="562232C4" w14:textId="06153FA5">
      <w:pPr>
        <w:rPr>
          <w:rFonts w:asciiTheme="minorHAnsi" w:hAnsiTheme="minorHAnsi" w:cstheme="minorHAnsi"/>
          <w:szCs w:val="24"/>
          <w:u w:val="single"/>
        </w:rPr>
      </w:pPr>
      <w:r w:rsidRPr="00371311">
        <w:rPr>
          <w:rFonts w:asciiTheme="minorHAnsi" w:hAnsiTheme="minorHAnsi" w:cstheme="minorHAnsi"/>
          <w:szCs w:val="24"/>
          <w:u w:val="single"/>
        </w:rPr>
        <w:t xml:space="preserve">PRA Burden Statement </w:t>
      </w:r>
    </w:p>
    <w:p w:rsidR="00C83675" w:rsidP="00B20FDA" w14:paraId="61EB4D0A" w14:textId="4C71C0EF">
      <w:pPr>
        <w:rPr>
          <w:rFonts w:asciiTheme="minorHAnsi" w:hAnsiTheme="minorHAnsi" w:cstheme="minorHAnsi"/>
          <w:szCs w:val="24"/>
        </w:rPr>
      </w:pPr>
      <w:r w:rsidRPr="00371311">
        <w:rPr>
          <w:rFonts w:asciiTheme="minorHAnsi" w:hAnsiTheme="minorHAnsi" w:cstheme="minorHAnsi"/>
          <w:szCs w:val="24"/>
        </w:rPr>
        <w:t>This collection of information is approved by OMB under the Paperwork Reduction Act, 44 U.S.C. 3501 et seq. (OMB Control No. 2070-022</w:t>
      </w:r>
      <w:r w:rsidRPr="00371311" w:rsidR="005303F8">
        <w:rPr>
          <w:rFonts w:asciiTheme="minorHAnsi" w:hAnsiTheme="minorHAnsi" w:cstheme="minorHAnsi"/>
          <w:szCs w:val="24"/>
        </w:rPr>
        <w:t>3</w:t>
      </w:r>
      <w:r w:rsidRPr="00371311">
        <w:rPr>
          <w:rFonts w:asciiTheme="minorHAnsi" w:hAnsiTheme="minorHAnsi" w:cstheme="minorHAnsi"/>
          <w:szCs w:val="24"/>
        </w:rPr>
        <w:t>). Responses to this collection of information are mandatory for certain persons, as specified at 40 CFR 7</w:t>
      </w:r>
      <w:r w:rsidRPr="00371311" w:rsidR="00D603A7">
        <w:rPr>
          <w:rFonts w:asciiTheme="minorHAnsi" w:hAnsiTheme="minorHAnsi" w:cstheme="minorHAnsi"/>
          <w:szCs w:val="24"/>
        </w:rPr>
        <w:t xml:space="preserve">04, </w:t>
      </w:r>
      <w:r w:rsidRPr="00371311" w:rsidR="00EC1228">
        <w:rPr>
          <w:rFonts w:asciiTheme="minorHAnsi" w:hAnsiTheme="minorHAnsi" w:cstheme="minorHAnsi"/>
          <w:szCs w:val="24"/>
        </w:rPr>
        <w:t xml:space="preserve">711, </w:t>
      </w:r>
      <w:r w:rsidRPr="00371311" w:rsidR="00D603A7">
        <w:rPr>
          <w:rFonts w:asciiTheme="minorHAnsi" w:hAnsiTheme="minorHAnsi" w:cstheme="minorHAnsi"/>
          <w:szCs w:val="24"/>
        </w:rPr>
        <w:t>716, 717, 720, 721, 723, 725, 790</w:t>
      </w:r>
      <w:r w:rsidRPr="00371311">
        <w:rPr>
          <w:rFonts w:asciiTheme="minorHAnsi" w:hAnsiTheme="minorHAnsi" w:cstheme="minorHAnsi"/>
          <w:szCs w:val="24"/>
        </w:rPr>
        <w:t xml:space="preserve">. An agency may not conduct or sponsor, and a person is not required to respond to, a collection of information unless it displays a currently valid OMB control number. The public reporting and recordkeeping burden for this collection of information is estimated to be </w:t>
      </w:r>
      <w:r w:rsidRPr="00371311" w:rsidR="00D603A7">
        <w:rPr>
          <w:rFonts w:asciiTheme="minorHAnsi" w:hAnsiTheme="minorHAnsi" w:cstheme="minorHAnsi"/>
          <w:szCs w:val="24"/>
        </w:rPr>
        <w:t>between</w:t>
      </w:r>
      <w:r w:rsidRPr="00371311" w:rsidR="00D603A7">
        <w:rPr>
          <w:rFonts w:asciiTheme="minorHAnsi" w:hAnsiTheme="minorHAnsi" w:cstheme="minorHAnsi"/>
          <w:bCs/>
          <w:szCs w:val="24"/>
        </w:rPr>
        <w:t xml:space="preserve"> 14 to 525.85</w:t>
      </w:r>
      <w:r w:rsidRPr="00371311" w:rsidR="00D603A7">
        <w:rPr>
          <w:rFonts w:asciiTheme="minorHAnsi" w:hAnsiTheme="minorHAnsi" w:cstheme="minorHAnsi"/>
          <w:szCs w:val="24"/>
        </w:rPr>
        <w:t xml:space="preserve"> hours</w:t>
      </w:r>
      <w:r w:rsidRPr="00371311">
        <w:rPr>
          <w:rFonts w:asciiTheme="minorHAnsi" w:hAnsiTheme="minorHAnsi" w:cstheme="minorHAnsi"/>
          <w:szCs w:val="24"/>
        </w:rPr>
        <w:t xml:space="preserve"> per response. Send comments on the Agency’s need for this information, the accuracy of the provided burden estimates and any suggested methods for minimizing respondent burden to the </w:t>
      </w:r>
      <w:r w:rsidRPr="00371311" w:rsidR="00EA1746">
        <w:rPr>
          <w:rFonts w:asciiTheme="minorHAnsi" w:hAnsiTheme="minorHAnsi" w:cstheme="minorHAnsi"/>
          <w:szCs w:val="24"/>
        </w:rPr>
        <w:t xml:space="preserve">Data &amp; Enterprise Programs </w:t>
      </w:r>
      <w:r w:rsidRPr="00371311" w:rsidR="00983407">
        <w:rPr>
          <w:rFonts w:asciiTheme="minorHAnsi" w:hAnsiTheme="minorHAnsi" w:cstheme="minorHAnsi"/>
          <w:szCs w:val="24"/>
        </w:rPr>
        <w:t xml:space="preserve">Deputy </w:t>
      </w:r>
      <w:r w:rsidRPr="00371311" w:rsidR="00EA1746">
        <w:rPr>
          <w:rFonts w:asciiTheme="minorHAnsi" w:hAnsiTheme="minorHAnsi" w:cstheme="minorHAnsi"/>
          <w:szCs w:val="24"/>
        </w:rPr>
        <w:t>Division Director</w:t>
      </w:r>
      <w:r w:rsidRPr="00371311">
        <w:rPr>
          <w:rFonts w:asciiTheme="minorHAnsi" w:hAnsiTheme="minorHAnsi" w:cstheme="minorHAnsi"/>
          <w:szCs w:val="24"/>
        </w:rPr>
        <w:t xml:space="preserve">, U.S. Environmental Protection Agency (2821T), 1200 Pennsylvania Ave., NW, Washington, D.C. 20460. Include the OMB control number in any correspondence. Do not send the </w:t>
      </w:r>
      <w:r w:rsidRPr="00371311">
        <w:rPr>
          <w:rFonts w:asciiTheme="minorHAnsi" w:hAnsiTheme="minorHAnsi" w:cstheme="minorHAnsi"/>
          <w:szCs w:val="24"/>
        </w:rPr>
        <w:t>completed</w:t>
      </w:r>
      <w:r w:rsidRPr="00371311">
        <w:rPr>
          <w:rFonts w:asciiTheme="minorHAnsi" w:hAnsiTheme="minorHAnsi" w:cstheme="minorHAnsi"/>
          <w:szCs w:val="24"/>
        </w:rPr>
        <w:t xml:space="preserve"> form to this address.</w:t>
      </w:r>
    </w:p>
    <w:p w:rsidR="00D431DE" w:rsidP="00D431DE" w14:paraId="6B33D4EE" w14:textId="77777777">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You can also provide comments to the Office of Information and Regulatory Affairs, Office of Management and Budget via </w:t>
      </w:r>
      <w:r>
        <w:rPr>
          <w:rStyle w:val="normaltextrun"/>
          <w:rFonts w:ascii="Calibri" w:hAnsi="Calibri" w:cs="Calibri"/>
          <w:i/>
          <w:iCs/>
          <w:color w:val="0000FF"/>
          <w:u w:val="single"/>
        </w:rPr>
        <w:t>https://www.reginfo.gov/public/do/PRAMain</w:t>
      </w:r>
      <w:r>
        <w:rPr>
          <w:rStyle w:val="normaltextrun"/>
          <w:rFonts w:ascii="Calibri" w:hAnsi="Calibri" w:cs="Calibri"/>
        </w:rPr>
        <w:t>. Find this particular information collection by selecting ‘‘Currently under 30-day Review—Open for Public Comments’’ or by using the search function.</w:t>
      </w:r>
      <w:r>
        <w:rPr>
          <w:rStyle w:val="eop"/>
          <w:rFonts w:ascii="Calibri" w:hAnsi="Calibri" w:cs="Calibri"/>
        </w:rPr>
        <w:t> </w:t>
      </w:r>
    </w:p>
    <w:p w:rsidR="00D431DE" w:rsidP="00D431DE" w14:paraId="5A867355" w14:textId="77777777">
      <w:pPr>
        <w:pStyle w:val="paragraph"/>
        <w:spacing w:before="0" w:beforeAutospacing="0" w:after="0" w:afterAutospacing="0"/>
        <w:textAlignment w:val="baseline"/>
        <w:rPr>
          <w:rFonts w:ascii="Segoe UI" w:hAnsi="Segoe UI" w:cs="Segoe UI"/>
          <w:sz w:val="18"/>
          <w:szCs w:val="18"/>
        </w:rPr>
      </w:pPr>
    </w:p>
    <w:p w:rsidR="00D431DE" w:rsidP="00D431DE" w14:paraId="3E7CA2D3" w14:textId="77777777">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All comments received by EPA will be included in the docket without change, including any personal information provided, unless the comment includes profanity, threats, information claimed to be Confidential Business Information (CBI), or other information whose disclosure is restricted by statute. Do not submit electronically any information you consider to be CBI or other information whose disclosure is restricted by statute. </w:t>
      </w:r>
      <w:r>
        <w:rPr>
          <w:rStyle w:val="eop"/>
          <w:rFonts w:ascii="Calibri" w:hAnsi="Calibri" w:cs="Calibri"/>
        </w:rPr>
        <w:t> </w:t>
      </w:r>
    </w:p>
    <w:p w:rsidR="00EB69DF" w:rsidP="00D431DE" w14:paraId="263868F1" w14:textId="77777777">
      <w:pPr>
        <w:pStyle w:val="paragraph"/>
        <w:spacing w:before="0" w:beforeAutospacing="0" w:after="0" w:afterAutospacing="0"/>
        <w:textAlignment w:val="baseline"/>
        <w:rPr>
          <w:rFonts w:ascii="Segoe UI" w:hAnsi="Segoe UI" w:cs="Segoe UI"/>
          <w:sz w:val="18"/>
          <w:szCs w:val="18"/>
        </w:rPr>
      </w:pPr>
    </w:p>
    <w:p w:rsidR="00EF407B" w:rsidRPr="00371311" w:rsidP="00B20FDA" w14:paraId="241343C3" w14:textId="17C35CE4">
      <w:pPr>
        <w:pStyle w:val="Heading1"/>
        <w:spacing w:before="0" w:line="276" w:lineRule="auto"/>
        <w:rPr>
          <w:rFonts w:asciiTheme="minorHAnsi" w:hAnsiTheme="minorHAnsi" w:cstheme="minorHAnsi"/>
          <w:sz w:val="24"/>
          <w:szCs w:val="24"/>
        </w:rPr>
      </w:pPr>
      <w:r w:rsidRPr="00371311">
        <w:rPr>
          <w:rFonts w:asciiTheme="minorHAnsi" w:hAnsiTheme="minorHAnsi" w:cstheme="minorHAnsi"/>
          <w:sz w:val="24"/>
          <w:szCs w:val="24"/>
        </w:rPr>
        <w:t>List of Attachments</w:t>
      </w:r>
    </w:p>
    <w:p w:rsidR="0026304B" w:rsidRPr="00371311" w:rsidP="00B20FDA" w14:paraId="4BA9D995" w14:textId="1F02C9EF">
      <w:pPr>
        <w:rPr>
          <w:rFonts w:asciiTheme="minorHAnsi" w:hAnsiTheme="minorHAnsi" w:cstheme="minorHAnsi"/>
          <w:szCs w:val="24"/>
          <w:lang w:bidi="en-US"/>
        </w:rPr>
      </w:pPr>
      <w:r w:rsidRPr="00371311">
        <w:rPr>
          <w:rFonts w:asciiTheme="minorHAnsi" w:hAnsiTheme="minorHAnsi" w:cstheme="minorHAnsi"/>
          <w:szCs w:val="24"/>
          <w:lang w:bidi="en-US"/>
        </w:rPr>
        <w:t xml:space="preserve">The attachments listed below can be found in the docket for this ICR or by using the hyperlink that is provided in the list below. The docket for this ICR is accessible electronically through </w:t>
      </w:r>
      <w:hyperlink r:id="rId11" w:history="1">
        <w:r w:rsidRPr="00371311">
          <w:rPr>
            <w:rStyle w:val="Hyperlink"/>
            <w:rFonts w:asciiTheme="minorHAnsi" w:hAnsiTheme="minorHAnsi" w:cstheme="minorHAnsi"/>
            <w:szCs w:val="24"/>
          </w:rPr>
          <w:t>http://www.regulations.gov</w:t>
        </w:r>
      </w:hyperlink>
      <w:r w:rsidRPr="00371311">
        <w:rPr>
          <w:rFonts w:asciiTheme="minorHAnsi" w:hAnsiTheme="minorHAnsi" w:cstheme="minorHAnsi"/>
          <w:szCs w:val="24"/>
          <w:lang w:bidi="en-US"/>
        </w:rPr>
        <w:t xml:space="preserve"> using Docket ID Number: </w:t>
      </w:r>
      <w:r w:rsidRPr="00371311" w:rsidR="00E456A2">
        <w:rPr>
          <w:rFonts w:asciiTheme="minorHAnsi" w:hAnsiTheme="minorHAnsi" w:cstheme="minorHAnsi"/>
          <w:szCs w:val="24"/>
        </w:rPr>
        <w:t>EPA-HQ-OPPT-2025-3955</w:t>
      </w:r>
      <w:r w:rsidRPr="00371311">
        <w:rPr>
          <w:rFonts w:asciiTheme="minorHAnsi" w:hAnsiTheme="minorHAnsi" w:cstheme="minorHAnsi"/>
          <w:szCs w:val="24"/>
          <w:lang w:bidi="en-US"/>
        </w:rPr>
        <w:t>.</w:t>
      </w:r>
    </w:p>
    <w:tbl>
      <w:tblPr>
        <w:tblStyle w:val="TableGrid"/>
        <w:tblW w:w="0" w:type="auto"/>
        <w:tblLook w:val="04A0"/>
      </w:tblPr>
      <w:tblGrid>
        <w:gridCol w:w="805"/>
        <w:gridCol w:w="8545"/>
      </w:tblGrid>
      <w:tr w14:paraId="3C28984B" w14:textId="77777777" w:rsidTr="004501B1">
        <w:tblPrEx>
          <w:tblW w:w="0" w:type="auto"/>
          <w:tblLook w:val="04A0"/>
        </w:tblPrEx>
        <w:tc>
          <w:tcPr>
            <w:tcW w:w="805" w:type="dxa"/>
          </w:tcPr>
          <w:p w:rsidR="0026304B" w:rsidRPr="00371311" w:rsidP="00996107" w14:paraId="20CF178A" w14:textId="6D19CB50">
            <w:pPr>
              <w:widowControl w:val="0"/>
              <w:spacing w:after="0" w:line="240" w:lineRule="auto"/>
              <w:rPr>
                <w:rFonts w:asciiTheme="minorHAnsi" w:hAnsiTheme="minorHAnsi" w:cstheme="minorHAnsi"/>
                <w:b/>
                <w:bCs/>
                <w:szCs w:val="24"/>
                <w:lang w:bidi="en-US"/>
              </w:rPr>
            </w:pPr>
          </w:p>
        </w:tc>
        <w:tc>
          <w:tcPr>
            <w:tcW w:w="8545" w:type="dxa"/>
          </w:tcPr>
          <w:p w:rsidR="0026304B" w:rsidRPr="00371311" w:rsidP="00996107" w14:paraId="43C6C962" w14:textId="794020C3">
            <w:pPr>
              <w:widowControl w:val="0"/>
              <w:spacing w:after="0" w:line="240" w:lineRule="auto"/>
              <w:rPr>
                <w:rFonts w:asciiTheme="minorHAnsi" w:hAnsiTheme="minorHAnsi" w:cstheme="minorHAnsi"/>
                <w:b/>
                <w:bCs/>
                <w:szCs w:val="24"/>
                <w:lang w:bidi="en-US"/>
              </w:rPr>
            </w:pPr>
            <w:r w:rsidRPr="00371311">
              <w:rPr>
                <w:rFonts w:asciiTheme="minorHAnsi" w:hAnsiTheme="minorHAnsi" w:cstheme="minorHAnsi"/>
                <w:b/>
                <w:bCs/>
                <w:szCs w:val="24"/>
                <w:lang w:bidi="en-US"/>
              </w:rPr>
              <w:t xml:space="preserve">Title </w:t>
            </w:r>
          </w:p>
        </w:tc>
      </w:tr>
      <w:tr w14:paraId="31CCB964" w14:textId="77777777" w:rsidTr="004501B1">
        <w:tblPrEx>
          <w:tblW w:w="0" w:type="auto"/>
          <w:tblLook w:val="04A0"/>
        </w:tblPrEx>
        <w:tc>
          <w:tcPr>
            <w:tcW w:w="805" w:type="dxa"/>
          </w:tcPr>
          <w:p w:rsidR="00DF2D99" w:rsidRPr="00371311" w:rsidP="00996107" w14:paraId="1794D19E" w14:textId="237CD34D">
            <w:pPr>
              <w:widowControl w:val="0"/>
              <w:spacing w:after="0" w:line="240" w:lineRule="auto"/>
              <w:rPr>
                <w:rFonts w:asciiTheme="minorHAnsi" w:hAnsiTheme="minorHAnsi" w:cstheme="minorHAnsi"/>
                <w:szCs w:val="24"/>
                <w:lang w:bidi="en-US"/>
              </w:rPr>
            </w:pPr>
            <w:r>
              <w:rPr>
                <w:rFonts w:asciiTheme="minorHAnsi" w:hAnsiTheme="minorHAnsi" w:cstheme="minorHAnsi"/>
                <w:szCs w:val="24"/>
                <w:lang w:bidi="en-US"/>
              </w:rPr>
              <w:t>1</w:t>
            </w:r>
            <w:r w:rsidR="00B20FDA">
              <w:rPr>
                <w:rFonts w:asciiTheme="minorHAnsi" w:hAnsiTheme="minorHAnsi" w:cstheme="minorHAnsi"/>
                <w:szCs w:val="24"/>
                <w:lang w:bidi="en-US"/>
              </w:rPr>
              <w:t xml:space="preserve">. </w:t>
            </w:r>
          </w:p>
        </w:tc>
        <w:tc>
          <w:tcPr>
            <w:tcW w:w="8545" w:type="dxa"/>
          </w:tcPr>
          <w:p w:rsidR="00DF2D99" w:rsidRPr="00371311" w:rsidP="00996107" w14:paraId="433A61F5" w14:textId="16171BFB">
            <w:pPr>
              <w:widowControl w:val="0"/>
              <w:spacing w:after="0" w:line="240" w:lineRule="auto"/>
              <w:rPr>
                <w:rFonts w:asciiTheme="minorHAnsi" w:hAnsiTheme="minorHAnsi" w:cstheme="minorHAnsi"/>
                <w:szCs w:val="24"/>
                <w:lang w:bidi="en-US"/>
              </w:rPr>
            </w:pPr>
            <w:r>
              <w:rPr>
                <w:rFonts w:asciiTheme="minorHAnsi" w:hAnsiTheme="minorHAnsi" w:cstheme="minorHAnsi"/>
                <w:szCs w:val="24"/>
              </w:rPr>
              <w:t>CBI S</w:t>
            </w:r>
            <w:r w:rsidRPr="00371311" w:rsidR="00904115">
              <w:rPr>
                <w:rFonts w:asciiTheme="minorHAnsi" w:hAnsiTheme="minorHAnsi" w:cstheme="minorHAnsi"/>
                <w:szCs w:val="24"/>
              </w:rPr>
              <w:t xml:space="preserve">ubstantiation </w:t>
            </w:r>
            <w:r w:rsidRPr="00371311" w:rsidR="00AF3096">
              <w:rPr>
                <w:rFonts w:asciiTheme="minorHAnsi" w:hAnsiTheme="minorHAnsi" w:cstheme="minorHAnsi"/>
                <w:szCs w:val="24"/>
              </w:rPr>
              <w:t xml:space="preserve">(EPA Form </w:t>
            </w:r>
            <w:r w:rsidRPr="00371311" w:rsidR="00904115">
              <w:rPr>
                <w:rFonts w:asciiTheme="minorHAnsi" w:hAnsiTheme="minorHAnsi" w:cstheme="minorHAnsi"/>
                <w:szCs w:val="24"/>
              </w:rPr>
              <w:t>PFN-7710-5</w:t>
            </w:r>
            <w:r w:rsidR="00481B13">
              <w:rPr>
                <w:rFonts w:asciiTheme="minorHAnsi" w:hAnsiTheme="minorHAnsi" w:cstheme="minorHAnsi"/>
                <w:szCs w:val="24"/>
              </w:rPr>
              <w:t>7</w:t>
            </w:r>
            <w:r w:rsidRPr="00371311" w:rsidR="00AF3096">
              <w:rPr>
                <w:rFonts w:asciiTheme="minorHAnsi" w:hAnsiTheme="minorHAnsi" w:cstheme="minorHAnsi"/>
                <w:szCs w:val="24"/>
              </w:rPr>
              <w:t xml:space="preserve">) </w:t>
            </w:r>
          </w:p>
        </w:tc>
      </w:tr>
      <w:tr w14:paraId="41AB8DA1" w14:textId="77777777" w:rsidTr="004501B1">
        <w:tblPrEx>
          <w:tblW w:w="0" w:type="auto"/>
          <w:tblLook w:val="04A0"/>
        </w:tblPrEx>
        <w:tc>
          <w:tcPr>
            <w:tcW w:w="805" w:type="dxa"/>
          </w:tcPr>
          <w:p w:rsidR="00D431DE" w:rsidP="00996107" w14:paraId="545CF600" w14:textId="70B3E892">
            <w:pPr>
              <w:widowControl w:val="0"/>
              <w:spacing w:after="0" w:line="240" w:lineRule="auto"/>
              <w:rPr>
                <w:rFonts w:asciiTheme="minorHAnsi" w:hAnsiTheme="minorHAnsi" w:cstheme="minorHAnsi"/>
                <w:szCs w:val="24"/>
                <w:lang w:bidi="en-US"/>
              </w:rPr>
            </w:pPr>
            <w:r>
              <w:rPr>
                <w:rFonts w:asciiTheme="minorHAnsi" w:hAnsiTheme="minorHAnsi" w:cstheme="minorHAnsi"/>
                <w:szCs w:val="24"/>
                <w:lang w:bidi="en-US"/>
              </w:rPr>
              <w:t xml:space="preserve">2. </w:t>
            </w:r>
          </w:p>
        </w:tc>
        <w:tc>
          <w:tcPr>
            <w:tcW w:w="8545" w:type="dxa"/>
          </w:tcPr>
          <w:p w:rsidR="00D431DE" w:rsidP="00996107" w14:paraId="0D564541" w14:textId="5FF3EFDA">
            <w:pPr>
              <w:widowControl w:val="0"/>
              <w:spacing w:after="0" w:line="240" w:lineRule="auto"/>
              <w:rPr>
                <w:rFonts w:asciiTheme="minorHAnsi" w:hAnsiTheme="minorHAnsi" w:cstheme="minorHAnsi"/>
                <w:szCs w:val="24"/>
              </w:rPr>
            </w:pPr>
            <w:r w:rsidRPr="00D431DE">
              <w:rPr>
                <w:rFonts w:asciiTheme="minorHAnsi" w:hAnsiTheme="minorHAnsi" w:cstheme="minorHAnsi"/>
                <w:szCs w:val="24"/>
              </w:rPr>
              <w:t>Biotech (EPA Form 6300-017)</w:t>
            </w:r>
          </w:p>
        </w:tc>
      </w:tr>
      <w:tr w14:paraId="5B18F1C7" w14:textId="77777777" w:rsidTr="004501B1">
        <w:tblPrEx>
          <w:tblW w:w="0" w:type="auto"/>
          <w:tblLook w:val="04A0"/>
        </w:tblPrEx>
        <w:tc>
          <w:tcPr>
            <w:tcW w:w="805" w:type="dxa"/>
          </w:tcPr>
          <w:p w:rsidR="00D431DE" w:rsidP="00996107" w14:paraId="6505FD59" w14:textId="3E0ADA3D">
            <w:pPr>
              <w:widowControl w:val="0"/>
              <w:spacing w:after="0" w:line="240" w:lineRule="auto"/>
              <w:rPr>
                <w:rFonts w:asciiTheme="minorHAnsi" w:hAnsiTheme="minorHAnsi" w:cstheme="minorHAnsi"/>
                <w:szCs w:val="24"/>
                <w:lang w:bidi="en-US"/>
              </w:rPr>
            </w:pPr>
            <w:r>
              <w:rPr>
                <w:rFonts w:asciiTheme="minorHAnsi" w:hAnsiTheme="minorHAnsi" w:cstheme="minorHAnsi"/>
                <w:szCs w:val="24"/>
                <w:lang w:bidi="en-US"/>
              </w:rPr>
              <w:t xml:space="preserve">3. </w:t>
            </w:r>
          </w:p>
        </w:tc>
        <w:tc>
          <w:tcPr>
            <w:tcW w:w="8545" w:type="dxa"/>
          </w:tcPr>
          <w:p w:rsidR="00D431DE" w:rsidRPr="00D431DE" w:rsidP="00996107" w14:paraId="31D5332C" w14:textId="2560BF68">
            <w:pPr>
              <w:widowControl w:val="0"/>
              <w:spacing w:after="0" w:line="240" w:lineRule="auto"/>
              <w:rPr>
                <w:rFonts w:asciiTheme="minorHAnsi" w:hAnsiTheme="minorHAnsi" w:cstheme="minorHAnsi"/>
                <w:szCs w:val="24"/>
              </w:rPr>
            </w:pPr>
            <w:r w:rsidRPr="00D431DE">
              <w:rPr>
                <w:rFonts w:asciiTheme="minorHAnsi" w:hAnsiTheme="minorHAnsi" w:cstheme="minorHAnsi"/>
                <w:szCs w:val="24"/>
              </w:rPr>
              <w:t>Premanufacture Notice (EPA No. 7710-25)</w:t>
            </w:r>
          </w:p>
        </w:tc>
      </w:tr>
      <w:tr w14:paraId="2712B324" w14:textId="77777777" w:rsidTr="004501B1">
        <w:tblPrEx>
          <w:tblW w:w="0" w:type="auto"/>
          <w:tblLook w:val="04A0"/>
        </w:tblPrEx>
        <w:tc>
          <w:tcPr>
            <w:tcW w:w="805" w:type="dxa"/>
          </w:tcPr>
          <w:p w:rsidR="00D431DE" w:rsidP="00996107" w14:paraId="63F27CA9" w14:textId="54E3BCE6">
            <w:pPr>
              <w:widowControl w:val="0"/>
              <w:spacing w:after="0" w:line="240" w:lineRule="auto"/>
              <w:rPr>
                <w:rFonts w:asciiTheme="minorHAnsi" w:hAnsiTheme="minorHAnsi" w:cstheme="minorHAnsi"/>
                <w:szCs w:val="24"/>
                <w:lang w:bidi="en-US"/>
              </w:rPr>
            </w:pPr>
            <w:r>
              <w:rPr>
                <w:rFonts w:asciiTheme="minorHAnsi" w:hAnsiTheme="minorHAnsi" w:cstheme="minorHAnsi"/>
                <w:szCs w:val="24"/>
                <w:lang w:bidi="en-US"/>
              </w:rPr>
              <w:t xml:space="preserve">4. </w:t>
            </w:r>
          </w:p>
        </w:tc>
        <w:tc>
          <w:tcPr>
            <w:tcW w:w="8545" w:type="dxa"/>
          </w:tcPr>
          <w:p w:rsidR="00D431DE" w:rsidRPr="00D431DE" w:rsidP="00996107" w14:paraId="68A54346" w14:textId="2EC9E7F4">
            <w:pPr>
              <w:widowControl w:val="0"/>
              <w:spacing w:after="0" w:line="240" w:lineRule="auto"/>
              <w:rPr>
                <w:rFonts w:asciiTheme="minorHAnsi" w:hAnsiTheme="minorHAnsi" w:cstheme="minorHAnsi"/>
                <w:szCs w:val="24"/>
              </w:rPr>
            </w:pPr>
            <w:r w:rsidRPr="00D431DE">
              <w:rPr>
                <w:rFonts w:asciiTheme="minorHAnsi" w:hAnsiTheme="minorHAnsi" w:cstheme="minorHAnsi"/>
                <w:szCs w:val="24"/>
              </w:rPr>
              <w:t>Notice of Commencement of Manufacture or Import (NOC) (EPA Form 7710-56)</w:t>
            </w:r>
          </w:p>
        </w:tc>
      </w:tr>
      <w:tr w14:paraId="1B7EF3CE" w14:textId="77777777" w:rsidTr="004501B1">
        <w:tblPrEx>
          <w:tblW w:w="0" w:type="auto"/>
          <w:tblLook w:val="04A0"/>
        </w:tblPrEx>
        <w:tc>
          <w:tcPr>
            <w:tcW w:w="805" w:type="dxa"/>
          </w:tcPr>
          <w:p w:rsidR="00D431DE" w:rsidP="00996107" w14:paraId="66EFE820" w14:textId="417EA54C">
            <w:pPr>
              <w:widowControl w:val="0"/>
              <w:spacing w:after="0" w:line="240" w:lineRule="auto"/>
              <w:rPr>
                <w:rFonts w:asciiTheme="minorHAnsi" w:hAnsiTheme="minorHAnsi" w:cstheme="minorHAnsi"/>
                <w:szCs w:val="24"/>
                <w:lang w:bidi="en-US"/>
              </w:rPr>
            </w:pPr>
            <w:r>
              <w:rPr>
                <w:rFonts w:asciiTheme="minorHAnsi" w:hAnsiTheme="minorHAnsi" w:cstheme="minorHAnsi"/>
                <w:szCs w:val="24"/>
                <w:lang w:bidi="en-US"/>
              </w:rPr>
              <w:t xml:space="preserve">5. </w:t>
            </w:r>
          </w:p>
        </w:tc>
        <w:tc>
          <w:tcPr>
            <w:tcW w:w="8545" w:type="dxa"/>
          </w:tcPr>
          <w:p w:rsidR="00D431DE" w:rsidRPr="00D431DE" w:rsidP="00996107" w14:paraId="1CA90704" w14:textId="58E055BF">
            <w:pPr>
              <w:widowControl w:val="0"/>
              <w:spacing w:after="0" w:line="240" w:lineRule="auto"/>
              <w:rPr>
                <w:rFonts w:asciiTheme="minorHAnsi" w:hAnsiTheme="minorHAnsi" w:cstheme="minorHAnsi"/>
                <w:szCs w:val="24"/>
              </w:rPr>
            </w:pPr>
            <w:r w:rsidRPr="00D431DE">
              <w:rPr>
                <w:rFonts w:asciiTheme="minorHAnsi" w:hAnsiTheme="minorHAnsi" w:cstheme="minorHAnsi"/>
                <w:szCs w:val="24"/>
              </w:rPr>
              <w:t>Form</w:t>
            </w:r>
            <w:r w:rsidRPr="00D431DE">
              <w:rPr>
                <w:rFonts w:asciiTheme="minorHAnsi" w:hAnsiTheme="minorHAnsi" w:cstheme="minorHAnsi"/>
                <w:szCs w:val="24"/>
              </w:rPr>
              <w:t xml:space="preserve"> U (9600-010)</w:t>
            </w:r>
          </w:p>
        </w:tc>
      </w:tr>
      <w:tr w14:paraId="4D00476D" w14:textId="77777777" w:rsidTr="004501B1">
        <w:tblPrEx>
          <w:tblW w:w="0" w:type="auto"/>
          <w:tblLook w:val="04A0"/>
        </w:tblPrEx>
        <w:tc>
          <w:tcPr>
            <w:tcW w:w="805" w:type="dxa"/>
          </w:tcPr>
          <w:p w:rsidR="00D431DE" w:rsidP="00996107" w14:paraId="6467EEC0" w14:textId="760136A9">
            <w:pPr>
              <w:widowControl w:val="0"/>
              <w:spacing w:after="0" w:line="240" w:lineRule="auto"/>
              <w:rPr>
                <w:rFonts w:asciiTheme="minorHAnsi" w:hAnsiTheme="minorHAnsi" w:cstheme="minorHAnsi"/>
                <w:szCs w:val="24"/>
                <w:lang w:bidi="en-US"/>
              </w:rPr>
            </w:pPr>
            <w:r>
              <w:rPr>
                <w:rFonts w:asciiTheme="minorHAnsi" w:hAnsiTheme="minorHAnsi" w:cstheme="minorHAnsi"/>
                <w:szCs w:val="24"/>
                <w:lang w:bidi="en-US"/>
              </w:rPr>
              <w:t xml:space="preserve">6. </w:t>
            </w:r>
          </w:p>
        </w:tc>
        <w:tc>
          <w:tcPr>
            <w:tcW w:w="8545" w:type="dxa"/>
          </w:tcPr>
          <w:p w:rsidR="00D431DE" w:rsidP="00996107" w14:paraId="023F2F25" w14:textId="765BE7E4">
            <w:pPr>
              <w:widowControl w:val="0"/>
              <w:spacing w:after="0" w:line="240" w:lineRule="auto"/>
              <w:rPr>
                <w:rFonts w:asciiTheme="minorHAnsi" w:hAnsiTheme="minorHAnsi" w:cstheme="minorHAnsi"/>
                <w:szCs w:val="24"/>
              </w:rPr>
            </w:pPr>
            <w:r>
              <w:rPr>
                <w:rFonts w:asciiTheme="minorHAnsi" w:hAnsiTheme="minorHAnsi" w:cstheme="minorHAnsi"/>
                <w:color w:val="000000"/>
                <w:szCs w:val="24"/>
              </w:rPr>
              <w:t xml:space="preserve">TCSA </w:t>
            </w:r>
            <w:r w:rsidRPr="00371311">
              <w:rPr>
                <w:rFonts w:asciiTheme="minorHAnsi" w:hAnsiTheme="minorHAnsi" w:cstheme="minorHAnsi"/>
                <w:color w:val="000000"/>
                <w:szCs w:val="24"/>
              </w:rPr>
              <w:t>Section 8(e) Notice (EPA Form 9600-030)</w:t>
            </w:r>
          </w:p>
        </w:tc>
      </w:tr>
      <w:tr w14:paraId="03D74C45" w14:textId="77777777" w:rsidTr="004501B1">
        <w:tblPrEx>
          <w:tblW w:w="0" w:type="auto"/>
          <w:tblLook w:val="04A0"/>
        </w:tblPrEx>
        <w:tc>
          <w:tcPr>
            <w:tcW w:w="805" w:type="dxa"/>
          </w:tcPr>
          <w:p w:rsidR="00D431DE" w:rsidP="00996107" w14:paraId="569D1701" w14:textId="152C5274">
            <w:pPr>
              <w:widowControl w:val="0"/>
              <w:spacing w:after="0" w:line="240" w:lineRule="auto"/>
              <w:rPr>
                <w:rFonts w:asciiTheme="minorHAnsi" w:hAnsiTheme="minorHAnsi" w:cstheme="minorHAnsi"/>
                <w:szCs w:val="24"/>
                <w:lang w:bidi="en-US"/>
              </w:rPr>
            </w:pPr>
            <w:r>
              <w:rPr>
                <w:rFonts w:asciiTheme="minorHAnsi" w:hAnsiTheme="minorHAnsi" w:cstheme="minorHAnsi"/>
                <w:szCs w:val="24"/>
                <w:lang w:bidi="en-US"/>
              </w:rPr>
              <w:t xml:space="preserve">7. </w:t>
            </w:r>
          </w:p>
        </w:tc>
        <w:tc>
          <w:tcPr>
            <w:tcW w:w="8545" w:type="dxa"/>
          </w:tcPr>
          <w:p w:rsidR="00D431DE" w:rsidP="00996107" w14:paraId="63886D55" w14:textId="75B6C9F6">
            <w:pPr>
              <w:widowControl w:val="0"/>
              <w:spacing w:after="0" w:line="240" w:lineRule="auto"/>
              <w:rPr>
                <w:rFonts w:asciiTheme="minorHAnsi" w:hAnsiTheme="minorHAnsi" w:cstheme="minorHAnsi"/>
                <w:color w:val="000000"/>
                <w:szCs w:val="24"/>
              </w:rPr>
            </w:pPr>
            <w:r w:rsidRPr="00371311">
              <w:rPr>
                <w:rFonts w:asciiTheme="minorHAnsi" w:hAnsiTheme="minorHAnsi" w:cstheme="minorHAnsi"/>
                <w:color w:val="000000"/>
                <w:szCs w:val="24"/>
              </w:rPr>
              <w:t>TSCA Section 12(b) Export Notification (EPA Form 9600-031)</w:t>
            </w:r>
          </w:p>
        </w:tc>
      </w:tr>
      <w:tr w14:paraId="366CA97C" w14:textId="77777777" w:rsidTr="004501B1">
        <w:tblPrEx>
          <w:tblW w:w="0" w:type="auto"/>
          <w:tblLook w:val="04A0"/>
        </w:tblPrEx>
        <w:tc>
          <w:tcPr>
            <w:tcW w:w="805" w:type="dxa"/>
          </w:tcPr>
          <w:p w:rsidR="00D431DE" w:rsidP="00996107" w14:paraId="63E44799" w14:textId="73A2A9EF">
            <w:pPr>
              <w:widowControl w:val="0"/>
              <w:spacing w:after="0" w:line="240" w:lineRule="auto"/>
              <w:rPr>
                <w:rFonts w:asciiTheme="minorHAnsi" w:hAnsiTheme="minorHAnsi" w:cstheme="minorHAnsi"/>
                <w:szCs w:val="24"/>
                <w:lang w:bidi="en-US"/>
              </w:rPr>
            </w:pPr>
            <w:r>
              <w:rPr>
                <w:rFonts w:asciiTheme="minorHAnsi" w:hAnsiTheme="minorHAnsi" w:cstheme="minorHAnsi"/>
                <w:szCs w:val="24"/>
                <w:lang w:bidi="en-US"/>
              </w:rPr>
              <w:t xml:space="preserve">8. </w:t>
            </w:r>
          </w:p>
        </w:tc>
        <w:tc>
          <w:tcPr>
            <w:tcW w:w="8545" w:type="dxa"/>
          </w:tcPr>
          <w:p w:rsidR="00D431DE" w:rsidP="00996107" w14:paraId="479B933F" w14:textId="1AFDD75A">
            <w:pPr>
              <w:widowControl w:val="0"/>
              <w:spacing w:after="0" w:line="240" w:lineRule="auto"/>
              <w:rPr>
                <w:rFonts w:asciiTheme="minorHAnsi" w:hAnsiTheme="minorHAnsi" w:cstheme="minorHAnsi"/>
                <w:color w:val="000000"/>
                <w:szCs w:val="24"/>
              </w:rPr>
            </w:pPr>
            <w:r w:rsidRPr="00D431DE">
              <w:rPr>
                <w:rFonts w:asciiTheme="minorHAnsi" w:hAnsiTheme="minorHAnsi" w:cstheme="minorHAnsi"/>
                <w:color w:val="000000"/>
                <w:szCs w:val="24"/>
              </w:rPr>
              <w:t>TSCA Section 8(d) Health and Safety Data Reporting (EPA Form 9600-032)</w:t>
            </w:r>
          </w:p>
        </w:tc>
      </w:tr>
      <w:tr w14:paraId="42DF8B87" w14:textId="77777777" w:rsidTr="004501B1">
        <w:tblPrEx>
          <w:tblW w:w="0" w:type="auto"/>
          <w:tblLook w:val="04A0"/>
        </w:tblPrEx>
        <w:tc>
          <w:tcPr>
            <w:tcW w:w="805" w:type="dxa"/>
          </w:tcPr>
          <w:p w:rsidR="009B2158" w:rsidRPr="00371311" w:rsidP="00996107" w14:paraId="2005FD05" w14:textId="4ABD5B41">
            <w:pPr>
              <w:widowControl w:val="0"/>
              <w:spacing w:after="0" w:line="240" w:lineRule="auto"/>
              <w:rPr>
                <w:rFonts w:asciiTheme="minorHAnsi" w:hAnsiTheme="minorHAnsi" w:cstheme="minorHAnsi"/>
                <w:szCs w:val="24"/>
                <w:lang w:bidi="en-US"/>
              </w:rPr>
            </w:pPr>
            <w:r>
              <w:rPr>
                <w:rFonts w:asciiTheme="minorHAnsi" w:hAnsiTheme="minorHAnsi" w:cstheme="minorHAnsi"/>
                <w:szCs w:val="24"/>
                <w:lang w:bidi="en-US"/>
              </w:rPr>
              <w:t xml:space="preserve">9. </w:t>
            </w:r>
          </w:p>
        </w:tc>
        <w:tc>
          <w:tcPr>
            <w:tcW w:w="8545" w:type="dxa"/>
          </w:tcPr>
          <w:p w:rsidR="009B2158" w:rsidRPr="00371311" w:rsidP="00996107" w14:paraId="20C86536" w14:textId="0B6CF250">
            <w:pPr>
              <w:widowControl w:val="0"/>
              <w:spacing w:after="0" w:line="240" w:lineRule="auto"/>
              <w:rPr>
                <w:rFonts w:asciiTheme="minorHAnsi" w:hAnsiTheme="minorHAnsi" w:cstheme="minorHAnsi"/>
                <w:szCs w:val="24"/>
              </w:rPr>
            </w:pPr>
            <w:r>
              <w:rPr>
                <w:rFonts w:asciiTheme="minorHAnsi" w:hAnsiTheme="minorHAnsi" w:cstheme="minorHAnsi"/>
                <w:szCs w:val="24"/>
              </w:rPr>
              <w:t xml:space="preserve">TSCA </w:t>
            </w:r>
            <w:r w:rsidRPr="00371311" w:rsidR="006016D3">
              <w:rPr>
                <w:rFonts w:asciiTheme="minorHAnsi" w:hAnsiTheme="minorHAnsi" w:cstheme="minorHAnsi"/>
                <w:szCs w:val="24"/>
              </w:rPr>
              <w:t xml:space="preserve">Section 4 Submissions </w:t>
            </w:r>
            <w:r w:rsidRPr="00371311" w:rsidR="000D1E05">
              <w:rPr>
                <w:rFonts w:asciiTheme="minorHAnsi" w:hAnsiTheme="minorHAnsi" w:cstheme="minorHAnsi"/>
                <w:szCs w:val="24"/>
              </w:rPr>
              <w:t>(EPA Form 9600-034)</w:t>
            </w:r>
          </w:p>
        </w:tc>
      </w:tr>
      <w:tr w14:paraId="466DCB6C" w14:textId="77777777" w:rsidTr="004501B1">
        <w:tblPrEx>
          <w:tblW w:w="0" w:type="auto"/>
          <w:tblLook w:val="04A0"/>
        </w:tblPrEx>
        <w:tc>
          <w:tcPr>
            <w:tcW w:w="805" w:type="dxa"/>
          </w:tcPr>
          <w:p w:rsidR="00D431DE" w:rsidP="00996107" w14:paraId="4B966FD2" w14:textId="4A62E321">
            <w:pPr>
              <w:widowControl w:val="0"/>
              <w:spacing w:after="0" w:line="240" w:lineRule="auto"/>
              <w:rPr>
                <w:rFonts w:asciiTheme="minorHAnsi" w:hAnsiTheme="minorHAnsi" w:cstheme="minorHAnsi"/>
                <w:szCs w:val="24"/>
                <w:lang w:bidi="en-US"/>
              </w:rPr>
            </w:pPr>
            <w:r>
              <w:rPr>
                <w:rFonts w:asciiTheme="minorHAnsi" w:hAnsiTheme="minorHAnsi" w:cstheme="minorHAnsi"/>
                <w:szCs w:val="24"/>
                <w:lang w:bidi="en-US"/>
              </w:rPr>
              <w:t xml:space="preserve">10. </w:t>
            </w:r>
          </w:p>
        </w:tc>
        <w:tc>
          <w:tcPr>
            <w:tcW w:w="8545" w:type="dxa"/>
          </w:tcPr>
          <w:p w:rsidR="00D431DE" w:rsidP="00996107" w14:paraId="654C97F0" w14:textId="686354B2">
            <w:pPr>
              <w:widowControl w:val="0"/>
              <w:spacing w:after="0" w:line="240" w:lineRule="auto"/>
              <w:rPr>
                <w:rFonts w:asciiTheme="minorHAnsi" w:hAnsiTheme="minorHAnsi" w:cstheme="minorHAnsi"/>
                <w:szCs w:val="24"/>
              </w:rPr>
            </w:pPr>
            <w:r w:rsidRPr="00371311">
              <w:rPr>
                <w:rFonts w:asciiTheme="minorHAnsi" w:hAnsiTheme="minorHAnsi" w:cstheme="minorHAnsi"/>
                <w:color w:val="000000"/>
                <w:szCs w:val="24"/>
              </w:rPr>
              <w:t>Mercury Electronic Reporting (9600-035)</w:t>
            </w:r>
          </w:p>
        </w:tc>
      </w:tr>
      <w:tr w14:paraId="2B366BBA" w14:textId="77777777" w:rsidTr="004501B1">
        <w:tblPrEx>
          <w:tblW w:w="0" w:type="auto"/>
          <w:tblLook w:val="04A0"/>
        </w:tblPrEx>
        <w:tc>
          <w:tcPr>
            <w:tcW w:w="805" w:type="dxa"/>
          </w:tcPr>
          <w:p w:rsidR="009B2158" w:rsidRPr="001C0575" w:rsidP="00996107" w14:paraId="3464FA06" w14:textId="155B0965">
            <w:pPr>
              <w:widowControl w:val="0"/>
              <w:spacing w:after="0" w:line="240" w:lineRule="auto"/>
              <w:rPr>
                <w:rFonts w:asciiTheme="minorHAnsi" w:hAnsiTheme="minorHAnsi" w:cstheme="minorHAnsi"/>
                <w:szCs w:val="24"/>
                <w:lang w:bidi="en-US"/>
              </w:rPr>
            </w:pPr>
            <w:r>
              <w:rPr>
                <w:rFonts w:asciiTheme="minorHAnsi" w:hAnsiTheme="minorHAnsi" w:cstheme="minorHAnsi"/>
                <w:szCs w:val="24"/>
                <w:lang w:bidi="en-US"/>
              </w:rPr>
              <w:t xml:space="preserve">11. </w:t>
            </w:r>
          </w:p>
        </w:tc>
        <w:tc>
          <w:tcPr>
            <w:tcW w:w="8545" w:type="dxa"/>
          </w:tcPr>
          <w:p w:rsidR="009B2158" w:rsidRPr="001C0575" w:rsidP="00996107" w14:paraId="20D87613" w14:textId="5EBEF9AF">
            <w:pPr>
              <w:widowControl w:val="0"/>
              <w:spacing w:after="0" w:line="240" w:lineRule="auto"/>
              <w:rPr>
                <w:rFonts w:asciiTheme="minorHAnsi" w:hAnsiTheme="minorHAnsi" w:cstheme="minorHAnsi"/>
                <w:szCs w:val="24"/>
              </w:rPr>
            </w:pPr>
            <w:r w:rsidRPr="001C0575">
              <w:rPr>
                <w:rFonts w:asciiTheme="minorHAnsi" w:hAnsiTheme="minorHAnsi" w:cstheme="minorHAnsi"/>
                <w:szCs w:val="24"/>
              </w:rPr>
              <w:t>EPA Risk Evaluation (EPA Form 9600-03</w:t>
            </w:r>
            <w:r w:rsidRPr="001C0575" w:rsidR="003A7735">
              <w:rPr>
                <w:rFonts w:asciiTheme="minorHAnsi" w:hAnsiTheme="minorHAnsi" w:cstheme="minorHAnsi"/>
                <w:szCs w:val="24"/>
              </w:rPr>
              <w:t>6</w:t>
            </w:r>
            <w:r w:rsidRPr="001C0575">
              <w:rPr>
                <w:rFonts w:asciiTheme="minorHAnsi" w:hAnsiTheme="minorHAnsi" w:cstheme="minorHAnsi"/>
                <w:szCs w:val="24"/>
              </w:rPr>
              <w:t>)</w:t>
            </w:r>
          </w:p>
        </w:tc>
      </w:tr>
      <w:tr w14:paraId="353AD40E" w14:textId="77777777" w:rsidTr="004501B1">
        <w:tblPrEx>
          <w:tblW w:w="0" w:type="auto"/>
          <w:tblLook w:val="04A0"/>
        </w:tblPrEx>
        <w:tc>
          <w:tcPr>
            <w:tcW w:w="805" w:type="dxa"/>
          </w:tcPr>
          <w:p w:rsidR="00D54B4C" w:rsidRPr="00D431DE" w:rsidP="00D431DE" w14:paraId="56942FDB" w14:textId="2DA41EDE">
            <w:pPr>
              <w:pStyle w:val="Heading2"/>
              <w:numPr>
                <w:ilvl w:val="0"/>
                <w:numId w:val="0"/>
              </w:numPr>
              <w:rPr>
                <w:b w:val="0"/>
                <w:bCs w:val="0"/>
              </w:rPr>
            </w:pPr>
            <w:r w:rsidRPr="00D431DE">
              <w:rPr>
                <w:rFonts w:asciiTheme="minorHAnsi" w:hAnsiTheme="minorHAnsi" w:cstheme="minorHAnsi"/>
                <w:b w:val="0"/>
                <w:bCs w:val="0"/>
                <w:szCs w:val="24"/>
              </w:rPr>
              <w:t>12.</w:t>
            </w:r>
            <w:r w:rsidRPr="00D431DE">
              <w:rPr>
                <w:b w:val="0"/>
                <w:bCs w:val="0"/>
              </w:rPr>
              <w:t xml:space="preserve"> </w:t>
            </w:r>
          </w:p>
        </w:tc>
        <w:tc>
          <w:tcPr>
            <w:tcW w:w="8545" w:type="dxa"/>
          </w:tcPr>
          <w:p w:rsidR="00D54B4C" w:rsidRPr="00371311" w:rsidP="00996107" w14:paraId="0DFCC5BE" w14:textId="5290AF7E">
            <w:pPr>
              <w:spacing w:after="0" w:line="240" w:lineRule="auto"/>
              <w:rPr>
                <w:rFonts w:asciiTheme="minorHAnsi" w:hAnsiTheme="minorHAnsi" w:cstheme="minorHAnsi"/>
                <w:szCs w:val="24"/>
              </w:rPr>
            </w:pPr>
            <w:r w:rsidRPr="00371311">
              <w:rPr>
                <w:rFonts w:asciiTheme="minorHAnsi" w:hAnsiTheme="minorHAnsi" w:cstheme="minorHAnsi"/>
                <w:szCs w:val="24"/>
              </w:rPr>
              <w:t xml:space="preserve">Formaldehyde Title VI– Annual Laboratory Report, Annual Product Report, Failure to Comply, Third Party Annual Report, Third Party Failure to Comply Quarterly Test, Third Party Quality Control Limit Exceedance, and Third Party Reduced Testing and Exemption Notification </w:t>
            </w:r>
            <w:r w:rsidRPr="00371311" w:rsidR="009D3D56">
              <w:rPr>
                <w:rFonts w:asciiTheme="minorHAnsi" w:hAnsiTheme="minorHAnsi" w:cstheme="minorHAnsi"/>
                <w:szCs w:val="24"/>
              </w:rPr>
              <w:t>(EPA Form 9600-049)</w:t>
            </w:r>
          </w:p>
        </w:tc>
      </w:tr>
      <w:tr w14:paraId="44020843" w14:textId="77777777" w:rsidTr="004501B1">
        <w:tblPrEx>
          <w:tblW w:w="0" w:type="auto"/>
          <w:tblLook w:val="04A0"/>
        </w:tblPrEx>
        <w:tc>
          <w:tcPr>
            <w:tcW w:w="805" w:type="dxa"/>
          </w:tcPr>
          <w:p w:rsidR="00987732" w:rsidRPr="00371311" w:rsidP="00996107" w14:paraId="1CBE5FF2" w14:textId="35618091">
            <w:pPr>
              <w:widowControl w:val="0"/>
              <w:spacing w:after="0" w:line="240" w:lineRule="auto"/>
              <w:rPr>
                <w:rFonts w:asciiTheme="minorHAnsi" w:hAnsiTheme="minorHAnsi" w:cstheme="minorHAnsi"/>
                <w:szCs w:val="24"/>
                <w:lang w:bidi="en-US"/>
              </w:rPr>
            </w:pPr>
            <w:r w:rsidRPr="00371311">
              <w:rPr>
                <w:rFonts w:asciiTheme="minorHAnsi" w:hAnsiTheme="minorHAnsi" w:cstheme="minorHAnsi"/>
                <w:szCs w:val="24"/>
                <w:lang w:bidi="en-US"/>
              </w:rPr>
              <w:t>1</w:t>
            </w:r>
            <w:r w:rsidR="00D431DE">
              <w:rPr>
                <w:rFonts w:asciiTheme="minorHAnsi" w:hAnsiTheme="minorHAnsi" w:cstheme="minorHAnsi"/>
                <w:szCs w:val="24"/>
                <w:lang w:bidi="en-US"/>
              </w:rPr>
              <w:t>3</w:t>
            </w:r>
            <w:r w:rsidRPr="00371311">
              <w:rPr>
                <w:rFonts w:asciiTheme="minorHAnsi" w:hAnsiTheme="minorHAnsi" w:cstheme="minorHAnsi"/>
                <w:szCs w:val="24"/>
                <w:lang w:bidi="en-US"/>
              </w:rPr>
              <w:t xml:space="preserve">. </w:t>
            </w:r>
          </w:p>
        </w:tc>
        <w:tc>
          <w:tcPr>
            <w:tcW w:w="8545" w:type="dxa"/>
          </w:tcPr>
          <w:p w:rsidR="00987732" w:rsidRPr="00371311" w:rsidP="00996107" w14:paraId="4E739AAF" w14:textId="1F20891F">
            <w:pPr>
              <w:spacing w:after="0" w:line="240" w:lineRule="auto"/>
              <w:rPr>
                <w:rFonts w:asciiTheme="minorHAnsi" w:hAnsiTheme="minorHAnsi" w:cstheme="minorHAnsi"/>
                <w:szCs w:val="24"/>
              </w:rPr>
            </w:pPr>
            <w:r w:rsidRPr="00371311">
              <w:rPr>
                <w:rFonts w:asciiTheme="minorHAnsi" w:hAnsiTheme="minorHAnsi" w:cstheme="minorHAnsi"/>
                <w:szCs w:val="24"/>
              </w:rPr>
              <w:t xml:space="preserve">Notice of Activity of Manufacturer, Import or Processing Form A and B (9600-060) </w:t>
            </w:r>
          </w:p>
        </w:tc>
      </w:tr>
      <w:tr w14:paraId="7593F65A" w14:textId="77777777" w:rsidTr="004501B1">
        <w:tblPrEx>
          <w:tblW w:w="0" w:type="auto"/>
          <w:tblLook w:val="04A0"/>
        </w:tblPrEx>
        <w:tc>
          <w:tcPr>
            <w:tcW w:w="805" w:type="dxa"/>
          </w:tcPr>
          <w:p w:rsidR="004501B1" w:rsidRPr="00371311" w:rsidP="00996107" w14:paraId="2DC1B560" w14:textId="4480CFF3">
            <w:pPr>
              <w:widowControl w:val="0"/>
              <w:spacing w:after="0" w:line="240" w:lineRule="auto"/>
              <w:rPr>
                <w:rFonts w:asciiTheme="minorHAnsi" w:hAnsiTheme="minorHAnsi" w:cstheme="minorHAnsi"/>
                <w:szCs w:val="24"/>
                <w:lang w:bidi="en-US"/>
              </w:rPr>
            </w:pPr>
            <w:r>
              <w:rPr>
                <w:rFonts w:asciiTheme="minorHAnsi" w:hAnsiTheme="minorHAnsi" w:cstheme="minorHAnsi"/>
                <w:szCs w:val="24"/>
                <w:lang w:bidi="en-US"/>
              </w:rPr>
              <w:t>1</w:t>
            </w:r>
            <w:r w:rsidR="009D3D56">
              <w:rPr>
                <w:rFonts w:asciiTheme="minorHAnsi" w:hAnsiTheme="minorHAnsi" w:cstheme="minorHAnsi"/>
                <w:szCs w:val="24"/>
                <w:lang w:bidi="en-US"/>
              </w:rPr>
              <w:t>4</w:t>
            </w:r>
            <w:r>
              <w:rPr>
                <w:rFonts w:asciiTheme="minorHAnsi" w:hAnsiTheme="minorHAnsi" w:cstheme="minorHAnsi"/>
                <w:szCs w:val="24"/>
                <w:lang w:bidi="en-US"/>
              </w:rPr>
              <w:t>.</w:t>
            </w:r>
          </w:p>
        </w:tc>
        <w:tc>
          <w:tcPr>
            <w:tcW w:w="8545" w:type="dxa"/>
          </w:tcPr>
          <w:p w:rsidR="004501B1" w:rsidRPr="00371311" w:rsidP="00996107" w14:paraId="7B57E25D" w14:textId="19C05648">
            <w:pPr>
              <w:spacing w:after="0" w:line="240" w:lineRule="auto"/>
              <w:rPr>
                <w:rFonts w:asciiTheme="minorHAnsi" w:hAnsiTheme="minorHAnsi" w:cstheme="minorHAnsi"/>
                <w:szCs w:val="24"/>
              </w:rPr>
            </w:pPr>
            <w:r>
              <w:rPr>
                <w:rFonts w:asciiTheme="minorHAnsi" w:hAnsiTheme="minorHAnsi" w:cstheme="minorHAnsi"/>
                <w:szCs w:val="24"/>
              </w:rPr>
              <w:t xml:space="preserve">Consultation </w:t>
            </w:r>
          </w:p>
        </w:tc>
      </w:tr>
      <w:tr w14:paraId="0442555A" w14:textId="77777777" w:rsidTr="004501B1">
        <w:tblPrEx>
          <w:tblW w:w="0" w:type="auto"/>
          <w:tblLook w:val="04A0"/>
        </w:tblPrEx>
        <w:tc>
          <w:tcPr>
            <w:tcW w:w="805" w:type="dxa"/>
          </w:tcPr>
          <w:p w:rsidR="00F237AD" w:rsidP="00996107" w14:paraId="669A0429" w14:textId="1EB12F53">
            <w:pPr>
              <w:widowControl w:val="0"/>
              <w:spacing w:after="0" w:line="240" w:lineRule="auto"/>
              <w:rPr>
                <w:rFonts w:asciiTheme="minorHAnsi" w:hAnsiTheme="minorHAnsi" w:cstheme="minorHAnsi"/>
                <w:szCs w:val="24"/>
                <w:lang w:bidi="en-US"/>
              </w:rPr>
            </w:pPr>
            <w:r>
              <w:rPr>
                <w:rFonts w:asciiTheme="minorHAnsi" w:hAnsiTheme="minorHAnsi" w:cstheme="minorHAnsi"/>
                <w:szCs w:val="24"/>
                <w:lang w:bidi="en-US"/>
              </w:rPr>
              <w:t>1</w:t>
            </w:r>
            <w:r w:rsidR="009D3D56">
              <w:rPr>
                <w:rFonts w:asciiTheme="minorHAnsi" w:hAnsiTheme="minorHAnsi" w:cstheme="minorHAnsi"/>
                <w:szCs w:val="24"/>
                <w:lang w:bidi="en-US"/>
              </w:rPr>
              <w:t>5</w:t>
            </w:r>
            <w:r>
              <w:rPr>
                <w:rFonts w:asciiTheme="minorHAnsi" w:hAnsiTheme="minorHAnsi" w:cstheme="minorHAnsi"/>
                <w:szCs w:val="24"/>
                <w:lang w:bidi="en-US"/>
              </w:rPr>
              <w:t xml:space="preserve">. </w:t>
            </w:r>
          </w:p>
        </w:tc>
        <w:tc>
          <w:tcPr>
            <w:tcW w:w="8545" w:type="dxa"/>
          </w:tcPr>
          <w:p w:rsidR="00F237AD" w:rsidP="00996107" w14:paraId="3D9E7D86" w14:textId="04CDCAE3">
            <w:pPr>
              <w:spacing w:after="0" w:line="240" w:lineRule="auto"/>
              <w:rPr>
                <w:rFonts w:asciiTheme="minorHAnsi" w:hAnsiTheme="minorHAnsi" w:cstheme="minorHAnsi"/>
                <w:szCs w:val="24"/>
              </w:rPr>
            </w:pPr>
            <w:r>
              <w:rPr>
                <w:rFonts w:asciiTheme="minorHAnsi" w:hAnsiTheme="minorHAnsi" w:cstheme="minorHAnsi"/>
                <w:szCs w:val="24"/>
              </w:rPr>
              <w:t xml:space="preserve">Consultation Responses </w:t>
            </w:r>
          </w:p>
        </w:tc>
      </w:tr>
      <w:tr w14:paraId="7F927F1E" w14:textId="77777777" w:rsidTr="004501B1">
        <w:tblPrEx>
          <w:tblW w:w="0" w:type="auto"/>
          <w:tblLook w:val="04A0"/>
        </w:tblPrEx>
        <w:tc>
          <w:tcPr>
            <w:tcW w:w="805" w:type="dxa"/>
          </w:tcPr>
          <w:p w:rsidR="00091B69" w:rsidP="00996107" w14:paraId="7C55F4F5" w14:textId="178B50C8">
            <w:pPr>
              <w:widowControl w:val="0"/>
              <w:spacing w:after="0" w:line="240" w:lineRule="auto"/>
              <w:rPr>
                <w:rFonts w:asciiTheme="minorHAnsi" w:hAnsiTheme="minorHAnsi" w:cstheme="minorHAnsi"/>
                <w:szCs w:val="24"/>
                <w:lang w:bidi="en-US"/>
              </w:rPr>
            </w:pPr>
            <w:r>
              <w:rPr>
                <w:rFonts w:asciiTheme="minorHAnsi" w:hAnsiTheme="minorHAnsi" w:cstheme="minorHAnsi"/>
                <w:szCs w:val="24"/>
                <w:lang w:bidi="en-US"/>
              </w:rPr>
              <w:t xml:space="preserve">16. </w:t>
            </w:r>
          </w:p>
        </w:tc>
        <w:tc>
          <w:tcPr>
            <w:tcW w:w="8545" w:type="dxa"/>
          </w:tcPr>
          <w:p w:rsidR="00091B69" w:rsidP="00996107" w14:paraId="08A36626" w14:textId="28BCFA4D">
            <w:pPr>
              <w:spacing w:after="0" w:line="240" w:lineRule="auto"/>
              <w:rPr>
                <w:rFonts w:asciiTheme="minorHAnsi" w:hAnsiTheme="minorHAnsi" w:cstheme="minorHAnsi"/>
                <w:szCs w:val="24"/>
              </w:rPr>
            </w:pPr>
            <w:r>
              <w:rPr>
                <w:rFonts w:asciiTheme="minorHAnsi" w:hAnsiTheme="minorHAnsi" w:cstheme="minorHAnsi"/>
                <w:szCs w:val="24"/>
              </w:rPr>
              <w:t xml:space="preserve">Public Comment </w:t>
            </w:r>
            <w:r w:rsidR="00481B13">
              <w:rPr>
                <w:rFonts w:asciiTheme="minorHAnsi" w:hAnsiTheme="minorHAnsi" w:cstheme="minorHAnsi"/>
                <w:szCs w:val="24"/>
              </w:rPr>
              <w:t xml:space="preserve">– </w:t>
            </w:r>
            <w:r w:rsidR="00481B13">
              <w:rPr>
                <w:rFonts w:asciiTheme="minorHAnsi" w:hAnsiTheme="minorHAnsi" w:cstheme="minorHAnsi"/>
                <w:szCs w:val="24"/>
              </w:rPr>
              <w:t>Milipore</w:t>
            </w:r>
            <w:r w:rsidR="00481B13">
              <w:rPr>
                <w:rFonts w:asciiTheme="minorHAnsi" w:hAnsiTheme="minorHAnsi" w:cstheme="minorHAnsi"/>
                <w:szCs w:val="24"/>
              </w:rPr>
              <w:t xml:space="preserve"> Sigma</w:t>
            </w:r>
          </w:p>
        </w:tc>
      </w:tr>
      <w:tr w14:paraId="6CFF1CC6" w14:textId="77777777" w:rsidTr="004501B1">
        <w:tblPrEx>
          <w:tblW w:w="0" w:type="auto"/>
          <w:tblLook w:val="04A0"/>
        </w:tblPrEx>
        <w:tc>
          <w:tcPr>
            <w:tcW w:w="805" w:type="dxa"/>
          </w:tcPr>
          <w:p w:rsidR="00481B13" w:rsidP="00996107" w14:paraId="412003A0" w14:textId="1F443FD4">
            <w:pPr>
              <w:widowControl w:val="0"/>
              <w:spacing w:after="0" w:line="240" w:lineRule="auto"/>
              <w:rPr>
                <w:rFonts w:asciiTheme="minorHAnsi" w:hAnsiTheme="minorHAnsi" w:cstheme="minorHAnsi"/>
                <w:szCs w:val="24"/>
                <w:lang w:bidi="en-US"/>
              </w:rPr>
            </w:pPr>
            <w:r>
              <w:rPr>
                <w:rFonts w:asciiTheme="minorHAnsi" w:hAnsiTheme="minorHAnsi" w:cstheme="minorHAnsi"/>
                <w:szCs w:val="24"/>
                <w:lang w:bidi="en-US"/>
              </w:rPr>
              <w:t>17</w:t>
            </w:r>
          </w:p>
        </w:tc>
        <w:tc>
          <w:tcPr>
            <w:tcW w:w="8545" w:type="dxa"/>
          </w:tcPr>
          <w:p w:rsidR="00481B13" w:rsidP="00996107" w14:paraId="0437D550" w14:textId="54B125DC">
            <w:pPr>
              <w:spacing w:after="0" w:line="240" w:lineRule="auto"/>
              <w:rPr>
                <w:rFonts w:asciiTheme="minorHAnsi" w:hAnsiTheme="minorHAnsi" w:cstheme="minorHAnsi"/>
                <w:szCs w:val="24"/>
              </w:rPr>
            </w:pPr>
            <w:r>
              <w:rPr>
                <w:rFonts w:asciiTheme="minorHAnsi" w:hAnsiTheme="minorHAnsi" w:cstheme="minorHAnsi"/>
                <w:szCs w:val="24"/>
              </w:rPr>
              <w:t xml:space="preserve">Public Comment – Vinyl Institute </w:t>
            </w:r>
          </w:p>
        </w:tc>
      </w:tr>
    </w:tbl>
    <w:p w:rsidR="00D30F07" w:rsidP="00D30F07" w14:paraId="67229DE1" w14:textId="77777777"/>
    <w:p w:rsidR="00D30F07" w:rsidP="00D30F07" w14:paraId="1127D102" w14:textId="59EB8CA0">
      <w:pPr>
        <w:pStyle w:val="Heading1"/>
        <w:spacing w:before="0" w:line="276" w:lineRule="auto"/>
        <w:rPr>
          <w:rFonts w:asciiTheme="minorHAnsi" w:hAnsiTheme="minorHAnsi" w:cstheme="minorHAnsi"/>
          <w:sz w:val="24"/>
          <w:szCs w:val="24"/>
        </w:rPr>
      </w:pPr>
      <w:r>
        <w:rPr>
          <w:rFonts w:asciiTheme="minorHAnsi" w:hAnsiTheme="minorHAnsi" w:cstheme="minorHAnsi"/>
          <w:sz w:val="24"/>
          <w:szCs w:val="24"/>
        </w:rPr>
        <w:t xml:space="preserve">references </w:t>
      </w:r>
    </w:p>
    <w:p w:rsidR="009A0EB5" w:rsidP="009A0EB5" w14:paraId="0A005C04" w14:textId="1C6DB48E">
      <w:pPr>
        <w:autoSpaceDE w:val="0"/>
        <w:autoSpaceDN w:val="0"/>
        <w:ind w:left="360" w:hanging="360"/>
        <w:rPr>
          <w:rFonts w:asciiTheme="minorHAnsi" w:hAnsiTheme="minorHAnsi" w:cstheme="minorHAnsi"/>
          <w:lang w:bidi="en-US"/>
        </w:rPr>
      </w:pPr>
      <w:r w:rsidRPr="00433E3C">
        <w:rPr>
          <w:rFonts w:asciiTheme="minorHAnsi" w:hAnsiTheme="minorHAnsi" w:cstheme="minorHAnsi"/>
        </w:rPr>
        <w:t>1.</w:t>
      </w:r>
      <w:r w:rsidRPr="00996107" w:rsidR="00996107">
        <w:t xml:space="preserve"> </w:t>
      </w:r>
      <w:hyperlink r:id="rId12" w:history="1">
        <w:r w:rsidR="00996107">
          <w:rPr>
            <w:rStyle w:val="Hyperlink"/>
            <w:rFonts w:asciiTheme="minorHAnsi" w:hAnsiTheme="minorHAnsi" w:cstheme="minorHAnsi"/>
          </w:rPr>
          <w:t>15 U.S.C. 2613</w:t>
        </w:r>
      </w:hyperlink>
      <w:r w:rsidR="00996107">
        <w:rPr>
          <w:rFonts w:asciiTheme="minorHAnsi" w:hAnsiTheme="minorHAnsi" w:cstheme="minorHAnsi"/>
        </w:rPr>
        <w:t xml:space="preserve"> </w:t>
      </w:r>
      <w:r w:rsidRPr="00433E3C">
        <w:rPr>
          <w:rFonts w:asciiTheme="minorHAnsi" w:hAnsiTheme="minorHAnsi" w:cstheme="minorHAnsi"/>
          <w:lang w:bidi="en-US"/>
        </w:rPr>
        <w:t xml:space="preserve">Toxic Substances Control Act </w:t>
      </w:r>
    </w:p>
    <w:p w:rsidR="009A0EB5" w:rsidP="009A0EB5" w14:paraId="52FF34E4" w14:textId="4CF3C2BC">
      <w:pPr>
        <w:autoSpaceDE w:val="0"/>
        <w:autoSpaceDN w:val="0"/>
        <w:ind w:left="360" w:hanging="360"/>
        <w:rPr>
          <w:rFonts w:asciiTheme="minorHAnsi" w:hAnsiTheme="minorHAnsi" w:cstheme="minorHAnsi"/>
          <w:szCs w:val="24"/>
        </w:rPr>
      </w:pPr>
      <w:r>
        <w:rPr>
          <w:rFonts w:asciiTheme="minorHAnsi" w:hAnsiTheme="minorHAnsi" w:cstheme="minorHAnsi"/>
          <w:szCs w:val="24"/>
        </w:rPr>
        <w:t xml:space="preserve">2. </w:t>
      </w:r>
      <w:hyperlink r:id="rId13" w:history="1">
        <w:r w:rsidR="00996107">
          <w:rPr>
            <w:rStyle w:val="Hyperlink"/>
            <w:rFonts w:asciiTheme="minorHAnsi" w:hAnsiTheme="minorHAnsi" w:cstheme="minorHAnsi"/>
            <w:szCs w:val="24"/>
          </w:rPr>
          <w:t>40 CFR 703</w:t>
        </w:r>
      </w:hyperlink>
      <w:r>
        <w:rPr>
          <w:rFonts w:asciiTheme="minorHAnsi" w:hAnsiTheme="minorHAnsi" w:cstheme="minorHAnsi"/>
          <w:szCs w:val="24"/>
        </w:rPr>
        <w:t xml:space="preserve"> - </w:t>
      </w:r>
      <w:r w:rsidR="00996107">
        <w:rPr>
          <w:rFonts w:asciiTheme="minorHAnsi" w:hAnsiTheme="minorHAnsi" w:cstheme="minorHAnsi"/>
          <w:szCs w:val="24"/>
        </w:rPr>
        <w:t>Confidentially</w:t>
      </w:r>
      <w:r>
        <w:rPr>
          <w:rFonts w:asciiTheme="minorHAnsi" w:hAnsiTheme="minorHAnsi" w:cstheme="minorHAnsi"/>
          <w:szCs w:val="24"/>
        </w:rPr>
        <w:t xml:space="preserve"> Claims </w:t>
      </w:r>
    </w:p>
    <w:p w:rsidR="009A0EB5" w:rsidP="009A0EB5" w14:paraId="60906B4A" w14:textId="510D3A78">
      <w:pPr>
        <w:autoSpaceDE w:val="0"/>
        <w:autoSpaceDN w:val="0"/>
        <w:ind w:left="360" w:hanging="360"/>
        <w:rPr>
          <w:rFonts w:asciiTheme="minorHAnsi" w:hAnsiTheme="minorHAnsi" w:cstheme="minorHAnsi"/>
          <w:szCs w:val="24"/>
        </w:rPr>
      </w:pPr>
      <w:r>
        <w:rPr>
          <w:rFonts w:asciiTheme="minorHAnsi" w:hAnsiTheme="minorHAnsi" w:cstheme="minorHAnsi"/>
          <w:szCs w:val="24"/>
        </w:rPr>
        <w:t xml:space="preserve">3. </w:t>
      </w:r>
      <w:hyperlink r:id="rId14" w:history="1">
        <w:r w:rsidR="00996107">
          <w:rPr>
            <w:rStyle w:val="Hyperlink"/>
            <w:rFonts w:asciiTheme="minorHAnsi" w:hAnsiTheme="minorHAnsi" w:cstheme="minorHAnsi"/>
            <w:szCs w:val="24"/>
          </w:rPr>
          <w:t>40 CFR 704</w:t>
        </w:r>
      </w:hyperlink>
      <w:r>
        <w:rPr>
          <w:rFonts w:asciiTheme="minorHAnsi" w:hAnsiTheme="minorHAnsi" w:cstheme="minorHAnsi"/>
          <w:szCs w:val="24"/>
        </w:rPr>
        <w:t xml:space="preserve"> - Reporting and Recordkeeping </w:t>
      </w:r>
    </w:p>
    <w:p w:rsidR="009A0EB5" w:rsidRPr="009A0EB5" w:rsidP="009A0EB5" w14:paraId="43A1C4BD" w14:textId="61CB2865">
      <w:pPr>
        <w:autoSpaceDE w:val="0"/>
        <w:autoSpaceDN w:val="0"/>
        <w:ind w:left="360" w:hanging="360"/>
        <w:rPr>
          <w:rFonts w:asciiTheme="minorHAnsi" w:hAnsiTheme="minorHAnsi" w:cstheme="minorHAnsi"/>
          <w:szCs w:val="24"/>
        </w:rPr>
      </w:pPr>
      <w:r w:rsidRPr="009A0EB5">
        <w:rPr>
          <w:rFonts w:asciiTheme="minorHAnsi" w:hAnsiTheme="minorHAnsi" w:cstheme="minorHAnsi"/>
          <w:szCs w:val="24"/>
        </w:rPr>
        <w:t xml:space="preserve">4. </w:t>
      </w:r>
      <w:hyperlink r:id="rId15" w:history="1">
        <w:r w:rsidR="00996107">
          <w:rPr>
            <w:rStyle w:val="Hyperlink"/>
            <w:rFonts w:asciiTheme="minorHAnsi" w:hAnsiTheme="minorHAnsi" w:cstheme="minorHAnsi"/>
            <w:szCs w:val="24"/>
          </w:rPr>
          <w:t>40 CFR 707</w:t>
        </w:r>
      </w:hyperlink>
      <w:r w:rsidRPr="009A0EB5">
        <w:rPr>
          <w:rFonts w:asciiTheme="minorHAnsi" w:hAnsiTheme="minorHAnsi" w:cstheme="minorHAnsi"/>
          <w:szCs w:val="24"/>
        </w:rPr>
        <w:t xml:space="preserve"> - Chemical</w:t>
      </w:r>
      <w:r>
        <w:rPr>
          <w:rFonts w:asciiTheme="minorHAnsi" w:hAnsiTheme="minorHAnsi" w:cstheme="minorHAnsi"/>
          <w:szCs w:val="24"/>
        </w:rPr>
        <w:t xml:space="preserve"> Imports and Exports </w:t>
      </w:r>
    </w:p>
    <w:p w:rsidR="009A0EB5" w:rsidP="009A0EB5" w14:paraId="3DD7A443" w14:textId="7537F5C3">
      <w:pPr>
        <w:autoSpaceDE w:val="0"/>
        <w:autoSpaceDN w:val="0"/>
        <w:ind w:left="360" w:hanging="360"/>
        <w:rPr>
          <w:rFonts w:asciiTheme="minorHAnsi" w:hAnsiTheme="minorHAnsi" w:cstheme="minorHAnsi"/>
          <w:szCs w:val="24"/>
        </w:rPr>
      </w:pPr>
      <w:r>
        <w:rPr>
          <w:rFonts w:asciiTheme="minorHAnsi" w:hAnsiTheme="minorHAnsi" w:cstheme="minorHAnsi"/>
          <w:szCs w:val="24"/>
        </w:rPr>
        <w:t xml:space="preserve">5. </w:t>
      </w:r>
      <w:hyperlink r:id="rId16" w:history="1">
        <w:r w:rsidR="00996107">
          <w:rPr>
            <w:rStyle w:val="Hyperlink"/>
            <w:rFonts w:asciiTheme="minorHAnsi" w:hAnsiTheme="minorHAnsi" w:cstheme="minorHAnsi"/>
            <w:szCs w:val="24"/>
          </w:rPr>
          <w:t>40 CFR 716</w:t>
        </w:r>
      </w:hyperlink>
      <w:r>
        <w:rPr>
          <w:rFonts w:asciiTheme="minorHAnsi" w:hAnsiTheme="minorHAnsi" w:cstheme="minorHAnsi"/>
          <w:szCs w:val="24"/>
        </w:rPr>
        <w:t xml:space="preserve"> -</w:t>
      </w:r>
      <w:r w:rsidR="00996107">
        <w:rPr>
          <w:rFonts w:asciiTheme="minorHAnsi" w:hAnsiTheme="minorHAnsi" w:cstheme="minorHAnsi"/>
          <w:szCs w:val="24"/>
        </w:rPr>
        <w:t xml:space="preserve"> Health and Safety Data Reporting </w:t>
      </w:r>
    </w:p>
    <w:p w:rsidR="009A0EB5" w:rsidP="009A0EB5" w14:paraId="0D74CBD2" w14:textId="4D633381">
      <w:pPr>
        <w:autoSpaceDE w:val="0"/>
        <w:autoSpaceDN w:val="0"/>
        <w:ind w:left="360" w:hanging="360"/>
        <w:rPr>
          <w:rFonts w:asciiTheme="minorHAnsi" w:hAnsiTheme="minorHAnsi" w:cstheme="minorHAnsi"/>
          <w:szCs w:val="24"/>
        </w:rPr>
      </w:pPr>
      <w:r>
        <w:rPr>
          <w:rFonts w:asciiTheme="minorHAnsi" w:hAnsiTheme="minorHAnsi" w:cstheme="minorHAnsi"/>
          <w:szCs w:val="24"/>
        </w:rPr>
        <w:t xml:space="preserve">6. </w:t>
      </w:r>
      <w:hyperlink r:id="rId17" w:history="1">
        <w:r w:rsidR="00996107">
          <w:rPr>
            <w:rStyle w:val="Hyperlink"/>
            <w:rFonts w:asciiTheme="minorHAnsi" w:hAnsiTheme="minorHAnsi" w:cstheme="minorHAnsi"/>
            <w:szCs w:val="24"/>
          </w:rPr>
          <w:t>40 CFR 717</w:t>
        </w:r>
      </w:hyperlink>
      <w:r w:rsidR="00996107">
        <w:rPr>
          <w:rFonts w:asciiTheme="minorHAnsi" w:hAnsiTheme="minorHAnsi" w:cstheme="minorHAnsi"/>
          <w:szCs w:val="24"/>
        </w:rPr>
        <w:t xml:space="preserve"> </w:t>
      </w:r>
      <w:r>
        <w:rPr>
          <w:rFonts w:asciiTheme="minorHAnsi" w:hAnsiTheme="minorHAnsi" w:cstheme="minorHAnsi"/>
          <w:szCs w:val="24"/>
        </w:rPr>
        <w:t>-</w:t>
      </w:r>
      <w:r w:rsidR="00996107">
        <w:rPr>
          <w:rFonts w:asciiTheme="minorHAnsi" w:hAnsiTheme="minorHAnsi" w:cstheme="minorHAnsi"/>
          <w:szCs w:val="24"/>
        </w:rPr>
        <w:t xml:space="preserve"> Records and Reports of Allegations that Chemical Substances Cause Significant Adverse Reactions to Health or the Environment </w:t>
      </w:r>
    </w:p>
    <w:p w:rsidR="009A0EB5" w:rsidP="009A0EB5" w14:paraId="0A6F106A" w14:textId="1F5CCE96">
      <w:pPr>
        <w:autoSpaceDE w:val="0"/>
        <w:autoSpaceDN w:val="0"/>
        <w:ind w:left="360" w:hanging="360"/>
        <w:rPr>
          <w:rFonts w:asciiTheme="minorHAnsi" w:hAnsiTheme="minorHAnsi" w:cstheme="minorHAnsi"/>
          <w:szCs w:val="24"/>
        </w:rPr>
      </w:pPr>
      <w:r>
        <w:rPr>
          <w:rFonts w:asciiTheme="minorHAnsi" w:hAnsiTheme="minorHAnsi" w:cstheme="minorHAnsi"/>
          <w:szCs w:val="24"/>
        </w:rPr>
        <w:t xml:space="preserve">7. </w:t>
      </w:r>
      <w:hyperlink r:id="rId18" w:history="1">
        <w:r w:rsidRPr="00433E3C">
          <w:rPr>
            <w:rStyle w:val="Hyperlink"/>
            <w:rFonts w:asciiTheme="minorHAnsi" w:hAnsiTheme="minorHAnsi" w:cstheme="minorHAnsi"/>
            <w:szCs w:val="24"/>
            <w:lang w:bidi="en-US"/>
          </w:rPr>
          <w:t>4</w:t>
        </w:r>
        <w:r w:rsidRPr="00433E3C">
          <w:rPr>
            <w:rStyle w:val="Hyperlink"/>
            <w:rFonts w:asciiTheme="minorHAnsi" w:hAnsiTheme="minorHAnsi" w:cstheme="minorHAnsi"/>
            <w:szCs w:val="24"/>
          </w:rPr>
          <w:t>0 CFR 720</w:t>
        </w:r>
      </w:hyperlink>
      <w:r w:rsidRPr="00433E3C">
        <w:rPr>
          <w:rFonts w:asciiTheme="minorHAnsi" w:hAnsiTheme="minorHAnsi" w:cstheme="minorHAnsi"/>
          <w:szCs w:val="24"/>
        </w:rPr>
        <w:t xml:space="preserve"> - Premanufacture Notification</w:t>
      </w:r>
    </w:p>
    <w:p w:rsidR="009A0EB5" w:rsidP="009A0EB5" w14:paraId="3A88D261" w14:textId="63AB0335">
      <w:pPr>
        <w:autoSpaceDE w:val="0"/>
        <w:autoSpaceDN w:val="0"/>
        <w:ind w:left="360" w:hanging="360"/>
        <w:rPr>
          <w:rFonts w:asciiTheme="minorHAnsi" w:hAnsiTheme="minorHAnsi" w:cstheme="minorHAnsi"/>
          <w:szCs w:val="24"/>
        </w:rPr>
      </w:pPr>
      <w:r>
        <w:rPr>
          <w:rFonts w:asciiTheme="minorHAnsi" w:hAnsiTheme="minorHAnsi" w:cstheme="minorHAnsi"/>
          <w:szCs w:val="24"/>
        </w:rPr>
        <w:t xml:space="preserve">8. </w:t>
      </w:r>
      <w:hyperlink r:id="rId19" w:history="1">
        <w:r w:rsidRPr="00433E3C">
          <w:rPr>
            <w:rStyle w:val="Hyperlink"/>
            <w:rFonts w:asciiTheme="minorHAnsi" w:hAnsiTheme="minorHAnsi" w:cstheme="minorHAnsi"/>
            <w:szCs w:val="24"/>
          </w:rPr>
          <w:t>40 CFR 721</w:t>
        </w:r>
      </w:hyperlink>
      <w:r w:rsidRPr="00433E3C">
        <w:rPr>
          <w:rFonts w:asciiTheme="minorHAnsi" w:hAnsiTheme="minorHAnsi" w:cstheme="minorHAnsi"/>
          <w:szCs w:val="24"/>
        </w:rPr>
        <w:t xml:space="preserve"> </w:t>
      </w:r>
      <w:r w:rsidRPr="00433E3C">
        <w:rPr>
          <w:rFonts w:asciiTheme="minorHAnsi" w:hAnsiTheme="minorHAnsi" w:cstheme="minorHAnsi"/>
          <w:szCs w:val="24"/>
          <w:lang w:bidi="en-US"/>
        </w:rPr>
        <w:t>(Subpart A through D) – Significant New Uses of Chemical Substances</w:t>
      </w:r>
    </w:p>
    <w:p w:rsidR="009A0EB5" w:rsidP="009A0EB5" w14:paraId="14050927" w14:textId="10A80E6C">
      <w:pPr>
        <w:autoSpaceDE w:val="0"/>
        <w:autoSpaceDN w:val="0"/>
        <w:ind w:left="360" w:hanging="360"/>
        <w:rPr>
          <w:rFonts w:asciiTheme="minorHAnsi" w:hAnsiTheme="minorHAnsi" w:cstheme="minorHAnsi"/>
          <w:szCs w:val="24"/>
        </w:rPr>
      </w:pPr>
      <w:r>
        <w:rPr>
          <w:rFonts w:asciiTheme="minorHAnsi" w:hAnsiTheme="minorHAnsi" w:cstheme="minorHAnsi"/>
          <w:szCs w:val="24"/>
        </w:rPr>
        <w:t xml:space="preserve">9. </w:t>
      </w:r>
      <w:hyperlink r:id="rId19" w:history="1">
        <w:r w:rsidRPr="00433E3C">
          <w:rPr>
            <w:rStyle w:val="Hyperlink"/>
            <w:rFonts w:asciiTheme="minorHAnsi" w:hAnsiTheme="minorHAnsi" w:cstheme="minorHAnsi"/>
            <w:szCs w:val="24"/>
          </w:rPr>
          <w:t>40 CFR 721</w:t>
        </w:r>
      </w:hyperlink>
      <w:r w:rsidRPr="00433E3C">
        <w:rPr>
          <w:rFonts w:asciiTheme="minorHAnsi" w:hAnsiTheme="minorHAnsi" w:cstheme="minorHAnsi"/>
          <w:szCs w:val="24"/>
        </w:rPr>
        <w:t xml:space="preserve"> </w:t>
      </w:r>
      <w:r w:rsidRPr="00433E3C">
        <w:rPr>
          <w:rFonts w:asciiTheme="minorHAnsi" w:hAnsiTheme="minorHAnsi" w:cstheme="minorHAnsi"/>
          <w:szCs w:val="24"/>
          <w:lang w:bidi="en-US"/>
        </w:rPr>
        <w:t>(Subpart A through D) – Significant New Uses of Chemical Substances</w:t>
      </w:r>
    </w:p>
    <w:p w:rsidR="009A0EB5" w:rsidP="009A0EB5" w14:paraId="28E05525" w14:textId="45AE17C0">
      <w:pPr>
        <w:autoSpaceDE w:val="0"/>
        <w:autoSpaceDN w:val="0"/>
        <w:ind w:left="360" w:hanging="360"/>
        <w:rPr>
          <w:rFonts w:asciiTheme="minorHAnsi" w:hAnsiTheme="minorHAnsi" w:cstheme="minorHAnsi"/>
          <w:szCs w:val="24"/>
        </w:rPr>
      </w:pPr>
      <w:r>
        <w:rPr>
          <w:rFonts w:asciiTheme="minorHAnsi" w:hAnsiTheme="minorHAnsi" w:cstheme="minorHAnsi"/>
          <w:szCs w:val="24"/>
        </w:rPr>
        <w:t xml:space="preserve">10. </w:t>
      </w:r>
      <w:hyperlink r:id="rId20" w:history="1">
        <w:r w:rsidR="00996107">
          <w:rPr>
            <w:rStyle w:val="Hyperlink"/>
            <w:rFonts w:asciiTheme="minorHAnsi" w:hAnsiTheme="minorHAnsi" w:cstheme="minorHAnsi"/>
            <w:szCs w:val="24"/>
          </w:rPr>
          <w:t>40 CFR 770</w:t>
        </w:r>
      </w:hyperlink>
      <w:r w:rsidR="00996107">
        <w:rPr>
          <w:rFonts w:asciiTheme="minorHAnsi" w:hAnsiTheme="minorHAnsi" w:cstheme="minorHAnsi"/>
          <w:szCs w:val="24"/>
        </w:rPr>
        <w:t xml:space="preserve"> </w:t>
      </w:r>
      <w:r>
        <w:rPr>
          <w:rFonts w:asciiTheme="minorHAnsi" w:hAnsiTheme="minorHAnsi" w:cstheme="minorHAnsi"/>
          <w:szCs w:val="24"/>
        </w:rPr>
        <w:t xml:space="preserve"> - </w:t>
      </w:r>
      <w:r w:rsidR="00996107">
        <w:rPr>
          <w:rFonts w:asciiTheme="minorHAnsi" w:hAnsiTheme="minorHAnsi" w:cstheme="minorHAnsi"/>
          <w:szCs w:val="24"/>
        </w:rPr>
        <w:t xml:space="preserve">Formaldehyde Standards for Composite Wood Products </w:t>
      </w:r>
    </w:p>
    <w:p w:rsidR="009A0EB5" w:rsidRPr="00371311" w:rsidP="009A0EB5" w14:paraId="495423AA" w14:textId="5639DDC8">
      <w:pPr>
        <w:autoSpaceDE w:val="0"/>
        <w:autoSpaceDN w:val="0"/>
        <w:ind w:left="360" w:hanging="360"/>
        <w:rPr>
          <w:rFonts w:asciiTheme="minorHAnsi" w:hAnsiTheme="minorHAnsi" w:cstheme="minorHAnsi"/>
          <w:szCs w:val="24"/>
        </w:rPr>
      </w:pPr>
      <w:r>
        <w:rPr>
          <w:rFonts w:asciiTheme="minorHAnsi" w:hAnsiTheme="minorHAnsi" w:cstheme="minorHAnsi"/>
          <w:szCs w:val="24"/>
        </w:rPr>
        <w:t xml:space="preserve">11. </w:t>
      </w:r>
      <w:hyperlink r:id="rId21" w:history="1">
        <w:r w:rsidR="00996107">
          <w:rPr>
            <w:rStyle w:val="Hyperlink"/>
            <w:rFonts w:asciiTheme="minorHAnsi" w:hAnsiTheme="minorHAnsi" w:cstheme="minorHAnsi"/>
            <w:szCs w:val="24"/>
          </w:rPr>
          <w:t>40 CFR 790</w:t>
        </w:r>
      </w:hyperlink>
      <w:r w:rsidR="00996107">
        <w:rPr>
          <w:rFonts w:asciiTheme="minorHAnsi" w:hAnsiTheme="minorHAnsi" w:cstheme="minorHAnsi"/>
          <w:szCs w:val="24"/>
        </w:rPr>
        <w:t xml:space="preserve">  </w:t>
      </w:r>
      <w:r>
        <w:rPr>
          <w:rFonts w:asciiTheme="minorHAnsi" w:hAnsiTheme="minorHAnsi" w:cstheme="minorHAnsi"/>
          <w:szCs w:val="24"/>
        </w:rPr>
        <w:t xml:space="preserve">- </w:t>
      </w:r>
      <w:r w:rsidR="00996107">
        <w:rPr>
          <w:rFonts w:asciiTheme="minorHAnsi" w:hAnsiTheme="minorHAnsi" w:cstheme="minorHAnsi"/>
          <w:szCs w:val="24"/>
        </w:rPr>
        <w:t xml:space="preserve"> Procedures Governing Testing Consent Agreements and Test Rules </w:t>
      </w:r>
    </w:p>
    <w:p w:rsidR="009A0EB5" w:rsidRPr="00433E3C" w:rsidP="009A0EB5" w14:paraId="5933CAB5" w14:textId="697B1EB4">
      <w:pPr>
        <w:autoSpaceDE w:val="0"/>
        <w:autoSpaceDN w:val="0"/>
        <w:ind w:left="360" w:hanging="360"/>
        <w:rPr>
          <w:rFonts w:asciiTheme="minorHAnsi" w:hAnsiTheme="minorHAnsi" w:cstheme="minorHAnsi"/>
        </w:rPr>
      </w:pPr>
      <w:r>
        <w:rPr>
          <w:rFonts w:asciiTheme="minorHAnsi" w:hAnsiTheme="minorHAnsi" w:cstheme="minorHAnsi"/>
          <w:spacing w:val="-2"/>
        </w:rPr>
        <w:t>12</w:t>
      </w:r>
      <w:r w:rsidRPr="00433E3C">
        <w:rPr>
          <w:rFonts w:asciiTheme="minorHAnsi" w:hAnsiTheme="minorHAnsi" w:cstheme="minorHAnsi"/>
          <w:spacing w:val="-2"/>
        </w:rPr>
        <w:t xml:space="preserve">. BLS, 2006. U.S. Bureau of Labor </w:t>
      </w:r>
      <w:r w:rsidRPr="00433E3C">
        <w:rPr>
          <w:rFonts w:asciiTheme="minorHAnsi" w:hAnsiTheme="minorHAnsi" w:cstheme="minorHAnsi"/>
        </w:rPr>
        <w:t>Statistics</w:t>
      </w:r>
      <w:r w:rsidRPr="00433E3C">
        <w:rPr>
          <w:rFonts w:asciiTheme="minorHAnsi" w:hAnsiTheme="minorHAnsi" w:cstheme="minorHAnsi"/>
          <w:spacing w:val="-2"/>
        </w:rPr>
        <w:t>,</w:t>
      </w:r>
      <w:r w:rsidRPr="00433E3C">
        <w:rPr>
          <w:rFonts w:asciiTheme="minorHAnsi" w:hAnsiTheme="minorHAnsi" w:cstheme="minorHAnsi"/>
        </w:rPr>
        <w:t xml:space="preserve"> </w:t>
      </w:r>
      <w:r w:rsidRPr="00433E3C">
        <w:rPr>
          <w:rFonts w:asciiTheme="minorHAnsi" w:hAnsiTheme="minorHAnsi" w:cstheme="minorHAnsi"/>
          <w:i/>
        </w:rPr>
        <w:t xml:space="preserve">Employment Cost Index News Release Text: Employment Cost Index, March 2006 </w:t>
      </w:r>
      <w:r w:rsidRPr="00433E3C">
        <w:rPr>
          <w:rFonts w:asciiTheme="minorHAnsi" w:hAnsiTheme="minorHAnsi" w:cstheme="minorHAnsi"/>
        </w:rPr>
        <w:t xml:space="preserve">(April 28, 2006), at </w:t>
      </w:r>
      <w:hyperlink r:id="rId22" w:history="1">
        <w:r w:rsidRPr="00433E3C">
          <w:rPr>
            <w:rFonts w:asciiTheme="minorHAnsi" w:hAnsiTheme="minorHAnsi" w:cstheme="minorHAnsi"/>
            <w:i/>
            <w:color w:val="0000FF"/>
            <w:u w:val="single"/>
          </w:rPr>
          <w:t>http://www.bls.gov</w:t>
        </w:r>
      </w:hyperlink>
      <w:r w:rsidRPr="00433E3C">
        <w:rPr>
          <w:rFonts w:asciiTheme="minorHAnsi" w:hAnsiTheme="minorHAnsi" w:cstheme="minorHAnsi"/>
          <w:u w:val="single"/>
        </w:rPr>
        <w:t>.</w:t>
      </w:r>
    </w:p>
    <w:p w:rsidR="009A0EB5" w:rsidRPr="00433E3C" w:rsidP="009A0EB5" w14:paraId="32F45959" w14:textId="4BB65353">
      <w:pPr>
        <w:autoSpaceDE w:val="0"/>
        <w:autoSpaceDN w:val="0"/>
        <w:ind w:left="360" w:hanging="360"/>
        <w:rPr>
          <w:rFonts w:asciiTheme="minorHAnsi" w:hAnsiTheme="minorHAnsi" w:cstheme="minorHAnsi"/>
        </w:rPr>
      </w:pPr>
      <w:r>
        <w:rPr>
          <w:rFonts w:asciiTheme="minorHAnsi" w:hAnsiTheme="minorHAnsi" w:cstheme="minorHAnsi"/>
          <w:bCs/>
        </w:rPr>
        <w:t>13</w:t>
      </w:r>
      <w:r w:rsidRPr="00433E3C">
        <w:rPr>
          <w:rFonts w:asciiTheme="minorHAnsi" w:hAnsiTheme="minorHAnsi" w:cstheme="minorHAnsi"/>
          <w:bCs/>
        </w:rPr>
        <w:t xml:space="preserve">. BLS, 2018. U.S. Bureau of Labor Statistics. “Employer Costs for Employee Compensation Supplementary Tables: December 2006 – December 2017” Accessed </w:t>
      </w:r>
      <w:r w:rsidRPr="00433E3C">
        <w:rPr>
          <w:rFonts w:asciiTheme="minorHAnsi" w:hAnsiTheme="minorHAnsi" w:cstheme="minorHAnsi"/>
        </w:rPr>
        <w:t>March 26, 2018</w:t>
      </w:r>
      <w:r w:rsidRPr="00433E3C">
        <w:rPr>
          <w:rFonts w:asciiTheme="minorHAnsi" w:hAnsiTheme="minorHAnsi" w:cstheme="minorHAnsi"/>
          <w:bCs/>
        </w:rPr>
        <w:t xml:space="preserve">. </w:t>
      </w:r>
      <w:hyperlink r:id="rId23" w:history="1">
        <w:r w:rsidRPr="00433E3C">
          <w:rPr>
            <w:rStyle w:val="Hyperlink"/>
            <w:rFonts w:asciiTheme="minorHAnsi" w:hAnsiTheme="minorHAnsi" w:cstheme="minorHAnsi"/>
          </w:rPr>
          <w:t>https://www.bls.gov/web/ecec/ecsuphst.pdf</w:t>
        </w:r>
      </w:hyperlink>
    </w:p>
    <w:p w:rsidR="009A0EB5" w:rsidP="009A0EB5" w14:paraId="192C8D61" w14:textId="3847EEE1">
      <w:pPr>
        <w:spacing w:after="0" w:line="240" w:lineRule="auto"/>
        <w:rPr>
          <w:rFonts w:asciiTheme="minorHAnsi" w:hAnsiTheme="minorHAnsi" w:cstheme="minorHAnsi"/>
          <w:szCs w:val="24"/>
        </w:rPr>
      </w:pPr>
      <w:r>
        <w:rPr>
          <w:rFonts w:asciiTheme="minorHAnsi" w:hAnsiTheme="minorHAnsi" w:cstheme="minorHAnsi"/>
          <w:szCs w:val="24"/>
        </w:rPr>
        <w:t xml:space="preserve">14. EPA, </w:t>
      </w:r>
      <w:r w:rsidRPr="00433E3C">
        <w:rPr>
          <w:rFonts w:asciiTheme="minorHAnsi" w:hAnsiTheme="minorHAnsi" w:cstheme="minorHAnsi"/>
          <w:szCs w:val="24"/>
        </w:rPr>
        <w:t>2023 Economic Analysis for the Final Rule: Procedures for Review of CBI Claims</w:t>
      </w:r>
    </w:p>
    <w:p w:rsidR="009A0EB5" w:rsidP="009A0EB5" w14:paraId="6C7A7883" w14:textId="77777777">
      <w:pPr>
        <w:spacing w:after="0" w:line="240" w:lineRule="auto"/>
        <w:rPr>
          <w:rFonts w:asciiTheme="minorHAnsi" w:hAnsiTheme="minorHAnsi" w:cstheme="minorHAnsi"/>
          <w:szCs w:val="24"/>
        </w:rPr>
      </w:pPr>
      <w:r>
        <w:rPr>
          <w:rFonts w:asciiTheme="minorHAnsi" w:hAnsiTheme="minorHAnsi" w:cstheme="minorHAnsi"/>
          <w:szCs w:val="24"/>
        </w:rPr>
        <w:tab/>
      </w:r>
      <w:r w:rsidRPr="00433E3C">
        <w:rPr>
          <w:rFonts w:asciiTheme="minorHAnsi" w:hAnsiTheme="minorHAnsi" w:cstheme="minorHAnsi"/>
          <w:szCs w:val="24"/>
        </w:rPr>
        <w:t>for the Identity of Chemicals on the TSCA Inventory (April 2, 2023).</w:t>
      </w:r>
    </w:p>
    <w:p w:rsidR="009A0EB5" w:rsidP="009A0EB5" w14:paraId="69141BE0" w14:textId="77777777">
      <w:pPr>
        <w:spacing w:after="0" w:line="240" w:lineRule="auto"/>
        <w:rPr>
          <w:rFonts w:asciiTheme="minorHAnsi" w:hAnsiTheme="minorHAnsi" w:cstheme="minorHAnsi"/>
          <w:szCs w:val="24"/>
        </w:rPr>
      </w:pPr>
    </w:p>
    <w:p w:rsidR="0026304B" w:rsidRPr="00091B69" w:rsidP="00091B69" w14:paraId="402D83F5" w14:textId="3CF1687F">
      <w:pPr>
        <w:spacing w:after="0" w:line="240" w:lineRule="auto"/>
        <w:rPr>
          <w:rFonts w:ascii="Calibri" w:hAnsi="Calibri" w:cs="Calibri"/>
          <w:szCs w:val="24"/>
        </w:rPr>
      </w:pPr>
      <w:r>
        <w:rPr>
          <w:rFonts w:ascii="Calibri" w:hAnsi="Calibri" w:cs="Calibri"/>
          <w:lang w:bidi="en-US"/>
        </w:rPr>
        <w:t xml:space="preserve">15. </w:t>
      </w:r>
      <w:r w:rsidRPr="009A0EB5" w:rsidR="00D30F07">
        <w:rPr>
          <w:rFonts w:ascii="Calibri" w:hAnsi="Calibri" w:cs="Calibri"/>
          <w:lang w:bidi="en-US"/>
        </w:rPr>
        <w:t xml:space="preserve">EPA (2023) </w:t>
      </w:r>
      <w:r w:rsidRPr="009A0EB5">
        <w:rPr>
          <w:rFonts w:ascii="Calibri" w:hAnsi="Calibri" w:cs="Calibri"/>
          <w:szCs w:val="24"/>
        </w:rPr>
        <w:t xml:space="preserve">Final Rule: Procedures for Review of CBI Claims for the Identity of Chemicals on </w:t>
      </w:r>
      <w:r w:rsidRPr="009A0EB5">
        <w:rPr>
          <w:rFonts w:ascii="Calibri" w:hAnsi="Calibri" w:cs="Calibri"/>
          <w:szCs w:val="24"/>
        </w:rPr>
        <w:tab/>
        <w:t>the TSCA Inventory</w:t>
      </w:r>
      <w:r>
        <w:rPr>
          <w:rFonts w:ascii="Calibri" w:hAnsi="Calibri" w:cs="Calibri"/>
          <w:szCs w:val="24"/>
        </w:rPr>
        <w:t>.</w:t>
      </w:r>
    </w:p>
    <w:sectPr w:rsidSect="002059F4">
      <w:footerReference w:type="default" r:id="rId24"/>
      <w:headerReference w:type="first" r:id="rId25"/>
      <w:footerReference w:type="first" r:id="rId2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82544466"/>
      <w:docPartObj>
        <w:docPartGallery w:val="Page Numbers (Bottom of Page)"/>
        <w:docPartUnique/>
      </w:docPartObj>
    </w:sdtPr>
    <w:sdtContent>
      <w:sdt>
        <w:sdtPr>
          <w:id w:val="1728636285"/>
          <w:docPartObj>
            <w:docPartGallery w:val="Page Numbers (Top of Page)"/>
            <w:docPartUnique/>
          </w:docPartObj>
        </w:sdtPr>
        <w:sdtContent>
          <w:p w:rsidR="006C05AA" w:rsidP="009505AD" w14:paraId="1FDD3C08" w14:textId="1B37931B">
            <w:pPr>
              <w:pStyle w:val="Footer"/>
              <w:spacing w:before="120"/>
              <w:jc w:val="center"/>
            </w:pPr>
            <w:r w:rsidRPr="009505AD">
              <w:rPr>
                <w:sz w:val="20"/>
                <w:szCs w:val="20"/>
              </w:rPr>
              <w:t xml:space="preserve">Page </w:t>
            </w:r>
            <w:r w:rsidRPr="009505AD">
              <w:rPr>
                <w:b/>
                <w:bCs/>
                <w:sz w:val="20"/>
                <w:szCs w:val="20"/>
              </w:rPr>
              <w:fldChar w:fldCharType="begin"/>
            </w:r>
            <w:r w:rsidRPr="009505AD">
              <w:rPr>
                <w:b/>
                <w:bCs/>
                <w:sz w:val="20"/>
                <w:szCs w:val="20"/>
              </w:rPr>
              <w:instrText xml:space="preserve"> PAGE </w:instrText>
            </w:r>
            <w:r w:rsidRPr="009505AD">
              <w:rPr>
                <w:b/>
                <w:bCs/>
                <w:sz w:val="20"/>
                <w:szCs w:val="20"/>
              </w:rPr>
              <w:fldChar w:fldCharType="separate"/>
            </w:r>
            <w:r>
              <w:rPr>
                <w:b/>
                <w:bCs/>
                <w:noProof/>
                <w:sz w:val="20"/>
                <w:szCs w:val="20"/>
              </w:rPr>
              <w:t>2</w:t>
            </w:r>
            <w:r w:rsidRPr="009505AD">
              <w:rPr>
                <w:b/>
                <w:bCs/>
                <w:sz w:val="20"/>
                <w:szCs w:val="20"/>
              </w:rPr>
              <w:fldChar w:fldCharType="end"/>
            </w:r>
            <w:r w:rsidRPr="009505AD">
              <w:rPr>
                <w:sz w:val="20"/>
                <w:szCs w:val="20"/>
              </w:rPr>
              <w:t xml:space="preserve"> of </w:t>
            </w:r>
            <w:r w:rsidRPr="009505AD">
              <w:rPr>
                <w:b/>
                <w:bCs/>
                <w:sz w:val="20"/>
                <w:szCs w:val="20"/>
              </w:rPr>
              <w:fldChar w:fldCharType="begin"/>
            </w:r>
            <w:r w:rsidRPr="009505AD">
              <w:rPr>
                <w:b/>
                <w:bCs/>
                <w:sz w:val="20"/>
                <w:szCs w:val="20"/>
              </w:rPr>
              <w:instrText xml:space="preserve"> NUMPAGES  </w:instrText>
            </w:r>
            <w:r w:rsidRPr="009505AD">
              <w:rPr>
                <w:b/>
                <w:bCs/>
                <w:sz w:val="20"/>
                <w:szCs w:val="20"/>
              </w:rPr>
              <w:fldChar w:fldCharType="separate"/>
            </w:r>
            <w:r>
              <w:rPr>
                <w:b/>
                <w:bCs/>
                <w:noProof/>
                <w:sz w:val="20"/>
                <w:szCs w:val="20"/>
              </w:rPr>
              <w:t>21</w:t>
            </w:r>
            <w:r w:rsidRPr="009505AD">
              <w:rPr>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05AA" w:rsidP="009505AD" w14:paraId="79EB01F2" w14:textId="72537F53">
    <w:pPr>
      <w:pStyle w:val="Footer"/>
      <w:spacing w:before="120"/>
      <w:jc w:val="center"/>
    </w:pPr>
    <w:sdt>
      <w:sdtPr>
        <w:id w:val="1988427682"/>
        <w:docPartObj>
          <w:docPartGallery w:val="Page Numbers (Top of Page)"/>
          <w:docPartUnique/>
        </w:docPartObj>
      </w:sdtPr>
      <w:sdtContent>
        <w:r w:rsidRPr="009505AD" w:rsidR="006016D3">
          <w:rPr>
            <w:sz w:val="20"/>
            <w:szCs w:val="20"/>
          </w:rPr>
          <w:t xml:space="preserve">Page </w:t>
        </w:r>
        <w:r w:rsidRPr="009505AD" w:rsidR="006016D3">
          <w:rPr>
            <w:b/>
            <w:bCs/>
            <w:sz w:val="20"/>
            <w:szCs w:val="20"/>
          </w:rPr>
          <w:fldChar w:fldCharType="begin"/>
        </w:r>
        <w:r w:rsidRPr="009505AD" w:rsidR="006016D3">
          <w:rPr>
            <w:b/>
            <w:bCs/>
            <w:sz w:val="20"/>
            <w:szCs w:val="20"/>
          </w:rPr>
          <w:instrText xml:space="preserve"> PAGE </w:instrText>
        </w:r>
        <w:r w:rsidRPr="009505AD" w:rsidR="006016D3">
          <w:rPr>
            <w:b/>
            <w:bCs/>
            <w:sz w:val="20"/>
            <w:szCs w:val="20"/>
          </w:rPr>
          <w:fldChar w:fldCharType="separate"/>
        </w:r>
        <w:r w:rsidR="006016D3">
          <w:rPr>
            <w:b/>
            <w:bCs/>
            <w:noProof/>
            <w:sz w:val="20"/>
            <w:szCs w:val="20"/>
          </w:rPr>
          <w:t>1</w:t>
        </w:r>
        <w:r w:rsidRPr="009505AD" w:rsidR="006016D3">
          <w:rPr>
            <w:b/>
            <w:bCs/>
            <w:sz w:val="20"/>
            <w:szCs w:val="20"/>
          </w:rPr>
          <w:fldChar w:fldCharType="end"/>
        </w:r>
        <w:r w:rsidRPr="009505AD" w:rsidR="006016D3">
          <w:rPr>
            <w:sz w:val="20"/>
            <w:szCs w:val="20"/>
          </w:rPr>
          <w:t xml:space="preserve"> of </w:t>
        </w:r>
        <w:r w:rsidRPr="009505AD" w:rsidR="006016D3">
          <w:rPr>
            <w:b/>
            <w:bCs/>
            <w:sz w:val="20"/>
            <w:szCs w:val="20"/>
          </w:rPr>
          <w:fldChar w:fldCharType="begin"/>
        </w:r>
        <w:r w:rsidRPr="009505AD" w:rsidR="006016D3">
          <w:rPr>
            <w:b/>
            <w:bCs/>
            <w:sz w:val="20"/>
            <w:szCs w:val="20"/>
          </w:rPr>
          <w:instrText xml:space="preserve"> NUMPAGES  </w:instrText>
        </w:r>
        <w:r w:rsidRPr="009505AD" w:rsidR="006016D3">
          <w:rPr>
            <w:b/>
            <w:bCs/>
            <w:sz w:val="20"/>
            <w:szCs w:val="20"/>
          </w:rPr>
          <w:fldChar w:fldCharType="separate"/>
        </w:r>
        <w:r w:rsidR="006016D3">
          <w:rPr>
            <w:b/>
            <w:bCs/>
            <w:noProof/>
            <w:sz w:val="20"/>
            <w:szCs w:val="20"/>
          </w:rPr>
          <w:t>21</w:t>
        </w:r>
        <w:r w:rsidRPr="009505AD" w:rsidR="006016D3">
          <w:rPr>
            <w:b/>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61C3A" w14:paraId="07A41027" w14:textId="77777777">
      <w:pPr>
        <w:spacing w:after="0" w:line="240" w:lineRule="auto"/>
      </w:pPr>
      <w:r>
        <w:separator/>
      </w:r>
    </w:p>
  </w:footnote>
  <w:footnote w:type="continuationSeparator" w:id="1">
    <w:p w:rsidR="00A61C3A" w14:paraId="41C8733E" w14:textId="77777777">
      <w:pPr>
        <w:spacing w:after="0" w:line="240" w:lineRule="auto"/>
      </w:pPr>
      <w:r>
        <w:continuationSeparator/>
      </w:r>
    </w:p>
  </w:footnote>
  <w:footnote w:type="continuationNotice" w:id="2">
    <w:p w:rsidR="00A61C3A" w14:paraId="2B00C962" w14:textId="77777777">
      <w:pPr>
        <w:spacing w:after="0" w:line="240" w:lineRule="auto"/>
      </w:pPr>
    </w:p>
  </w:footnote>
  <w:footnote w:id="3">
    <w:p w:rsidR="00CD4484" w14:paraId="35FB1561" w14:textId="24205859">
      <w:pPr>
        <w:pStyle w:val="FootnoteText"/>
      </w:pPr>
      <w:r>
        <w:rPr>
          <w:rStyle w:val="FootnoteReference"/>
        </w:rPr>
        <w:footnoteRef/>
      </w:r>
      <w:r>
        <w:t xml:space="preserve"> </w:t>
      </w:r>
      <w:r w:rsidRPr="00371311">
        <w:rPr>
          <w:rFonts w:asciiTheme="minorHAnsi" w:hAnsiTheme="minorHAnsi" w:cstheme="minorHAnsi"/>
        </w:rPr>
        <w:t xml:space="preserve">This represents </w:t>
      </w:r>
      <w:r w:rsidRPr="00371311" w:rsidR="00747521">
        <w:rPr>
          <w:rFonts w:asciiTheme="minorHAnsi" w:hAnsiTheme="minorHAnsi" w:cstheme="minorHAnsi"/>
        </w:rPr>
        <w:t xml:space="preserve">an example of </w:t>
      </w:r>
      <w:r w:rsidRPr="00371311">
        <w:rPr>
          <w:rFonts w:asciiTheme="minorHAnsi" w:hAnsiTheme="minorHAnsi" w:cstheme="minorHAnsi"/>
        </w:rPr>
        <w:t>TSCA submissions</w:t>
      </w:r>
      <w:r w:rsidRPr="00371311" w:rsidR="00747521">
        <w:rPr>
          <w:rFonts w:asciiTheme="minorHAnsi" w:hAnsiTheme="minorHAnsi" w:cstheme="minorHAnsi"/>
        </w:rPr>
        <w:t xml:space="preserve"> for </w:t>
      </w:r>
      <w:r w:rsidRPr="00371311">
        <w:rPr>
          <w:rFonts w:asciiTheme="minorHAnsi" w:hAnsiTheme="minorHAnsi" w:cstheme="minorHAnsi"/>
        </w:rPr>
        <w:t>standard, rule-required reporting forms</w:t>
      </w:r>
      <w:r w:rsidRPr="00371311" w:rsidR="00747521">
        <w:rPr>
          <w:rFonts w:asciiTheme="minorHAnsi" w:hAnsiTheme="minorHAnsi" w:cstheme="minorHAnsi"/>
        </w:rPr>
        <w:t xml:space="preserve">. There are also other </w:t>
      </w:r>
      <w:r w:rsidRPr="00371311">
        <w:rPr>
          <w:rFonts w:asciiTheme="minorHAnsi" w:hAnsiTheme="minorHAnsi" w:cstheme="minorHAnsi"/>
        </w:rPr>
        <w:t xml:space="preserve">TSCA submissions, </w:t>
      </w:r>
      <w:r w:rsidRPr="00371311" w:rsidR="00747521">
        <w:rPr>
          <w:rFonts w:asciiTheme="minorHAnsi" w:hAnsiTheme="minorHAnsi" w:cstheme="minorHAnsi"/>
        </w:rPr>
        <w:t>communications for instance</w:t>
      </w:r>
      <w:r w:rsidRPr="00371311">
        <w:rPr>
          <w:rFonts w:asciiTheme="minorHAnsi" w:hAnsiTheme="minorHAnsi" w:cstheme="minorHAnsi"/>
        </w:rPr>
        <w:t>, are also subject to 703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37AD" w:rsidP="00F237AD" w14:paraId="019C005E" w14:textId="18D9924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C0B42CC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E91808"/>
    <w:multiLevelType w:val="multilevel"/>
    <w:tmpl w:val="5F0CCE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8D1985"/>
    <w:multiLevelType w:val="hybridMultilevel"/>
    <w:tmpl w:val="D78821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DB4DC2"/>
    <w:multiLevelType w:val="hybridMultilevel"/>
    <w:tmpl w:val="884082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305E64"/>
    <w:multiLevelType w:val="hybridMultilevel"/>
    <w:tmpl w:val="E304B68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3E772C"/>
    <w:multiLevelType w:val="singleLevel"/>
    <w:tmpl w:val="F8F202EA"/>
    <w:lvl w:ilvl="0">
      <w:start w:val="1"/>
      <w:numFmt w:val="lowerLetter"/>
      <w:lvlText w:val="(%1)"/>
      <w:lvlJc w:val="left"/>
      <w:pPr>
        <w:ind w:left="720" w:hanging="360"/>
      </w:pPr>
      <w:rPr>
        <w:rFonts w:ascii="Times New Roman" w:hAnsi="Times New Roman" w:cs="Times New Roman" w:hint="default"/>
        <w:b/>
        <w:bCs/>
      </w:rPr>
    </w:lvl>
  </w:abstractNum>
  <w:abstractNum w:abstractNumId="6">
    <w:nsid w:val="1B8C116D"/>
    <w:multiLevelType w:val="multilevel"/>
    <w:tmpl w:val="4FE223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96465C"/>
    <w:multiLevelType w:val="hybridMultilevel"/>
    <w:tmpl w:val="128A90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2F4D8E"/>
    <w:multiLevelType w:val="multilevel"/>
    <w:tmpl w:val="2236F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822050"/>
    <w:multiLevelType w:val="hybridMultilevel"/>
    <w:tmpl w:val="8A7882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B813E02"/>
    <w:multiLevelType w:val="hybridMultilevel"/>
    <w:tmpl w:val="49221F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D3A4D46"/>
    <w:multiLevelType w:val="hybridMultilevel"/>
    <w:tmpl w:val="4D7859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0426AA2"/>
    <w:multiLevelType w:val="multilevel"/>
    <w:tmpl w:val="4B42B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F2479C"/>
    <w:multiLevelType w:val="hybridMultilevel"/>
    <w:tmpl w:val="013E1DE4"/>
    <w:lvl w:ilvl="0">
      <w:start w:val="1"/>
      <w:numFmt w:val="lowerLetter"/>
      <w:lvlText w:val="(%1)"/>
      <w:lvlJc w:val="left"/>
      <w:pPr>
        <w:ind w:left="720" w:hanging="360"/>
      </w:pPr>
      <w:rPr>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29929B6"/>
    <w:multiLevelType w:val="multilevel"/>
    <w:tmpl w:val="CCD211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AC746A"/>
    <w:multiLevelType w:val="hybridMultilevel"/>
    <w:tmpl w:val="CF1AD2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5C308DC"/>
    <w:multiLevelType w:val="multilevel"/>
    <w:tmpl w:val="05389A80"/>
    <w:lvl w:ilvl="0">
      <w:start w:val="1"/>
      <w:numFmt w:val="decimal"/>
      <w:lvlText w:val="%1."/>
      <w:lvlJc w:val="left"/>
      <w:pPr>
        <w:ind w:left="720" w:hanging="360"/>
      </w:pPr>
      <w:rPr>
        <w:rFonts w:hint="default"/>
        <w:b/>
      </w:rPr>
    </w:lvl>
    <w:lvl w:ilvl="1">
      <w:start w:val="1"/>
      <w:numFmt w:val="lowerLetter"/>
      <w:lvlText w:val="%1(%2)."/>
      <w:lvlJc w:val="left"/>
      <w:pPr>
        <w:ind w:left="45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lowerRoman"/>
      <w:lvlText w:val="%1(%2)(%3)."/>
      <w:lvlJc w:val="left"/>
      <w:pPr>
        <w:ind w:left="117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pStyle w:val="Heading4"/>
      <w:lvlText w:val=" (%4)"/>
      <w:lvlJc w:val="left"/>
      <w:pPr>
        <w:ind w:left="1170" w:hanging="360"/>
      </w:pPr>
      <w:rPr>
        <w:rFonts w:hint="default"/>
        <w:b/>
        <w:i/>
      </w:rPr>
    </w:lvl>
    <w:lvl w:ilvl="4">
      <w:start w:val="1"/>
      <w:numFmt w:val="lowerLetter"/>
      <w:lvlText w:val="(%5)."/>
      <w:lvlJc w:val="left"/>
      <w:pPr>
        <w:ind w:left="1314" w:hanging="144"/>
      </w:pPr>
      <w:rPr>
        <w:rFonts w:hint="default"/>
        <w:b w:val="0"/>
        <w:i/>
      </w:rPr>
    </w:lvl>
    <w:lvl w:ilvl="5">
      <w:start w:val="1"/>
      <w:numFmt w:val="lowerRoman"/>
      <w:lvlText w:val="(%6)."/>
      <w:lvlJc w:val="left"/>
      <w:pPr>
        <w:ind w:left="1530" w:hanging="72"/>
      </w:pPr>
      <w:rPr>
        <w:rFonts w:hint="default"/>
        <w:b w:val="0"/>
        <w:i/>
      </w:rPr>
    </w:lvl>
    <w:lvl w:ilvl="6">
      <w:start w:val="1"/>
      <w:numFmt w:val="decimal"/>
      <w:lvlText w:val="%7."/>
      <w:lvlJc w:val="left"/>
      <w:pPr>
        <w:ind w:left="1818" w:hanging="144"/>
      </w:pPr>
      <w:rPr>
        <w:rFonts w:hint="default"/>
      </w:rPr>
    </w:lvl>
    <w:lvl w:ilvl="7">
      <w:start w:val="1"/>
      <w:numFmt w:val="lowerLetter"/>
      <w:lvlText w:val="%8."/>
      <w:lvlJc w:val="left"/>
      <w:pPr>
        <w:ind w:left="2178" w:hanging="216"/>
      </w:pPr>
      <w:rPr>
        <w:rFonts w:hint="default"/>
      </w:rPr>
    </w:lvl>
    <w:lvl w:ilvl="8">
      <w:start w:val="1"/>
      <w:numFmt w:val="lowerRoman"/>
      <w:lvlText w:val="%9."/>
      <w:lvlJc w:val="left"/>
      <w:pPr>
        <w:ind w:left="2466" w:hanging="216"/>
      </w:pPr>
      <w:rPr>
        <w:rFonts w:hint="default"/>
      </w:rPr>
    </w:lvl>
  </w:abstractNum>
  <w:abstractNum w:abstractNumId="17">
    <w:nsid w:val="47F1296D"/>
    <w:multiLevelType w:val="multilevel"/>
    <w:tmpl w:val="8E38A2A6"/>
    <w:lvl w:ilvl="0">
      <w:start w:val="1"/>
      <w:numFmt w:val="decimal"/>
      <w:lvlText w:val="%1"/>
      <w:lvlJc w:val="left"/>
      <w:pPr>
        <w:ind w:left="432" w:hanging="432"/>
      </w:pPr>
    </w:lvl>
    <w:lvl w:ilvl="1">
      <w:start w:val="1"/>
      <w:numFmt w:val="decimal"/>
      <w:lvlText w:val="%1.%2"/>
      <w:lvlJc w:val="left"/>
      <w:pPr>
        <w:ind w:left="75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49173705"/>
    <w:multiLevelType w:val="hybridMultilevel"/>
    <w:tmpl w:val="01A45A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AC76930"/>
    <w:multiLevelType w:val="multilevel"/>
    <w:tmpl w:val="4730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F50E05"/>
    <w:multiLevelType w:val="multilevel"/>
    <w:tmpl w:val="F4225B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7F816E0"/>
    <w:multiLevelType w:val="hybridMultilevel"/>
    <w:tmpl w:val="976EFB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B0A6383"/>
    <w:multiLevelType w:val="hybridMultilevel"/>
    <w:tmpl w:val="D04EB4FE"/>
    <w:lvl w:ilvl="0">
      <w:start w:val="1"/>
      <w:numFmt w:val="decimal"/>
      <w:lvlText w:val="(%1)"/>
      <w:lvlJc w:val="left"/>
      <w:pPr>
        <w:ind w:left="72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5C527F15"/>
    <w:multiLevelType w:val="hybridMultilevel"/>
    <w:tmpl w:val="EC2C0850"/>
    <w:lvl w:ilvl="0">
      <w:start w:val="1"/>
      <w:numFmt w:val="decimal"/>
      <w:pStyle w:val="Heading2"/>
      <w:lvlText w:val="%1."/>
      <w:lvlJc w:val="center"/>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2EC41A1"/>
    <w:multiLevelType w:val="hybridMultilevel"/>
    <w:tmpl w:val="F37A4A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58E4B35"/>
    <w:multiLevelType w:val="multilevel"/>
    <w:tmpl w:val="CF42CF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D117015"/>
    <w:multiLevelType w:val="hybridMultilevel"/>
    <w:tmpl w:val="54940C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0327EF4"/>
    <w:multiLevelType w:val="multilevel"/>
    <w:tmpl w:val="4D367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5602B9A"/>
    <w:multiLevelType w:val="hybridMultilevel"/>
    <w:tmpl w:val="F0F802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6C1157D"/>
    <w:multiLevelType w:val="hybridMultilevel"/>
    <w:tmpl w:val="0A50E5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D921FB3"/>
    <w:multiLevelType w:val="hybridMultilevel"/>
    <w:tmpl w:val="23E215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12167328">
    <w:abstractNumId w:val="21"/>
  </w:num>
  <w:num w:numId="2" w16cid:durableId="1733580141">
    <w:abstractNumId w:val="16"/>
  </w:num>
  <w:num w:numId="3" w16cid:durableId="851341549">
    <w:abstractNumId w:val="17"/>
  </w:num>
  <w:num w:numId="4" w16cid:durableId="1724135375">
    <w:abstractNumId w:val="23"/>
  </w:num>
  <w:num w:numId="5" w16cid:durableId="613945097">
    <w:abstractNumId w:val="4"/>
  </w:num>
  <w:num w:numId="6" w16cid:durableId="755782208">
    <w:abstractNumId w:val="4"/>
    <w:lvlOverride w:ilvl="0">
      <w:startOverride w:val="1"/>
    </w:lvlOverride>
  </w:num>
  <w:num w:numId="7" w16cid:durableId="477578570">
    <w:abstractNumId w:val="4"/>
    <w:lvlOverride w:ilvl="0">
      <w:startOverride w:val="1"/>
    </w:lvlOverride>
  </w:num>
  <w:num w:numId="8" w16cid:durableId="50202628">
    <w:abstractNumId w:val="2"/>
  </w:num>
  <w:num w:numId="9" w16cid:durableId="1619407973">
    <w:abstractNumId w:val="0"/>
  </w:num>
  <w:num w:numId="10" w16cid:durableId="709232855">
    <w:abstractNumId w:val="19"/>
  </w:num>
  <w:num w:numId="11" w16cid:durableId="1296252482">
    <w:abstractNumId w:val="1"/>
  </w:num>
  <w:num w:numId="12" w16cid:durableId="1848640961">
    <w:abstractNumId w:val="14"/>
  </w:num>
  <w:num w:numId="13" w16cid:durableId="618684207">
    <w:abstractNumId w:val="6"/>
  </w:num>
  <w:num w:numId="14" w16cid:durableId="138770007">
    <w:abstractNumId w:val="12"/>
  </w:num>
  <w:num w:numId="15" w16cid:durableId="1286889942">
    <w:abstractNumId w:val="25"/>
  </w:num>
  <w:num w:numId="16" w16cid:durableId="284965797">
    <w:abstractNumId w:val="27"/>
  </w:num>
  <w:num w:numId="17" w16cid:durableId="498279756">
    <w:abstractNumId w:val="20"/>
  </w:num>
  <w:num w:numId="18" w16cid:durableId="1995378491">
    <w:abstractNumId w:val="22"/>
  </w:num>
  <w:num w:numId="19" w16cid:durableId="655568502">
    <w:abstractNumId w:val="13"/>
  </w:num>
  <w:num w:numId="20" w16cid:durableId="1381788800">
    <w:abstractNumId w:val="29"/>
  </w:num>
  <w:num w:numId="21" w16cid:durableId="365910122">
    <w:abstractNumId w:val="18"/>
  </w:num>
  <w:num w:numId="22" w16cid:durableId="1534419314">
    <w:abstractNumId w:val="8"/>
  </w:num>
  <w:num w:numId="23" w16cid:durableId="547886473">
    <w:abstractNumId w:val="7"/>
  </w:num>
  <w:num w:numId="24" w16cid:durableId="2036926960">
    <w:abstractNumId w:val="15"/>
  </w:num>
  <w:num w:numId="25" w16cid:durableId="1702702777">
    <w:abstractNumId w:val="28"/>
  </w:num>
  <w:num w:numId="26" w16cid:durableId="114448722">
    <w:abstractNumId w:val="26"/>
  </w:num>
  <w:num w:numId="27" w16cid:durableId="454450303">
    <w:abstractNumId w:val="5"/>
  </w:num>
  <w:num w:numId="28" w16cid:durableId="225459305">
    <w:abstractNumId w:val="10"/>
  </w:num>
  <w:num w:numId="29" w16cid:durableId="972172431">
    <w:abstractNumId w:val="3"/>
  </w:num>
  <w:num w:numId="30" w16cid:durableId="1040203955">
    <w:abstractNumId w:val="24"/>
  </w:num>
  <w:num w:numId="31" w16cid:durableId="274946138">
    <w:abstractNumId w:val="11"/>
  </w:num>
  <w:num w:numId="32" w16cid:durableId="657347845">
    <w:abstractNumId w:val="23"/>
    <w:lvlOverride w:ilvl="0">
      <w:startOverride w:val="1"/>
    </w:lvlOverride>
  </w:num>
  <w:num w:numId="33" w16cid:durableId="1487745448">
    <w:abstractNumId w:val="9"/>
  </w:num>
  <w:num w:numId="34" w16cid:durableId="1251767515">
    <w:abstractNumId w:val="23"/>
    <w:lvlOverride w:ilvl="0">
      <w:startOverride w:val="1"/>
    </w:lvlOverride>
  </w:num>
  <w:num w:numId="35" w16cid:durableId="518081397">
    <w:abstractNumId w:val="23"/>
    <w:lvlOverride w:ilvl="0">
      <w:startOverride w:val="1"/>
    </w:lvlOverride>
  </w:num>
  <w:num w:numId="36" w16cid:durableId="1078671308">
    <w:abstractNumId w:val="23"/>
    <w:lvlOverride w:ilvl="0">
      <w:startOverride w:val="1"/>
    </w:lvlOverride>
  </w:num>
  <w:num w:numId="37" w16cid:durableId="815492124">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3DB"/>
    <w:rsid w:val="00002F89"/>
    <w:rsid w:val="0000670B"/>
    <w:rsid w:val="00006A5D"/>
    <w:rsid w:val="00006B5B"/>
    <w:rsid w:val="0001022B"/>
    <w:rsid w:val="000173B9"/>
    <w:rsid w:val="0002088B"/>
    <w:rsid w:val="000209FF"/>
    <w:rsid w:val="00021F9A"/>
    <w:rsid w:val="00027608"/>
    <w:rsid w:val="0003181D"/>
    <w:rsid w:val="00034532"/>
    <w:rsid w:val="00034709"/>
    <w:rsid w:val="000372EB"/>
    <w:rsid w:val="00040B66"/>
    <w:rsid w:val="000453DB"/>
    <w:rsid w:val="000475FD"/>
    <w:rsid w:val="000520B8"/>
    <w:rsid w:val="00055226"/>
    <w:rsid w:val="00056768"/>
    <w:rsid w:val="00057D9D"/>
    <w:rsid w:val="00061DFC"/>
    <w:rsid w:val="000627D4"/>
    <w:rsid w:val="0006464F"/>
    <w:rsid w:val="000647C9"/>
    <w:rsid w:val="000656A4"/>
    <w:rsid w:val="0006776B"/>
    <w:rsid w:val="00073171"/>
    <w:rsid w:val="00076CBA"/>
    <w:rsid w:val="00076DEA"/>
    <w:rsid w:val="00077BB3"/>
    <w:rsid w:val="00086DC2"/>
    <w:rsid w:val="00091B69"/>
    <w:rsid w:val="00092C8E"/>
    <w:rsid w:val="00094F2F"/>
    <w:rsid w:val="00094F44"/>
    <w:rsid w:val="00097C0A"/>
    <w:rsid w:val="000A44F8"/>
    <w:rsid w:val="000A76D7"/>
    <w:rsid w:val="000A7B8C"/>
    <w:rsid w:val="000B67B6"/>
    <w:rsid w:val="000B6FE0"/>
    <w:rsid w:val="000C71E0"/>
    <w:rsid w:val="000D1476"/>
    <w:rsid w:val="000D1E05"/>
    <w:rsid w:val="000D5E31"/>
    <w:rsid w:val="000E20F2"/>
    <w:rsid w:val="000E2458"/>
    <w:rsid w:val="000E304B"/>
    <w:rsid w:val="000E4CE8"/>
    <w:rsid w:val="000E598F"/>
    <w:rsid w:val="000F0FF8"/>
    <w:rsid w:val="000F299B"/>
    <w:rsid w:val="000F3685"/>
    <w:rsid w:val="000F3824"/>
    <w:rsid w:val="000F4061"/>
    <w:rsid w:val="00103B2E"/>
    <w:rsid w:val="00103F24"/>
    <w:rsid w:val="00107247"/>
    <w:rsid w:val="0011160E"/>
    <w:rsid w:val="00113FC7"/>
    <w:rsid w:val="00113FF8"/>
    <w:rsid w:val="0012070B"/>
    <w:rsid w:val="00120736"/>
    <w:rsid w:val="00126678"/>
    <w:rsid w:val="001278AD"/>
    <w:rsid w:val="001300B1"/>
    <w:rsid w:val="001331DE"/>
    <w:rsid w:val="00136860"/>
    <w:rsid w:val="00136C5B"/>
    <w:rsid w:val="001405AD"/>
    <w:rsid w:val="00143EE2"/>
    <w:rsid w:val="001441E4"/>
    <w:rsid w:val="00144A27"/>
    <w:rsid w:val="001506AC"/>
    <w:rsid w:val="00153CFF"/>
    <w:rsid w:val="001546BC"/>
    <w:rsid w:val="00157F13"/>
    <w:rsid w:val="0016005C"/>
    <w:rsid w:val="00161ED7"/>
    <w:rsid w:val="00162F81"/>
    <w:rsid w:val="00163F27"/>
    <w:rsid w:val="00164A41"/>
    <w:rsid w:val="0016604E"/>
    <w:rsid w:val="00171AD2"/>
    <w:rsid w:val="00172A82"/>
    <w:rsid w:val="00174CD9"/>
    <w:rsid w:val="00183A5E"/>
    <w:rsid w:val="0018575F"/>
    <w:rsid w:val="00186F29"/>
    <w:rsid w:val="00187326"/>
    <w:rsid w:val="00192218"/>
    <w:rsid w:val="00196D2F"/>
    <w:rsid w:val="00197567"/>
    <w:rsid w:val="001A0481"/>
    <w:rsid w:val="001A1740"/>
    <w:rsid w:val="001A34E7"/>
    <w:rsid w:val="001A4073"/>
    <w:rsid w:val="001A4BBA"/>
    <w:rsid w:val="001A54A1"/>
    <w:rsid w:val="001A76B2"/>
    <w:rsid w:val="001B27EF"/>
    <w:rsid w:val="001B35E7"/>
    <w:rsid w:val="001B45B0"/>
    <w:rsid w:val="001B52DA"/>
    <w:rsid w:val="001B53C7"/>
    <w:rsid w:val="001B5D7C"/>
    <w:rsid w:val="001C0575"/>
    <w:rsid w:val="001C10BE"/>
    <w:rsid w:val="001C3187"/>
    <w:rsid w:val="001C477D"/>
    <w:rsid w:val="001C4E8F"/>
    <w:rsid w:val="001C6B62"/>
    <w:rsid w:val="001C7D13"/>
    <w:rsid w:val="001D639D"/>
    <w:rsid w:val="001D78EA"/>
    <w:rsid w:val="001E0DDA"/>
    <w:rsid w:val="001E5236"/>
    <w:rsid w:val="001E7871"/>
    <w:rsid w:val="001F77EC"/>
    <w:rsid w:val="001F7900"/>
    <w:rsid w:val="002026A1"/>
    <w:rsid w:val="002059F4"/>
    <w:rsid w:val="002061D9"/>
    <w:rsid w:val="002105BE"/>
    <w:rsid w:val="00214D98"/>
    <w:rsid w:val="00215B24"/>
    <w:rsid w:val="002232C7"/>
    <w:rsid w:val="0022331F"/>
    <w:rsid w:val="00224874"/>
    <w:rsid w:val="0022704E"/>
    <w:rsid w:val="00234C4D"/>
    <w:rsid w:val="0023602B"/>
    <w:rsid w:val="002417EC"/>
    <w:rsid w:val="00241834"/>
    <w:rsid w:val="00245CCC"/>
    <w:rsid w:val="00246C9D"/>
    <w:rsid w:val="0025091C"/>
    <w:rsid w:val="00250F72"/>
    <w:rsid w:val="00257313"/>
    <w:rsid w:val="002623FF"/>
    <w:rsid w:val="0026304B"/>
    <w:rsid w:val="00263F84"/>
    <w:rsid w:val="00264E6A"/>
    <w:rsid w:val="00267CBA"/>
    <w:rsid w:val="00270500"/>
    <w:rsid w:val="00270F96"/>
    <w:rsid w:val="00271002"/>
    <w:rsid w:val="00271285"/>
    <w:rsid w:val="00271965"/>
    <w:rsid w:val="002730F1"/>
    <w:rsid w:val="002752F8"/>
    <w:rsid w:val="00281CBD"/>
    <w:rsid w:val="00283194"/>
    <w:rsid w:val="0028491A"/>
    <w:rsid w:val="00284D80"/>
    <w:rsid w:val="002910C3"/>
    <w:rsid w:val="002917DB"/>
    <w:rsid w:val="00293112"/>
    <w:rsid w:val="00294EAC"/>
    <w:rsid w:val="002A3714"/>
    <w:rsid w:val="002A688D"/>
    <w:rsid w:val="002B089B"/>
    <w:rsid w:val="002B1BFE"/>
    <w:rsid w:val="002B290C"/>
    <w:rsid w:val="002B49FF"/>
    <w:rsid w:val="002B59C0"/>
    <w:rsid w:val="002C15B1"/>
    <w:rsid w:val="002D3FAF"/>
    <w:rsid w:val="002D4226"/>
    <w:rsid w:val="002D46D6"/>
    <w:rsid w:val="002D4FF2"/>
    <w:rsid w:val="002D5E41"/>
    <w:rsid w:val="002D6CA0"/>
    <w:rsid w:val="002E0AD2"/>
    <w:rsid w:val="002E1ED1"/>
    <w:rsid w:val="002E3A57"/>
    <w:rsid w:val="002E61E8"/>
    <w:rsid w:val="002F07ED"/>
    <w:rsid w:val="002F0984"/>
    <w:rsid w:val="002F16DD"/>
    <w:rsid w:val="002F21F7"/>
    <w:rsid w:val="002F4E42"/>
    <w:rsid w:val="002F638A"/>
    <w:rsid w:val="002F7B4D"/>
    <w:rsid w:val="00301217"/>
    <w:rsid w:val="003041B0"/>
    <w:rsid w:val="00310D2D"/>
    <w:rsid w:val="0031148B"/>
    <w:rsid w:val="0032327D"/>
    <w:rsid w:val="00323D18"/>
    <w:rsid w:val="003258AD"/>
    <w:rsid w:val="00325B77"/>
    <w:rsid w:val="0033548F"/>
    <w:rsid w:val="00341D6A"/>
    <w:rsid w:val="00351A21"/>
    <w:rsid w:val="00353681"/>
    <w:rsid w:val="00361788"/>
    <w:rsid w:val="003645F8"/>
    <w:rsid w:val="00366195"/>
    <w:rsid w:val="00370838"/>
    <w:rsid w:val="00371311"/>
    <w:rsid w:val="00374A8F"/>
    <w:rsid w:val="00374F1F"/>
    <w:rsid w:val="00377490"/>
    <w:rsid w:val="00380237"/>
    <w:rsid w:val="003832B9"/>
    <w:rsid w:val="003845EA"/>
    <w:rsid w:val="003853DC"/>
    <w:rsid w:val="00385823"/>
    <w:rsid w:val="00391C7B"/>
    <w:rsid w:val="0039388A"/>
    <w:rsid w:val="00393ED4"/>
    <w:rsid w:val="003951A1"/>
    <w:rsid w:val="00395C2C"/>
    <w:rsid w:val="003A2808"/>
    <w:rsid w:val="003A6B3A"/>
    <w:rsid w:val="003A7735"/>
    <w:rsid w:val="003A7F8C"/>
    <w:rsid w:val="003B4B9C"/>
    <w:rsid w:val="003C2477"/>
    <w:rsid w:val="003C3CE1"/>
    <w:rsid w:val="003C48A3"/>
    <w:rsid w:val="003C53B3"/>
    <w:rsid w:val="003C53C0"/>
    <w:rsid w:val="003C6DBD"/>
    <w:rsid w:val="003D032C"/>
    <w:rsid w:val="003D096C"/>
    <w:rsid w:val="003D09E2"/>
    <w:rsid w:val="003D1C46"/>
    <w:rsid w:val="003E219D"/>
    <w:rsid w:val="003E2A7A"/>
    <w:rsid w:val="003E2F88"/>
    <w:rsid w:val="003E5CB4"/>
    <w:rsid w:val="003F1A38"/>
    <w:rsid w:val="003F28A1"/>
    <w:rsid w:val="003F4599"/>
    <w:rsid w:val="003F7C93"/>
    <w:rsid w:val="00403777"/>
    <w:rsid w:val="0042191A"/>
    <w:rsid w:val="004302E3"/>
    <w:rsid w:val="00433DB3"/>
    <w:rsid w:val="00433E3C"/>
    <w:rsid w:val="00436458"/>
    <w:rsid w:val="004366D8"/>
    <w:rsid w:val="0044020C"/>
    <w:rsid w:val="004501B1"/>
    <w:rsid w:val="00452905"/>
    <w:rsid w:val="00454E62"/>
    <w:rsid w:val="0045503C"/>
    <w:rsid w:val="00456598"/>
    <w:rsid w:val="0045676C"/>
    <w:rsid w:val="00456853"/>
    <w:rsid w:val="00461214"/>
    <w:rsid w:val="00467B2C"/>
    <w:rsid w:val="004769D8"/>
    <w:rsid w:val="00481B13"/>
    <w:rsid w:val="00483711"/>
    <w:rsid w:val="0049003D"/>
    <w:rsid w:val="004917AF"/>
    <w:rsid w:val="004A08B0"/>
    <w:rsid w:val="004A0907"/>
    <w:rsid w:val="004A106F"/>
    <w:rsid w:val="004A61D9"/>
    <w:rsid w:val="004A7019"/>
    <w:rsid w:val="004A73E2"/>
    <w:rsid w:val="004B4DCA"/>
    <w:rsid w:val="004B5EAF"/>
    <w:rsid w:val="004C0286"/>
    <w:rsid w:val="004C2DAC"/>
    <w:rsid w:val="004C31A7"/>
    <w:rsid w:val="004C3EE4"/>
    <w:rsid w:val="004C446F"/>
    <w:rsid w:val="004C5E55"/>
    <w:rsid w:val="004D0C9D"/>
    <w:rsid w:val="004D61E6"/>
    <w:rsid w:val="004F05FB"/>
    <w:rsid w:val="004F61AC"/>
    <w:rsid w:val="004F65B1"/>
    <w:rsid w:val="00501B38"/>
    <w:rsid w:val="00502D91"/>
    <w:rsid w:val="005031E9"/>
    <w:rsid w:val="005032D6"/>
    <w:rsid w:val="00503A14"/>
    <w:rsid w:val="00515F16"/>
    <w:rsid w:val="0051750E"/>
    <w:rsid w:val="00520A06"/>
    <w:rsid w:val="00527CDF"/>
    <w:rsid w:val="005303F8"/>
    <w:rsid w:val="00534AA1"/>
    <w:rsid w:val="00534E85"/>
    <w:rsid w:val="00535054"/>
    <w:rsid w:val="00536F90"/>
    <w:rsid w:val="00544F04"/>
    <w:rsid w:val="00545A99"/>
    <w:rsid w:val="00551637"/>
    <w:rsid w:val="00555904"/>
    <w:rsid w:val="005645B8"/>
    <w:rsid w:val="00566EA2"/>
    <w:rsid w:val="00567A05"/>
    <w:rsid w:val="00570CF3"/>
    <w:rsid w:val="005746D9"/>
    <w:rsid w:val="00575DC0"/>
    <w:rsid w:val="005774D9"/>
    <w:rsid w:val="00582155"/>
    <w:rsid w:val="0059087E"/>
    <w:rsid w:val="0059088B"/>
    <w:rsid w:val="00592284"/>
    <w:rsid w:val="00593698"/>
    <w:rsid w:val="00595030"/>
    <w:rsid w:val="0059573C"/>
    <w:rsid w:val="00595EF1"/>
    <w:rsid w:val="005B6295"/>
    <w:rsid w:val="005B6B88"/>
    <w:rsid w:val="005C0520"/>
    <w:rsid w:val="005C61F8"/>
    <w:rsid w:val="005D2AFC"/>
    <w:rsid w:val="005D4161"/>
    <w:rsid w:val="005D47B4"/>
    <w:rsid w:val="005D4C9C"/>
    <w:rsid w:val="005D6FB8"/>
    <w:rsid w:val="005D7791"/>
    <w:rsid w:val="005E09E7"/>
    <w:rsid w:val="005E5CE9"/>
    <w:rsid w:val="005F0454"/>
    <w:rsid w:val="005F68B5"/>
    <w:rsid w:val="005F768A"/>
    <w:rsid w:val="006016D3"/>
    <w:rsid w:val="006032C2"/>
    <w:rsid w:val="00614476"/>
    <w:rsid w:val="006147C0"/>
    <w:rsid w:val="00614E74"/>
    <w:rsid w:val="00616E57"/>
    <w:rsid w:val="00617519"/>
    <w:rsid w:val="00623324"/>
    <w:rsid w:val="00624562"/>
    <w:rsid w:val="006249F9"/>
    <w:rsid w:val="0062756D"/>
    <w:rsid w:val="00630001"/>
    <w:rsid w:val="0063003D"/>
    <w:rsid w:val="00634338"/>
    <w:rsid w:val="00640F2C"/>
    <w:rsid w:val="0064302C"/>
    <w:rsid w:val="0064734A"/>
    <w:rsid w:val="00647429"/>
    <w:rsid w:val="00655EA0"/>
    <w:rsid w:val="006601D5"/>
    <w:rsid w:val="00660C25"/>
    <w:rsid w:val="00662ED6"/>
    <w:rsid w:val="00666FEA"/>
    <w:rsid w:val="006745BC"/>
    <w:rsid w:val="006755C7"/>
    <w:rsid w:val="00677BEE"/>
    <w:rsid w:val="00681B6A"/>
    <w:rsid w:val="00683229"/>
    <w:rsid w:val="00685364"/>
    <w:rsid w:val="0068667F"/>
    <w:rsid w:val="006943C3"/>
    <w:rsid w:val="00695A79"/>
    <w:rsid w:val="006A00A7"/>
    <w:rsid w:val="006A07BE"/>
    <w:rsid w:val="006A224D"/>
    <w:rsid w:val="006A54E4"/>
    <w:rsid w:val="006B1081"/>
    <w:rsid w:val="006B3C71"/>
    <w:rsid w:val="006B52E1"/>
    <w:rsid w:val="006C05AA"/>
    <w:rsid w:val="006C083B"/>
    <w:rsid w:val="006C10AB"/>
    <w:rsid w:val="006C2622"/>
    <w:rsid w:val="006C337B"/>
    <w:rsid w:val="006C44E5"/>
    <w:rsid w:val="006C61E2"/>
    <w:rsid w:val="006D030F"/>
    <w:rsid w:val="006D2F56"/>
    <w:rsid w:val="006D7E61"/>
    <w:rsid w:val="006E0C6E"/>
    <w:rsid w:val="006E0CC2"/>
    <w:rsid w:val="006E1E3C"/>
    <w:rsid w:val="006E21D5"/>
    <w:rsid w:val="006E328F"/>
    <w:rsid w:val="006E34C0"/>
    <w:rsid w:val="006E6C1A"/>
    <w:rsid w:val="006F046C"/>
    <w:rsid w:val="006F15AE"/>
    <w:rsid w:val="006F2B0C"/>
    <w:rsid w:val="006F3735"/>
    <w:rsid w:val="006F51AE"/>
    <w:rsid w:val="00702877"/>
    <w:rsid w:val="0070523D"/>
    <w:rsid w:val="00705CAC"/>
    <w:rsid w:val="007079ED"/>
    <w:rsid w:val="00710616"/>
    <w:rsid w:val="00712CB3"/>
    <w:rsid w:val="00715218"/>
    <w:rsid w:val="00723FE0"/>
    <w:rsid w:val="0073054C"/>
    <w:rsid w:val="007312D5"/>
    <w:rsid w:val="007332D8"/>
    <w:rsid w:val="00740161"/>
    <w:rsid w:val="007457E1"/>
    <w:rsid w:val="00745FFA"/>
    <w:rsid w:val="00747521"/>
    <w:rsid w:val="00750E9C"/>
    <w:rsid w:val="0075411E"/>
    <w:rsid w:val="007706CF"/>
    <w:rsid w:val="007733B8"/>
    <w:rsid w:val="00773DB2"/>
    <w:rsid w:val="00785CE9"/>
    <w:rsid w:val="0078776B"/>
    <w:rsid w:val="00791AE0"/>
    <w:rsid w:val="00792002"/>
    <w:rsid w:val="0079430B"/>
    <w:rsid w:val="007958A1"/>
    <w:rsid w:val="0079630F"/>
    <w:rsid w:val="007A01E7"/>
    <w:rsid w:val="007A0D9F"/>
    <w:rsid w:val="007A23B4"/>
    <w:rsid w:val="007A3C9E"/>
    <w:rsid w:val="007A3DE7"/>
    <w:rsid w:val="007B244D"/>
    <w:rsid w:val="007B3187"/>
    <w:rsid w:val="007B76BF"/>
    <w:rsid w:val="007C1C2E"/>
    <w:rsid w:val="007D07C8"/>
    <w:rsid w:val="007D0B8A"/>
    <w:rsid w:val="007D6256"/>
    <w:rsid w:val="007D6B7C"/>
    <w:rsid w:val="007E07C1"/>
    <w:rsid w:val="007E0AFB"/>
    <w:rsid w:val="007E1376"/>
    <w:rsid w:val="007E2BD7"/>
    <w:rsid w:val="007E4BEC"/>
    <w:rsid w:val="007E5C80"/>
    <w:rsid w:val="007E6EA1"/>
    <w:rsid w:val="007F34CB"/>
    <w:rsid w:val="007F3A69"/>
    <w:rsid w:val="00804C01"/>
    <w:rsid w:val="00824849"/>
    <w:rsid w:val="00831CB6"/>
    <w:rsid w:val="00831D58"/>
    <w:rsid w:val="00832C5A"/>
    <w:rsid w:val="008464FA"/>
    <w:rsid w:val="0084690D"/>
    <w:rsid w:val="00850511"/>
    <w:rsid w:val="008527EA"/>
    <w:rsid w:val="00853D25"/>
    <w:rsid w:val="008572A8"/>
    <w:rsid w:val="00862DBC"/>
    <w:rsid w:val="00863C6D"/>
    <w:rsid w:val="008645F4"/>
    <w:rsid w:val="008651BF"/>
    <w:rsid w:val="00867A3E"/>
    <w:rsid w:val="008713BC"/>
    <w:rsid w:val="00874D83"/>
    <w:rsid w:val="0087787C"/>
    <w:rsid w:val="00877A5E"/>
    <w:rsid w:val="008806B3"/>
    <w:rsid w:val="008817D2"/>
    <w:rsid w:val="00884BB8"/>
    <w:rsid w:val="008851E4"/>
    <w:rsid w:val="00885220"/>
    <w:rsid w:val="008856BB"/>
    <w:rsid w:val="00890914"/>
    <w:rsid w:val="00897997"/>
    <w:rsid w:val="00897D7E"/>
    <w:rsid w:val="008A094B"/>
    <w:rsid w:val="008A237D"/>
    <w:rsid w:val="008A5B0F"/>
    <w:rsid w:val="008B4A1D"/>
    <w:rsid w:val="008B503C"/>
    <w:rsid w:val="008B6257"/>
    <w:rsid w:val="008C0384"/>
    <w:rsid w:val="008C31D3"/>
    <w:rsid w:val="008C3C54"/>
    <w:rsid w:val="008C4709"/>
    <w:rsid w:val="008D0CAA"/>
    <w:rsid w:val="008D26DB"/>
    <w:rsid w:val="008D3C69"/>
    <w:rsid w:val="008D4F92"/>
    <w:rsid w:val="008E5BFA"/>
    <w:rsid w:val="00900D4E"/>
    <w:rsid w:val="00904115"/>
    <w:rsid w:val="00917D46"/>
    <w:rsid w:val="00920E2C"/>
    <w:rsid w:val="00921329"/>
    <w:rsid w:val="009214DF"/>
    <w:rsid w:val="00924DB1"/>
    <w:rsid w:val="0093316B"/>
    <w:rsid w:val="009343BA"/>
    <w:rsid w:val="00943D90"/>
    <w:rsid w:val="00945215"/>
    <w:rsid w:val="00945AAB"/>
    <w:rsid w:val="009464FA"/>
    <w:rsid w:val="0094705A"/>
    <w:rsid w:val="009500C7"/>
    <w:rsid w:val="009505AD"/>
    <w:rsid w:val="009542C0"/>
    <w:rsid w:val="00954332"/>
    <w:rsid w:val="00955832"/>
    <w:rsid w:val="00960BFE"/>
    <w:rsid w:val="0097360E"/>
    <w:rsid w:val="009767E8"/>
    <w:rsid w:val="009803E7"/>
    <w:rsid w:val="00983407"/>
    <w:rsid w:val="009837D7"/>
    <w:rsid w:val="009863DF"/>
    <w:rsid w:val="00987732"/>
    <w:rsid w:val="00990160"/>
    <w:rsid w:val="00993D9E"/>
    <w:rsid w:val="00994578"/>
    <w:rsid w:val="00996107"/>
    <w:rsid w:val="009971DB"/>
    <w:rsid w:val="009A0870"/>
    <w:rsid w:val="009A0EB5"/>
    <w:rsid w:val="009A6561"/>
    <w:rsid w:val="009A6E31"/>
    <w:rsid w:val="009A6EFA"/>
    <w:rsid w:val="009A7738"/>
    <w:rsid w:val="009A7DD1"/>
    <w:rsid w:val="009B0BE2"/>
    <w:rsid w:val="009B2158"/>
    <w:rsid w:val="009B2805"/>
    <w:rsid w:val="009B3F56"/>
    <w:rsid w:val="009B4E79"/>
    <w:rsid w:val="009B5CB8"/>
    <w:rsid w:val="009C0580"/>
    <w:rsid w:val="009C0A7C"/>
    <w:rsid w:val="009C26D4"/>
    <w:rsid w:val="009C61EC"/>
    <w:rsid w:val="009D1548"/>
    <w:rsid w:val="009D1902"/>
    <w:rsid w:val="009D3D56"/>
    <w:rsid w:val="009D6242"/>
    <w:rsid w:val="009D64C8"/>
    <w:rsid w:val="009E2D5B"/>
    <w:rsid w:val="009E6FE6"/>
    <w:rsid w:val="009F0D69"/>
    <w:rsid w:val="009F449A"/>
    <w:rsid w:val="009F52D6"/>
    <w:rsid w:val="009F7261"/>
    <w:rsid w:val="009F7CFA"/>
    <w:rsid w:val="00A0017A"/>
    <w:rsid w:val="00A042D3"/>
    <w:rsid w:val="00A04FB0"/>
    <w:rsid w:val="00A0655A"/>
    <w:rsid w:val="00A07580"/>
    <w:rsid w:val="00A07A9B"/>
    <w:rsid w:val="00A13E06"/>
    <w:rsid w:val="00A15DA9"/>
    <w:rsid w:val="00A20DA8"/>
    <w:rsid w:val="00A20E41"/>
    <w:rsid w:val="00A25EF9"/>
    <w:rsid w:val="00A27ACD"/>
    <w:rsid w:val="00A33137"/>
    <w:rsid w:val="00A41EA1"/>
    <w:rsid w:val="00A456CD"/>
    <w:rsid w:val="00A457F8"/>
    <w:rsid w:val="00A46F3E"/>
    <w:rsid w:val="00A470DA"/>
    <w:rsid w:val="00A47159"/>
    <w:rsid w:val="00A56015"/>
    <w:rsid w:val="00A605F5"/>
    <w:rsid w:val="00A61C3A"/>
    <w:rsid w:val="00A62217"/>
    <w:rsid w:val="00A62F80"/>
    <w:rsid w:val="00A640A9"/>
    <w:rsid w:val="00A642CE"/>
    <w:rsid w:val="00A649AD"/>
    <w:rsid w:val="00A72919"/>
    <w:rsid w:val="00A746A3"/>
    <w:rsid w:val="00A753B0"/>
    <w:rsid w:val="00A76EAB"/>
    <w:rsid w:val="00A81DA8"/>
    <w:rsid w:val="00A85561"/>
    <w:rsid w:val="00A85B28"/>
    <w:rsid w:val="00A92DD1"/>
    <w:rsid w:val="00AA7A7A"/>
    <w:rsid w:val="00AB29A7"/>
    <w:rsid w:val="00AB7ED9"/>
    <w:rsid w:val="00AC368D"/>
    <w:rsid w:val="00AC605F"/>
    <w:rsid w:val="00AC72C9"/>
    <w:rsid w:val="00AD2BE1"/>
    <w:rsid w:val="00AD3C33"/>
    <w:rsid w:val="00AD7842"/>
    <w:rsid w:val="00AE08BD"/>
    <w:rsid w:val="00AE1E93"/>
    <w:rsid w:val="00AE47C0"/>
    <w:rsid w:val="00AE6881"/>
    <w:rsid w:val="00AF0E5B"/>
    <w:rsid w:val="00AF2ED0"/>
    <w:rsid w:val="00AF3096"/>
    <w:rsid w:val="00AF7129"/>
    <w:rsid w:val="00B002FA"/>
    <w:rsid w:val="00B0339B"/>
    <w:rsid w:val="00B04C54"/>
    <w:rsid w:val="00B05625"/>
    <w:rsid w:val="00B10468"/>
    <w:rsid w:val="00B12ACD"/>
    <w:rsid w:val="00B1352E"/>
    <w:rsid w:val="00B1567C"/>
    <w:rsid w:val="00B206F4"/>
    <w:rsid w:val="00B20FDA"/>
    <w:rsid w:val="00B23162"/>
    <w:rsid w:val="00B23E36"/>
    <w:rsid w:val="00B25143"/>
    <w:rsid w:val="00B253ED"/>
    <w:rsid w:val="00B262D4"/>
    <w:rsid w:val="00B30872"/>
    <w:rsid w:val="00B31BD4"/>
    <w:rsid w:val="00B33E4E"/>
    <w:rsid w:val="00B377E9"/>
    <w:rsid w:val="00B40782"/>
    <w:rsid w:val="00B438BD"/>
    <w:rsid w:val="00B440E8"/>
    <w:rsid w:val="00B502E1"/>
    <w:rsid w:val="00B50BAB"/>
    <w:rsid w:val="00B5462B"/>
    <w:rsid w:val="00B54DF9"/>
    <w:rsid w:val="00B55755"/>
    <w:rsid w:val="00B57BED"/>
    <w:rsid w:val="00B61ECA"/>
    <w:rsid w:val="00B63A76"/>
    <w:rsid w:val="00B63B86"/>
    <w:rsid w:val="00B7272F"/>
    <w:rsid w:val="00B76216"/>
    <w:rsid w:val="00B764D1"/>
    <w:rsid w:val="00B840F7"/>
    <w:rsid w:val="00B85E97"/>
    <w:rsid w:val="00B867BD"/>
    <w:rsid w:val="00B9260F"/>
    <w:rsid w:val="00B9682D"/>
    <w:rsid w:val="00B969BA"/>
    <w:rsid w:val="00BA1151"/>
    <w:rsid w:val="00BA304F"/>
    <w:rsid w:val="00BA527C"/>
    <w:rsid w:val="00BA55BF"/>
    <w:rsid w:val="00BB0C2C"/>
    <w:rsid w:val="00BB53F7"/>
    <w:rsid w:val="00BB5B91"/>
    <w:rsid w:val="00BB7017"/>
    <w:rsid w:val="00BC00F6"/>
    <w:rsid w:val="00BC370A"/>
    <w:rsid w:val="00BC687D"/>
    <w:rsid w:val="00BC6D1F"/>
    <w:rsid w:val="00BC6D25"/>
    <w:rsid w:val="00BC7A0C"/>
    <w:rsid w:val="00BD1A1F"/>
    <w:rsid w:val="00BD1BAB"/>
    <w:rsid w:val="00BD1E1E"/>
    <w:rsid w:val="00BD6F8F"/>
    <w:rsid w:val="00BE4510"/>
    <w:rsid w:val="00BE461C"/>
    <w:rsid w:val="00BF04C3"/>
    <w:rsid w:val="00BF3B8B"/>
    <w:rsid w:val="00BF3EA9"/>
    <w:rsid w:val="00BF57AF"/>
    <w:rsid w:val="00C00596"/>
    <w:rsid w:val="00C0168B"/>
    <w:rsid w:val="00C01896"/>
    <w:rsid w:val="00C034C5"/>
    <w:rsid w:val="00C04817"/>
    <w:rsid w:val="00C06667"/>
    <w:rsid w:val="00C068EE"/>
    <w:rsid w:val="00C1183D"/>
    <w:rsid w:val="00C12EA2"/>
    <w:rsid w:val="00C13C64"/>
    <w:rsid w:val="00C17334"/>
    <w:rsid w:val="00C237E2"/>
    <w:rsid w:val="00C23CAF"/>
    <w:rsid w:val="00C26406"/>
    <w:rsid w:val="00C326CD"/>
    <w:rsid w:val="00C32976"/>
    <w:rsid w:val="00C347DE"/>
    <w:rsid w:val="00C372FF"/>
    <w:rsid w:val="00C42EF5"/>
    <w:rsid w:val="00C455D4"/>
    <w:rsid w:val="00C47E65"/>
    <w:rsid w:val="00C500DC"/>
    <w:rsid w:val="00C50D8A"/>
    <w:rsid w:val="00C5240E"/>
    <w:rsid w:val="00C54440"/>
    <w:rsid w:val="00C56605"/>
    <w:rsid w:val="00C569A2"/>
    <w:rsid w:val="00C60793"/>
    <w:rsid w:val="00C608C8"/>
    <w:rsid w:val="00C61D56"/>
    <w:rsid w:val="00C624CE"/>
    <w:rsid w:val="00C6353F"/>
    <w:rsid w:val="00C648F5"/>
    <w:rsid w:val="00C7069B"/>
    <w:rsid w:val="00C720D3"/>
    <w:rsid w:val="00C72A0F"/>
    <w:rsid w:val="00C72EAE"/>
    <w:rsid w:val="00C75824"/>
    <w:rsid w:val="00C81FAD"/>
    <w:rsid w:val="00C83675"/>
    <w:rsid w:val="00C8374D"/>
    <w:rsid w:val="00C84271"/>
    <w:rsid w:val="00C842FA"/>
    <w:rsid w:val="00C87BAA"/>
    <w:rsid w:val="00C944AF"/>
    <w:rsid w:val="00C9566E"/>
    <w:rsid w:val="00CA1767"/>
    <w:rsid w:val="00CB3B90"/>
    <w:rsid w:val="00CB6876"/>
    <w:rsid w:val="00CB6A40"/>
    <w:rsid w:val="00CC1DD7"/>
    <w:rsid w:val="00CC4D3C"/>
    <w:rsid w:val="00CC4DDA"/>
    <w:rsid w:val="00CC5A95"/>
    <w:rsid w:val="00CC5E3D"/>
    <w:rsid w:val="00CC7356"/>
    <w:rsid w:val="00CD043F"/>
    <w:rsid w:val="00CD4484"/>
    <w:rsid w:val="00CD536C"/>
    <w:rsid w:val="00CD7E9D"/>
    <w:rsid w:val="00CE4BAD"/>
    <w:rsid w:val="00CF074F"/>
    <w:rsid w:val="00CF6DC8"/>
    <w:rsid w:val="00D013EA"/>
    <w:rsid w:val="00D01870"/>
    <w:rsid w:val="00D01D4C"/>
    <w:rsid w:val="00D025F8"/>
    <w:rsid w:val="00D0290A"/>
    <w:rsid w:val="00D03603"/>
    <w:rsid w:val="00D03BFF"/>
    <w:rsid w:val="00D04D68"/>
    <w:rsid w:val="00D0547E"/>
    <w:rsid w:val="00D13943"/>
    <w:rsid w:val="00D1489D"/>
    <w:rsid w:val="00D24130"/>
    <w:rsid w:val="00D278E1"/>
    <w:rsid w:val="00D30F07"/>
    <w:rsid w:val="00D31E6A"/>
    <w:rsid w:val="00D34E93"/>
    <w:rsid w:val="00D41D82"/>
    <w:rsid w:val="00D42EB2"/>
    <w:rsid w:val="00D431DE"/>
    <w:rsid w:val="00D4377A"/>
    <w:rsid w:val="00D43D4F"/>
    <w:rsid w:val="00D47742"/>
    <w:rsid w:val="00D50FEB"/>
    <w:rsid w:val="00D51B35"/>
    <w:rsid w:val="00D53902"/>
    <w:rsid w:val="00D54B4C"/>
    <w:rsid w:val="00D56A21"/>
    <w:rsid w:val="00D603A7"/>
    <w:rsid w:val="00D61693"/>
    <w:rsid w:val="00D63099"/>
    <w:rsid w:val="00D630AA"/>
    <w:rsid w:val="00D643D0"/>
    <w:rsid w:val="00D67156"/>
    <w:rsid w:val="00D73EEB"/>
    <w:rsid w:val="00D80D21"/>
    <w:rsid w:val="00D81736"/>
    <w:rsid w:val="00D83509"/>
    <w:rsid w:val="00D85CD3"/>
    <w:rsid w:val="00D91CD9"/>
    <w:rsid w:val="00D923B8"/>
    <w:rsid w:val="00D94E32"/>
    <w:rsid w:val="00DA141B"/>
    <w:rsid w:val="00DA23D8"/>
    <w:rsid w:val="00DB1319"/>
    <w:rsid w:val="00DB1F1B"/>
    <w:rsid w:val="00DB62F8"/>
    <w:rsid w:val="00DC6056"/>
    <w:rsid w:val="00DC6905"/>
    <w:rsid w:val="00DC7096"/>
    <w:rsid w:val="00DD3644"/>
    <w:rsid w:val="00DD3B69"/>
    <w:rsid w:val="00DD3C7F"/>
    <w:rsid w:val="00DD52A5"/>
    <w:rsid w:val="00DD7B3B"/>
    <w:rsid w:val="00DE2410"/>
    <w:rsid w:val="00DE4F46"/>
    <w:rsid w:val="00DE5258"/>
    <w:rsid w:val="00DE5415"/>
    <w:rsid w:val="00DF2D99"/>
    <w:rsid w:val="00DF2EE3"/>
    <w:rsid w:val="00DF591D"/>
    <w:rsid w:val="00DF7D25"/>
    <w:rsid w:val="00E00E93"/>
    <w:rsid w:val="00E01005"/>
    <w:rsid w:val="00E01C47"/>
    <w:rsid w:val="00E020E9"/>
    <w:rsid w:val="00E02795"/>
    <w:rsid w:val="00E02C24"/>
    <w:rsid w:val="00E101E9"/>
    <w:rsid w:val="00E13704"/>
    <w:rsid w:val="00E14613"/>
    <w:rsid w:val="00E2464B"/>
    <w:rsid w:val="00E25129"/>
    <w:rsid w:val="00E254D0"/>
    <w:rsid w:val="00E276A3"/>
    <w:rsid w:val="00E27EDB"/>
    <w:rsid w:val="00E30005"/>
    <w:rsid w:val="00E30863"/>
    <w:rsid w:val="00E30CAA"/>
    <w:rsid w:val="00E32C18"/>
    <w:rsid w:val="00E3719C"/>
    <w:rsid w:val="00E4046A"/>
    <w:rsid w:val="00E43FAE"/>
    <w:rsid w:val="00E453DD"/>
    <w:rsid w:val="00E456A2"/>
    <w:rsid w:val="00E644F5"/>
    <w:rsid w:val="00E65123"/>
    <w:rsid w:val="00E65592"/>
    <w:rsid w:val="00E65D2A"/>
    <w:rsid w:val="00E666B4"/>
    <w:rsid w:val="00E81DD5"/>
    <w:rsid w:val="00E8408F"/>
    <w:rsid w:val="00E843C5"/>
    <w:rsid w:val="00E84AAF"/>
    <w:rsid w:val="00E85739"/>
    <w:rsid w:val="00E902FC"/>
    <w:rsid w:val="00E91451"/>
    <w:rsid w:val="00E91A03"/>
    <w:rsid w:val="00E92A66"/>
    <w:rsid w:val="00E945DF"/>
    <w:rsid w:val="00EA107A"/>
    <w:rsid w:val="00EA1746"/>
    <w:rsid w:val="00EA71C5"/>
    <w:rsid w:val="00EB0B30"/>
    <w:rsid w:val="00EB69DF"/>
    <w:rsid w:val="00EC1228"/>
    <w:rsid w:val="00EC352F"/>
    <w:rsid w:val="00ED4AC4"/>
    <w:rsid w:val="00ED6B17"/>
    <w:rsid w:val="00EE074D"/>
    <w:rsid w:val="00EE2A4B"/>
    <w:rsid w:val="00EE37AC"/>
    <w:rsid w:val="00EE6960"/>
    <w:rsid w:val="00EF407B"/>
    <w:rsid w:val="00EF5826"/>
    <w:rsid w:val="00EF5A45"/>
    <w:rsid w:val="00EF6576"/>
    <w:rsid w:val="00F03096"/>
    <w:rsid w:val="00F04CCB"/>
    <w:rsid w:val="00F04D1E"/>
    <w:rsid w:val="00F05C6C"/>
    <w:rsid w:val="00F12CC9"/>
    <w:rsid w:val="00F17A59"/>
    <w:rsid w:val="00F23547"/>
    <w:rsid w:val="00F237AD"/>
    <w:rsid w:val="00F2438D"/>
    <w:rsid w:val="00F24F89"/>
    <w:rsid w:val="00F27F68"/>
    <w:rsid w:val="00F301E7"/>
    <w:rsid w:val="00F314CF"/>
    <w:rsid w:val="00F31907"/>
    <w:rsid w:val="00F3274F"/>
    <w:rsid w:val="00F3615D"/>
    <w:rsid w:val="00F40DC6"/>
    <w:rsid w:val="00F4329E"/>
    <w:rsid w:val="00F47DAC"/>
    <w:rsid w:val="00F47EF1"/>
    <w:rsid w:val="00F54986"/>
    <w:rsid w:val="00F55868"/>
    <w:rsid w:val="00F6263F"/>
    <w:rsid w:val="00F63981"/>
    <w:rsid w:val="00F6421B"/>
    <w:rsid w:val="00F70B9F"/>
    <w:rsid w:val="00F76BF4"/>
    <w:rsid w:val="00F85532"/>
    <w:rsid w:val="00F856DE"/>
    <w:rsid w:val="00F856E3"/>
    <w:rsid w:val="00F8577F"/>
    <w:rsid w:val="00F87F6D"/>
    <w:rsid w:val="00F91120"/>
    <w:rsid w:val="00F93A42"/>
    <w:rsid w:val="00F9414F"/>
    <w:rsid w:val="00F97E92"/>
    <w:rsid w:val="00FA07C5"/>
    <w:rsid w:val="00FA1649"/>
    <w:rsid w:val="00FA21C9"/>
    <w:rsid w:val="00FA63CC"/>
    <w:rsid w:val="00FA6C18"/>
    <w:rsid w:val="00FB4638"/>
    <w:rsid w:val="00FC4631"/>
    <w:rsid w:val="00FC6277"/>
    <w:rsid w:val="00FD497D"/>
    <w:rsid w:val="00FD7327"/>
    <w:rsid w:val="00FD74DD"/>
    <w:rsid w:val="00FE0584"/>
    <w:rsid w:val="00FE1292"/>
    <w:rsid w:val="00FE1B45"/>
    <w:rsid w:val="00FE3E51"/>
    <w:rsid w:val="00FE6422"/>
    <w:rsid w:val="00FE7BA8"/>
    <w:rsid w:val="00FF1956"/>
    <w:rsid w:val="00FF3E38"/>
    <w:rsid w:val="00FF699A"/>
    <w:rsid w:val="00FF6AD0"/>
    <w:rsid w:val="00FF701C"/>
    <w:rsid w:val="00FF794A"/>
    <w:rsid w:val="019FB251"/>
    <w:rsid w:val="0214DC43"/>
    <w:rsid w:val="028666EB"/>
    <w:rsid w:val="02CC6414"/>
    <w:rsid w:val="032AAA53"/>
    <w:rsid w:val="04116374"/>
    <w:rsid w:val="0443BFDE"/>
    <w:rsid w:val="04479685"/>
    <w:rsid w:val="046D4024"/>
    <w:rsid w:val="047BFB92"/>
    <w:rsid w:val="04FE3817"/>
    <w:rsid w:val="055336E7"/>
    <w:rsid w:val="063C2255"/>
    <w:rsid w:val="067CCA51"/>
    <w:rsid w:val="069A4AD8"/>
    <w:rsid w:val="06F8F439"/>
    <w:rsid w:val="0729BC88"/>
    <w:rsid w:val="077BAD82"/>
    <w:rsid w:val="07969A92"/>
    <w:rsid w:val="07973E1B"/>
    <w:rsid w:val="07A19B22"/>
    <w:rsid w:val="08E0E8B1"/>
    <w:rsid w:val="09BBA1A2"/>
    <w:rsid w:val="09C693C6"/>
    <w:rsid w:val="0A57E62C"/>
    <w:rsid w:val="0A9ADC41"/>
    <w:rsid w:val="0AAD9193"/>
    <w:rsid w:val="0C4148DE"/>
    <w:rsid w:val="0C4F1EA5"/>
    <w:rsid w:val="0C7C1424"/>
    <w:rsid w:val="0C940405"/>
    <w:rsid w:val="0CB80AFD"/>
    <w:rsid w:val="0CF1DC60"/>
    <w:rsid w:val="0D221467"/>
    <w:rsid w:val="0D42D8C4"/>
    <w:rsid w:val="0DCCEC96"/>
    <w:rsid w:val="0DEDEE70"/>
    <w:rsid w:val="0E8CD780"/>
    <w:rsid w:val="0EAEC76A"/>
    <w:rsid w:val="0ED84977"/>
    <w:rsid w:val="0F61D55C"/>
    <w:rsid w:val="0F8B949B"/>
    <w:rsid w:val="0FB424C6"/>
    <w:rsid w:val="1043E27C"/>
    <w:rsid w:val="107DDC59"/>
    <w:rsid w:val="10A7BC6E"/>
    <w:rsid w:val="11FCA014"/>
    <w:rsid w:val="120820C0"/>
    <w:rsid w:val="121B2CDA"/>
    <w:rsid w:val="12784327"/>
    <w:rsid w:val="12840D75"/>
    <w:rsid w:val="12C0DCC5"/>
    <w:rsid w:val="12F2FF52"/>
    <w:rsid w:val="13119682"/>
    <w:rsid w:val="1334B707"/>
    <w:rsid w:val="135CA6DF"/>
    <w:rsid w:val="13B57D1B"/>
    <w:rsid w:val="13FDF0C3"/>
    <w:rsid w:val="14195BB0"/>
    <w:rsid w:val="15C63194"/>
    <w:rsid w:val="15DE7296"/>
    <w:rsid w:val="15ED3496"/>
    <w:rsid w:val="15EEFB46"/>
    <w:rsid w:val="15F1BCF3"/>
    <w:rsid w:val="16084A70"/>
    <w:rsid w:val="1643F2BA"/>
    <w:rsid w:val="16B998B0"/>
    <w:rsid w:val="17187073"/>
    <w:rsid w:val="1781E510"/>
    <w:rsid w:val="189209B9"/>
    <w:rsid w:val="1975913B"/>
    <w:rsid w:val="197CB131"/>
    <w:rsid w:val="1A7D4041"/>
    <w:rsid w:val="1AF24759"/>
    <w:rsid w:val="1C9BFCF2"/>
    <w:rsid w:val="1D3318F2"/>
    <w:rsid w:val="1D869E38"/>
    <w:rsid w:val="1DF5D03A"/>
    <w:rsid w:val="1F908279"/>
    <w:rsid w:val="1F90B674"/>
    <w:rsid w:val="1FBB939E"/>
    <w:rsid w:val="200B7A7E"/>
    <w:rsid w:val="20129648"/>
    <w:rsid w:val="203CB03B"/>
    <w:rsid w:val="212C52DA"/>
    <w:rsid w:val="215E95B9"/>
    <w:rsid w:val="2191ED1D"/>
    <w:rsid w:val="21AE66A9"/>
    <w:rsid w:val="21DB2A6E"/>
    <w:rsid w:val="21F318DC"/>
    <w:rsid w:val="22074159"/>
    <w:rsid w:val="221EBE11"/>
    <w:rsid w:val="22C8233B"/>
    <w:rsid w:val="22EDE632"/>
    <w:rsid w:val="230F547F"/>
    <w:rsid w:val="2338EBE6"/>
    <w:rsid w:val="2349C435"/>
    <w:rsid w:val="23D4DB3C"/>
    <w:rsid w:val="24B16F97"/>
    <w:rsid w:val="24BF63D8"/>
    <w:rsid w:val="24E29B54"/>
    <w:rsid w:val="2684C209"/>
    <w:rsid w:val="26C1BD02"/>
    <w:rsid w:val="26F07630"/>
    <w:rsid w:val="275E11E4"/>
    <w:rsid w:val="2770AA8E"/>
    <w:rsid w:val="277A0236"/>
    <w:rsid w:val="277DACF0"/>
    <w:rsid w:val="27F7049A"/>
    <w:rsid w:val="28523B3E"/>
    <w:rsid w:val="285F2C3D"/>
    <w:rsid w:val="29014B91"/>
    <w:rsid w:val="2992D4FB"/>
    <w:rsid w:val="2994FE08"/>
    <w:rsid w:val="29C60420"/>
    <w:rsid w:val="2A10D065"/>
    <w:rsid w:val="2ADA5392"/>
    <w:rsid w:val="2AEA2827"/>
    <w:rsid w:val="2B5C9F5C"/>
    <w:rsid w:val="2BB25501"/>
    <w:rsid w:val="2BEEFC34"/>
    <w:rsid w:val="2C2DC20F"/>
    <w:rsid w:val="2CBA68DB"/>
    <w:rsid w:val="2CC1EC8D"/>
    <w:rsid w:val="2D456559"/>
    <w:rsid w:val="2D7716B2"/>
    <w:rsid w:val="2E56393C"/>
    <w:rsid w:val="2E90E5C0"/>
    <w:rsid w:val="2F1B126B"/>
    <w:rsid w:val="2F4E2A14"/>
    <w:rsid w:val="2F943C7C"/>
    <w:rsid w:val="303E88F0"/>
    <w:rsid w:val="30A0BBBC"/>
    <w:rsid w:val="3109FFC7"/>
    <w:rsid w:val="3132D8C6"/>
    <w:rsid w:val="31E729D7"/>
    <w:rsid w:val="3211BD70"/>
    <w:rsid w:val="32350F37"/>
    <w:rsid w:val="32C29F0C"/>
    <w:rsid w:val="33520A58"/>
    <w:rsid w:val="33F59478"/>
    <w:rsid w:val="34C6BF24"/>
    <w:rsid w:val="35024B7E"/>
    <w:rsid w:val="351883CE"/>
    <w:rsid w:val="353DCA09"/>
    <w:rsid w:val="354AA38E"/>
    <w:rsid w:val="359379CA"/>
    <w:rsid w:val="3704D09B"/>
    <w:rsid w:val="370E7313"/>
    <w:rsid w:val="377E7FC1"/>
    <w:rsid w:val="37A01D30"/>
    <w:rsid w:val="37B89732"/>
    <w:rsid w:val="39587F3D"/>
    <w:rsid w:val="3ACBAAC9"/>
    <w:rsid w:val="3B339030"/>
    <w:rsid w:val="3B58EE41"/>
    <w:rsid w:val="3BE982BF"/>
    <w:rsid w:val="3C587ECE"/>
    <w:rsid w:val="3CD14792"/>
    <w:rsid w:val="3D1C7400"/>
    <w:rsid w:val="3D49DD6B"/>
    <w:rsid w:val="3E306AE5"/>
    <w:rsid w:val="3EDC686C"/>
    <w:rsid w:val="3EF09D96"/>
    <w:rsid w:val="3F4E4B58"/>
    <w:rsid w:val="3F9436B5"/>
    <w:rsid w:val="3FA056A1"/>
    <w:rsid w:val="3FAB91EC"/>
    <w:rsid w:val="3FADA6FB"/>
    <w:rsid w:val="4063E3F1"/>
    <w:rsid w:val="406F3BA1"/>
    <w:rsid w:val="40939E71"/>
    <w:rsid w:val="40BC5112"/>
    <w:rsid w:val="41F30F8C"/>
    <w:rsid w:val="422078BF"/>
    <w:rsid w:val="4288B7D5"/>
    <w:rsid w:val="428F2B9C"/>
    <w:rsid w:val="429C768B"/>
    <w:rsid w:val="42D7AE4A"/>
    <w:rsid w:val="434AF3C3"/>
    <w:rsid w:val="43B7143A"/>
    <w:rsid w:val="44022D97"/>
    <w:rsid w:val="4495BFF4"/>
    <w:rsid w:val="44E38C10"/>
    <w:rsid w:val="453973E4"/>
    <w:rsid w:val="458A4406"/>
    <w:rsid w:val="45BE8B4D"/>
    <w:rsid w:val="45D3DB4F"/>
    <w:rsid w:val="45E9EEA3"/>
    <w:rsid w:val="46AB8898"/>
    <w:rsid w:val="472CBEDE"/>
    <w:rsid w:val="47CE2893"/>
    <w:rsid w:val="480FF422"/>
    <w:rsid w:val="481B2CD2"/>
    <w:rsid w:val="483116A4"/>
    <w:rsid w:val="4853035A"/>
    <w:rsid w:val="48848ACB"/>
    <w:rsid w:val="48B997DE"/>
    <w:rsid w:val="499F5791"/>
    <w:rsid w:val="49E94413"/>
    <w:rsid w:val="4AADAFC7"/>
    <w:rsid w:val="4AB643C1"/>
    <w:rsid w:val="4AB691F4"/>
    <w:rsid w:val="4B137AD6"/>
    <w:rsid w:val="4B1BC37D"/>
    <w:rsid w:val="4B1D5B78"/>
    <w:rsid w:val="4B744802"/>
    <w:rsid w:val="4C09B0ED"/>
    <w:rsid w:val="4C31F118"/>
    <w:rsid w:val="4C81A1E8"/>
    <w:rsid w:val="4C82CA7B"/>
    <w:rsid w:val="4CD9D3EC"/>
    <w:rsid w:val="4D0D91CC"/>
    <w:rsid w:val="4DB7566C"/>
    <w:rsid w:val="4DC10184"/>
    <w:rsid w:val="4DEE8B2C"/>
    <w:rsid w:val="4EB370BD"/>
    <w:rsid w:val="4EB392F9"/>
    <w:rsid w:val="4FB6272D"/>
    <w:rsid w:val="4FBBB665"/>
    <w:rsid w:val="4FEF313A"/>
    <w:rsid w:val="504A6595"/>
    <w:rsid w:val="50762221"/>
    <w:rsid w:val="50C2567A"/>
    <w:rsid w:val="50F84444"/>
    <w:rsid w:val="51623177"/>
    <w:rsid w:val="51C6DD2B"/>
    <w:rsid w:val="51C8B615"/>
    <w:rsid w:val="52C6C373"/>
    <w:rsid w:val="52CF1B0D"/>
    <w:rsid w:val="53496902"/>
    <w:rsid w:val="5357BAE2"/>
    <w:rsid w:val="53ADC2E3"/>
    <w:rsid w:val="545CC2FD"/>
    <w:rsid w:val="5534A9C8"/>
    <w:rsid w:val="5547130C"/>
    <w:rsid w:val="555E7DE1"/>
    <w:rsid w:val="55AE17AB"/>
    <w:rsid w:val="55E292E0"/>
    <w:rsid w:val="55E308F9"/>
    <w:rsid w:val="56776A09"/>
    <w:rsid w:val="56E3129F"/>
    <w:rsid w:val="56E814CC"/>
    <w:rsid w:val="56F41EB0"/>
    <w:rsid w:val="576C71A6"/>
    <w:rsid w:val="5770A191"/>
    <w:rsid w:val="578FC5DA"/>
    <w:rsid w:val="57FB43AF"/>
    <w:rsid w:val="5820B242"/>
    <w:rsid w:val="58D9E560"/>
    <w:rsid w:val="593D0322"/>
    <w:rsid w:val="59BE5146"/>
    <w:rsid w:val="5A390848"/>
    <w:rsid w:val="5AF3BEA6"/>
    <w:rsid w:val="5BC644AD"/>
    <w:rsid w:val="5BD18062"/>
    <w:rsid w:val="5BD2A680"/>
    <w:rsid w:val="5BDFC725"/>
    <w:rsid w:val="5C0FC336"/>
    <w:rsid w:val="5C3A7079"/>
    <w:rsid w:val="5C919E80"/>
    <w:rsid w:val="5CE6DBB9"/>
    <w:rsid w:val="5D0038D0"/>
    <w:rsid w:val="5D40FB0A"/>
    <w:rsid w:val="5DABD8D9"/>
    <w:rsid w:val="5DD38963"/>
    <w:rsid w:val="5DF76AD2"/>
    <w:rsid w:val="5F707A6C"/>
    <w:rsid w:val="5FCFDE1A"/>
    <w:rsid w:val="6069F792"/>
    <w:rsid w:val="608D1B76"/>
    <w:rsid w:val="60FB4C9F"/>
    <w:rsid w:val="6206E57D"/>
    <w:rsid w:val="622CA7EC"/>
    <w:rsid w:val="622E012B"/>
    <w:rsid w:val="6244596F"/>
    <w:rsid w:val="62467D67"/>
    <w:rsid w:val="62582424"/>
    <w:rsid w:val="632416FA"/>
    <w:rsid w:val="643580C5"/>
    <w:rsid w:val="6440A49E"/>
    <w:rsid w:val="649CC80E"/>
    <w:rsid w:val="64AC7D60"/>
    <w:rsid w:val="64B44F88"/>
    <w:rsid w:val="64B52968"/>
    <w:rsid w:val="64DDD515"/>
    <w:rsid w:val="65B731DA"/>
    <w:rsid w:val="65F08696"/>
    <w:rsid w:val="66874D1C"/>
    <w:rsid w:val="66EACF3C"/>
    <w:rsid w:val="670A1A74"/>
    <w:rsid w:val="67298E06"/>
    <w:rsid w:val="674FE4EF"/>
    <w:rsid w:val="67AA473E"/>
    <w:rsid w:val="67B681DF"/>
    <w:rsid w:val="67C84B93"/>
    <w:rsid w:val="6829B79C"/>
    <w:rsid w:val="68DC91E5"/>
    <w:rsid w:val="69B51D62"/>
    <w:rsid w:val="69DF7A6F"/>
    <w:rsid w:val="6A4E9E92"/>
    <w:rsid w:val="6ACD21DD"/>
    <w:rsid w:val="6BF0F579"/>
    <w:rsid w:val="6C9E6445"/>
    <w:rsid w:val="6CC8681D"/>
    <w:rsid w:val="6DB8A63E"/>
    <w:rsid w:val="6E20E770"/>
    <w:rsid w:val="6EF98C62"/>
    <w:rsid w:val="6F28F003"/>
    <w:rsid w:val="6F472435"/>
    <w:rsid w:val="6F541074"/>
    <w:rsid w:val="6FDAB454"/>
    <w:rsid w:val="704DF5C6"/>
    <w:rsid w:val="70986FB0"/>
    <w:rsid w:val="716E200A"/>
    <w:rsid w:val="71FB984A"/>
    <w:rsid w:val="72FFAC4F"/>
    <w:rsid w:val="73282084"/>
    <w:rsid w:val="73F760B9"/>
    <w:rsid w:val="744A6B51"/>
    <w:rsid w:val="745F525D"/>
    <w:rsid w:val="75693933"/>
    <w:rsid w:val="76048B78"/>
    <w:rsid w:val="760C0B48"/>
    <w:rsid w:val="763AD820"/>
    <w:rsid w:val="7656FC7C"/>
    <w:rsid w:val="76C19DD3"/>
    <w:rsid w:val="77A9672E"/>
    <w:rsid w:val="7817D5F9"/>
    <w:rsid w:val="785ABC3E"/>
    <w:rsid w:val="789C7D0E"/>
    <w:rsid w:val="78C46E5E"/>
    <w:rsid w:val="78CCDF8D"/>
    <w:rsid w:val="78CE4229"/>
    <w:rsid w:val="794B7027"/>
    <w:rsid w:val="79B5003B"/>
    <w:rsid w:val="7A74E4F2"/>
    <w:rsid w:val="7A77DD14"/>
    <w:rsid w:val="7AD1AEEB"/>
    <w:rsid w:val="7AFD6410"/>
    <w:rsid w:val="7C2FFC8C"/>
    <w:rsid w:val="7D282A46"/>
    <w:rsid w:val="7D28B0F4"/>
    <w:rsid w:val="7E2546C1"/>
    <w:rsid w:val="7EB96283"/>
    <w:rsid w:val="7F5FE8F4"/>
    <w:rsid w:val="7FFBEE5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F299A91"/>
  <w15:chartTrackingRefBased/>
  <w15:docId w15:val="{FC6678BF-B363-4862-9D0A-703570C9B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45B8"/>
    <w:pPr>
      <w:spacing w:after="200" w:line="276" w:lineRule="auto"/>
    </w:pPr>
    <w:rPr>
      <w:rFonts w:ascii="Arial" w:hAnsi="Arial"/>
      <w:sz w:val="24"/>
    </w:rPr>
  </w:style>
  <w:style w:type="paragraph" w:styleId="Heading1">
    <w:name w:val="heading 1"/>
    <w:basedOn w:val="Normal"/>
    <w:next w:val="Normal"/>
    <w:link w:val="Heading1Char"/>
    <w:uiPriority w:val="9"/>
    <w:qFormat/>
    <w:rsid w:val="007A01E7"/>
    <w:pPr>
      <w:spacing w:before="240" w:line="240" w:lineRule="auto"/>
      <w:outlineLvl w:val="0"/>
    </w:pPr>
    <w:rPr>
      <w:rFonts w:eastAsiaTheme="majorEastAsia" w:cstheme="majorBidi"/>
      <w:b/>
      <w:bCs/>
      <w:caps/>
      <w:sz w:val="28"/>
      <w:szCs w:val="28"/>
      <w:lang w:bidi="en-US"/>
    </w:rPr>
  </w:style>
  <w:style w:type="paragraph" w:styleId="Heading2">
    <w:name w:val="heading 2"/>
    <w:basedOn w:val="ListParagraph"/>
    <w:next w:val="Normal"/>
    <w:link w:val="Heading2Char"/>
    <w:uiPriority w:val="9"/>
    <w:unhideWhenUsed/>
    <w:qFormat/>
    <w:rsid w:val="002917DB"/>
    <w:pPr>
      <w:numPr>
        <w:numId w:val="4"/>
      </w:numPr>
      <w:tabs>
        <w:tab w:val="left" w:pos="1080"/>
      </w:tabs>
      <w:spacing w:line="240" w:lineRule="auto"/>
      <w:contextualSpacing w:val="0"/>
      <w:outlineLvl w:val="1"/>
    </w:pPr>
    <w:rPr>
      <w:rFonts w:eastAsiaTheme="majorEastAsia" w:cstheme="majorBidi"/>
      <w:b/>
      <w:bCs/>
      <w:szCs w:val="26"/>
      <w:lang w:bidi="en-US"/>
    </w:rPr>
  </w:style>
  <w:style w:type="paragraph" w:styleId="Heading3">
    <w:name w:val="heading 3"/>
    <w:basedOn w:val="ListParagraph"/>
    <w:next w:val="Normal"/>
    <w:link w:val="Heading3Char"/>
    <w:uiPriority w:val="9"/>
    <w:unhideWhenUsed/>
    <w:qFormat/>
    <w:rsid w:val="007A01E7"/>
    <w:pPr>
      <w:tabs>
        <w:tab w:val="left" w:pos="1710"/>
      </w:tabs>
      <w:autoSpaceDE w:val="0"/>
      <w:autoSpaceDN w:val="0"/>
      <w:adjustRightInd w:val="0"/>
      <w:spacing w:line="240" w:lineRule="auto"/>
      <w:ind w:left="0"/>
      <w:contextualSpacing w:val="0"/>
      <w:outlineLvl w:val="2"/>
    </w:pPr>
    <w:rPr>
      <w:rFonts w:cs="Times New Roman"/>
      <w:b/>
      <w:bCs/>
      <w:szCs w:val="24"/>
    </w:rPr>
  </w:style>
  <w:style w:type="paragraph" w:styleId="Heading4">
    <w:name w:val="heading 4"/>
    <w:basedOn w:val="ListParagraph"/>
    <w:next w:val="Normal"/>
    <w:link w:val="Heading4Char"/>
    <w:uiPriority w:val="9"/>
    <w:unhideWhenUsed/>
    <w:qFormat/>
    <w:rsid w:val="005645B8"/>
    <w:pPr>
      <w:numPr>
        <w:ilvl w:val="3"/>
        <w:numId w:val="2"/>
      </w:numPr>
      <w:tabs>
        <w:tab w:val="left" w:pos="1620"/>
      </w:tabs>
      <w:outlineLvl w:val="3"/>
    </w:pPr>
    <w:rPr>
      <w:rFonts w:cs="Times New Roman"/>
      <w:b/>
      <w:bCs/>
      <w:i/>
      <w:szCs w:val="24"/>
    </w:rPr>
  </w:style>
  <w:style w:type="paragraph" w:styleId="Heading5">
    <w:name w:val="heading 5"/>
    <w:basedOn w:val="Normal"/>
    <w:next w:val="Normal"/>
    <w:link w:val="Heading5Char"/>
    <w:uiPriority w:val="9"/>
    <w:semiHidden/>
    <w:unhideWhenUsed/>
    <w:qFormat/>
    <w:rsid w:val="003D09E2"/>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3D09E2"/>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3D09E2"/>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D09E2"/>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09E2"/>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1E7"/>
    <w:rPr>
      <w:rFonts w:ascii="Arial" w:hAnsi="Arial" w:eastAsiaTheme="majorEastAsia" w:cstheme="majorBidi"/>
      <w:b/>
      <w:bCs/>
      <w:caps/>
      <w:sz w:val="28"/>
      <w:szCs w:val="28"/>
      <w:lang w:bidi="en-US"/>
    </w:rPr>
  </w:style>
  <w:style w:type="paragraph" w:styleId="ListParagraph">
    <w:name w:val="List Paragraph"/>
    <w:basedOn w:val="Normal"/>
    <w:uiPriority w:val="34"/>
    <w:qFormat/>
    <w:rsid w:val="005645B8"/>
    <w:pPr>
      <w:ind w:left="720"/>
      <w:contextualSpacing/>
    </w:pPr>
  </w:style>
  <w:style w:type="character" w:customStyle="1" w:styleId="Heading2Char">
    <w:name w:val="Heading 2 Char"/>
    <w:basedOn w:val="DefaultParagraphFont"/>
    <w:link w:val="Heading2"/>
    <w:uiPriority w:val="9"/>
    <w:rsid w:val="002917DB"/>
    <w:rPr>
      <w:rFonts w:ascii="Arial" w:hAnsi="Arial" w:eastAsiaTheme="majorEastAsia" w:cstheme="majorBidi"/>
      <w:b/>
      <w:bCs/>
      <w:sz w:val="24"/>
      <w:szCs w:val="26"/>
      <w:lang w:bidi="en-US"/>
    </w:rPr>
  </w:style>
  <w:style w:type="character" w:customStyle="1" w:styleId="Heading3Char">
    <w:name w:val="Heading 3 Char"/>
    <w:basedOn w:val="DefaultParagraphFont"/>
    <w:link w:val="Heading3"/>
    <w:uiPriority w:val="9"/>
    <w:rsid w:val="007A01E7"/>
    <w:rPr>
      <w:rFonts w:ascii="Arial" w:hAnsi="Arial" w:cs="Times New Roman"/>
      <w:b/>
      <w:bCs/>
      <w:sz w:val="24"/>
      <w:szCs w:val="24"/>
    </w:rPr>
  </w:style>
  <w:style w:type="character" w:customStyle="1" w:styleId="Heading4Char">
    <w:name w:val="Heading 4 Char"/>
    <w:basedOn w:val="DefaultParagraphFont"/>
    <w:link w:val="Heading4"/>
    <w:uiPriority w:val="9"/>
    <w:rsid w:val="005645B8"/>
    <w:rPr>
      <w:rFonts w:ascii="Arial" w:hAnsi="Arial" w:cs="Times New Roman"/>
      <w:b/>
      <w:bCs/>
      <w:i/>
      <w:sz w:val="24"/>
      <w:szCs w:val="24"/>
    </w:rPr>
  </w:style>
  <w:style w:type="character" w:customStyle="1" w:styleId="Heading5Char">
    <w:name w:val="Heading 5 Char"/>
    <w:basedOn w:val="DefaultParagraphFont"/>
    <w:link w:val="Heading5"/>
    <w:uiPriority w:val="9"/>
    <w:semiHidden/>
    <w:rsid w:val="003D09E2"/>
    <w:rPr>
      <w:rFonts w:asciiTheme="majorHAnsi" w:eastAsiaTheme="majorEastAsia" w:hAnsiTheme="majorHAnsi" w:cstheme="majorBidi"/>
      <w:color w:val="1F4D78" w:themeColor="accent1" w:themeShade="7F"/>
      <w:sz w:val="24"/>
    </w:rPr>
  </w:style>
  <w:style w:type="character" w:customStyle="1" w:styleId="Heading6Char">
    <w:name w:val="Heading 6 Char"/>
    <w:basedOn w:val="DefaultParagraphFont"/>
    <w:link w:val="Heading6"/>
    <w:uiPriority w:val="9"/>
    <w:semiHidden/>
    <w:rsid w:val="003D09E2"/>
    <w:rPr>
      <w:rFonts w:asciiTheme="majorHAnsi" w:eastAsiaTheme="majorEastAsia" w:hAnsiTheme="majorHAnsi" w:cstheme="majorBidi"/>
      <w:i/>
      <w:iCs/>
      <w:color w:val="1F4D78" w:themeColor="accent1" w:themeShade="7F"/>
      <w:sz w:val="24"/>
    </w:rPr>
  </w:style>
  <w:style w:type="character" w:customStyle="1" w:styleId="Heading7Char">
    <w:name w:val="Heading 7 Char"/>
    <w:basedOn w:val="DefaultParagraphFont"/>
    <w:link w:val="Heading7"/>
    <w:uiPriority w:val="9"/>
    <w:semiHidden/>
    <w:rsid w:val="003D09E2"/>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3D09E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D09E2"/>
    <w:rPr>
      <w:rFonts w:asciiTheme="majorHAnsi" w:eastAsiaTheme="majorEastAsia" w:hAnsiTheme="majorHAnsi" w:cstheme="majorBidi"/>
      <w:i/>
      <w:iCs/>
      <w:color w:val="404040" w:themeColor="text1" w:themeTint="BF"/>
      <w:sz w:val="20"/>
      <w:szCs w:val="20"/>
    </w:rPr>
  </w:style>
  <w:style w:type="paragraph" w:styleId="NoSpacing">
    <w:name w:val="No Spacing"/>
    <w:link w:val="NoSpacingChar"/>
    <w:uiPriority w:val="1"/>
    <w:qFormat/>
    <w:rsid w:val="005645B8"/>
    <w:pPr>
      <w:spacing w:after="0" w:line="240" w:lineRule="auto"/>
    </w:pPr>
  </w:style>
  <w:style w:type="paragraph" w:styleId="FootnoteText">
    <w:name w:val="footnote text"/>
    <w:basedOn w:val="Normal"/>
    <w:link w:val="FootnoteTextChar"/>
    <w:unhideWhenUsed/>
    <w:qFormat/>
    <w:rsid w:val="005645B8"/>
    <w:pPr>
      <w:spacing w:after="0" w:line="240" w:lineRule="auto"/>
    </w:pPr>
    <w:rPr>
      <w:sz w:val="20"/>
      <w:szCs w:val="20"/>
    </w:rPr>
  </w:style>
  <w:style w:type="character" w:customStyle="1" w:styleId="FootnoteTextChar">
    <w:name w:val="Footnote Text Char"/>
    <w:basedOn w:val="DefaultParagraphFont"/>
    <w:link w:val="FootnoteText"/>
    <w:rsid w:val="005645B8"/>
    <w:rPr>
      <w:rFonts w:ascii="Arial" w:hAnsi="Arial"/>
      <w:sz w:val="20"/>
      <w:szCs w:val="20"/>
    </w:rPr>
  </w:style>
  <w:style w:type="character" w:styleId="FootnoteReference">
    <w:name w:val="footnote reference"/>
    <w:basedOn w:val="DefaultParagraphFont"/>
    <w:uiPriority w:val="99"/>
    <w:unhideWhenUsed/>
    <w:qFormat/>
    <w:rsid w:val="005645B8"/>
    <w:rPr>
      <w:vertAlign w:val="superscript"/>
    </w:rPr>
  </w:style>
  <w:style w:type="table" w:styleId="TableGrid">
    <w:name w:val="Table Grid"/>
    <w:basedOn w:val="TableNormal"/>
    <w:uiPriority w:val="39"/>
    <w:rsid w:val="00B26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D5E31"/>
    <w:rPr>
      <w:sz w:val="16"/>
      <w:szCs w:val="16"/>
    </w:rPr>
  </w:style>
  <w:style w:type="paragraph" w:styleId="CommentText">
    <w:name w:val="annotation text"/>
    <w:basedOn w:val="Normal"/>
    <w:link w:val="CommentTextChar"/>
    <w:uiPriority w:val="99"/>
    <w:unhideWhenUsed/>
    <w:rsid w:val="000D5E31"/>
    <w:pPr>
      <w:spacing w:line="240" w:lineRule="auto"/>
    </w:pPr>
    <w:rPr>
      <w:sz w:val="20"/>
      <w:szCs w:val="20"/>
    </w:rPr>
  </w:style>
  <w:style w:type="character" w:customStyle="1" w:styleId="CommentTextChar">
    <w:name w:val="Comment Text Char"/>
    <w:basedOn w:val="DefaultParagraphFont"/>
    <w:link w:val="CommentText"/>
    <w:uiPriority w:val="99"/>
    <w:rsid w:val="000D5E3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D5E31"/>
    <w:rPr>
      <w:b/>
      <w:bCs/>
    </w:rPr>
  </w:style>
  <w:style w:type="character" w:customStyle="1" w:styleId="CommentSubjectChar">
    <w:name w:val="Comment Subject Char"/>
    <w:basedOn w:val="CommentTextChar"/>
    <w:link w:val="CommentSubject"/>
    <w:uiPriority w:val="99"/>
    <w:semiHidden/>
    <w:rsid w:val="000D5E31"/>
    <w:rPr>
      <w:rFonts w:ascii="Arial" w:hAnsi="Arial"/>
      <w:b/>
      <w:bCs/>
      <w:sz w:val="20"/>
      <w:szCs w:val="20"/>
    </w:rPr>
  </w:style>
  <w:style w:type="paragraph" w:styleId="BalloonText">
    <w:name w:val="Balloon Text"/>
    <w:basedOn w:val="Normal"/>
    <w:link w:val="BalloonTextChar"/>
    <w:uiPriority w:val="99"/>
    <w:semiHidden/>
    <w:unhideWhenUsed/>
    <w:rsid w:val="000D5E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E31"/>
    <w:rPr>
      <w:rFonts w:ascii="Segoe UI" w:hAnsi="Segoe UI" w:cs="Segoe UI"/>
      <w:sz w:val="18"/>
      <w:szCs w:val="18"/>
    </w:rPr>
  </w:style>
  <w:style w:type="character" w:styleId="Hyperlink">
    <w:name w:val="Hyperlink"/>
    <w:basedOn w:val="DefaultParagraphFont"/>
    <w:uiPriority w:val="99"/>
    <w:unhideWhenUsed/>
    <w:rsid w:val="009A7738"/>
    <w:rPr>
      <w:color w:val="0563C1" w:themeColor="hyperlink"/>
      <w:u w:val="single"/>
    </w:rPr>
  </w:style>
  <w:style w:type="character" w:customStyle="1" w:styleId="EndnoteTextChar">
    <w:name w:val="Endnote Text Char"/>
    <w:basedOn w:val="DefaultParagraphFont"/>
    <w:link w:val="EndnoteText"/>
    <w:uiPriority w:val="99"/>
    <w:semiHidden/>
    <w:rsid w:val="003D09E2"/>
    <w:rPr>
      <w:rFonts w:ascii="Arial" w:hAnsi="Arial"/>
      <w:sz w:val="20"/>
      <w:szCs w:val="20"/>
    </w:rPr>
  </w:style>
  <w:style w:type="paragraph" w:styleId="EndnoteText">
    <w:name w:val="endnote text"/>
    <w:basedOn w:val="Normal"/>
    <w:link w:val="EndnoteTextChar"/>
    <w:uiPriority w:val="99"/>
    <w:semiHidden/>
    <w:unhideWhenUsed/>
    <w:rsid w:val="003D09E2"/>
    <w:pPr>
      <w:spacing w:after="0" w:line="240" w:lineRule="auto"/>
    </w:pPr>
    <w:rPr>
      <w:sz w:val="20"/>
      <w:szCs w:val="20"/>
    </w:rPr>
  </w:style>
  <w:style w:type="paragraph" w:styleId="Header">
    <w:name w:val="header"/>
    <w:basedOn w:val="Normal"/>
    <w:link w:val="HeaderChar"/>
    <w:uiPriority w:val="99"/>
    <w:unhideWhenUsed/>
    <w:rsid w:val="003D09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9E2"/>
    <w:rPr>
      <w:rFonts w:ascii="Arial" w:hAnsi="Arial"/>
      <w:sz w:val="24"/>
    </w:rPr>
  </w:style>
  <w:style w:type="paragraph" w:styleId="Footer">
    <w:name w:val="footer"/>
    <w:basedOn w:val="Normal"/>
    <w:link w:val="FooterChar"/>
    <w:uiPriority w:val="99"/>
    <w:unhideWhenUsed/>
    <w:rsid w:val="003D0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9E2"/>
    <w:rPr>
      <w:rFonts w:ascii="Arial" w:hAnsi="Arial"/>
      <w:sz w:val="24"/>
    </w:rPr>
  </w:style>
  <w:style w:type="paragraph" w:styleId="Caption">
    <w:name w:val="caption"/>
    <w:basedOn w:val="Normal"/>
    <w:next w:val="Normal"/>
    <w:uiPriority w:val="35"/>
    <w:unhideWhenUsed/>
    <w:qFormat/>
    <w:rsid w:val="003D09E2"/>
    <w:pPr>
      <w:spacing w:line="240" w:lineRule="auto"/>
    </w:pPr>
    <w:rPr>
      <w:rFonts w:cs="Arial"/>
      <w:b/>
      <w:bCs/>
      <w:color w:val="000000" w:themeColor="text1"/>
      <w:szCs w:val="18"/>
    </w:rPr>
  </w:style>
  <w:style w:type="paragraph" w:styleId="Revision">
    <w:name w:val="Revision"/>
    <w:hidden/>
    <w:uiPriority w:val="99"/>
    <w:semiHidden/>
    <w:rsid w:val="003D09E2"/>
    <w:pPr>
      <w:spacing w:after="0" w:line="240" w:lineRule="auto"/>
    </w:pPr>
  </w:style>
  <w:style w:type="character" w:customStyle="1" w:styleId="HTMLPreformattedChar">
    <w:name w:val="HTML Preformatted Char"/>
    <w:basedOn w:val="DefaultParagraphFont"/>
    <w:link w:val="HTMLPreformatted"/>
    <w:uiPriority w:val="99"/>
    <w:semiHidden/>
    <w:rsid w:val="003D09E2"/>
    <w:rPr>
      <w:rFonts w:ascii="Consolas" w:hAnsi="Consolas"/>
      <w:sz w:val="20"/>
      <w:szCs w:val="20"/>
    </w:rPr>
  </w:style>
  <w:style w:type="paragraph" w:styleId="HTMLPreformatted">
    <w:name w:val="HTML Preformatted"/>
    <w:basedOn w:val="Normal"/>
    <w:link w:val="HTMLPreformattedChar"/>
    <w:uiPriority w:val="99"/>
    <w:semiHidden/>
    <w:unhideWhenUsed/>
    <w:rsid w:val="003D09E2"/>
    <w:pPr>
      <w:spacing w:after="0" w:line="240" w:lineRule="auto"/>
    </w:pPr>
    <w:rPr>
      <w:rFonts w:ascii="Consolas" w:hAnsi="Consolas"/>
      <w:sz w:val="20"/>
      <w:szCs w:val="20"/>
    </w:rPr>
  </w:style>
  <w:style w:type="paragraph" w:styleId="BodyText">
    <w:name w:val="Body Text"/>
    <w:basedOn w:val="Normal"/>
    <w:link w:val="BodyTextChar"/>
    <w:rsid w:val="003D09E2"/>
    <w:pPr>
      <w:widowControl w:val="0"/>
      <w:autoSpaceDE w:val="0"/>
      <w:autoSpaceDN w:val="0"/>
      <w:adjustRightInd w:val="0"/>
      <w:spacing w:after="120" w:line="240" w:lineRule="auto"/>
    </w:pPr>
    <w:rPr>
      <w:rFonts w:eastAsia="Times New Roman" w:cs="Times New Roman"/>
      <w:szCs w:val="20"/>
    </w:rPr>
  </w:style>
  <w:style w:type="character" w:customStyle="1" w:styleId="BodyTextChar">
    <w:name w:val="Body Text Char"/>
    <w:basedOn w:val="DefaultParagraphFont"/>
    <w:link w:val="BodyText"/>
    <w:rsid w:val="003D09E2"/>
    <w:rPr>
      <w:rFonts w:ascii="Arial" w:eastAsia="Times New Roman" w:hAnsi="Arial" w:cs="Times New Roman"/>
      <w:sz w:val="24"/>
      <w:szCs w:val="20"/>
    </w:rPr>
  </w:style>
  <w:style w:type="paragraph" w:styleId="BodyTextFirstIndent">
    <w:name w:val="Body Text First Indent"/>
    <w:basedOn w:val="BodyText"/>
    <w:link w:val="BodyTextFirstIndentChar"/>
    <w:rsid w:val="003D09E2"/>
    <w:pPr>
      <w:ind w:firstLine="210"/>
    </w:pPr>
  </w:style>
  <w:style w:type="character" w:customStyle="1" w:styleId="BodyTextFirstIndentChar">
    <w:name w:val="Body Text First Indent Char"/>
    <w:basedOn w:val="BodyTextChar"/>
    <w:link w:val="BodyTextFirstIndent"/>
    <w:rsid w:val="003D09E2"/>
    <w:rPr>
      <w:rFonts w:ascii="Arial" w:eastAsia="Times New Roman" w:hAnsi="Arial" w:cs="Times New Roman"/>
      <w:sz w:val="24"/>
      <w:szCs w:val="20"/>
    </w:rPr>
  </w:style>
  <w:style w:type="paragraph" w:styleId="Bibliography">
    <w:name w:val="Bibliography"/>
    <w:basedOn w:val="Normal"/>
    <w:next w:val="Normal"/>
    <w:uiPriority w:val="37"/>
    <w:unhideWhenUsed/>
    <w:rsid w:val="003D09E2"/>
    <w:pPr>
      <w:spacing w:after="0" w:line="240" w:lineRule="auto"/>
      <w:ind w:left="720" w:hanging="720"/>
    </w:pPr>
  </w:style>
  <w:style w:type="paragraph" w:styleId="TOCHeading">
    <w:name w:val="TOC Heading"/>
    <w:basedOn w:val="Heading1"/>
    <w:next w:val="Normal"/>
    <w:uiPriority w:val="39"/>
    <w:unhideWhenUsed/>
    <w:qFormat/>
    <w:rsid w:val="003D09E2"/>
    <w:pPr>
      <w:spacing w:after="0" w:line="259" w:lineRule="auto"/>
      <w:outlineLvl w:val="9"/>
    </w:pPr>
    <w:rPr>
      <w:rFonts w:asciiTheme="majorHAnsi" w:hAnsiTheme="majorHAnsi"/>
      <w:b w:val="0"/>
      <w:bCs w:val="0"/>
      <w:color w:val="2E74B5" w:themeColor="accent1" w:themeShade="BF"/>
      <w:sz w:val="32"/>
      <w:szCs w:val="32"/>
      <w:lang w:bidi="ar-SA"/>
    </w:rPr>
  </w:style>
  <w:style w:type="paragraph" w:styleId="TOC1">
    <w:name w:val="toc 1"/>
    <w:basedOn w:val="Normal"/>
    <w:next w:val="Normal"/>
    <w:autoRedefine/>
    <w:uiPriority w:val="39"/>
    <w:unhideWhenUsed/>
    <w:rsid w:val="003D09E2"/>
    <w:pPr>
      <w:spacing w:after="100"/>
    </w:pPr>
  </w:style>
  <w:style w:type="paragraph" w:styleId="TOC2">
    <w:name w:val="toc 2"/>
    <w:basedOn w:val="Normal"/>
    <w:next w:val="Normal"/>
    <w:autoRedefine/>
    <w:uiPriority w:val="39"/>
    <w:unhideWhenUsed/>
    <w:rsid w:val="003D09E2"/>
    <w:pPr>
      <w:spacing w:after="100"/>
      <w:ind w:left="240"/>
    </w:pPr>
  </w:style>
  <w:style w:type="paragraph" w:styleId="TOC3">
    <w:name w:val="toc 3"/>
    <w:basedOn w:val="Normal"/>
    <w:next w:val="Normal"/>
    <w:autoRedefine/>
    <w:uiPriority w:val="39"/>
    <w:unhideWhenUsed/>
    <w:rsid w:val="003D09E2"/>
    <w:pPr>
      <w:spacing w:after="100"/>
      <w:ind w:left="480"/>
    </w:pPr>
  </w:style>
  <w:style w:type="character" w:styleId="UnresolvedMention">
    <w:name w:val="Unresolved Mention"/>
    <w:basedOn w:val="DefaultParagraphFont"/>
    <w:uiPriority w:val="99"/>
    <w:unhideWhenUsed/>
    <w:rsid w:val="00A15DA9"/>
    <w:rPr>
      <w:color w:val="605E5C"/>
      <w:shd w:val="clear" w:color="auto" w:fill="E1DFDD"/>
    </w:rPr>
  </w:style>
  <w:style w:type="character" w:styleId="Mention">
    <w:name w:val="Mention"/>
    <w:basedOn w:val="DefaultParagraphFont"/>
    <w:uiPriority w:val="99"/>
    <w:unhideWhenUsed/>
    <w:rsid w:val="00A15DA9"/>
    <w:rPr>
      <w:color w:val="2B579A"/>
      <w:shd w:val="clear" w:color="auto" w:fill="E1DFDD"/>
    </w:rPr>
  </w:style>
  <w:style w:type="paragraph" w:styleId="Title">
    <w:name w:val="Title"/>
    <w:basedOn w:val="Normal"/>
    <w:next w:val="Normal"/>
    <w:link w:val="TitleChar"/>
    <w:uiPriority w:val="10"/>
    <w:qFormat/>
    <w:rsid w:val="002059F4"/>
    <w:pPr>
      <w:spacing w:after="0" w:line="240" w:lineRule="auto"/>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2059F4"/>
    <w:rPr>
      <w:rFonts w:ascii="Arial" w:hAnsi="Arial" w:eastAsiaTheme="majorEastAsia" w:cstheme="majorBidi"/>
      <w:b/>
      <w:spacing w:val="-10"/>
      <w:kern w:val="28"/>
      <w:sz w:val="28"/>
      <w:szCs w:val="56"/>
    </w:rPr>
  </w:style>
  <w:style w:type="paragraph" w:styleId="ListBullet">
    <w:name w:val="List Bullet"/>
    <w:basedOn w:val="Normal"/>
    <w:unhideWhenUsed/>
    <w:qFormat/>
    <w:rsid w:val="006B3C71"/>
    <w:pPr>
      <w:widowControl w:val="0"/>
      <w:numPr>
        <w:numId w:val="9"/>
      </w:numPr>
      <w:autoSpaceDE w:val="0"/>
      <w:autoSpaceDN w:val="0"/>
      <w:adjustRightInd w:val="0"/>
      <w:spacing w:after="240" w:line="240" w:lineRule="auto"/>
    </w:pPr>
    <w:rPr>
      <w:rFonts w:ascii="Times New Roman" w:eastAsia="Times New Roman" w:hAnsi="Times New Roman" w:cs="Times New Roman"/>
      <w:szCs w:val="24"/>
    </w:rPr>
  </w:style>
  <w:style w:type="paragraph" w:customStyle="1" w:styleId="psection-1">
    <w:name w:val="psection-1"/>
    <w:basedOn w:val="Normal"/>
    <w:rsid w:val="0063003D"/>
    <w:pPr>
      <w:spacing w:before="150" w:after="150" w:line="240" w:lineRule="auto"/>
    </w:pPr>
    <w:rPr>
      <w:rFonts w:ascii="Times New Roman" w:eastAsia="Times New Roman" w:hAnsi="Times New Roman" w:cs="Times New Roman"/>
      <w:szCs w:val="24"/>
    </w:rPr>
  </w:style>
  <w:style w:type="paragraph" w:customStyle="1" w:styleId="psection-2">
    <w:name w:val="psection-2"/>
    <w:basedOn w:val="Normal"/>
    <w:rsid w:val="0063003D"/>
    <w:pPr>
      <w:spacing w:after="150" w:line="240" w:lineRule="auto"/>
      <w:ind w:left="240"/>
    </w:pPr>
    <w:rPr>
      <w:rFonts w:ascii="Times New Roman" w:eastAsia="Times New Roman" w:hAnsi="Times New Roman" w:cs="Times New Roman"/>
      <w:szCs w:val="24"/>
    </w:rPr>
  </w:style>
  <w:style w:type="paragraph" w:customStyle="1" w:styleId="psection-3">
    <w:name w:val="psection-3"/>
    <w:basedOn w:val="Normal"/>
    <w:rsid w:val="0063003D"/>
    <w:pPr>
      <w:spacing w:after="150" w:line="240" w:lineRule="auto"/>
      <w:ind w:left="480"/>
    </w:pPr>
    <w:rPr>
      <w:rFonts w:ascii="Times New Roman" w:eastAsia="Times New Roman" w:hAnsi="Times New Roman" w:cs="Times New Roman"/>
      <w:szCs w:val="24"/>
    </w:rPr>
  </w:style>
  <w:style w:type="character" w:customStyle="1" w:styleId="et031">
    <w:name w:val="et031"/>
    <w:basedOn w:val="DefaultParagraphFont"/>
    <w:rsid w:val="0063003D"/>
    <w:rPr>
      <w:i/>
      <w:iCs/>
    </w:rPr>
  </w:style>
  <w:style w:type="character" w:customStyle="1" w:styleId="normaltextrun">
    <w:name w:val="normaltextrun"/>
    <w:basedOn w:val="DefaultParagraphFont"/>
    <w:rsid w:val="00AC368D"/>
  </w:style>
  <w:style w:type="character" w:customStyle="1" w:styleId="eop">
    <w:name w:val="eop"/>
    <w:basedOn w:val="DefaultParagraphFont"/>
    <w:rsid w:val="00AC368D"/>
  </w:style>
  <w:style w:type="paragraph" w:customStyle="1" w:styleId="paragraph">
    <w:name w:val="paragraph"/>
    <w:basedOn w:val="Normal"/>
    <w:rsid w:val="00FA07C5"/>
    <w:pPr>
      <w:spacing w:before="100" w:beforeAutospacing="1" w:after="100" w:afterAutospacing="1" w:line="240" w:lineRule="auto"/>
    </w:pPr>
    <w:rPr>
      <w:rFonts w:ascii="Times New Roman" w:eastAsia="Times New Roman" w:hAnsi="Times New Roman" w:cs="Times New Roman"/>
      <w:szCs w:val="24"/>
    </w:rPr>
  </w:style>
  <w:style w:type="character" w:customStyle="1" w:styleId="spellingerror">
    <w:name w:val="spellingerror"/>
    <w:basedOn w:val="DefaultParagraphFont"/>
    <w:rsid w:val="00FA07C5"/>
  </w:style>
  <w:style w:type="paragraph" w:styleId="NormalWeb">
    <w:name w:val="Normal (Web)"/>
    <w:basedOn w:val="Normal"/>
    <w:uiPriority w:val="99"/>
    <w:unhideWhenUsed/>
    <w:rsid w:val="00685364"/>
    <w:rPr>
      <w:rFonts w:ascii="Times New Roman" w:hAnsi="Times New Roman" w:cs="Times New Roman"/>
      <w:szCs w:val="24"/>
    </w:rPr>
  </w:style>
  <w:style w:type="character" w:styleId="Strong">
    <w:name w:val="Strong"/>
    <w:basedOn w:val="DefaultParagraphFont"/>
    <w:uiPriority w:val="22"/>
    <w:qFormat/>
    <w:rsid w:val="00E644F5"/>
    <w:rPr>
      <w:b/>
      <w:bCs/>
    </w:rPr>
  </w:style>
  <w:style w:type="character" w:customStyle="1" w:styleId="NoSpacingChar">
    <w:name w:val="No Spacing Char"/>
    <w:basedOn w:val="DefaultParagraphFont"/>
    <w:link w:val="NoSpacing"/>
    <w:uiPriority w:val="1"/>
    <w:locked/>
    <w:rsid w:val="002B1BFE"/>
  </w:style>
  <w:style w:type="paragraph" w:customStyle="1" w:styleId="Level1">
    <w:name w:val="Level 1"/>
    <w:rsid w:val="006C44E5"/>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styleId="Emphasis">
    <w:name w:val="Emphasis"/>
    <w:basedOn w:val="DefaultParagraphFont"/>
    <w:uiPriority w:val="20"/>
    <w:qFormat/>
    <w:rsid w:val="00002F89"/>
    <w:rPr>
      <w:i/>
      <w:iCs/>
    </w:rPr>
  </w:style>
  <w:style w:type="character" w:styleId="FollowedHyperlink">
    <w:name w:val="FollowedHyperlink"/>
    <w:basedOn w:val="DefaultParagraphFont"/>
    <w:uiPriority w:val="99"/>
    <w:semiHidden/>
    <w:unhideWhenUsed/>
    <w:rsid w:val="000E304B"/>
    <w:rPr>
      <w:color w:val="954F72" w:themeColor="followedHyperlink"/>
      <w:u w:val="single"/>
    </w:rPr>
  </w:style>
  <w:style w:type="paragraph" w:customStyle="1" w:styleId="LTableTextAbt">
    <w:name w:val="(L)Table Text Abt"/>
    <w:link w:val="LTableTextAbtChar"/>
    <w:uiPriority w:val="12"/>
    <w:qFormat/>
    <w:rsid w:val="00055226"/>
    <w:pPr>
      <w:keepNext/>
      <w:keepLines/>
      <w:spacing w:before="20" w:after="20" w:line="480" w:lineRule="auto"/>
    </w:pPr>
    <w:rPr>
      <w:rFonts w:ascii="Times New Roman" w:hAnsi="Times New Roman" w:cs="Times New Roman"/>
      <w:bCs/>
      <w:color w:val="000000"/>
      <w:sz w:val="18"/>
      <w:szCs w:val="20"/>
    </w:rPr>
  </w:style>
  <w:style w:type="character" w:customStyle="1" w:styleId="LTableTextAbtChar">
    <w:name w:val="(L)Table Text Abt Char"/>
    <w:link w:val="LTableTextAbt"/>
    <w:uiPriority w:val="12"/>
    <w:rsid w:val="00055226"/>
    <w:rPr>
      <w:rFonts w:ascii="Times New Roman" w:hAnsi="Times New Roman" w:cs="Times New Roman"/>
      <w:bCs/>
      <w:color w:val="000000"/>
      <w:sz w:val="18"/>
      <w:szCs w:val="20"/>
    </w:rPr>
  </w:style>
  <w:style w:type="paragraph" w:customStyle="1" w:styleId="RTableTextAbt">
    <w:name w:val="(R) Table Text Abt"/>
    <w:link w:val="RTableTextAbtChar"/>
    <w:uiPriority w:val="14"/>
    <w:qFormat/>
    <w:rsid w:val="00055226"/>
    <w:pPr>
      <w:spacing w:line="480" w:lineRule="auto"/>
      <w:jc w:val="right"/>
    </w:pPr>
    <w:rPr>
      <w:rFonts w:ascii="Times New Roman" w:hAnsi="Times New Roman" w:cs="Times New Roman"/>
      <w:bCs/>
      <w:color w:val="000000"/>
      <w:sz w:val="18"/>
      <w:szCs w:val="20"/>
    </w:rPr>
  </w:style>
  <w:style w:type="character" w:customStyle="1" w:styleId="RTableTextAbtChar">
    <w:name w:val="(R) Table Text Abt Char"/>
    <w:basedOn w:val="LTableTextAbtChar"/>
    <w:link w:val="RTableTextAbt"/>
    <w:uiPriority w:val="14"/>
    <w:rsid w:val="00055226"/>
    <w:rPr>
      <w:rFonts w:ascii="Times New Roman" w:hAnsi="Times New Roman" w:cs="Times New Roman"/>
      <w:bCs/>
      <w:color w:val="000000"/>
      <w:sz w:val="18"/>
      <w:szCs w:val="20"/>
    </w:rPr>
  </w:style>
  <w:style w:type="paragraph" w:customStyle="1" w:styleId="TableSubtitle">
    <w:name w:val="TableSubtitle"/>
    <w:basedOn w:val="Normal"/>
    <w:qFormat/>
    <w:rsid w:val="00055226"/>
    <w:pPr>
      <w:keepNext/>
      <w:keepLines/>
      <w:autoSpaceDE w:val="0"/>
      <w:autoSpaceDN w:val="0"/>
      <w:adjustRightInd w:val="0"/>
      <w:spacing w:after="160" w:line="480" w:lineRule="auto"/>
      <w:jc w:val="center"/>
    </w:pPr>
    <w:rPr>
      <w:rFonts w:ascii="Arial Narrow" w:eastAsia="Times New Roman" w:hAnsi="Arial Narrow" w:cs="Arial"/>
      <w:b/>
      <w:bCs/>
      <w:color w:val="FFFFFF" w:themeColor="background1"/>
      <w:sz w:val="20"/>
      <w:szCs w:val="20"/>
    </w:rPr>
  </w:style>
  <w:style w:type="paragraph" w:customStyle="1" w:styleId="TableTitleA">
    <w:name w:val="TableTitleA"/>
    <w:basedOn w:val="Normal"/>
    <w:link w:val="TableTitleAChar"/>
    <w:qFormat/>
    <w:rsid w:val="00055226"/>
    <w:pPr>
      <w:keepNext/>
      <w:spacing w:after="20" w:line="480" w:lineRule="auto"/>
    </w:pPr>
    <w:rPr>
      <w:rFonts w:ascii="Arial Bold" w:eastAsia="Times New Roman" w:hAnsi="Arial Bold" w:cs="Times New Roman"/>
      <w:sz w:val="20"/>
      <w:szCs w:val="24"/>
    </w:rPr>
  </w:style>
  <w:style w:type="character" w:customStyle="1" w:styleId="TableTitleAChar">
    <w:name w:val="TableTitleA Char"/>
    <w:basedOn w:val="DefaultParagraphFont"/>
    <w:link w:val="TableTitleA"/>
    <w:rsid w:val="00055226"/>
    <w:rPr>
      <w:rFonts w:ascii="Arial Bold" w:eastAsia="Times New Roman" w:hAnsi="Arial Bold" w:cs="Times New Roman"/>
      <w:sz w:val="20"/>
      <w:szCs w:val="24"/>
    </w:rPr>
  </w:style>
  <w:style w:type="paragraph" w:customStyle="1" w:styleId="CTableTextAbt">
    <w:name w:val="(C)Table Text Abt"/>
    <w:link w:val="CTableTextAbtChar"/>
    <w:uiPriority w:val="13"/>
    <w:qFormat/>
    <w:rsid w:val="00055226"/>
    <w:pPr>
      <w:spacing w:line="480" w:lineRule="auto"/>
      <w:jc w:val="center"/>
    </w:pPr>
    <w:rPr>
      <w:rFonts w:ascii="Times New Roman" w:hAnsi="Times New Roman" w:cs="Times New Roman"/>
      <w:bCs/>
      <w:color w:val="000000"/>
      <w:sz w:val="18"/>
      <w:szCs w:val="20"/>
    </w:rPr>
  </w:style>
  <w:style w:type="character" w:customStyle="1" w:styleId="CTableTextAbtChar">
    <w:name w:val="(C)Table Text Abt Char"/>
    <w:basedOn w:val="DefaultParagraphFont"/>
    <w:link w:val="CTableTextAbt"/>
    <w:uiPriority w:val="13"/>
    <w:rsid w:val="00055226"/>
    <w:rPr>
      <w:rFonts w:ascii="Times New Roman" w:hAnsi="Times New Roman" w:cs="Times New Roman"/>
      <w:bCs/>
      <w:color w:val="000000"/>
      <w:sz w:val="18"/>
      <w:szCs w:val="20"/>
    </w:rPr>
  </w:style>
  <w:style w:type="paragraph" w:styleId="PlainText">
    <w:name w:val="Plain Text"/>
    <w:basedOn w:val="Normal"/>
    <w:link w:val="PlainTextChar"/>
    <w:uiPriority w:val="99"/>
    <w:semiHidden/>
    <w:unhideWhenUsed/>
    <w:rsid w:val="000D147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1476"/>
    <w:rPr>
      <w:rFonts w:ascii="Consolas" w:hAnsi="Consolas"/>
      <w:sz w:val="21"/>
      <w:szCs w:val="21"/>
    </w:rPr>
  </w:style>
  <w:style w:type="paragraph" w:customStyle="1" w:styleId="Default">
    <w:name w:val="Default"/>
    <w:rsid w:val="00091B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bo.gov/sites/default/files/112th-congress-2011-2012/workingpaper/2012-04fedbenefitswp0.pdf" TargetMode="External" /><Relationship Id="rId11" Type="http://schemas.openxmlformats.org/officeDocument/2006/relationships/hyperlink" Target="http://www.regulations.gov" TargetMode="External" /><Relationship Id="rId12" Type="http://schemas.openxmlformats.org/officeDocument/2006/relationships/hyperlink" Target="https://www.govinfo.gov/app/details/USCODE-2024-title15/USCODE-2024-title15-chap53-subchapI-sec2613" TargetMode="External" /><Relationship Id="rId13" Type="http://schemas.openxmlformats.org/officeDocument/2006/relationships/hyperlink" Target="https://www.ecfr.gov/current/title-40/chapter-I/subchapter-R/part-703" TargetMode="External" /><Relationship Id="rId14" Type="http://schemas.openxmlformats.org/officeDocument/2006/relationships/hyperlink" Target="https://www.ecfr.gov/current/title-40/chapter-I/subchapter-R/part-704" TargetMode="External" /><Relationship Id="rId15" Type="http://schemas.openxmlformats.org/officeDocument/2006/relationships/hyperlink" Target="https://www.ecfr.gov/current/title-40/chapter-I/subchapter-R/part-707" TargetMode="External" /><Relationship Id="rId16" Type="http://schemas.openxmlformats.org/officeDocument/2006/relationships/hyperlink" Target="https://www.ecfr.gov/current/title-40/chapter-I/subchapter-R/part-716?toc=1" TargetMode="External" /><Relationship Id="rId17" Type="http://schemas.openxmlformats.org/officeDocument/2006/relationships/hyperlink" Target="https://www.ecfr.gov/current/title-40/chapter-I/subchapter-R/part-717" TargetMode="External" /><Relationship Id="rId18" Type="http://schemas.openxmlformats.org/officeDocument/2006/relationships/hyperlink" Target="https://www.ecfr.gov/current/title-40/chapter-I/subchapter-R/part-720" TargetMode="External" /><Relationship Id="rId19" Type="http://schemas.openxmlformats.org/officeDocument/2006/relationships/hyperlink" Target="https://www.ecfr.gov/current/title-40/chapter-I/subchapter-R/part-721?toc=1" TargetMode="External" /><Relationship Id="rId2" Type="http://schemas.openxmlformats.org/officeDocument/2006/relationships/settings" Target="settings.xml" /><Relationship Id="rId20" Type="http://schemas.openxmlformats.org/officeDocument/2006/relationships/hyperlink" Target="https://www.ecfr.gov/current/title-40/chapter-I/subchapter-R/part-770" TargetMode="External" /><Relationship Id="rId21" Type="http://schemas.openxmlformats.org/officeDocument/2006/relationships/hyperlink" Target="https://www.ecfr.gov/current/title-40/chapter-I/subchapter-R/part-790" TargetMode="External" /><Relationship Id="rId22" Type="http://schemas.openxmlformats.org/officeDocument/2006/relationships/hyperlink" Target="http://www.bls.gov" TargetMode="External" /><Relationship Id="rId23" Type="http://schemas.openxmlformats.org/officeDocument/2006/relationships/hyperlink" Target="https://www.bls.gov/web/ecec/ecsuphst.pdf" TargetMode="External" /><Relationship Id="rId24" Type="http://schemas.openxmlformats.org/officeDocument/2006/relationships/footer" Target="footer1.xml" /><Relationship Id="rId25" Type="http://schemas.openxmlformats.org/officeDocument/2006/relationships/header" Target="header1.xml" /><Relationship Id="rId26" Type="http://schemas.openxmlformats.org/officeDocument/2006/relationships/footer" Target="footer2.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epa.gov/tsca-cbi/cbi-claim-expira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e62327-e5b9-4e01-8fb1-4fc3a4760ef9" xsi:nil="true"/>
    <SharedWithUsers xmlns="38e62327-e5b9-4e01-8fb1-4fc3a4760ef9">
      <UserInfo>
        <DisplayName>Brinkhuis, Randall</DisplayName>
        <AccountId>17</AccountId>
        <AccountType/>
      </UserInfo>
      <UserInfo>
        <DisplayName>Alwood, Jim</DisplayName>
        <AccountId>25</AccountId>
        <AccountType/>
      </UserInfo>
      <UserInfo>
        <DisplayName>Barkas, Jessica</DisplayName>
        <AccountId>3175</AccountId>
        <AccountType/>
      </UserInfo>
    </SharedWithUsers>
    <lcf76f155ced4ddcb4097134ff3c332f xmlns="c7b6dfa9-cf57-49e4-b34d-4990262439b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FFA35A91B3F84AB01D992A724E0B49" ma:contentTypeVersion="13" ma:contentTypeDescription="Create a new document." ma:contentTypeScope="" ma:versionID="61c8a6fbf802b4e4c23a5aaab7d4e83b">
  <xsd:schema xmlns:xsd="http://www.w3.org/2001/XMLSchema" xmlns:xs="http://www.w3.org/2001/XMLSchema" xmlns:p="http://schemas.microsoft.com/office/2006/metadata/properties" xmlns:ns2="38e62327-e5b9-4e01-8fb1-4fc3a4760ef9" xmlns:ns3="c7b6dfa9-cf57-49e4-b34d-4990262439bd" targetNamespace="http://schemas.microsoft.com/office/2006/metadata/properties" ma:root="true" ma:fieldsID="c9cefc35838a5f79cf6421ceaa4291be" ns2:_="" ns3:_="">
    <xsd:import namespace="38e62327-e5b9-4e01-8fb1-4fc3a4760ef9"/>
    <xsd:import namespace="c7b6dfa9-cf57-49e4-b34d-4990262439b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62327-e5b9-4e01-8fb1-4fc3a4760e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1f152a-6629-4bbc-8efa-e67025da34e8}" ma:internalName="TaxCatchAll" ma:showField="CatchAllData" ma:web="38e62327-e5b9-4e01-8fb1-4fc3a4760e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b6dfa9-cf57-49e4-b34d-4990262439b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444B56-BA86-4284-B1F7-B5381B365F4F}">
  <ds:schemaRefs>
    <ds:schemaRef ds:uri="http://schemas.microsoft.com/office/2006/metadata/properties"/>
    <ds:schemaRef ds:uri="http://schemas.microsoft.com/office/infopath/2007/PartnerControls"/>
    <ds:schemaRef ds:uri="38e62327-e5b9-4e01-8fb1-4fc3a4760ef9"/>
    <ds:schemaRef ds:uri="c7b6dfa9-cf57-49e4-b34d-4990262439bd"/>
  </ds:schemaRefs>
</ds:datastoreItem>
</file>

<file path=customXml/itemProps2.xml><?xml version="1.0" encoding="utf-8"?>
<ds:datastoreItem xmlns:ds="http://schemas.openxmlformats.org/officeDocument/2006/customXml" ds:itemID="{44905671-8A76-45C7-AE59-E120B505B13E}">
  <ds:schemaRefs>
    <ds:schemaRef ds:uri="http://schemas.microsoft.com/sharepoint/v3/contenttype/forms"/>
  </ds:schemaRefs>
</ds:datastoreItem>
</file>

<file path=customXml/itemProps3.xml><?xml version="1.0" encoding="utf-8"?>
<ds:datastoreItem xmlns:ds="http://schemas.openxmlformats.org/officeDocument/2006/customXml" ds:itemID="{7828E6B4-C36A-4D5F-8D91-DEC5684B954D}">
  <ds:schemaRefs>
    <ds:schemaRef ds:uri="http://schemas.openxmlformats.org/officeDocument/2006/bibliography"/>
  </ds:schemaRefs>
</ds:datastoreItem>
</file>

<file path=customXml/itemProps4.xml><?xml version="1.0" encoding="utf-8"?>
<ds:datastoreItem xmlns:ds="http://schemas.openxmlformats.org/officeDocument/2006/customXml" ds:itemID="{70D126A2-8424-47D8-9621-0AC84F4CB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62327-e5b9-4e01-8fb1-4fc3a4760ef9"/>
    <ds:schemaRef ds:uri="c7b6dfa9-cf57-49e4-b34d-49902624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22</Pages>
  <Words>7726</Words>
  <Characters>44041</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White House Communications Agency</Company>
  <LinksUpToDate>false</LinksUpToDate>
  <CharactersWithSpaces>51664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OMB Comments;siu.carolyn@epa.gov</dc:creator>
  <cp:lastModifiedBy>Johnson, Amaris</cp:lastModifiedBy>
  <cp:revision>2</cp:revision>
  <dcterms:created xsi:type="dcterms:W3CDTF">2026-08-27T19:31:00Z</dcterms:created>
  <dcterms:modified xsi:type="dcterms:W3CDTF">2026-08-27T19:31:00Z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0x010100EDFFA35A91B3F84AB01D992A724E0B49</vt:lpwstr>
  </property>
  <property fmtid="{D5CDD505-2E9C-101B-9397-08002B2CF9AE}" pid="3" name="Document Type">
    <vt:lpwstr/>
  </property>
  <property fmtid="{D5CDD505-2E9C-101B-9397-08002B2CF9AE}" pid="4" name="EPA Subject">
    <vt:lpwstr/>
  </property>
  <property fmtid="{D5CDD505-2E9C-101B-9397-08002B2CF9AE}" pid="5" name="GrammarlyDocumentId">
    <vt:lpwstr>ef43ca1559f6016b4955d9d04278a49684f476b5dfe00f84ab013a904d5383e4</vt:lpwstr>
  </property>
  <property fmtid="{D5CDD505-2E9C-101B-9397-08002B2CF9AE}" pid="6" name="MediaServiceImageTags">
    <vt:lpwstr/>
  </property>
  <property fmtid="{D5CDD505-2E9C-101B-9397-08002B2CF9AE}" pid="7" name="TaxKeyword">
    <vt:lpwstr/>
  </property>
</Properties>
</file>