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C03DF" w:rsidRPr="008C03DF" w:rsidP="008C03DF" w14:paraId="32183C85" w14:textId="77777777">
      <w:pPr>
        <w:rPr>
          <w:rFonts w:ascii="Times New Roman" w:hAnsi="Times New Roman" w:cs="Times New Roman"/>
          <w:sz w:val="24"/>
          <w:szCs w:val="24"/>
        </w:rPr>
      </w:pPr>
      <w:r w:rsidRPr="008C03DF">
        <w:rPr>
          <w:rFonts w:ascii="Times New Roman" w:hAnsi="Times New Roman" w:cs="Times New Roman"/>
          <w:b/>
          <w:bCs/>
          <w:sz w:val="24"/>
          <w:szCs w:val="24"/>
        </w:rPr>
        <w:t>U.S. Department of Transportation</w:t>
      </w:r>
    </w:p>
    <w:p w:rsidR="008C03DF" w:rsidRPr="008C03DF" w:rsidP="008C03DF" w14:paraId="66D67C1A" w14:textId="77777777">
      <w:pPr>
        <w:rPr>
          <w:rFonts w:ascii="Times New Roman" w:hAnsi="Times New Roman" w:cs="Times New Roman"/>
          <w:sz w:val="24"/>
          <w:szCs w:val="24"/>
        </w:rPr>
      </w:pPr>
      <w:r w:rsidRPr="008C03DF">
        <w:rPr>
          <w:rFonts w:ascii="Times New Roman" w:hAnsi="Times New Roman" w:cs="Times New Roman"/>
          <w:b/>
          <w:bCs/>
          <w:sz w:val="24"/>
          <w:szCs w:val="24"/>
        </w:rPr>
        <w:t>SUMMARY OF COMMENTS [Docket No. DOT–OST–2025–0897]</w:t>
      </w:r>
    </w:p>
    <w:p w:rsidR="008C03DF" w:rsidRPr="008C03DF" w:rsidP="008C03DF" w14:paraId="0B3DA161" w14:textId="2E35F62D">
      <w:pPr>
        <w:rPr>
          <w:rFonts w:ascii="Times New Roman" w:hAnsi="Times New Roman" w:cs="Times New Roman"/>
          <w:sz w:val="24"/>
          <w:szCs w:val="24"/>
        </w:rPr>
      </w:pPr>
      <w:r w:rsidRPr="008C03DF">
        <w:rPr>
          <w:rFonts w:ascii="Times New Roman" w:hAnsi="Times New Roman" w:cs="Times New Roman"/>
          <w:b/>
          <w:bCs/>
          <w:sz w:val="24"/>
          <w:szCs w:val="24"/>
        </w:rPr>
        <w:t xml:space="preserve">RIN: </w:t>
      </w:r>
      <w:r w:rsidRPr="00941186" w:rsidR="00941186">
        <w:rPr>
          <w:rFonts w:ascii="Times New Roman" w:hAnsi="Times New Roman" w:cs="Times New Roman"/>
          <w:b/>
          <w:bCs/>
          <w:sz w:val="24"/>
          <w:szCs w:val="24"/>
        </w:rPr>
        <w:t>2105-AF33</w:t>
      </w:r>
    </w:p>
    <w:p w:rsidR="008C03DF" w:rsidRPr="008C03DF" w:rsidP="008C03DF" w14:paraId="5664CF4B" w14:textId="1889C104">
      <w:pPr>
        <w:rPr>
          <w:rFonts w:ascii="Times New Roman" w:hAnsi="Times New Roman" w:cs="Times New Roman"/>
          <w:sz w:val="24"/>
          <w:szCs w:val="24"/>
        </w:rPr>
      </w:pPr>
      <w:r w:rsidRPr="008C03DF">
        <w:rPr>
          <w:rFonts w:ascii="Times New Roman" w:hAnsi="Times New Roman" w:cs="Times New Roman"/>
          <w:b/>
          <w:bCs/>
          <w:sz w:val="24"/>
          <w:szCs w:val="24"/>
        </w:rPr>
        <w:t xml:space="preserve">Final Rule - </w:t>
      </w:r>
      <w:r w:rsidRPr="008C03DF">
        <w:rPr>
          <w:rFonts w:ascii="Times New Roman" w:hAnsi="Times New Roman" w:cs="Times New Roman"/>
          <w:b/>
          <w:bCs/>
          <w:sz w:val="24"/>
          <w:szCs w:val="24"/>
          <w:highlight w:val="yellow"/>
        </w:rPr>
        <w:t>[</w:t>
      </w:r>
      <w:r w:rsidR="00941186">
        <w:rPr>
          <w:rFonts w:ascii="Times New Roman" w:hAnsi="Times New Roman" w:cs="Times New Roman"/>
          <w:b/>
          <w:bCs/>
          <w:sz w:val="24"/>
          <w:szCs w:val="24"/>
          <w:highlight w:val="yellow"/>
        </w:rPr>
        <w:t>DATE</w:t>
      </w:r>
      <w:r w:rsidRPr="008C03DF">
        <w:rPr>
          <w:rFonts w:ascii="Times New Roman" w:hAnsi="Times New Roman" w:cs="Times New Roman"/>
          <w:b/>
          <w:bCs/>
          <w:sz w:val="24"/>
          <w:szCs w:val="24"/>
          <w:highlight w:val="yellow"/>
        </w:rPr>
        <w:t>]</w:t>
      </w:r>
    </w:p>
    <w:p w:rsidR="008C03DF" w:rsidRPr="008C03DF" w:rsidP="008C03DF" w14:paraId="74714DE7" w14:textId="77777777">
      <w:pPr>
        <w:rPr>
          <w:rFonts w:ascii="Times New Roman" w:hAnsi="Times New Roman" w:cs="Times New Roman"/>
          <w:sz w:val="24"/>
          <w:szCs w:val="24"/>
        </w:rPr>
      </w:pPr>
      <w:r w:rsidRPr="008C03DF">
        <w:rPr>
          <w:rFonts w:ascii="Times New Roman" w:hAnsi="Times New Roman" w:cs="Times New Roman"/>
          <w:b/>
          <w:bCs/>
          <w:sz w:val="24"/>
          <w:szCs w:val="24"/>
        </w:rPr>
        <w:t>Disadvantaged Business Enterprise Program (DBE) and Airport Concession Disadvantaged Business Enterprise Program Implementation Modifications 49 C.F.R. Parts 23 and 26</w:t>
      </w:r>
    </w:p>
    <w:p w:rsidR="008C03DF" w:rsidRPr="008C03DF" w:rsidP="008C03DF" w14:paraId="39C69912" w14:textId="77777777">
      <w:pPr>
        <w:rPr>
          <w:rFonts w:ascii="Times New Roman" w:hAnsi="Times New Roman" w:cs="Times New Roman"/>
          <w:sz w:val="24"/>
          <w:szCs w:val="24"/>
        </w:rPr>
      </w:pPr>
      <w:r w:rsidRPr="008C03DF">
        <w:rPr>
          <w:rFonts w:ascii="Times New Roman" w:hAnsi="Times New Roman" w:cs="Times New Roman"/>
          <w:sz w:val="24"/>
          <w:szCs w:val="24"/>
        </w:rPr>
        <w:t>The Department of Transportation (DOT) published an Interim Final Rule (IFR) modifying the Disadvantaged Business Enterprise (DBE) and Airport Concession Disadvantaged Business Enterprise (ACDBE) programs on October 3, 2025. In preparation for our Paperwork Reduction Act (PRA) approval request and Regulatory Impact Analysis (RIA), the Office of the General Counsel has conducted a comprehensive review of the public comments to identify specific feedback regarding the administrative burdens, costs, time, and savings associated with the new and revised information collections. The comments received highlighted profound concerns regarding the financial and temporal impacts on local agencies, Unified Certification Programs (UCPs), and small businesses. To comply with PRA obligations, the Department must accurately calculate the burden hours and costs across various program modifications. Below is a comprehensive summary of the comments categorized by the relevant collection instruments and regulatory topics, formatted for inclusion in our PRA Supporting Statement.</w:t>
      </w:r>
    </w:p>
    <w:p w:rsidR="008C03DF" w:rsidRPr="008C03DF" w:rsidP="008C03DF" w14:paraId="12EB0EA6" w14:textId="77777777">
      <w:pPr>
        <w:rPr>
          <w:rFonts w:ascii="Times New Roman" w:hAnsi="Times New Roman" w:cs="Times New Roman"/>
          <w:sz w:val="24"/>
          <w:szCs w:val="24"/>
        </w:rPr>
      </w:pPr>
      <w:r w:rsidRPr="008C03DF">
        <w:rPr>
          <w:rFonts w:ascii="Times New Roman" w:hAnsi="Times New Roman" w:cs="Times New Roman"/>
          <w:b/>
          <w:bCs/>
          <w:sz w:val="24"/>
          <w:szCs w:val="24"/>
        </w:rPr>
        <w:t>DOT Rule on Personal Narratives (Certification Narratives) (§ 26.67)</w:t>
      </w:r>
    </w:p>
    <w:p w:rsidR="008C03DF" w:rsidRPr="008C03DF" w:rsidP="008C03DF" w14:paraId="5E9DB83D" w14:textId="1E20D093">
      <w:pPr>
        <w:rPr>
          <w:rFonts w:ascii="Times New Roman" w:hAnsi="Times New Roman" w:cs="Times New Roman"/>
          <w:sz w:val="24"/>
          <w:szCs w:val="24"/>
        </w:rPr>
      </w:pPr>
      <w:r w:rsidRPr="008C03DF">
        <w:rPr>
          <w:rFonts w:ascii="Times New Roman" w:hAnsi="Times New Roman" w:cs="Times New Roman"/>
          <w:sz w:val="24"/>
          <w:szCs w:val="24"/>
        </w:rPr>
        <w:t>The Interim Final Rule revises § 26.67 to implement the removal of unconstitutional race- and sex-based presumptions. The rule requires all small business owners to affirmatively demonstrate individualized social and economic disadvantage through a Personal Narrative and supporting documentation, without reliance in whole or in part on race or sex. The Department's initial PRA calculation estimated 820,000 burden hours across 41,000 firms, averaging 20 hours per firm, with an estimated one-time cost of $91.9 million.</w:t>
      </w:r>
    </w:p>
    <w:p w:rsidR="008C03DF" w:rsidRPr="008C03DF" w:rsidP="008C03DF" w14:paraId="63B1F65E" w14:textId="7EC3E7D3">
      <w:pPr>
        <w:rPr>
          <w:rFonts w:ascii="Times New Roman" w:hAnsi="Times New Roman" w:cs="Times New Roman"/>
          <w:sz w:val="24"/>
          <w:szCs w:val="24"/>
        </w:rPr>
      </w:pPr>
      <w:r w:rsidRPr="008C03DF">
        <w:rPr>
          <w:rFonts w:ascii="Times New Roman" w:hAnsi="Times New Roman" w:cs="Times New Roman"/>
          <w:sz w:val="24"/>
          <w:szCs w:val="24"/>
        </w:rPr>
        <w:t>Summary of Comments on Cost and Hour Burden on Personal Narratives:</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 xml:space="preserve">Respondents universally criticized the Department’s PRA burden estimates for the new Personal Narrative requirement as vastly understated, asserting that the evidentiary burden creates an insurmountable financial hurdle for small entities. A policy and compliance consulting firm (DOT-OST-2025-0897-0560) asserted that the DOT’s PRA methodology is statistically invalid because it relied on a minute sample size of only three stakeholders. The commenter pointed out that while stakeholder evidence indicated narrative preparation actually takes between 240 to 2,000 hours, averaging 1,120 hours, DOT arbitrarily utilized a 20-hour estimate. The firm argued this pushes the rule's true cost well over the $100 million threshold, requiring designation as a "Major Rule" under the Congressional Review Act. A state department of transportation (DOT-OST-2025-0897-0603) similarly noted that the evidentiary burden to produce individualized proof based on the 240-to-2,000-hour estimate could cost up to $80,000 per firm. They warned this will force small firms to hire costly legal and accounting consultants, thereby deterring </w:t>
      </w:r>
      <w:r w:rsidRPr="008C03DF">
        <w:rPr>
          <w:rFonts w:ascii="Times New Roman" w:hAnsi="Times New Roman" w:cs="Times New Roman"/>
          <w:sz w:val="24"/>
          <w:szCs w:val="24"/>
        </w:rPr>
        <w:t>program participation. A certified DBE supplier (DOT-OST-2025-0897-0638) noted that the IFR imposes nearly $100 million in added compliance costs and more than 800,000 hours of new paperwork nationwide, placing a significant administrative and financial burden on small firms with limited staff. Furthermore, a professional engineering firm (DOT-OST-2025-0897-0443) highlighted the duplicative cost waste for firms already certified under the Small Business Administration 8(a) program, arguing that requiring a new, DOT-specific narrative doubles the compliance cost and time for identical documentation. Finally, a small business enterprise (DOT-OST-2025-0897-0376) stated that drafting these narratives represents hundreds of hours of unbillable work and costs thousands of dollars, diverting critical time away from project delivery, staff training, and business operations.</w:t>
      </w:r>
    </w:p>
    <w:p w:rsidR="008C03DF" w:rsidRPr="008C03DF" w:rsidP="008C03DF" w14:paraId="3D4557CE" w14:textId="1DD9903B">
      <w:pPr>
        <w:rPr>
          <w:rFonts w:ascii="Times New Roman" w:hAnsi="Times New Roman" w:cs="Times New Roman"/>
          <w:sz w:val="24"/>
          <w:szCs w:val="24"/>
        </w:rPr>
      </w:pPr>
      <w:r w:rsidRPr="008C03DF">
        <w:rPr>
          <w:rFonts w:ascii="Times New Roman" w:hAnsi="Times New Roman" w:cs="Times New Roman"/>
          <w:sz w:val="24"/>
          <w:szCs w:val="24"/>
        </w:rPr>
        <w:t>DOT Response:</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The Department acknowledges the time required to submit a Personal Narrative; however, this individualized showing is legally required to align the program with constitutional mandates and judicial rulings. To mitigate this administrative burden, the Department is developing an updated Uniform Certification Application and will issue standardized templates and guidance to streamline the narrative drafting process, significantly reducing the hourly burden on firms.</w:t>
      </w:r>
    </w:p>
    <w:p w:rsidR="008C03DF" w:rsidRPr="008C03DF" w:rsidP="008C03DF" w14:paraId="284643A4" w14:textId="77777777">
      <w:pPr>
        <w:rPr>
          <w:rFonts w:ascii="Times New Roman" w:hAnsi="Times New Roman" w:cs="Times New Roman"/>
          <w:sz w:val="24"/>
          <w:szCs w:val="24"/>
        </w:rPr>
      </w:pPr>
      <w:r w:rsidRPr="008C03DF">
        <w:rPr>
          <w:rFonts w:ascii="Times New Roman" w:hAnsi="Times New Roman" w:cs="Times New Roman"/>
          <w:b/>
          <w:bCs/>
          <w:sz w:val="24"/>
          <w:szCs w:val="24"/>
        </w:rPr>
        <w:t>DOT Rule on UCP Reevaluations (Recipient Reevaluations) (§ 26.111)</w:t>
      </w:r>
    </w:p>
    <w:p w:rsidR="008C03DF" w:rsidRPr="008C03DF" w:rsidP="008C03DF" w14:paraId="2A9DC132" w14:textId="77777777">
      <w:pPr>
        <w:rPr>
          <w:rFonts w:ascii="Times New Roman" w:hAnsi="Times New Roman" w:cs="Times New Roman"/>
          <w:sz w:val="24"/>
          <w:szCs w:val="24"/>
        </w:rPr>
      </w:pPr>
      <w:r w:rsidRPr="008C03DF">
        <w:rPr>
          <w:rFonts w:ascii="Times New Roman" w:hAnsi="Times New Roman" w:cs="Times New Roman"/>
          <w:sz w:val="24"/>
          <w:szCs w:val="24"/>
        </w:rPr>
        <w:t>The IFR adds § 26.111, requiring each Unified Certification Program (UCP) to individually reevaluate any currently certified DBE or ACDBE to determine if they meet the new certification standards. DOT estimated a total cost of $3,447,280 for UCPs to process these reevaluations, estimating two hours of review per firm.</w:t>
      </w:r>
    </w:p>
    <w:p w:rsidR="008C03DF" w:rsidRPr="008C03DF" w:rsidP="008C03DF" w14:paraId="0109741C" w14:textId="3E7EDA9C">
      <w:pPr>
        <w:rPr>
          <w:rFonts w:ascii="Times New Roman" w:hAnsi="Times New Roman" w:cs="Times New Roman"/>
          <w:sz w:val="24"/>
          <w:szCs w:val="24"/>
        </w:rPr>
      </w:pPr>
      <w:r w:rsidRPr="008C03DF">
        <w:rPr>
          <w:rFonts w:ascii="Times New Roman" w:hAnsi="Times New Roman" w:cs="Times New Roman"/>
          <w:sz w:val="24"/>
          <w:szCs w:val="24"/>
        </w:rPr>
        <w:t>Summary of Comments on Cost and Hour Burden on UCP Reevaluations:</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State agencies and UCPs expressed that the unfunded mandate to reevaluate over 50,000 certified firms nationwide will overwhelm existing staff, creating severe administrative bottlenecks and unmanageable compliance costs. A public transportation industry association (DOT-OST-2025-0897-0541) argued that DOT’s estimated cost of $3.4 million for UCPs to process reevaluations drastically underestimates the actual time, staff effort, and outside legal consultation required to evaluate complex, highly subjective personal narratives. A state transportation officials association (DOT-OST-2025-0897-0426) emphasized that state DOTs require significant unbudgeted time to develop new DBE recertification processes, update documentation, and train staff to review an estimated 53,500 DBEs nationally, resulting in a lengthy and burdensome bottleneck. Furthermore, a state department of transportation (DOT-OST-2025-0897-0603) pointed out that in large UCPs, reevaluation timelines will vary significantly. While a highly resourced agency might complete its review in 60 to 90 days, smaller UCP members may require 6 to 12 months, creating inconsistent geographic delays. A rural state department of transportation (DOT-OST-2025-0897-0504) warned of severe procedural and administrative burdens for rural states that rely on a single certifier, noting that mass reevaluation risks unmanageable certification backlogs without additional federal funding or staffing flexibility.</w:t>
      </w:r>
    </w:p>
    <w:p w:rsidR="008C03DF" w:rsidRPr="008C03DF" w:rsidP="008C03DF" w14:paraId="62B7FA96" w14:textId="23956ED6">
      <w:pPr>
        <w:rPr>
          <w:rFonts w:ascii="Times New Roman" w:hAnsi="Times New Roman" w:cs="Times New Roman"/>
          <w:sz w:val="24"/>
          <w:szCs w:val="24"/>
        </w:rPr>
      </w:pPr>
      <w:r w:rsidRPr="008C03DF">
        <w:rPr>
          <w:rFonts w:ascii="Times New Roman" w:hAnsi="Times New Roman" w:cs="Times New Roman"/>
          <w:sz w:val="24"/>
          <w:szCs w:val="24"/>
        </w:rPr>
        <w:t>DOT Response:</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 xml:space="preserve">The Department recognizes that the mass reevaluation of all affected DBEs and ACDBEs introduces new, immediate administrative procedures for UCPs. To alleviate the </w:t>
      </w:r>
      <w:r w:rsidRPr="008C03DF">
        <w:rPr>
          <w:rFonts w:ascii="Times New Roman" w:hAnsi="Times New Roman" w:cs="Times New Roman"/>
          <w:sz w:val="24"/>
          <w:szCs w:val="24"/>
        </w:rPr>
        <w:t>burden, the IFR directs UCPs to complete the reevaluation process "as quickly as practicable" rather than imposing a rigid, unfunded national deadline, providing states the necessary flexibility to manage their administrative workloads in accordance with their budgetary constraints.</w:t>
      </w:r>
    </w:p>
    <w:p w:rsidR="008C03DF" w:rsidRPr="008C03DF" w:rsidP="008C03DF" w14:paraId="471530F9" w14:textId="77777777">
      <w:pPr>
        <w:rPr>
          <w:rFonts w:ascii="Times New Roman" w:hAnsi="Times New Roman" w:cs="Times New Roman"/>
          <w:sz w:val="24"/>
          <w:szCs w:val="24"/>
        </w:rPr>
      </w:pPr>
      <w:r w:rsidRPr="008C03DF">
        <w:rPr>
          <w:rFonts w:ascii="Times New Roman" w:hAnsi="Times New Roman" w:cs="Times New Roman"/>
          <w:b/>
          <w:bCs/>
          <w:sz w:val="24"/>
          <w:szCs w:val="24"/>
        </w:rPr>
        <w:t>DOT Rule on Interstate Certification (§ 26.85)</w:t>
      </w:r>
    </w:p>
    <w:p w:rsidR="008C03DF" w:rsidRPr="008C03DF" w:rsidP="008C03DF" w14:paraId="130495A7" w14:textId="77777777">
      <w:pPr>
        <w:rPr>
          <w:rFonts w:ascii="Times New Roman" w:hAnsi="Times New Roman" w:cs="Times New Roman"/>
          <w:sz w:val="24"/>
          <w:szCs w:val="24"/>
        </w:rPr>
      </w:pPr>
      <w:r w:rsidRPr="008C03DF">
        <w:rPr>
          <w:rFonts w:ascii="Times New Roman" w:hAnsi="Times New Roman" w:cs="Times New Roman"/>
          <w:sz w:val="24"/>
          <w:szCs w:val="24"/>
        </w:rPr>
        <w:t>When a DBE applies to another UCP for certification, procedures for interstate reciprocity apply. Under the IFR's implementation guidance, firms that are recertified in their Jurisdiction of Original Certification (JOC) must formally reapply for interstate certification in other states to maintain their multi-state footprint.</w:t>
      </w:r>
    </w:p>
    <w:p w:rsidR="008C03DF" w:rsidRPr="008C03DF" w:rsidP="008C03DF" w14:paraId="31EDEF4D" w14:textId="36C9CB41">
      <w:pPr>
        <w:rPr>
          <w:rFonts w:ascii="Times New Roman" w:hAnsi="Times New Roman" w:cs="Times New Roman"/>
          <w:sz w:val="24"/>
          <w:szCs w:val="24"/>
        </w:rPr>
      </w:pPr>
      <w:r w:rsidRPr="008C03DF">
        <w:rPr>
          <w:rFonts w:ascii="Times New Roman" w:hAnsi="Times New Roman" w:cs="Times New Roman"/>
          <w:sz w:val="24"/>
          <w:szCs w:val="24"/>
        </w:rPr>
        <w:t>Summary of Comments on Cost and Hour Burden on Interstate Certification:</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Commenters argued that the IFR effectively breaks the streamlined interstate reciprocity system, creating duplicative paperwork and lost revenue opportunities for multi-state firms. A women's procurement trade association (DOT-OST-2025-0897-0559) pointed out that requiring duplicative interstate reviews violates the spirit of the Small Business Paperwork Relief Act by forcing small businesses to litigate their personal narratives across multiple jurisdictions. A small business consulting firm (DOT-OST-2025-0897-0277) emphasized that small businesses have already invested hundreds of hours navigating complex multi-state certifications. The added requirement to reapply for interstate certification after a home-state reevaluation dramatically increases their administrative workload. A construction materials supplier (DOT-OST-2025-0897-0254) similarly stated that the timeline for individualized narrative preparation is especially burdensome for small, multi-state DBEs that must coordinate compliance across several DOT agencies simultaneously, which massively disrupts ongoing interstate projects.</w:t>
      </w:r>
    </w:p>
    <w:p w:rsidR="008C03DF" w:rsidRPr="008C03DF" w:rsidP="008C03DF" w14:paraId="10022954" w14:textId="76874956">
      <w:pPr>
        <w:rPr>
          <w:rFonts w:ascii="Times New Roman" w:hAnsi="Times New Roman" w:cs="Times New Roman"/>
          <w:sz w:val="24"/>
          <w:szCs w:val="24"/>
        </w:rPr>
      </w:pPr>
      <w:r w:rsidRPr="008C03DF">
        <w:rPr>
          <w:rFonts w:ascii="Times New Roman" w:hAnsi="Times New Roman" w:cs="Times New Roman"/>
          <w:sz w:val="24"/>
          <w:szCs w:val="24"/>
        </w:rPr>
        <w:t>DOT Response:</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The Department maintains that UCPs are only required to reevaluate the certifications of DBEs for which they are the JOC. The requirement for a firm to reapply for interstate certification ensures that the receiving state can adequately verify that the new individualized disadvantage standard has been met. This is a one-time transitional burden necessary for programmatic integrity.</w:t>
      </w:r>
    </w:p>
    <w:p w:rsidR="008C03DF" w:rsidRPr="008C03DF" w:rsidP="008C03DF" w14:paraId="3DF83283" w14:textId="77777777">
      <w:pPr>
        <w:rPr>
          <w:rFonts w:ascii="Times New Roman" w:hAnsi="Times New Roman" w:cs="Times New Roman"/>
          <w:sz w:val="24"/>
          <w:szCs w:val="24"/>
        </w:rPr>
      </w:pPr>
      <w:r w:rsidRPr="008C03DF">
        <w:rPr>
          <w:rFonts w:ascii="Times New Roman" w:hAnsi="Times New Roman" w:cs="Times New Roman"/>
          <w:b/>
          <w:bCs/>
          <w:sz w:val="24"/>
          <w:szCs w:val="24"/>
        </w:rPr>
        <w:t>DOT Rule on the Bidders’ List (Active Participants List) (§ 26.11(c))</w:t>
      </w:r>
    </w:p>
    <w:p w:rsidR="008C03DF" w:rsidRPr="008C03DF" w:rsidP="008C03DF" w14:paraId="75B6B1DD" w14:textId="77777777">
      <w:pPr>
        <w:rPr>
          <w:rFonts w:ascii="Times New Roman" w:hAnsi="Times New Roman" w:cs="Times New Roman"/>
          <w:sz w:val="24"/>
          <w:szCs w:val="24"/>
        </w:rPr>
      </w:pPr>
      <w:r w:rsidRPr="008C03DF">
        <w:rPr>
          <w:rFonts w:ascii="Times New Roman" w:hAnsi="Times New Roman" w:cs="Times New Roman"/>
          <w:sz w:val="24"/>
          <w:szCs w:val="24"/>
        </w:rPr>
        <w:t>The IFR requires recipients to continue collecting bidders list information from all DBE and non-DBE contractors and subcontractors, including NAICS codes and gross receipts, but eliminates the requirement to collect the majority owner's race and sex.</w:t>
      </w:r>
    </w:p>
    <w:p w:rsidR="008C03DF" w:rsidRPr="008C03DF" w:rsidP="008C03DF" w14:paraId="7CD26929" w14:textId="3F156872">
      <w:pPr>
        <w:rPr>
          <w:rFonts w:ascii="Times New Roman" w:hAnsi="Times New Roman" w:cs="Times New Roman"/>
          <w:sz w:val="24"/>
          <w:szCs w:val="24"/>
        </w:rPr>
      </w:pPr>
      <w:r w:rsidRPr="008C03DF">
        <w:rPr>
          <w:rFonts w:ascii="Times New Roman" w:hAnsi="Times New Roman" w:cs="Times New Roman"/>
          <w:sz w:val="24"/>
          <w:szCs w:val="24"/>
        </w:rPr>
        <w:t>Summary of Comments on Cost and Hour Burden on the Bidders' List:</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 xml:space="preserve">Stakeholders requested a pause on these data collection requirements, citing excessive compliance costs, cybersecurity risks, and administrative waste. A national construction trade association (DOT-OST-2025-0897-0553) noted that collecting every subcontractor quote at bid time is highly difficult and inherently duplicative, as subcontractors quote multiple prime contractors. They recommended pausing this paperwork burden until UCP reevaluations are complete and the federal database is fully operational. A transportation builders association (DOT-OST-2025-0897-0627) urged a pause on the mandate to collect all quotes at the time of bid, noting that one prime contractor had </w:t>
      </w:r>
      <w:r w:rsidRPr="008C03DF">
        <w:rPr>
          <w:rFonts w:ascii="Times New Roman" w:hAnsi="Times New Roman" w:cs="Times New Roman"/>
          <w:sz w:val="24"/>
          <w:szCs w:val="24"/>
        </w:rPr>
        <w:t>to submit 767 additional data points for a single $1 million project, which represents a massive waste of resources. A rural state department of transportation (DOT-OST-2025-0897-0504) pointed out that rural states lack the automated data systems required to collect, store, and manually verify gross receipts and NAICS codes for every bidder, creating an unmanageable administrative burden for state staff.</w:t>
      </w:r>
    </w:p>
    <w:p w:rsidR="008C03DF" w:rsidRPr="008C03DF" w:rsidP="008C03DF" w14:paraId="2F195018" w14:textId="3354AF29">
      <w:pPr>
        <w:rPr>
          <w:rFonts w:ascii="Times New Roman" w:hAnsi="Times New Roman" w:cs="Times New Roman"/>
          <w:sz w:val="24"/>
          <w:szCs w:val="24"/>
        </w:rPr>
      </w:pPr>
      <w:r w:rsidRPr="008C03DF">
        <w:rPr>
          <w:rFonts w:ascii="Times New Roman" w:hAnsi="Times New Roman" w:cs="Times New Roman"/>
          <w:sz w:val="24"/>
          <w:szCs w:val="24"/>
        </w:rPr>
        <w:t>DOT Response:</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The Department estimates that recipients will ultimately experience a reduced burden in implementing § 26.11 due to the elimination of race- and sex-based reporting requirements. Once the Department completes the development of a centralized, searchable database, recipients will be able to seamlessly enter the required information with minimal additional burden.</w:t>
      </w:r>
    </w:p>
    <w:p w:rsidR="008C03DF" w:rsidRPr="008C03DF" w:rsidP="008C03DF" w14:paraId="7922687B" w14:textId="77777777">
      <w:pPr>
        <w:rPr>
          <w:rFonts w:ascii="Times New Roman" w:hAnsi="Times New Roman" w:cs="Times New Roman"/>
          <w:sz w:val="24"/>
          <w:szCs w:val="24"/>
        </w:rPr>
      </w:pPr>
      <w:r w:rsidRPr="008C03DF">
        <w:rPr>
          <w:rFonts w:ascii="Times New Roman" w:hAnsi="Times New Roman" w:cs="Times New Roman"/>
          <w:b/>
          <w:bCs/>
          <w:sz w:val="24"/>
          <w:szCs w:val="24"/>
        </w:rPr>
        <w:t>DOT Rule on the List of ACDBE Certified Firms (§ 23.27)</w:t>
      </w:r>
    </w:p>
    <w:p w:rsidR="008C03DF" w:rsidRPr="008C03DF" w:rsidP="008C03DF" w14:paraId="380F26A1" w14:textId="77777777">
      <w:pPr>
        <w:rPr>
          <w:rFonts w:ascii="Times New Roman" w:hAnsi="Times New Roman" w:cs="Times New Roman"/>
          <w:sz w:val="24"/>
          <w:szCs w:val="24"/>
        </w:rPr>
      </w:pPr>
      <w:r w:rsidRPr="008C03DF">
        <w:rPr>
          <w:rFonts w:ascii="Times New Roman" w:hAnsi="Times New Roman" w:cs="Times New Roman"/>
          <w:sz w:val="24"/>
          <w:szCs w:val="24"/>
        </w:rPr>
        <w:t>The IFR updates reporting and recordkeeping requirements for the ACDBE program to remove race- and sex-based data collections and requires structural overhauls to existing airport concession programs and their certified firm directories.</w:t>
      </w:r>
    </w:p>
    <w:p w:rsidR="008C03DF" w:rsidRPr="008C03DF" w:rsidP="008C03DF" w14:paraId="3849B05A" w14:textId="52D09840">
      <w:pPr>
        <w:rPr>
          <w:rFonts w:ascii="Times New Roman" w:hAnsi="Times New Roman" w:cs="Times New Roman"/>
          <w:sz w:val="24"/>
          <w:szCs w:val="24"/>
        </w:rPr>
      </w:pPr>
      <w:r w:rsidRPr="008C03DF">
        <w:rPr>
          <w:rFonts w:ascii="Times New Roman" w:hAnsi="Times New Roman" w:cs="Times New Roman"/>
          <w:sz w:val="24"/>
          <w:szCs w:val="24"/>
        </w:rPr>
        <w:t>Summary of Comments on Cost and Hour Burden on ACDBE Certified Firms:</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Airports and concessionaires noted general confusion regarding surviving reporting obligations and the administrative strain of overhauling ACDBE directories. A car rental trade association (DOT-OST-2025-0897-0550) highlighted ambiguity for airport concessionaires, specifically requesting clarification from the FAA on what ACDBE reporting obligations, including those uniquely required by contract, remain in effect following the goal suspension to avoid wasted compliance costs and redundant legal reviews. An airport industry council (DOT-OST-2025-0897-0516) requested that DOT provide further guidance, including templates, for recipients to use in revising their ACDBE programs to minimize the administrative strain of overhauling the nation's 3,500 ACDBE certifications.</w:t>
      </w:r>
    </w:p>
    <w:p w:rsidR="008C03DF" w:rsidRPr="008C03DF" w:rsidP="008C03DF" w14:paraId="7DFF3991" w14:textId="276DBFB8">
      <w:pPr>
        <w:rPr>
          <w:rFonts w:ascii="Times New Roman" w:hAnsi="Times New Roman" w:cs="Times New Roman"/>
          <w:sz w:val="24"/>
          <w:szCs w:val="24"/>
        </w:rPr>
      </w:pPr>
      <w:r w:rsidRPr="008C03DF">
        <w:rPr>
          <w:rFonts w:ascii="Times New Roman" w:hAnsi="Times New Roman" w:cs="Times New Roman"/>
          <w:sz w:val="24"/>
          <w:szCs w:val="24"/>
        </w:rPr>
        <w:t>DOT Response:</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To ensure a level playing field, the Department requires each UCP to reevaluate any currently certified ACDBE. The Department will issue further guidance and updated forms to assist airport sponsors in navigating these updates with minimal operational disruption and cost.</w:t>
      </w:r>
    </w:p>
    <w:p w:rsidR="008C03DF" w:rsidRPr="008C03DF" w:rsidP="008C03DF" w14:paraId="43507DD1" w14:textId="77777777">
      <w:pPr>
        <w:rPr>
          <w:rFonts w:ascii="Times New Roman" w:hAnsi="Times New Roman" w:cs="Times New Roman"/>
          <w:sz w:val="24"/>
          <w:szCs w:val="24"/>
        </w:rPr>
      </w:pPr>
      <w:r w:rsidRPr="008C03DF">
        <w:rPr>
          <w:rFonts w:ascii="Times New Roman" w:hAnsi="Times New Roman" w:cs="Times New Roman"/>
          <w:b/>
          <w:bCs/>
          <w:sz w:val="24"/>
          <w:szCs w:val="24"/>
        </w:rPr>
        <w:t>DOT Rule on MAP-21 Reporting (§ 26.11(e))</w:t>
      </w:r>
    </w:p>
    <w:p w:rsidR="008C03DF" w:rsidRPr="008C03DF" w:rsidP="008C03DF" w14:paraId="01F7846F" w14:textId="77777777">
      <w:pPr>
        <w:rPr>
          <w:rFonts w:ascii="Times New Roman" w:hAnsi="Times New Roman" w:cs="Times New Roman"/>
          <w:sz w:val="24"/>
          <w:szCs w:val="24"/>
        </w:rPr>
      </w:pPr>
      <w:r w:rsidRPr="008C03DF">
        <w:rPr>
          <w:rFonts w:ascii="Times New Roman" w:hAnsi="Times New Roman" w:cs="Times New Roman"/>
          <w:sz w:val="24"/>
          <w:szCs w:val="24"/>
        </w:rPr>
        <w:t>The IFR eliminates the requirements in § 26.11(e)(1) through (e)(6) that recipients report and categorize the percentage of in-State and out-of-State DBE certifications by sex and ethnicity, as well as the number of applications for "individualized" determinations.</w:t>
      </w:r>
    </w:p>
    <w:p w:rsidR="008C03DF" w:rsidRPr="008C03DF" w:rsidP="008C03DF" w14:paraId="0FA05112" w14:textId="3860C1F9">
      <w:pPr>
        <w:rPr>
          <w:rFonts w:ascii="Times New Roman" w:hAnsi="Times New Roman" w:cs="Times New Roman"/>
          <w:sz w:val="24"/>
          <w:szCs w:val="24"/>
        </w:rPr>
      </w:pPr>
      <w:r w:rsidRPr="008C03DF">
        <w:rPr>
          <w:rFonts w:ascii="Times New Roman" w:hAnsi="Times New Roman" w:cs="Times New Roman"/>
          <w:sz w:val="24"/>
          <w:szCs w:val="24"/>
        </w:rPr>
        <w:t>Summary of Comments on Cost and Hour Burden on MAP-21 Reporting:</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 xml:space="preserve">Commenters noted that the IFR’s removal of race and gender presumptions creates transitional reporting confusion and renders statutory MAP-21 data collection effectively obsolete. A state department of transportation (DOT-OST-2025-0897-0603) questioned the ongoing utility and administrative cost of the MAP-21 reporting requirement. Because MAP-21 primarily captures race and ethnicity data, which the IFR removes from focus, the commenter asked how states should transition historic program data and whether DOT will issue new templates to avoid wasted state </w:t>
      </w:r>
      <w:r w:rsidRPr="008C03DF">
        <w:rPr>
          <w:rFonts w:ascii="Times New Roman" w:hAnsi="Times New Roman" w:cs="Times New Roman"/>
          <w:sz w:val="24"/>
          <w:szCs w:val="24"/>
        </w:rPr>
        <w:t>administrative effort. A local grant recipient (DOT-OST-2025-0897-0335) requested explicit confirmation from the Department that the IFR's elimination of the reporting requirements in § 26.11(e)(1) through (e)(6) means the MAP-21 report to USDOT is no longer required in its entirety.</w:t>
      </w:r>
    </w:p>
    <w:p w:rsidR="008C03DF" w:rsidRPr="008C03DF" w:rsidP="008C03DF" w14:paraId="1452E29B" w14:textId="0D88A84E">
      <w:pPr>
        <w:rPr>
          <w:rFonts w:ascii="Times New Roman" w:hAnsi="Times New Roman" w:cs="Times New Roman"/>
          <w:sz w:val="24"/>
          <w:szCs w:val="24"/>
        </w:rPr>
      </w:pPr>
      <w:r w:rsidRPr="008C03DF">
        <w:rPr>
          <w:rFonts w:ascii="Times New Roman" w:hAnsi="Times New Roman" w:cs="Times New Roman"/>
          <w:sz w:val="24"/>
          <w:szCs w:val="24"/>
        </w:rPr>
        <w:t>DOT Response:</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Because the IFR requires all owners</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to demonstrate social and economic disadvantage affirmatively without regard to race or sex, the previous MAP-21 reporting requirements regarding demographic data and individualized showings are rendered unnecessary and are eliminated. This directly relieves recipients of the administrative burden and staff hours previously required to track, categorize, and report this data.</w:t>
      </w:r>
    </w:p>
    <w:p w:rsidR="008C03DF" w:rsidRPr="008C03DF" w:rsidP="008C03DF" w14:paraId="4ACC0E3A" w14:textId="77777777">
      <w:pPr>
        <w:rPr>
          <w:rFonts w:ascii="Times New Roman" w:hAnsi="Times New Roman" w:cs="Times New Roman"/>
          <w:sz w:val="24"/>
          <w:szCs w:val="24"/>
        </w:rPr>
      </w:pPr>
      <w:r w:rsidRPr="008C03DF">
        <w:rPr>
          <w:rFonts w:ascii="Times New Roman" w:hAnsi="Times New Roman" w:cs="Times New Roman"/>
          <w:b/>
          <w:bCs/>
          <w:sz w:val="24"/>
          <w:szCs w:val="24"/>
        </w:rPr>
        <w:t>DOT Rule on the Uniform Report (§ 26.11(a))</w:t>
      </w:r>
    </w:p>
    <w:p w:rsidR="008C03DF" w:rsidRPr="008C03DF" w:rsidP="008C03DF" w14:paraId="114AB093" w14:textId="77777777">
      <w:pPr>
        <w:rPr>
          <w:rFonts w:ascii="Times New Roman" w:hAnsi="Times New Roman" w:cs="Times New Roman"/>
          <w:sz w:val="24"/>
          <w:szCs w:val="24"/>
        </w:rPr>
      </w:pPr>
      <w:r w:rsidRPr="008C03DF">
        <w:rPr>
          <w:rFonts w:ascii="Times New Roman" w:hAnsi="Times New Roman" w:cs="Times New Roman"/>
          <w:sz w:val="24"/>
          <w:szCs w:val="24"/>
        </w:rPr>
        <w:t>Recipients must submit a report on DBE participation containing all the information described in the Uniform Report. Under the IFR, recipients are not required to submit Uniform Reports until a new overall annual DBE goal is established following the completion of the reevaluation process.</w:t>
      </w:r>
    </w:p>
    <w:p w:rsidR="008C03DF" w:rsidRPr="008C03DF" w:rsidP="008C03DF" w14:paraId="7964A149" w14:textId="4EAD6AB0">
      <w:pPr>
        <w:rPr>
          <w:rFonts w:ascii="Times New Roman" w:hAnsi="Times New Roman" w:cs="Times New Roman"/>
          <w:sz w:val="24"/>
          <w:szCs w:val="24"/>
        </w:rPr>
      </w:pPr>
      <w:r w:rsidRPr="008C03DF">
        <w:rPr>
          <w:rFonts w:ascii="Times New Roman" w:hAnsi="Times New Roman" w:cs="Times New Roman"/>
          <w:sz w:val="24"/>
          <w:szCs w:val="24"/>
        </w:rPr>
        <w:t>Summary of Comments on Cost and Hour Burden on the Uniform Report:</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There is widespread confusion regarding whether the time and administrative cost required to compile Uniform Reports is still mandated during the program transition. A regional transit agency (DOT-OST-2025-0897-0588) sought clarification on whether they must still expend administrative resources to complete and submit a Shortfall Analysis for FY 2025 or the December 2025 Uniform Report while goal-setting is formally suspended. A local transportation district (DOT-OST-2025-0897-0567) explicitly questioned whether recipients are required to spend staff time completing the Uniform Report for DBE participation obtained between April 1 and September 30, 2025, given the rule's immediate effective date. A state department of transportation (DOT-OST-2025-0897-0603) sought similar clarification on whether Uniform Reports are required for the 2024-2025 Federal Fiscal Year, given that the IFR paused goal setting.</w:t>
      </w:r>
    </w:p>
    <w:p w:rsidR="008C03DF" w:rsidRPr="008C03DF" w:rsidP="008C03DF" w14:paraId="248C5BF7" w14:textId="6DE2BE2C">
      <w:pPr>
        <w:rPr>
          <w:rFonts w:ascii="Times New Roman" w:hAnsi="Times New Roman" w:cs="Times New Roman"/>
          <w:sz w:val="24"/>
          <w:szCs w:val="24"/>
        </w:rPr>
      </w:pPr>
      <w:r w:rsidRPr="008C03DF">
        <w:rPr>
          <w:rFonts w:ascii="Times New Roman" w:hAnsi="Times New Roman" w:cs="Times New Roman"/>
          <w:sz w:val="24"/>
          <w:szCs w:val="24"/>
        </w:rPr>
        <w:t>DOT Response:</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As stated in the Department's guidance, recipients are not required to submit Uniform Reports until the recipient has established a new overall annual DBE goal following the completion of the reevaluation process, saving recipients an estimated 29,502 burden hours annually during the suspension.</w:t>
      </w:r>
    </w:p>
    <w:p w:rsidR="008C03DF" w:rsidRPr="008C03DF" w:rsidP="008C03DF" w14:paraId="37B0E2AE" w14:textId="77777777">
      <w:pPr>
        <w:rPr>
          <w:rFonts w:ascii="Times New Roman" w:hAnsi="Times New Roman" w:cs="Times New Roman"/>
          <w:sz w:val="24"/>
          <w:szCs w:val="24"/>
        </w:rPr>
      </w:pPr>
      <w:r w:rsidRPr="008C03DF">
        <w:rPr>
          <w:rFonts w:ascii="Times New Roman" w:hAnsi="Times New Roman" w:cs="Times New Roman"/>
          <w:b/>
          <w:bCs/>
          <w:sz w:val="24"/>
          <w:szCs w:val="24"/>
        </w:rPr>
        <w:t>DOT Rule on Goal Setting (§ 26.45, 26.51)</w:t>
      </w:r>
    </w:p>
    <w:p w:rsidR="008C03DF" w:rsidRPr="008C03DF" w:rsidP="008C03DF" w14:paraId="17F4FFC9" w14:textId="77777777">
      <w:pPr>
        <w:rPr>
          <w:rFonts w:ascii="Times New Roman" w:hAnsi="Times New Roman" w:cs="Times New Roman"/>
          <w:sz w:val="24"/>
          <w:szCs w:val="24"/>
        </w:rPr>
      </w:pPr>
      <w:r w:rsidRPr="008C03DF">
        <w:rPr>
          <w:rFonts w:ascii="Times New Roman" w:hAnsi="Times New Roman" w:cs="Times New Roman"/>
          <w:sz w:val="24"/>
          <w:szCs w:val="24"/>
        </w:rPr>
        <w:t>The IFR adds § 26.51(h) to provide that until a UCP completes the reevaluation process described in § 26.111, a recipient covered by that UCP may not set any contract goals or count DBE participation toward existing goals.</w:t>
      </w:r>
    </w:p>
    <w:p w:rsidR="008C03DF" w:rsidRPr="008C03DF" w:rsidP="008C03DF" w14:paraId="2D057BF1" w14:textId="2EA68ED4">
      <w:pPr>
        <w:rPr>
          <w:rFonts w:ascii="Times New Roman" w:hAnsi="Times New Roman" w:cs="Times New Roman"/>
          <w:sz w:val="24"/>
          <w:szCs w:val="24"/>
        </w:rPr>
      </w:pPr>
      <w:r w:rsidRPr="008C03DF">
        <w:rPr>
          <w:rFonts w:ascii="Times New Roman" w:hAnsi="Times New Roman" w:cs="Times New Roman"/>
          <w:sz w:val="24"/>
          <w:szCs w:val="24"/>
        </w:rPr>
        <w:t>Summary of Comments on Cost and Hour Burden on Goal Setting:</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 xml:space="preserve">The immediate suspension of goal-setting is cited as a source of catastrophic financial loss for DBEs and a massive unbudgeted administrative strain for state agencies tasked with modifying procurements. A certified DBE supplier firm (DOT-OST-2025-0897-0624) reported losing out on nearly $2 million in anticipated contract revenue within just one month of the IFR's publication due to the immediate suspension of DBE goals by prime contractors. A professional engineering firm </w:t>
      </w:r>
      <w:r w:rsidRPr="008C03DF">
        <w:rPr>
          <w:rFonts w:ascii="Times New Roman" w:hAnsi="Times New Roman" w:cs="Times New Roman"/>
          <w:sz w:val="24"/>
          <w:szCs w:val="24"/>
        </w:rPr>
        <w:t>(DOT-OST-2025-0897-0428) reported losing $200,000 of planned design work immediately when a prime consultant no longer needed to meet participation goals and reclassified the work as optional. A port authority and grant recipient (DOT-OST-2025-0897-0569) pointed out that the immediate goal suspension required significant, unbudgeted administrative resources to answer contractor questions, develop internal policies, and revise or amend active procurements to comply with the IFR.</w:t>
      </w:r>
    </w:p>
    <w:p w:rsidR="008C03DF" w:rsidRPr="00941186" w:rsidP="008C03DF" w14:paraId="46708FB0" w14:textId="46C223C5">
      <w:pPr>
        <w:rPr>
          <w:rFonts w:ascii="Times New Roman" w:hAnsi="Times New Roman" w:cs="Times New Roman"/>
          <w:sz w:val="24"/>
          <w:szCs w:val="24"/>
        </w:rPr>
      </w:pPr>
      <w:r w:rsidRPr="008C03DF">
        <w:rPr>
          <w:rFonts w:ascii="Times New Roman" w:hAnsi="Times New Roman" w:cs="Times New Roman"/>
          <w:sz w:val="24"/>
          <w:szCs w:val="24"/>
        </w:rPr>
        <w:t>DOT Response:</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The IFR explicitly provides that until a UCP completes the reevaluation process, a recipient may not count any DBE participation toward goals. This provision ensures that existing DBEs do not continue to receive benefits as a result of an unconstitutional certification. Recipients are not required to update their overall goals until the UCP completes the process, ensuring fairness during the transition.</w:t>
      </w:r>
    </w:p>
    <w:p w:rsidR="00941186" w:rsidRPr="008C03DF" w:rsidP="008C03DF" w14:paraId="5CD44F48" w14:textId="77777777">
      <w:pPr>
        <w:rPr>
          <w:rFonts w:ascii="Times New Roman" w:hAnsi="Times New Roman" w:cs="Times New Roman"/>
          <w:sz w:val="24"/>
          <w:szCs w:val="24"/>
        </w:rPr>
      </w:pPr>
    </w:p>
    <w:p w:rsidR="008C03DF" w:rsidRPr="008C03DF" w:rsidP="008C03DF" w14:paraId="6745232F" w14:textId="77777777">
      <w:pPr>
        <w:rPr>
          <w:rFonts w:ascii="Times New Roman" w:hAnsi="Times New Roman" w:cs="Times New Roman"/>
          <w:sz w:val="24"/>
          <w:szCs w:val="24"/>
        </w:rPr>
      </w:pPr>
      <w:r w:rsidRPr="008C03DF">
        <w:rPr>
          <w:rFonts w:ascii="Times New Roman" w:hAnsi="Times New Roman" w:cs="Times New Roman"/>
          <w:b/>
          <w:bCs/>
          <w:sz w:val="24"/>
          <w:szCs w:val="24"/>
        </w:rPr>
        <w:t>DOT Rule on Disparity Studies (§ 26.45(c)(3))</w:t>
      </w:r>
    </w:p>
    <w:p w:rsidR="008C03DF" w:rsidRPr="008C03DF" w:rsidP="008C03DF" w14:paraId="6263B084" w14:textId="77777777">
      <w:pPr>
        <w:rPr>
          <w:rFonts w:ascii="Times New Roman" w:hAnsi="Times New Roman" w:cs="Times New Roman"/>
          <w:sz w:val="24"/>
          <w:szCs w:val="24"/>
        </w:rPr>
      </w:pPr>
      <w:r w:rsidRPr="008C03DF">
        <w:rPr>
          <w:rFonts w:ascii="Times New Roman" w:hAnsi="Times New Roman" w:cs="Times New Roman"/>
          <w:sz w:val="24"/>
          <w:szCs w:val="24"/>
        </w:rPr>
        <w:t>The IFR amends regulations to clarify that any disparity studies utilized by recipients in setting their goals must provide a "detailed capacity analysis," including the methodology used, to ensure goals include only ready, willing, and able DBEs.</w:t>
      </w:r>
    </w:p>
    <w:p w:rsidR="008C03DF" w:rsidRPr="008C03DF" w:rsidP="008C03DF" w14:paraId="2577AE1E" w14:textId="20E324B8">
      <w:pPr>
        <w:rPr>
          <w:rFonts w:ascii="Times New Roman" w:hAnsi="Times New Roman" w:cs="Times New Roman"/>
          <w:sz w:val="24"/>
          <w:szCs w:val="24"/>
        </w:rPr>
      </w:pPr>
      <w:r w:rsidRPr="008C03DF">
        <w:rPr>
          <w:rFonts w:ascii="Times New Roman" w:hAnsi="Times New Roman" w:cs="Times New Roman"/>
          <w:sz w:val="24"/>
          <w:szCs w:val="24"/>
        </w:rPr>
        <w:t>Summary of Comments on Cost and Hour Burden on Disparity Studies:</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The IFR's new requirements have created confusion regarding the financial validity and legal viability of existing disparity studies, representing a massive potential sunk cost. A state department of transportation (DOT-OST-2025-0897-0603) warned that the new detailed capacity analysis requirement creates confusion on whether currently completed or ongoing multi-million-dollar state disparity studies must be paused, rescoped, or discarded entirely before new goals can be set, costing states significant time and taxpayer money. A law and policy consulting firm specializing in disparity studies (DOT-OST-2025-0897-0599) noted that the IFR requires defining a capacity methodology which may invalidate prior expensive disparity studies without clear guidance, causing a significant waste of state funds, empirical research, and administrative effort. A regional transit agency (DOT-OST-2025-0897-0549) noted that their recent 2023 Disparity Study found statistically significant disparities, costing significant agency resources, yet the IFR fails to address how existing, valid disparity studies documenting structural inequities will be treated under the new framework.</w:t>
      </w:r>
    </w:p>
    <w:p w:rsidR="008C03DF" w:rsidRPr="008C03DF" w:rsidP="008C03DF" w14:paraId="7B5F7988" w14:textId="45046CC0">
      <w:pPr>
        <w:rPr>
          <w:rFonts w:ascii="Times New Roman" w:hAnsi="Times New Roman" w:cs="Times New Roman"/>
          <w:sz w:val="24"/>
          <w:szCs w:val="24"/>
        </w:rPr>
      </w:pPr>
      <w:r w:rsidRPr="008C03DF">
        <w:rPr>
          <w:rFonts w:ascii="Times New Roman" w:hAnsi="Times New Roman" w:cs="Times New Roman"/>
          <w:sz w:val="24"/>
          <w:szCs w:val="24"/>
        </w:rPr>
        <w:t>DOT Response:</w:t>
      </w:r>
      <w:r w:rsidRPr="00941186">
        <w:rPr>
          <w:rFonts w:ascii="Times New Roman" w:hAnsi="Times New Roman" w:cs="Times New Roman"/>
          <w:sz w:val="24"/>
          <w:szCs w:val="24"/>
        </w:rPr>
        <w:t xml:space="preserve"> </w:t>
      </w:r>
      <w:r w:rsidRPr="008C03DF">
        <w:rPr>
          <w:rFonts w:ascii="Times New Roman" w:hAnsi="Times New Roman" w:cs="Times New Roman"/>
          <w:sz w:val="24"/>
          <w:szCs w:val="24"/>
        </w:rPr>
        <w:t>The Department requires that disparity studies include detailed capacity analyses, which may necessitate additional economic modeling and data collection. While this requirement could increase the cost of producing disparity studies, estimated at $0.46 million annually, it is a necessary qualitative enhancement to ensure that overall goals reflect true market availability rather than unconstitutional presumptions.</w:t>
      </w:r>
    </w:p>
    <w:p w:rsidR="008C03DF" w:rsidRPr="00941186" w:rsidP="008C03DF" w14:paraId="2F720A25" w14:textId="77777777">
      <w:pPr>
        <w:rPr>
          <w:rFonts w:ascii="Times New Roman" w:hAnsi="Times New Roman" w:cs="Times New Roman"/>
          <w:b/>
          <w:bCs/>
          <w:sz w:val="24"/>
          <w:szCs w:val="24"/>
        </w:rPr>
      </w:pPr>
    </w:p>
    <w:p w:rsidR="008C03DF" w:rsidRPr="008C03DF" w:rsidP="008C03DF" w14:paraId="0869194A" w14:textId="649B289D">
      <w:pPr>
        <w:rPr>
          <w:rFonts w:ascii="Times New Roman" w:hAnsi="Times New Roman" w:cs="Times New Roman"/>
          <w:sz w:val="24"/>
          <w:szCs w:val="24"/>
        </w:rPr>
      </w:pPr>
      <w:r w:rsidRPr="008C03DF">
        <w:rPr>
          <w:rFonts w:ascii="Times New Roman" w:hAnsi="Times New Roman" w:cs="Times New Roman"/>
          <w:sz w:val="24"/>
          <w:szCs w:val="24"/>
        </w:rPr>
        <w:t>Below is the targeted list of PRA-relevant commenters, categorized by the specific regulatory topics they addressed:</w:t>
      </w:r>
    </w:p>
    <w:p w:rsidR="008C03DF" w:rsidRPr="008C03DF" w:rsidP="008C03DF" w14:paraId="42FBE3C8" w14:textId="77777777">
      <w:pPr>
        <w:rPr>
          <w:rFonts w:ascii="Times New Roman" w:hAnsi="Times New Roman" w:cs="Times New Roman"/>
          <w:sz w:val="24"/>
          <w:szCs w:val="24"/>
        </w:rPr>
      </w:pPr>
      <w:r w:rsidRPr="008C03DF">
        <w:rPr>
          <w:rFonts w:ascii="Times New Roman" w:hAnsi="Times New Roman" w:cs="Times New Roman"/>
          <w:b/>
          <w:bCs/>
          <w:sz w:val="24"/>
          <w:szCs w:val="24"/>
        </w:rPr>
        <w:t>1. Personal Narratives (Certification Narratives)</w:t>
      </w:r>
    </w:p>
    <w:p w:rsidR="008C03DF" w:rsidRPr="008C03DF" w:rsidP="008C03DF" w14:paraId="545E3676" w14:textId="77777777">
      <w:pPr>
        <w:rPr>
          <w:rFonts w:ascii="Times New Roman" w:hAnsi="Times New Roman" w:cs="Times New Roman"/>
          <w:sz w:val="24"/>
          <w:szCs w:val="24"/>
        </w:rPr>
      </w:pPr>
      <w:r w:rsidRPr="008C03DF">
        <w:rPr>
          <w:rFonts w:ascii="Times New Roman" w:hAnsi="Times New Roman" w:cs="Times New Roman"/>
          <w:i/>
          <w:iCs/>
          <w:sz w:val="24"/>
          <w:szCs w:val="24"/>
        </w:rPr>
        <w:t>These commenters explicitly cited the hourly burdens (e.g., 20 hours vs. 240–2,000 hours), consulting costs (e.g., up to $80,000), unbillable time, or directly referenced the Department's estimated $91.9 million / 820,000-hour paperwork burden.</w:t>
      </w:r>
    </w:p>
    <w:p w:rsidR="008C03DF" w:rsidRPr="008C03DF" w:rsidP="008C03DF" w14:paraId="3D5C3FA8" w14:textId="07D0684E">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Armand Resource Group, Inc.</w:t>
      </w:r>
      <w:r w:rsidRPr="008C03DF">
        <w:rPr>
          <w:rFonts w:ascii="Times New Roman" w:hAnsi="Times New Roman" w:cs="Times New Roman"/>
          <w:sz w:val="24"/>
          <w:szCs w:val="24"/>
        </w:rPr>
        <w:t xml:space="preserve"> (DOT-OST-2025-0897-0560) </w:t>
      </w:r>
    </w:p>
    <w:p w:rsidR="008C03DF" w:rsidRPr="008C03DF" w:rsidP="008C03DF" w14:paraId="1702F45D" w14:textId="5F66DA45">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Anonymous Policy Consultant</w:t>
      </w:r>
      <w:r w:rsidRPr="008C03DF">
        <w:rPr>
          <w:rFonts w:ascii="Times New Roman" w:hAnsi="Times New Roman" w:cs="Times New Roman"/>
          <w:sz w:val="24"/>
          <w:szCs w:val="24"/>
        </w:rPr>
        <w:t xml:space="preserve"> (DOT-OST-2025-0897-0011) </w:t>
      </w:r>
    </w:p>
    <w:p w:rsidR="008C03DF" w:rsidRPr="008C03DF" w:rsidP="008C03DF" w14:paraId="67654F93"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California Department of Transportation (Caltrans)</w:t>
      </w:r>
      <w:r w:rsidRPr="008C03DF">
        <w:rPr>
          <w:rFonts w:ascii="Times New Roman" w:hAnsi="Times New Roman" w:cs="Times New Roman"/>
          <w:sz w:val="24"/>
          <w:szCs w:val="24"/>
        </w:rPr>
        <w:t xml:space="preserve"> (DOT-OST-2025-0897-0416, -0603)</w:t>
      </w:r>
    </w:p>
    <w:p w:rsidR="008C03DF" w:rsidRPr="008C03DF" w:rsidP="008C03DF" w14:paraId="34AAB8A8"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EG&amp;R Engineering PC</w:t>
      </w:r>
      <w:r w:rsidRPr="008C03DF">
        <w:rPr>
          <w:rFonts w:ascii="Times New Roman" w:hAnsi="Times New Roman" w:cs="Times New Roman"/>
          <w:sz w:val="24"/>
          <w:szCs w:val="24"/>
        </w:rPr>
        <w:t xml:space="preserve"> (DOT-OST-2025-0897-0443)</w:t>
      </w:r>
    </w:p>
    <w:p w:rsidR="008C03DF" w:rsidRPr="008C03DF" w:rsidP="008C03DF" w14:paraId="147AE159"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CompCamp</w:t>
      </w:r>
      <w:r w:rsidRPr="008C03DF">
        <w:rPr>
          <w:rFonts w:ascii="Times New Roman" w:hAnsi="Times New Roman" w:cs="Times New Roman"/>
          <w:b/>
          <w:bCs/>
          <w:sz w:val="24"/>
          <w:szCs w:val="24"/>
        </w:rPr>
        <w:t>, Inc.</w:t>
      </w:r>
      <w:r w:rsidRPr="008C03DF">
        <w:rPr>
          <w:rFonts w:ascii="Times New Roman" w:hAnsi="Times New Roman" w:cs="Times New Roman"/>
          <w:sz w:val="24"/>
          <w:szCs w:val="24"/>
        </w:rPr>
        <w:t xml:space="preserve"> (DOT-OST-2025-0897-0376)</w:t>
      </w:r>
    </w:p>
    <w:p w:rsidR="008C03DF" w:rsidRPr="008C03DF" w:rsidP="008C03DF" w14:paraId="4923BE6A"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DBE Alliance</w:t>
      </w:r>
      <w:r w:rsidRPr="008C03DF">
        <w:rPr>
          <w:rFonts w:ascii="Times New Roman" w:hAnsi="Times New Roman" w:cs="Times New Roman"/>
          <w:sz w:val="24"/>
          <w:szCs w:val="24"/>
        </w:rPr>
        <w:t xml:space="preserve"> (DOT-OST-2025-0897-0605)</w:t>
      </w:r>
    </w:p>
    <w:p w:rsidR="008C03DF" w:rsidRPr="008C03DF" w:rsidP="008C03DF" w14:paraId="7B4CD35A"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Marie Staub / WBE Products</w:t>
      </w:r>
      <w:r w:rsidRPr="008C03DF">
        <w:rPr>
          <w:rFonts w:ascii="Times New Roman" w:hAnsi="Times New Roman" w:cs="Times New Roman"/>
          <w:sz w:val="24"/>
          <w:szCs w:val="24"/>
        </w:rPr>
        <w:t xml:space="preserve"> (DOT-OST-2025-0897-0638)</w:t>
      </w:r>
    </w:p>
    <w:p w:rsidR="008C03DF" w:rsidRPr="008C03DF" w:rsidP="008C03DF" w14:paraId="4D5524A5"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Talson</w:t>
      </w:r>
      <w:r w:rsidRPr="008C03DF">
        <w:rPr>
          <w:rFonts w:ascii="Times New Roman" w:hAnsi="Times New Roman" w:cs="Times New Roman"/>
          <w:b/>
          <w:bCs/>
          <w:sz w:val="24"/>
          <w:szCs w:val="24"/>
        </w:rPr>
        <w:t xml:space="preserve"> Solutions, LLC</w:t>
      </w:r>
      <w:r w:rsidRPr="008C03DF">
        <w:rPr>
          <w:rFonts w:ascii="Times New Roman" w:hAnsi="Times New Roman" w:cs="Times New Roman"/>
          <w:sz w:val="24"/>
          <w:szCs w:val="24"/>
        </w:rPr>
        <w:t xml:space="preserve"> (DOT-OST-2025-0897-0459)</w:t>
      </w:r>
    </w:p>
    <w:p w:rsidR="008C03DF" w:rsidRPr="008C03DF" w:rsidP="008C03DF" w14:paraId="566BBF02"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Priority Group, Inc.</w:t>
      </w:r>
      <w:r w:rsidRPr="008C03DF">
        <w:rPr>
          <w:rFonts w:ascii="Times New Roman" w:hAnsi="Times New Roman" w:cs="Times New Roman"/>
          <w:sz w:val="24"/>
          <w:szCs w:val="24"/>
        </w:rPr>
        <w:t xml:space="preserve"> (DOT-OST-2025-0897-0384)</w:t>
      </w:r>
    </w:p>
    <w:p w:rsidR="008C03DF" w:rsidRPr="008C03DF" w:rsidP="008C03DF" w14:paraId="7E8B8D3C"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TechProc</w:t>
      </w:r>
      <w:r w:rsidRPr="008C03DF">
        <w:rPr>
          <w:rFonts w:ascii="Times New Roman" w:hAnsi="Times New Roman" w:cs="Times New Roman"/>
          <w:sz w:val="24"/>
          <w:szCs w:val="24"/>
        </w:rPr>
        <w:t xml:space="preserve"> (DOT-OST-2025-0897-0546)</w:t>
      </w:r>
    </w:p>
    <w:p w:rsidR="008C03DF" w:rsidRPr="008C03DF" w:rsidP="008C03DF" w14:paraId="4AB62B03"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Toll International LLC</w:t>
      </w:r>
      <w:r w:rsidRPr="008C03DF">
        <w:rPr>
          <w:rFonts w:ascii="Times New Roman" w:hAnsi="Times New Roman" w:cs="Times New Roman"/>
          <w:sz w:val="24"/>
          <w:szCs w:val="24"/>
        </w:rPr>
        <w:t xml:space="preserve"> (DOT-OST-2025-0897-0536)</w:t>
      </w:r>
    </w:p>
    <w:p w:rsidR="008C03DF" w:rsidRPr="008C03DF" w:rsidP="008C03DF" w14:paraId="499CE170"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SGH Welding Company, LLC</w:t>
      </w:r>
      <w:r w:rsidRPr="008C03DF">
        <w:rPr>
          <w:rFonts w:ascii="Times New Roman" w:hAnsi="Times New Roman" w:cs="Times New Roman"/>
          <w:sz w:val="24"/>
          <w:szCs w:val="24"/>
        </w:rPr>
        <w:t xml:space="preserve"> (DOT-OST-2025-0897-0423)</w:t>
      </w:r>
    </w:p>
    <w:p w:rsidR="008C03DF" w:rsidRPr="008C03DF" w:rsidP="008C03DF" w14:paraId="22816D3E"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Information Design Consultants Inc. (IDCI)</w:t>
      </w:r>
      <w:r w:rsidRPr="008C03DF">
        <w:rPr>
          <w:rFonts w:ascii="Times New Roman" w:hAnsi="Times New Roman" w:cs="Times New Roman"/>
          <w:sz w:val="24"/>
          <w:szCs w:val="24"/>
        </w:rPr>
        <w:t xml:space="preserve"> (DOT-OST-2025-0897-0398)</w:t>
      </w:r>
    </w:p>
    <w:p w:rsidR="008C03DF" w:rsidRPr="008C03DF" w:rsidP="008C03DF" w14:paraId="5A48980C"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Dikita</w:t>
      </w:r>
      <w:r w:rsidRPr="008C03DF">
        <w:rPr>
          <w:rFonts w:ascii="Times New Roman" w:hAnsi="Times New Roman" w:cs="Times New Roman"/>
          <w:b/>
          <w:bCs/>
          <w:sz w:val="24"/>
          <w:szCs w:val="24"/>
        </w:rPr>
        <w:t xml:space="preserve"> Enterprises, Inc.</w:t>
      </w:r>
      <w:r w:rsidRPr="008C03DF">
        <w:rPr>
          <w:rFonts w:ascii="Times New Roman" w:hAnsi="Times New Roman" w:cs="Times New Roman"/>
          <w:sz w:val="24"/>
          <w:szCs w:val="24"/>
        </w:rPr>
        <w:t xml:space="preserve"> (DOT-OST-2025-0897-0389)</w:t>
      </w:r>
    </w:p>
    <w:p w:rsidR="008C03DF" w:rsidRPr="008C03DF" w:rsidP="008C03DF" w14:paraId="2DFDEADD"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Cole Partners Inc.</w:t>
      </w:r>
      <w:r w:rsidRPr="008C03DF">
        <w:rPr>
          <w:rFonts w:ascii="Times New Roman" w:hAnsi="Times New Roman" w:cs="Times New Roman"/>
          <w:sz w:val="24"/>
          <w:szCs w:val="24"/>
        </w:rPr>
        <w:t xml:space="preserve"> (DOT-OST-2025-0897-0488)</w:t>
      </w:r>
    </w:p>
    <w:p w:rsidR="008C03DF" w:rsidRPr="008C03DF" w:rsidP="008C03DF" w14:paraId="0127E659"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William G. Moore &amp; Son Inc.</w:t>
      </w:r>
      <w:r w:rsidRPr="008C03DF">
        <w:rPr>
          <w:rFonts w:ascii="Times New Roman" w:hAnsi="Times New Roman" w:cs="Times New Roman"/>
          <w:sz w:val="24"/>
          <w:szCs w:val="24"/>
        </w:rPr>
        <w:t xml:space="preserve"> (DOT-OST-2025-0897-0502)</w:t>
      </w:r>
    </w:p>
    <w:p w:rsidR="008C03DF" w:rsidRPr="008C03DF" w:rsidP="008C03DF" w14:paraId="72BC9170"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AMG Demolition Inc.</w:t>
      </w:r>
      <w:r w:rsidRPr="008C03DF">
        <w:rPr>
          <w:rFonts w:ascii="Times New Roman" w:hAnsi="Times New Roman" w:cs="Times New Roman"/>
          <w:sz w:val="24"/>
          <w:szCs w:val="24"/>
        </w:rPr>
        <w:t xml:space="preserve"> (DOT-OST-2025-0897-0496)</w:t>
      </w:r>
    </w:p>
    <w:p w:rsidR="008C03DF" w:rsidRPr="008C03DF" w:rsidP="008C03DF" w14:paraId="47245CDD" w14:textId="7FA7D4C9">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Pure+Applied</w:t>
      </w:r>
      <w:r w:rsidRPr="008C03DF">
        <w:rPr>
          <w:rFonts w:ascii="Times New Roman" w:hAnsi="Times New Roman" w:cs="Times New Roman"/>
          <w:b/>
          <w:bCs/>
          <w:sz w:val="24"/>
          <w:szCs w:val="24"/>
        </w:rPr>
        <w:t xml:space="preserve"> </w:t>
      </w:r>
      <w:r w:rsidRPr="008C03DF">
        <w:rPr>
          <w:rFonts w:ascii="Times New Roman" w:hAnsi="Times New Roman" w:cs="Times New Roman"/>
          <w:sz w:val="24"/>
          <w:szCs w:val="24"/>
        </w:rPr>
        <w:t>(DOT-OST-2025-0897-0497)</w:t>
      </w:r>
    </w:p>
    <w:p w:rsidR="008C03DF" w:rsidRPr="008C03DF" w:rsidP="008C03DF" w14:paraId="590B744F"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KAG Engineering, PLLC</w:t>
      </w:r>
      <w:r w:rsidRPr="008C03DF">
        <w:rPr>
          <w:rFonts w:ascii="Times New Roman" w:hAnsi="Times New Roman" w:cs="Times New Roman"/>
          <w:sz w:val="24"/>
          <w:szCs w:val="24"/>
        </w:rPr>
        <w:t xml:space="preserve"> (DOT-OST-2025-0897-0500)</w:t>
      </w:r>
    </w:p>
    <w:p w:rsidR="008C03DF" w:rsidRPr="008C03DF" w:rsidP="008C03DF" w14:paraId="2779D55D"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Azar Design Co.</w:t>
      </w:r>
      <w:r w:rsidRPr="008C03DF">
        <w:rPr>
          <w:rFonts w:ascii="Times New Roman" w:hAnsi="Times New Roman" w:cs="Times New Roman"/>
          <w:sz w:val="24"/>
          <w:szCs w:val="24"/>
        </w:rPr>
        <w:t xml:space="preserve"> (DOT-OST-2025-0897-0594)</w:t>
      </w:r>
    </w:p>
    <w:p w:rsidR="008C03DF" w:rsidRPr="008C03DF" w:rsidP="008C03DF" w14:paraId="07FB2263" w14:textId="44FBF1A0">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 xml:space="preserve">Construction Clean Up Company </w:t>
      </w:r>
      <w:r w:rsidRPr="008C03DF">
        <w:rPr>
          <w:rFonts w:ascii="Times New Roman" w:hAnsi="Times New Roman" w:cs="Times New Roman"/>
          <w:sz w:val="24"/>
          <w:szCs w:val="24"/>
        </w:rPr>
        <w:t>(DOT-OST-2025-0897-0486)</w:t>
      </w:r>
    </w:p>
    <w:p w:rsidR="008C03DF" w:rsidRPr="008C03DF" w:rsidP="008C03DF" w14:paraId="4862DC06" w14:textId="77777777">
      <w:pPr>
        <w:numPr>
          <w:ilvl w:val="0"/>
          <w:numId w:val="1"/>
        </w:numPr>
        <w:rPr>
          <w:rFonts w:ascii="Times New Roman" w:hAnsi="Times New Roman" w:cs="Times New Roman"/>
          <w:sz w:val="24"/>
          <w:szCs w:val="24"/>
        </w:rPr>
      </w:pPr>
      <w:r w:rsidRPr="008C03DF">
        <w:rPr>
          <w:rFonts w:ascii="Times New Roman" w:hAnsi="Times New Roman" w:cs="Times New Roman"/>
          <w:b/>
          <w:bCs/>
          <w:sz w:val="24"/>
          <w:szCs w:val="24"/>
        </w:rPr>
        <w:t>Iconic Consulting Group, Inc. and employees</w:t>
      </w:r>
      <w:r w:rsidRPr="008C03DF">
        <w:rPr>
          <w:rFonts w:ascii="Times New Roman" w:hAnsi="Times New Roman" w:cs="Times New Roman"/>
          <w:sz w:val="24"/>
          <w:szCs w:val="24"/>
        </w:rPr>
        <w:t xml:space="preserve"> </w:t>
      </w:r>
      <w:r w:rsidRPr="008C03DF">
        <w:rPr>
          <w:rFonts w:ascii="Times New Roman" w:hAnsi="Times New Roman" w:cs="Times New Roman"/>
          <w:i/>
          <w:iCs/>
          <w:sz w:val="24"/>
          <w:szCs w:val="24"/>
        </w:rPr>
        <w:t>(Multiple IDs including -0579, -0580, -0578, -0538, -0479, -0447, -0392, -0354)</w:t>
      </w:r>
    </w:p>
    <w:p w:rsidR="008C03DF" w:rsidRPr="008C03DF" w:rsidP="008C03DF" w14:paraId="139FA487" w14:textId="77777777">
      <w:pPr>
        <w:rPr>
          <w:rFonts w:ascii="Times New Roman" w:hAnsi="Times New Roman" w:cs="Times New Roman"/>
          <w:sz w:val="24"/>
          <w:szCs w:val="24"/>
        </w:rPr>
      </w:pPr>
    </w:p>
    <w:p w:rsidR="008C03DF" w:rsidRPr="008C03DF" w:rsidP="008C03DF" w14:paraId="6E779A6B" w14:textId="77777777">
      <w:pPr>
        <w:rPr>
          <w:rFonts w:ascii="Times New Roman" w:hAnsi="Times New Roman" w:cs="Times New Roman"/>
          <w:sz w:val="24"/>
          <w:szCs w:val="24"/>
        </w:rPr>
      </w:pPr>
      <w:r w:rsidRPr="008C03DF">
        <w:rPr>
          <w:rFonts w:ascii="Times New Roman" w:hAnsi="Times New Roman" w:cs="Times New Roman"/>
          <w:b/>
          <w:bCs/>
          <w:sz w:val="24"/>
          <w:szCs w:val="24"/>
        </w:rPr>
        <w:t>2. UCP Reevaluations (Recipient Reevaluations)</w:t>
      </w:r>
    </w:p>
    <w:p w:rsidR="008C03DF" w:rsidRPr="008C03DF" w:rsidP="008C03DF" w14:paraId="7D6BF0BB" w14:textId="77777777">
      <w:pPr>
        <w:rPr>
          <w:rFonts w:ascii="Times New Roman" w:hAnsi="Times New Roman" w:cs="Times New Roman"/>
          <w:sz w:val="24"/>
          <w:szCs w:val="24"/>
        </w:rPr>
      </w:pPr>
      <w:r w:rsidRPr="008C03DF">
        <w:rPr>
          <w:rFonts w:ascii="Times New Roman" w:hAnsi="Times New Roman" w:cs="Times New Roman"/>
          <w:i/>
          <w:iCs/>
          <w:sz w:val="24"/>
          <w:szCs w:val="24"/>
        </w:rPr>
        <w:t>These commenters highlighted the unfunded administrative mandate, staffing shortfalls, legal review costs, and the inadequacy of the Department’s estimated $3.4 million UCP cost burden.</w:t>
      </w:r>
    </w:p>
    <w:p w:rsidR="008C03DF" w:rsidRPr="008C03DF" w:rsidP="008C03DF" w14:paraId="30FF2B7F" w14:textId="77777777">
      <w:pPr>
        <w:numPr>
          <w:ilvl w:val="0"/>
          <w:numId w:val="2"/>
        </w:numPr>
        <w:rPr>
          <w:rFonts w:ascii="Times New Roman" w:hAnsi="Times New Roman" w:cs="Times New Roman"/>
          <w:sz w:val="24"/>
          <w:szCs w:val="24"/>
        </w:rPr>
      </w:pPr>
      <w:r w:rsidRPr="008C03DF">
        <w:rPr>
          <w:rFonts w:ascii="Times New Roman" w:hAnsi="Times New Roman" w:cs="Times New Roman"/>
          <w:b/>
          <w:bCs/>
          <w:sz w:val="24"/>
          <w:szCs w:val="24"/>
        </w:rPr>
        <w:t>American Public Transportation Association (APTA)</w:t>
      </w:r>
      <w:r w:rsidRPr="008C03DF">
        <w:rPr>
          <w:rFonts w:ascii="Times New Roman" w:hAnsi="Times New Roman" w:cs="Times New Roman"/>
          <w:sz w:val="24"/>
          <w:szCs w:val="24"/>
        </w:rPr>
        <w:t xml:space="preserve"> (DOT-OST-2025-0897-0541)</w:t>
      </w:r>
    </w:p>
    <w:p w:rsidR="008C03DF" w:rsidRPr="008C03DF" w:rsidP="008C03DF" w14:paraId="483480D3" w14:textId="77777777">
      <w:pPr>
        <w:numPr>
          <w:ilvl w:val="0"/>
          <w:numId w:val="2"/>
        </w:numPr>
        <w:rPr>
          <w:rFonts w:ascii="Times New Roman" w:hAnsi="Times New Roman" w:cs="Times New Roman"/>
          <w:sz w:val="24"/>
          <w:szCs w:val="24"/>
        </w:rPr>
      </w:pPr>
      <w:r w:rsidRPr="008C03DF">
        <w:rPr>
          <w:rFonts w:ascii="Times New Roman" w:hAnsi="Times New Roman" w:cs="Times New Roman"/>
          <w:b/>
          <w:bCs/>
          <w:sz w:val="24"/>
          <w:szCs w:val="24"/>
        </w:rPr>
        <w:t>American Association of State Highway and Transportation Officials (AASHTO)</w:t>
      </w:r>
      <w:r w:rsidRPr="008C03DF">
        <w:rPr>
          <w:rFonts w:ascii="Times New Roman" w:hAnsi="Times New Roman" w:cs="Times New Roman"/>
          <w:sz w:val="24"/>
          <w:szCs w:val="24"/>
        </w:rPr>
        <w:t xml:space="preserve"> (DOT-OST-2025-0897-0426)</w:t>
      </w:r>
    </w:p>
    <w:p w:rsidR="008C03DF" w:rsidRPr="008C03DF" w:rsidP="008C03DF" w14:paraId="213F08C1" w14:textId="77777777">
      <w:pPr>
        <w:numPr>
          <w:ilvl w:val="0"/>
          <w:numId w:val="2"/>
        </w:numPr>
        <w:rPr>
          <w:rFonts w:ascii="Times New Roman" w:hAnsi="Times New Roman" w:cs="Times New Roman"/>
          <w:sz w:val="24"/>
          <w:szCs w:val="24"/>
        </w:rPr>
      </w:pPr>
      <w:r w:rsidRPr="008C03DF">
        <w:rPr>
          <w:rFonts w:ascii="Times New Roman" w:hAnsi="Times New Roman" w:cs="Times New Roman"/>
          <w:b/>
          <w:bCs/>
          <w:sz w:val="24"/>
          <w:szCs w:val="24"/>
        </w:rPr>
        <w:t>California Department of Transportation (Caltrans)</w:t>
      </w:r>
      <w:r w:rsidRPr="008C03DF">
        <w:rPr>
          <w:rFonts w:ascii="Times New Roman" w:hAnsi="Times New Roman" w:cs="Times New Roman"/>
          <w:sz w:val="24"/>
          <w:szCs w:val="24"/>
        </w:rPr>
        <w:t xml:space="preserve"> (DOT-OST-2025-0897-0416, -0603)</w:t>
      </w:r>
    </w:p>
    <w:p w:rsidR="008C03DF" w:rsidRPr="008C03DF" w:rsidP="008C03DF" w14:paraId="0A3F8F63" w14:textId="77777777">
      <w:pPr>
        <w:numPr>
          <w:ilvl w:val="0"/>
          <w:numId w:val="2"/>
        </w:numPr>
        <w:rPr>
          <w:rFonts w:ascii="Times New Roman" w:hAnsi="Times New Roman" w:cs="Times New Roman"/>
          <w:sz w:val="24"/>
          <w:szCs w:val="24"/>
        </w:rPr>
      </w:pPr>
      <w:r w:rsidRPr="008C03DF">
        <w:rPr>
          <w:rFonts w:ascii="Times New Roman" w:hAnsi="Times New Roman" w:cs="Times New Roman"/>
          <w:b/>
          <w:bCs/>
          <w:sz w:val="24"/>
          <w:szCs w:val="24"/>
        </w:rPr>
        <w:t>South Dakota Department of Transportation (SDDOT)</w:t>
      </w:r>
      <w:r w:rsidRPr="008C03DF">
        <w:rPr>
          <w:rFonts w:ascii="Times New Roman" w:hAnsi="Times New Roman" w:cs="Times New Roman"/>
          <w:sz w:val="24"/>
          <w:szCs w:val="24"/>
        </w:rPr>
        <w:t xml:space="preserve"> (DOT-OST-2025-0897-0504)</w:t>
      </w:r>
    </w:p>
    <w:p w:rsidR="008C03DF" w:rsidRPr="008C03DF" w:rsidP="008C03DF" w14:paraId="436C7014" w14:textId="77777777">
      <w:pPr>
        <w:numPr>
          <w:ilvl w:val="0"/>
          <w:numId w:val="2"/>
        </w:numPr>
        <w:rPr>
          <w:rFonts w:ascii="Times New Roman" w:hAnsi="Times New Roman" w:cs="Times New Roman"/>
          <w:sz w:val="24"/>
          <w:szCs w:val="24"/>
        </w:rPr>
      </w:pPr>
      <w:r w:rsidRPr="008C03DF">
        <w:rPr>
          <w:rFonts w:ascii="Times New Roman" w:hAnsi="Times New Roman" w:cs="Times New Roman"/>
          <w:b/>
          <w:bCs/>
          <w:sz w:val="24"/>
          <w:szCs w:val="24"/>
        </w:rPr>
        <w:t>Multnomah County</w:t>
      </w:r>
      <w:r w:rsidRPr="008C03DF">
        <w:rPr>
          <w:rFonts w:ascii="Times New Roman" w:hAnsi="Times New Roman" w:cs="Times New Roman"/>
          <w:sz w:val="24"/>
          <w:szCs w:val="24"/>
        </w:rPr>
        <w:t xml:space="preserve"> (DOT-OST-2025-0897-0625)</w:t>
      </w:r>
    </w:p>
    <w:p w:rsidR="008C03DF" w:rsidRPr="008C03DF" w:rsidP="008C03DF" w14:paraId="32148210" w14:textId="77777777">
      <w:pPr>
        <w:numPr>
          <w:ilvl w:val="0"/>
          <w:numId w:val="2"/>
        </w:numPr>
        <w:rPr>
          <w:rFonts w:ascii="Times New Roman" w:hAnsi="Times New Roman" w:cs="Times New Roman"/>
          <w:sz w:val="24"/>
          <w:szCs w:val="24"/>
        </w:rPr>
      </w:pPr>
      <w:r w:rsidRPr="008C03DF">
        <w:rPr>
          <w:rFonts w:ascii="Times New Roman" w:hAnsi="Times New Roman" w:cs="Times New Roman"/>
          <w:b/>
          <w:bCs/>
          <w:sz w:val="24"/>
          <w:szCs w:val="24"/>
        </w:rPr>
        <w:t>San Francisco Bay Area Rapid Transit District (BART)</w:t>
      </w:r>
      <w:r w:rsidRPr="008C03DF">
        <w:rPr>
          <w:rFonts w:ascii="Times New Roman" w:hAnsi="Times New Roman" w:cs="Times New Roman"/>
          <w:sz w:val="24"/>
          <w:szCs w:val="24"/>
        </w:rPr>
        <w:t xml:space="preserve"> (DOT-OST-2025-0897-0588)</w:t>
      </w:r>
    </w:p>
    <w:p w:rsidR="008C03DF" w:rsidRPr="008C03DF" w:rsidP="008C03DF" w14:paraId="57CE6EA3" w14:textId="77777777">
      <w:pPr>
        <w:numPr>
          <w:ilvl w:val="0"/>
          <w:numId w:val="2"/>
        </w:numPr>
        <w:rPr>
          <w:rFonts w:ascii="Times New Roman" w:hAnsi="Times New Roman" w:cs="Times New Roman"/>
          <w:sz w:val="24"/>
          <w:szCs w:val="24"/>
        </w:rPr>
      </w:pPr>
      <w:r w:rsidRPr="008C03DF">
        <w:rPr>
          <w:rFonts w:ascii="Times New Roman" w:hAnsi="Times New Roman" w:cs="Times New Roman"/>
          <w:b/>
          <w:bCs/>
          <w:sz w:val="24"/>
          <w:szCs w:val="24"/>
        </w:rPr>
        <w:t>Western Connecticut Council of Governments (</w:t>
      </w:r>
      <w:r w:rsidRPr="008C03DF">
        <w:rPr>
          <w:rFonts w:ascii="Times New Roman" w:hAnsi="Times New Roman" w:cs="Times New Roman"/>
          <w:b/>
          <w:bCs/>
          <w:sz w:val="24"/>
          <w:szCs w:val="24"/>
        </w:rPr>
        <w:t>WestCOG</w:t>
      </w:r>
      <w:r w:rsidRPr="008C03DF">
        <w:rPr>
          <w:rFonts w:ascii="Times New Roman" w:hAnsi="Times New Roman" w:cs="Times New Roman"/>
          <w:b/>
          <w:bCs/>
          <w:sz w:val="24"/>
          <w:szCs w:val="24"/>
        </w:rPr>
        <w:t>)</w:t>
      </w:r>
      <w:r w:rsidRPr="008C03DF">
        <w:rPr>
          <w:rFonts w:ascii="Times New Roman" w:hAnsi="Times New Roman" w:cs="Times New Roman"/>
          <w:sz w:val="24"/>
          <w:szCs w:val="24"/>
        </w:rPr>
        <w:t xml:space="preserve"> (DOT-OST-2025-0897-0563)</w:t>
      </w:r>
    </w:p>
    <w:p w:rsidR="008C03DF" w:rsidRPr="008C03DF" w:rsidP="008C03DF" w14:paraId="2577405A" w14:textId="77777777">
      <w:pPr>
        <w:numPr>
          <w:ilvl w:val="0"/>
          <w:numId w:val="2"/>
        </w:numPr>
        <w:rPr>
          <w:rFonts w:ascii="Times New Roman" w:hAnsi="Times New Roman" w:cs="Times New Roman"/>
          <w:sz w:val="24"/>
          <w:szCs w:val="24"/>
        </w:rPr>
      </w:pPr>
      <w:r w:rsidRPr="008C03DF">
        <w:rPr>
          <w:rFonts w:ascii="Times New Roman" w:hAnsi="Times New Roman" w:cs="Times New Roman"/>
          <w:b/>
          <w:bCs/>
          <w:sz w:val="24"/>
          <w:szCs w:val="24"/>
        </w:rPr>
        <w:t>City and County of San Francisco (Airport/SFMTA)</w:t>
      </w:r>
      <w:r w:rsidRPr="008C03DF">
        <w:rPr>
          <w:rFonts w:ascii="Times New Roman" w:hAnsi="Times New Roman" w:cs="Times New Roman"/>
          <w:sz w:val="24"/>
          <w:szCs w:val="24"/>
        </w:rPr>
        <w:t xml:space="preserve"> (DOT-OST-2025-0897-0511)</w:t>
      </w:r>
    </w:p>
    <w:p w:rsidR="008C03DF" w:rsidRPr="008C03DF" w:rsidP="008C03DF" w14:paraId="6AEC8E11" w14:textId="77777777">
      <w:pPr>
        <w:numPr>
          <w:ilvl w:val="0"/>
          <w:numId w:val="2"/>
        </w:numPr>
        <w:rPr>
          <w:rFonts w:ascii="Times New Roman" w:hAnsi="Times New Roman" w:cs="Times New Roman"/>
          <w:sz w:val="24"/>
          <w:szCs w:val="24"/>
        </w:rPr>
      </w:pPr>
      <w:r w:rsidRPr="008C03DF">
        <w:rPr>
          <w:rFonts w:ascii="Times New Roman" w:hAnsi="Times New Roman" w:cs="Times New Roman"/>
          <w:b/>
          <w:bCs/>
          <w:sz w:val="24"/>
          <w:szCs w:val="24"/>
        </w:rPr>
        <w:t>Armand Resource Group, Inc.</w:t>
      </w:r>
      <w:r w:rsidRPr="008C03DF">
        <w:rPr>
          <w:rFonts w:ascii="Times New Roman" w:hAnsi="Times New Roman" w:cs="Times New Roman"/>
          <w:sz w:val="24"/>
          <w:szCs w:val="24"/>
        </w:rPr>
        <w:t xml:space="preserve"> (DOT-OST-2025-0897-0560)</w:t>
      </w:r>
    </w:p>
    <w:p w:rsidR="008C03DF" w:rsidRPr="008C03DF" w:rsidP="008C03DF" w14:paraId="1013060F" w14:textId="77777777">
      <w:pPr>
        <w:numPr>
          <w:ilvl w:val="0"/>
          <w:numId w:val="2"/>
        </w:numPr>
        <w:rPr>
          <w:rFonts w:ascii="Times New Roman" w:hAnsi="Times New Roman" w:cs="Times New Roman"/>
          <w:sz w:val="24"/>
          <w:szCs w:val="24"/>
        </w:rPr>
      </w:pPr>
      <w:r w:rsidRPr="008C03DF">
        <w:rPr>
          <w:rFonts w:ascii="Times New Roman" w:hAnsi="Times New Roman" w:cs="Times New Roman"/>
          <w:b/>
          <w:bCs/>
          <w:sz w:val="24"/>
          <w:szCs w:val="24"/>
        </w:rPr>
        <w:t>Anonymous Policy Consultant</w:t>
      </w:r>
      <w:r w:rsidRPr="008C03DF">
        <w:rPr>
          <w:rFonts w:ascii="Times New Roman" w:hAnsi="Times New Roman" w:cs="Times New Roman"/>
          <w:sz w:val="24"/>
          <w:szCs w:val="24"/>
        </w:rPr>
        <w:t xml:space="preserve"> (DOT-OST-2025-0897-0011)</w:t>
      </w:r>
    </w:p>
    <w:p w:rsidR="008C03DF" w:rsidRPr="008C03DF" w:rsidP="008C03DF" w14:paraId="44DC25DF" w14:textId="77777777">
      <w:pPr>
        <w:rPr>
          <w:rFonts w:ascii="Times New Roman" w:hAnsi="Times New Roman" w:cs="Times New Roman"/>
          <w:sz w:val="24"/>
          <w:szCs w:val="24"/>
        </w:rPr>
      </w:pPr>
      <w:r w:rsidRPr="008C03DF">
        <w:rPr>
          <w:rFonts w:ascii="Times New Roman" w:hAnsi="Times New Roman" w:cs="Times New Roman"/>
          <w:b/>
          <w:bCs/>
          <w:sz w:val="24"/>
          <w:szCs w:val="24"/>
        </w:rPr>
        <w:t>3. Interstate Certification</w:t>
      </w:r>
    </w:p>
    <w:p w:rsidR="008C03DF" w:rsidRPr="008C03DF" w:rsidP="008C03DF" w14:paraId="4CA5AD3C" w14:textId="77777777">
      <w:pPr>
        <w:rPr>
          <w:rFonts w:ascii="Times New Roman" w:hAnsi="Times New Roman" w:cs="Times New Roman"/>
          <w:sz w:val="24"/>
          <w:szCs w:val="24"/>
        </w:rPr>
      </w:pPr>
      <w:r w:rsidRPr="008C03DF">
        <w:rPr>
          <w:rFonts w:ascii="Times New Roman" w:hAnsi="Times New Roman" w:cs="Times New Roman"/>
          <w:i/>
          <w:iCs/>
          <w:sz w:val="24"/>
          <w:szCs w:val="24"/>
        </w:rPr>
        <w:t>These commenters specifically addressed the duplicative paperwork burdens and administrative hurdles caused by requiring firms to completely reapply across state lines after home-state reevaluations.</w:t>
      </w:r>
    </w:p>
    <w:p w:rsidR="008C03DF" w:rsidRPr="008C03DF" w:rsidP="008C03DF" w14:paraId="0AF3ACBE" w14:textId="613E26A4">
      <w:pPr>
        <w:numPr>
          <w:ilvl w:val="0"/>
          <w:numId w:val="3"/>
        </w:numPr>
        <w:rPr>
          <w:rFonts w:ascii="Times New Roman" w:hAnsi="Times New Roman" w:cs="Times New Roman"/>
          <w:sz w:val="24"/>
          <w:szCs w:val="24"/>
        </w:rPr>
      </w:pPr>
      <w:r w:rsidRPr="008C03DF">
        <w:rPr>
          <w:rFonts w:ascii="Times New Roman" w:hAnsi="Times New Roman" w:cs="Times New Roman"/>
          <w:b/>
          <w:bCs/>
          <w:sz w:val="24"/>
          <w:szCs w:val="24"/>
        </w:rPr>
        <w:t>Women's Procurement Circle</w:t>
      </w:r>
      <w:r w:rsidRPr="008C03DF">
        <w:rPr>
          <w:rFonts w:ascii="Times New Roman" w:hAnsi="Times New Roman" w:cs="Times New Roman"/>
          <w:sz w:val="24"/>
          <w:szCs w:val="24"/>
        </w:rPr>
        <w:t xml:space="preserve"> (DOT-OST-2025-0897-0559) – </w:t>
      </w:r>
    </w:p>
    <w:p w:rsidR="008C03DF" w:rsidRPr="008C03DF" w:rsidP="008C03DF" w14:paraId="4136B59D" w14:textId="77777777">
      <w:pPr>
        <w:numPr>
          <w:ilvl w:val="0"/>
          <w:numId w:val="3"/>
        </w:numPr>
        <w:rPr>
          <w:rFonts w:ascii="Times New Roman" w:hAnsi="Times New Roman" w:cs="Times New Roman"/>
          <w:sz w:val="24"/>
          <w:szCs w:val="24"/>
        </w:rPr>
      </w:pPr>
      <w:r w:rsidRPr="008C03DF">
        <w:rPr>
          <w:rFonts w:ascii="Times New Roman" w:hAnsi="Times New Roman" w:cs="Times New Roman"/>
          <w:b/>
          <w:bCs/>
          <w:sz w:val="24"/>
          <w:szCs w:val="24"/>
        </w:rPr>
        <w:t>American Road &amp; Transportation Builders Association (ARTBA)</w:t>
      </w:r>
      <w:r w:rsidRPr="008C03DF">
        <w:rPr>
          <w:rFonts w:ascii="Times New Roman" w:hAnsi="Times New Roman" w:cs="Times New Roman"/>
          <w:sz w:val="24"/>
          <w:szCs w:val="24"/>
        </w:rPr>
        <w:t xml:space="preserve"> (DOT-OST-2025-0897-0627)</w:t>
      </w:r>
    </w:p>
    <w:p w:rsidR="008C03DF" w:rsidRPr="008C03DF" w:rsidP="008C03DF" w14:paraId="6AE2118A" w14:textId="77777777">
      <w:pPr>
        <w:numPr>
          <w:ilvl w:val="0"/>
          <w:numId w:val="3"/>
        </w:numPr>
        <w:rPr>
          <w:rFonts w:ascii="Times New Roman" w:hAnsi="Times New Roman" w:cs="Times New Roman"/>
          <w:sz w:val="24"/>
          <w:szCs w:val="24"/>
        </w:rPr>
      </w:pPr>
      <w:r w:rsidRPr="008C03DF">
        <w:rPr>
          <w:rFonts w:ascii="Times New Roman" w:hAnsi="Times New Roman" w:cs="Times New Roman"/>
          <w:b/>
          <w:bCs/>
          <w:sz w:val="24"/>
          <w:szCs w:val="24"/>
        </w:rPr>
        <w:t>TraConcepts</w:t>
      </w:r>
      <w:r w:rsidRPr="008C03DF">
        <w:rPr>
          <w:rFonts w:ascii="Times New Roman" w:hAnsi="Times New Roman" w:cs="Times New Roman"/>
          <w:b/>
          <w:bCs/>
          <w:sz w:val="24"/>
          <w:szCs w:val="24"/>
        </w:rPr>
        <w:t>, LLC</w:t>
      </w:r>
      <w:r w:rsidRPr="008C03DF">
        <w:rPr>
          <w:rFonts w:ascii="Times New Roman" w:hAnsi="Times New Roman" w:cs="Times New Roman"/>
          <w:sz w:val="24"/>
          <w:szCs w:val="24"/>
        </w:rPr>
        <w:t xml:space="preserve"> (DOT-OST-2025-0897-0277)</w:t>
      </w:r>
    </w:p>
    <w:p w:rsidR="008C03DF" w:rsidRPr="008C03DF" w:rsidP="008C03DF" w14:paraId="7DC7BC3D" w14:textId="77777777">
      <w:pPr>
        <w:numPr>
          <w:ilvl w:val="0"/>
          <w:numId w:val="3"/>
        </w:numPr>
        <w:rPr>
          <w:rFonts w:ascii="Times New Roman" w:hAnsi="Times New Roman" w:cs="Times New Roman"/>
          <w:sz w:val="24"/>
          <w:szCs w:val="24"/>
        </w:rPr>
      </w:pPr>
      <w:r w:rsidRPr="008C03DF">
        <w:rPr>
          <w:rFonts w:ascii="Times New Roman" w:hAnsi="Times New Roman" w:cs="Times New Roman"/>
          <w:b/>
          <w:bCs/>
          <w:sz w:val="24"/>
          <w:szCs w:val="24"/>
        </w:rPr>
        <w:t>Laser Bridge Industries LLC</w:t>
      </w:r>
      <w:r w:rsidRPr="008C03DF">
        <w:rPr>
          <w:rFonts w:ascii="Times New Roman" w:hAnsi="Times New Roman" w:cs="Times New Roman"/>
          <w:sz w:val="24"/>
          <w:szCs w:val="24"/>
        </w:rPr>
        <w:t xml:space="preserve"> (DOT-OST-2025-0897-0254)</w:t>
      </w:r>
    </w:p>
    <w:p w:rsidR="008C03DF" w:rsidRPr="008C03DF" w:rsidP="008C03DF" w14:paraId="728D5995" w14:textId="77777777">
      <w:pPr>
        <w:rPr>
          <w:rFonts w:ascii="Times New Roman" w:hAnsi="Times New Roman" w:cs="Times New Roman"/>
          <w:sz w:val="24"/>
          <w:szCs w:val="24"/>
        </w:rPr>
      </w:pPr>
      <w:r w:rsidRPr="008C03DF">
        <w:rPr>
          <w:rFonts w:ascii="Times New Roman" w:hAnsi="Times New Roman" w:cs="Times New Roman"/>
          <w:b/>
          <w:bCs/>
          <w:sz w:val="24"/>
          <w:szCs w:val="24"/>
        </w:rPr>
        <w:t>4. Bidders’ List (Active Participants List)</w:t>
      </w:r>
    </w:p>
    <w:p w:rsidR="008C03DF" w:rsidRPr="008C03DF" w:rsidP="008C03DF" w14:paraId="33B298D9" w14:textId="77777777">
      <w:pPr>
        <w:rPr>
          <w:rFonts w:ascii="Times New Roman" w:hAnsi="Times New Roman" w:cs="Times New Roman"/>
          <w:sz w:val="24"/>
          <w:szCs w:val="24"/>
        </w:rPr>
      </w:pPr>
      <w:r w:rsidRPr="008C03DF">
        <w:rPr>
          <w:rFonts w:ascii="Times New Roman" w:hAnsi="Times New Roman" w:cs="Times New Roman"/>
          <w:i/>
          <w:iCs/>
          <w:sz w:val="24"/>
          <w:szCs w:val="24"/>
        </w:rPr>
        <w:t>These commenters provided feedback on the direct data entry burdens, cybersecurity risks of collecting financial data, and system inadequacies related to collecting quotes at the time of bid.</w:t>
      </w:r>
    </w:p>
    <w:p w:rsidR="008C03DF" w:rsidRPr="008C03DF" w:rsidP="008C03DF" w14:paraId="659E9013" w14:textId="477CF8AC">
      <w:pPr>
        <w:numPr>
          <w:ilvl w:val="0"/>
          <w:numId w:val="4"/>
        </w:numPr>
        <w:rPr>
          <w:rFonts w:ascii="Times New Roman" w:hAnsi="Times New Roman" w:cs="Times New Roman"/>
          <w:sz w:val="24"/>
          <w:szCs w:val="24"/>
        </w:rPr>
      </w:pPr>
      <w:r w:rsidRPr="008C03DF">
        <w:rPr>
          <w:rFonts w:ascii="Times New Roman" w:hAnsi="Times New Roman" w:cs="Times New Roman"/>
          <w:b/>
          <w:bCs/>
          <w:sz w:val="24"/>
          <w:szCs w:val="24"/>
        </w:rPr>
        <w:t>American Road &amp; Transportation Builders Association (ARTBA)</w:t>
      </w:r>
      <w:r w:rsidRPr="008C03DF">
        <w:rPr>
          <w:rFonts w:ascii="Times New Roman" w:hAnsi="Times New Roman" w:cs="Times New Roman"/>
          <w:sz w:val="24"/>
          <w:szCs w:val="24"/>
        </w:rPr>
        <w:t xml:space="preserve"> (DOT-OST-2025-0897-0627) </w:t>
      </w:r>
    </w:p>
    <w:p w:rsidR="008C03DF" w:rsidRPr="008C03DF" w:rsidP="008C03DF" w14:paraId="0F0A218A" w14:textId="77777777">
      <w:pPr>
        <w:numPr>
          <w:ilvl w:val="0"/>
          <w:numId w:val="4"/>
        </w:numPr>
        <w:rPr>
          <w:rFonts w:ascii="Times New Roman" w:hAnsi="Times New Roman" w:cs="Times New Roman"/>
          <w:sz w:val="24"/>
          <w:szCs w:val="24"/>
        </w:rPr>
      </w:pPr>
      <w:r w:rsidRPr="008C03DF">
        <w:rPr>
          <w:rFonts w:ascii="Times New Roman" w:hAnsi="Times New Roman" w:cs="Times New Roman"/>
          <w:b/>
          <w:bCs/>
          <w:sz w:val="24"/>
          <w:szCs w:val="24"/>
        </w:rPr>
        <w:t>Associated General Contractors of America (AGC)</w:t>
      </w:r>
      <w:r w:rsidRPr="008C03DF">
        <w:rPr>
          <w:rFonts w:ascii="Times New Roman" w:hAnsi="Times New Roman" w:cs="Times New Roman"/>
          <w:sz w:val="24"/>
          <w:szCs w:val="24"/>
        </w:rPr>
        <w:t xml:space="preserve"> (DOT-OST-2025-0897-0553)</w:t>
      </w:r>
    </w:p>
    <w:p w:rsidR="008C03DF" w:rsidRPr="008C03DF" w:rsidP="008C03DF" w14:paraId="12B56F8C" w14:textId="77777777">
      <w:pPr>
        <w:numPr>
          <w:ilvl w:val="0"/>
          <w:numId w:val="4"/>
        </w:numPr>
        <w:rPr>
          <w:rFonts w:ascii="Times New Roman" w:hAnsi="Times New Roman" w:cs="Times New Roman"/>
          <w:sz w:val="24"/>
          <w:szCs w:val="24"/>
        </w:rPr>
      </w:pPr>
      <w:r w:rsidRPr="008C03DF">
        <w:rPr>
          <w:rFonts w:ascii="Times New Roman" w:hAnsi="Times New Roman" w:cs="Times New Roman"/>
          <w:b/>
          <w:bCs/>
          <w:sz w:val="24"/>
          <w:szCs w:val="24"/>
        </w:rPr>
        <w:t>South Dakota Department of Transportation (SDDOT)</w:t>
      </w:r>
      <w:r w:rsidRPr="008C03DF">
        <w:rPr>
          <w:rFonts w:ascii="Times New Roman" w:hAnsi="Times New Roman" w:cs="Times New Roman"/>
          <w:sz w:val="24"/>
          <w:szCs w:val="24"/>
        </w:rPr>
        <w:t xml:space="preserve"> (DOT-OST-2025-0897-0504)</w:t>
      </w:r>
    </w:p>
    <w:p w:rsidR="008C03DF" w:rsidRPr="008C03DF" w:rsidP="008C03DF" w14:paraId="5584FB1D" w14:textId="205CB70D">
      <w:pPr>
        <w:numPr>
          <w:ilvl w:val="0"/>
          <w:numId w:val="4"/>
        </w:numPr>
        <w:rPr>
          <w:rFonts w:ascii="Times New Roman" w:hAnsi="Times New Roman" w:cs="Times New Roman"/>
          <w:sz w:val="24"/>
          <w:szCs w:val="24"/>
        </w:rPr>
      </w:pPr>
      <w:r w:rsidRPr="008C03DF">
        <w:rPr>
          <w:rFonts w:ascii="Times New Roman" w:hAnsi="Times New Roman" w:cs="Times New Roman"/>
          <w:b/>
          <w:bCs/>
          <w:sz w:val="24"/>
          <w:szCs w:val="24"/>
        </w:rPr>
        <w:t>Anonymous Compliance Professional</w:t>
      </w:r>
      <w:r w:rsidRPr="008C03DF">
        <w:rPr>
          <w:rFonts w:ascii="Times New Roman" w:hAnsi="Times New Roman" w:cs="Times New Roman"/>
          <w:sz w:val="24"/>
          <w:szCs w:val="24"/>
        </w:rPr>
        <w:t xml:space="preserve"> (DOT-OST-2025-0897-0138, -0132) – </w:t>
      </w:r>
    </w:p>
    <w:p w:rsidR="008C03DF" w:rsidRPr="008C03DF" w:rsidP="008C03DF" w14:paraId="69A27CA5" w14:textId="77777777">
      <w:pPr>
        <w:rPr>
          <w:rFonts w:ascii="Times New Roman" w:hAnsi="Times New Roman" w:cs="Times New Roman"/>
          <w:sz w:val="24"/>
          <w:szCs w:val="24"/>
        </w:rPr>
      </w:pPr>
      <w:r w:rsidRPr="008C03DF">
        <w:rPr>
          <w:rFonts w:ascii="Times New Roman" w:hAnsi="Times New Roman" w:cs="Times New Roman"/>
          <w:b/>
          <w:bCs/>
          <w:sz w:val="24"/>
          <w:szCs w:val="24"/>
        </w:rPr>
        <w:t>5. List of ACDBE Certified Firms</w:t>
      </w:r>
    </w:p>
    <w:p w:rsidR="008C03DF" w:rsidRPr="008C03DF" w:rsidP="008C03DF" w14:paraId="1994C27A" w14:textId="77777777">
      <w:pPr>
        <w:rPr>
          <w:rFonts w:ascii="Times New Roman" w:hAnsi="Times New Roman" w:cs="Times New Roman"/>
          <w:sz w:val="24"/>
          <w:szCs w:val="24"/>
        </w:rPr>
      </w:pPr>
      <w:r w:rsidRPr="008C03DF">
        <w:rPr>
          <w:rFonts w:ascii="Times New Roman" w:hAnsi="Times New Roman" w:cs="Times New Roman"/>
          <w:i/>
          <w:iCs/>
          <w:sz w:val="24"/>
          <w:szCs w:val="24"/>
        </w:rPr>
        <w:t>These commenters focused on the administrative strain and compliance costs of overhauling airport directories and adjusting existing concession agreements.</w:t>
      </w:r>
    </w:p>
    <w:p w:rsidR="008C03DF" w:rsidRPr="008C03DF" w:rsidP="008C03DF" w14:paraId="7AF57172" w14:textId="77777777">
      <w:pPr>
        <w:numPr>
          <w:ilvl w:val="0"/>
          <w:numId w:val="5"/>
        </w:numPr>
        <w:rPr>
          <w:rFonts w:ascii="Times New Roman" w:hAnsi="Times New Roman" w:cs="Times New Roman"/>
          <w:sz w:val="24"/>
          <w:szCs w:val="24"/>
        </w:rPr>
      </w:pPr>
      <w:r w:rsidRPr="008C03DF">
        <w:rPr>
          <w:rFonts w:ascii="Times New Roman" w:hAnsi="Times New Roman" w:cs="Times New Roman"/>
          <w:b/>
          <w:bCs/>
          <w:sz w:val="24"/>
          <w:szCs w:val="24"/>
        </w:rPr>
        <w:t>American Car Rental Association (ACRA)</w:t>
      </w:r>
      <w:r w:rsidRPr="008C03DF">
        <w:rPr>
          <w:rFonts w:ascii="Times New Roman" w:hAnsi="Times New Roman" w:cs="Times New Roman"/>
          <w:sz w:val="24"/>
          <w:szCs w:val="24"/>
        </w:rPr>
        <w:t xml:space="preserve"> (DOT-OST-2025-0897-0550)</w:t>
      </w:r>
    </w:p>
    <w:p w:rsidR="008C03DF" w:rsidRPr="008C03DF" w:rsidP="008C03DF" w14:paraId="350E2C48" w14:textId="77777777">
      <w:pPr>
        <w:numPr>
          <w:ilvl w:val="0"/>
          <w:numId w:val="5"/>
        </w:numPr>
        <w:rPr>
          <w:rFonts w:ascii="Times New Roman" w:hAnsi="Times New Roman" w:cs="Times New Roman"/>
          <w:sz w:val="24"/>
          <w:szCs w:val="24"/>
        </w:rPr>
      </w:pPr>
      <w:r w:rsidRPr="008C03DF">
        <w:rPr>
          <w:rFonts w:ascii="Times New Roman" w:hAnsi="Times New Roman" w:cs="Times New Roman"/>
          <w:b/>
          <w:bCs/>
          <w:sz w:val="24"/>
          <w:szCs w:val="24"/>
        </w:rPr>
        <w:t>Airports Council International - North America (ACI-NA)</w:t>
      </w:r>
      <w:r w:rsidRPr="008C03DF">
        <w:rPr>
          <w:rFonts w:ascii="Times New Roman" w:hAnsi="Times New Roman" w:cs="Times New Roman"/>
          <w:sz w:val="24"/>
          <w:szCs w:val="24"/>
        </w:rPr>
        <w:t xml:space="preserve"> (DOT-OST-2025-0897-0516)</w:t>
      </w:r>
    </w:p>
    <w:p w:rsidR="008C03DF" w:rsidRPr="008C03DF" w:rsidP="008C03DF" w14:paraId="7BC5A862" w14:textId="77777777">
      <w:pPr>
        <w:rPr>
          <w:rFonts w:ascii="Times New Roman" w:hAnsi="Times New Roman" w:cs="Times New Roman"/>
          <w:sz w:val="24"/>
          <w:szCs w:val="24"/>
        </w:rPr>
      </w:pPr>
    </w:p>
    <w:p w:rsidR="008C03DF" w:rsidRPr="008C03DF" w:rsidP="008C03DF" w14:paraId="68D9BCD2" w14:textId="77777777">
      <w:pPr>
        <w:rPr>
          <w:rFonts w:ascii="Times New Roman" w:hAnsi="Times New Roman" w:cs="Times New Roman"/>
          <w:sz w:val="24"/>
          <w:szCs w:val="24"/>
        </w:rPr>
      </w:pPr>
      <w:r w:rsidRPr="008C03DF">
        <w:rPr>
          <w:rFonts w:ascii="Times New Roman" w:hAnsi="Times New Roman" w:cs="Times New Roman"/>
          <w:b/>
          <w:bCs/>
          <w:sz w:val="24"/>
          <w:szCs w:val="24"/>
        </w:rPr>
        <w:t>6. MAP-21</w:t>
      </w:r>
    </w:p>
    <w:p w:rsidR="008C03DF" w:rsidRPr="008C03DF" w:rsidP="008C03DF" w14:paraId="042DC2FF" w14:textId="77777777">
      <w:pPr>
        <w:rPr>
          <w:rFonts w:ascii="Times New Roman" w:hAnsi="Times New Roman" w:cs="Times New Roman"/>
          <w:sz w:val="24"/>
          <w:szCs w:val="24"/>
        </w:rPr>
      </w:pPr>
      <w:r w:rsidRPr="008C03DF">
        <w:rPr>
          <w:rFonts w:ascii="Times New Roman" w:hAnsi="Times New Roman" w:cs="Times New Roman"/>
          <w:i/>
          <w:iCs/>
          <w:sz w:val="24"/>
          <w:szCs w:val="24"/>
        </w:rPr>
        <w:t>These commenters specifically questioned the ongoing utility, alleged administrative waste, and transitional data collection costs regarding the statutory MAP-21 report in light of the rule changes.</w:t>
      </w:r>
    </w:p>
    <w:p w:rsidR="008C03DF" w:rsidRPr="008C03DF" w:rsidP="008C03DF" w14:paraId="6A9E6A08" w14:textId="77777777">
      <w:pPr>
        <w:numPr>
          <w:ilvl w:val="0"/>
          <w:numId w:val="6"/>
        </w:numPr>
        <w:rPr>
          <w:rFonts w:ascii="Times New Roman" w:hAnsi="Times New Roman" w:cs="Times New Roman"/>
          <w:sz w:val="24"/>
          <w:szCs w:val="24"/>
        </w:rPr>
      </w:pPr>
      <w:r w:rsidRPr="008C03DF">
        <w:rPr>
          <w:rFonts w:ascii="Times New Roman" w:hAnsi="Times New Roman" w:cs="Times New Roman"/>
          <w:b/>
          <w:bCs/>
          <w:sz w:val="24"/>
          <w:szCs w:val="24"/>
        </w:rPr>
        <w:t>California Department of Transportation (Caltrans)</w:t>
      </w:r>
      <w:r w:rsidRPr="008C03DF">
        <w:rPr>
          <w:rFonts w:ascii="Times New Roman" w:hAnsi="Times New Roman" w:cs="Times New Roman"/>
          <w:sz w:val="24"/>
          <w:szCs w:val="24"/>
        </w:rPr>
        <w:t xml:space="preserve"> (DOT-OST-2025-0897-0416, -0603)</w:t>
      </w:r>
    </w:p>
    <w:p w:rsidR="008C03DF" w:rsidRPr="008C03DF" w:rsidP="008C03DF" w14:paraId="5A5693FD" w14:textId="77777777">
      <w:pPr>
        <w:numPr>
          <w:ilvl w:val="0"/>
          <w:numId w:val="6"/>
        </w:numPr>
        <w:rPr>
          <w:rFonts w:ascii="Times New Roman" w:hAnsi="Times New Roman" w:cs="Times New Roman"/>
          <w:sz w:val="24"/>
          <w:szCs w:val="24"/>
        </w:rPr>
      </w:pPr>
      <w:r w:rsidRPr="008C03DF">
        <w:rPr>
          <w:rFonts w:ascii="Times New Roman" w:hAnsi="Times New Roman" w:cs="Times New Roman"/>
          <w:b/>
          <w:bCs/>
          <w:sz w:val="24"/>
          <w:szCs w:val="24"/>
        </w:rPr>
        <w:t>Anonymous Local Grant Recipient</w:t>
      </w:r>
      <w:r w:rsidRPr="008C03DF">
        <w:rPr>
          <w:rFonts w:ascii="Times New Roman" w:hAnsi="Times New Roman" w:cs="Times New Roman"/>
          <w:sz w:val="24"/>
          <w:szCs w:val="24"/>
        </w:rPr>
        <w:t xml:space="preserve"> (DOT-OST-2025-0897-0335)</w:t>
      </w:r>
    </w:p>
    <w:p w:rsidR="008C03DF" w:rsidRPr="008C03DF" w:rsidP="008C03DF" w14:paraId="46783E01" w14:textId="77777777">
      <w:pPr>
        <w:rPr>
          <w:rFonts w:ascii="Times New Roman" w:hAnsi="Times New Roman" w:cs="Times New Roman"/>
          <w:sz w:val="24"/>
          <w:szCs w:val="24"/>
        </w:rPr>
      </w:pPr>
    </w:p>
    <w:p w:rsidR="008C03DF" w:rsidRPr="008C03DF" w:rsidP="008C03DF" w14:paraId="0DEF9830" w14:textId="77777777">
      <w:pPr>
        <w:rPr>
          <w:rFonts w:ascii="Times New Roman" w:hAnsi="Times New Roman" w:cs="Times New Roman"/>
          <w:sz w:val="24"/>
          <w:szCs w:val="24"/>
        </w:rPr>
      </w:pPr>
      <w:r w:rsidRPr="008C03DF">
        <w:rPr>
          <w:rFonts w:ascii="Times New Roman" w:hAnsi="Times New Roman" w:cs="Times New Roman"/>
          <w:b/>
          <w:bCs/>
          <w:sz w:val="24"/>
          <w:szCs w:val="24"/>
        </w:rPr>
        <w:t>7. Uniform Report</w:t>
      </w:r>
    </w:p>
    <w:p w:rsidR="008C03DF" w:rsidRPr="008C03DF" w:rsidP="008C03DF" w14:paraId="3BAE2B86" w14:textId="77777777">
      <w:pPr>
        <w:rPr>
          <w:rFonts w:ascii="Times New Roman" w:hAnsi="Times New Roman" w:cs="Times New Roman"/>
          <w:sz w:val="24"/>
          <w:szCs w:val="24"/>
        </w:rPr>
      </w:pPr>
      <w:r w:rsidRPr="008C03DF">
        <w:rPr>
          <w:rFonts w:ascii="Times New Roman" w:hAnsi="Times New Roman" w:cs="Times New Roman"/>
          <w:i/>
          <w:iCs/>
          <w:sz w:val="24"/>
          <w:szCs w:val="24"/>
        </w:rPr>
        <w:t>These commenters explicitly questioned the staff time, financial resources, and reporting protocols required to compile the Uniform Report and Shortfall Analyses during the goal-setting suspension.</w:t>
      </w:r>
    </w:p>
    <w:p w:rsidR="008C03DF" w:rsidRPr="008C03DF" w:rsidP="008C03DF" w14:paraId="23C89577" w14:textId="77777777">
      <w:pPr>
        <w:numPr>
          <w:ilvl w:val="0"/>
          <w:numId w:val="7"/>
        </w:numPr>
        <w:rPr>
          <w:rFonts w:ascii="Times New Roman" w:hAnsi="Times New Roman" w:cs="Times New Roman"/>
          <w:sz w:val="24"/>
          <w:szCs w:val="24"/>
        </w:rPr>
      </w:pPr>
      <w:r w:rsidRPr="008C03DF">
        <w:rPr>
          <w:rFonts w:ascii="Times New Roman" w:hAnsi="Times New Roman" w:cs="Times New Roman"/>
          <w:b/>
          <w:bCs/>
          <w:sz w:val="24"/>
          <w:szCs w:val="24"/>
        </w:rPr>
        <w:t>San Francisco Bay Area Rapid Transit District (BART)</w:t>
      </w:r>
      <w:r w:rsidRPr="008C03DF">
        <w:rPr>
          <w:rFonts w:ascii="Times New Roman" w:hAnsi="Times New Roman" w:cs="Times New Roman"/>
          <w:sz w:val="24"/>
          <w:szCs w:val="24"/>
        </w:rPr>
        <w:t xml:space="preserve"> (DOT-OST-2025-0897-0588)</w:t>
      </w:r>
    </w:p>
    <w:p w:rsidR="008C03DF" w:rsidRPr="008C03DF" w:rsidP="008C03DF" w14:paraId="611AAB47" w14:textId="77777777">
      <w:pPr>
        <w:numPr>
          <w:ilvl w:val="0"/>
          <w:numId w:val="7"/>
        </w:numPr>
        <w:rPr>
          <w:rFonts w:ascii="Times New Roman" w:hAnsi="Times New Roman" w:cs="Times New Roman"/>
          <w:sz w:val="24"/>
          <w:szCs w:val="24"/>
        </w:rPr>
      </w:pPr>
      <w:r w:rsidRPr="008C03DF">
        <w:rPr>
          <w:rFonts w:ascii="Times New Roman" w:hAnsi="Times New Roman" w:cs="Times New Roman"/>
          <w:b/>
          <w:bCs/>
          <w:sz w:val="24"/>
          <w:szCs w:val="24"/>
        </w:rPr>
        <w:t>Golden Gate Bridge, Highway &amp; Transportation District</w:t>
      </w:r>
      <w:r w:rsidRPr="008C03DF">
        <w:rPr>
          <w:rFonts w:ascii="Times New Roman" w:hAnsi="Times New Roman" w:cs="Times New Roman"/>
          <w:sz w:val="24"/>
          <w:szCs w:val="24"/>
        </w:rPr>
        <w:t xml:space="preserve"> (DOT-OST-2025-0897-0564)</w:t>
      </w:r>
    </w:p>
    <w:p w:rsidR="008C03DF" w:rsidRPr="008C03DF" w:rsidP="008C03DF" w14:paraId="5729B3B5" w14:textId="77777777">
      <w:pPr>
        <w:numPr>
          <w:ilvl w:val="0"/>
          <w:numId w:val="7"/>
        </w:numPr>
        <w:rPr>
          <w:rFonts w:ascii="Times New Roman" w:hAnsi="Times New Roman" w:cs="Times New Roman"/>
          <w:sz w:val="24"/>
          <w:szCs w:val="24"/>
        </w:rPr>
      </w:pPr>
      <w:r w:rsidRPr="008C03DF">
        <w:rPr>
          <w:rFonts w:ascii="Times New Roman" w:hAnsi="Times New Roman" w:cs="Times New Roman"/>
          <w:b/>
          <w:bCs/>
          <w:sz w:val="24"/>
          <w:szCs w:val="24"/>
        </w:rPr>
        <w:t>California Department of Transportation (Caltrans)</w:t>
      </w:r>
      <w:r w:rsidRPr="008C03DF">
        <w:rPr>
          <w:rFonts w:ascii="Times New Roman" w:hAnsi="Times New Roman" w:cs="Times New Roman"/>
          <w:sz w:val="24"/>
          <w:szCs w:val="24"/>
        </w:rPr>
        <w:t xml:space="preserve"> (DOT-OST-2025-0897-0416, -0603)</w:t>
      </w:r>
    </w:p>
    <w:p w:rsidR="008C03DF" w:rsidRPr="008C03DF" w:rsidP="008C03DF" w14:paraId="75E01CB0" w14:textId="77777777">
      <w:pPr>
        <w:rPr>
          <w:rFonts w:ascii="Times New Roman" w:hAnsi="Times New Roman" w:cs="Times New Roman"/>
          <w:sz w:val="24"/>
          <w:szCs w:val="24"/>
        </w:rPr>
      </w:pPr>
    </w:p>
    <w:p w:rsidR="008C03DF" w:rsidRPr="008C03DF" w:rsidP="008C03DF" w14:paraId="31B98865" w14:textId="77777777">
      <w:pPr>
        <w:rPr>
          <w:rFonts w:ascii="Times New Roman" w:hAnsi="Times New Roman" w:cs="Times New Roman"/>
          <w:sz w:val="24"/>
          <w:szCs w:val="24"/>
        </w:rPr>
      </w:pPr>
      <w:r w:rsidRPr="008C03DF">
        <w:rPr>
          <w:rFonts w:ascii="Times New Roman" w:hAnsi="Times New Roman" w:cs="Times New Roman"/>
          <w:b/>
          <w:bCs/>
          <w:sz w:val="24"/>
          <w:szCs w:val="24"/>
        </w:rPr>
        <w:t>8. Goal Setting</w:t>
      </w:r>
    </w:p>
    <w:p w:rsidR="008C03DF" w:rsidRPr="008C03DF" w:rsidP="008C03DF" w14:paraId="35B2594B" w14:textId="77777777">
      <w:pPr>
        <w:rPr>
          <w:rFonts w:ascii="Times New Roman" w:hAnsi="Times New Roman" w:cs="Times New Roman"/>
          <w:sz w:val="24"/>
          <w:szCs w:val="24"/>
        </w:rPr>
      </w:pPr>
      <w:r w:rsidRPr="008C03DF">
        <w:rPr>
          <w:rFonts w:ascii="Times New Roman" w:hAnsi="Times New Roman" w:cs="Times New Roman"/>
          <w:i/>
          <w:iCs/>
          <w:sz w:val="24"/>
          <w:szCs w:val="24"/>
        </w:rPr>
        <w:t>These commenters provided quantitative estimates of lost revenue/sunk costs or detailed the unbudgeted staff hours required by agencies to modify active solicitations due to the immediate goal suspension.</w:t>
      </w:r>
    </w:p>
    <w:p w:rsidR="008C03DF" w:rsidRPr="008C03DF" w:rsidP="008C03DF" w14:paraId="16185A7B" w14:textId="1FE73C06">
      <w:pPr>
        <w:numPr>
          <w:ilvl w:val="0"/>
          <w:numId w:val="8"/>
        </w:numPr>
        <w:rPr>
          <w:rFonts w:ascii="Times New Roman" w:hAnsi="Times New Roman" w:cs="Times New Roman"/>
          <w:sz w:val="24"/>
          <w:szCs w:val="24"/>
        </w:rPr>
      </w:pPr>
      <w:r w:rsidRPr="008C03DF">
        <w:rPr>
          <w:rFonts w:ascii="Times New Roman" w:hAnsi="Times New Roman" w:cs="Times New Roman"/>
          <w:b/>
          <w:bCs/>
          <w:sz w:val="24"/>
          <w:szCs w:val="24"/>
        </w:rPr>
        <w:t>Port of Seattle</w:t>
      </w:r>
      <w:r w:rsidRPr="008C03DF">
        <w:rPr>
          <w:rFonts w:ascii="Times New Roman" w:hAnsi="Times New Roman" w:cs="Times New Roman"/>
          <w:sz w:val="24"/>
          <w:szCs w:val="24"/>
        </w:rPr>
        <w:t xml:space="preserve"> (DOT-OST-2025-0897-0569) – </w:t>
      </w:r>
    </w:p>
    <w:p w:rsidR="008C03DF" w:rsidRPr="008C03DF" w:rsidP="008C03DF" w14:paraId="3F53D80E" w14:textId="04F684E8">
      <w:pPr>
        <w:numPr>
          <w:ilvl w:val="0"/>
          <w:numId w:val="8"/>
        </w:numPr>
        <w:rPr>
          <w:rFonts w:ascii="Times New Roman" w:hAnsi="Times New Roman" w:cs="Times New Roman"/>
          <w:sz w:val="24"/>
          <w:szCs w:val="24"/>
        </w:rPr>
      </w:pPr>
      <w:r w:rsidRPr="008C03DF">
        <w:rPr>
          <w:rFonts w:ascii="Times New Roman" w:hAnsi="Times New Roman" w:cs="Times New Roman"/>
          <w:b/>
          <w:bCs/>
          <w:sz w:val="24"/>
          <w:szCs w:val="24"/>
        </w:rPr>
        <w:t>AUTC</w:t>
      </w:r>
      <w:r w:rsidRPr="008C03DF">
        <w:rPr>
          <w:rFonts w:ascii="Times New Roman" w:hAnsi="Times New Roman" w:cs="Times New Roman"/>
          <w:sz w:val="24"/>
          <w:szCs w:val="24"/>
        </w:rPr>
        <w:t xml:space="preserve"> (DOT-OST-2025-0897-0624) </w:t>
      </w:r>
    </w:p>
    <w:p w:rsidR="008C03DF" w:rsidRPr="008C03DF" w:rsidP="008C03DF" w14:paraId="0E9473D8" w14:textId="005559C7">
      <w:pPr>
        <w:numPr>
          <w:ilvl w:val="0"/>
          <w:numId w:val="8"/>
        </w:numPr>
        <w:rPr>
          <w:rFonts w:ascii="Times New Roman" w:hAnsi="Times New Roman" w:cs="Times New Roman"/>
          <w:sz w:val="24"/>
          <w:szCs w:val="24"/>
        </w:rPr>
      </w:pPr>
      <w:r w:rsidRPr="008C03DF">
        <w:rPr>
          <w:rFonts w:ascii="Times New Roman" w:hAnsi="Times New Roman" w:cs="Times New Roman"/>
          <w:b/>
          <w:bCs/>
          <w:sz w:val="24"/>
          <w:szCs w:val="24"/>
        </w:rPr>
        <w:t>Anonymous DBE Civil Engineering Firm</w:t>
      </w:r>
      <w:r w:rsidRPr="008C03DF">
        <w:rPr>
          <w:rFonts w:ascii="Times New Roman" w:hAnsi="Times New Roman" w:cs="Times New Roman"/>
          <w:sz w:val="24"/>
          <w:szCs w:val="24"/>
        </w:rPr>
        <w:t xml:space="preserve"> (DOT-OST-2025-0897-0428) </w:t>
      </w:r>
    </w:p>
    <w:p w:rsidR="008C03DF" w:rsidRPr="008C03DF" w:rsidP="008C03DF" w14:paraId="702CE861" w14:textId="77777777">
      <w:pPr>
        <w:numPr>
          <w:ilvl w:val="0"/>
          <w:numId w:val="8"/>
        </w:numPr>
        <w:rPr>
          <w:rFonts w:ascii="Times New Roman" w:hAnsi="Times New Roman" w:cs="Times New Roman"/>
          <w:sz w:val="24"/>
          <w:szCs w:val="24"/>
        </w:rPr>
      </w:pPr>
      <w:r w:rsidRPr="008C03DF">
        <w:rPr>
          <w:rFonts w:ascii="Times New Roman" w:hAnsi="Times New Roman" w:cs="Times New Roman"/>
          <w:b/>
          <w:bCs/>
          <w:sz w:val="24"/>
          <w:szCs w:val="24"/>
        </w:rPr>
        <w:t>Western Connecticut Council of Governments (</w:t>
      </w:r>
      <w:r w:rsidRPr="008C03DF">
        <w:rPr>
          <w:rFonts w:ascii="Times New Roman" w:hAnsi="Times New Roman" w:cs="Times New Roman"/>
          <w:b/>
          <w:bCs/>
          <w:sz w:val="24"/>
          <w:szCs w:val="24"/>
        </w:rPr>
        <w:t>WestCOG</w:t>
      </w:r>
      <w:r w:rsidRPr="008C03DF">
        <w:rPr>
          <w:rFonts w:ascii="Times New Roman" w:hAnsi="Times New Roman" w:cs="Times New Roman"/>
          <w:b/>
          <w:bCs/>
          <w:sz w:val="24"/>
          <w:szCs w:val="24"/>
        </w:rPr>
        <w:t>)</w:t>
      </w:r>
      <w:r w:rsidRPr="008C03DF">
        <w:rPr>
          <w:rFonts w:ascii="Times New Roman" w:hAnsi="Times New Roman" w:cs="Times New Roman"/>
          <w:sz w:val="24"/>
          <w:szCs w:val="24"/>
        </w:rPr>
        <w:t xml:space="preserve"> (DOT-OST-2025-0897-0563)</w:t>
      </w:r>
    </w:p>
    <w:p w:rsidR="008C03DF" w:rsidRPr="008C03DF" w:rsidP="008C03DF" w14:paraId="05DBB2F3" w14:textId="77777777">
      <w:pPr>
        <w:rPr>
          <w:rFonts w:ascii="Times New Roman" w:hAnsi="Times New Roman" w:cs="Times New Roman"/>
          <w:sz w:val="24"/>
          <w:szCs w:val="24"/>
        </w:rPr>
      </w:pPr>
    </w:p>
    <w:p w:rsidR="008C03DF" w:rsidRPr="008C03DF" w:rsidP="008C03DF" w14:paraId="586CC25B" w14:textId="77777777">
      <w:pPr>
        <w:rPr>
          <w:rFonts w:ascii="Times New Roman" w:hAnsi="Times New Roman" w:cs="Times New Roman"/>
          <w:sz w:val="24"/>
          <w:szCs w:val="24"/>
        </w:rPr>
      </w:pPr>
      <w:r w:rsidRPr="008C03DF">
        <w:rPr>
          <w:rFonts w:ascii="Times New Roman" w:hAnsi="Times New Roman" w:cs="Times New Roman"/>
          <w:b/>
          <w:bCs/>
          <w:sz w:val="24"/>
          <w:szCs w:val="24"/>
        </w:rPr>
        <w:t>9. Disparity Studies</w:t>
      </w:r>
    </w:p>
    <w:p w:rsidR="008C03DF" w:rsidRPr="008C03DF" w:rsidP="008C03DF" w14:paraId="5F691218" w14:textId="77777777">
      <w:pPr>
        <w:rPr>
          <w:rFonts w:ascii="Times New Roman" w:hAnsi="Times New Roman" w:cs="Times New Roman"/>
          <w:sz w:val="24"/>
          <w:szCs w:val="24"/>
        </w:rPr>
      </w:pPr>
      <w:r w:rsidRPr="008C03DF">
        <w:rPr>
          <w:rFonts w:ascii="Times New Roman" w:hAnsi="Times New Roman" w:cs="Times New Roman"/>
          <w:i/>
          <w:iCs/>
          <w:sz w:val="24"/>
          <w:szCs w:val="24"/>
        </w:rPr>
        <w:t>These commenters noted concerns regarding administrative waste and financial sunk costs of potentially invalidating expensive, multi-million-dollar state disparity studies due to new, undefined "capacity analysis" requirements.</w:t>
      </w:r>
    </w:p>
    <w:p w:rsidR="008C03DF" w:rsidRPr="008C03DF" w:rsidP="008C03DF" w14:paraId="5CE81848" w14:textId="77777777">
      <w:pPr>
        <w:numPr>
          <w:ilvl w:val="0"/>
          <w:numId w:val="9"/>
        </w:numPr>
        <w:rPr>
          <w:rFonts w:ascii="Times New Roman" w:hAnsi="Times New Roman" w:cs="Times New Roman"/>
          <w:sz w:val="24"/>
          <w:szCs w:val="24"/>
        </w:rPr>
      </w:pPr>
      <w:r w:rsidRPr="008C03DF">
        <w:rPr>
          <w:rFonts w:ascii="Times New Roman" w:hAnsi="Times New Roman" w:cs="Times New Roman"/>
          <w:b/>
          <w:bCs/>
          <w:sz w:val="24"/>
          <w:szCs w:val="24"/>
        </w:rPr>
        <w:t>California Department of Transportation (Caltrans)</w:t>
      </w:r>
      <w:r w:rsidRPr="008C03DF">
        <w:rPr>
          <w:rFonts w:ascii="Times New Roman" w:hAnsi="Times New Roman" w:cs="Times New Roman"/>
          <w:sz w:val="24"/>
          <w:szCs w:val="24"/>
        </w:rPr>
        <w:t xml:space="preserve"> (DOT-OST-2025-0897-0416, -0603)</w:t>
      </w:r>
    </w:p>
    <w:p w:rsidR="008C03DF" w:rsidRPr="008C03DF" w:rsidP="008C03DF" w14:paraId="4EF85BC5" w14:textId="77777777">
      <w:pPr>
        <w:numPr>
          <w:ilvl w:val="0"/>
          <w:numId w:val="9"/>
        </w:numPr>
        <w:rPr>
          <w:rFonts w:ascii="Times New Roman" w:hAnsi="Times New Roman" w:cs="Times New Roman"/>
          <w:sz w:val="24"/>
          <w:szCs w:val="24"/>
        </w:rPr>
      </w:pPr>
      <w:r w:rsidRPr="008C03DF">
        <w:rPr>
          <w:rFonts w:ascii="Times New Roman" w:hAnsi="Times New Roman" w:cs="Times New Roman"/>
          <w:b/>
          <w:bCs/>
          <w:sz w:val="24"/>
          <w:szCs w:val="24"/>
        </w:rPr>
        <w:t>Griffin &amp; Strong, P.C.</w:t>
      </w:r>
      <w:r w:rsidRPr="008C03DF">
        <w:rPr>
          <w:rFonts w:ascii="Times New Roman" w:hAnsi="Times New Roman" w:cs="Times New Roman"/>
          <w:sz w:val="24"/>
          <w:szCs w:val="24"/>
        </w:rPr>
        <w:t xml:space="preserve"> (DOT-OST-2025-0897-0599)</w:t>
      </w:r>
    </w:p>
    <w:p w:rsidR="0013397E" w:rsidRPr="00941186" w:rsidP="008C03DF" w14:paraId="3EE5ACCB" w14:textId="28E577B3">
      <w:pPr>
        <w:rPr>
          <w:rFonts w:ascii="Times New Roman" w:hAnsi="Times New Roman" w:cs="Times New Roman"/>
          <w:sz w:val="24"/>
          <w:szCs w:val="24"/>
        </w:rPr>
      </w:pPr>
      <w:r w:rsidRPr="00941186">
        <w:rPr>
          <w:rFonts w:ascii="Times New Roman" w:hAnsi="Times New Roman" w:cs="Times New Roman"/>
          <w:b/>
          <w:bCs/>
          <w:sz w:val="24"/>
          <w:szCs w:val="24"/>
        </w:rPr>
        <w:t>Los Angeles County Metropolitan Transportation Authority (LA Metro)</w:t>
      </w:r>
      <w:r w:rsidRPr="00941186">
        <w:rPr>
          <w:rFonts w:ascii="Times New Roman" w:hAnsi="Times New Roman" w:cs="Times New Roman"/>
          <w:sz w:val="24"/>
          <w:szCs w:val="24"/>
        </w:rPr>
        <w:t xml:space="preserve"> (DOT-OST-2025-0897-0549)</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60797"/>
    <w:multiLevelType w:val="multilevel"/>
    <w:tmpl w:val="D290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491C49"/>
    <w:multiLevelType w:val="multilevel"/>
    <w:tmpl w:val="C8CA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6C48EC"/>
    <w:multiLevelType w:val="multilevel"/>
    <w:tmpl w:val="AAD6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CC5D81"/>
    <w:multiLevelType w:val="multilevel"/>
    <w:tmpl w:val="EB38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677A62"/>
    <w:multiLevelType w:val="multilevel"/>
    <w:tmpl w:val="9304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0F27ED"/>
    <w:multiLevelType w:val="multilevel"/>
    <w:tmpl w:val="C2F4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E95009"/>
    <w:multiLevelType w:val="multilevel"/>
    <w:tmpl w:val="661A7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2650F2"/>
    <w:multiLevelType w:val="multilevel"/>
    <w:tmpl w:val="18E6A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62095C"/>
    <w:multiLevelType w:val="multilevel"/>
    <w:tmpl w:val="65E2F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9674996">
    <w:abstractNumId w:val="8"/>
  </w:num>
  <w:num w:numId="2" w16cid:durableId="969045656">
    <w:abstractNumId w:val="4"/>
  </w:num>
  <w:num w:numId="3" w16cid:durableId="1833637403">
    <w:abstractNumId w:val="0"/>
  </w:num>
  <w:num w:numId="4" w16cid:durableId="144322266">
    <w:abstractNumId w:val="7"/>
  </w:num>
  <w:num w:numId="5" w16cid:durableId="384138382">
    <w:abstractNumId w:val="3"/>
  </w:num>
  <w:num w:numId="6" w16cid:durableId="1264921907">
    <w:abstractNumId w:val="1"/>
  </w:num>
  <w:num w:numId="7" w16cid:durableId="1026178593">
    <w:abstractNumId w:val="2"/>
  </w:num>
  <w:num w:numId="8" w16cid:durableId="187374311">
    <w:abstractNumId w:val="5"/>
  </w:num>
  <w:num w:numId="9" w16cid:durableId="11392999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3DF"/>
    <w:rsid w:val="0013397E"/>
    <w:rsid w:val="008C03DF"/>
    <w:rsid w:val="00941186"/>
    <w:rsid w:val="00BC62C3"/>
    <w:rsid w:val="00C65394"/>
    <w:rsid w:val="00CD36D3"/>
    <w:rsid w:val="00E65050"/>
    <w:rsid w:val="00EB27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FFC05D"/>
  <w15:chartTrackingRefBased/>
  <w15:docId w15:val="{D89B0135-013F-4999-9FA8-B9A91F319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03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03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03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03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03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03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03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03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03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3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03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03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03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03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03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03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03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03DF"/>
    <w:rPr>
      <w:rFonts w:eastAsiaTheme="majorEastAsia" w:cstheme="majorBidi"/>
      <w:color w:val="272727" w:themeColor="text1" w:themeTint="D8"/>
    </w:rPr>
  </w:style>
  <w:style w:type="paragraph" w:styleId="Title">
    <w:name w:val="Title"/>
    <w:basedOn w:val="Normal"/>
    <w:next w:val="Normal"/>
    <w:link w:val="TitleChar"/>
    <w:uiPriority w:val="10"/>
    <w:qFormat/>
    <w:rsid w:val="008C03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3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03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03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03DF"/>
    <w:pPr>
      <w:spacing w:before="160"/>
      <w:jc w:val="center"/>
    </w:pPr>
    <w:rPr>
      <w:i/>
      <w:iCs/>
      <w:color w:val="404040" w:themeColor="text1" w:themeTint="BF"/>
    </w:rPr>
  </w:style>
  <w:style w:type="character" w:customStyle="1" w:styleId="QuoteChar">
    <w:name w:val="Quote Char"/>
    <w:basedOn w:val="DefaultParagraphFont"/>
    <w:link w:val="Quote"/>
    <w:uiPriority w:val="29"/>
    <w:rsid w:val="008C03DF"/>
    <w:rPr>
      <w:i/>
      <w:iCs/>
      <w:color w:val="404040" w:themeColor="text1" w:themeTint="BF"/>
    </w:rPr>
  </w:style>
  <w:style w:type="paragraph" w:styleId="ListParagraph">
    <w:name w:val="List Paragraph"/>
    <w:basedOn w:val="Normal"/>
    <w:uiPriority w:val="34"/>
    <w:qFormat/>
    <w:rsid w:val="008C03DF"/>
    <w:pPr>
      <w:ind w:left="720"/>
      <w:contextualSpacing/>
    </w:pPr>
  </w:style>
  <w:style w:type="character" w:styleId="IntenseEmphasis">
    <w:name w:val="Intense Emphasis"/>
    <w:basedOn w:val="DefaultParagraphFont"/>
    <w:uiPriority w:val="21"/>
    <w:qFormat/>
    <w:rsid w:val="008C03DF"/>
    <w:rPr>
      <w:i/>
      <w:iCs/>
      <w:color w:val="0F4761" w:themeColor="accent1" w:themeShade="BF"/>
    </w:rPr>
  </w:style>
  <w:style w:type="paragraph" w:styleId="IntenseQuote">
    <w:name w:val="Intense Quote"/>
    <w:basedOn w:val="Normal"/>
    <w:next w:val="Normal"/>
    <w:link w:val="IntenseQuoteChar"/>
    <w:uiPriority w:val="30"/>
    <w:qFormat/>
    <w:rsid w:val="008C03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03DF"/>
    <w:rPr>
      <w:i/>
      <w:iCs/>
      <w:color w:val="0F4761" w:themeColor="accent1" w:themeShade="BF"/>
    </w:rPr>
  </w:style>
  <w:style w:type="character" w:styleId="IntenseReference">
    <w:name w:val="Intense Reference"/>
    <w:basedOn w:val="DefaultParagraphFont"/>
    <w:uiPriority w:val="32"/>
    <w:qFormat/>
    <w:rsid w:val="008C03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3680</Words>
  <Characters>20982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Cialeo, Christopher (OST)</dc:creator>
  <cp:lastModifiedBy>Cialeo, Christopher (OST)</cp:lastModifiedBy>
  <cp:revision>3</cp:revision>
  <dcterms:created xsi:type="dcterms:W3CDTF">2026-03-17T21:31:00Z</dcterms:created>
  <dcterms:modified xsi:type="dcterms:W3CDTF">2026-07-30T18:55:00Z</dcterms:modified>
</cp:coreProperties>
</file>