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61E0A" w:rsidRPr="00725CCA" w:rsidP="00061E0A" w14:paraId="637FA0F6" w14:textId="77777777">
      <w:pPr>
        <w:widowControl w:val="0"/>
        <w:tabs>
          <w:tab w:val="center" w:pos="4680"/>
        </w:tabs>
        <w:jc w:val="center"/>
        <w:rPr>
          <w:b/>
          <w:szCs w:val="24"/>
        </w:rPr>
      </w:pPr>
      <w:r w:rsidRPr="00725CCA">
        <w:rPr>
          <w:b/>
          <w:szCs w:val="24"/>
        </w:rPr>
        <w:t>FEDERAL RAILROAD ADMINISTRATION</w:t>
      </w:r>
    </w:p>
    <w:p w:rsidR="00061E0A" w:rsidRPr="00725CCA" w:rsidP="00061E0A" w14:paraId="324EFA59" w14:textId="77777777">
      <w:pPr>
        <w:widowControl w:val="0"/>
        <w:tabs>
          <w:tab w:val="center" w:pos="4680"/>
        </w:tabs>
        <w:jc w:val="center"/>
        <w:rPr>
          <w:b/>
          <w:bCs/>
          <w:szCs w:val="24"/>
        </w:rPr>
      </w:pPr>
      <w:r w:rsidRPr="00725CCA">
        <w:rPr>
          <w:b/>
          <w:bCs/>
          <w:szCs w:val="24"/>
        </w:rPr>
        <w:t xml:space="preserve">Passenger Equipment Safety Standards </w:t>
      </w:r>
    </w:p>
    <w:p w:rsidR="00061E0A" w:rsidRPr="00725CCA" w:rsidP="00061E0A" w14:paraId="1AE70146" w14:textId="77777777">
      <w:pPr>
        <w:widowControl w:val="0"/>
        <w:tabs>
          <w:tab w:val="center" w:pos="4680"/>
        </w:tabs>
        <w:jc w:val="center"/>
        <w:rPr>
          <w:b/>
          <w:szCs w:val="24"/>
        </w:rPr>
      </w:pPr>
      <w:r w:rsidRPr="00725CCA">
        <w:rPr>
          <w:b/>
          <w:szCs w:val="24"/>
        </w:rPr>
        <w:t>(Title 49 Code of Federal Regulations (CFR) Part 2</w:t>
      </w:r>
      <w:r>
        <w:rPr>
          <w:b/>
          <w:szCs w:val="24"/>
        </w:rPr>
        <w:t>38</w:t>
      </w:r>
      <w:r w:rsidRPr="00725CCA">
        <w:rPr>
          <w:b/>
          <w:szCs w:val="24"/>
        </w:rPr>
        <w:t>)</w:t>
      </w:r>
    </w:p>
    <w:p w:rsidR="00061E0A" w:rsidRPr="00725CCA" w:rsidP="00061E0A" w14:paraId="2B28A536" w14:textId="77777777">
      <w:pPr>
        <w:widowControl w:val="0"/>
        <w:jc w:val="center"/>
        <w:rPr>
          <w:b/>
          <w:szCs w:val="24"/>
        </w:rPr>
      </w:pPr>
      <w:r w:rsidRPr="00725CCA">
        <w:rPr>
          <w:b/>
          <w:szCs w:val="24"/>
        </w:rPr>
        <w:t>SUPPORTING JUSTIFICATION</w:t>
      </w:r>
    </w:p>
    <w:p w:rsidR="00061E0A" w:rsidRPr="00725CCA" w:rsidP="00061E0A" w14:paraId="5156C6BB" w14:textId="7EC6A7B5">
      <w:pPr>
        <w:widowControl w:val="0"/>
        <w:jc w:val="center"/>
        <w:rPr>
          <w:b/>
          <w:szCs w:val="24"/>
        </w:rPr>
      </w:pPr>
      <w:r>
        <w:rPr>
          <w:b/>
          <w:szCs w:val="24"/>
        </w:rPr>
        <w:t xml:space="preserve">RIN 2130-AD24; </w:t>
      </w:r>
      <w:r w:rsidRPr="00725CCA">
        <w:rPr>
          <w:b/>
          <w:szCs w:val="24"/>
        </w:rPr>
        <w:t>OMB Control No. 2130-</w:t>
      </w:r>
      <w:r>
        <w:rPr>
          <w:b/>
          <w:szCs w:val="24"/>
        </w:rPr>
        <w:t>0544</w:t>
      </w:r>
    </w:p>
    <w:p w:rsidR="00AD1B17" w14:paraId="439CDB94" w14:textId="77777777">
      <w:pPr>
        <w:rPr>
          <w:color w:val="000000"/>
          <w:szCs w:val="24"/>
          <w:shd w:val="clear" w:color="auto" w:fill="FFFFFF"/>
        </w:rPr>
      </w:pPr>
    </w:p>
    <w:p w:rsidR="0002145C" w14:paraId="6E048C61" w14:textId="60714604">
      <w:pPr>
        <w:rPr>
          <w:rFonts w:eastAsia="Calibri"/>
          <w:bCs/>
          <w:szCs w:val="24"/>
        </w:rPr>
      </w:pPr>
      <w:r w:rsidRPr="008C35C6">
        <w:rPr>
          <w:rFonts w:eastAsia="Calibri"/>
          <w:bCs/>
          <w:szCs w:val="24"/>
        </w:rPr>
        <w:t>This non-substantive change updates</w:t>
      </w:r>
      <w:r w:rsidRPr="008C35C6">
        <w:rPr>
          <w:rFonts w:eastAsia="Calibri"/>
          <w:szCs w:val="24"/>
        </w:rPr>
        <w:t xml:space="preserve"> </w:t>
      </w:r>
      <w:r w:rsidRPr="008C35C6">
        <w:rPr>
          <w:rFonts w:eastAsia="Calibri"/>
          <w:bCs/>
          <w:szCs w:val="24"/>
        </w:rPr>
        <w:t xml:space="preserve">the recently submitted renewal for </w:t>
      </w:r>
      <w:r>
        <w:rPr>
          <w:rFonts w:eastAsia="Calibri"/>
          <w:bCs/>
          <w:szCs w:val="24"/>
        </w:rPr>
        <w:t>Passenger Equipment Safety Standards</w:t>
      </w:r>
      <w:r w:rsidRPr="008C35C6">
        <w:rPr>
          <w:b/>
          <w:bCs/>
          <w:szCs w:val="24"/>
        </w:rPr>
        <w:t xml:space="preserve"> </w:t>
      </w:r>
      <w:r w:rsidRPr="008C35C6">
        <w:rPr>
          <w:rFonts w:eastAsia="Calibri"/>
          <w:bCs/>
          <w:szCs w:val="24"/>
        </w:rPr>
        <w:t>information collection, OMB control no. 2130-</w:t>
      </w:r>
      <w:r>
        <w:rPr>
          <w:rFonts w:eastAsia="Calibri"/>
          <w:bCs/>
          <w:szCs w:val="24"/>
        </w:rPr>
        <w:t>0544</w:t>
      </w:r>
      <w:r w:rsidR="0033697F">
        <w:rPr>
          <w:rFonts w:eastAsia="Calibri"/>
          <w:bCs/>
          <w:szCs w:val="24"/>
        </w:rPr>
        <w:t>. OMB last approved this ICR on September 25, 2025, with a new expiration date of September 30, 2028</w:t>
      </w:r>
    </w:p>
    <w:p w:rsidR="0002145C" w14:paraId="389991DF" w14:textId="77777777">
      <w:pPr>
        <w:rPr>
          <w:rFonts w:eastAsia="Calibri"/>
          <w:bCs/>
          <w:szCs w:val="24"/>
        </w:rPr>
      </w:pPr>
    </w:p>
    <w:p w:rsidR="00061E0A" w14:paraId="34197C86" w14:textId="3F8A52DC">
      <w:pPr>
        <w:rPr>
          <w:rFonts w:ascii="Arial" w:hAnsi="Arial" w:cs="Arial"/>
          <w:color w:val="000000"/>
          <w:sz w:val="18"/>
          <w:szCs w:val="18"/>
          <w:shd w:val="clear" w:color="auto" w:fill="FFFFFF"/>
        </w:rPr>
      </w:pPr>
      <w:r w:rsidRPr="00061E0A">
        <w:rPr>
          <w:color w:val="000000"/>
          <w:szCs w:val="24"/>
          <w:shd w:val="clear" w:color="auto" w:fill="FFFFFF"/>
        </w:rPr>
        <w:t>The information collection under 49 CFR part 238 is used by FRA to promote passenger train safety by ensuring requirements are met for railroad equipment design and performance, fire safety, emergency systems, inspection, testing, and maintenance, and other provisions for the safe operation of railroad passenger equipment. For instance, the information collected from daily inspections is used to detect and correct equipment problems in order to prevent, to the extent that they can be prevented, collisions, derailments, and other occurrences involving railroad passenger equipment that cause injury or death to railroad employees, railroad passengers, or to the general public. This collection of information is mandatory, collected as needed, and it involves both reporting and recordkeeping requirements</w:t>
      </w:r>
      <w:r>
        <w:rPr>
          <w:rFonts w:ascii="Arial" w:hAnsi="Arial" w:cs="Arial"/>
          <w:color w:val="000000"/>
          <w:sz w:val="18"/>
          <w:szCs w:val="18"/>
          <w:shd w:val="clear" w:color="auto" w:fill="FFFFFF"/>
        </w:rPr>
        <w:t>.</w:t>
      </w:r>
    </w:p>
    <w:p w:rsidR="008C35C6" w14:paraId="7527D9A2" w14:textId="77777777">
      <w:pPr>
        <w:rPr>
          <w:color w:val="000000"/>
          <w:szCs w:val="24"/>
          <w:shd w:val="clear" w:color="auto" w:fill="FFFFFF"/>
        </w:rPr>
      </w:pPr>
    </w:p>
    <w:p w:rsidR="0002145C" w:rsidRPr="0002145C" w:rsidP="0002145C" w14:paraId="1B2AEF65" w14:textId="7056B95D">
      <w:pPr>
        <w:spacing w:after="160" w:line="259" w:lineRule="auto"/>
        <w:rPr>
          <w:rFonts w:eastAsia="Calibri"/>
          <w:bCs/>
          <w:szCs w:val="24"/>
        </w:rPr>
      </w:pPr>
      <w:bookmarkStart w:id="0" w:name="_Hlk200533233"/>
      <w:r w:rsidRPr="008C35C6">
        <w:rPr>
          <w:rFonts w:eastAsia="Calibri"/>
          <w:bCs/>
          <w:szCs w:val="24"/>
        </w:rPr>
        <w:t>On</w:t>
      </w:r>
      <w:r w:rsidR="00DC76B9">
        <w:rPr>
          <w:rFonts w:eastAsia="Calibri"/>
          <w:bCs/>
          <w:szCs w:val="24"/>
        </w:rPr>
        <w:t xml:space="preserve"> August 31</w:t>
      </w:r>
      <w:r w:rsidRPr="008C35C6">
        <w:rPr>
          <w:rFonts w:eastAsia="Calibri"/>
          <w:bCs/>
          <w:szCs w:val="24"/>
        </w:rPr>
        <w:t>, 202</w:t>
      </w:r>
      <w:r>
        <w:rPr>
          <w:rFonts w:eastAsia="Calibri"/>
          <w:bCs/>
          <w:szCs w:val="24"/>
        </w:rPr>
        <w:t>6</w:t>
      </w:r>
      <w:r w:rsidRPr="008C35C6">
        <w:rPr>
          <w:rFonts w:eastAsia="Calibri"/>
          <w:bCs/>
          <w:szCs w:val="24"/>
        </w:rPr>
        <w:t xml:space="preserve">, FRA issued a </w:t>
      </w:r>
      <w:r w:rsidR="00B379F6">
        <w:rPr>
          <w:rFonts w:eastAsia="Calibri"/>
          <w:bCs/>
          <w:szCs w:val="24"/>
        </w:rPr>
        <w:t>final rule</w:t>
      </w:r>
      <w:r w:rsidRPr="008C35C6">
        <w:rPr>
          <w:rFonts w:eastAsia="Calibri"/>
          <w:bCs/>
          <w:szCs w:val="24"/>
        </w:rPr>
        <w:t xml:space="preserve"> </w:t>
      </w:r>
      <w:r w:rsidR="00B379F6">
        <w:rPr>
          <w:rFonts w:eastAsia="Calibri"/>
          <w:bCs/>
          <w:szCs w:val="24"/>
        </w:rPr>
        <w:t>titled</w:t>
      </w:r>
      <w:r w:rsidR="0046564D">
        <w:rPr>
          <w:rFonts w:eastAsia="Calibri"/>
          <w:bCs/>
          <w:szCs w:val="24"/>
        </w:rPr>
        <w:t xml:space="preserve"> </w:t>
      </w:r>
      <w:r w:rsidRPr="0002145C">
        <w:rPr>
          <w:rFonts w:eastAsia="Calibri"/>
          <w:bCs/>
          <w:szCs w:val="24"/>
          <w:u w:val="single"/>
        </w:rPr>
        <w:t>Amendments to Brake System maintenance and Inspection Requirements</w:t>
      </w:r>
      <w:r>
        <w:rPr>
          <w:rFonts w:eastAsia="Calibri"/>
          <w:bCs/>
          <w:szCs w:val="24"/>
        </w:rPr>
        <w:t>.</w:t>
      </w:r>
      <w:r>
        <w:rPr>
          <w:rStyle w:val="FootnoteReference"/>
          <w:rFonts w:eastAsia="Calibri"/>
          <w:bCs/>
          <w:szCs w:val="24"/>
        </w:rPr>
        <w:footnoteReference w:id="2"/>
      </w:r>
      <w:r>
        <w:rPr>
          <w:rFonts w:eastAsia="Calibri"/>
          <w:bCs/>
          <w:szCs w:val="24"/>
        </w:rPr>
        <w:t xml:space="preserve"> </w:t>
      </w:r>
      <w:r w:rsidRPr="0002145C">
        <w:rPr>
          <w:rFonts w:eastAsia="Calibri"/>
          <w:bCs/>
          <w:szCs w:val="24"/>
        </w:rPr>
        <w:t xml:space="preserve">This rule amends mechanical equipment safety standards related to brake inspections for passenger and freight rail equipment and incorporates longstanding waivers for locomotive brake system maintenance and inspection requirements. The amendments are consistent with the mandates of the Infrastructure Investment and Jobs Act (IIJA), which require FRA to review and analyze certain longstanding waivers to determine whether incorporating the waivers into FRA’s regulations is justified, and the Executive Order for Ensuring Lawful Governance and Implementing the President’s “Department of Government Efficiency” Deregulatory Initiative. </w:t>
      </w:r>
    </w:p>
    <w:p w:rsidR="00061E0A" w:rsidRPr="00061E0A" w:rsidP="00061E0A" w14:paraId="26B922BF" w14:textId="77777777">
      <w:pPr>
        <w:widowControl w:val="0"/>
        <w:tabs>
          <w:tab w:val="left" w:pos="210"/>
          <w:tab w:val="center" w:pos="4680"/>
        </w:tabs>
        <w:spacing w:after="200"/>
        <w:rPr>
          <w:rFonts w:eastAsia="Calibri"/>
          <w:b/>
          <w:szCs w:val="24"/>
          <w:u w:val="single"/>
        </w:rPr>
      </w:pPr>
      <w:r w:rsidRPr="00061E0A">
        <w:rPr>
          <w:rFonts w:eastAsia="Calibri"/>
          <w:b/>
          <w:szCs w:val="24"/>
          <w:u w:val="single"/>
        </w:rPr>
        <w:t>Justification:</w:t>
      </w:r>
    </w:p>
    <w:p w:rsidR="00061E0A" w:rsidRPr="00061E0A" w:rsidP="00061E0A" w14:paraId="2776C4C4" w14:textId="77777777">
      <w:pPr>
        <w:widowControl w:val="0"/>
        <w:spacing w:after="200"/>
        <w:rPr>
          <w:rFonts w:eastAsia="Calibri"/>
          <w:szCs w:val="24"/>
        </w:rPr>
      </w:pPr>
      <w:r w:rsidRPr="00061E0A">
        <w:rPr>
          <w:rFonts w:eastAsia="Calibri"/>
          <w:szCs w:val="24"/>
        </w:rPr>
        <w:t>As described above, the non-substantive changes to this collection are:</w:t>
      </w:r>
    </w:p>
    <w:p w:rsidR="00061E0A" w:rsidRPr="00061E0A" w:rsidP="00061E0A" w14:paraId="1C50B8D6" w14:textId="6D9A13A0">
      <w:pPr>
        <w:widowControl w:val="0"/>
        <w:numPr>
          <w:ilvl w:val="0"/>
          <w:numId w:val="1"/>
        </w:numPr>
        <w:autoSpaceDE w:val="0"/>
        <w:autoSpaceDN w:val="0"/>
        <w:adjustRightInd w:val="0"/>
        <w:spacing w:after="160" w:line="259" w:lineRule="auto"/>
        <w:rPr>
          <w:rFonts w:eastAsia="Calibri"/>
          <w:bCs/>
          <w:szCs w:val="24"/>
        </w:rPr>
      </w:pPr>
      <w:r>
        <w:rPr>
          <w:rFonts w:eastAsia="Calibri"/>
          <w:szCs w:val="24"/>
        </w:rPr>
        <w:t>D</w:t>
      </w:r>
      <w:r>
        <w:rPr>
          <w:rFonts w:eastAsia="Calibri"/>
          <w:szCs w:val="24"/>
        </w:rPr>
        <w:t>ecrease</w:t>
      </w:r>
      <w:r w:rsidRPr="00061E0A">
        <w:rPr>
          <w:rFonts w:eastAsia="Calibri"/>
          <w:szCs w:val="24"/>
        </w:rPr>
        <w:t xml:space="preserve"> the currently approved burden hours for § 2</w:t>
      </w:r>
      <w:r>
        <w:rPr>
          <w:rFonts w:eastAsia="Calibri"/>
          <w:szCs w:val="24"/>
        </w:rPr>
        <w:t>38</w:t>
      </w:r>
      <w:r w:rsidRPr="00061E0A">
        <w:rPr>
          <w:rFonts w:eastAsia="Calibri"/>
          <w:szCs w:val="24"/>
        </w:rPr>
        <w:t>.</w:t>
      </w:r>
      <w:r>
        <w:rPr>
          <w:rFonts w:eastAsia="Calibri"/>
          <w:szCs w:val="24"/>
        </w:rPr>
        <w:t>7</w:t>
      </w:r>
      <w:r w:rsidRPr="00061E0A">
        <w:rPr>
          <w:rFonts w:eastAsia="Calibri"/>
          <w:szCs w:val="24"/>
        </w:rPr>
        <w:t xml:space="preserve"> from </w:t>
      </w:r>
      <w:r>
        <w:rPr>
          <w:rFonts w:eastAsia="Calibri"/>
          <w:bCs/>
          <w:szCs w:val="24"/>
        </w:rPr>
        <w:t>72 hours to 18</w:t>
      </w:r>
      <w:r w:rsidRPr="00061E0A">
        <w:rPr>
          <w:rFonts w:eastAsia="Calibri"/>
          <w:bCs/>
          <w:szCs w:val="24"/>
        </w:rPr>
        <w:t xml:space="preserve"> hours. This will </w:t>
      </w:r>
      <w:r>
        <w:rPr>
          <w:rFonts w:eastAsia="Calibri"/>
          <w:bCs/>
          <w:szCs w:val="24"/>
        </w:rPr>
        <w:t>decrease</w:t>
      </w:r>
      <w:r w:rsidRPr="00061E0A">
        <w:rPr>
          <w:rFonts w:eastAsia="Calibri"/>
          <w:bCs/>
          <w:szCs w:val="24"/>
        </w:rPr>
        <w:t xml:space="preserve"> the burden by</w:t>
      </w:r>
      <w:r>
        <w:rPr>
          <w:rFonts w:eastAsia="Calibri"/>
          <w:bCs/>
          <w:szCs w:val="24"/>
        </w:rPr>
        <w:t xml:space="preserve"> 54</w:t>
      </w:r>
      <w:r>
        <w:rPr>
          <w:rFonts w:eastAsia="Calibri"/>
          <w:bCs/>
          <w:szCs w:val="24"/>
        </w:rPr>
        <w:t xml:space="preserve"> </w:t>
      </w:r>
      <w:r w:rsidRPr="00061E0A">
        <w:rPr>
          <w:rFonts w:eastAsia="Calibri"/>
          <w:bCs/>
          <w:szCs w:val="24"/>
        </w:rPr>
        <w:t xml:space="preserve">hours from </w:t>
      </w:r>
      <w:r>
        <w:rPr>
          <w:rFonts w:eastAsia="Calibri"/>
          <w:bCs/>
          <w:szCs w:val="24"/>
        </w:rPr>
        <w:t>95,947</w:t>
      </w:r>
      <w:r w:rsidR="0002145C">
        <w:rPr>
          <w:rFonts w:eastAsia="Calibri"/>
          <w:bCs/>
          <w:szCs w:val="24"/>
        </w:rPr>
        <w:t xml:space="preserve"> </w:t>
      </w:r>
      <w:r w:rsidR="008C35C6">
        <w:rPr>
          <w:rFonts w:eastAsia="Calibri"/>
          <w:bCs/>
          <w:szCs w:val="24"/>
        </w:rPr>
        <w:t>to</w:t>
      </w:r>
      <w:r>
        <w:rPr>
          <w:rFonts w:eastAsia="Calibri"/>
          <w:bCs/>
          <w:szCs w:val="24"/>
        </w:rPr>
        <w:t xml:space="preserve"> 95,893</w:t>
      </w:r>
      <w:r w:rsidRPr="00061E0A">
        <w:rPr>
          <w:rFonts w:eastAsia="Calibri"/>
          <w:bCs/>
          <w:szCs w:val="24"/>
        </w:rPr>
        <w:t xml:space="preserve"> hours for the entire collection.  </w:t>
      </w:r>
    </w:p>
    <w:p w:rsidR="00061E0A" w:rsidRPr="008C35C6" w:rsidP="00061E0A" w14:paraId="28F6FF9E" w14:textId="5B8DC763">
      <w:pPr>
        <w:widowControl w:val="0"/>
        <w:numPr>
          <w:ilvl w:val="0"/>
          <w:numId w:val="1"/>
        </w:numPr>
        <w:spacing w:after="160" w:line="259" w:lineRule="auto"/>
      </w:pPr>
      <w:r>
        <w:rPr>
          <w:szCs w:val="24"/>
        </w:rPr>
        <w:t>FRA has amended §238.307 to require the execution and passing of a self-test of all EAB systems as part of the 368-day periodic mechanical inspections. This amendment incorporates longstanding waivers for locomotive brake system maintenance and inspection requirements, reducing the burden hours associated with waiver petitions under §238.7</w:t>
      </w:r>
      <w:r w:rsidR="008D473A">
        <w:rPr>
          <w:szCs w:val="24"/>
        </w:rPr>
        <w:t xml:space="preserve"> that will be submitted to FRA for approval. </w:t>
      </w:r>
    </w:p>
    <w:p w:rsidR="008C35C6" w:rsidRPr="009D6413" w:rsidP="008C35C6" w14:paraId="1542AC1C" w14:textId="6926F974">
      <w:pPr>
        <w:widowControl w:val="0"/>
        <w:numPr>
          <w:ilvl w:val="0"/>
          <w:numId w:val="1"/>
        </w:numPr>
        <w:rPr>
          <w:szCs w:val="24"/>
        </w:rPr>
      </w:pPr>
      <w:r w:rsidRPr="009D6413">
        <w:rPr>
          <w:szCs w:val="24"/>
        </w:rPr>
        <w:t>No other changes have been made to this collection.</w:t>
      </w:r>
    </w:p>
    <w:p w:rsidR="008C35C6" w:rsidRPr="0002145C" w:rsidP="008C35C6" w14:paraId="39D16AA4" w14:textId="53897232">
      <w:pPr>
        <w:widowControl w:val="0"/>
        <w:autoSpaceDE w:val="0"/>
        <w:autoSpaceDN w:val="0"/>
        <w:adjustRightInd w:val="0"/>
        <w:ind w:left="360"/>
        <w:rPr>
          <w:rFonts w:eastAsia="Calibri"/>
          <w:bCs/>
          <w:szCs w:val="24"/>
          <w:u w:val="single"/>
        </w:rPr>
      </w:pPr>
      <w:r w:rsidRPr="0002145C">
        <w:rPr>
          <w:rFonts w:eastAsia="Calibri"/>
          <w:bCs/>
          <w:szCs w:val="24"/>
          <w:u w:val="single"/>
        </w:rPr>
        <w:t>Previous Burden Information:</w:t>
      </w:r>
    </w:p>
    <w:tbl>
      <w:tblPr>
        <w:tblpPr w:leftFromText="180" w:rightFromText="180" w:vertAnchor="text" w:horzAnchor="margin" w:tblpY="204"/>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48"/>
        <w:gridCol w:w="1195"/>
        <w:gridCol w:w="1302"/>
        <w:gridCol w:w="1260"/>
        <w:gridCol w:w="1260"/>
        <w:gridCol w:w="1620"/>
      </w:tblGrid>
      <w:tr w14:paraId="75D9156A" w14:textId="77777777" w:rsidTr="0046564D">
        <w:tblPrEx>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50"/>
        </w:trPr>
        <w:tc>
          <w:tcPr>
            <w:tcW w:w="0" w:type="auto"/>
            <w:shd w:val="clear" w:color="auto" w:fill="auto"/>
          </w:tcPr>
          <w:p w:rsidR="00061E0A" w:rsidRPr="00061E0A" w:rsidP="00061E0A" w14:paraId="4A50A081" w14:textId="77777777">
            <w:pPr>
              <w:rPr>
                <w:color w:val="000000"/>
                <w:sz w:val="20"/>
                <w:highlight w:val="yellow"/>
              </w:rPr>
            </w:pPr>
            <w:r w:rsidRPr="00061E0A">
              <w:rPr>
                <w:rFonts w:eastAsia="Calibri"/>
                <w:color w:val="000000"/>
                <w:sz w:val="20"/>
                <w:szCs w:val="22"/>
              </w:rPr>
              <w:t>CFR Section</w:t>
            </w:r>
          </w:p>
        </w:tc>
        <w:tc>
          <w:tcPr>
            <w:tcW w:w="1195" w:type="dxa"/>
            <w:shd w:val="clear" w:color="auto" w:fill="auto"/>
          </w:tcPr>
          <w:p w:rsidR="00061E0A" w:rsidRPr="00061E0A" w:rsidP="00061E0A" w14:paraId="122A6423" w14:textId="77777777">
            <w:pPr>
              <w:jc w:val="center"/>
              <w:rPr>
                <w:color w:val="000000"/>
                <w:sz w:val="20"/>
                <w:highlight w:val="yellow"/>
              </w:rPr>
            </w:pPr>
            <w:r w:rsidRPr="00061E0A">
              <w:rPr>
                <w:rFonts w:eastAsia="Calibri"/>
                <w:color w:val="000000"/>
                <w:sz w:val="20"/>
                <w:szCs w:val="22"/>
              </w:rPr>
              <w:t>Respondent universe</w:t>
            </w:r>
          </w:p>
        </w:tc>
        <w:tc>
          <w:tcPr>
            <w:tcW w:w="1302" w:type="dxa"/>
            <w:shd w:val="clear" w:color="auto" w:fill="auto"/>
          </w:tcPr>
          <w:p w:rsidR="00061E0A" w:rsidRPr="00061E0A" w:rsidP="00061E0A" w14:paraId="7F503C12" w14:textId="77777777">
            <w:pPr>
              <w:spacing w:after="200" w:line="276" w:lineRule="auto"/>
              <w:jc w:val="center"/>
              <w:rPr>
                <w:color w:val="000000"/>
                <w:sz w:val="20"/>
                <w:highlight w:val="yellow"/>
              </w:rPr>
            </w:pPr>
            <w:r w:rsidRPr="00061E0A">
              <w:rPr>
                <w:rFonts w:eastAsia="Calibri"/>
                <w:color w:val="000000"/>
                <w:sz w:val="20"/>
                <w:szCs w:val="22"/>
              </w:rPr>
              <w:t>Total annual responses (A)</w:t>
            </w:r>
          </w:p>
        </w:tc>
        <w:tc>
          <w:tcPr>
            <w:tcW w:w="1260" w:type="dxa"/>
            <w:shd w:val="clear" w:color="auto" w:fill="auto"/>
          </w:tcPr>
          <w:p w:rsidR="00061E0A" w:rsidRPr="00061E0A" w:rsidP="00061E0A" w14:paraId="441D88EF" w14:textId="77777777">
            <w:pPr>
              <w:jc w:val="center"/>
              <w:rPr>
                <w:rFonts w:eastAsia="Calibri"/>
                <w:color w:val="000000"/>
                <w:sz w:val="20"/>
                <w:szCs w:val="22"/>
              </w:rPr>
            </w:pPr>
            <w:r w:rsidRPr="00061E0A">
              <w:rPr>
                <w:rFonts w:eastAsia="Calibri"/>
                <w:color w:val="000000"/>
                <w:sz w:val="20"/>
                <w:szCs w:val="22"/>
              </w:rPr>
              <w:t xml:space="preserve">Average time per response </w:t>
            </w:r>
          </w:p>
          <w:p w:rsidR="00061E0A" w:rsidRPr="00061E0A" w:rsidP="00061E0A" w14:paraId="3C1AFF2F" w14:textId="77777777">
            <w:pPr>
              <w:jc w:val="center"/>
              <w:rPr>
                <w:color w:val="000000"/>
                <w:sz w:val="20"/>
                <w:highlight w:val="yellow"/>
              </w:rPr>
            </w:pPr>
            <w:r w:rsidRPr="00061E0A">
              <w:rPr>
                <w:rFonts w:eastAsia="Calibri"/>
                <w:color w:val="000000"/>
                <w:sz w:val="20"/>
                <w:szCs w:val="22"/>
              </w:rPr>
              <w:t>(B)</w:t>
            </w:r>
          </w:p>
        </w:tc>
        <w:tc>
          <w:tcPr>
            <w:tcW w:w="1260" w:type="dxa"/>
            <w:shd w:val="clear" w:color="auto" w:fill="auto"/>
          </w:tcPr>
          <w:p w:rsidR="00061E0A" w:rsidRPr="00061E0A" w:rsidP="00061E0A" w14:paraId="72BC770D" w14:textId="77777777">
            <w:pPr>
              <w:jc w:val="center"/>
              <w:rPr>
                <w:rFonts w:eastAsia="Calibri"/>
                <w:color w:val="000000"/>
                <w:sz w:val="20"/>
                <w:szCs w:val="22"/>
              </w:rPr>
            </w:pPr>
            <w:r w:rsidRPr="00061E0A">
              <w:rPr>
                <w:rFonts w:eastAsia="Calibri"/>
                <w:color w:val="000000"/>
                <w:sz w:val="20"/>
                <w:szCs w:val="22"/>
              </w:rPr>
              <w:t xml:space="preserve">Total annual burden hours </w:t>
            </w:r>
          </w:p>
          <w:p w:rsidR="00061E0A" w:rsidRPr="00061E0A" w:rsidP="00061E0A" w14:paraId="43302AC7" w14:textId="77777777">
            <w:pPr>
              <w:jc w:val="center"/>
              <w:rPr>
                <w:color w:val="000000"/>
                <w:sz w:val="20"/>
                <w:highlight w:val="yellow"/>
              </w:rPr>
            </w:pPr>
            <w:r w:rsidRPr="00061E0A">
              <w:rPr>
                <w:rFonts w:eastAsia="Calibri"/>
                <w:color w:val="000000"/>
                <w:sz w:val="20"/>
                <w:szCs w:val="22"/>
              </w:rPr>
              <w:t>(C = A * B)</w:t>
            </w:r>
          </w:p>
        </w:tc>
        <w:tc>
          <w:tcPr>
            <w:tcW w:w="1620" w:type="dxa"/>
            <w:shd w:val="clear" w:color="auto" w:fill="auto"/>
          </w:tcPr>
          <w:p w:rsidR="00AD1B17" w:rsidP="00061E0A" w14:paraId="2BB3FE53" w14:textId="77777777">
            <w:pPr>
              <w:jc w:val="center"/>
              <w:rPr>
                <w:rFonts w:eastAsia="Calibri"/>
                <w:color w:val="000000"/>
                <w:sz w:val="20"/>
                <w:szCs w:val="22"/>
              </w:rPr>
            </w:pPr>
            <w:r w:rsidRPr="00061E0A">
              <w:rPr>
                <w:rFonts w:eastAsia="Calibri"/>
                <w:color w:val="000000"/>
                <w:sz w:val="20"/>
                <w:szCs w:val="22"/>
              </w:rPr>
              <w:t xml:space="preserve">Total cost equivalent in U.S. dollar </w:t>
            </w:r>
            <w:r w:rsidRPr="00061E0A">
              <w:rPr>
                <w:rFonts w:eastAsia="Calibri"/>
                <w:color w:val="000000"/>
                <w:sz w:val="20"/>
                <w:szCs w:val="22"/>
              </w:rPr>
              <w:br/>
              <w:t xml:space="preserve">(D = C * </w:t>
            </w:r>
          </w:p>
          <w:p w:rsidR="00061E0A" w:rsidRPr="00061E0A" w:rsidP="00061E0A" w14:paraId="29E5F447" w14:textId="16393507">
            <w:pPr>
              <w:jc w:val="center"/>
              <w:rPr>
                <w:color w:val="000000"/>
                <w:sz w:val="20"/>
                <w:highlight w:val="yellow"/>
              </w:rPr>
            </w:pPr>
            <w:r w:rsidRPr="00061E0A">
              <w:rPr>
                <w:rFonts w:eastAsia="Calibri"/>
                <w:color w:val="000000"/>
                <w:sz w:val="20"/>
                <w:szCs w:val="22"/>
              </w:rPr>
              <w:t>wage rates)</w:t>
            </w:r>
            <w:r>
              <w:rPr>
                <w:rFonts w:eastAsia="Calibri"/>
                <w:color w:val="000000"/>
                <w:sz w:val="20"/>
                <w:szCs w:val="22"/>
                <w:vertAlign w:val="superscript"/>
              </w:rPr>
              <w:footnoteReference w:id="3"/>
            </w:r>
          </w:p>
        </w:tc>
      </w:tr>
      <w:tr w14:paraId="7FC29BAD" w14:textId="77777777" w:rsidTr="00AD1B17">
        <w:tblPrEx>
          <w:tblW w:w="9085" w:type="dxa"/>
          <w:tblLook w:val="04A0"/>
        </w:tblPrEx>
        <w:trPr>
          <w:trHeight w:val="710"/>
        </w:trPr>
        <w:tc>
          <w:tcPr>
            <w:tcW w:w="0" w:type="auto"/>
            <w:shd w:val="clear" w:color="auto" w:fill="auto"/>
          </w:tcPr>
          <w:p w:rsidR="00061E0A" w:rsidRPr="00061E0A" w:rsidP="001A28B6" w14:paraId="362D22F8" w14:textId="1187120E">
            <w:pPr>
              <w:spacing w:line="256" w:lineRule="auto"/>
              <w:rPr>
                <w:color w:val="000000"/>
                <w:sz w:val="20"/>
              </w:rPr>
            </w:pPr>
            <w:r>
              <w:rPr>
                <w:sz w:val="20"/>
                <w:szCs w:val="24"/>
              </w:rPr>
              <w:t xml:space="preserve">238.7 </w:t>
            </w:r>
            <w:r w:rsidRPr="008A7137">
              <w:rPr>
                <w:sz w:val="20"/>
                <w:szCs w:val="24"/>
              </w:rPr>
              <w:t>(a) through (c) Petition for waiver of compliance under this section.</w:t>
            </w:r>
          </w:p>
        </w:tc>
        <w:tc>
          <w:tcPr>
            <w:tcW w:w="1195" w:type="dxa"/>
            <w:shd w:val="clear" w:color="auto" w:fill="auto"/>
          </w:tcPr>
          <w:p w:rsidR="00061E0A" w:rsidP="0046564D" w14:paraId="2DCF64E4" w14:textId="77777777">
            <w:pPr>
              <w:jc w:val="center"/>
              <w:rPr>
                <w:color w:val="000000"/>
                <w:sz w:val="20"/>
              </w:rPr>
            </w:pPr>
            <w:r>
              <w:rPr>
                <w:color w:val="000000"/>
                <w:sz w:val="20"/>
              </w:rPr>
              <w:t>34</w:t>
            </w:r>
          </w:p>
          <w:p w:rsidR="00B379F6" w:rsidRPr="00061E0A" w:rsidP="0046564D" w14:paraId="1E3E3AB4" w14:textId="5DB02B95">
            <w:pPr>
              <w:jc w:val="center"/>
              <w:rPr>
                <w:color w:val="000000"/>
                <w:sz w:val="20"/>
              </w:rPr>
            </w:pPr>
            <w:r>
              <w:rPr>
                <w:color w:val="000000"/>
                <w:sz w:val="20"/>
              </w:rPr>
              <w:t>railroads</w:t>
            </w:r>
          </w:p>
        </w:tc>
        <w:tc>
          <w:tcPr>
            <w:tcW w:w="1302" w:type="dxa"/>
            <w:shd w:val="clear" w:color="auto" w:fill="auto"/>
          </w:tcPr>
          <w:p w:rsidR="00061E0A" w:rsidRPr="00061E0A" w:rsidP="0046564D" w14:paraId="545EC682" w14:textId="5104F9A0">
            <w:pPr>
              <w:jc w:val="center"/>
              <w:rPr>
                <w:color w:val="000000"/>
                <w:sz w:val="20"/>
              </w:rPr>
            </w:pPr>
            <w:r>
              <w:rPr>
                <w:color w:val="000000"/>
                <w:sz w:val="20"/>
              </w:rPr>
              <w:t>12</w:t>
            </w:r>
          </w:p>
        </w:tc>
        <w:tc>
          <w:tcPr>
            <w:tcW w:w="1260" w:type="dxa"/>
            <w:shd w:val="clear" w:color="auto" w:fill="auto"/>
          </w:tcPr>
          <w:p w:rsidR="00061E0A" w:rsidP="00061E0A" w14:paraId="7E1E37E7" w14:textId="77777777">
            <w:pPr>
              <w:jc w:val="center"/>
              <w:rPr>
                <w:color w:val="000000"/>
                <w:sz w:val="20"/>
              </w:rPr>
            </w:pPr>
            <w:r>
              <w:rPr>
                <w:color w:val="000000"/>
                <w:sz w:val="20"/>
              </w:rPr>
              <w:t>6</w:t>
            </w:r>
          </w:p>
          <w:p w:rsidR="00B379F6" w:rsidRPr="00061E0A" w:rsidP="00061E0A" w14:paraId="34D28007" w14:textId="2D7E095A">
            <w:pPr>
              <w:jc w:val="center"/>
              <w:rPr>
                <w:color w:val="000000"/>
                <w:sz w:val="20"/>
              </w:rPr>
            </w:pPr>
            <w:r>
              <w:rPr>
                <w:color w:val="000000"/>
                <w:sz w:val="20"/>
              </w:rPr>
              <w:t>hours</w:t>
            </w:r>
          </w:p>
        </w:tc>
        <w:tc>
          <w:tcPr>
            <w:tcW w:w="1260" w:type="dxa"/>
            <w:shd w:val="clear" w:color="auto" w:fill="auto"/>
          </w:tcPr>
          <w:p w:rsidR="00061E0A" w:rsidP="00061E0A" w14:paraId="1BCE4C84" w14:textId="77777777">
            <w:pPr>
              <w:jc w:val="center"/>
              <w:rPr>
                <w:color w:val="000000"/>
                <w:sz w:val="20"/>
              </w:rPr>
            </w:pPr>
            <w:r>
              <w:rPr>
                <w:color w:val="000000"/>
                <w:sz w:val="20"/>
              </w:rPr>
              <w:t>72</w:t>
            </w:r>
          </w:p>
          <w:p w:rsidR="00B379F6" w:rsidRPr="00061E0A" w:rsidP="00061E0A" w14:paraId="5F4F4393" w14:textId="1D1E97C5">
            <w:pPr>
              <w:jc w:val="center"/>
              <w:rPr>
                <w:color w:val="000000"/>
                <w:sz w:val="20"/>
              </w:rPr>
            </w:pPr>
            <w:r>
              <w:rPr>
                <w:color w:val="000000"/>
                <w:sz w:val="20"/>
              </w:rPr>
              <w:t>hours</w:t>
            </w:r>
          </w:p>
        </w:tc>
        <w:tc>
          <w:tcPr>
            <w:tcW w:w="1620" w:type="dxa"/>
            <w:shd w:val="clear" w:color="auto" w:fill="auto"/>
          </w:tcPr>
          <w:p w:rsidR="00061E0A" w:rsidRPr="00061E0A" w:rsidP="00F45492" w14:paraId="7EE058FB" w14:textId="6979C732">
            <w:pPr>
              <w:jc w:val="center"/>
              <w:rPr>
                <w:color w:val="000000"/>
                <w:sz w:val="20"/>
              </w:rPr>
            </w:pPr>
            <w:r>
              <w:rPr>
                <w:color w:val="000000"/>
                <w:sz w:val="20"/>
              </w:rPr>
              <w:t>$</w:t>
            </w:r>
            <w:r w:rsidR="00F45492">
              <w:rPr>
                <w:color w:val="000000"/>
                <w:sz w:val="20"/>
              </w:rPr>
              <w:t>6,804</w:t>
            </w:r>
          </w:p>
        </w:tc>
      </w:tr>
    </w:tbl>
    <w:p w:rsidR="00E21CA7" w:rsidP="00061E0A" w14:paraId="74C964D0" w14:textId="77777777">
      <w:pPr>
        <w:widowControl w:val="0"/>
        <w:autoSpaceDE w:val="0"/>
        <w:autoSpaceDN w:val="0"/>
        <w:adjustRightInd w:val="0"/>
        <w:ind w:left="360"/>
        <w:rPr>
          <w:rFonts w:eastAsia="Calibri"/>
          <w:bCs/>
          <w:szCs w:val="24"/>
        </w:rPr>
      </w:pPr>
    </w:p>
    <w:p w:rsidR="00061E0A" w:rsidRPr="0002145C" w:rsidP="00061E0A" w14:paraId="219C1954" w14:textId="55B36C06">
      <w:pPr>
        <w:widowControl w:val="0"/>
        <w:autoSpaceDE w:val="0"/>
        <w:autoSpaceDN w:val="0"/>
        <w:adjustRightInd w:val="0"/>
        <w:ind w:left="360"/>
        <w:rPr>
          <w:rFonts w:eastAsia="Calibri"/>
          <w:bCs/>
          <w:szCs w:val="24"/>
          <w:u w:val="single"/>
        </w:rPr>
      </w:pPr>
      <w:r w:rsidRPr="0002145C">
        <w:rPr>
          <w:rFonts w:eastAsia="Calibri"/>
          <w:bCs/>
          <w:szCs w:val="24"/>
          <w:u w:val="single"/>
        </w:rPr>
        <w:t>Non-substantive Change Request</w:t>
      </w:r>
    </w:p>
    <w:tbl>
      <w:tblPr>
        <w:tblpPr w:leftFromText="180" w:rightFromText="180" w:vertAnchor="text" w:horzAnchor="margin" w:tblpY="204"/>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48"/>
        <w:gridCol w:w="1195"/>
        <w:gridCol w:w="1302"/>
        <w:gridCol w:w="1170"/>
        <w:gridCol w:w="1260"/>
        <w:gridCol w:w="1710"/>
      </w:tblGrid>
      <w:tr w14:paraId="2BED1682" w14:textId="77777777" w:rsidTr="0046564D">
        <w:tblPrEx>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710"/>
        </w:trPr>
        <w:tc>
          <w:tcPr>
            <w:tcW w:w="0" w:type="auto"/>
            <w:shd w:val="clear" w:color="auto" w:fill="auto"/>
          </w:tcPr>
          <w:p w:rsidR="00061E0A" w:rsidRPr="00061E0A" w:rsidP="00B379F6" w14:paraId="7C847E9C" w14:textId="77777777">
            <w:pPr>
              <w:rPr>
                <w:color w:val="000000"/>
                <w:sz w:val="20"/>
                <w:highlight w:val="yellow"/>
              </w:rPr>
            </w:pPr>
            <w:r w:rsidRPr="00061E0A">
              <w:rPr>
                <w:rFonts w:eastAsia="Calibri"/>
                <w:color w:val="000000"/>
                <w:sz w:val="20"/>
                <w:szCs w:val="22"/>
              </w:rPr>
              <w:t>CFR Section</w:t>
            </w:r>
          </w:p>
        </w:tc>
        <w:tc>
          <w:tcPr>
            <w:tcW w:w="1195" w:type="dxa"/>
            <w:shd w:val="clear" w:color="auto" w:fill="auto"/>
          </w:tcPr>
          <w:p w:rsidR="00061E0A" w:rsidRPr="00061E0A" w:rsidP="00B379F6" w14:paraId="01FA1160" w14:textId="77777777">
            <w:pPr>
              <w:jc w:val="center"/>
              <w:rPr>
                <w:color w:val="000000"/>
                <w:sz w:val="20"/>
                <w:highlight w:val="yellow"/>
              </w:rPr>
            </w:pPr>
            <w:r w:rsidRPr="00061E0A">
              <w:rPr>
                <w:rFonts w:eastAsia="Calibri"/>
                <w:color w:val="000000"/>
                <w:sz w:val="20"/>
                <w:szCs w:val="22"/>
              </w:rPr>
              <w:t>Respondent universe</w:t>
            </w:r>
          </w:p>
        </w:tc>
        <w:tc>
          <w:tcPr>
            <w:tcW w:w="1302" w:type="dxa"/>
            <w:shd w:val="clear" w:color="auto" w:fill="auto"/>
          </w:tcPr>
          <w:p w:rsidR="00061E0A" w:rsidRPr="00061E0A" w:rsidP="00B379F6" w14:paraId="71793629" w14:textId="77777777">
            <w:pPr>
              <w:spacing w:after="200" w:line="276" w:lineRule="auto"/>
              <w:jc w:val="center"/>
              <w:rPr>
                <w:color w:val="000000"/>
                <w:sz w:val="20"/>
                <w:highlight w:val="yellow"/>
              </w:rPr>
            </w:pPr>
            <w:r w:rsidRPr="00061E0A">
              <w:rPr>
                <w:rFonts w:eastAsia="Calibri"/>
                <w:color w:val="000000"/>
                <w:sz w:val="20"/>
                <w:szCs w:val="22"/>
              </w:rPr>
              <w:t>Total annual responses (A)</w:t>
            </w:r>
          </w:p>
        </w:tc>
        <w:tc>
          <w:tcPr>
            <w:tcW w:w="1170" w:type="dxa"/>
            <w:shd w:val="clear" w:color="auto" w:fill="auto"/>
          </w:tcPr>
          <w:p w:rsidR="00061E0A" w:rsidRPr="00061E0A" w:rsidP="00B379F6" w14:paraId="521FBC21" w14:textId="77777777">
            <w:pPr>
              <w:jc w:val="center"/>
              <w:rPr>
                <w:rFonts w:eastAsia="Calibri"/>
                <w:color w:val="000000"/>
                <w:sz w:val="20"/>
                <w:szCs w:val="22"/>
              </w:rPr>
            </w:pPr>
            <w:r w:rsidRPr="00061E0A">
              <w:rPr>
                <w:rFonts w:eastAsia="Calibri"/>
                <w:color w:val="000000"/>
                <w:sz w:val="20"/>
                <w:szCs w:val="22"/>
              </w:rPr>
              <w:t>Average time per response</w:t>
            </w:r>
          </w:p>
          <w:p w:rsidR="00061E0A" w:rsidRPr="00061E0A" w:rsidP="00B379F6" w14:paraId="26812ADC" w14:textId="77777777">
            <w:pPr>
              <w:jc w:val="center"/>
              <w:rPr>
                <w:color w:val="000000"/>
                <w:sz w:val="20"/>
                <w:highlight w:val="yellow"/>
              </w:rPr>
            </w:pPr>
            <w:r w:rsidRPr="00061E0A">
              <w:rPr>
                <w:rFonts w:eastAsia="Calibri"/>
                <w:color w:val="000000"/>
                <w:sz w:val="20"/>
                <w:szCs w:val="22"/>
              </w:rPr>
              <w:t xml:space="preserve"> (B)</w:t>
            </w:r>
          </w:p>
        </w:tc>
        <w:tc>
          <w:tcPr>
            <w:tcW w:w="1260" w:type="dxa"/>
            <w:shd w:val="clear" w:color="auto" w:fill="auto"/>
          </w:tcPr>
          <w:p w:rsidR="00061E0A" w:rsidRPr="00061E0A" w:rsidP="00B379F6" w14:paraId="445610D7" w14:textId="77777777">
            <w:pPr>
              <w:jc w:val="center"/>
              <w:rPr>
                <w:rFonts w:eastAsia="Calibri"/>
                <w:color w:val="000000"/>
                <w:sz w:val="20"/>
                <w:szCs w:val="22"/>
              </w:rPr>
            </w:pPr>
            <w:r w:rsidRPr="00061E0A">
              <w:rPr>
                <w:rFonts w:eastAsia="Calibri"/>
                <w:color w:val="000000"/>
                <w:sz w:val="20"/>
                <w:szCs w:val="22"/>
              </w:rPr>
              <w:t xml:space="preserve">Total annual burden hours </w:t>
            </w:r>
          </w:p>
          <w:p w:rsidR="00061E0A" w:rsidRPr="00061E0A" w:rsidP="00B379F6" w14:paraId="34D0D68E" w14:textId="77777777">
            <w:pPr>
              <w:jc w:val="center"/>
              <w:rPr>
                <w:color w:val="000000"/>
                <w:sz w:val="20"/>
                <w:highlight w:val="yellow"/>
              </w:rPr>
            </w:pPr>
            <w:r w:rsidRPr="00061E0A">
              <w:rPr>
                <w:rFonts w:eastAsia="Calibri"/>
                <w:color w:val="000000"/>
                <w:sz w:val="20"/>
                <w:szCs w:val="22"/>
              </w:rPr>
              <w:t>(C = A * B)</w:t>
            </w:r>
          </w:p>
        </w:tc>
        <w:tc>
          <w:tcPr>
            <w:tcW w:w="1710" w:type="dxa"/>
            <w:shd w:val="clear" w:color="auto" w:fill="auto"/>
          </w:tcPr>
          <w:p w:rsidR="00061E0A" w:rsidRPr="00061E0A" w:rsidP="00B379F6" w14:paraId="4AC3E63E" w14:textId="77777777">
            <w:pPr>
              <w:jc w:val="center"/>
              <w:rPr>
                <w:rFonts w:eastAsia="Calibri"/>
                <w:color w:val="000000"/>
                <w:sz w:val="20"/>
                <w:szCs w:val="22"/>
              </w:rPr>
            </w:pPr>
            <w:r w:rsidRPr="00061E0A">
              <w:rPr>
                <w:rFonts w:eastAsia="Calibri"/>
                <w:color w:val="000000"/>
                <w:sz w:val="20"/>
                <w:szCs w:val="22"/>
              </w:rPr>
              <w:t xml:space="preserve">Total cost equivalent in U.S. dollar </w:t>
            </w:r>
            <w:r w:rsidRPr="00061E0A">
              <w:rPr>
                <w:rFonts w:eastAsia="Calibri"/>
                <w:color w:val="000000"/>
                <w:sz w:val="20"/>
                <w:szCs w:val="22"/>
              </w:rPr>
              <w:br/>
              <w:t xml:space="preserve">(D = C * </w:t>
            </w:r>
          </w:p>
          <w:p w:rsidR="00061E0A" w:rsidRPr="00061E0A" w:rsidP="00B379F6" w14:paraId="5864BE80" w14:textId="77777777">
            <w:pPr>
              <w:jc w:val="center"/>
              <w:rPr>
                <w:color w:val="000000"/>
                <w:sz w:val="20"/>
                <w:highlight w:val="yellow"/>
              </w:rPr>
            </w:pPr>
            <w:r w:rsidRPr="00061E0A">
              <w:rPr>
                <w:rFonts w:eastAsia="Calibri"/>
                <w:color w:val="000000"/>
                <w:sz w:val="20"/>
                <w:szCs w:val="22"/>
              </w:rPr>
              <w:t>wage rates)</w:t>
            </w:r>
          </w:p>
        </w:tc>
      </w:tr>
      <w:tr w14:paraId="75F61832" w14:textId="77777777" w:rsidTr="0046564D">
        <w:tblPrEx>
          <w:tblW w:w="9085" w:type="dxa"/>
          <w:tblLook w:val="04A0"/>
        </w:tblPrEx>
        <w:trPr>
          <w:trHeight w:val="576"/>
        </w:trPr>
        <w:tc>
          <w:tcPr>
            <w:tcW w:w="0" w:type="auto"/>
            <w:shd w:val="clear" w:color="auto" w:fill="auto"/>
          </w:tcPr>
          <w:p w:rsidR="00B379F6" w:rsidRPr="00061E0A" w:rsidP="00B379F6" w14:paraId="3235A167" w14:textId="21F3F0DE">
            <w:pPr>
              <w:rPr>
                <w:color w:val="000000"/>
                <w:sz w:val="20"/>
              </w:rPr>
            </w:pPr>
            <w:r>
              <w:rPr>
                <w:sz w:val="20"/>
                <w:szCs w:val="24"/>
              </w:rPr>
              <w:t xml:space="preserve">238.7 </w:t>
            </w:r>
            <w:r w:rsidRPr="008A7137">
              <w:rPr>
                <w:sz w:val="20"/>
                <w:szCs w:val="24"/>
              </w:rPr>
              <w:t>(a) through (c) Petition for waiver of compliance under this section.</w:t>
            </w:r>
          </w:p>
        </w:tc>
        <w:tc>
          <w:tcPr>
            <w:tcW w:w="1195" w:type="dxa"/>
            <w:shd w:val="clear" w:color="auto" w:fill="auto"/>
          </w:tcPr>
          <w:p w:rsidR="00B379F6" w:rsidP="0046564D" w14:paraId="77B5B021" w14:textId="77777777">
            <w:pPr>
              <w:jc w:val="center"/>
              <w:rPr>
                <w:color w:val="000000"/>
                <w:sz w:val="20"/>
              </w:rPr>
            </w:pPr>
            <w:r>
              <w:rPr>
                <w:color w:val="000000"/>
                <w:sz w:val="20"/>
              </w:rPr>
              <w:t>34</w:t>
            </w:r>
          </w:p>
          <w:p w:rsidR="00B379F6" w:rsidRPr="00061E0A" w:rsidP="0046564D" w14:paraId="48069C59" w14:textId="32E4CB31">
            <w:pPr>
              <w:jc w:val="center"/>
              <w:rPr>
                <w:color w:val="000000"/>
                <w:sz w:val="20"/>
              </w:rPr>
            </w:pPr>
            <w:r>
              <w:rPr>
                <w:color w:val="000000"/>
                <w:sz w:val="20"/>
              </w:rPr>
              <w:t>railroads</w:t>
            </w:r>
          </w:p>
        </w:tc>
        <w:tc>
          <w:tcPr>
            <w:tcW w:w="1302" w:type="dxa"/>
            <w:shd w:val="clear" w:color="auto" w:fill="auto"/>
          </w:tcPr>
          <w:p w:rsidR="00B379F6" w:rsidRPr="00061E0A" w:rsidP="0046564D" w14:paraId="63F50CF9" w14:textId="3F286037">
            <w:pPr>
              <w:jc w:val="center"/>
              <w:rPr>
                <w:color w:val="000000"/>
                <w:sz w:val="20"/>
              </w:rPr>
            </w:pPr>
            <w:r>
              <w:rPr>
                <w:color w:val="000000"/>
                <w:sz w:val="20"/>
              </w:rPr>
              <w:t>3</w:t>
            </w:r>
          </w:p>
        </w:tc>
        <w:tc>
          <w:tcPr>
            <w:tcW w:w="1170" w:type="dxa"/>
            <w:shd w:val="clear" w:color="auto" w:fill="auto"/>
          </w:tcPr>
          <w:p w:rsidR="001A28B6" w:rsidP="001A28B6" w14:paraId="4ACE90F7" w14:textId="77777777">
            <w:pPr>
              <w:jc w:val="center"/>
              <w:rPr>
                <w:color w:val="000000"/>
                <w:sz w:val="20"/>
              </w:rPr>
            </w:pPr>
            <w:r>
              <w:rPr>
                <w:color w:val="000000"/>
                <w:sz w:val="20"/>
              </w:rPr>
              <w:t>6</w:t>
            </w:r>
          </w:p>
          <w:p w:rsidR="00B379F6" w:rsidRPr="00061E0A" w:rsidP="001A28B6" w14:paraId="4CC0AA61" w14:textId="40F9D0DD">
            <w:pPr>
              <w:jc w:val="center"/>
              <w:rPr>
                <w:color w:val="000000"/>
                <w:sz w:val="20"/>
              </w:rPr>
            </w:pPr>
            <w:r>
              <w:rPr>
                <w:color w:val="000000"/>
                <w:sz w:val="20"/>
              </w:rPr>
              <w:t>hours</w:t>
            </w:r>
          </w:p>
        </w:tc>
        <w:tc>
          <w:tcPr>
            <w:tcW w:w="1260" w:type="dxa"/>
            <w:shd w:val="clear" w:color="auto" w:fill="auto"/>
          </w:tcPr>
          <w:p w:rsidR="00B379F6" w:rsidP="00B379F6" w14:paraId="70F289C0" w14:textId="77777777">
            <w:pPr>
              <w:jc w:val="center"/>
              <w:rPr>
                <w:color w:val="000000"/>
                <w:sz w:val="20"/>
              </w:rPr>
            </w:pPr>
            <w:r>
              <w:rPr>
                <w:color w:val="000000"/>
                <w:sz w:val="20"/>
              </w:rPr>
              <w:t>18</w:t>
            </w:r>
          </w:p>
          <w:p w:rsidR="00B379F6" w:rsidRPr="00061E0A" w:rsidP="00B379F6" w14:paraId="59E4144D" w14:textId="1BD91681">
            <w:pPr>
              <w:jc w:val="center"/>
              <w:rPr>
                <w:color w:val="000000"/>
                <w:sz w:val="20"/>
              </w:rPr>
            </w:pPr>
            <w:r>
              <w:rPr>
                <w:color w:val="000000"/>
                <w:sz w:val="20"/>
              </w:rPr>
              <w:t>hours</w:t>
            </w:r>
          </w:p>
        </w:tc>
        <w:tc>
          <w:tcPr>
            <w:tcW w:w="1710" w:type="dxa"/>
            <w:shd w:val="clear" w:color="auto" w:fill="auto"/>
          </w:tcPr>
          <w:p w:rsidR="00B379F6" w:rsidRPr="00061E0A" w:rsidP="0046564D" w14:paraId="1DEBB11B" w14:textId="4A288EBA">
            <w:pPr>
              <w:jc w:val="center"/>
              <w:rPr>
                <w:color w:val="000000"/>
                <w:sz w:val="20"/>
              </w:rPr>
            </w:pPr>
            <w:r>
              <w:rPr>
                <w:color w:val="000000"/>
                <w:sz w:val="20"/>
              </w:rPr>
              <w:t>$</w:t>
            </w:r>
            <w:r w:rsidR="00F45492">
              <w:rPr>
                <w:color w:val="000000"/>
                <w:sz w:val="20"/>
              </w:rPr>
              <w:t>1,701</w:t>
            </w:r>
          </w:p>
        </w:tc>
      </w:tr>
      <w:bookmarkEnd w:id="0"/>
    </w:tbl>
    <w:p w:rsidR="00061E0A" w:rsidP="001A28B6" w14:paraId="4C204DB9" w14:textId="77777777">
      <w:pPr>
        <w:widowControl w:val="0"/>
        <w:spacing w:after="160" w:line="259" w:lineRule="auto"/>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61E0A" w:rsidP="00061E0A" w14:paraId="2CC4CFD5" w14:textId="77777777">
      <w:r>
        <w:separator/>
      </w:r>
    </w:p>
  </w:footnote>
  <w:footnote w:type="continuationSeparator" w:id="1">
    <w:p w:rsidR="00061E0A" w:rsidP="00061E0A" w14:paraId="01DA93D0" w14:textId="77777777">
      <w:r>
        <w:continuationSeparator/>
      </w:r>
    </w:p>
  </w:footnote>
  <w:footnote w:id="2">
    <w:p w:rsidR="0088094C" w14:paraId="38107314" w14:textId="0BC062FA">
      <w:pPr>
        <w:pStyle w:val="FootnoteText"/>
      </w:pPr>
      <w:r>
        <w:rPr>
          <w:rStyle w:val="FootnoteReference"/>
        </w:rPr>
        <w:footnoteRef/>
      </w:r>
      <w:r>
        <w:t xml:space="preserve"> </w:t>
      </w:r>
      <w:r w:rsidR="009B6B92">
        <w:t>91 FR 55779</w:t>
      </w:r>
    </w:p>
  </w:footnote>
  <w:footnote w:id="3">
    <w:p w:rsidR="00061E0A" w:rsidRPr="0002145C" w:rsidP="00061E0A" w14:paraId="7EF4C2B9" w14:textId="1F842E22">
      <w:pPr>
        <w:pStyle w:val="FootnoteText"/>
        <w:rPr>
          <w:rFonts w:ascii="Times New Roman" w:hAnsi="Times New Roman" w:cs="Times New Roman"/>
        </w:rPr>
      </w:pPr>
      <w:r w:rsidRPr="005730DF">
        <w:rPr>
          <w:rStyle w:val="FootnoteReference"/>
        </w:rPr>
        <w:footnoteRef/>
      </w:r>
      <w:r w:rsidRPr="0002145C">
        <w:rPr>
          <w:rFonts w:ascii="Times New Roman" w:hAnsi="Times New Roman" w:cs="Times New Roman"/>
        </w:rPr>
        <w:t>The dollar equivalent cost is derived from the Surface Transportation Board’s Full Year Wage 202</w:t>
      </w:r>
      <w:r w:rsidR="00F45492">
        <w:rPr>
          <w:rFonts w:ascii="Times New Roman" w:hAnsi="Times New Roman" w:cs="Times New Roman"/>
        </w:rPr>
        <w:t>5</w:t>
      </w:r>
      <w:r w:rsidRPr="0002145C">
        <w:rPr>
          <w:rFonts w:ascii="Times New Roman" w:hAnsi="Times New Roman" w:cs="Times New Roman"/>
        </w:rPr>
        <w:t xml:space="preserve"> using group 200, Professional &amp; Administrative wage rate of $</w:t>
      </w:r>
      <w:r w:rsidR="00F45492">
        <w:rPr>
          <w:rFonts w:ascii="Times New Roman" w:hAnsi="Times New Roman" w:cs="Times New Roman"/>
        </w:rPr>
        <w:t>94.50</w:t>
      </w:r>
      <w:r w:rsidRPr="0002145C">
        <w:rPr>
          <w:rFonts w:ascii="Times New Roman" w:hAnsi="Times New Roman" w:cs="Times New Roman"/>
        </w:rPr>
        <w:t xml:space="preserve"> per hour ($</w:t>
      </w:r>
      <w:r w:rsidR="00EC6767">
        <w:rPr>
          <w:rFonts w:ascii="Times New Roman" w:hAnsi="Times New Roman" w:cs="Times New Roman"/>
        </w:rPr>
        <w:t>5</w:t>
      </w:r>
      <w:r w:rsidR="00F45492">
        <w:rPr>
          <w:rFonts w:ascii="Times New Roman" w:hAnsi="Times New Roman" w:cs="Times New Roman"/>
        </w:rPr>
        <w:t>4 (hourly wage</w:t>
      </w:r>
      <w:r w:rsidRPr="0002145C">
        <w:rPr>
          <w:rFonts w:ascii="Times New Roman" w:hAnsi="Times New Roman" w:cs="Times New Roman"/>
        </w:rPr>
        <w:t xml:space="preserve"> * 1.75 overhead costs).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822F8D"/>
    <w:multiLevelType w:val="hybridMultilevel"/>
    <w:tmpl w:val="E286B718"/>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29489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E0A"/>
    <w:rsid w:val="0002145C"/>
    <w:rsid w:val="00061E0A"/>
    <w:rsid w:val="000F7313"/>
    <w:rsid w:val="001408C0"/>
    <w:rsid w:val="001A28B6"/>
    <w:rsid w:val="0033697F"/>
    <w:rsid w:val="0046564D"/>
    <w:rsid w:val="00545B88"/>
    <w:rsid w:val="006143DB"/>
    <w:rsid w:val="006D236F"/>
    <w:rsid w:val="00725CCA"/>
    <w:rsid w:val="00806EE7"/>
    <w:rsid w:val="0088094C"/>
    <w:rsid w:val="008A7137"/>
    <w:rsid w:val="008C35C6"/>
    <w:rsid w:val="008D473A"/>
    <w:rsid w:val="009B6B92"/>
    <w:rsid w:val="009D6413"/>
    <w:rsid w:val="009E7A90"/>
    <w:rsid w:val="00AD1B17"/>
    <w:rsid w:val="00B379F6"/>
    <w:rsid w:val="00BC1522"/>
    <w:rsid w:val="00C41C9D"/>
    <w:rsid w:val="00CA391D"/>
    <w:rsid w:val="00CE0FB3"/>
    <w:rsid w:val="00D2379D"/>
    <w:rsid w:val="00D51DB5"/>
    <w:rsid w:val="00DC76B9"/>
    <w:rsid w:val="00DE0B68"/>
    <w:rsid w:val="00E21CA7"/>
    <w:rsid w:val="00EC6767"/>
    <w:rsid w:val="00F45492"/>
    <w:rsid w:val="00FF3FD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D13FFB5"/>
  <w15:chartTrackingRefBased/>
  <w15:docId w15:val="{DD4CFEF6-8FFA-4B19-810D-9E0D952BF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1E0A"/>
    <w:pPr>
      <w:spacing w:after="0" w:line="240" w:lineRule="auto"/>
    </w:pPr>
    <w:rPr>
      <w:rFonts w:ascii="Times New Roman" w:eastAsia="Times New Roman" w:hAnsi="Times New Roman" w:cs="Times New Roman"/>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1E0A"/>
    <w:pPr>
      <w:ind w:left="720"/>
      <w:contextualSpacing/>
    </w:pPr>
  </w:style>
  <w:style w:type="paragraph" w:styleId="FootnoteText">
    <w:name w:val="footnote text"/>
    <w:basedOn w:val="Normal"/>
    <w:link w:val="FootnoteTextChar"/>
    <w:uiPriority w:val="99"/>
    <w:semiHidden/>
    <w:unhideWhenUsed/>
    <w:rsid w:val="00061E0A"/>
    <w:rPr>
      <w:rFonts w:asciiTheme="minorHAnsi" w:eastAsiaTheme="minorHAnsi" w:hAnsiTheme="minorHAnsi" w:cstheme="minorBidi"/>
      <w:kern w:val="2"/>
      <w:sz w:val="20"/>
      <w14:ligatures w14:val="standardContextual"/>
    </w:rPr>
  </w:style>
  <w:style w:type="character" w:customStyle="1" w:styleId="FootnoteTextChar">
    <w:name w:val="Footnote Text Char"/>
    <w:basedOn w:val="DefaultParagraphFont"/>
    <w:link w:val="FootnoteText"/>
    <w:uiPriority w:val="99"/>
    <w:semiHidden/>
    <w:rsid w:val="00061E0A"/>
    <w:rPr>
      <w:sz w:val="20"/>
      <w:szCs w:val="20"/>
    </w:rPr>
  </w:style>
  <w:style w:type="character" w:styleId="FootnoteReference">
    <w:name w:val="footnote reference"/>
    <w:uiPriority w:val="99"/>
    <w:qFormat/>
    <w:rsid w:val="00061E0A"/>
    <w:rPr>
      <w:vertAlign w:val="superscript"/>
    </w:rPr>
  </w:style>
  <w:style w:type="paragraph" w:styleId="NoSpacing">
    <w:name w:val="No Spacing"/>
    <w:uiPriority w:val="1"/>
    <w:qFormat/>
    <w:rsid w:val="00AD1B17"/>
    <w:pPr>
      <w:spacing w:after="0" w:line="240" w:lineRule="auto"/>
    </w:pPr>
    <w:rPr>
      <w:rFonts w:ascii="Times New Roman" w:eastAsia="Times New Roman" w:hAnsi="Times New Roman" w:cs="Times New Roman"/>
      <w:kern w:val="0"/>
      <w:sz w:val="24"/>
      <w:szCs w:val="20"/>
      <w14:ligatures w14:val="none"/>
    </w:rPr>
  </w:style>
  <w:style w:type="paragraph" w:styleId="Revision">
    <w:name w:val="Revision"/>
    <w:hidden/>
    <w:uiPriority w:val="99"/>
    <w:semiHidden/>
    <w:rsid w:val="00D51DB5"/>
    <w:pPr>
      <w:spacing w:after="0" w:line="240" w:lineRule="auto"/>
    </w:pPr>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8A8D6-5AC3-47DA-B066-04FD9860B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Pages>
  <Words>508</Words>
  <Characters>2899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Mussington, Arlette (FRA)</dc:creator>
  <cp:lastModifiedBy>Swafford, Joanne (FRA)</cp:lastModifiedBy>
  <cp:revision>10</cp:revision>
  <dcterms:created xsi:type="dcterms:W3CDTF">2026-06-10T11:26:00Z</dcterms:created>
  <dcterms:modified xsi:type="dcterms:W3CDTF">2026-08-31T15:40:00Z</dcterms:modified>
</cp:coreProperties>
</file>