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61E0A" w:rsidRPr="00725CCA" w:rsidP="00061E0A" w14:paraId="637FA0F6" w14:textId="77777777">
      <w:pPr>
        <w:widowControl w:val="0"/>
        <w:tabs>
          <w:tab w:val="center" w:pos="4680"/>
        </w:tabs>
        <w:jc w:val="center"/>
        <w:rPr>
          <w:b/>
          <w:szCs w:val="24"/>
        </w:rPr>
      </w:pPr>
      <w:r w:rsidRPr="00725CCA">
        <w:rPr>
          <w:b/>
          <w:szCs w:val="24"/>
        </w:rPr>
        <w:t>FEDERAL RAILROAD ADMINISTRATION</w:t>
      </w:r>
    </w:p>
    <w:p w:rsidR="00061E0A" w:rsidRPr="00725CCA" w:rsidP="00061E0A" w14:paraId="324EFA59" w14:textId="552D42EA">
      <w:pPr>
        <w:widowControl w:val="0"/>
        <w:tabs>
          <w:tab w:val="center" w:pos="4680"/>
        </w:tabs>
        <w:jc w:val="center"/>
        <w:rPr>
          <w:b/>
          <w:bCs/>
          <w:szCs w:val="24"/>
        </w:rPr>
      </w:pPr>
      <w:r>
        <w:rPr>
          <w:b/>
          <w:bCs/>
          <w:szCs w:val="24"/>
        </w:rPr>
        <w:t>Railroad Workplace Safety</w:t>
      </w:r>
    </w:p>
    <w:p w:rsidR="00061E0A" w:rsidRPr="00725CCA" w:rsidP="00061E0A" w14:paraId="1AE70146" w14:textId="1A1E3BE8">
      <w:pPr>
        <w:widowControl w:val="0"/>
        <w:tabs>
          <w:tab w:val="center" w:pos="4680"/>
        </w:tabs>
        <w:jc w:val="center"/>
        <w:rPr>
          <w:b/>
          <w:szCs w:val="24"/>
        </w:rPr>
      </w:pPr>
      <w:r w:rsidRPr="00725CCA">
        <w:rPr>
          <w:b/>
          <w:szCs w:val="24"/>
        </w:rPr>
        <w:t>(Title 49 Code of Federal Regulations (CFR) Part 2</w:t>
      </w:r>
      <w:r w:rsidR="00B413C6">
        <w:rPr>
          <w:b/>
          <w:szCs w:val="24"/>
        </w:rPr>
        <w:t>14</w:t>
      </w:r>
      <w:r w:rsidRPr="00725CCA">
        <w:rPr>
          <w:b/>
          <w:szCs w:val="24"/>
        </w:rPr>
        <w:t>)</w:t>
      </w:r>
    </w:p>
    <w:p w:rsidR="00061E0A" w:rsidRPr="00725CCA" w:rsidP="00061E0A" w14:paraId="2B28A536" w14:textId="77777777">
      <w:pPr>
        <w:widowControl w:val="0"/>
        <w:jc w:val="center"/>
        <w:rPr>
          <w:b/>
          <w:szCs w:val="24"/>
        </w:rPr>
      </w:pPr>
      <w:r w:rsidRPr="00725CCA">
        <w:rPr>
          <w:b/>
          <w:szCs w:val="24"/>
        </w:rPr>
        <w:t>SUPPORTING JUSTIFICATION</w:t>
      </w:r>
    </w:p>
    <w:p w:rsidR="00061E0A" w:rsidRPr="00725CCA" w:rsidP="00061E0A" w14:paraId="5156C6BB" w14:textId="23F5750B">
      <w:pPr>
        <w:widowControl w:val="0"/>
        <w:jc w:val="center"/>
        <w:rPr>
          <w:b/>
          <w:szCs w:val="24"/>
        </w:rPr>
      </w:pPr>
      <w:r>
        <w:rPr>
          <w:b/>
          <w:szCs w:val="24"/>
        </w:rPr>
        <w:t xml:space="preserve">RIN 2130-AD44; </w:t>
      </w:r>
      <w:r w:rsidRPr="00725CCA">
        <w:rPr>
          <w:b/>
          <w:szCs w:val="24"/>
        </w:rPr>
        <w:t>OMB Control No. 2130-</w:t>
      </w:r>
      <w:r>
        <w:rPr>
          <w:b/>
          <w:szCs w:val="24"/>
        </w:rPr>
        <w:t>0539</w:t>
      </w:r>
    </w:p>
    <w:p w:rsidR="00AD1B17" w14:paraId="439CDB94" w14:textId="77777777">
      <w:pPr>
        <w:rPr>
          <w:color w:val="000000"/>
          <w:szCs w:val="24"/>
          <w:shd w:val="clear" w:color="auto" w:fill="FFFFFF"/>
        </w:rPr>
      </w:pPr>
    </w:p>
    <w:p w:rsidR="00AD1B17" w:rsidRPr="008C35C6" w:rsidP="00AD1B17" w14:paraId="7E70659F" w14:textId="3B868C86">
      <w:pPr>
        <w:spacing w:after="160" w:line="259" w:lineRule="auto"/>
        <w:rPr>
          <w:rFonts w:eastAsia="Calibri"/>
          <w:bCs/>
          <w:szCs w:val="24"/>
        </w:rPr>
      </w:pPr>
      <w:r w:rsidRPr="008C35C6">
        <w:rPr>
          <w:rFonts w:eastAsia="Calibri"/>
          <w:bCs/>
          <w:szCs w:val="24"/>
        </w:rPr>
        <w:t>This non-substantive change updates</w:t>
      </w:r>
      <w:r w:rsidRPr="008C35C6">
        <w:rPr>
          <w:rFonts w:eastAsia="Calibri"/>
          <w:szCs w:val="24"/>
        </w:rPr>
        <w:t xml:space="preserve"> </w:t>
      </w:r>
      <w:r w:rsidRPr="008C35C6">
        <w:rPr>
          <w:rFonts w:eastAsia="Calibri"/>
          <w:bCs/>
          <w:szCs w:val="24"/>
        </w:rPr>
        <w:t xml:space="preserve">the recently </w:t>
      </w:r>
      <w:r w:rsidR="00DC0C83">
        <w:rPr>
          <w:rFonts w:eastAsia="Calibri"/>
          <w:bCs/>
          <w:szCs w:val="24"/>
        </w:rPr>
        <w:t xml:space="preserve">approved information collection request (ICR), corresponding to Part 214, </w:t>
      </w:r>
      <w:r w:rsidR="00B413C6">
        <w:rPr>
          <w:rFonts w:eastAsia="Calibri"/>
          <w:bCs/>
          <w:szCs w:val="24"/>
        </w:rPr>
        <w:t>Railroad Workplace Safety</w:t>
      </w:r>
      <w:r w:rsidRPr="008C35C6">
        <w:rPr>
          <w:rFonts w:eastAsia="Calibri"/>
          <w:bCs/>
          <w:szCs w:val="24"/>
        </w:rPr>
        <w:t>, OMB control no. 2130-</w:t>
      </w:r>
      <w:r>
        <w:rPr>
          <w:rFonts w:eastAsia="Calibri"/>
          <w:bCs/>
          <w:szCs w:val="24"/>
        </w:rPr>
        <w:t>05</w:t>
      </w:r>
      <w:r w:rsidR="00DC0C83">
        <w:rPr>
          <w:rFonts w:eastAsia="Calibri"/>
          <w:bCs/>
          <w:szCs w:val="24"/>
        </w:rPr>
        <w:t>39.</w:t>
      </w:r>
      <w:r w:rsidR="004D4F13">
        <w:rPr>
          <w:rFonts w:eastAsia="Calibri"/>
          <w:bCs/>
          <w:szCs w:val="24"/>
        </w:rPr>
        <w:t xml:space="preserve"> OMB last approved this ICR on January 16, </w:t>
      </w:r>
      <w:r w:rsidR="001E1577">
        <w:rPr>
          <w:rFonts w:eastAsia="Calibri"/>
          <w:bCs/>
          <w:szCs w:val="24"/>
        </w:rPr>
        <w:t>2026,</w:t>
      </w:r>
      <w:r w:rsidR="004D4F13">
        <w:rPr>
          <w:rFonts w:eastAsia="Calibri"/>
          <w:bCs/>
          <w:szCs w:val="24"/>
        </w:rPr>
        <w:t xml:space="preserve"> with a new expiration date of January 31, 2029.</w:t>
      </w:r>
    </w:p>
    <w:p w:rsidR="00AD1B17" w14:paraId="71099DA3" w14:textId="77777777">
      <w:pPr>
        <w:rPr>
          <w:color w:val="000000"/>
          <w:szCs w:val="24"/>
          <w:shd w:val="clear" w:color="auto" w:fill="FFFFFF"/>
        </w:rPr>
      </w:pPr>
    </w:p>
    <w:p w:rsidR="00B413C6" w:rsidP="00B413C6" w14:paraId="73DA7C67" w14:textId="52B10E1C">
      <w:pPr>
        <w:rPr>
          <w:color w:val="000000"/>
          <w:szCs w:val="24"/>
          <w:shd w:val="clear" w:color="auto" w:fill="FFFFFF"/>
        </w:rPr>
      </w:pPr>
      <w:r w:rsidRPr="00B413C6">
        <w:rPr>
          <w:color w:val="000000"/>
          <w:szCs w:val="24"/>
          <w:shd w:val="clear" w:color="auto" w:fill="FFFFFF"/>
        </w:rPr>
        <w:t xml:space="preserve">To ensure compliance with part 214, FRA collects data on affected railroads’ on-track safety programs to determine that railroads have policies, procedures, and practices in place that protect roadway workers from dangers in their work environment. Railroads are required to provide on-track safety manuals to all roadway workers that they can readily consult to determine what on-track safety procedures are required for their work assignment. Under the regulation, railroads are required to provide initial and recurrent training to roadway workers on their on-track safety program. This includes training for roadway workers who work where on-track safety for adjacent controlled tracks is required, and the appropriate practices and procedures they must follow. </w:t>
      </w:r>
    </w:p>
    <w:p w:rsidR="00B413C6" w:rsidRPr="00B413C6" w:rsidP="00B413C6" w14:paraId="14F353AF" w14:textId="6D772049">
      <w:pPr>
        <w:rPr>
          <w:color w:val="000000"/>
          <w:szCs w:val="24"/>
          <w:shd w:val="clear" w:color="auto" w:fill="FFFFFF"/>
        </w:rPr>
      </w:pPr>
    </w:p>
    <w:p w:rsidR="00B413C6" w:rsidRPr="00B413C6" w:rsidP="00B413C6" w14:paraId="1FE370D5" w14:textId="77777777">
      <w:pPr>
        <w:rPr>
          <w:color w:val="000000"/>
          <w:szCs w:val="24"/>
          <w:shd w:val="clear" w:color="auto" w:fill="FFFFFF"/>
        </w:rPr>
      </w:pPr>
      <w:r w:rsidRPr="00B413C6">
        <w:rPr>
          <w:color w:val="000000"/>
          <w:szCs w:val="24"/>
          <w:shd w:val="clear" w:color="auto" w:fill="FFFFFF"/>
        </w:rPr>
        <w:t>FRA collects data from railroads on training through the records that they are required to keep.  Additionally, FRA collects information on violations of workplace safety regulations on Form FRA F 6180.119.  FRA uses violation information to support actions that will reduce or eliminate hazards to railroad workers.  Specifically, FRA uses the information that it collects, under this regulation, to monitor and enforce requirements relating to the safety of roadway workers and ensure that railroads fulfill their responsibilities to keep roadway workers secure and free from unnecessary and avoidable hazards.</w:t>
      </w:r>
    </w:p>
    <w:p w:rsidR="008C35C6" w:rsidRPr="008C35C6" w14:paraId="7527D9A2" w14:textId="77777777">
      <w:pPr>
        <w:rPr>
          <w:color w:val="000000"/>
          <w:szCs w:val="24"/>
          <w:shd w:val="clear" w:color="auto" w:fill="FFFFFF"/>
        </w:rPr>
      </w:pPr>
    </w:p>
    <w:p w:rsidR="001E1577" w:rsidRPr="001E1577" w:rsidP="001E1577" w14:paraId="0EB12D92" w14:textId="0ACB6971">
      <w:pPr>
        <w:spacing w:after="160" w:line="259" w:lineRule="auto"/>
        <w:rPr>
          <w:rFonts w:eastAsia="Calibri"/>
          <w:bCs/>
          <w:szCs w:val="24"/>
        </w:rPr>
      </w:pPr>
      <w:bookmarkStart w:id="0" w:name="_Hlk200533233"/>
      <w:r w:rsidRPr="008C35C6">
        <w:rPr>
          <w:rFonts w:eastAsia="Calibri"/>
          <w:bCs/>
          <w:szCs w:val="24"/>
        </w:rPr>
        <w:t xml:space="preserve">On </w:t>
      </w:r>
      <w:r w:rsidR="00B40048">
        <w:rPr>
          <w:rFonts w:eastAsia="Calibri"/>
          <w:bCs/>
          <w:szCs w:val="24"/>
        </w:rPr>
        <w:t>August 31</w:t>
      </w:r>
      <w:r w:rsidRPr="008C35C6">
        <w:rPr>
          <w:rFonts w:eastAsia="Calibri"/>
          <w:bCs/>
          <w:szCs w:val="24"/>
        </w:rPr>
        <w:t>, 202</w:t>
      </w:r>
      <w:r w:rsidR="00B413C6">
        <w:rPr>
          <w:rFonts w:eastAsia="Calibri"/>
          <w:bCs/>
          <w:szCs w:val="24"/>
        </w:rPr>
        <w:t>6</w:t>
      </w:r>
      <w:r w:rsidRPr="008C35C6">
        <w:rPr>
          <w:rFonts w:eastAsia="Calibri"/>
          <w:bCs/>
          <w:szCs w:val="24"/>
        </w:rPr>
        <w:t xml:space="preserve">, FRA issued a </w:t>
      </w:r>
      <w:r w:rsidR="00B379F6">
        <w:rPr>
          <w:rFonts w:eastAsia="Calibri"/>
          <w:bCs/>
          <w:szCs w:val="24"/>
        </w:rPr>
        <w:t>final rule</w:t>
      </w:r>
      <w:r w:rsidRPr="008C35C6">
        <w:rPr>
          <w:rFonts w:eastAsia="Calibri"/>
          <w:bCs/>
          <w:szCs w:val="24"/>
        </w:rPr>
        <w:t xml:space="preserve"> </w:t>
      </w:r>
      <w:r w:rsidR="00B379F6">
        <w:rPr>
          <w:rFonts w:eastAsia="Calibri"/>
          <w:bCs/>
          <w:szCs w:val="24"/>
        </w:rPr>
        <w:t>titled</w:t>
      </w:r>
      <w:r w:rsidR="00B413C6">
        <w:rPr>
          <w:rFonts w:eastAsia="Calibri"/>
          <w:bCs/>
          <w:szCs w:val="24"/>
        </w:rPr>
        <w:t xml:space="preserve"> </w:t>
      </w:r>
      <w:r w:rsidRPr="00B413C6" w:rsidR="00B413C6">
        <w:rPr>
          <w:rFonts w:eastAsia="Calibri"/>
          <w:bCs/>
          <w:szCs w:val="24"/>
          <w:u w:val="single"/>
        </w:rPr>
        <w:t>Repealing Outdated Railroad Workplace Safety Requirements and Making Other Improvements</w:t>
      </w:r>
      <w:r w:rsidR="00B413C6">
        <w:rPr>
          <w:rFonts w:eastAsia="Calibri"/>
          <w:bCs/>
          <w:szCs w:val="24"/>
        </w:rPr>
        <w:t>.</w:t>
      </w:r>
      <w:r>
        <w:rPr>
          <w:rStyle w:val="FootnoteReference"/>
          <w:rFonts w:eastAsia="Calibri"/>
          <w:bCs/>
          <w:szCs w:val="24"/>
        </w:rPr>
        <w:footnoteReference w:id="2"/>
      </w:r>
      <w:r>
        <w:rPr>
          <w:rFonts w:eastAsia="Calibri"/>
          <w:bCs/>
          <w:szCs w:val="24"/>
        </w:rPr>
        <w:t xml:space="preserve"> </w:t>
      </w:r>
      <w:r w:rsidRPr="001E1577">
        <w:rPr>
          <w:rFonts w:eastAsia="Calibri"/>
          <w:bCs/>
          <w:szCs w:val="24"/>
        </w:rPr>
        <w:t>This rule repeals several roadway workplace safety requirements that have become obsolete. In addition, FRA establishes a new special approval procedure to enable regulated entities, after public notice and FRA approval, to utilize an alternative approach to bridge worker safety that provides for an equivalent or better level of safety. Also, this rule clarifies that the required training for operators of roadway maintenance machines equipped with a crane includes specific aspects such as maintaining vertical clearance.</w:t>
      </w:r>
    </w:p>
    <w:p w:rsidR="00061E0A" w:rsidRPr="00061E0A" w:rsidP="00061E0A" w14:paraId="26B922BF" w14:textId="77777777">
      <w:pPr>
        <w:widowControl w:val="0"/>
        <w:tabs>
          <w:tab w:val="left" w:pos="210"/>
          <w:tab w:val="center" w:pos="4680"/>
        </w:tabs>
        <w:spacing w:after="200"/>
        <w:rPr>
          <w:rFonts w:eastAsia="Calibri"/>
          <w:b/>
          <w:szCs w:val="24"/>
          <w:u w:val="single"/>
        </w:rPr>
      </w:pPr>
      <w:r w:rsidRPr="00061E0A">
        <w:rPr>
          <w:rFonts w:eastAsia="Calibri"/>
          <w:b/>
          <w:szCs w:val="24"/>
          <w:u w:val="single"/>
        </w:rPr>
        <w:t>Justification:</w:t>
      </w:r>
    </w:p>
    <w:p w:rsidR="00DC0C83" w:rsidP="00DC0C83" w14:paraId="1E172AE7" w14:textId="6C287404">
      <w:pPr>
        <w:widowControl w:val="0"/>
        <w:spacing w:after="200"/>
        <w:rPr>
          <w:rFonts w:eastAsia="Calibri"/>
          <w:szCs w:val="24"/>
        </w:rPr>
      </w:pPr>
      <w:r>
        <w:rPr>
          <w:rFonts w:eastAsia="Calibri"/>
          <w:szCs w:val="24"/>
        </w:rPr>
        <w:t>With this final rule</w:t>
      </w:r>
      <w:r>
        <w:rPr>
          <w:rFonts w:eastAsia="Calibri"/>
          <w:szCs w:val="24"/>
        </w:rPr>
        <w:t xml:space="preserve"> FRA added a new </w:t>
      </w:r>
      <w:r w:rsidR="00B40048">
        <w:rPr>
          <w:rFonts w:eastAsia="Calibri"/>
          <w:szCs w:val="24"/>
        </w:rPr>
        <w:t xml:space="preserve">§ </w:t>
      </w:r>
      <w:r>
        <w:rPr>
          <w:rFonts w:eastAsia="Calibri"/>
          <w:szCs w:val="24"/>
        </w:rPr>
        <w:t>214.119 that provides for a special approval procedure similar to the procedure provided in 49 CFR 238.21.</w:t>
      </w:r>
    </w:p>
    <w:p w:rsidR="00061E0A" w:rsidRPr="008C35C6" w:rsidP="00061E0A" w14:paraId="28F6FF9E" w14:textId="2E6009B7">
      <w:pPr>
        <w:widowControl w:val="0"/>
        <w:numPr>
          <w:ilvl w:val="0"/>
          <w:numId w:val="1"/>
        </w:numPr>
        <w:spacing w:after="160" w:line="259" w:lineRule="auto"/>
      </w:pPr>
      <w:r>
        <w:rPr>
          <w:szCs w:val="24"/>
        </w:rPr>
        <w:t xml:space="preserve">The currently approved total burden hours for ICR 2130-0539 </w:t>
      </w:r>
      <w:r w:rsidR="00AC75CC">
        <w:rPr>
          <w:szCs w:val="24"/>
        </w:rPr>
        <w:t>are</w:t>
      </w:r>
      <w:r>
        <w:rPr>
          <w:szCs w:val="24"/>
        </w:rPr>
        <w:t xml:space="preserve"> 13,604. </w:t>
      </w:r>
      <w:r w:rsidR="00E064A9">
        <w:rPr>
          <w:szCs w:val="24"/>
        </w:rPr>
        <w:t xml:space="preserve">New </w:t>
      </w:r>
      <w:r w:rsidR="00B40048">
        <w:rPr>
          <w:szCs w:val="24"/>
        </w:rPr>
        <w:t>§</w:t>
      </w:r>
      <w:r w:rsidR="00E064A9">
        <w:rPr>
          <w:szCs w:val="24"/>
        </w:rPr>
        <w:t xml:space="preserve"> 214.119 will increase the currently approved burden by 10 hours. This resulted in a revised total </w:t>
      </w:r>
      <w:r w:rsidR="00E064A9">
        <w:rPr>
          <w:szCs w:val="24"/>
        </w:rPr>
        <w:t xml:space="preserve">annual burden of 13,614 hours for the entire collection. </w:t>
      </w:r>
      <w:r w:rsidRPr="00E064A9" w:rsidR="00E064A9">
        <w:rPr>
          <w:bCs/>
          <w:szCs w:val="24"/>
        </w:rPr>
        <w:t>The special approval procedure enables a regulated entity, after public notice and FRA approval, to utilize an alternative approach to bridge worker safety that provides for an equivalent or better level of safety</w:t>
      </w:r>
    </w:p>
    <w:p w:rsidR="008C35C6" w:rsidRPr="009D6413" w:rsidP="008C35C6" w14:paraId="1542AC1C" w14:textId="46EF946C">
      <w:pPr>
        <w:widowControl w:val="0"/>
        <w:numPr>
          <w:ilvl w:val="0"/>
          <w:numId w:val="1"/>
        </w:numPr>
        <w:rPr>
          <w:szCs w:val="24"/>
        </w:rPr>
      </w:pPr>
      <w:r w:rsidRPr="009D6413">
        <w:rPr>
          <w:szCs w:val="24"/>
        </w:rPr>
        <w:t>No other changes have been made to this collection.</w:t>
      </w:r>
    </w:p>
    <w:p w:rsidR="00AD1B17" w:rsidP="008C35C6" w14:paraId="28F00D5E" w14:textId="77777777">
      <w:pPr>
        <w:widowControl w:val="0"/>
        <w:autoSpaceDE w:val="0"/>
        <w:autoSpaceDN w:val="0"/>
        <w:adjustRightInd w:val="0"/>
        <w:ind w:left="360"/>
        <w:rPr>
          <w:rFonts w:eastAsia="Calibri"/>
          <w:bCs/>
          <w:szCs w:val="24"/>
        </w:rPr>
      </w:pPr>
    </w:p>
    <w:p w:rsidR="00061E0A" w:rsidRPr="00FC46E4" w:rsidP="00061E0A" w14:paraId="219C1954" w14:textId="55B36C06">
      <w:pPr>
        <w:widowControl w:val="0"/>
        <w:autoSpaceDE w:val="0"/>
        <w:autoSpaceDN w:val="0"/>
        <w:adjustRightInd w:val="0"/>
        <w:ind w:left="360"/>
        <w:rPr>
          <w:rFonts w:eastAsia="Calibri"/>
          <w:bCs/>
          <w:szCs w:val="24"/>
          <w:u w:val="single"/>
        </w:rPr>
      </w:pPr>
      <w:r w:rsidRPr="00FC46E4">
        <w:rPr>
          <w:rFonts w:eastAsia="Calibri"/>
          <w:bCs/>
          <w:szCs w:val="24"/>
          <w:u w:val="single"/>
        </w:rPr>
        <w:t>Non-substantive Change Request</w:t>
      </w:r>
    </w:p>
    <w:p w:rsidR="00DC0C83" w:rsidP="00061E0A" w14:paraId="5F38776C" w14:textId="77777777">
      <w:pPr>
        <w:widowControl w:val="0"/>
        <w:autoSpaceDE w:val="0"/>
        <w:autoSpaceDN w:val="0"/>
        <w:adjustRightInd w:val="0"/>
        <w:ind w:left="360"/>
        <w:rPr>
          <w:rFonts w:eastAsia="Calibri"/>
          <w:bCs/>
          <w:szCs w:val="24"/>
        </w:rPr>
      </w:pPr>
    </w:p>
    <w:tbl>
      <w:tblPr>
        <w:tblStyle w:val="TableGrid1"/>
        <w:tblW w:w="0" w:type="auto"/>
        <w:jc w:val="center"/>
        <w:tblLook w:val="04A0"/>
      </w:tblPr>
      <w:tblGrid>
        <w:gridCol w:w="1682"/>
        <w:gridCol w:w="1221"/>
        <w:gridCol w:w="1117"/>
        <w:gridCol w:w="310"/>
        <w:gridCol w:w="983"/>
        <w:gridCol w:w="990"/>
        <w:gridCol w:w="1352"/>
      </w:tblGrid>
      <w:tr w14:paraId="163ECD53" w14:textId="77777777" w:rsidTr="00B40048">
        <w:tblPrEx>
          <w:tblW w:w="0" w:type="auto"/>
          <w:jc w:val="center"/>
          <w:tblLook w:val="04A0"/>
        </w:tblPrEx>
        <w:trPr>
          <w:jc w:val="center"/>
        </w:trPr>
        <w:tc>
          <w:tcPr>
            <w:tcW w:w="1682" w:type="dxa"/>
            <w:shd w:val="clear" w:color="auto" w:fill="FFFFFF"/>
          </w:tcPr>
          <w:p w:rsidR="00DC0C83" w:rsidRPr="00DC0C83" w:rsidP="00B40048" w14:paraId="6EB1CEC9" w14:textId="3F0F3EF8">
            <w:pPr>
              <w:jc w:val="center"/>
              <w:rPr>
                <w:b/>
                <w:bCs/>
                <w:kern w:val="2"/>
                <w:sz w:val="20"/>
                <w:lang w:val="en-CA"/>
                <w14:ligatures w14:val="standardContextual"/>
              </w:rPr>
            </w:pPr>
            <w:r w:rsidRPr="00DC0C83">
              <w:rPr>
                <w:rFonts w:eastAsia="Aptos"/>
                <w:color w:val="000000"/>
                <w:kern w:val="2"/>
                <w:sz w:val="20"/>
                <w14:ligatures w14:val="standardContextual"/>
              </w:rPr>
              <w:t>CFR Section</w:t>
            </w:r>
          </w:p>
        </w:tc>
        <w:tc>
          <w:tcPr>
            <w:tcW w:w="1221" w:type="dxa"/>
            <w:shd w:val="clear" w:color="auto" w:fill="FFFFFF"/>
          </w:tcPr>
          <w:p w:rsidR="00DC0C83" w:rsidRPr="00DC0C83" w:rsidP="00DC0C83" w14:paraId="3656E20B" w14:textId="77777777">
            <w:pPr>
              <w:contextualSpacing/>
              <w:jc w:val="center"/>
              <w:rPr>
                <w:kern w:val="2"/>
                <w:sz w:val="20"/>
                <w:lang w:val="en-CA"/>
                <w14:ligatures w14:val="standardContextual"/>
              </w:rPr>
            </w:pPr>
            <w:r w:rsidRPr="00DC0C83">
              <w:rPr>
                <w:rFonts w:eastAsia="Aptos"/>
                <w:color w:val="000000"/>
                <w:kern w:val="2"/>
                <w:sz w:val="20"/>
                <w14:ligatures w14:val="standardContextual"/>
              </w:rPr>
              <w:t>Respondent Universe</w:t>
            </w:r>
          </w:p>
        </w:tc>
        <w:tc>
          <w:tcPr>
            <w:tcW w:w="1427" w:type="dxa"/>
            <w:gridSpan w:val="2"/>
            <w:shd w:val="clear" w:color="auto" w:fill="FFFFFF"/>
          </w:tcPr>
          <w:p w:rsidR="00DC0C83" w:rsidRPr="00DC0C83" w:rsidP="00DC0C83" w14:paraId="3E2A7E90" w14:textId="77777777">
            <w:pPr>
              <w:contextualSpacing/>
              <w:jc w:val="center"/>
              <w:rPr>
                <w:rFonts w:eastAsia="Aptos"/>
                <w:color w:val="000000"/>
                <w:kern w:val="2"/>
                <w:sz w:val="20"/>
                <w14:ligatures w14:val="standardContextual"/>
              </w:rPr>
            </w:pPr>
            <w:r w:rsidRPr="00DC0C83">
              <w:rPr>
                <w:rFonts w:eastAsia="Aptos"/>
                <w:color w:val="000000"/>
                <w:kern w:val="2"/>
                <w:sz w:val="20"/>
                <w14:ligatures w14:val="standardContextual"/>
              </w:rPr>
              <w:t xml:space="preserve">Total </w:t>
            </w:r>
          </w:p>
          <w:p w:rsidR="00DC0C83" w:rsidRPr="00DC0C83" w:rsidP="00DC0C83" w14:paraId="7F46277C" w14:textId="77777777">
            <w:pPr>
              <w:contextualSpacing/>
              <w:jc w:val="center"/>
              <w:rPr>
                <w:kern w:val="2"/>
                <w:sz w:val="20"/>
                <w:lang w:val="en-CA"/>
                <w14:ligatures w14:val="standardContextual"/>
              </w:rPr>
            </w:pPr>
            <w:r w:rsidRPr="00DC0C83">
              <w:rPr>
                <w:rFonts w:eastAsia="Aptos"/>
                <w:color w:val="000000"/>
                <w:kern w:val="2"/>
                <w:sz w:val="20"/>
                <w14:ligatures w14:val="standardContextual"/>
              </w:rPr>
              <w:t>Annual Responses</w:t>
            </w:r>
            <w:r w:rsidRPr="00DC0C83">
              <w:rPr>
                <w:rFonts w:eastAsia="Aptos"/>
                <w:color w:val="000000"/>
                <w:kern w:val="2"/>
                <w:sz w:val="20"/>
                <w14:ligatures w14:val="standardContextual"/>
              </w:rPr>
              <w:br/>
            </w:r>
            <w:r w:rsidRPr="00DC0C83">
              <w:rPr>
                <w:rFonts w:eastAsia="Aptos"/>
                <w:color w:val="000000"/>
                <w:kern w:val="2"/>
                <w:sz w:val="18"/>
                <w:szCs w:val="18"/>
                <w14:ligatures w14:val="standardContextual"/>
              </w:rPr>
              <w:t>(A)</w:t>
            </w:r>
          </w:p>
        </w:tc>
        <w:tc>
          <w:tcPr>
            <w:tcW w:w="983" w:type="dxa"/>
            <w:shd w:val="clear" w:color="auto" w:fill="FFFFFF"/>
          </w:tcPr>
          <w:p w:rsidR="00DC0C83" w:rsidRPr="00DC0C83" w:rsidP="00DC0C83" w14:paraId="4165C3B2" w14:textId="77777777">
            <w:pPr>
              <w:contextualSpacing/>
              <w:jc w:val="center"/>
              <w:rPr>
                <w:rFonts w:eastAsia="Aptos"/>
                <w:color w:val="000000"/>
                <w:kern w:val="2"/>
                <w:sz w:val="20"/>
                <w14:ligatures w14:val="standardContextual"/>
              </w:rPr>
            </w:pPr>
            <w:r w:rsidRPr="00DC0C83">
              <w:rPr>
                <w:rFonts w:eastAsia="Aptos"/>
                <w:color w:val="000000"/>
                <w:kern w:val="2"/>
                <w:sz w:val="20"/>
                <w14:ligatures w14:val="standardContextual"/>
              </w:rPr>
              <w:t xml:space="preserve">Average Time </w:t>
            </w:r>
          </w:p>
          <w:p w:rsidR="00DC0C83" w:rsidRPr="00DC0C83" w:rsidP="00DC0C83" w14:paraId="7811630B" w14:textId="77777777">
            <w:pPr>
              <w:contextualSpacing/>
              <w:jc w:val="center"/>
              <w:rPr>
                <w:kern w:val="2"/>
                <w:sz w:val="20"/>
                <w:lang w:val="en-CA"/>
                <w14:ligatures w14:val="standardContextual"/>
              </w:rPr>
            </w:pPr>
            <w:r w:rsidRPr="00DC0C83">
              <w:rPr>
                <w:rFonts w:eastAsia="Aptos"/>
                <w:color w:val="000000"/>
                <w:kern w:val="2"/>
                <w:sz w:val="20"/>
                <w14:ligatures w14:val="standardContextual"/>
              </w:rPr>
              <w:t>per Response</w:t>
            </w:r>
            <w:r w:rsidRPr="00DC0C83">
              <w:rPr>
                <w:rFonts w:eastAsia="Aptos"/>
                <w:color w:val="000000"/>
                <w:kern w:val="2"/>
                <w:sz w:val="20"/>
                <w14:ligatures w14:val="standardContextual"/>
              </w:rPr>
              <w:br/>
              <w:t>(B)</w:t>
            </w:r>
          </w:p>
        </w:tc>
        <w:tc>
          <w:tcPr>
            <w:tcW w:w="990" w:type="dxa"/>
            <w:shd w:val="clear" w:color="auto" w:fill="FFFFFF"/>
          </w:tcPr>
          <w:p w:rsidR="00DC0C83" w:rsidRPr="00DC0C83" w:rsidP="00DC0C83" w14:paraId="4E11A5F7" w14:textId="77777777">
            <w:pPr>
              <w:contextualSpacing/>
              <w:jc w:val="center"/>
              <w:rPr>
                <w:kern w:val="2"/>
                <w:sz w:val="20"/>
                <w:lang w:val="en-CA"/>
                <w14:ligatures w14:val="standardContextual"/>
              </w:rPr>
            </w:pPr>
            <w:r w:rsidRPr="00DC0C83">
              <w:rPr>
                <w:rFonts w:eastAsia="Aptos"/>
                <w:color w:val="000000"/>
                <w:kern w:val="2"/>
                <w:sz w:val="20"/>
                <w14:ligatures w14:val="standardContextual"/>
              </w:rPr>
              <w:t>Total Annual Burden Hours</w:t>
            </w:r>
            <w:r w:rsidRPr="00DC0C83">
              <w:rPr>
                <w:rFonts w:eastAsia="Aptos"/>
                <w:color w:val="000000"/>
                <w:kern w:val="2"/>
                <w:sz w:val="20"/>
                <w14:ligatures w14:val="standardContextual"/>
              </w:rPr>
              <w:br/>
            </w:r>
            <w:r w:rsidRPr="00DC0C83">
              <w:rPr>
                <w:rFonts w:eastAsia="Aptos"/>
                <w:color w:val="000000"/>
                <w:kern w:val="2"/>
                <w:sz w:val="18"/>
                <w:szCs w:val="18"/>
                <w14:ligatures w14:val="standardContextual"/>
              </w:rPr>
              <w:t>(C) = A * B</w:t>
            </w:r>
          </w:p>
        </w:tc>
        <w:tc>
          <w:tcPr>
            <w:tcW w:w="1352" w:type="dxa"/>
            <w:shd w:val="clear" w:color="auto" w:fill="FFFFFF"/>
          </w:tcPr>
          <w:p w:rsidR="00DC0C83" w:rsidRPr="00DC0C83" w:rsidP="00DC0C83" w14:paraId="1618D012" w14:textId="77777777">
            <w:pPr>
              <w:jc w:val="center"/>
              <w:rPr>
                <w:rFonts w:eastAsia="Aptos"/>
                <w:kern w:val="2"/>
                <w:sz w:val="20"/>
                <w14:ligatures w14:val="standardContextual"/>
              </w:rPr>
            </w:pPr>
            <w:r w:rsidRPr="00DC0C83">
              <w:rPr>
                <w:rFonts w:eastAsia="Aptos"/>
                <w:kern w:val="2"/>
                <w:sz w:val="20"/>
                <w14:ligatures w14:val="standardContextual"/>
              </w:rPr>
              <w:t>Total Annual Dollar Cost Equivalent</w:t>
            </w:r>
          </w:p>
          <w:p w:rsidR="00DC0C83" w:rsidRPr="00DC0C83" w:rsidP="00DC0C83" w14:paraId="50F30620" w14:textId="77777777">
            <w:pPr>
              <w:contextualSpacing/>
              <w:jc w:val="center"/>
              <w:rPr>
                <w:kern w:val="2"/>
                <w:sz w:val="20"/>
                <w:lang w:val="en-CA"/>
                <w14:ligatures w14:val="standardContextual"/>
              </w:rPr>
            </w:pPr>
            <w:r w:rsidRPr="00DC0C83">
              <w:rPr>
                <w:rFonts w:eastAsia="Aptos"/>
                <w:kern w:val="2"/>
                <w:sz w:val="18"/>
                <w:szCs w:val="18"/>
                <w14:ligatures w14:val="standardContextual"/>
              </w:rPr>
              <w:t>(D)=C * wage rates</w:t>
            </w:r>
            <w:r>
              <w:rPr>
                <w:rFonts w:eastAsia="Aptos"/>
                <w:kern w:val="2"/>
                <w:sz w:val="18"/>
                <w:szCs w:val="18"/>
                <w:vertAlign w:val="superscript"/>
                <w14:ligatures w14:val="standardContextual"/>
              </w:rPr>
              <w:footnoteReference w:id="3"/>
            </w:r>
          </w:p>
        </w:tc>
      </w:tr>
      <w:tr w14:paraId="75828545" w14:textId="77777777" w:rsidTr="00B40048">
        <w:tblPrEx>
          <w:tblW w:w="0" w:type="auto"/>
          <w:jc w:val="center"/>
          <w:tblLook w:val="04A0"/>
        </w:tblPrEx>
        <w:trPr>
          <w:jc w:val="center"/>
        </w:trPr>
        <w:tc>
          <w:tcPr>
            <w:tcW w:w="7655" w:type="dxa"/>
            <w:gridSpan w:val="7"/>
          </w:tcPr>
          <w:p w:rsidR="00DC0C83" w:rsidRPr="00DC0C83" w:rsidP="00DC0C83" w14:paraId="02579883" w14:textId="77777777">
            <w:pPr>
              <w:contextualSpacing/>
              <w:rPr>
                <w:kern w:val="2"/>
                <w:sz w:val="20"/>
                <w:lang w:val="en-CA"/>
                <w14:ligatures w14:val="standardContextual"/>
              </w:rPr>
            </w:pPr>
            <w:r w:rsidRPr="00DC0C83">
              <w:rPr>
                <w:b/>
                <w:bCs/>
                <w:kern w:val="2"/>
                <w:sz w:val="20"/>
                <w:lang w:val="en-CA"/>
                <w14:ligatures w14:val="standardContextual"/>
              </w:rPr>
              <w:t xml:space="preserve">§ 214.119 Special approval procedure </w:t>
            </w:r>
            <w:r w:rsidRPr="00DC0C83">
              <w:rPr>
                <w:b/>
                <w:bCs/>
                <w:i/>
                <w:iCs/>
                <w:kern w:val="2"/>
                <w:sz w:val="20"/>
                <w:lang w:val="en-CA"/>
                <w14:ligatures w14:val="standardContextual"/>
              </w:rPr>
              <w:t>(New)</w:t>
            </w:r>
          </w:p>
        </w:tc>
      </w:tr>
      <w:tr w14:paraId="4B5B3D99" w14:textId="77777777" w:rsidTr="00B40048">
        <w:tblPrEx>
          <w:tblW w:w="0" w:type="auto"/>
          <w:jc w:val="center"/>
          <w:tblLook w:val="04A0"/>
        </w:tblPrEx>
        <w:trPr>
          <w:jc w:val="center"/>
        </w:trPr>
        <w:tc>
          <w:tcPr>
            <w:tcW w:w="1682" w:type="dxa"/>
          </w:tcPr>
          <w:p w:rsidR="00DC0C83" w:rsidRPr="00DC0C83" w:rsidP="00DC0C83" w14:paraId="2B3FA44D" w14:textId="77777777">
            <w:pPr>
              <w:contextualSpacing/>
              <w:rPr>
                <w:kern w:val="2"/>
                <w:sz w:val="20"/>
                <w14:ligatures w14:val="standardContextual"/>
              </w:rPr>
            </w:pPr>
            <w:r w:rsidRPr="00DC0C83">
              <w:rPr>
                <w:kern w:val="2"/>
                <w:sz w:val="20"/>
                <w14:ligatures w14:val="standardContextual"/>
              </w:rPr>
              <w:t>—(a) Petition for special approval</w:t>
            </w:r>
          </w:p>
          <w:p w:rsidR="00DC0C83" w:rsidRPr="00DC0C83" w:rsidP="00DC0C83" w14:paraId="438EEEAC" w14:textId="77777777">
            <w:pPr>
              <w:contextualSpacing/>
              <w:rPr>
                <w:kern w:val="2"/>
                <w:sz w:val="20"/>
                <w14:ligatures w14:val="standardContextual"/>
              </w:rPr>
            </w:pPr>
            <w:r w:rsidRPr="00DC0C83">
              <w:rPr>
                <w:i/>
                <w:iCs/>
                <w:kern w:val="2"/>
                <w:sz w:val="20"/>
                <w14:ligatures w14:val="standardContextual"/>
              </w:rPr>
              <w:t>(New requirement)</w:t>
            </w:r>
            <w:r w:rsidRPr="00DC0C83">
              <w:rPr>
                <w:kern w:val="2"/>
                <w:sz w:val="20"/>
                <w14:ligatures w14:val="standardContextual"/>
              </w:rPr>
              <w:t xml:space="preserve"> </w:t>
            </w:r>
          </w:p>
        </w:tc>
        <w:tc>
          <w:tcPr>
            <w:tcW w:w="1221" w:type="dxa"/>
          </w:tcPr>
          <w:p w:rsidR="00DC0C83" w:rsidRPr="00DC0C83" w:rsidP="00DC0C83" w14:paraId="5D670803" w14:textId="77777777">
            <w:pPr>
              <w:contextualSpacing/>
              <w:jc w:val="center"/>
              <w:rPr>
                <w:kern w:val="2"/>
                <w:sz w:val="20"/>
                <w:lang w:val="en-CA"/>
                <w14:ligatures w14:val="standardContextual"/>
              </w:rPr>
            </w:pPr>
            <w:r w:rsidRPr="00DC0C83">
              <w:rPr>
                <w:kern w:val="2"/>
                <w:sz w:val="20"/>
                <w:lang w:val="en-CA"/>
                <w14:ligatures w14:val="standardContextual"/>
              </w:rPr>
              <w:t>800</w:t>
            </w:r>
          </w:p>
          <w:p w:rsidR="00DC0C83" w:rsidRPr="00DC0C83" w:rsidP="00DC0C83" w14:paraId="54AB3886" w14:textId="77777777">
            <w:pPr>
              <w:contextualSpacing/>
              <w:jc w:val="center"/>
              <w:rPr>
                <w:kern w:val="2"/>
                <w:sz w:val="20"/>
                <w:lang w:val="en-CA"/>
                <w14:ligatures w14:val="standardContextual"/>
              </w:rPr>
            </w:pPr>
            <w:r w:rsidRPr="00DC0C83">
              <w:rPr>
                <w:kern w:val="2"/>
                <w:sz w:val="20"/>
                <w:lang w:val="en-CA"/>
                <w14:ligatures w14:val="standardContextual"/>
              </w:rPr>
              <w:t>railroads</w:t>
            </w:r>
          </w:p>
        </w:tc>
        <w:tc>
          <w:tcPr>
            <w:tcW w:w="1117" w:type="dxa"/>
          </w:tcPr>
          <w:p w:rsidR="00DC0C83" w:rsidRPr="00DC0C83" w:rsidP="00DC0C83" w14:paraId="47A459ED" w14:textId="77777777">
            <w:pPr>
              <w:contextualSpacing/>
              <w:jc w:val="center"/>
              <w:rPr>
                <w:kern w:val="2"/>
                <w:sz w:val="20"/>
                <w:lang w:val="en-CA"/>
                <w14:ligatures w14:val="standardContextual"/>
              </w:rPr>
            </w:pPr>
            <w:r w:rsidRPr="00DC0C83">
              <w:rPr>
                <w:kern w:val="2"/>
                <w:sz w:val="20"/>
                <w:lang w:val="en-CA"/>
                <w14:ligatures w14:val="standardContextual"/>
              </w:rPr>
              <w:t>1</w:t>
            </w:r>
          </w:p>
          <w:p w:rsidR="00DC0C83" w:rsidRPr="00DC0C83" w:rsidP="00DC0C83" w14:paraId="071AAC7F" w14:textId="77777777">
            <w:pPr>
              <w:contextualSpacing/>
              <w:jc w:val="center"/>
              <w:rPr>
                <w:kern w:val="2"/>
                <w:sz w:val="20"/>
                <w:lang w:val="en-CA"/>
                <w14:ligatures w14:val="standardContextual"/>
              </w:rPr>
            </w:pPr>
            <w:r w:rsidRPr="00DC0C83">
              <w:rPr>
                <w:kern w:val="2"/>
                <w:sz w:val="20"/>
                <w:lang w:val="en-CA"/>
                <w14:ligatures w14:val="standardContextual"/>
              </w:rPr>
              <w:t>submission</w:t>
            </w:r>
          </w:p>
        </w:tc>
        <w:tc>
          <w:tcPr>
            <w:tcW w:w="1293" w:type="dxa"/>
            <w:gridSpan w:val="2"/>
          </w:tcPr>
          <w:p w:rsidR="00DC0C83" w:rsidRPr="00DC0C83" w:rsidP="00DC0C83" w14:paraId="25583DFC" w14:textId="77777777">
            <w:pPr>
              <w:contextualSpacing/>
              <w:jc w:val="center"/>
              <w:rPr>
                <w:kern w:val="2"/>
                <w:sz w:val="20"/>
                <w:lang w:val="en-CA"/>
                <w14:ligatures w14:val="standardContextual"/>
              </w:rPr>
            </w:pPr>
            <w:r w:rsidRPr="00DC0C83">
              <w:rPr>
                <w:kern w:val="2"/>
                <w:sz w:val="20"/>
                <w:lang w:val="en-CA"/>
                <w14:ligatures w14:val="standardContextual"/>
              </w:rPr>
              <w:t>10</w:t>
            </w:r>
          </w:p>
          <w:p w:rsidR="00DC0C83" w:rsidRPr="00DC0C83" w:rsidP="00B40048" w14:paraId="75AB48D9" w14:textId="50649E06">
            <w:pPr>
              <w:contextualSpacing/>
              <w:jc w:val="center"/>
              <w:rPr>
                <w:kern w:val="2"/>
                <w:sz w:val="20"/>
                <w:lang w:val="en-CA"/>
                <w14:ligatures w14:val="standardContextual"/>
              </w:rPr>
            </w:pPr>
            <w:r w:rsidRPr="00DC0C83">
              <w:rPr>
                <w:kern w:val="2"/>
                <w:sz w:val="20"/>
                <w:lang w:val="en-CA"/>
                <w14:ligatures w14:val="standardContextual"/>
              </w:rPr>
              <w:t>hours</w:t>
            </w:r>
          </w:p>
        </w:tc>
        <w:tc>
          <w:tcPr>
            <w:tcW w:w="990" w:type="dxa"/>
          </w:tcPr>
          <w:p w:rsidR="00DC0C83" w:rsidRPr="00DC0C83" w:rsidP="00DC0C83" w14:paraId="47169AE7" w14:textId="77777777">
            <w:pPr>
              <w:contextualSpacing/>
              <w:jc w:val="center"/>
              <w:rPr>
                <w:kern w:val="2"/>
                <w:sz w:val="20"/>
                <w:lang w:val="en-CA"/>
                <w14:ligatures w14:val="standardContextual"/>
              </w:rPr>
            </w:pPr>
            <w:r w:rsidRPr="00DC0C83">
              <w:rPr>
                <w:kern w:val="2"/>
                <w:sz w:val="20"/>
                <w:lang w:val="en-CA"/>
                <w14:ligatures w14:val="standardContextual"/>
              </w:rPr>
              <w:t>10</w:t>
            </w:r>
          </w:p>
          <w:p w:rsidR="00DC0C83" w:rsidRPr="00DC0C83" w:rsidP="00DC0C83" w14:paraId="49416350" w14:textId="77777777">
            <w:pPr>
              <w:contextualSpacing/>
              <w:jc w:val="center"/>
              <w:rPr>
                <w:kern w:val="2"/>
                <w:sz w:val="20"/>
                <w:lang w:val="en-CA"/>
                <w14:ligatures w14:val="standardContextual"/>
              </w:rPr>
            </w:pPr>
            <w:r w:rsidRPr="00DC0C83">
              <w:rPr>
                <w:kern w:val="2"/>
                <w:sz w:val="20"/>
                <w:lang w:val="en-CA"/>
                <w14:ligatures w14:val="standardContextual"/>
              </w:rPr>
              <w:t>hours</w:t>
            </w:r>
          </w:p>
        </w:tc>
        <w:tc>
          <w:tcPr>
            <w:tcW w:w="1352" w:type="dxa"/>
          </w:tcPr>
          <w:p w:rsidR="00DC0C83" w:rsidRPr="00DC0C83" w:rsidP="00DC0C83" w14:paraId="6C8BD445" w14:textId="0A74C75F">
            <w:pPr>
              <w:contextualSpacing/>
              <w:jc w:val="center"/>
              <w:rPr>
                <w:kern w:val="2"/>
                <w:sz w:val="20"/>
                <w:lang w:val="en-CA"/>
                <w14:ligatures w14:val="standardContextual"/>
              </w:rPr>
            </w:pPr>
            <w:r>
              <w:rPr>
                <w:kern w:val="2"/>
                <w:sz w:val="20"/>
                <w:lang w:val="en-CA"/>
                <w14:ligatures w14:val="standardContextual"/>
              </w:rPr>
              <w:t>$945</w:t>
            </w:r>
          </w:p>
        </w:tc>
      </w:tr>
      <w:bookmarkEnd w:id="0"/>
    </w:tbl>
    <w:p w:rsidR="00061E0A" w:rsidP="00B40048" w14:paraId="4C204DB9" w14:textId="77777777">
      <w:pPr>
        <w:widowControl w:val="0"/>
        <w:spacing w:after="160" w:line="259"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1E0A" w:rsidP="00061E0A" w14:paraId="2CC4CFD5" w14:textId="77777777">
      <w:r>
        <w:separator/>
      </w:r>
    </w:p>
  </w:footnote>
  <w:footnote w:type="continuationSeparator" w:id="1">
    <w:p w:rsidR="00061E0A" w:rsidP="00061E0A" w14:paraId="01DA93D0" w14:textId="77777777">
      <w:r>
        <w:continuationSeparator/>
      </w:r>
    </w:p>
  </w:footnote>
  <w:footnote w:id="2">
    <w:p w:rsidR="001E1577" w14:paraId="2318D1EE" w14:textId="71C5D715">
      <w:pPr>
        <w:pStyle w:val="FootnoteText"/>
      </w:pPr>
      <w:r>
        <w:rPr>
          <w:rStyle w:val="FootnoteReference"/>
        </w:rPr>
        <w:footnoteRef/>
      </w:r>
      <w:r>
        <w:t xml:space="preserve"> </w:t>
      </w:r>
      <w:r w:rsidRPr="00EF5FD3" w:rsidR="00B40048">
        <w:rPr>
          <w:rFonts w:ascii="Times New Roman" w:hAnsi="Times New Roman" w:cs="Times New Roman"/>
        </w:rPr>
        <w:t>91 FR 55749</w:t>
      </w:r>
    </w:p>
  </w:footnote>
  <w:footnote w:id="3">
    <w:p w:rsidR="00DC0C83" w:rsidP="00DC0C83" w14:paraId="0656EB08" w14:textId="21DC55EF">
      <w:pPr>
        <w:pStyle w:val="FootnoteText"/>
        <w:spacing w:after="120"/>
      </w:pPr>
      <w:r w:rsidRPr="00E04F68">
        <w:rPr>
          <w:rStyle w:val="FootnoteReference"/>
          <w:rFonts w:ascii="Times New Roman" w:hAnsi="Times New Roman"/>
        </w:rPr>
        <w:footnoteRef/>
      </w:r>
      <w:r w:rsidRPr="00E04F68">
        <w:rPr>
          <w:rFonts w:ascii="Times New Roman" w:hAnsi="Times New Roman" w:cs="Times New Roman"/>
        </w:rPr>
        <w:t xml:space="preserve"> </w:t>
      </w:r>
      <w:r w:rsidRPr="00FE253B">
        <w:rPr>
          <w:rFonts w:ascii="Times New Roman" w:hAnsi="Times New Roman" w:cs="Times New Roman"/>
          <w:lang w:val="x-none"/>
        </w:rPr>
        <w:t>The dollar equivalent cost is derived from the 202</w:t>
      </w:r>
      <w:r w:rsidR="009F13A7">
        <w:rPr>
          <w:rFonts w:ascii="Times New Roman" w:hAnsi="Times New Roman" w:cs="Times New Roman"/>
          <w:lang w:val="x-none"/>
        </w:rPr>
        <w:t>5</w:t>
      </w:r>
      <w:r w:rsidRPr="00FE253B">
        <w:rPr>
          <w:rFonts w:ascii="Times New Roman" w:hAnsi="Times New Roman" w:cs="Times New Roman"/>
          <w:lang w:val="x-none"/>
        </w:rPr>
        <w:t xml:space="preserve"> Surface Transportation Board Full Year Wage A&amp;B data series using the employee group 200 (Professional &amp; Administrative) hourly wage rate of $5</w:t>
      </w:r>
      <w:r w:rsidR="00561EA9">
        <w:rPr>
          <w:rFonts w:ascii="Times New Roman" w:hAnsi="Times New Roman" w:cs="Times New Roman"/>
          <w:lang w:val="x-none"/>
        </w:rPr>
        <w:t>4.00</w:t>
      </w:r>
      <w:r w:rsidRPr="00FE253B">
        <w:rPr>
          <w:rFonts w:ascii="Times New Roman" w:hAnsi="Times New Roman" w:cs="Times New Roman"/>
          <w:lang w:val="x-none"/>
        </w:rPr>
        <w:t xml:space="preserve"> The total burden wage rates (Straight time plus 75%) used in the table are $</w:t>
      </w:r>
      <w:r w:rsidR="00561EA9">
        <w:rPr>
          <w:rFonts w:ascii="Times New Roman" w:hAnsi="Times New Roman" w:cs="Times New Roman"/>
          <w:lang w:val="x-none"/>
        </w:rPr>
        <w:t>94.50</w:t>
      </w:r>
      <w:r w:rsidRPr="00FE253B">
        <w:rPr>
          <w:rFonts w:ascii="Times New Roman" w:hAnsi="Times New Roman" w:cs="Times New Roman"/>
          <w:lang w:val="x-none"/>
        </w:rPr>
        <w:t xml:space="preserve"> ($5</w:t>
      </w:r>
      <w:r w:rsidR="00561EA9">
        <w:rPr>
          <w:rFonts w:ascii="Times New Roman" w:hAnsi="Times New Roman" w:cs="Times New Roman"/>
          <w:lang w:val="x-none"/>
        </w:rPr>
        <w:t>4</w:t>
      </w:r>
      <w:r w:rsidRPr="00FE253B">
        <w:rPr>
          <w:rFonts w:ascii="Times New Roman" w:hAnsi="Times New Roman" w:cs="Times New Roman"/>
          <w:lang w:val="x-none"/>
        </w:rPr>
        <w:t xml:space="preserve"> x 1.75 = $</w:t>
      </w:r>
      <w:r w:rsidR="00561EA9">
        <w:rPr>
          <w:rFonts w:ascii="Times New Roman" w:hAnsi="Times New Roman" w:cs="Times New Roman"/>
          <w:lang w:val="x-none"/>
        </w:rPr>
        <w:t>94.50</w:t>
      </w:r>
      <w:r w:rsidRPr="00FE253B">
        <w:rPr>
          <w:rFonts w:ascii="Times New Roman" w:hAnsi="Times New Roman" w:cs="Times New Roman"/>
          <w:lang w:val="x-none"/>
        </w:rPr>
        <w:t>)</w:t>
      </w:r>
      <w:r w:rsidR="00AC75CC">
        <w:rPr>
          <w:rFonts w:ascii="Times New Roman" w:hAnsi="Times New Roman" w:cs="Times New Roman"/>
          <w:lang w:val="x-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2F8D"/>
    <w:multiLevelType w:val="hybridMultilevel"/>
    <w:tmpl w:val="E286B71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9489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0A"/>
    <w:rsid w:val="00061E0A"/>
    <w:rsid w:val="000F7313"/>
    <w:rsid w:val="001E1577"/>
    <w:rsid w:val="004D4F13"/>
    <w:rsid w:val="00545B88"/>
    <w:rsid w:val="00561EA9"/>
    <w:rsid w:val="006143DB"/>
    <w:rsid w:val="006B08F6"/>
    <w:rsid w:val="00725CCA"/>
    <w:rsid w:val="007A09E2"/>
    <w:rsid w:val="00806EE7"/>
    <w:rsid w:val="008C35C6"/>
    <w:rsid w:val="008D473A"/>
    <w:rsid w:val="009D6413"/>
    <w:rsid w:val="009E7A90"/>
    <w:rsid w:val="009F13A7"/>
    <w:rsid w:val="00AC75CC"/>
    <w:rsid w:val="00AD1B17"/>
    <w:rsid w:val="00B379F6"/>
    <w:rsid w:val="00B40048"/>
    <w:rsid w:val="00B413C6"/>
    <w:rsid w:val="00CA391D"/>
    <w:rsid w:val="00CE0FB3"/>
    <w:rsid w:val="00D2379D"/>
    <w:rsid w:val="00D51DB5"/>
    <w:rsid w:val="00D81F8B"/>
    <w:rsid w:val="00DC0C83"/>
    <w:rsid w:val="00E04F68"/>
    <w:rsid w:val="00E064A9"/>
    <w:rsid w:val="00E21CA7"/>
    <w:rsid w:val="00ED7C7E"/>
    <w:rsid w:val="00EF5FD3"/>
    <w:rsid w:val="00FC46E4"/>
    <w:rsid w:val="00FE25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13FFB5"/>
  <w15:chartTrackingRefBased/>
  <w15:docId w15:val="{DD4CFEF6-8FFA-4B19-810D-9E0D952BF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E0A"/>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E0A"/>
    <w:pPr>
      <w:ind w:left="720"/>
      <w:contextualSpacing/>
    </w:pPr>
  </w:style>
  <w:style w:type="paragraph" w:styleId="FootnoteText">
    <w:name w:val="footnote text"/>
    <w:basedOn w:val="Normal"/>
    <w:link w:val="FootnoteTextChar"/>
    <w:uiPriority w:val="99"/>
    <w:semiHidden/>
    <w:unhideWhenUsed/>
    <w:rsid w:val="00061E0A"/>
    <w:rPr>
      <w:rFonts w:asciiTheme="minorHAnsi" w:eastAsiaTheme="minorHAnsi" w:hAnsiTheme="minorHAnsi" w:cstheme="minorBidi"/>
      <w:kern w:val="2"/>
      <w:sz w:val="20"/>
      <w14:ligatures w14:val="standardContextual"/>
    </w:rPr>
  </w:style>
  <w:style w:type="character" w:customStyle="1" w:styleId="FootnoteTextChar">
    <w:name w:val="Footnote Text Char"/>
    <w:basedOn w:val="DefaultParagraphFont"/>
    <w:link w:val="FootnoteText"/>
    <w:uiPriority w:val="99"/>
    <w:semiHidden/>
    <w:rsid w:val="00061E0A"/>
    <w:rPr>
      <w:sz w:val="20"/>
      <w:szCs w:val="20"/>
    </w:rPr>
  </w:style>
  <w:style w:type="character" w:styleId="FootnoteReference">
    <w:name w:val="footnote reference"/>
    <w:aliases w:val="MC-PRE Footnote Reference"/>
    <w:uiPriority w:val="99"/>
    <w:qFormat/>
    <w:rsid w:val="00061E0A"/>
    <w:rPr>
      <w:vertAlign w:val="superscript"/>
    </w:rPr>
  </w:style>
  <w:style w:type="paragraph" w:styleId="NoSpacing">
    <w:name w:val="No Spacing"/>
    <w:uiPriority w:val="1"/>
    <w:qFormat/>
    <w:rsid w:val="00AD1B17"/>
    <w:pPr>
      <w:spacing w:after="0" w:line="240" w:lineRule="auto"/>
    </w:pPr>
    <w:rPr>
      <w:rFonts w:ascii="Times New Roman" w:eastAsia="Times New Roman" w:hAnsi="Times New Roman" w:cs="Times New Roman"/>
      <w:kern w:val="0"/>
      <w:sz w:val="24"/>
      <w:szCs w:val="20"/>
      <w14:ligatures w14:val="none"/>
    </w:rPr>
  </w:style>
  <w:style w:type="paragraph" w:styleId="Revision">
    <w:name w:val="Revision"/>
    <w:hidden/>
    <w:uiPriority w:val="99"/>
    <w:semiHidden/>
    <w:rsid w:val="00D51DB5"/>
    <w:pPr>
      <w:spacing w:after="0" w:line="240" w:lineRule="auto"/>
    </w:pPr>
    <w:rPr>
      <w:rFonts w:ascii="Times New Roman" w:eastAsia="Times New Roman" w:hAnsi="Times New Roman" w:cs="Times New Roman"/>
      <w:kern w:val="0"/>
      <w:sz w:val="24"/>
      <w:szCs w:val="20"/>
      <w14:ligatures w14:val="none"/>
    </w:rPr>
  </w:style>
  <w:style w:type="table" w:customStyle="1" w:styleId="TableGrid1">
    <w:name w:val="Table Grid1"/>
    <w:basedOn w:val="TableNormal"/>
    <w:next w:val="TableGrid"/>
    <w:uiPriority w:val="39"/>
    <w:rsid w:val="00DC0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0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8A8D6-5AC3-47DA-B066-04FD9860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Mussington, Arlette (FRA)</dc:creator>
  <cp:lastModifiedBy>Swafford, Joanne (FRA)</cp:lastModifiedBy>
  <cp:revision>7</cp:revision>
  <dcterms:created xsi:type="dcterms:W3CDTF">2026-04-15T18:13:00Z</dcterms:created>
  <dcterms:modified xsi:type="dcterms:W3CDTF">2026-08-31T15:37:00Z</dcterms:modified>
</cp:coreProperties>
</file>