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61E0A" w:rsidP="00943C0F" w14:paraId="637FA0F6" w14:textId="77777777">
      <w:pPr>
        <w:widowControl w:val="0"/>
        <w:ind w:right="270"/>
        <w:jc w:val="center"/>
        <w:rPr>
          <w:b/>
          <w:szCs w:val="24"/>
        </w:rPr>
      </w:pPr>
      <w:r w:rsidRPr="00725CCA">
        <w:rPr>
          <w:b/>
          <w:szCs w:val="24"/>
        </w:rPr>
        <w:t>FEDERAL RAILROAD ADMINISTRATION</w:t>
      </w:r>
    </w:p>
    <w:p w:rsidR="0087551A" w:rsidRPr="00725CCA" w:rsidP="00061E0A" w14:paraId="6EDF6AFF" w14:textId="5C04732C">
      <w:pPr>
        <w:widowControl w:val="0"/>
        <w:tabs>
          <w:tab w:val="center" w:pos="4680"/>
        </w:tabs>
        <w:jc w:val="center"/>
        <w:rPr>
          <w:b/>
          <w:szCs w:val="24"/>
        </w:rPr>
      </w:pPr>
      <w:r>
        <w:rPr>
          <w:b/>
          <w:szCs w:val="24"/>
        </w:rPr>
        <w:t>Bad Order and Home Shop Card and Stenciling Reporting Mark</w:t>
      </w:r>
    </w:p>
    <w:p w:rsidR="00061E0A" w:rsidRPr="00725CCA" w:rsidP="00061E0A" w14:paraId="1AE70146" w14:textId="30FD8C69">
      <w:pPr>
        <w:widowControl w:val="0"/>
        <w:tabs>
          <w:tab w:val="center" w:pos="4680"/>
        </w:tabs>
        <w:jc w:val="center"/>
        <w:rPr>
          <w:b/>
          <w:szCs w:val="24"/>
        </w:rPr>
      </w:pPr>
      <w:r w:rsidRPr="00725CCA">
        <w:rPr>
          <w:b/>
          <w:szCs w:val="24"/>
        </w:rPr>
        <w:t>(Title 49 Code of Federal Regulations (CFR) Part 2</w:t>
      </w:r>
      <w:r w:rsidR="00B413C6">
        <w:rPr>
          <w:b/>
          <w:szCs w:val="24"/>
        </w:rPr>
        <w:t>1</w:t>
      </w:r>
      <w:r w:rsidR="00FC2CDB">
        <w:rPr>
          <w:b/>
          <w:szCs w:val="24"/>
        </w:rPr>
        <w:t>5</w:t>
      </w:r>
      <w:r w:rsidRPr="00725CCA">
        <w:rPr>
          <w:b/>
          <w:szCs w:val="24"/>
        </w:rPr>
        <w:t>)</w:t>
      </w:r>
    </w:p>
    <w:p w:rsidR="00061E0A" w:rsidRPr="00725CCA" w:rsidP="00061E0A" w14:paraId="2B28A536" w14:textId="77777777">
      <w:pPr>
        <w:widowControl w:val="0"/>
        <w:jc w:val="center"/>
        <w:rPr>
          <w:b/>
          <w:szCs w:val="24"/>
        </w:rPr>
      </w:pPr>
      <w:r w:rsidRPr="00725CCA">
        <w:rPr>
          <w:b/>
          <w:szCs w:val="24"/>
        </w:rPr>
        <w:t>SUPPORTING JUSTIFICATION</w:t>
      </w:r>
    </w:p>
    <w:p w:rsidR="00061E0A" w:rsidRPr="00725CCA" w:rsidP="00061E0A" w14:paraId="5156C6BB" w14:textId="11A805F5">
      <w:pPr>
        <w:widowControl w:val="0"/>
        <w:jc w:val="center"/>
        <w:rPr>
          <w:b/>
          <w:szCs w:val="24"/>
        </w:rPr>
      </w:pPr>
      <w:r>
        <w:rPr>
          <w:b/>
          <w:szCs w:val="24"/>
        </w:rPr>
        <w:t>RIN 2130-AD4</w:t>
      </w:r>
      <w:r w:rsidR="00FC2CDB">
        <w:rPr>
          <w:b/>
          <w:szCs w:val="24"/>
        </w:rPr>
        <w:t>6</w:t>
      </w:r>
      <w:r>
        <w:rPr>
          <w:b/>
          <w:szCs w:val="24"/>
        </w:rPr>
        <w:t xml:space="preserve">; </w:t>
      </w:r>
      <w:r w:rsidRPr="00725CCA">
        <w:rPr>
          <w:b/>
          <w:szCs w:val="24"/>
        </w:rPr>
        <w:t>OMB Control No. 2130-</w:t>
      </w:r>
      <w:r>
        <w:rPr>
          <w:b/>
          <w:szCs w:val="24"/>
        </w:rPr>
        <w:t>05</w:t>
      </w:r>
      <w:r w:rsidR="00FC2CDB">
        <w:rPr>
          <w:b/>
          <w:szCs w:val="24"/>
        </w:rPr>
        <w:t>19</w:t>
      </w:r>
    </w:p>
    <w:p w:rsidR="006143DB" w14:paraId="2CA61451" w14:textId="77777777"/>
    <w:p w:rsidR="00AD1B17" w:rsidP="00AD1B17" w14:paraId="7E70659F" w14:textId="5D6A9FB3">
      <w:pPr>
        <w:spacing w:after="160" w:line="259" w:lineRule="auto"/>
        <w:rPr>
          <w:rFonts w:eastAsia="Calibri"/>
          <w:bCs/>
          <w:szCs w:val="24"/>
        </w:rPr>
      </w:pPr>
      <w:r w:rsidRPr="008C35C6">
        <w:rPr>
          <w:rFonts w:eastAsia="Calibri"/>
          <w:bCs/>
          <w:szCs w:val="24"/>
        </w:rPr>
        <w:t>This non-substantive change updates</w:t>
      </w:r>
      <w:r w:rsidRPr="008C35C6">
        <w:rPr>
          <w:rFonts w:eastAsia="Calibri"/>
          <w:szCs w:val="24"/>
        </w:rPr>
        <w:t xml:space="preserve"> </w:t>
      </w:r>
      <w:r w:rsidRPr="008C35C6">
        <w:rPr>
          <w:rFonts w:eastAsia="Calibri"/>
          <w:bCs/>
          <w:szCs w:val="24"/>
        </w:rPr>
        <w:t xml:space="preserve">the recently </w:t>
      </w:r>
      <w:r w:rsidR="00DC0C83">
        <w:rPr>
          <w:rFonts w:eastAsia="Calibri"/>
          <w:bCs/>
          <w:szCs w:val="24"/>
        </w:rPr>
        <w:t>approved information collection request (ICR), corresponding to Part 21</w:t>
      </w:r>
      <w:r w:rsidR="00E8555F">
        <w:rPr>
          <w:rFonts w:eastAsia="Calibri"/>
          <w:bCs/>
          <w:szCs w:val="24"/>
        </w:rPr>
        <w:t>5</w:t>
      </w:r>
      <w:r w:rsidR="00DC0C83">
        <w:rPr>
          <w:rFonts w:eastAsia="Calibri"/>
          <w:bCs/>
          <w:szCs w:val="24"/>
        </w:rPr>
        <w:t xml:space="preserve">, </w:t>
      </w:r>
      <w:r w:rsidR="00E8555F">
        <w:rPr>
          <w:rFonts w:eastAsia="Calibri"/>
          <w:bCs/>
          <w:szCs w:val="24"/>
        </w:rPr>
        <w:t>Bad Order and Home Shop Card and Stenciling Reporting Mark</w:t>
      </w:r>
      <w:r w:rsidRPr="008C35C6">
        <w:rPr>
          <w:rFonts w:eastAsia="Calibri"/>
          <w:bCs/>
          <w:szCs w:val="24"/>
        </w:rPr>
        <w:t>, OMB control no. 2130-</w:t>
      </w:r>
      <w:r>
        <w:rPr>
          <w:rFonts w:eastAsia="Calibri"/>
          <w:bCs/>
          <w:szCs w:val="24"/>
        </w:rPr>
        <w:t>05</w:t>
      </w:r>
      <w:r w:rsidR="00E8555F">
        <w:rPr>
          <w:rFonts w:eastAsia="Calibri"/>
          <w:bCs/>
          <w:szCs w:val="24"/>
        </w:rPr>
        <w:t>19</w:t>
      </w:r>
      <w:r w:rsidR="00DC0C83">
        <w:rPr>
          <w:rFonts w:eastAsia="Calibri"/>
          <w:bCs/>
          <w:szCs w:val="24"/>
        </w:rPr>
        <w:t>.</w:t>
      </w:r>
      <w:r w:rsidR="004D4F13">
        <w:rPr>
          <w:rFonts w:eastAsia="Calibri"/>
          <w:bCs/>
          <w:szCs w:val="24"/>
        </w:rPr>
        <w:t xml:space="preserve"> OMB last approved this ICR on</w:t>
      </w:r>
      <w:bookmarkStart w:id="0" w:name="_Hlk231982934"/>
      <w:r w:rsidR="00FD7A8C">
        <w:rPr>
          <w:rFonts w:eastAsia="Calibri"/>
          <w:bCs/>
          <w:szCs w:val="24"/>
        </w:rPr>
        <w:t xml:space="preserve"> June 17</w:t>
      </w:r>
      <w:r w:rsidR="004D4F13">
        <w:rPr>
          <w:rFonts w:eastAsia="Calibri"/>
          <w:bCs/>
          <w:szCs w:val="24"/>
        </w:rPr>
        <w:t>, 2026</w:t>
      </w:r>
      <w:bookmarkEnd w:id="0"/>
      <w:r w:rsidR="00290828">
        <w:rPr>
          <w:rFonts w:eastAsia="Calibri"/>
          <w:bCs/>
          <w:szCs w:val="24"/>
        </w:rPr>
        <w:t>,</w:t>
      </w:r>
      <w:r w:rsidR="004D4F13">
        <w:rPr>
          <w:rFonts w:eastAsia="Calibri"/>
          <w:bCs/>
          <w:szCs w:val="24"/>
        </w:rPr>
        <w:t xml:space="preserve"> with a new expiration date of</w:t>
      </w:r>
      <w:r w:rsidR="0087364E">
        <w:rPr>
          <w:rFonts w:eastAsia="Calibri"/>
          <w:bCs/>
          <w:szCs w:val="24"/>
        </w:rPr>
        <w:t xml:space="preserve"> </w:t>
      </w:r>
      <w:r w:rsidR="00FD7A8C">
        <w:rPr>
          <w:rFonts w:eastAsia="Calibri"/>
          <w:bCs/>
          <w:szCs w:val="24"/>
        </w:rPr>
        <w:t>June 30, 2029.</w:t>
      </w:r>
    </w:p>
    <w:p w:rsidR="0087364E" w:rsidRPr="0087364E" w:rsidP="0087364E" w14:paraId="22AD7A88" w14:textId="160367D1">
      <w:pPr>
        <w:spacing w:after="160" w:line="259" w:lineRule="auto"/>
        <w:rPr>
          <w:rFonts w:eastAsia="Calibri"/>
          <w:bCs/>
          <w:szCs w:val="24"/>
        </w:rPr>
      </w:pPr>
      <w:bookmarkStart w:id="1" w:name="_Hlk200533233"/>
      <w:r w:rsidRPr="008C35C6">
        <w:rPr>
          <w:rFonts w:eastAsia="Calibri"/>
          <w:bCs/>
          <w:szCs w:val="24"/>
        </w:rPr>
        <w:t xml:space="preserve">On </w:t>
      </w:r>
      <w:r w:rsidR="00FD7A8C">
        <w:rPr>
          <w:rFonts w:eastAsia="Calibri"/>
          <w:bCs/>
          <w:szCs w:val="24"/>
        </w:rPr>
        <w:t>August 31</w:t>
      </w:r>
      <w:r w:rsidRPr="008C35C6">
        <w:rPr>
          <w:rFonts w:eastAsia="Calibri"/>
          <w:bCs/>
          <w:szCs w:val="24"/>
        </w:rPr>
        <w:t>, 202</w:t>
      </w:r>
      <w:r w:rsidR="00B413C6">
        <w:rPr>
          <w:rFonts w:eastAsia="Calibri"/>
          <w:bCs/>
          <w:szCs w:val="24"/>
        </w:rPr>
        <w:t>6</w:t>
      </w:r>
      <w:r w:rsidRPr="008C35C6">
        <w:rPr>
          <w:rFonts w:eastAsia="Calibri"/>
          <w:bCs/>
          <w:szCs w:val="24"/>
        </w:rPr>
        <w:t xml:space="preserve">, FRA issued a </w:t>
      </w:r>
      <w:r w:rsidR="00B379F6">
        <w:rPr>
          <w:rFonts w:eastAsia="Calibri"/>
          <w:bCs/>
          <w:szCs w:val="24"/>
        </w:rPr>
        <w:t>final rule</w:t>
      </w:r>
      <w:r w:rsidRPr="008C35C6">
        <w:rPr>
          <w:rFonts w:eastAsia="Calibri"/>
          <w:bCs/>
          <w:szCs w:val="24"/>
        </w:rPr>
        <w:t xml:space="preserve"> </w:t>
      </w:r>
      <w:r w:rsidR="00B379F6">
        <w:rPr>
          <w:rFonts w:eastAsia="Calibri"/>
          <w:bCs/>
          <w:szCs w:val="24"/>
        </w:rPr>
        <w:t>titled</w:t>
      </w:r>
      <w:r w:rsidR="00B413C6">
        <w:rPr>
          <w:rFonts w:eastAsia="Calibri"/>
          <w:bCs/>
          <w:szCs w:val="24"/>
        </w:rPr>
        <w:t xml:space="preserve"> </w:t>
      </w:r>
      <w:r w:rsidRPr="00B413C6" w:rsidR="00B413C6">
        <w:rPr>
          <w:rFonts w:eastAsia="Calibri"/>
          <w:bCs/>
          <w:szCs w:val="24"/>
          <w:u w:val="single"/>
        </w:rPr>
        <w:t xml:space="preserve">Repealing </w:t>
      </w:r>
      <w:r w:rsidR="00224FD9">
        <w:rPr>
          <w:rFonts w:eastAsia="Calibri"/>
          <w:bCs/>
          <w:szCs w:val="24"/>
          <w:u w:val="single"/>
        </w:rPr>
        <w:t>Special Approval Requirement for Freight Cars More Than 50 Years Old</w:t>
      </w:r>
      <w:r w:rsidR="00B413C6">
        <w:rPr>
          <w:rFonts w:eastAsia="Calibri"/>
          <w:bCs/>
          <w:szCs w:val="24"/>
        </w:rPr>
        <w:t>.</w:t>
      </w:r>
      <w:r>
        <w:rPr>
          <w:rStyle w:val="FootnoteReference"/>
          <w:rFonts w:eastAsia="Calibri"/>
          <w:bCs/>
          <w:szCs w:val="24"/>
        </w:rPr>
        <w:footnoteReference w:id="2"/>
      </w:r>
      <w:r w:rsidRPr="0087364E">
        <w:rPr>
          <w:rFonts w:eastAsiaTheme="minorHAnsi"/>
          <w:szCs w:val="24"/>
        </w:rPr>
        <w:t xml:space="preserve"> </w:t>
      </w:r>
      <w:r w:rsidRPr="0087364E">
        <w:rPr>
          <w:rFonts w:eastAsia="Calibri"/>
          <w:bCs/>
          <w:szCs w:val="24"/>
        </w:rPr>
        <w:t>This rule amends FRA’s freight car safety regulations to repeal the requirement for special approval to place or continue a freight car in service if it is more than 50 years old or equipped with any design or type component listed in appendix A to part 215. This final rule allows railroads to continue or place such cars in service with notice to FRA, providing certain information that has previously been required in petitions for special approval.</w:t>
      </w:r>
    </w:p>
    <w:p w:rsidR="00061E0A" w:rsidRPr="00061E0A" w:rsidP="00061E0A" w14:paraId="26B922BF" w14:textId="77777777">
      <w:pPr>
        <w:widowControl w:val="0"/>
        <w:tabs>
          <w:tab w:val="left" w:pos="210"/>
          <w:tab w:val="center" w:pos="4680"/>
        </w:tabs>
        <w:spacing w:after="200"/>
        <w:rPr>
          <w:rFonts w:eastAsia="Calibri"/>
          <w:b/>
          <w:szCs w:val="24"/>
          <w:u w:val="single"/>
        </w:rPr>
      </w:pPr>
      <w:r w:rsidRPr="00061E0A">
        <w:rPr>
          <w:rFonts w:eastAsia="Calibri"/>
          <w:b/>
          <w:szCs w:val="24"/>
          <w:u w:val="single"/>
        </w:rPr>
        <w:t>Justification:</w:t>
      </w:r>
    </w:p>
    <w:p w:rsidR="000605B3" w:rsidRPr="000605B3" w:rsidP="000605B3" w14:paraId="31A82ADD" w14:textId="2EBBAB49">
      <w:pPr>
        <w:widowControl w:val="0"/>
        <w:spacing w:after="200"/>
        <w:rPr>
          <w:rFonts w:eastAsia="Calibri"/>
          <w:szCs w:val="24"/>
        </w:rPr>
      </w:pPr>
      <w:r>
        <w:rPr>
          <w:rFonts w:eastAsia="Calibri"/>
          <w:szCs w:val="24"/>
        </w:rPr>
        <w:t>T</w:t>
      </w:r>
      <w:r w:rsidR="00B413C6">
        <w:rPr>
          <w:rFonts w:eastAsia="Calibri"/>
          <w:szCs w:val="24"/>
        </w:rPr>
        <w:t>his final rule</w:t>
      </w:r>
      <w:r w:rsidR="00DC0C83">
        <w:rPr>
          <w:rFonts w:eastAsia="Calibri"/>
          <w:szCs w:val="24"/>
        </w:rPr>
        <w:t xml:space="preserve"> </w:t>
      </w:r>
      <w:r w:rsidRPr="00224FD9">
        <w:rPr>
          <w:rFonts w:eastAsia="Calibri"/>
          <w:szCs w:val="24"/>
        </w:rPr>
        <w:t xml:space="preserve">amends FRA’s freight car safety regulations to repeal the requirement for special approval to place or continue a freight car in service if it is more than 50 years old or equipped with any design or type component listed in appendix A to part 215. </w:t>
      </w:r>
      <w:r>
        <w:rPr>
          <w:rFonts w:eastAsia="Calibri"/>
          <w:szCs w:val="24"/>
        </w:rPr>
        <w:t>After consideration of comments received from the NPRM,</w:t>
      </w:r>
      <w:r>
        <w:rPr>
          <w:rStyle w:val="FootnoteReference"/>
          <w:rFonts w:eastAsia="Calibri"/>
          <w:szCs w:val="24"/>
        </w:rPr>
        <w:footnoteReference w:id="3"/>
      </w:r>
      <w:r>
        <w:rPr>
          <w:rFonts w:eastAsia="Calibri"/>
          <w:szCs w:val="24"/>
        </w:rPr>
        <w:t xml:space="preserve"> FRA finds that repealing </w:t>
      </w:r>
      <w:r w:rsidRPr="000605B3">
        <w:rPr>
          <w:rFonts w:eastAsia="Calibri"/>
          <w:bCs/>
          <w:szCs w:val="24"/>
        </w:rPr>
        <w:t>the special approval process and replacing it with a uniform notice requirement provides equivalent safety outcomes while reducing burdens on railroads and eliminating the added delay involved in petitioning FRA for a special approval.</w:t>
      </w:r>
    </w:p>
    <w:p w:rsidR="00061E0A" w:rsidRPr="008C35C6" w:rsidP="000605B3" w14:paraId="28F6FF9E" w14:textId="5D188691">
      <w:pPr>
        <w:widowControl w:val="0"/>
        <w:spacing w:after="200"/>
      </w:pPr>
      <w:r w:rsidRPr="00224FD9">
        <w:rPr>
          <w:rFonts w:eastAsia="Calibri"/>
          <w:szCs w:val="24"/>
        </w:rPr>
        <w:t xml:space="preserve">This final rule allows railroads to continue or place such cars in service with notice to FRA, providing certain information that has previously been required in petitions for special approval. </w:t>
      </w:r>
      <w:r w:rsidR="004D4F13">
        <w:rPr>
          <w:szCs w:val="24"/>
        </w:rPr>
        <w:t>The currently approved total burden hours for ICR 2130-05</w:t>
      </w:r>
      <w:r w:rsidR="00E8555F">
        <w:rPr>
          <w:szCs w:val="24"/>
        </w:rPr>
        <w:t>19</w:t>
      </w:r>
      <w:r w:rsidR="004D4F13">
        <w:rPr>
          <w:szCs w:val="24"/>
        </w:rPr>
        <w:t xml:space="preserve"> </w:t>
      </w:r>
      <w:r w:rsidR="00290828">
        <w:rPr>
          <w:szCs w:val="24"/>
        </w:rPr>
        <w:t>are</w:t>
      </w:r>
      <w:r w:rsidR="004D4F13">
        <w:rPr>
          <w:szCs w:val="24"/>
        </w:rPr>
        <w:t xml:space="preserve"> </w:t>
      </w:r>
      <w:r w:rsidR="00AD0BE3">
        <w:rPr>
          <w:szCs w:val="24"/>
        </w:rPr>
        <w:t>38,000</w:t>
      </w:r>
      <w:r w:rsidR="00290828">
        <w:rPr>
          <w:szCs w:val="24"/>
        </w:rPr>
        <w:t xml:space="preserve"> hours.</w:t>
      </w:r>
      <w:r w:rsidR="004D4F13">
        <w:rPr>
          <w:szCs w:val="24"/>
        </w:rPr>
        <w:t xml:space="preserve"> </w:t>
      </w:r>
      <w:r w:rsidR="00E8555F">
        <w:rPr>
          <w:szCs w:val="24"/>
        </w:rPr>
        <w:t xml:space="preserve">Revised </w:t>
      </w:r>
      <w:r w:rsidR="00FD7A8C">
        <w:rPr>
          <w:szCs w:val="24"/>
        </w:rPr>
        <w:t>§</w:t>
      </w:r>
      <w:r w:rsidR="00E8555F">
        <w:rPr>
          <w:szCs w:val="24"/>
        </w:rPr>
        <w:t xml:space="preserve"> 215.203</w:t>
      </w:r>
      <w:r w:rsidR="00E064A9">
        <w:rPr>
          <w:szCs w:val="24"/>
        </w:rPr>
        <w:t xml:space="preserve"> will </w:t>
      </w:r>
      <w:r w:rsidR="00AD0BE3">
        <w:rPr>
          <w:szCs w:val="24"/>
        </w:rPr>
        <w:t>increase</w:t>
      </w:r>
      <w:r w:rsidR="00E064A9">
        <w:rPr>
          <w:szCs w:val="24"/>
        </w:rPr>
        <w:t xml:space="preserve"> the currently approved burden by</w:t>
      </w:r>
      <w:r w:rsidR="00AD0BE3">
        <w:rPr>
          <w:szCs w:val="24"/>
        </w:rPr>
        <w:t xml:space="preserve"> 45</w:t>
      </w:r>
      <w:r w:rsidR="00E064A9">
        <w:rPr>
          <w:szCs w:val="24"/>
        </w:rPr>
        <w:t xml:space="preserve"> hours. This resulted in a revised total annual burden of</w:t>
      </w:r>
      <w:r w:rsidR="00AD0BE3">
        <w:rPr>
          <w:szCs w:val="24"/>
        </w:rPr>
        <w:t xml:space="preserve"> 38,045</w:t>
      </w:r>
      <w:r w:rsidR="00E064A9">
        <w:rPr>
          <w:szCs w:val="24"/>
        </w:rPr>
        <w:t xml:space="preserve"> hours for the entire collection. </w:t>
      </w:r>
    </w:p>
    <w:p w:rsidR="00943C0F" w:rsidP="008C35C6" w14:paraId="32728E32" w14:textId="77777777">
      <w:pPr>
        <w:widowControl w:val="0"/>
        <w:numPr>
          <w:ilvl w:val="0"/>
          <w:numId w:val="1"/>
        </w:numPr>
        <w:rPr>
          <w:szCs w:val="24"/>
        </w:rPr>
      </w:pPr>
      <w:r w:rsidRPr="009D6413">
        <w:rPr>
          <w:szCs w:val="24"/>
        </w:rPr>
        <w:t>No other changes have been made to this collection.</w:t>
      </w:r>
    </w:p>
    <w:p w:rsidR="008C35C6" w:rsidRPr="009D6413" w:rsidP="00943C0F" w14:paraId="1542AC1C" w14:textId="6FC5D0A1">
      <w:pPr>
        <w:widowControl w:val="0"/>
        <w:ind w:left="360"/>
        <w:rPr>
          <w:szCs w:val="24"/>
        </w:rPr>
      </w:pPr>
    </w:p>
    <w:p w:rsidR="00061E0A" w:rsidRPr="0087551A" w:rsidP="00943C0F" w14:paraId="219C1954" w14:textId="692AF664">
      <w:pPr>
        <w:keepNext/>
        <w:widowControl w:val="0"/>
        <w:autoSpaceDE w:val="0"/>
        <w:autoSpaceDN w:val="0"/>
        <w:adjustRightInd w:val="0"/>
        <w:ind w:left="360"/>
        <w:rPr>
          <w:rFonts w:eastAsia="Calibri"/>
          <w:bCs/>
          <w:szCs w:val="24"/>
          <w:u w:val="single"/>
        </w:rPr>
      </w:pPr>
      <w:r w:rsidRPr="0087551A">
        <w:rPr>
          <w:rFonts w:eastAsia="Calibri"/>
          <w:bCs/>
          <w:szCs w:val="24"/>
          <w:u w:val="single"/>
        </w:rPr>
        <w:t>Non-substantive Change Request</w:t>
      </w:r>
    </w:p>
    <w:p w:rsidR="00DC0C83" w:rsidP="00061E0A" w14:paraId="5F38776C" w14:textId="77777777">
      <w:pPr>
        <w:widowControl w:val="0"/>
        <w:autoSpaceDE w:val="0"/>
        <w:autoSpaceDN w:val="0"/>
        <w:adjustRightInd w:val="0"/>
        <w:ind w:left="360"/>
        <w:rPr>
          <w:rFonts w:eastAsia="Calibri"/>
          <w:bCs/>
          <w:szCs w:val="24"/>
        </w:rPr>
      </w:pPr>
    </w:p>
    <w:tbl>
      <w:tblPr>
        <w:tblStyle w:val="TableGrid1"/>
        <w:tblW w:w="9985" w:type="dxa"/>
        <w:jc w:val="center"/>
        <w:tblLook w:val="04A0"/>
      </w:tblPr>
      <w:tblGrid>
        <w:gridCol w:w="3277"/>
        <w:gridCol w:w="1161"/>
        <w:gridCol w:w="1497"/>
        <w:gridCol w:w="1170"/>
        <w:gridCol w:w="1184"/>
        <w:gridCol w:w="1696"/>
      </w:tblGrid>
      <w:tr w14:paraId="32DD8DE8" w14:textId="77777777" w:rsidTr="00943C0F">
        <w:tblPrEx>
          <w:tblW w:w="9985" w:type="dxa"/>
          <w:jc w:val="center"/>
          <w:tblLook w:val="04A0"/>
        </w:tblPrEx>
        <w:trPr>
          <w:jc w:val="center"/>
        </w:trPr>
        <w:tc>
          <w:tcPr>
            <w:tcW w:w="3277" w:type="dxa"/>
            <w:shd w:val="clear" w:color="auto" w:fill="FFFFFF"/>
          </w:tcPr>
          <w:p w:rsidR="00E8555F" w:rsidRPr="00943C0F" w:rsidP="00E8555F" w14:paraId="78408E90" w14:textId="77777777">
            <w:pPr>
              <w:spacing w:after="160" w:line="259" w:lineRule="auto"/>
              <w:jc w:val="center"/>
              <w:rPr>
                <w:rFonts w:eastAsia="Aptos"/>
                <w:color w:val="000000"/>
                <w:kern w:val="2"/>
                <w:sz w:val="20"/>
                <w14:ligatures w14:val="standardContextual"/>
              </w:rPr>
            </w:pPr>
            <w:r w:rsidRPr="00943C0F">
              <w:rPr>
                <w:rFonts w:eastAsia="Aptos"/>
                <w:color w:val="000000"/>
                <w:kern w:val="2"/>
                <w:sz w:val="20"/>
                <w14:ligatures w14:val="standardContextual"/>
              </w:rPr>
              <w:t>CFR Section</w:t>
            </w:r>
          </w:p>
          <w:p w:rsidR="00E8555F" w:rsidRPr="00943C0F" w:rsidP="00E8555F" w14:paraId="5FAA300F" w14:textId="77777777">
            <w:pPr>
              <w:spacing w:after="160" w:line="259" w:lineRule="auto"/>
              <w:contextualSpacing/>
              <w:jc w:val="center"/>
              <w:rPr>
                <w:b/>
                <w:bCs/>
                <w:kern w:val="2"/>
                <w:sz w:val="20"/>
                <w:lang w:val="en-CA"/>
                <w14:ligatures w14:val="standardContextual"/>
              </w:rPr>
            </w:pPr>
          </w:p>
        </w:tc>
        <w:tc>
          <w:tcPr>
            <w:tcW w:w="1161" w:type="dxa"/>
            <w:shd w:val="clear" w:color="auto" w:fill="FFFFFF"/>
          </w:tcPr>
          <w:p w:rsidR="00E8555F" w:rsidRPr="00943C0F" w:rsidP="00E8555F" w14:paraId="1F029222" w14:textId="77777777">
            <w:pPr>
              <w:spacing w:after="160" w:line="259" w:lineRule="auto"/>
              <w:contextualSpacing/>
              <w:jc w:val="center"/>
              <w:rPr>
                <w:kern w:val="2"/>
                <w:sz w:val="20"/>
                <w:lang w:val="en-CA"/>
                <w14:ligatures w14:val="standardContextual"/>
              </w:rPr>
            </w:pPr>
            <w:r w:rsidRPr="00943C0F">
              <w:rPr>
                <w:rFonts w:eastAsia="Aptos"/>
                <w:color w:val="000000"/>
                <w:kern w:val="2"/>
                <w:sz w:val="20"/>
                <w14:ligatures w14:val="standardContextual"/>
              </w:rPr>
              <w:t>Respondent Universe</w:t>
            </w:r>
          </w:p>
        </w:tc>
        <w:tc>
          <w:tcPr>
            <w:tcW w:w="1497" w:type="dxa"/>
            <w:shd w:val="clear" w:color="auto" w:fill="FFFFFF"/>
          </w:tcPr>
          <w:p w:rsidR="00E8555F" w:rsidRPr="00943C0F" w:rsidP="00E8555F" w14:paraId="40ACDE4B" w14:textId="77777777">
            <w:pPr>
              <w:spacing w:after="160" w:line="259" w:lineRule="auto"/>
              <w:contextualSpacing/>
              <w:jc w:val="center"/>
              <w:rPr>
                <w:rFonts w:eastAsia="Aptos"/>
                <w:color w:val="000000"/>
                <w:kern w:val="2"/>
                <w:sz w:val="20"/>
                <w14:ligatures w14:val="standardContextual"/>
              </w:rPr>
            </w:pPr>
            <w:r w:rsidRPr="00943C0F">
              <w:rPr>
                <w:rFonts w:eastAsia="Aptos"/>
                <w:color w:val="000000"/>
                <w:kern w:val="2"/>
                <w:sz w:val="20"/>
                <w14:ligatures w14:val="standardContextual"/>
              </w:rPr>
              <w:t xml:space="preserve">Total </w:t>
            </w:r>
          </w:p>
          <w:p w:rsidR="00E8555F" w:rsidRPr="00943C0F" w:rsidP="00E8555F" w14:paraId="42D8C913" w14:textId="77777777">
            <w:pPr>
              <w:spacing w:after="160" w:line="259" w:lineRule="auto"/>
              <w:contextualSpacing/>
              <w:jc w:val="center"/>
              <w:rPr>
                <w:kern w:val="2"/>
                <w:sz w:val="20"/>
                <w:lang w:val="en-CA"/>
                <w14:ligatures w14:val="standardContextual"/>
              </w:rPr>
            </w:pPr>
            <w:r w:rsidRPr="00943C0F">
              <w:rPr>
                <w:rFonts w:eastAsia="Aptos"/>
                <w:color w:val="000000"/>
                <w:kern w:val="2"/>
                <w:sz w:val="20"/>
                <w14:ligatures w14:val="standardContextual"/>
              </w:rPr>
              <w:t>Annual Responses</w:t>
            </w:r>
            <w:r w:rsidRPr="00943C0F">
              <w:rPr>
                <w:rFonts w:eastAsia="Aptos"/>
                <w:color w:val="000000"/>
                <w:kern w:val="2"/>
                <w:sz w:val="20"/>
                <w14:ligatures w14:val="standardContextual"/>
              </w:rPr>
              <w:br/>
              <w:t>(A)</w:t>
            </w:r>
          </w:p>
        </w:tc>
        <w:tc>
          <w:tcPr>
            <w:tcW w:w="1170" w:type="dxa"/>
            <w:shd w:val="clear" w:color="auto" w:fill="FFFFFF"/>
          </w:tcPr>
          <w:p w:rsidR="00E8555F" w:rsidRPr="00943C0F" w:rsidP="00E8555F" w14:paraId="11A6B1FA" w14:textId="77777777">
            <w:pPr>
              <w:spacing w:after="160" w:line="259" w:lineRule="auto"/>
              <w:contextualSpacing/>
              <w:jc w:val="center"/>
              <w:rPr>
                <w:rFonts w:eastAsia="Aptos"/>
                <w:color w:val="000000"/>
                <w:kern w:val="2"/>
                <w:sz w:val="20"/>
                <w14:ligatures w14:val="standardContextual"/>
              </w:rPr>
            </w:pPr>
            <w:r w:rsidRPr="00943C0F">
              <w:rPr>
                <w:rFonts w:eastAsia="Aptos"/>
                <w:color w:val="000000"/>
                <w:kern w:val="2"/>
                <w:sz w:val="20"/>
                <w14:ligatures w14:val="standardContextual"/>
              </w:rPr>
              <w:t xml:space="preserve">Average Time </w:t>
            </w:r>
          </w:p>
          <w:p w:rsidR="00E8555F" w:rsidRPr="00943C0F" w:rsidP="00E8555F" w14:paraId="43066FA7" w14:textId="77777777">
            <w:pPr>
              <w:spacing w:after="160" w:line="259" w:lineRule="auto"/>
              <w:contextualSpacing/>
              <w:jc w:val="center"/>
              <w:rPr>
                <w:rFonts w:eastAsia="Aptos"/>
                <w:color w:val="000000"/>
                <w:kern w:val="2"/>
                <w:sz w:val="20"/>
                <w14:ligatures w14:val="standardContextual"/>
              </w:rPr>
            </w:pPr>
            <w:r w:rsidRPr="00943C0F">
              <w:rPr>
                <w:rFonts w:eastAsia="Aptos"/>
                <w:color w:val="000000"/>
                <w:kern w:val="2"/>
                <w:sz w:val="20"/>
                <w14:ligatures w14:val="standardContextual"/>
              </w:rPr>
              <w:t xml:space="preserve">per </w:t>
            </w:r>
          </w:p>
          <w:p w:rsidR="00E8555F" w:rsidRPr="00943C0F" w:rsidP="00E8555F" w14:paraId="68F63D78" w14:textId="77777777">
            <w:pPr>
              <w:spacing w:after="160" w:line="259" w:lineRule="auto"/>
              <w:contextualSpacing/>
              <w:jc w:val="center"/>
              <w:rPr>
                <w:kern w:val="2"/>
                <w:sz w:val="20"/>
                <w:lang w:val="en-CA"/>
                <w14:ligatures w14:val="standardContextual"/>
              </w:rPr>
            </w:pPr>
            <w:r w:rsidRPr="00943C0F">
              <w:rPr>
                <w:rFonts w:eastAsia="Aptos"/>
                <w:color w:val="000000"/>
                <w:kern w:val="2"/>
                <w:sz w:val="20"/>
                <w14:ligatures w14:val="standardContextual"/>
              </w:rPr>
              <w:t>Response</w:t>
            </w:r>
            <w:r w:rsidRPr="00943C0F">
              <w:rPr>
                <w:rFonts w:eastAsia="Aptos"/>
                <w:color w:val="000000"/>
                <w:kern w:val="2"/>
                <w:sz w:val="20"/>
                <w14:ligatures w14:val="standardContextual"/>
              </w:rPr>
              <w:br/>
              <w:t>(B)</w:t>
            </w:r>
          </w:p>
        </w:tc>
        <w:tc>
          <w:tcPr>
            <w:tcW w:w="1184" w:type="dxa"/>
            <w:shd w:val="clear" w:color="auto" w:fill="FFFFFF"/>
          </w:tcPr>
          <w:p w:rsidR="00E8555F" w:rsidRPr="00943C0F" w:rsidP="00E8555F" w14:paraId="49A122B3" w14:textId="77777777">
            <w:pPr>
              <w:spacing w:after="160" w:line="259" w:lineRule="auto"/>
              <w:contextualSpacing/>
              <w:jc w:val="center"/>
              <w:rPr>
                <w:kern w:val="2"/>
                <w:sz w:val="20"/>
                <w:lang w:val="en-CA"/>
                <w14:ligatures w14:val="standardContextual"/>
              </w:rPr>
            </w:pPr>
            <w:r w:rsidRPr="00943C0F">
              <w:rPr>
                <w:rFonts w:eastAsia="Aptos"/>
                <w:color w:val="000000"/>
                <w:kern w:val="2"/>
                <w:sz w:val="20"/>
                <w14:ligatures w14:val="standardContextual"/>
              </w:rPr>
              <w:t>Total Annual Burden Hours</w:t>
            </w:r>
            <w:r w:rsidRPr="00943C0F">
              <w:rPr>
                <w:rFonts w:eastAsia="Aptos"/>
                <w:color w:val="000000"/>
                <w:kern w:val="2"/>
                <w:sz w:val="20"/>
                <w14:ligatures w14:val="standardContextual"/>
              </w:rPr>
              <w:br/>
              <w:t>(C) = A * B</w:t>
            </w:r>
          </w:p>
        </w:tc>
        <w:tc>
          <w:tcPr>
            <w:tcW w:w="1696" w:type="dxa"/>
            <w:shd w:val="clear" w:color="auto" w:fill="FFFFFF"/>
          </w:tcPr>
          <w:p w:rsidR="00E8555F" w:rsidRPr="00943C0F" w:rsidP="00943C0F" w14:paraId="45BCFB67" w14:textId="77777777">
            <w:pPr>
              <w:spacing w:line="259" w:lineRule="auto"/>
              <w:jc w:val="center"/>
              <w:rPr>
                <w:rFonts w:eastAsia="Aptos"/>
                <w:kern w:val="2"/>
                <w:sz w:val="20"/>
                <w14:ligatures w14:val="standardContextual"/>
              </w:rPr>
            </w:pPr>
            <w:r w:rsidRPr="00943C0F">
              <w:rPr>
                <w:rFonts w:eastAsia="Aptos"/>
                <w:kern w:val="2"/>
                <w:sz w:val="20"/>
                <w14:ligatures w14:val="standardContextual"/>
              </w:rPr>
              <w:t>Total Annual Dollar Cost Equivalent</w:t>
            </w:r>
          </w:p>
          <w:p w:rsidR="00E8555F" w:rsidRPr="00943C0F" w:rsidP="00E8555F" w14:paraId="7E05781B" w14:textId="77777777">
            <w:pPr>
              <w:spacing w:after="160" w:line="259" w:lineRule="auto"/>
              <w:contextualSpacing/>
              <w:jc w:val="center"/>
              <w:rPr>
                <w:kern w:val="2"/>
                <w:sz w:val="20"/>
                <w:lang w:val="en-CA"/>
                <w14:ligatures w14:val="standardContextual"/>
              </w:rPr>
            </w:pPr>
            <w:r w:rsidRPr="00943C0F">
              <w:rPr>
                <w:rFonts w:eastAsia="Aptos"/>
                <w:kern w:val="2"/>
                <w:sz w:val="20"/>
                <w14:ligatures w14:val="standardContextual"/>
              </w:rPr>
              <w:t>(D)=C * Wage Rates</w:t>
            </w:r>
            <w:r>
              <w:rPr>
                <w:rFonts w:eastAsia="Aptos"/>
                <w:kern w:val="2"/>
                <w:sz w:val="20"/>
                <w:vertAlign w:val="superscript"/>
                <w14:ligatures w14:val="standardContextual"/>
              </w:rPr>
              <w:footnoteReference w:id="4"/>
            </w:r>
          </w:p>
        </w:tc>
      </w:tr>
      <w:tr w14:paraId="4209847C" w14:textId="77777777" w:rsidTr="00943C0F">
        <w:tblPrEx>
          <w:tblW w:w="9985" w:type="dxa"/>
          <w:jc w:val="center"/>
          <w:tblLook w:val="04A0"/>
        </w:tblPrEx>
        <w:trPr>
          <w:jc w:val="center"/>
        </w:trPr>
        <w:tc>
          <w:tcPr>
            <w:tcW w:w="9985" w:type="dxa"/>
            <w:gridSpan w:val="6"/>
          </w:tcPr>
          <w:p w:rsidR="00E8555F" w:rsidRPr="00943C0F" w:rsidP="00E8555F" w14:paraId="7899DEE9" w14:textId="77777777">
            <w:pPr>
              <w:spacing w:after="160" w:line="259" w:lineRule="auto"/>
              <w:contextualSpacing/>
              <w:rPr>
                <w:kern w:val="2"/>
                <w:sz w:val="20"/>
                <w:lang w:val="en-CA"/>
                <w14:ligatures w14:val="standardContextual"/>
              </w:rPr>
            </w:pPr>
            <w:r w:rsidRPr="00943C0F">
              <w:rPr>
                <w:b/>
                <w:bCs/>
                <w:kern w:val="2"/>
                <w:sz w:val="20"/>
                <w:lang w:val="en-CA"/>
                <w14:ligatures w14:val="standardContextual"/>
              </w:rPr>
              <w:t>215.203 Restricted cars</w:t>
            </w:r>
          </w:p>
        </w:tc>
      </w:tr>
      <w:tr w14:paraId="47B3A979" w14:textId="77777777" w:rsidTr="00943C0F">
        <w:tblPrEx>
          <w:tblW w:w="9985" w:type="dxa"/>
          <w:jc w:val="center"/>
          <w:tblLook w:val="04A0"/>
        </w:tblPrEx>
        <w:trPr>
          <w:jc w:val="center"/>
        </w:trPr>
        <w:tc>
          <w:tcPr>
            <w:tcW w:w="3277" w:type="dxa"/>
          </w:tcPr>
          <w:p w:rsidR="00E8555F" w:rsidRPr="00943C0F" w:rsidP="00E8555F" w14:paraId="022C5BFF" w14:textId="77777777">
            <w:pPr>
              <w:spacing w:after="160" w:line="259" w:lineRule="auto"/>
              <w:contextualSpacing/>
              <w:rPr>
                <w:kern w:val="2"/>
                <w:sz w:val="20"/>
                <w14:ligatures w14:val="standardContextual"/>
              </w:rPr>
            </w:pPr>
            <w:r w:rsidRPr="00943C0F">
              <w:rPr>
                <w:kern w:val="2"/>
                <w:sz w:val="20"/>
                <w14:ligatures w14:val="standardContextual"/>
              </w:rPr>
              <w:t>—(a) Notice by railroad to FRA</w:t>
            </w:r>
            <w:r w:rsidRPr="00943C0F">
              <w:rPr>
                <w:rFonts w:ascii="Calibri" w:eastAsia="Calibri" w:hAnsi="Calibri" w:cs="Arial"/>
                <w:kern w:val="2"/>
                <w:sz w:val="20"/>
                <w14:ligatures w14:val="standardContextual"/>
              </w:rPr>
              <w:t xml:space="preserve"> </w:t>
            </w:r>
            <w:r w:rsidRPr="00943C0F">
              <w:rPr>
                <w:rFonts w:eastAsia="Calibri"/>
                <w:kern w:val="2"/>
                <w:sz w:val="20"/>
                <w14:ligatures w14:val="standardContextual"/>
              </w:rPr>
              <w:t xml:space="preserve">of intent to operate a freight car that is over 50 years old or equipped with a restricted component </w:t>
            </w:r>
            <w:r w:rsidRPr="00943C0F">
              <w:rPr>
                <w:i/>
                <w:iCs/>
                <w:kern w:val="2"/>
                <w:sz w:val="20"/>
                <w14:ligatures w14:val="standardContextual"/>
              </w:rPr>
              <w:t>(Revised requirement)</w:t>
            </w:r>
            <w:r w:rsidRPr="00943C0F">
              <w:rPr>
                <w:kern w:val="2"/>
                <w:sz w:val="20"/>
                <w14:ligatures w14:val="standardContextual"/>
              </w:rPr>
              <w:t xml:space="preserve"> </w:t>
            </w:r>
          </w:p>
        </w:tc>
        <w:tc>
          <w:tcPr>
            <w:tcW w:w="1161" w:type="dxa"/>
          </w:tcPr>
          <w:p w:rsidR="00E8555F" w:rsidRPr="00943C0F" w:rsidP="00E8555F" w14:paraId="7AD1FC08"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754</w:t>
            </w:r>
          </w:p>
          <w:p w:rsidR="00E8555F" w:rsidRPr="00943C0F" w:rsidP="00E8555F" w14:paraId="64BEBA2A"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railroads</w:t>
            </w:r>
          </w:p>
        </w:tc>
        <w:tc>
          <w:tcPr>
            <w:tcW w:w="1497" w:type="dxa"/>
          </w:tcPr>
          <w:p w:rsidR="00E8555F" w:rsidRPr="00943C0F" w:rsidP="00E8555F" w14:paraId="03F8C663"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30</w:t>
            </w:r>
          </w:p>
          <w:p w:rsidR="00E8555F" w:rsidRPr="00943C0F" w:rsidP="00E8555F" w14:paraId="79DF715E"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notifications to FRA</w:t>
            </w:r>
          </w:p>
        </w:tc>
        <w:tc>
          <w:tcPr>
            <w:tcW w:w="1170" w:type="dxa"/>
          </w:tcPr>
          <w:p w:rsidR="00E8555F" w:rsidRPr="00943C0F" w:rsidP="00E8555F" w14:paraId="0C0D2634"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1.5 hours</w:t>
            </w:r>
          </w:p>
          <w:p w:rsidR="00E8555F" w:rsidRPr="00943C0F" w:rsidP="00E8555F" w14:paraId="6F7F4086" w14:textId="77777777">
            <w:pPr>
              <w:spacing w:after="160" w:line="259" w:lineRule="auto"/>
              <w:contextualSpacing/>
              <w:jc w:val="center"/>
              <w:rPr>
                <w:kern w:val="2"/>
                <w:sz w:val="20"/>
                <w:lang w:val="en-CA"/>
                <w14:ligatures w14:val="standardContextual"/>
              </w:rPr>
            </w:pPr>
          </w:p>
        </w:tc>
        <w:tc>
          <w:tcPr>
            <w:tcW w:w="1184" w:type="dxa"/>
          </w:tcPr>
          <w:p w:rsidR="00E8555F" w:rsidRPr="00943C0F" w:rsidP="00E8555F" w14:paraId="7FDB5840"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45 hours</w:t>
            </w:r>
          </w:p>
        </w:tc>
        <w:tc>
          <w:tcPr>
            <w:tcW w:w="1696" w:type="dxa"/>
          </w:tcPr>
          <w:p w:rsidR="00E8555F" w:rsidRPr="00943C0F" w:rsidP="00E8555F" w14:paraId="1CD58DF5" w14:textId="16451D4B">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$4,</w:t>
            </w:r>
            <w:r w:rsidR="00B811E8">
              <w:rPr>
                <w:kern w:val="2"/>
                <w:sz w:val="20"/>
                <w:lang w:val="en-CA"/>
                <w14:ligatures w14:val="standardContextual"/>
              </w:rPr>
              <w:t>252.50</w:t>
            </w:r>
          </w:p>
        </w:tc>
      </w:tr>
      <w:tr w14:paraId="141F15C5" w14:textId="77777777" w:rsidTr="00943C0F">
        <w:tblPrEx>
          <w:tblW w:w="9985" w:type="dxa"/>
          <w:jc w:val="center"/>
          <w:tblLook w:val="04A0"/>
        </w:tblPrEx>
        <w:trPr>
          <w:trHeight w:val="503"/>
          <w:jc w:val="center"/>
        </w:trPr>
        <w:tc>
          <w:tcPr>
            <w:tcW w:w="3277" w:type="dxa"/>
          </w:tcPr>
          <w:p w:rsidR="00E8555F" w:rsidRPr="00943C0F" w:rsidP="00E8555F" w14:paraId="52796D02" w14:textId="77777777">
            <w:pPr>
              <w:spacing w:after="160" w:line="259" w:lineRule="auto"/>
              <w:contextualSpacing/>
              <w:rPr>
                <w:kern w:val="2"/>
                <w:sz w:val="20"/>
                <w:lang w:val="en-CA"/>
                <w14:ligatures w14:val="standardContextual"/>
              </w:rPr>
            </w:pPr>
            <w:r w:rsidRPr="00943C0F">
              <w:rPr>
                <w:kern w:val="2"/>
                <w:sz w:val="20"/>
                <w:lang w:val="en-CA"/>
                <w14:ligatures w14:val="standardContextual"/>
              </w:rPr>
              <w:t>Total</w:t>
            </w:r>
          </w:p>
        </w:tc>
        <w:tc>
          <w:tcPr>
            <w:tcW w:w="1161" w:type="dxa"/>
          </w:tcPr>
          <w:p w:rsidR="00E8555F" w:rsidRPr="00943C0F" w:rsidP="00E8555F" w14:paraId="1757CEB4"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754</w:t>
            </w:r>
          </w:p>
          <w:p w:rsidR="00E8555F" w:rsidRPr="00943C0F" w:rsidP="00E8555F" w14:paraId="1EA1953A"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railroads</w:t>
            </w:r>
          </w:p>
        </w:tc>
        <w:tc>
          <w:tcPr>
            <w:tcW w:w="1497" w:type="dxa"/>
          </w:tcPr>
          <w:p w:rsidR="00E8555F" w:rsidRPr="00943C0F" w:rsidP="00E8555F" w14:paraId="37E690A3"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30</w:t>
            </w:r>
          </w:p>
          <w:p w:rsidR="00E8555F" w:rsidRPr="00943C0F" w:rsidP="00E8555F" w14:paraId="23478A65"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responses</w:t>
            </w:r>
          </w:p>
        </w:tc>
        <w:tc>
          <w:tcPr>
            <w:tcW w:w="1170" w:type="dxa"/>
          </w:tcPr>
          <w:p w:rsidR="00E8555F" w:rsidRPr="00943C0F" w:rsidP="00E8555F" w14:paraId="0A94FB9E" w14:textId="77777777">
            <w:pPr>
              <w:spacing w:after="160" w:line="259" w:lineRule="auto"/>
              <w:contextualSpacing/>
              <w:jc w:val="center"/>
              <w:rPr>
                <w:kern w:val="2"/>
                <w:sz w:val="20"/>
                <w:lang w:val="en-CA"/>
                <w14:ligatures w14:val="standardContextual"/>
              </w:rPr>
            </w:pPr>
          </w:p>
        </w:tc>
        <w:tc>
          <w:tcPr>
            <w:tcW w:w="1184" w:type="dxa"/>
          </w:tcPr>
          <w:p w:rsidR="00E8555F" w:rsidRPr="00943C0F" w:rsidP="00E8555F" w14:paraId="10859559" w14:textId="77777777">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45 hours</w:t>
            </w:r>
          </w:p>
        </w:tc>
        <w:tc>
          <w:tcPr>
            <w:tcW w:w="1696" w:type="dxa"/>
          </w:tcPr>
          <w:p w:rsidR="00E8555F" w:rsidRPr="00943C0F" w:rsidP="00E8555F" w14:paraId="6FBF2C9A" w14:textId="1F2285F9">
            <w:pPr>
              <w:spacing w:after="160" w:line="259" w:lineRule="auto"/>
              <w:contextualSpacing/>
              <w:jc w:val="center"/>
              <w:rPr>
                <w:kern w:val="2"/>
                <w:sz w:val="20"/>
                <w:lang w:val="en-CA"/>
                <w14:ligatures w14:val="standardContextual"/>
              </w:rPr>
            </w:pPr>
            <w:r w:rsidRPr="00943C0F">
              <w:rPr>
                <w:kern w:val="2"/>
                <w:sz w:val="20"/>
                <w:lang w:val="en-CA"/>
                <w14:ligatures w14:val="standardContextual"/>
              </w:rPr>
              <w:t>$4,</w:t>
            </w:r>
            <w:r w:rsidR="00B811E8">
              <w:rPr>
                <w:kern w:val="2"/>
                <w:sz w:val="20"/>
                <w:lang w:val="en-CA"/>
                <w14:ligatures w14:val="standardContextual"/>
              </w:rPr>
              <w:t>252.50</w:t>
            </w:r>
          </w:p>
        </w:tc>
      </w:tr>
    </w:tbl>
    <w:p w:rsidR="00DC0C83" w:rsidRPr="00061E0A" w:rsidP="00061E0A" w14:paraId="62FC08D5" w14:textId="77777777">
      <w:pPr>
        <w:widowControl w:val="0"/>
        <w:autoSpaceDE w:val="0"/>
        <w:autoSpaceDN w:val="0"/>
        <w:adjustRightInd w:val="0"/>
        <w:ind w:left="360"/>
        <w:rPr>
          <w:rFonts w:eastAsia="Calibri"/>
          <w:bCs/>
          <w:szCs w:val="24"/>
        </w:rPr>
      </w:pPr>
    </w:p>
    <w:p w:rsidR="00061E0A" w:rsidRPr="00061E0A" w:rsidP="00061E0A" w14:paraId="7D0B29A0" w14:textId="77777777">
      <w:pPr>
        <w:widowControl w:val="0"/>
        <w:autoSpaceDE w:val="0"/>
        <w:autoSpaceDN w:val="0"/>
        <w:adjustRightInd w:val="0"/>
        <w:ind w:left="360"/>
        <w:rPr>
          <w:rFonts w:eastAsia="Calibri"/>
          <w:bCs/>
          <w:szCs w:val="24"/>
        </w:rPr>
      </w:pPr>
    </w:p>
    <w:p w:rsidR="00061E0A" w:rsidRPr="00061E0A" w:rsidP="00061E0A" w14:paraId="3048DBE2" w14:textId="77777777">
      <w:pPr>
        <w:widowControl w:val="0"/>
        <w:rPr>
          <w:rFonts w:eastAsia="Calibri"/>
          <w:szCs w:val="24"/>
          <w:u w:val="single"/>
        </w:rPr>
      </w:pPr>
    </w:p>
    <w:p w:rsidR="00061E0A" w:rsidRPr="00061E0A" w:rsidP="00061E0A" w14:paraId="76283135" w14:textId="77777777">
      <w:pPr>
        <w:spacing w:after="160" w:line="259" w:lineRule="auto"/>
        <w:rPr>
          <w:rFonts w:asciiTheme="minorHAnsi" w:eastAsiaTheme="minorHAnsi" w:hAnsiTheme="minorHAnsi" w:cstheme="minorBidi"/>
          <w:kern w:val="2"/>
          <w:sz w:val="22"/>
          <w:szCs w:val="22"/>
          <w14:ligatures w14:val="standardContextual"/>
        </w:rPr>
      </w:pPr>
    </w:p>
    <w:bookmarkEnd w:id="1"/>
    <w:p w:rsidR="00061E0A" w:rsidP="00061E0A" w14:paraId="4C204DB9" w14:textId="77777777">
      <w:pPr>
        <w:widowControl w:val="0"/>
        <w:spacing w:after="160" w:line="259" w:lineRule="auto"/>
      </w:pPr>
    </w:p>
    <w:sectPr w:rsidSect="00943C0F">
      <w:pgSz w:w="12240" w:h="15840"/>
      <w:pgMar w:top="1440" w:right="180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1B30" w:rsidP="00061E0A" w14:paraId="3ED136A3" w14:textId="77777777">
      <w:r>
        <w:separator/>
      </w:r>
    </w:p>
  </w:footnote>
  <w:footnote w:type="continuationSeparator" w:id="1">
    <w:p w:rsidR="00D61B30" w:rsidP="00061E0A" w14:paraId="0F4852A7" w14:textId="77777777">
      <w:r>
        <w:continuationSeparator/>
      </w:r>
    </w:p>
  </w:footnote>
  <w:footnote w:id="2">
    <w:p w:rsidR="0087364E" w:rsidRPr="00FD7A8C" w14:paraId="6E2C1D26" w14:textId="3B5AC36A">
      <w:pPr>
        <w:pStyle w:val="FootnoteText"/>
        <w:rPr>
          <w:rFonts w:ascii="Times New Roman" w:hAnsi="Times New Roman" w:cs="Times New Roman"/>
        </w:rPr>
      </w:pPr>
      <w:r>
        <w:rPr>
          <w:rStyle w:val="FootnoteReference"/>
        </w:rPr>
        <w:footnoteRef/>
      </w:r>
      <w:r>
        <w:t xml:space="preserve"> </w:t>
      </w:r>
      <w:r w:rsidRPr="00FD7A8C" w:rsidR="000605B3">
        <w:rPr>
          <w:rFonts w:ascii="Times New Roman" w:hAnsi="Times New Roman" w:cs="Times New Roman"/>
        </w:rPr>
        <w:t>9</w:t>
      </w:r>
      <w:r w:rsidRPr="00FD7A8C" w:rsidR="00FD7A8C">
        <w:rPr>
          <w:rFonts w:ascii="Times New Roman" w:hAnsi="Times New Roman" w:cs="Times New Roman"/>
        </w:rPr>
        <w:t>1 FR 55756</w:t>
      </w:r>
      <w:r w:rsidR="00FD7A8C">
        <w:rPr>
          <w:rFonts w:ascii="Times New Roman" w:hAnsi="Times New Roman" w:cs="Times New Roman"/>
        </w:rPr>
        <w:t xml:space="preserve"> (Aug 31, 2026).</w:t>
      </w:r>
    </w:p>
  </w:footnote>
  <w:footnote w:id="3">
    <w:p w:rsidR="000605B3" w:rsidRPr="00FD7A8C" w14:paraId="106F4071" w14:textId="5AEBBF3F">
      <w:pPr>
        <w:pStyle w:val="FootnoteText"/>
        <w:rPr>
          <w:rFonts w:ascii="Times New Roman" w:hAnsi="Times New Roman" w:cs="Times New Roman"/>
        </w:rPr>
      </w:pPr>
      <w:r w:rsidRPr="00FD7A8C">
        <w:rPr>
          <w:rStyle w:val="FootnoteReference"/>
          <w:rFonts w:ascii="Times New Roman" w:hAnsi="Times New Roman" w:cs="Times New Roman"/>
        </w:rPr>
        <w:footnoteRef/>
      </w:r>
      <w:r w:rsidRPr="00FD7A8C">
        <w:rPr>
          <w:rFonts w:ascii="Times New Roman" w:hAnsi="Times New Roman" w:cs="Times New Roman"/>
        </w:rPr>
        <w:t xml:space="preserve"> </w:t>
      </w:r>
      <w:r w:rsidRPr="00FD7A8C" w:rsidR="00FD7A8C">
        <w:rPr>
          <w:rFonts w:ascii="Times New Roman" w:hAnsi="Times New Roman" w:cs="Times New Roman"/>
        </w:rPr>
        <w:t>90 FR 28633</w:t>
      </w:r>
      <w:r w:rsidR="00FD7A8C">
        <w:rPr>
          <w:rFonts w:ascii="Times New Roman" w:hAnsi="Times New Roman" w:cs="Times New Roman"/>
        </w:rPr>
        <w:t xml:space="preserve"> (Jul 1, 2025).</w:t>
      </w:r>
    </w:p>
  </w:footnote>
  <w:footnote w:id="4">
    <w:p w:rsidR="00E8555F" w:rsidRPr="00E04F68" w:rsidP="00E8555F" w14:paraId="0792E9EE" w14:textId="293CDB52">
      <w:pPr>
        <w:pStyle w:val="FootnoteText"/>
        <w:rPr>
          <w:rFonts w:ascii="Times New Roman" w:eastAsia="Calibri" w:hAnsi="Times New Roman" w:cs="Times New Roman"/>
        </w:rPr>
      </w:pPr>
      <w:r w:rsidRPr="00E04F68">
        <w:rPr>
          <w:rStyle w:val="FootnoteReference"/>
          <w:rFonts w:ascii="Times New Roman" w:hAnsi="Times New Roman"/>
        </w:rPr>
        <w:footnoteRef/>
      </w:r>
      <w:r w:rsidRPr="00E04F68">
        <w:rPr>
          <w:rFonts w:ascii="Times New Roman" w:hAnsi="Times New Roman" w:cs="Times New Roman"/>
        </w:rPr>
        <w:t xml:space="preserve"> </w:t>
      </w:r>
      <w:r w:rsidRPr="00E04F68">
        <w:rPr>
          <w:rFonts w:ascii="Times New Roman" w:eastAsia="Calibri" w:hAnsi="Times New Roman" w:cs="Times New Roman"/>
        </w:rPr>
        <w:t>The dollar equivalent cost throughout this table is derived from the 202</w:t>
      </w:r>
      <w:r w:rsidR="00FD7A8C">
        <w:rPr>
          <w:rFonts w:ascii="Times New Roman" w:eastAsia="Calibri" w:hAnsi="Times New Roman" w:cs="Times New Roman"/>
        </w:rPr>
        <w:t>5</w:t>
      </w:r>
      <w:r w:rsidRPr="00E04F68">
        <w:rPr>
          <w:rFonts w:ascii="Times New Roman" w:eastAsia="Calibri" w:hAnsi="Times New Roman" w:cs="Times New Roman"/>
        </w:rPr>
        <w:t xml:space="preserve"> Surface Transportation Board Full Year Wage A&amp;B data series using employee group 200 (Professional &amp; Administrative) hourly wage rate of $</w:t>
      </w:r>
      <w:r>
        <w:rPr>
          <w:rFonts w:ascii="Times New Roman" w:eastAsia="Calibri" w:hAnsi="Times New Roman" w:cs="Times New Roman"/>
        </w:rPr>
        <w:t>5</w:t>
      </w:r>
      <w:r w:rsidR="00FD7A8C">
        <w:rPr>
          <w:rFonts w:ascii="Times New Roman" w:eastAsia="Calibri" w:hAnsi="Times New Roman" w:cs="Times New Roman"/>
        </w:rPr>
        <w:t>4</w:t>
      </w:r>
      <w:r w:rsidRPr="00E04F68">
        <w:rPr>
          <w:rFonts w:ascii="Times New Roman" w:eastAsia="Calibri" w:hAnsi="Times New Roman" w:cs="Times New Roman"/>
        </w:rPr>
        <w:t>. The total burden wage rate (straight time plus 75</w:t>
      </w:r>
      <w:r>
        <w:rPr>
          <w:rFonts w:ascii="Times New Roman" w:eastAsia="Calibri" w:hAnsi="Times New Roman" w:cs="Times New Roman"/>
        </w:rPr>
        <w:t xml:space="preserve"> percent</w:t>
      </w:r>
      <w:r w:rsidRPr="00E04F68">
        <w:rPr>
          <w:rFonts w:ascii="Times New Roman" w:eastAsia="Calibri" w:hAnsi="Times New Roman" w:cs="Times New Roman"/>
        </w:rPr>
        <w:t>) used in the table is $</w:t>
      </w:r>
      <w:r w:rsidR="00FD7A8C">
        <w:rPr>
          <w:rFonts w:ascii="Times New Roman" w:eastAsia="Calibri" w:hAnsi="Times New Roman" w:cs="Times New Roman"/>
        </w:rPr>
        <w:t>94.50</w:t>
      </w:r>
      <w:r w:rsidRPr="00E04F68">
        <w:rPr>
          <w:rFonts w:ascii="Times New Roman" w:eastAsia="Calibri" w:hAnsi="Times New Roman" w:cs="Times New Roman"/>
        </w:rPr>
        <w:t xml:space="preserve"> ($</w:t>
      </w:r>
      <w:r>
        <w:rPr>
          <w:rFonts w:ascii="Times New Roman" w:eastAsia="Calibri" w:hAnsi="Times New Roman" w:cs="Times New Roman"/>
        </w:rPr>
        <w:t>5</w:t>
      </w:r>
      <w:r w:rsidR="00FD7A8C">
        <w:rPr>
          <w:rFonts w:ascii="Times New Roman" w:eastAsia="Calibri" w:hAnsi="Times New Roman" w:cs="Times New Roman"/>
        </w:rPr>
        <w:t>4</w:t>
      </w:r>
      <w:r w:rsidRPr="00E04F68">
        <w:rPr>
          <w:rFonts w:ascii="Times New Roman" w:eastAsia="Calibri" w:hAnsi="Times New Roman" w:cs="Times New Roman"/>
        </w:rPr>
        <w:t xml:space="preserve"> x 1.75 = $</w:t>
      </w:r>
      <w:r w:rsidR="00FD7A8C">
        <w:rPr>
          <w:rFonts w:ascii="Times New Roman" w:eastAsia="Calibri" w:hAnsi="Times New Roman" w:cs="Times New Roman"/>
        </w:rPr>
        <w:t>94.50</w:t>
      </w:r>
      <w:r w:rsidRPr="00E04F68">
        <w:rPr>
          <w:rFonts w:ascii="Times New Roman" w:eastAsia="Calibri" w:hAnsi="Times New Roman" w:cs="Times New Roman"/>
        </w:rPr>
        <w:t>).</w:t>
      </w:r>
    </w:p>
    <w:p w:rsidR="00E8555F" w:rsidP="00E8555F" w14:paraId="2A250E41"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2F8D"/>
    <w:multiLevelType w:val="hybridMultilevel"/>
    <w:tmpl w:val="E286B718"/>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9489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E0A"/>
    <w:rsid w:val="000605B3"/>
    <w:rsid w:val="00061E0A"/>
    <w:rsid w:val="000F7313"/>
    <w:rsid w:val="00155683"/>
    <w:rsid w:val="00224FD9"/>
    <w:rsid w:val="0023341E"/>
    <w:rsid w:val="00290828"/>
    <w:rsid w:val="0037021C"/>
    <w:rsid w:val="003A2E7B"/>
    <w:rsid w:val="004D4F13"/>
    <w:rsid w:val="00545B88"/>
    <w:rsid w:val="006143DB"/>
    <w:rsid w:val="00672132"/>
    <w:rsid w:val="006B08F6"/>
    <w:rsid w:val="00725CCA"/>
    <w:rsid w:val="007A09E2"/>
    <w:rsid w:val="007A21E9"/>
    <w:rsid w:val="00806EE7"/>
    <w:rsid w:val="0087364E"/>
    <w:rsid w:val="0087551A"/>
    <w:rsid w:val="00883C89"/>
    <w:rsid w:val="008C35C6"/>
    <w:rsid w:val="008D473A"/>
    <w:rsid w:val="00943C0F"/>
    <w:rsid w:val="009D6413"/>
    <w:rsid w:val="009E7A90"/>
    <w:rsid w:val="00AD0BE3"/>
    <w:rsid w:val="00AD1B17"/>
    <w:rsid w:val="00B379F6"/>
    <w:rsid w:val="00B413C6"/>
    <w:rsid w:val="00B811E8"/>
    <w:rsid w:val="00CA391D"/>
    <w:rsid w:val="00CE0FB3"/>
    <w:rsid w:val="00D2379D"/>
    <w:rsid w:val="00D51DB5"/>
    <w:rsid w:val="00D61B30"/>
    <w:rsid w:val="00DC0C83"/>
    <w:rsid w:val="00E04F68"/>
    <w:rsid w:val="00E064A9"/>
    <w:rsid w:val="00E21CA7"/>
    <w:rsid w:val="00E8555F"/>
    <w:rsid w:val="00F70C4A"/>
    <w:rsid w:val="00FC2CDB"/>
    <w:rsid w:val="00FD7A8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13FFB5"/>
  <w15:chartTrackingRefBased/>
  <w15:docId w15:val="{DD4CFEF6-8FFA-4B19-810D-9E0D952BF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1E0A"/>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E0A"/>
    <w:pPr>
      <w:ind w:left="720"/>
      <w:contextualSpacing/>
    </w:pPr>
  </w:style>
  <w:style w:type="paragraph" w:styleId="FootnoteText">
    <w:name w:val="footnote text"/>
    <w:basedOn w:val="Normal"/>
    <w:link w:val="FootnoteTextChar"/>
    <w:uiPriority w:val="99"/>
    <w:semiHidden/>
    <w:unhideWhenUsed/>
    <w:rsid w:val="00061E0A"/>
    <w:rPr>
      <w:rFonts w:asciiTheme="minorHAnsi" w:eastAsiaTheme="minorHAnsi" w:hAnsiTheme="minorHAnsi" w:cstheme="minorBidi"/>
      <w:kern w:val="2"/>
      <w:sz w:val="20"/>
      <w14:ligatures w14:val="standardContextual"/>
    </w:rPr>
  </w:style>
  <w:style w:type="character" w:customStyle="1" w:styleId="FootnoteTextChar">
    <w:name w:val="Footnote Text Char"/>
    <w:basedOn w:val="DefaultParagraphFont"/>
    <w:link w:val="FootnoteText"/>
    <w:uiPriority w:val="99"/>
    <w:semiHidden/>
    <w:rsid w:val="00061E0A"/>
    <w:rPr>
      <w:sz w:val="20"/>
      <w:szCs w:val="20"/>
    </w:rPr>
  </w:style>
  <w:style w:type="character" w:styleId="FootnoteReference">
    <w:name w:val="footnote reference"/>
    <w:aliases w:val="MC-PRE Footnote Reference"/>
    <w:uiPriority w:val="99"/>
    <w:qFormat/>
    <w:rsid w:val="00061E0A"/>
    <w:rPr>
      <w:vertAlign w:val="superscript"/>
    </w:rPr>
  </w:style>
  <w:style w:type="paragraph" w:styleId="NoSpacing">
    <w:name w:val="No Spacing"/>
    <w:uiPriority w:val="1"/>
    <w:qFormat/>
    <w:rsid w:val="00AD1B17"/>
    <w:pPr>
      <w:spacing w:after="0" w:line="240" w:lineRule="auto"/>
    </w:pPr>
    <w:rPr>
      <w:rFonts w:ascii="Times New Roman" w:eastAsia="Times New Roman" w:hAnsi="Times New Roman" w:cs="Times New Roman"/>
      <w:kern w:val="0"/>
      <w:sz w:val="24"/>
      <w:szCs w:val="20"/>
      <w14:ligatures w14:val="none"/>
    </w:rPr>
  </w:style>
  <w:style w:type="paragraph" w:styleId="Revision">
    <w:name w:val="Revision"/>
    <w:hidden/>
    <w:uiPriority w:val="99"/>
    <w:semiHidden/>
    <w:rsid w:val="00D51DB5"/>
    <w:pPr>
      <w:spacing w:after="0" w:line="240" w:lineRule="auto"/>
    </w:pPr>
    <w:rPr>
      <w:rFonts w:ascii="Times New Roman" w:eastAsia="Times New Roman" w:hAnsi="Times New Roman" w:cs="Times New Roman"/>
      <w:kern w:val="0"/>
      <w:sz w:val="24"/>
      <w:szCs w:val="20"/>
      <w14:ligatures w14:val="none"/>
    </w:rPr>
  </w:style>
  <w:style w:type="table" w:customStyle="1" w:styleId="TableGrid1">
    <w:name w:val="Table Grid1"/>
    <w:basedOn w:val="TableNormal"/>
    <w:next w:val="TableGrid"/>
    <w:uiPriority w:val="39"/>
    <w:rsid w:val="00DC0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0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4FD9"/>
    <w:rPr>
      <w:sz w:val="16"/>
      <w:szCs w:val="16"/>
    </w:rPr>
  </w:style>
  <w:style w:type="paragraph" w:styleId="CommentText">
    <w:name w:val="annotation text"/>
    <w:basedOn w:val="Normal"/>
    <w:link w:val="CommentTextChar"/>
    <w:uiPriority w:val="99"/>
    <w:unhideWhenUsed/>
    <w:rsid w:val="00224FD9"/>
    <w:rPr>
      <w:sz w:val="20"/>
    </w:rPr>
  </w:style>
  <w:style w:type="character" w:customStyle="1" w:styleId="CommentTextChar">
    <w:name w:val="Comment Text Char"/>
    <w:basedOn w:val="DefaultParagraphFont"/>
    <w:link w:val="CommentText"/>
    <w:uiPriority w:val="99"/>
    <w:rsid w:val="00224FD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24FD9"/>
    <w:rPr>
      <w:b/>
      <w:bCs/>
    </w:rPr>
  </w:style>
  <w:style w:type="character" w:customStyle="1" w:styleId="CommentSubjectChar">
    <w:name w:val="Comment Subject Char"/>
    <w:basedOn w:val="CommentTextChar"/>
    <w:link w:val="CommentSubject"/>
    <w:uiPriority w:val="99"/>
    <w:semiHidden/>
    <w:rsid w:val="00224FD9"/>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8A8D6-5AC3-47DA-B066-04FD9860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Mussington, Arlette (FRA)</dc:creator>
  <cp:lastModifiedBy>Swafford, Joanne (FRA)</cp:lastModifiedBy>
  <cp:revision>2</cp:revision>
  <dcterms:created xsi:type="dcterms:W3CDTF">2026-09-08T12:48:00Z</dcterms:created>
  <dcterms:modified xsi:type="dcterms:W3CDTF">2026-09-08T12:48:00Z</dcterms:modified>
</cp:coreProperties>
</file>