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4818" w:rsidP="002136CD" w14:paraId="2398EFF5" w14:textId="77777777">
      <w:pPr>
        <w:tabs>
          <w:tab w:val="center" w:pos="5400"/>
          <w:tab w:val="right" w:pos="10421"/>
        </w:tabs>
        <w:ind w:right="43"/>
        <w:textAlignment w:val="baseline"/>
        <w:rPr>
          <w:rFonts w:ascii="Arial" w:eastAsia="Arial" w:hAnsi="Arial"/>
          <w:color w:val="000000"/>
          <w:sz w:val="18"/>
        </w:rPr>
      </w:pPr>
      <w:r>
        <w:rPr>
          <w:rFonts w:ascii="Arial" w:eastAsia="Arial" w:hAnsi="Arial"/>
          <w:color w:val="000000"/>
          <w:sz w:val="18"/>
        </w:rPr>
        <w:t>MODEL NOTICE</w:t>
      </w:r>
      <w:r>
        <w:rPr>
          <w:rFonts w:ascii="Arial" w:eastAsia="Arial" w:hAnsi="Arial"/>
          <w:color w:val="000000"/>
          <w:sz w:val="18"/>
        </w:rPr>
        <w:tab/>
        <w:t>U.S. Department of</w:t>
      </w:r>
      <w:r>
        <w:rPr>
          <w:rFonts w:ascii="Arial" w:eastAsia="Arial" w:hAnsi="Arial"/>
          <w:color w:val="000000"/>
          <w:sz w:val="18"/>
        </w:rPr>
        <w:tab/>
      </w:r>
      <w:r>
        <w:rPr>
          <w:rFonts w:ascii="Arial" w:eastAsia="Arial" w:hAnsi="Arial"/>
          <w:color w:val="000000"/>
          <w:sz w:val="13"/>
        </w:rPr>
        <w:t>OMB Approval No. 2502-0059</w:t>
      </w:r>
    </w:p>
    <w:p w:rsidR="002136CD" w:rsidP="002136CD" w14:paraId="0CFAC411" w14:textId="583EB6D4">
      <w:pPr>
        <w:tabs>
          <w:tab w:val="center" w:pos="5400"/>
          <w:tab w:val="right" w:pos="10710"/>
        </w:tabs>
        <w:ind w:right="43"/>
        <w:jc w:val="both"/>
        <w:textAlignment w:val="baseline"/>
        <w:rPr>
          <w:rFonts w:ascii="Arial" w:eastAsia="Arial" w:hAnsi="Arial"/>
          <w:color w:val="000000"/>
          <w:spacing w:val="-1"/>
          <w:sz w:val="13"/>
        </w:rPr>
      </w:pPr>
      <w:r>
        <w:rPr>
          <w:rFonts w:ascii="Arial" w:eastAsia="Arial" w:hAnsi="Arial"/>
          <w:color w:val="000000"/>
          <w:sz w:val="18"/>
        </w:rPr>
        <w:t>INFORMED CONSUMER</w:t>
      </w:r>
      <w:r>
        <w:rPr>
          <w:rFonts w:ascii="Arial" w:eastAsia="Arial" w:hAnsi="Arial"/>
          <w:color w:val="000000"/>
          <w:sz w:val="18"/>
        </w:rPr>
        <w:tab/>
        <w:t>Housing and Urban Development</w:t>
      </w:r>
      <w:r>
        <w:rPr>
          <w:rFonts w:ascii="Arial" w:eastAsia="Arial" w:hAnsi="Arial"/>
          <w:color w:val="000000"/>
          <w:sz w:val="18"/>
        </w:rPr>
        <w:tab/>
      </w:r>
      <w:r>
        <w:rPr>
          <w:rFonts w:ascii="Arial" w:eastAsia="Arial" w:hAnsi="Arial"/>
          <w:color w:val="000000"/>
          <w:spacing w:val="-1"/>
          <w:sz w:val="13"/>
        </w:rPr>
        <w:t>(exp. 1</w:t>
      </w:r>
      <w:r w:rsidR="002A31E1">
        <w:rPr>
          <w:rFonts w:ascii="Arial" w:eastAsia="Arial" w:hAnsi="Arial"/>
          <w:color w:val="000000"/>
          <w:spacing w:val="-1"/>
          <w:sz w:val="13"/>
        </w:rPr>
        <w:t>0/31/26</w:t>
      </w:r>
      <w:r>
        <w:rPr>
          <w:rFonts w:ascii="Arial" w:eastAsia="Arial" w:hAnsi="Arial"/>
          <w:color w:val="000000"/>
          <w:spacing w:val="-1"/>
          <w:sz w:val="13"/>
        </w:rPr>
        <w:t>)</w:t>
      </w:r>
    </w:p>
    <w:p w:rsidR="002A4818" w:rsidP="002136CD" w14:paraId="2561628E" w14:textId="77777777">
      <w:pPr>
        <w:tabs>
          <w:tab w:val="center" w:pos="5400"/>
        </w:tabs>
        <w:spacing w:after="240"/>
        <w:ind w:right="43"/>
        <w:textAlignment w:val="baseline"/>
        <w:rPr>
          <w:rFonts w:ascii="Arial" w:eastAsia="Arial" w:hAnsi="Arial"/>
          <w:color w:val="000000"/>
          <w:spacing w:val="-1"/>
          <w:sz w:val="18"/>
        </w:rPr>
      </w:pPr>
      <w:r>
        <w:rPr>
          <w:rFonts w:ascii="Arial" w:eastAsia="Arial" w:hAnsi="Arial"/>
          <w:color w:val="000000"/>
          <w:spacing w:val="-1"/>
          <w:sz w:val="18"/>
        </w:rPr>
        <w:t>CHOICE DISCLOSURE NOTICE</w:t>
      </w:r>
      <w:r>
        <w:rPr>
          <w:rFonts w:ascii="Arial" w:eastAsia="Arial" w:hAnsi="Arial"/>
          <w:color w:val="000000"/>
          <w:spacing w:val="-1"/>
          <w:sz w:val="18"/>
        </w:rPr>
        <w:tab/>
      </w:r>
      <w:r>
        <w:rPr>
          <w:rFonts w:ascii="Arial" w:eastAsia="Arial" w:hAnsi="Arial"/>
          <w:color w:val="000000"/>
          <w:spacing w:val="-1"/>
          <w:sz w:val="13"/>
        </w:rPr>
        <w:t>Office of Housing Federal Housing Commissioner</w:t>
      </w:r>
    </w:p>
    <w:p w:rsidR="002A4818" w:rsidP="002136CD" w14:paraId="240E98E3" w14:textId="62D1E6F4">
      <w:pPr>
        <w:pBdr>
          <w:top w:val="single" w:sz="8" w:space="1" w:color="auto"/>
          <w:bottom w:val="single" w:sz="8" w:space="1" w:color="auto"/>
        </w:pBdr>
        <w:spacing w:before="18" w:line="156" w:lineRule="exact"/>
        <w:ind w:right="216"/>
        <w:textAlignment w:val="baseline"/>
        <w:rPr>
          <w:rFonts w:ascii="Arial" w:eastAsia="Arial" w:hAnsi="Arial"/>
          <w:color w:val="000000"/>
          <w:sz w:val="14"/>
        </w:rPr>
      </w:pPr>
      <w:r>
        <w:rPr>
          <w:rFonts w:ascii="Arial" w:eastAsia="Arial" w:hAnsi="Arial"/>
          <w:color w:val="000000"/>
          <w:sz w:val="14"/>
        </w:rPr>
        <w:t>Lenders are not required to use this specific form when making this disclosure. This form is provided as an example of what should be included in this disclosure. Section 203of the National Housing Act requires a disclosure to assist borrowers in comparing the costs of a</w:t>
      </w:r>
      <w:r w:rsidR="00E412A4">
        <w:rPr>
          <w:rFonts w:ascii="Arial" w:eastAsia="Arial" w:hAnsi="Arial"/>
          <w:color w:val="000000"/>
          <w:sz w:val="14"/>
        </w:rPr>
        <w:t>n</w:t>
      </w:r>
      <w:r>
        <w:rPr>
          <w:rFonts w:ascii="Arial" w:eastAsia="Arial" w:hAnsi="Arial"/>
          <w:color w:val="000000"/>
          <w:sz w:val="14"/>
        </w:rPr>
        <w:t xml:space="preserve"> FHA-insured mortgage versus similar conventional mortgages. This disclosure must be given to</w:t>
      </w:r>
      <w:r w:rsidR="002136CD">
        <w:rPr>
          <w:rFonts w:ascii="Arial" w:eastAsia="Arial" w:hAnsi="Arial"/>
          <w:color w:val="000000"/>
          <w:sz w:val="14"/>
        </w:rPr>
        <w:t xml:space="preserve"> </w:t>
      </w:r>
      <w:r>
        <w:rPr>
          <w:rFonts w:ascii="Arial" w:eastAsia="Arial" w:hAnsi="Arial"/>
          <w:color w:val="000000"/>
          <w:sz w:val="14"/>
        </w:rPr>
        <w:t xml:space="preserve">prospective borrowers that may qualify for both FHA-insured financing and a conventional mortgage product. Public reporting burden for this disclosure is estimated to average 5 minutes per response including time for reviewing instructions, searching existing data sources, gathering and maintaining data needed and completing and reviewing the collection of information. </w:t>
      </w:r>
      <w:r w:rsidRPr="00594670" w:rsidR="00594670">
        <w:rPr>
          <w:rFonts w:ascii="Arial" w:eastAsia="Arial" w:hAnsi="Arial"/>
          <w:color w:val="000000"/>
          <w:sz w:val="14"/>
        </w:rPr>
        <w:t xml:space="preserve">Send comments regarding this burden estimate or any other aspect of this collection of information, including suggestions to reduce this burden, to PRA Liaison, Department of Housing and Urban Development, 451 7th Street SW, Room 9139-37, Washington, DC 20410-5000. </w:t>
      </w:r>
      <w:r>
        <w:rPr>
          <w:rFonts w:ascii="Arial" w:eastAsia="Arial" w:hAnsi="Arial"/>
          <w:color w:val="000000"/>
          <w:sz w:val="14"/>
        </w:rPr>
        <w:t>This agency may not conduct or sponsor, and a person is not required to respond to a collection of information unless that collection displays a valid OMB control number.</w:t>
      </w:r>
      <w:r w:rsidR="00BA181A">
        <w:rPr>
          <w:rFonts w:ascii="Arial" w:eastAsia="Arial" w:hAnsi="Arial"/>
          <w:color w:val="000000"/>
          <w:sz w:val="14"/>
        </w:rPr>
        <w:t xml:space="preserve"> As HUD does not collect information on this form, there are no assurances of confidentiality.</w:t>
      </w:r>
    </w:p>
    <w:p w:rsidR="002A4818" w:rsidP="002136CD" w14:paraId="5F0BFD63" w14:textId="2B1E17F1">
      <w:pPr>
        <w:spacing w:before="120"/>
        <w:ind w:right="216"/>
        <w:jc w:val="both"/>
        <w:textAlignment w:val="baseline"/>
        <w:rPr>
          <w:rFonts w:ascii="Arial" w:eastAsia="Arial" w:hAnsi="Arial"/>
          <w:color w:val="000000"/>
          <w:sz w:val="19"/>
        </w:rPr>
      </w:pPr>
      <w:r>
        <w:rPr>
          <w:rFonts w:ascii="Arial" w:eastAsia="Arial" w:hAnsi="Arial"/>
          <w:color w:val="000000"/>
          <w:sz w:val="19"/>
        </w:rPr>
        <w:t>In addition to an FHA-insured mortgage, you may also qualify for other mortgage products offered by your lender. To ensure that you are aware of available financing options, your lender has prepared a comparison of the typical costs of alternative conventional mortgage product(s), using representative loan amounts and costs. The loan amounts and associated costs shown below will vary from your own mortgage loan transaction. You should study the comparison carefully, ask questions, and determine which product is best for you. The information provided below was prepared as of [</w:t>
      </w:r>
      <w:r>
        <w:rPr>
          <w:rFonts w:ascii="Arial" w:eastAsia="Arial" w:hAnsi="Arial"/>
          <w:color w:val="000000"/>
          <w:sz w:val="17"/>
        </w:rPr>
        <w:t>month and year</w:t>
      </w:r>
      <w:r>
        <w:rPr>
          <w:rFonts w:ascii="Arial" w:eastAsia="Arial" w:hAnsi="Arial"/>
          <w:color w:val="000000"/>
          <w:sz w:val="19"/>
        </w:rPr>
        <w:t>].</w:t>
      </w:r>
    </w:p>
    <w:p w:rsidR="002A4818" w:rsidP="002136CD" w14:paraId="6A04BB02" w14:textId="5B77B6B8">
      <w:pPr>
        <w:spacing w:before="120" w:after="236"/>
        <w:ind w:right="360"/>
        <w:jc w:val="both"/>
        <w:textAlignment w:val="baseline"/>
        <w:rPr>
          <w:rFonts w:ascii="Arial" w:eastAsia="Arial" w:hAnsi="Arial"/>
          <w:color w:val="000000"/>
          <w:spacing w:val="2"/>
          <w:sz w:val="19"/>
        </w:rPr>
      </w:pPr>
      <w:r>
        <w:rPr>
          <w:rFonts w:ascii="Arial" w:eastAsia="Arial" w:hAnsi="Arial"/>
          <w:color w:val="000000"/>
          <w:spacing w:val="2"/>
          <w:sz w:val="19"/>
        </w:rPr>
        <w:t>Neither your lender nor FHA warrants that you actually qualify for any mortgage loan offered by your lender. This notice is provided to you to identify the key differences between these mortgage products. This disclosure is not a contract and does not constitute loan approval. Actual mortgage approval can only be made following a full underwriting analysis by your lender.</w:t>
      </w:r>
    </w:p>
    <w:tbl>
      <w:tblPr>
        <w:tblW w:w="0" w:type="auto"/>
        <w:tblInd w:w="19" w:type="dxa"/>
        <w:tblLayout w:type="fixed"/>
        <w:tblCellMar>
          <w:left w:w="0" w:type="dxa"/>
          <w:right w:w="0" w:type="dxa"/>
        </w:tblCellMar>
        <w:tblLook w:val="04A0"/>
      </w:tblPr>
      <w:tblGrid>
        <w:gridCol w:w="4018"/>
        <w:gridCol w:w="4008"/>
        <w:gridCol w:w="2419"/>
      </w:tblGrid>
      <w:tr w14:paraId="24E296D3" w14:textId="77777777" w:rsidTr="002136CD">
        <w:tblPrEx>
          <w:tblW w:w="0" w:type="auto"/>
          <w:tblInd w:w="19" w:type="dxa"/>
          <w:tblLayout w:type="fixed"/>
          <w:tblCellMar>
            <w:left w:w="0" w:type="dxa"/>
            <w:right w:w="0" w:type="dxa"/>
          </w:tblCellMar>
          <w:tblLook w:val="04A0"/>
        </w:tblPrEx>
        <w:tc>
          <w:tcPr>
            <w:tcW w:w="4018" w:type="dxa"/>
            <w:tcBorders>
              <w:top w:val="single" w:sz="7" w:space="0" w:color="000000"/>
              <w:left w:val="single" w:sz="7" w:space="0" w:color="000000"/>
              <w:bottom w:val="single" w:sz="7" w:space="0" w:color="000000"/>
              <w:right w:val="single" w:sz="7" w:space="0" w:color="000000"/>
            </w:tcBorders>
          </w:tcPr>
          <w:p w:rsidR="002A4818" w:rsidRPr="00EE002C" w:rsidP="002136CD" w14:paraId="52871D6F" w14:textId="77777777">
            <w:pPr>
              <w:spacing w:before="60" w:after="60"/>
              <w:ind w:left="24"/>
              <w:textAlignment w:val="baseline"/>
              <w:rPr>
                <w:rFonts w:ascii="Calibri" w:eastAsia="Calibri" w:hAnsi="Calibri"/>
                <w:b/>
                <w:bCs/>
                <w:color w:val="000000"/>
                <w:sz w:val="16"/>
                <w:szCs w:val="16"/>
              </w:rPr>
            </w:pPr>
            <w:r w:rsidRPr="00EE002C">
              <w:rPr>
                <w:rFonts w:ascii="Calibri" w:eastAsia="Calibri" w:hAnsi="Calibri"/>
                <w:b/>
                <w:bCs/>
                <w:color w:val="000000"/>
                <w:sz w:val="16"/>
                <w:szCs w:val="16"/>
              </w:rPr>
              <w:t>Mortgage Parameters</w:t>
            </w:r>
          </w:p>
        </w:tc>
        <w:tc>
          <w:tcPr>
            <w:tcW w:w="4008" w:type="dxa"/>
            <w:tcBorders>
              <w:top w:val="single" w:sz="7" w:space="0" w:color="000000"/>
              <w:left w:val="single" w:sz="7" w:space="0" w:color="000000"/>
              <w:bottom w:val="single" w:sz="7" w:space="0" w:color="000000"/>
              <w:right w:val="single" w:sz="7" w:space="0" w:color="000000"/>
            </w:tcBorders>
          </w:tcPr>
          <w:p w:rsidR="002A4818" w:rsidRPr="00EE002C" w:rsidP="002136CD" w14:paraId="2480FFC5" w14:textId="77777777">
            <w:pPr>
              <w:spacing w:before="60" w:after="60"/>
              <w:ind w:left="72"/>
              <w:textAlignment w:val="baseline"/>
              <w:rPr>
                <w:rFonts w:ascii="Arial" w:eastAsia="Arial" w:hAnsi="Arial"/>
                <w:b/>
                <w:bCs/>
                <w:color w:val="000000"/>
                <w:sz w:val="16"/>
                <w:szCs w:val="16"/>
              </w:rPr>
            </w:pPr>
            <w:r w:rsidRPr="00EE002C">
              <w:rPr>
                <w:rFonts w:ascii="Arial" w:eastAsia="Arial" w:hAnsi="Arial"/>
                <w:b/>
                <w:bCs/>
                <w:color w:val="000000"/>
                <w:sz w:val="16"/>
                <w:szCs w:val="16"/>
              </w:rPr>
              <w:t xml:space="preserve">FHA Financing </w:t>
            </w:r>
            <w:r w:rsidRPr="00EE002C">
              <w:rPr>
                <w:rFonts w:ascii="Arial" w:eastAsia="Arial" w:hAnsi="Arial"/>
                <w:b/>
                <w:bCs/>
                <w:color w:val="000000"/>
                <w:sz w:val="16"/>
                <w:szCs w:val="16"/>
              </w:rPr>
              <w:br/>
              <w:t>203(b) Fixed Rate</w:t>
            </w:r>
          </w:p>
        </w:tc>
        <w:tc>
          <w:tcPr>
            <w:tcW w:w="2419" w:type="dxa"/>
            <w:tcBorders>
              <w:top w:val="single" w:sz="7" w:space="0" w:color="000000"/>
              <w:left w:val="single" w:sz="7" w:space="0" w:color="000000"/>
              <w:bottom w:val="single" w:sz="7" w:space="0" w:color="000000"/>
              <w:right w:val="single" w:sz="7" w:space="0" w:color="000000"/>
            </w:tcBorders>
          </w:tcPr>
          <w:p w:rsidR="002A4818" w:rsidRPr="00EE002C" w:rsidP="002136CD" w14:paraId="6879D4B8" w14:textId="74FEFAA5">
            <w:pPr>
              <w:spacing w:before="60" w:after="60"/>
              <w:ind w:left="72"/>
              <w:textAlignment w:val="baseline"/>
              <w:rPr>
                <w:rFonts w:ascii="Arial" w:eastAsia="Arial" w:hAnsi="Arial"/>
                <w:b/>
                <w:bCs/>
                <w:color w:val="000000"/>
                <w:sz w:val="16"/>
                <w:szCs w:val="16"/>
              </w:rPr>
            </w:pPr>
            <w:r w:rsidRPr="00EE002C">
              <w:rPr>
                <w:rFonts w:ascii="Arial" w:eastAsia="Arial" w:hAnsi="Arial"/>
                <w:b/>
                <w:bCs/>
                <w:color w:val="000000"/>
                <w:sz w:val="16"/>
                <w:szCs w:val="16"/>
              </w:rPr>
              <w:t>Conventional Financing</w:t>
            </w:r>
            <w:r w:rsidRPr="00EE002C" w:rsidR="002136CD">
              <w:rPr>
                <w:rFonts w:ascii="Arial" w:eastAsia="Arial" w:hAnsi="Arial"/>
                <w:b/>
                <w:bCs/>
                <w:color w:val="000000"/>
                <w:sz w:val="16"/>
                <w:szCs w:val="16"/>
              </w:rPr>
              <w:br/>
            </w:r>
            <w:r w:rsidRPr="00EE002C">
              <w:rPr>
                <w:rFonts w:ascii="Arial" w:eastAsia="Arial" w:hAnsi="Arial"/>
                <w:b/>
                <w:bCs/>
                <w:color w:val="000000"/>
                <w:sz w:val="16"/>
                <w:szCs w:val="16"/>
              </w:rPr>
              <w:t>95% with Mortgage Insurance</w:t>
            </w:r>
          </w:p>
        </w:tc>
      </w:tr>
      <w:tr w14:paraId="5BB4ED63" w14:textId="77777777">
        <w:tblPrEx>
          <w:tblW w:w="0" w:type="auto"/>
          <w:tblInd w:w="19" w:type="dxa"/>
          <w:tblLayout w:type="fixed"/>
          <w:tblCellMar>
            <w:left w:w="0" w:type="dxa"/>
            <w:right w:w="0" w:type="dxa"/>
          </w:tblCellMar>
          <w:tblLook w:val="04A0"/>
        </w:tblPrEx>
        <w:trPr>
          <w:trHeight w:hRule="exact" w:val="269"/>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23C0D96C"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Sales Price</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3861C3A0"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$100,000</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199A9E3B"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$100,000</w:t>
            </w:r>
          </w:p>
        </w:tc>
      </w:tr>
      <w:tr w14:paraId="7E1331A6" w14:textId="77777777">
        <w:tblPrEx>
          <w:tblW w:w="0" w:type="auto"/>
          <w:tblInd w:w="19" w:type="dxa"/>
          <w:tblLayout w:type="fixed"/>
          <w:tblCellMar>
            <w:left w:w="0" w:type="dxa"/>
            <w:right w:w="0" w:type="dxa"/>
          </w:tblCellMar>
          <w:tblLook w:val="04A0"/>
        </w:tblPrEx>
        <w:trPr>
          <w:trHeight w:hRule="exact" w:val="451"/>
        </w:trPr>
        <w:tc>
          <w:tcPr>
            <w:tcW w:w="4018" w:type="dxa"/>
            <w:tcBorders>
              <w:top w:val="single" w:sz="7" w:space="0" w:color="000000"/>
              <w:left w:val="single" w:sz="7" w:space="0" w:color="000000"/>
              <w:bottom w:val="single" w:sz="7" w:space="0" w:color="000000"/>
              <w:right w:val="single" w:sz="7" w:space="0" w:color="000000"/>
            </w:tcBorders>
          </w:tcPr>
          <w:p w:rsidR="002A4818" w:rsidRPr="00EE002C" w:rsidP="00EE002C" w14:paraId="4703D265"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Mortgage Amount</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78AB47F3" w14:textId="77777777">
            <w:pPr>
              <w:spacing w:before="20" w:after="20"/>
              <w:ind w:left="72"/>
              <w:textAlignment w:val="baseline"/>
              <w:rPr>
                <w:rFonts w:ascii="Arial" w:eastAsia="Arial" w:hAnsi="Arial"/>
                <w:color w:val="000000"/>
                <w:sz w:val="16"/>
                <w:szCs w:val="16"/>
              </w:rPr>
            </w:pPr>
            <w:r w:rsidRPr="00EE002C">
              <w:rPr>
                <w:rFonts w:ascii="Arial" w:eastAsia="Arial" w:hAnsi="Arial"/>
                <w:color w:val="000000"/>
                <w:sz w:val="16"/>
                <w:szCs w:val="16"/>
              </w:rPr>
              <w:t xml:space="preserve">$96,500 - $98,188 w/ Upfront Mortgage </w:t>
            </w:r>
            <w:r w:rsidRPr="00EE002C">
              <w:rPr>
                <w:rFonts w:ascii="Arial" w:eastAsia="Arial" w:hAnsi="Arial"/>
                <w:color w:val="000000"/>
                <w:sz w:val="16"/>
                <w:szCs w:val="16"/>
              </w:rPr>
              <w:br/>
              <w:t>Insurance Premium (UFMIP).</w:t>
            </w:r>
          </w:p>
        </w:tc>
        <w:tc>
          <w:tcPr>
            <w:tcW w:w="2419" w:type="dxa"/>
            <w:tcBorders>
              <w:top w:val="single" w:sz="7" w:space="0" w:color="000000"/>
              <w:left w:val="single" w:sz="7" w:space="0" w:color="000000"/>
              <w:bottom w:val="single" w:sz="7" w:space="0" w:color="000000"/>
              <w:right w:val="single" w:sz="7" w:space="0" w:color="000000"/>
            </w:tcBorders>
          </w:tcPr>
          <w:p w:rsidR="002A4818" w:rsidRPr="00EE002C" w:rsidP="00EE002C" w14:paraId="5DF43E9F"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$95,000</w:t>
            </w:r>
          </w:p>
        </w:tc>
      </w:tr>
      <w:tr w14:paraId="4BAE85D5" w14:textId="77777777">
        <w:tblPrEx>
          <w:tblW w:w="0" w:type="auto"/>
          <w:tblInd w:w="19" w:type="dxa"/>
          <w:tblLayout w:type="fixed"/>
          <w:tblCellMar>
            <w:left w:w="0" w:type="dxa"/>
            <w:right w:w="0" w:type="dxa"/>
          </w:tblCellMar>
          <w:tblLook w:val="04A0"/>
        </w:tblPrEx>
        <w:trPr>
          <w:trHeight w:hRule="exact" w:val="274"/>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4164AFFB"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Closing Costs</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4EC001A1"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$2000</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370B6856"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$2000</w:t>
            </w:r>
          </w:p>
        </w:tc>
      </w:tr>
      <w:tr w14:paraId="08C2DD0A" w14:textId="77777777">
        <w:tblPrEx>
          <w:tblW w:w="0" w:type="auto"/>
          <w:tblInd w:w="19" w:type="dxa"/>
          <w:tblLayout w:type="fixed"/>
          <w:tblCellMar>
            <w:left w:w="0" w:type="dxa"/>
            <w:right w:w="0" w:type="dxa"/>
          </w:tblCellMar>
          <w:tblLook w:val="04A0"/>
        </w:tblPrEx>
        <w:trPr>
          <w:trHeight w:hRule="exact" w:val="264"/>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01510703"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Down payment Needed</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1C86AE45"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$3,500</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75D85F09"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$5000</w:t>
            </w:r>
          </w:p>
        </w:tc>
      </w:tr>
      <w:tr w14:paraId="4867C40E" w14:textId="77777777">
        <w:tblPrEx>
          <w:tblW w:w="0" w:type="auto"/>
          <w:tblInd w:w="19" w:type="dxa"/>
          <w:tblLayout w:type="fixed"/>
          <w:tblCellMar>
            <w:left w:w="0" w:type="dxa"/>
            <w:right w:w="0" w:type="dxa"/>
          </w:tblCellMar>
          <w:tblLook w:val="04A0"/>
        </w:tblPrEx>
        <w:trPr>
          <w:trHeight w:hRule="exact" w:val="273"/>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36A66EC6"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Interest Rate and Term of Loan in Years</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29F466DE"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7.00%/30 Year Loan</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201B0A53"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7.00%/30 Year Loan</w:t>
            </w:r>
          </w:p>
        </w:tc>
      </w:tr>
      <w:tr w14:paraId="0EFEC365" w14:textId="77777777">
        <w:tblPrEx>
          <w:tblW w:w="0" w:type="auto"/>
          <w:tblInd w:w="19" w:type="dxa"/>
          <w:tblLayout w:type="fixed"/>
          <w:tblCellMar>
            <w:left w:w="0" w:type="dxa"/>
            <w:right w:w="0" w:type="dxa"/>
          </w:tblCellMar>
          <w:tblLook w:val="04A0"/>
        </w:tblPrEx>
        <w:trPr>
          <w:trHeight w:hRule="exact" w:val="269"/>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4FD925E0"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Monthly Payment (principal and interest only)</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588EE594"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$653.25</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7D0A4B7C"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$632.04</w:t>
            </w:r>
          </w:p>
        </w:tc>
      </w:tr>
      <w:tr w14:paraId="4100AD68" w14:textId="77777777">
        <w:tblPrEx>
          <w:tblW w:w="0" w:type="auto"/>
          <w:tblInd w:w="19" w:type="dxa"/>
          <w:tblLayout w:type="fixed"/>
          <w:tblCellMar>
            <w:left w:w="0" w:type="dxa"/>
            <w:right w:w="0" w:type="dxa"/>
          </w:tblCellMar>
          <w:tblLook w:val="04A0"/>
        </w:tblPrEx>
        <w:trPr>
          <w:trHeight w:hRule="exact" w:val="264"/>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5E9AAA2B"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Loan-to-Value (LTV)</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6E7F2177"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96.5%</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1E33B703"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95%</w:t>
            </w:r>
          </w:p>
        </w:tc>
      </w:tr>
      <w:tr w14:paraId="1CBE7961" w14:textId="77777777">
        <w:tblPrEx>
          <w:tblW w:w="0" w:type="auto"/>
          <w:tblInd w:w="19" w:type="dxa"/>
          <w:tblLayout w:type="fixed"/>
          <w:tblCellMar>
            <w:left w:w="0" w:type="dxa"/>
            <w:right w:w="0" w:type="dxa"/>
          </w:tblCellMar>
          <w:tblLook w:val="04A0"/>
        </w:tblPrEx>
        <w:trPr>
          <w:trHeight w:hRule="exact" w:val="274"/>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520934EA"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Monthly Mortgage Insurance Premium (MIP)</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463FCF72"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$108.50</w:t>
            </w:r>
          </w:p>
        </w:tc>
        <w:tc>
          <w:tcPr>
            <w:tcW w:w="2419"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19062B79" w14:textId="3AEA68C9">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w:t>
            </w:r>
            <w:r w:rsidR="00203E6B">
              <w:rPr>
                <w:rFonts w:ascii="Arial" w:eastAsia="Arial" w:hAnsi="Arial"/>
                <w:color w:val="000000"/>
                <w:sz w:val="16"/>
                <w:szCs w:val="16"/>
              </w:rPr>
              <w:t>92.23</w:t>
            </w:r>
          </w:p>
        </w:tc>
      </w:tr>
      <w:tr w14:paraId="1B818CD3" w14:textId="77777777">
        <w:tblPrEx>
          <w:tblW w:w="0" w:type="auto"/>
          <w:tblInd w:w="19" w:type="dxa"/>
          <w:tblLayout w:type="fixed"/>
          <w:tblCellMar>
            <w:left w:w="0" w:type="dxa"/>
            <w:right w:w="0" w:type="dxa"/>
          </w:tblCellMar>
          <w:tblLook w:val="04A0"/>
        </w:tblPrEx>
        <w:trPr>
          <w:trHeight w:hRule="exact" w:val="456"/>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52434F76" w14:textId="77777777">
            <w:pPr>
              <w:numPr>
                <w:ilvl w:val="0"/>
                <w:numId w:val="1"/>
              </w:numPr>
              <w:tabs>
                <w:tab w:val="clear" w:pos="288"/>
                <w:tab w:val="left" w:pos="360"/>
              </w:tabs>
              <w:spacing w:before="20" w:after="20"/>
              <w:ind w:left="332" w:right="684" w:hanging="270"/>
              <w:textAlignment w:val="baseline"/>
              <w:rPr>
                <w:rFonts w:ascii="Arial" w:eastAsia="Arial" w:hAnsi="Arial"/>
                <w:color w:val="000000"/>
                <w:sz w:val="16"/>
                <w:szCs w:val="16"/>
              </w:rPr>
            </w:pPr>
            <w:r w:rsidRPr="00EE002C">
              <w:rPr>
                <w:rFonts w:ascii="Arial" w:eastAsia="Arial" w:hAnsi="Arial"/>
                <w:color w:val="000000"/>
                <w:sz w:val="16"/>
                <w:szCs w:val="16"/>
              </w:rPr>
              <w:t>Maximum Number of Years of Monthly MIP Payments</w:t>
            </w:r>
          </w:p>
        </w:tc>
        <w:tc>
          <w:tcPr>
            <w:tcW w:w="4008" w:type="dxa"/>
            <w:tcBorders>
              <w:top w:val="single" w:sz="7" w:space="0" w:color="000000"/>
              <w:left w:val="single" w:sz="7" w:space="0" w:color="000000"/>
              <w:bottom w:val="single" w:sz="7" w:space="0" w:color="000000"/>
              <w:right w:val="single" w:sz="7" w:space="0" w:color="000000"/>
            </w:tcBorders>
          </w:tcPr>
          <w:p w:rsidR="002A4818" w:rsidRPr="00EE002C" w:rsidP="00EE002C" w14:paraId="7B4C37CF" w14:textId="77777777">
            <w:pPr>
              <w:spacing w:before="20" w:after="20"/>
              <w:ind w:left="86"/>
              <w:textAlignment w:val="baseline"/>
              <w:rPr>
                <w:rFonts w:ascii="Arial" w:eastAsia="Arial" w:hAnsi="Arial"/>
                <w:color w:val="000000"/>
                <w:sz w:val="16"/>
                <w:szCs w:val="16"/>
              </w:rPr>
            </w:pPr>
            <w:r w:rsidRPr="00EE002C">
              <w:rPr>
                <w:rFonts w:ascii="Arial" w:eastAsia="Arial" w:hAnsi="Arial"/>
                <w:color w:val="000000"/>
                <w:sz w:val="16"/>
                <w:szCs w:val="16"/>
              </w:rPr>
              <w:t>30 years</w:t>
            </w:r>
          </w:p>
        </w:tc>
        <w:tc>
          <w:tcPr>
            <w:tcW w:w="2419" w:type="dxa"/>
            <w:tcBorders>
              <w:top w:val="single" w:sz="7" w:space="0" w:color="000000"/>
              <w:left w:val="single" w:sz="7" w:space="0" w:color="000000"/>
              <w:bottom w:val="single" w:sz="7" w:space="0" w:color="000000"/>
              <w:right w:val="single" w:sz="7" w:space="0" w:color="000000"/>
            </w:tcBorders>
          </w:tcPr>
          <w:p w:rsidR="002A4818" w:rsidRPr="00EE002C" w:rsidP="00EE002C" w14:paraId="3605E727" w14:textId="77777777">
            <w:pPr>
              <w:spacing w:before="20" w:after="20"/>
              <w:ind w:left="91"/>
              <w:textAlignment w:val="baseline"/>
              <w:rPr>
                <w:rFonts w:ascii="Arial" w:eastAsia="Arial" w:hAnsi="Arial"/>
                <w:color w:val="000000"/>
                <w:sz w:val="16"/>
                <w:szCs w:val="16"/>
              </w:rPr>
            </w:pPr>
            <w:r w:rsidRPr="00EE002C">
              <w:rPr>
                <w:rFonts w:ascii="Arial" w:eastAsia="Arial" w:hAnsi="Arial"/>
                <w:color w:val="000000"/>
                <w:sz w:val="16"/>
                <w:szCs w:val="16"/>
              </w:rPr>
              <w:t>Approximately 11 Years</w:t>
            </w:r>
          </w:p>
        </w:tc>
      </w:tr>
      <w:tr w14:paraId="74DB93A0" w14:textId="77777777">
        <w:tblPrEx>
          <w:tblW w:w="0" w:type="auto"/>
          <w:tblInd w:w="19" w:type="dxa"/>
          <w:tblLayout w:type="fixed"/>
          <w:tblCellMar>
            <w:left w:w="0" w:type="dxa"/>
            <w:right w:w="0" w:type="dxa"/>
          </w:tblCellMar>
          <w:tblLook w:val="04A0"/>
        </w:tblPrEx>
        <w:trPr>
          <w:trHeight w:hRule="exact" w:val="336"/>
        </w:trPr>
        <w:tc>
          <w:tcPr>
            <w:tcW w:w="401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54044355" w14:textId="77777777">
            <w:pPr>
              <w:numPr>
                <w:ilvl w:val="0"/>
                <w:numId w:val="1"/>
              </w:numPr>
              <w:tabs>
                <w:tab w:val="clear" w:pos="288"/>
              </w:tabs>
              <w:spacing w:before="20" w:after="20"/>
              <w:ind w:left="332" w:hanging="270"/>
              <w:textAlignment w:val="baseline"/>
              <w:rPr>
                <w:rFonts w:ascii="Arial" w:eastAsia="Arial" w:hAnsi="Arial"/>
                <w:color w:val="000000"/>
                <w:sz w:val="16"/>
                <w:szCs w:val="16"/>
              </w:rPr>
            </w:pPr>
            <w:r w:rsidRPr="00EE002C">
              <w:rPr>
                <w:rFonts w:ascii="Arial" w:eastAsia="Arial" w:hAnsi="Arial"/>
                <w:color w:val="000000"/>
                <w:sz w:val="16"/>
                <w:szCs w:val="16"/>
              </w:rPr>
              <w:t>UFMIP</w:t>
            </w:r>
          </w:p>
        </w:tc>
        <w:tc>
          <w:tcPr>
            <w:tcW w:w="4008" w:type="dxa"/>
            <w:tcBorders>
              <w:top w:val="single" w:sz="7" w:space="0" w:color="000000"/>
              <w:left w:val="single" w:sz="7" w:space="0" w:color="000000"/>
              <w:bottom w:val="single" w:sz="7" w:space="0" w:color="000000"/>
              <w:right w:val="single" w:sz="7" w:space="0" w:color="000000"/>
            </w:tcBorders>
            <w:vAlign w:val="center"/>
          </w:tcPr>
          <w:p w:rsidR="002A4818" w:rsidRPr="00EE002C" w:rsidP="00EE002C" w14:paraId="4297F510" w14:textId="77777777">
            <w:pPr>
              <w:spacing w:before="20" w:after="20"/>
              <w:ind w:left="86"/>
              <w:textAlignment w:val="baseline"/>
              <w:rPr>
                <w:rFonts w:ascii="Arial" w:eastAsia="Arial" w:hAnsi="Arial"/>
                <w:color w:val="000000"/>
                <w:spacing w:val="-6"/>
                <w:sz w:val="16"/>
                <w:szCs w:val="16"/>
              </w:rPr>
            </w:pPr>
            <w:r w:rsidRPr="00EE002C">
              <w:rPr>
                <w:rFonts w:ascii="Arial" w:eastAsia="Arial" w:hAnsi="Arial"/>
                <w:color w:val="000000"/>
                <w:spacing w:val="-6"/>
                <w:sz w:val="16"/>
                <w:szCs w:val="16"/>
              </w:rPr>
              <w:t>$1688.00 (typically included in mortgage amount, line 2)</w:t>
            </w:r>
          </w:p>
        </w:tc>
        <w:tc>
          <w:tcPr>
            <w:tcW w:w="2419" w:type="dxa"/>
            <w:tcBorders>
              <w:top w:val="single" w:sz="7" w:space="0" w:color="000000"/>
              <w:left w:val="single" w:sz="7" w:space="0" w:color="000000"/>
              <w:bottom w:val="single" w:sz="7" w:space="0" w:color="000000"/>
              <w:right w:val="single" w:sz="7" w:space="0" w:color="000000"/>
            </w:tcBorders>
          </w:tcPr>
          <w:p w:rsidR="002A4818" w:rsidRPr="00EE002C" w:rsidP="00EE002C" w14:paraId="5AA130D7" w14:textId="77777777">
            <w:pPr>
              <w:spacing w:before="20" w:after="20"/>
              <w:textAlignment w:val="baseline"/>
              <w:rPr>
                <w:rFonts w:ascii="Arial" w:eastAsia="Arial" w:hAnsi="Arial"/>
                <w:color w:val="000000"/>
                <w:sz w:val="16"/>
                <w:szCs w:val="16"/>
              </w:rPr>
            </w:pPr>
            <w:r w:rsidRPr="00EE002C">
              <w:rPr>
                <w:rFonts w:ascii="Arial" w:eastAsia="Arial" w:hAnsi="Arial"/>
                <w:color w:val="000000"/>
                <w:sz w:val="16"/>
                <w:szCs w:val="16"/>
              </w:rPr>
              <w:t xml:space="preserve"> </w:t>
            </w:r>
          </w:p>
        </w:tc>
      </w:tr>
    </w:tbl>
    <w:p w:rsidR="002A4818" w14:paraId="26BB5411" w14:textId="77777777">
      <w:pPr>
        <w:spacing w:after="34" w:line="20" w:lineRule="exact"/>
      </w:pPr>
    </w:p>
    <w:p w:rsidR="002A4818" w14:paraId="7B94DC3A" w14:textId="77777777">
      <w:pPr>
        <w:numPr>
          <w:ilvl w:val="0"/>
          <w:numId w:val="2"/>
        </w:numPr>
        <w:spacing w:before="3" w:line="225" w:lineRule="exact"/>
        <w:ind w:right="1080"/>
        <w:jc w:val="both"/>
        <w:textAlignment w:val="baseline"/>
        <w:rPr>
          <w:rFonts w:ascii="Arial" w:eastAsia="Arial" w:hAnsi="Arial"/>
          <w:color w:val="000000"/>
          <w:sz w:val="19"/>
        </w:rPr>
      </w:pPr>
      <w:r>
        <w:rPr>
          <w:rFonts w:ascii="Arial" w:eastAsia="Arial" w:hAnsi="Arial"/>
          <w:color w:val="000000"/>
          <w:sz w:val="19"/>
        </w:rPr>
        <w:t>The monthly MIP is calculated on the average annual principal balance, i.e., as the amount you owe on the loan decreases each year, so does the amount of the monthly premium.</w:t>
      </w:r>
    </w:p>
    <w:p w:rsidR="002A4818" w14:paraId="18D184EC" w14:textId="77777777">
      <w:pPr>
        <w:numPr>
          <w:ilvl w:val="0"/>
          <w:numId w:val="2"/>
        </w:numPr>
        <w:spacing w:line="226" w:lineRule="exact"/>
        <w:ind w:right="36"/>
        <w:jc w:val="both"/>
        <w:textAlignment w:val="baseline"/>
        <w:rPr>
          <w:rFonts w:ascii="Arial" w:eastAsia="Arial" w:hAnsi="Arial"/>
          <w:color w:val="000000"/>
          <w:sz w:val="19"/>
        </w:rPr>
      </w:pPr>
      <w:r>
        <w:rPr>
          <w:rFonts w:ascii="Arial" w:eastAsia="Arial" w:hAnsi="Arial"/>
          <w:color w:val="000000"/>
          <w:sz w:val="19"/>
        </w:rPr>
        <w:t>Based on an UFMIP rate of 1.75%, the total mortgage amount is $98,188.</w:t>
      </w:r>
    </w:p>
    <w:p w:rsidR="002A4818" w14:paraId="38E52248" w14:textId="5E10E58F">
      <w:pPr>
        <w:numPr>
          <w:ilvl w:val="0"/>
          <w:numId w:val="2"/>
        </w:numPr>
        <w:spacing w:before="6" w:line="220" w:lineRule="exact"/>
        <w:ind w:right="504"/>
        <w:jc w:val="both"/>
        <w:textAlignment w:val="baseline"/>
        <w:rPr>
          <w:rFonts w:ascii="Arial" w:eastAsia="Arial" w:hAnsi="Arial"/>
          <w:color w:val="000000"/>
          <w:sz w:val="19"/>
        </w:rPr>
      </w:pPr>
      <w:r>
        <w:rPr>
          <w:rFonts w:ascii="Arial" w:eastAsia="Arial" w:hAnsi="Arial"/>
          <w:color w:val="000000"/>
          <w:sz w:val="19"/>
        </w:rPr>
        <w:t xml:space="preserve">Streamline refinances of FHA loans endorsed/insured by FHA prior to June 1, </w:t>
      </w:r>
      <w:r w:rsidR="00494118">
        <w:rPr>
          <w:rFonts w:ascii="Arial" w:eastAsia="Arial" w:hAnsi="Arial"/>
          <w:color w:val="000000"/>
          <w:sz w:val="19"/>
        </w:rPr>
        <w:t>2009,</w:t>
      </w:r>
      <w:r>
        <w:rPr>
          <w:rFonts w:ascii="Arial" w:eastAsia="Arial" w:hAnsi="Arial"/>
          <w:color w:val="000000"/>
          <w:sz w:val="19"/>
        </w:rPr>
        <w:t xml:space="preserve"> are subject to a reduced UFMIP of .01% and a reduced annual MIP of .55% ($44.22 monthly for a loan amount of $96,500).</w:t>
      </w:r>
    </w:p>
    <w:p w:rsidR="00494118" w14:paraId="3C8EEE47" w14:textId="77777777">
      <w:pPr>
        <w:spacing w:before="170" w:line="212" w:lineRule="exact"/>
        <w:ind w:right="36"/>
        <w:textAlignment w:val="baseline"/>
        <w:rPr>
          <w:rFonts w:ascii="Arial" w:eastAsia="Arial" w:hAnsi="Arial"/>
          <w:color w:val="000000"/>
          <w:sz w:val="19"/>
          <w:u w:val="single"/>
        </w:rPr>
      </w:pPr>
    </w:p>
    <w:p w:rsidR="002A4818" w14:paraId="4961081C" w14:textId="4943793D">
      <w:pPr>
        <w:spacing w:before="170" w:line="212" w:lineRule="exact"/>
        <w:ind w:right="36"/>
        <w:textAlignment w:val="baseline"/>
        <w:rPr>
          <w:rFonts w:ascii="Arial" w:eastAsia="Arial" w:hAnsi="Arial"/>
          <w:color w:val="000000"/>
          <w:sz w:val="19"/>
          <w:u w:val="single"/>
        </w:rPr>
      </w:pPr>
      <w:r>
        <w:rPr>
          <w:rFonts w:ascii="Arial" w:eastAsia="Arial" w:hAnsi="Arial"/>
          <w:color w:val="000000"/>
          <w:sz w:val="19"/>
          <w:u w:val="single"/>
        </w:rPr>
        <w:t xml:space="preserve">FHA Mortgage Insurance Premium Information </w:t>
      </w:r>
    </w:p>
    <w:p w:rsidR="002A4818" w:rsidP="002136CD" w14:paraId="2A80FFDA" w14:textId="77777777">
      <w:pPr>
        <w:spacing w:after="120"/>
        <w:ind w:right="43"/>
        <w:textAlignment w:val="baseline"/>
        <w:rPr>
          <w:rFonts w:ascii="Arial" w:eastAsia="Arial" w:hAnsi="Arial"/>
          <w:color w:val="000000"/>
          <w:spacing w:val="1"/>
          <w:sz w:val="19"/>
        </w:rPr>
      </w:pPr>
      <w:r>
        <w:rPr>
          <w:rFonts w:ascii="Arial" w:eastAsia="Arial" w:hAnsi="Arial"/>
          <w:color w:val="000000"/>
          <w:spacing w:val="1"/>
          <w:sz w:val="19"/>
        </w:rPr>
        <w:t>In addition to an UFMIP, you may also be charged a monthly MIP. You will pay the monthly premium for either:</w:t>
      </w:r>
    </w:p>
    <w:p w:rsidR="002A4818" w:rsidP="002136CD" w14:paraId="31E41454" w14:textId="77777777">
      <w:pPr>
        <w:numPr>
          <w:ilvl w:val="0"/>
          <w:numId w:val="3"/>
        </w:numPr>
        <w:spacing w:before="120"/>
        <w:ind w:left="360" w:right="864" w:hanging="360"/>
        <w:contextualSpacing/>
        <w:textAlignment w:val="baseline"/>
        <w:rPr>
          <w:rFonts w:ascii="Arial" w:eastAsia="Arial" w:hAnsi="Arial"/>
          <w:color w:val="000000"/>
          <w:sz w:val="19"/>
        </w:rPr>
      </w:pPr>
      <w:r>
        <w:rPr>
          <w:rFonts w:ascii="Arial" w:eastAsia="Arial" w:hAnsi="Arial"/>
          <w:color w:val="000000"/>
          <w:sz w:val="19"/>
        </w:rPr>
        <w:t>the first 30 years of the mortgage term, or the end of the mortgage term, whichever occurs first, for any mortgage involving an original principal obligation (excluding financed UFMIP) with an LTV greater than 90 percent; or</w:t>
      </w:r>
    </w:p>
    <w:p w:rsidR="002A4818" w:rsidP="002136CD" w14:paraId="15ECB4F5" w14:textId="24C938FF">
      <w:pPr>
        <w:numPr>
          <w:ilvl w:val="0"/>
          <w:numId w:val="3"/>
        </w:numPr>
        <w:spacing w:before="120"/>
        <w:ind w:left="360" w:right="504" w:hanging="360"/>
        <w:contextualSpacing/>
        <w:jc w:val="both"/>
        <w:textAlignment w:val="baseline"/>
        <w:rPr>
          <w:rFonts w:ascii="Arial" w:eastAsia="Arial" w:hAnsi="Arial"/>
          <w:color w:val="000000"/>
          <w:sz w:val="19"/>
        </w:rPr>
      </w:pPr>
      <w:r>
        <w:rPr>
          <w:rFonts w:ascii="Arial" w:eastAsia="Arial" w:hAnsi="Arial"/>
          <w:color w:val="000000"/>
          <w:sz w:val="19"/>
        </w:rPr>
        <w:t>the first 11 years of the mortgage term, or the end of the mortgage term, whichever occurs first, if your mortgage had an original principal obligation (excluding financed UFMIP) with an LTV ratio of less than or equal to 90 percent.</w:t>
      </w:r>
    </w:p>
    <w:p w:rsidR="002136CD" w:rsidP="00EE002C" w14:paraId="569C603C" w14:textId="77777777">
      <w:pPr>
        <w:tabs>
          <w:tab w:val="left" w:pos="360"/>
        </w:tabs>
        <w:spacing w:after="120"/>
        <w:ind w:right="504"/>
        <w:jc w:val="both"/>
        <w:textAlignment w:val="baseline"/>
        <w:rPr>
          <w:rFonts w:ascii="Arial" w:eastAsia="Arial" w:hAnsi="Arial"/>
          <w:color w:val="000000"/>
          <w:sz w:val="19"/>
        </w:rPr>
      </w:pPr>
    </w:p>
    <w:p w:rsidR="002136CD" w:rsidRPr="002136CD" w:rsidP="00EE002C" w14:paraId="4407C215" w14:textId="222DF96E">
      <w:pPr>
        <w:pStyle w:val="xmsonormal"/>
        <w:spacing w:after="120"/>
        <w:rPr>
          <w:rFonts w:ascii="Arial" w:eastAsia="Arial" w:hAnsi="Arial" w:cs="Arial"/>
          <w:color w:val="000000"/>
          <w:sz w:val="16"/>
          <w:szCs w:val="16"/>
        </w:rPr>
      </w:pPr>
    </w:p>
    <w:sectPr w:rsidSect="002136CD">
      <w:footerReference w:type="default" r:id="rId8"/>
      <w:pgSz w:w="11904" w:h="16843"/>
      <w:pgMar w:top="1008" w:right="720" w:bottom="100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0CB5" w:rsidRPr="000F2782" w:rsidP="000F2782" w14:paraId="4B35F243" w14:textId="57A7C215">
    <w:pPr>
      <w:pStyle w:val="Footer"/>
      <w:tabs>
        <w:tab w:val="clear" w:pos="4680"/>
        <w:tab w:val="clear" w:pos="9360"/>
      </w:tabs>
      <w:rPr>
        <w:sz w:val="18"/>
        <w:szCs w:val="18"/>
      </w:rPr>
    </w:pPr>
    <w:r>
      <w:tab/>
    </w:r>
    <w:r>
      <w:tab/>
      <w:t xml:space="preserve"> </w:t>
    </w:r>
    <w:r>
      <w:tab/>
    </w:r>
    <w:r>
      <w:tab/>
    </w:r>
    <w:r>
      <w:tab/>
    </w:r>
    <w:r>
      <w:tab/>
    </w:r>
    <w:r>
      <w:tab/>
    </w:r>
    <w:r>
      <w:tab/>
    </w:r>
    <w:r>
      <w:tab/>
    </w:r>
    <w:r>
      <w:tab/>
    </w:r>
    <w:r>
      <w:tab/>
    </w:r>
    <w:r>
      <w:tab/>
    </w:r>
    <w:r>
      <w:tab/>
      <w:t xml:space="preserve"> </w:t>
    </w:r>
    <w:r w:rsidRPr="000F2782">
      <w:rPr>
        <w:sz w:val="18"/>
        <w:szCs w:val="18"/>
      </w:rPr>
      <w:t xml:space="preserve">(rev. </w:t>
    </w:r>
    <w:r w:rsidR="00800187">
      <w:rPr>
        <w:sz w:val="18"/>
        <w:szCs w:val="18"/>
      </w:rPr>
      <w:t>9</w:t>
    </w:r>
    <w:r w:rsidRPr="000F2782">
      <w:rPr>
        <w:sz w:val="18"/>
        <w:szCs w:val="18"/>
      </w:rPr>
      <w:t>/2025)</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F6421D"/>
    <w:multiLevelType w:val="multilevel"/>
    <w:tmpl w:val="2A60FC52"/>
    <w:lvl w:ilvl="0">
      <w:start w:val="1"/>
      <w:numFmt w:val="decimal"/>
      <w:lvlText w:val="%1."/>
      <w:lvlJc w:val="left"/>
      <w:pPr>
        <w:tabs>
          <w:tab w:val="left" w:pos="216"/>
        </w:tabs>
      </w:pPr>
      <w:rPr>
        <w:rFonts w:ascii="Arial" w:eastAsia="Arial" w:hAnsi="Arial"/>
        <w:color w:val="000000"/>
        <w:spacing w:val="0"/>
        <w:w w:val="100"/>
        <w:sz w:val="19"/>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5726146A"/>
    <w:multiLevelType w:val="multilevel"/>
    <w:tmpl w:val="B578435E"/>
    <w:lvl w:ilvl="0">
      <w:start w:val="1"/>
      <w:numFmt w:val="decimal"/>
      <w:lvlText w:val="%1."/>
      <w:lvlJc w:val="left"/>
      <w:pPr>
        <w:tabs>
          <w:tab w:val="left" w:pos="288"/>
        </w:tabs>
      </w:pPr>
      <w:rPr>
        <w:rFonts w:ascii="Arial" w:eastAsia="Arial" w:hAnsi="Arial"/>
        <w:color w:val="000000"/>
        <w:spacing w:val="0"/>
        <w:w w:val="100"/>
        <w:sz w:val="16"/>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720C13FD"/>
    <w:multiLevelType w:val="multilevel"/>
    <w:tmpl w:val="02B052DE"/>
    <w:lvl w:ilvl="0">
      <w:start w:val="0"/>
      <w:numFmt w:val="bullet"/>
      <w:lvlText w:val="·"/>
      <w:lvlJc w:val="left"/>
      <w:pPr>
        <w:tabs>
          <w:tab w:val="left" w:pos="360"/>
        </w:tabs>
      </w:pPr>
      <w:rPr>
        <w:rFonts w:ascii="Symbol" w:eastAsia="Symbol" w:hAnsi="Symbol"/>
        <w:color w:val="000000"/>
        <w:spacing w:val="0"/>
        <w:w w:val="100"/>
        <w:sz w:val="19"/>
        <w:vertAlign w:val="baseline"/>
        <w:lang w:val="en-US"/>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58669899">
    <w:abstractNumId w:val="1"/>
  </w:num>
  <w:num w:numId="2" w16cid:durableId="1613631236">
    <w:abstractNumId w:val="0"/>
  </w:num>
  <w:num w:numId="3" w16cid:durableId="1753046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818"/>
    <w:rsid w:val="00096AA8"/>
    <w:rsid w:val="000D1A4E"/>
    <w:rsid w:val="000F2782"/>
    <w:rsid w:val="00106560"/>
    <w:rsid w:val="00165596"/>
    <w:rsid w:val="00174679"/>
    <w:rsid w:val="001B2B4F"/>
    <w:rsid w:val="001D31E4"/>
    <w:rsid w:val="002000A0"/>
    <w:rsid w:val="00203E6B"/>
    <w:rsid w:val="002136CD"/>
    <w:rsid w:val="002A31E1"/>
    <w:rsid w:val="002A4818"/>
    <w:rsid w:val="002C1BF5"/>
    <w:rsid w:val="002E3B90"/>
    <w:rsid w:val="003028CB"/>
    <w:rsid w:val="00342D0E"/>
    <w:rsid w:val="0038608A"/>
    <w:rsid w:val="00424CF6"/>
    <w:rsid w:val="00494118"/>
    <w:rsid w:val="004B271D"/>
    <w:rsid w:val="004E40E5"/>
    <w:rsid w:val="0053482E"/>
    <w:rsid w:val="00545FD6"/>
    <w:rsid w:val="00594670"/>
    <w:rsid w:val="005D5B4F"/>
    <w:rsid w:val="005E3D29"/>
    <w:rsid w:val="00600903"/>
    <w:rsid w:val="00623FF2"/>
    <w:rsid w:val="0066719A"/>
    <w:rsid w:val="00682899"/>
    <w:rsid w:val="00716767"/>
    <w:rsid w:val="00775199"/>
    <w:rsid w:val="007760A1"/>
    <w:rsid w:val="007B078A"/>
    <w:rsid w:val="00800187"/>
    <w:rsid w:val="00897A44"/>
    <w:rsid w:val="008A6A08"/>
    <w:rsid w:val="0091148F"/>
    <w:rsid w:val="009466BE"/>
    <w:rsid w:val="00950B23"/>
    <w:rsid w:val="009B63D5"/>
    <w:rsid w:val="00A028B3"/>
    <w:rsid w:val="00AF3125"/>
    <w:rsid w:val="00B67565"/>
    <w:rsid w:val="00BA181A"/>
    <w:rsid w:val="00BB6239"/>
    <w:rsid w:val="00BC653C"/>
    <w:rsid w:val="00BE2182"/>
    <w:rsid w:val="00BE6D41"/>
    <w:rsid w:val="00C10CB5"/>
    <w:rsid w:val="00C55226"/>
    <w:rsid w:val="00C734B3"/>
    <w:rsid w:val="00CA09A4"/>
    <w:rsid w:val="00CB7DDE"/>
    <w:rsid w:val="00D0586B"/>
    <w:rsid w:val="00D0637D"/>
    <w:rsid w:val="00D23E2E"/>
    <w:rsid w:val="00D70D4A"/>
    <w:rsid w:val="00E003F5"/>
    <w:rsid w:val="00E217A1"/>
    <w:rsid w:val="00E412A4"/>
    <w:rsid w:val="00E44306"/>
    <w:rsid w:val="00E44749"/>
    <w:rsid w:val="00E67AE3"/>
    <w:rsid w:val="00E70CE3"/>
    <w:rsid w:val="00EC6840"/>
    <w:rsid w:val="00EE002C"/>
    <w:rsid w:val="00F250D1"/>
    <w:rsid w:val="00F477C7"/>
    <w:rsid w:val="00F8090C"/>
    <w:rsid w:val="00F9000D"/>
    <w:rsid w:val="00FD64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EA354B"/>
  <w15:docId w15:val="{43160794-9C13-461D-B5C0-9BB95816B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36CD"/>
    <w:rPr>
      <w:color w:val="0563C1"/>
      <w:u w:val="single"/>
    </w:rPr>
  </w:style>
  <w:style w:type="paragraph" w:customStyle="1" w:styleId="xmsonormal">
    <w:name w:val="x_msonormal"/>
    <w:basedOn w:val="Normal"/>
    <w:rsid w:val="002136CD"/>
    <w:rPr>
      <w:rFonts w:ascii="Calibri" w:hAnsi="Calibri" w:eastAsiaTheme="minorHAnsi" w:cs="Calibri"/>
    </w:rPr>
  </w:style>
  <w:style w:type="paragraph" w:styleId="Revision">
    <w:name w:val="Revision"/>
    <w:hidden/>
    <w:uiPriority w:val="99"/>
    <w:semiHidden/>
    <w:rsid w:val="00E412A4"/>
  </w:style>
  <w:style w:type="character" w:styleId="CommentReference">
    <w:name w:val="annotation reference"/>
    <w:basedOn w:val="DefaultParagraphFont"/>
    <w:uiPriority w:val="99"/>
    <w:semiHidden/>
    <w:unhideWhenUsed/>
    <w:rsid w:val="00E67AE3"/>
    <w:rPr>
      <w:sz w:val="16"/>
      <w:szCs w:val="16"/>
    </w:rPr>
  </w:style>
  <w:style w:type="paragraph" w:styleId="CommentText">
    <w:name w:val="annotation text"/>
    <w:basedOn w:val="Normal"/>
    <w:link w:val="CommentTextChar"/>
    <w:uiPriority w:val="99"/>
    <w:unhideWhenUsed/>
    <w:rsid w:val="00E67AE3"/>
    <w:rPr>
      <w:sz w:val="20"/>
      <w:szCs w:val="20"/>
    </w:rPr>
  </w:style>
  <w:style w:type="character" w:customStyle="1" w:styleId="CommentTextChar">
    <w:name w:val="Comment Text Char"/>
    <w:basedOn w:val="DefaultParagraphFont"/>
    <w:link w:val="CommentText"/>
    <w:uiPriority w:val="99"/>
    <w:rsid w:val="00E67AE3"/>
    <w:rPr>
      <w:sz w:val="20"/>
      <w:szCs w:val="20"/>
    </w:rPr>
  </w:style>
  <w:style w:type="paragraph" w:styleId="CommentSubject">
    <w:name w:val="annotation subject"/>
    <w:basedOn w:val="CommentText"/>
    <w:next w:val="CommentText"/>
    <w:link w:val="CommentSubjectChar"/>
    <w:uiPriority w:val="99"/>
    <w:semiHidden/>
    <w:unhideWhenUsed/>
    <w:rsid w:val="00E67AE3"/>
    <w:rPr>
      <w:b/>
      <w:bCs/>
    </w:rPr>
  </w:style>
  <w:style w:type="character" w:customStyle="1" w:styleId="CommentSubjectChar">
    <w:name w:val="Comment Subject Char"/>
    <w:basedOn w:val="CommentTextChar"/>
    <w:link w:val="CommentSubject"/>
    <w:uiPriority w:val="99"/>
    <w:semiHidden/>
    <w:rsid w:val="00E67AE3"/>
    <w:rPr>
      <w:b/>
      <w:bCs/>
      <w:sz w:val="20"/>
      <w:szCs w:val="20"/>
    </w:rPr>
  </w:style>
  <w:style w:type="paragraph" w:styleId="Header">
    <w:name w:val="header"/>
    <w:basedOn w:val="Normal"/>
    <w:link w:val="HeaderChar"/>
    <w:uiPriority w:val="99"/>
    <w:unhideWhenUsed/>
    <w:rsid w:val="00C10CB5"/>
    <w:pPr>
      <w:tabs>
        <w:tab w:val="center" w:pos="4680"/>
        <w:tab w:val="right" w:pos="9360"/>
      </w:tabs>
    </w:pPr>
  </w:style>
  <w:style w:type="character" w:customStyle="1" w:styleId="HeaderChar">
    <w:name w:val="Header Char"/>
    <w:basedOn w:val="DefaultParagraphFont"/>
    <w:link w:val="Header"/>
    <w:uiPriority w:val="99"/>
    <w:rsid w:val="00C10CB5"/>
  </w:style>
  <w:style w:type="paragraph" w:styleId="Footer">
    <w:name w:val="footer"/>
    <w:basedOn w:val="Normal"/>
    <w:link w:val="FooterChar"/>
    <w:uiPriority w:val="99"/>
    <w:unhideWhenUsed/>
    <w:rsid w:val="00C10CB5"/>
    <w:pPr>
      <w:tabs>
        <w:tab w:val="center" w:pos="4680"/>
        <w:tab w:val="right" w:pos="9360"/>
      </w:tabs>
    </w:pPr>
  </w:style>
  <w:style w:type="character" w:customStyle="1" w:styleId="FooterChar">
    <w:name w:val="Footer Char"/>
    <w:basedOn w:val="DefaultParagraphFont"/>
    <w:link w:val="Footer"/>
    <w:uiPriority w:val="99"/>
    <w:rsid w:val="00C10CB5"/>
  </w:style>
  <w:style w:type="character" w:styleId="FollowedHyperlink">
    <w:name w:val="FollowedHyperlink"/>
    <w:basedOn w:val="DefaultParagraphFont"/>
    <w:uiPriority w:val="99"/>
    <w:semiHidden/>
    <w:unhideWhenUsed/>
    <w:rsid w:val="00A02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1e8f3a6c08ea0abdde0b9f929a282977">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1f608721d78a0bc601399fc14f9229c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A5RFXVVFWWMT-1214680780-2490</_dlc_DocId>
    <_dlc_DocIdUrl xmlns="d4a638c4-874f-49c0-bb2b-5cb8563c2b18">
      <Url>https://hudgov.sharepoint.com/sites/HSNG/DASSFH/OSFPD/_layouts/15/DocIdRedir.aspx?ID=A5RFXVVFWWMT-1214680780-2490</Url>
      <Description>A5RFXVVFWWMT-1214680780-2490</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Props1.xml><?xml version="1.0" encoding="utf-8"?>
<ds:datastoreItem xmlns:ds="http://schemas.openxmlformats.org/officeDocument/2006/customXml" ds:itemID="{0B30307D-AFCF-4670-BFF4-06A767087E26}">
  <ds:schemaRefs>
    <ds:schemaRef ds:uri="http://schemas.microsoft.com/sharepoint/v3/contenttype/forms"/>
  </ds:schemaRefs>
</ds:datastoreItem>
</file>

<file path=customXml/itemProps2.xml><?xml version="1.0" encoding="utf-8"?>
<ds:datastoreItem xmlns:ds="http://schemas.openxmlformats.org/officeDocument/2006/customXml" ds:itemID="{7D365ACB-360C-4664-8C42-3F9568C346BE}">
  <ds:schemaRefs>
    <ds:schemaRef ds:uri="http://schemas.microsoft.com/sharepoint/events"/>
  </ds:schemaRefs>
</ds:datastoreItem>
</file>

<file path=customXml/itemProps3.xml><?xml version="1.0" encoding="utf-8"?>
<ds:datastoreItem xmlns:ds="http://schemas.openxmlformats.org/officeDocument/2006/customXml" ds:itemID="{94BAF751-589C-4741-97DE-C83EEA1F0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AD9B31-77DE-4A61-898A-A23CCD3944FD}">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2</cp:revision>
  <dcterms:created xsi:type="dcterms:W3CDTF">2026-05-28T19:38:00Z</dcterms:created>
  <dcterms:modified xsi:type="dcterms:W3CDTF">2026-05-28T19:38:00Z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a072f379-010b-46f4-abac-be85c8805779</vt:lpwstr>
  </property>
</Properties>
</file>