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8145B" w:rsidRPr="00590C76" w:rsidP="005E3C6B" w14:paraId="68311DB4" w14:textId="77777777">
      <w:pPr>
        <w:jc w:val="center"/>
        <w:rPr>
          <w:b/>
          <w:sz w:val="22"/>
          <w:szCs w:val="22"/>
        </w:rPr>
      </w:pPr>
      <w:bookmarkStart w:id="0" w:name="_Hlk109667309"/>
      <w:r w:rsidRPr="00590C76">
        <w:rPr>
          <w:b/>
          <w:sz w:val="22"/>
          <w:szCs w:val="22"/>
        </w:rPr>
        <w:t>Supporting Statement for Paperwork Reduction Act Submissions</w:t>
      </w:r>
    </w:p>
    <w:p w:rsidR="0061605E" w:rsidRPr="00590C76" w:rsidP="005E3C6B" w14:paraId="3F4D80DF" w14:textId="095564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sz w:val="22"/>
          <w:szCs w:val="22"/>
        </w:rPr>
      </w:pPr>
      <w:r>
        <w:rPr>
          <w:b/>
          <w:sz w:val="22"/>
          <w:szCs w:val="22"/>
        </w:rPr>
        <w:t>Race and Ethnic Data Reporting</w:t>
      </w:r>
      <w:r w:rsidR="00624BC5">
        <w:rPr>
          <w:b/>
          <w:sz w:val="22"/>
          <w:szCs w:val="22"/>
        </w:rPr>
        <w:t xml:space="preserve"> </w:t>
      </w:r>
      <w:r w:rsidRPr="00590C76" w:rsidR="006B6107">
        <w:rPr>
          <w:b/>
          <w:sz w:val="22"/>
          <w:szCs w:val="22"/>
        </w:rPr>
        <w:t>Form</w:t>
      </w:r>
      <w:r w:rsidR="00F64121">
        <w:rPr>
          <w:b/>
          <w:sz w:val="22"/>
          <w:szCs w:val="22"/>
        </w:rPr>
        <w:t>,</w:t>
      </w:r>
      <w:r w:rsidRPr="00590C76" w:rsidR="00D53175">
        <w:rPr>
          <w:b/>
          <w:sz w:val="22"/>
          <w:szCs w:val="22"/>
        </w:rPr>
        <w:t xml:space="preserve"> HUD 27061</w:t>
      </w:r>
      <w:r w:rsidRPr="00590C76" w:rsidR="006B6107">
        <w:rPr>
          <w:b/>
          <w:sz w:val="22"/>
          <w:szCs w:val="22"/>
        </w:rPr>
        <w:t xml:space="preserve"> </w:t>
      </w:r>
    </w:p>
    <w:p w:rsidR="002F66C5" w:rsidRPr="00590C76" w:rsidP="005E3C6B" w14:paraId="1B55B5DE"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sz w:val="22"/>
          <w:szCs w:val="22"/>
        </w:rPr>
      </w:pPr>
      <w:r w:rsidRPr="00590C76">
        <w:rPr>
          <w:b/>
          <w:sz w:val="22"/>
          <w:szCs w:val="22"/>
        </w:rPr>
        <w:t xml:space="preserve">(OMB # </w:t>
      </w:r>
      <w:r w:rsidRPr="00590C76" w:rsidR="00F25EFC">
        <w:rPr>
          <w:b/>
          <w:sz w:val="22"/>
          <w:szCs w:val="22"/>
        </w:rPr>
        <w:t>2535-0113</w:t>
      </w:r>
      <w:r w:rsidRPr="00590C76">
        <w:rPr>
          <w:b/>
          <w:sz w:val="22"/>
          <w:szCs w:val="22"/>
        </w:rPr>
        <w:t>)</w:t>
      </w:r>
    </w:p>
    <w:p w:rsidR="00E8145B" w:rsidRPr="00590C76" w:rsidP="005E3C6B" w14:paraId="422ECABC" w14:textId="77777777">
      <w:pPr>
        <w:pStyle w:val="NoSpacing"/>
        <w:rPr>
          <w:sz w:val="22"/>
          <w:szCs w:val="22"/>
        </w:rPr>
      </w:pPr>
    </w:p>
    <w:p w:rsidR="00E8145B" w:rsidRPr="00590C76" w:rsidP="005E3C6B" w14:paraId="182453E8" w14:textId="15D05667">
      <w:pPr>
        <w:pStyle w:val="NoSpacing"/>
        <w:rPr>
          <w:b/>
          <w:bCs/>
          <w:color w:val="000000"/>
          <w:sz w:val="22"/>
          <w:szCs w:val="22"/>
          <w:u w:val="single"/>
        </w:rPr>
      </w:pPr>
      <w:r w:rsidRPr="00590C76">
        <w:rPr>
          <w:b/>
          <w:bCs/>
          <w:sz w:val="22"/>
          <w:szCs w:val="22"/>
          <w:u w:val="single"/>
        </w:rPr>
        <w:t xml:space="preserve">Part A. </w:t>
      </w:r>
      <w:r w:rsidRPr="00590C76" w:rsidR="00932090">
        <w:rPr>
          <w:b/>
          <w:bCs/>
          <w:sz w:val="22"/>
          <w:szCs w:val="22"/>
          <w:u w:val="single"/>
        </w:rPr>
        <w:t xml:space="preserve"> </w:t>
      </w:r>
      <w:r w:rsidRPr="00590C76">
        <w:rPr>
          <w:b/>
          <w:bCs/>
          <w:sz w:val="22"/>
          <w:szCs w:val="22"/>
          <w:u w:val="single"/>
        </w:rPr>
        <w:t>Justi</w:t>
      </w:r>
      <w:r w:rsidRPr="00590C76">
        <w:rPr>
          <w:b/>
          <w:bCs/>
          <w:color w:val="000000"/>
          <w:sz w:val="22"/>
          <w:szCs w:val="22"/>
          <w:u w:val="single"/>
        </w:rPr>
        <w:t>fication</w:t>
      </w:r>
    </w:p>
    <w:p w:rsidR="00E8145B" w:rsidRPr="00590C76" w:rsidP="005E3C6B" w14:paraId="44B3BB4E" w14:textId="77777777">
      <w:pPr>
        <w:pStyle w:val="NoSpacing"/>
        <w:rPr>
          <w:noProof/>
          <w:sz w:val="22"/>
          <w:szCs w:val="22"/>
        </w:rPr>
      </w:pPr>
    </w:p>
    <w:p w:rsidR="00B23282" w:rsidRPr="00590C76" w:rsidP="004E6F99" w14:paraId="0363764F" w14:textId="56384952">
      <w:pPr>
        <w:pStyle w:val="NoSpacing"/>
        <w:numPr>
          <w:ilvl w:val="0"/>
          <w:numId w:val="14"/>
        </w:numPr>
        <w:rPr>
          <w:b/>
          <w:bCs/>
          <w:noProof/>
          <w:sz w:val="22"/>
          <w:szCs w:val="22"/>
        </w:rPr>
      </w:pPr>
      <w:r w:rsidRPr="00590C76">
        <w:rPr>
          <w:b/>
          <w:bCs/>
          <w:noProof/>
          <w:sz w:val="22"/>
          <w:szCs w:val="22"/>
        </w:rPr>
        <w:t xml:space="preserve">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 </w:t>
      </w:r>
    </w:p>
    <w:p w:rsidR="00B23282" w:rsidRPr="00590C76" w:rsidP="00B23282" w14:paraId="377EA5BB" w14:textId="77777777">
      <w:pPr>
        <w:pStyle w:val="NoSpacing"/>
        <w:ind w:left="720"/>
        <w:rPr>
          <w:noProof/>
          <w:sz w:val="22"/>
          <w:szCs w:val="22"/>
        </w:rPr>
      </w:pPr>
    </w:p>
    <w:p w:rsidR="00566BAE" w:rsidRPr="00590C76" w:rsidP="00B23282" w14:paraId="4E21E57D" w14:textId="2BF16E6A">
      <w:pPr>
        <w:pStyle w:val="NoSpacing"/>
        <w:ind w:left="720"/>
        <w:rPr>
          <w:noProof/>
          <w:sz w:val="22"/>
          <w:szCs w:val="22"/>
        </w:rPr>
      </w:pPr>
      <w:r w:rsidRPr="00590C76">
        <w:rPr>
          <w:noProof/>
          <w:sz w:val="22"/>
          <w:szCs w:val="22"/>
        </w:rPr>
        <w:t>This is a reinstatement</w:t>
      </w:r>
      <w:r w:rsidR="00504081">
        <w:rPr>
          <w:noProof/>
          <w:sz w:val="22"/>
          <w:szCs w:val="22"/>
        </w:rPr>
        <w:t xml:space="preserve"> without change</w:t>
      </w:r>
      <w:r w:rsidRPr="00590C76">
        <w:rPr>
          <w:noProof/>
          <w:sz w:val="22"/>
          <w:szCs w:val="22"/>
        </w:rPr>
        <w:t xml:space="preserve"> of the current information collection. </w:t>
      </w:r>
    </w:p>
    <w:p w:rsidR="00566BAE" w:rsidRPr="00590C76" w:rsidP="00B23282" w14:paraId="604FABED" w14:textId="77777777">
      <w:pPr>
        <w:pStyle w:val="NoSpacing"/>
        <w:ind w:left="720"/>
        <w:rPr>
          <w:noProof/>
          <w:sz w:val="22"/>
          <w:szCs w:val="22"/>
        </w:rPr>
      </w:pPr>
    </w:p>
    <w:p w:rsidR="006A2650" w:rsidRPr="00590C76" w:rsidP="00B23282" w14:paraId="494EED21" w14:textId="056DCC9F">
      <w:pPr>
        <w:pStyle w:val="NoSpacing"/>
        <w:ind w:left="720"/>
        <w:rPr>
          <w:noProof/>
          <w:sz w:val="22"/>
          <w:szCs w:val="22"/>
        </w:rPr>
      </w:pPr>
      <w:r w:rsidRPr="00590C76">
        <w:rPr>
          <w:noProof/>
          <w:sz w:val="22"/>
          <w:szCs w:val="22"/>
        </w:rPr>
        <w:t xml:space="preserve">Through 42 USC 3608e(6) the Secretary of HUD is required to annually report to congress and make available to the public data on the characteristics of persons and households who participate in programs administered by the Department. This provision expressly permits the Secretary to collect such information relating to those characteristics as the Secretary deems appropriate. </w:t>
      </w:r>
    </w:p>
    <w:p w:rsidR="006A2650" w:rsidRPr="00590C76" w:rsidP="006A2650" w14:paraId="31CB31E9" w14:textId="77777777">
      <w:pPr>
        <w:pStyle w:val="NoSpacing"/>
        <w:ind w:left="720"/>
        <w:rPr>
          <w:noProof/>
          <w:sz w:val="22"/>
          <w:szCs w:val="22"/>
        </w:rPr>
      </w:pPr>
    </w:p>
    <w:p w:rsidR="006A2650" w:rsidRPr="00590C76" w:rsidP="009326C7" w14:paraId="31FEA0D5" w14:textId="1E7965B9">
      <w:pPr>
        <w:pStyle w:val="NoSpacing"/>
        <w:ind w:left="720"/>
        <w:rPr>
          <w:noProof/>
          <w:sz w:val="22"/>
          <w:szCs w:val="22"/>
        </w:rPr>
      </w:pPr>
      <w:r w:rsidRPr="00590C76">
        <w:rPr>
          <w:noProof/>
          <w:sz w:val="22"/>
          <w:szCs w:val="22"/>
        </w:rPr>
        <w:t>42 U.S.C. 3608(e)(6): “annually report to the Congress, and make available to the public, data on the race, color, religion, sex, national origin, age, handicap, and family characteristics of persons and households who are applicants for, participants in, or beneficiaries or potential beneficiaries of, programs administered by the Department to the extent such characteristics are within the coverage of the provisions of law and Executive orders referred to in subsection (f) of this section which apply to such programs (and in order to develop the data to be included and made available to the public under this subsection, the Secretary shall, without regard to any other provision of law, collect such information relating to those characteristics as the Secretary determines to be necessary or appropriate).”</w:t>
      </w:r>
    </w:p>
    <w:p w:rsidR="006A2650" w:rsidRPr="00590C76" w:rsidP="006A2650" w14:paraId="3A571D90" w14:textId="77777777">
      <w:pPr>
        <w:pStyle w:val="NoSpacing"/>
        <w:ind w:left="720"/>
        <w:rPr>
          <w:noProof/>
          <w:sz w:val="22"/>
          <w:szCs w:val="22"/>
        </w:rPr>
      </w:pPr>
    </w:p>
    <w:p w:rsidR="004E6F99" w:rsidP="009326C7" w14:paraId="51DDBEDF" w14:textId="00D9B08F">
      <w:pPr>
        <w:pStyle w:val="NoSpacing"/>
        <w:ind w:left="720"/>
        <w:rPr>
          <w:noProof/>
          <w:sz w:val="22"/>
          <w:szCs w:val="22"/>
        </w:rPr>
      </w:pPr>
      <w:r w:rsidRPr="00590C76">
        <w:rPr>
          <w:noProof/>
          <w:sz w:val="22"/>
          <w:szCs w:val="22"/>
        </w:rPr>
        <w:t>The purpose of this part is to enable the Secretary of Housing and Urban Development to carry out his or her responsibilities under the Fair Housing Act (42 USC 3608(a)</w:t>
      </w:r>
      <w:r w:rsidRPr="00590C76" w:rsidR="00256ABE">
        <w:rPr>
          <w:noProof/>
          <w:sz w:val="22"/>
          <w:szCs w:val="22"/>
        </w:rPr>
        <w:t>)</w:t>
      </w:r>
      <w:r w:rsidRPr="00590C76">
        <w:rPr>
          <w:noProof/>
          <w:sz w:val="22"/>
          <w:szCs w:val="22"/>
        </w:rPr>
        <w:t xml:space="preserve">, Title VI of the Civil Rights Act of 1964 (42 USC 2000d), and section 562 of the Housing and Community Development Act of 1987 and the Executive Orders 12892, 11063. These authorities prohibit discrimination in housing and in programs receiving federal financial assistance and direct the Department to administer its programs and activities in a manner affirmatively to further fair housing. </w:t>
      </w:r>
    </w:p>
    <w:p w:rsidR="00CF3E76" w:rsidP="009326C7" w14:paraId="5A840F39" w14:textId="77777777">
      <w:pPr>
        <w:pStyle w:val="NoSpacing"/>
        <w:ind w:left="720"/>
        <w:rPr>
          <w:noProof/>
          <w:sz w:val="22"/>
          <w:szCs w:val="22"/>
        </w:rPr>
      </w:pPr>
    </w:p>
    <w:p w:rsidR="00CF3E76" w:rsidRPr="00590C76" w:rsidP="00CF3E76" w14:paraId="5C7BA71E" w14:textId="4FB4FDF7">
      <w:pPr>
        <w:pStyle w:val="NoSpacing"/>
        <w:ind w:left="720"/>
        <w:rPr>
          <w:noProof/>
          <w:sz w:val="22"/>
          <w:szCs w:val="22"/>
        </w:rPr>
      </w:pPr>
      <w:r>
        <w:rPr>
          <w:noProof/>
          <w:sz w:val="22"/>
          <w:szCs w:val="22"/>
        </w:rPr>
        <w:t>This collection standardizes the race and ethnicity data reporting requirements in the noted authorities. The collection</w:t>
      </w:r>
      <w:r w:rsidR="00007219">
        <w:rPr>
          <w:noProof/>
          <w:sz w:val="22"/>
          <w:szCs w:val="22"/>
        </w:rPr>
        <w:t xml:space="preserve"> of</w:t>
      </w:r>
      <w:r>
        <w:rPr>
          <w:noProof/>
          <w:sz w:val="22"/>
          <w:szCs w:val="22"/>
        </w:rPr>
        <w:t xml:space="preserve"> </w:t>
      </w:r>
      <w:r w:rsidR="00007219">
        <w:rPr>
          <w:noProof/>
          <w:sz w:val="22"/>
          <w:szCs w:val="22"/>
        </w:rPr>
        <w:t xml:space="preserve">other protected classes data </w:t>
      </w:r>
      <w:r>
        <w:rPr>
          <w:noProof/>
          <w:sz w:val="22"/>
          <w:szCs w:val="22"/>
        </w:rPr>
        <w:t>are covered by program-specific information collections, which are approved by OMB under separate control numbers.</w:t>
      </w:r>
    </w:p>
    <w:p w:rsidR="00E8145B" w:rsidRPr="00590C76" w:rsidP="005E3C6B" w14:paraId="3E9B058A" w14:textId="77777777">
      <w:pPr>
        <w:pStyle w:val="NoSpacing"/>
        <w:rPr>
          <w:color w:val="000000"/>
          <w:sz w:val="22"/>
          <w:szCs w:val="22"/>
        </w:rPr>
      </w:pPr>
    </w:p>
    <w:p w:rsidR="00530575" w:rsidRPr="00590C76" w:rsidP="00D53175" w14:paraId="4D5FB35A" w14:textId="2D68258A">
      <w:pPr>
        <w:pStyle w:val="NoSpacing"/>
        <w:numPr>
          <w:ilvl w:val="0"/>
          <w:numId w:val="14"/>
        </w:numPr>
        <w:rPr>
          <w:b/>
          <w:bCs/>
          <w:noProof/>
          <w:sz w:val="22"/>
          <w:szCs w:val="22"/>
        </w:rPr>
      </w:pPr>
      <w:r w:rsidRPr="00590C76">
        <w:rPr>
          <w:b/>
          <w:bCs/>
          <w:noProof/>
          <w:sz w:val="22"/>
          <w:szCs w:val="22"/>
        </w:rPr>
        <w:t>Indicate how, by whom, and for what purpose the information is to be used; and except for a new collection, indicate the actual use that in the past the agency has made of the information received from the current collection.</w:t>
      </w:r>
    </w:p>
    <w:p w:rsidR="003E60AB" w:rsidP="00530575" w14:paraId="0275BD9A" w14:textId="77DEB037">
      <w:pPr>
        <w:pStyle w:val="NoSpacing"/>
        <w:ind w:left="720"/>
        <w:rPr>
          <w:noProof/>
          <w:sz w:val="22"/>
          <w:szCs w:val="22"/>
        </w:rPr>
      </w:pPr>
      <w:r w:rsidRPr="00590C76">
        <w:rPr>
          <w:noProof/>
          <w:sz w:val="22"/>
          <w:szCs w:val="22"/>
        </w:rPr>
        <w:t xml:space="preserve">This is a reinstatement </w:t>
      </w:r>
      <w:r>
        <w:rPr>
          <w:noProof/>
          <w:sz w:val="22"/>
          <w:szCs w:val="22"/>
        </w:rPr>
        <w:t>without change</w:t>
      </w:r>
      <w:r w:rsidRPr="00590C76">
        <w:rPr>
          <w:noProof/>
          <w:sz w:val="22"/>
          <w:szCs w:val="22"/>
        </w:rPr>
        <w:t>.</w:t>
      </w:r>
      <w:r w:rsidRPr="003E60AB">
        <w:rPr>
          <w:noProof/>
          <w:sz w:val="22"/>
          <w:szCs w:val="22"/>
        </w:rPr>
        <w:t xml:space="preserve"> </w:t>
      </w:r>
    </w:p>
    <w:p w:rsidR="000B0218" w:rsidRPr="00590C76" w:rsidP="00530575" w14:paraId="2FF0D54C" w14:textId="00BA3451">
      <w:pPr>
        <w:pStyle w:val="NoSpacing"/>
        <w:ind w:left="720"/>
        <w:rPr>
          <w:noProof/>
          <w:sz w:val="22"/>
          <w:szCs w:val="22"/>
        </w:rPr>
      </w:pPr>
      <w:r w:rsidRPr="00590C76">
        <w:rPr>
          <w:noProof/>
          <w:sz w:val="22"/>
          <w:szCs w:val="22"/>
        </w:rPr>
        <w:t xml:space="preserve">The </w:t>
      </w:r>
      <w:r w:rsidRPr="00590C76" w:rsidR="00F3582D">
        <w:rPr>
          <w:noProof/>
          <w:sz w:val="22"/>
          <w:szCs w:val="22"/>
        </w:rPr>
        <w:t>i</w:t>
      </w:r>
      <w:r w:rsidRPr="00590C76">
        <w:rPr>
          <w:noProof/>
          <w:sz w:val="22"/>
          <w:szCs w:val="22"/>
        </w:rPr>
        <w:t xml:space="preserve">nformation collection is required </w:t>
      </w:r>
      <w:r w:rsidRPr="00590C76" w:rsidR="00BF391D">
        <w:rPr>
          <w:noProof/>
          <w:sz w:val="22"/>
          <w:szCs w:val="22"/>
        </w:rPr>
        <w:t xml:space="preserve">to ensure </w:t>
      </w:r>
      <w:r w:rsidRPr="00590C76" w:rsidR="00025DDC">
        <w:rPr>
          <w:noProof/>
          <w:sz w:val="22"/>
          <w:szCs w:val="22"/>
        </w:rPr>
        <w:t xml:space="preserve">HUD’s </w:t>
      </w:r>
      <w:r w:rsidRPr="00590C76" w:rsidR="00BF391D">
        <w:rPr>
          <w:noProof/>
          <w:sz w:val="22"/>
          <w:szCs w:val="22"/>
        </w:rPr>
        <w:t xml:space="preserve">compliance with </w:t>
      </w:r>
      <w:r w:rsidRPr="00590C76" w:rsidR="000549F5">
        <w:rPr>
          <w:noProof/>
          <w:sz w:val="22"/>
          <w:szCs w:val="22"/>
        </w:rPr>
        <w:t xml:space="preserve">the Fair Housing Act, </w:t>
      </w:r>
      <w:r w:rsidRPr="00590C76" w:rsidR="00BF391D">
        <w:rPr>
          <w:noProof/>
          <w:sz w:val="22"/>
          <w:szCs w:val="22"/>
        </w:rPr>
        <w:t>Title VI of the Civil Rights Act of 1964</w:t>
      </w:r>
      <w:r w:rsidRPr="00590C76" w:rsidR="00105F20">
        <w:rPr>
          <w:noProof/>
          <w:sz w:val="22"/>
          <w:szCs w:val="22"/>
        </w:rPr>
        <w:t>, and implementation of OMB’s 1997 Statistical Policy Directive No. 15: Standards for Maintaining, Collecting, and Presenting Federal Data on Race and Ethnicity (SPD 15)</w:t>
      </w:r>
      <w:r w:rsidRPr="00590C76" w:rsidR="00821F0D">
        <w:rPr>
          <w:sz w:val="22"/>
          <w:szCs w:val="22"/>
        </w:rPr>
        <w:t>.</w:t>
      </w:r>
      <w:r w:rsidRPr="00590C76">
        <w:rPr>
          <w:sz w:val="22"/>
          <w:szCs w:val="22"/>
        </w:rPr>
        <w:t xml:space="preserve">  </w:t>
      </w:r>
      <w:r w:rsidRPr="00590C76" w:rsidR="00827538">
        <w:rPr>
          <w:sz w:val="22"/>
          <w:szCs w:val="22"/>
        </w:rPr>
        <w:t xml:space="preserve">HUD’s method for electronic collection of </w:t>
      </w:r>
      <w:r w:rsidRPr="00590C76" w:rsidR="00025DDC">
        <w:rPr>
          <w:sz w:val="22"/>
          <w:szCs w:val="22"/>
        </w:rPr>
        <w:t>form HUD 27061</w:t>
      </w:r>
      <w:r w:rsidRPr="00590C76" w:rsidR="00BB2F6F">
        <w:rPr>
          <w:sz w:val="22"/>
          <w:szCs w:val="22"/>
        </w:rPr>
        <w:t xml:space="preserve"> </w:t>
      </w:r>
      <w:r w:rsidRPr="00590C76" w:rsidR="00827538">
        <w:rPr>
          <w:sz w:val="22"/>
          <w:szCs w:val="22"/>
        </w:rPr>
        <w:t>standardizes the format for</w:t>
      </w:r>
      <w:r w:rsidRPr="00590C76" w:rsidR="00C37D9E">
        <w:rPr>
          <w:sz w:val="22"/>
          <w:szCs w:val="22"/>
        </w:rPr>
        <w:t xml:space="preserve"> grant-level</w:t>
      </w:r>
      <w:r w:rsidRPr="00590C76" w:rsidR="00827538">
        <w:rPr>
          <w:sz w:val="22"/>
          <w:szCs w:val="22"/>
        </w:rPr>
        <w:t xml:space="preserve"> information collection requirements for </w:t>
      </w:r>
      <w:r w:rsidRPr="00590C76" w:rsidR="00F76559">
        <w:rPr>
          <w:sz w:val="22"/>
          <w:szCs w:val="22"/>
        </w:rPr>
        <w:t xml:space="preserve">both </w:t>
      </w:r>
      <w:r w:rsidRPr="00590C76" w:rsidR="00827538">
        <w:rPr>
          <w:sz w:val="22"/>
          <w:szCs w:val="22"/>
        </w:rPr>
        <w:t>applicants</w:t>
      </w:r>
      <w:r w:rsidRPr="00590C76" w:rsidR="00F76559">
        <w:rPr>
          <w:sz w:val="22"/>
          <w:szCs w:val="22"/>
        </w:rPr>
        <w:t xml:space="preserve"> and recipients of</w:t>
      </w:r>
      <w:r w:rsidRPr="00590C76" w:rsidR="00025DDC">
        <w:rPr>
          <w:sz w:val="22"/>
          <w:szCs w:val="22"/>
        </w:rPr>
        <w:t xml:space="preserve"> HUD funding</w:t>
      </w:r>
      <w:r w:rsidRPr="00590C76" w:rsidR="00F76559">
        <w:rPr>
          <w:sz w:val="22"/>
          <w:szCs w:val="22"/>
        </w:rPr>
        <w:t>,</w:t>
      </w:r>
      <w:r w:rsidRPr="00590C76" w:rsidR="00105F20">
        <w:rPr>
          <w:sz w:val="22"/>
          <w:szCs w:val="22"/>
        </w:rPr>
        <w:t xml:space="preserve"> and is consistent with the minimum data requirements in</w:t>
      </w:r>
      <w:r w:rsidRPr="00590C76" w:rsidR="006D7C8C">
        <w:rPr>
          <w:sz w:val="22"/>
          <w:szCs w:val="22"/>
        </w:rPr>
        <w:t xml:space="preserve"> SPD 15</w:t>
      </w:r>
      <w:r w:rsidRPr="00590C76" w:rsidR="00821F0D">
        <w:rPr>
          <w:sz w:val="22"/>
          <w:szCs w:val="22"/>
        </w:rPr>
        <w:t xml:space="preserve">. </w:t>
      </w:r>
      <w:r w:rsidRPr="00590C76">
        <w:rPr>
          <w:sz w:val="22"/>
          <w:szCs w:val="22"/>
        </w:rPr>
        <w:t xml:space="preserve"> </w:t>
      </w:r>
    </w:p>
    <w:p w:rsidR="000B0218" w:rsidRPr="00590C76" w:rsidP="000B0218" w14:paraId="654496A0" w14:textId="77777777">
      <w:pPr>
        <w:pStyle w:val="NoSpacing"/>
        <w:ind w:left="720"/>
        <w:rPr>
          <w:noProof/>
          <w:sz w:val="22"/>
          <w:szCs w:val="22"/>
        </w:rPr>
      </w:pPr>
    </w:p>
    <w:p w:rsidR="00E8145B" w:rsidRPr="00590C76" w:rsidP="000B0218" w14:paraId="5C3042A4" w14:textId="5FE93B3B">
      <w:pPr>
        <w:pStyle w:val="NoSpacing"/>
        <w:ind w:left="720"/>
        <w:rPr>
          <w:noProof/>
          <w:sz w:val="22"/>
          <w:szCs w:val="22"/>
        </w:rPr>
      </w:pPr>
      <w:r w:rsidRPr="00590C76">
        <w:rPr>
          <w:sz w:val="22"/>
          <w:szCs w:val="22"/>
        </w:rPr>
        <w:t xml:space="preserve">To ensure that all programs comply with </w:t>
      </w:r>
      <w:r w:rsidRPr="00590C76">
        <w:rPr>
          <w:noProof/>
          <w:sz w:val="22"/>
          <w:szCs w:val="22"/>
        </w:rPr>
        <w:t>Title VI of the Civil Rights Act of 1964, t</w:t>
      </w:r>
      <w:r w:rsidRPr="00590C76" w:rsidR="00025DDC">
        <w:rPr>
          <w:sz w:val="22"/>
          <w:szCs w:val="22"/>
        </w:rPr>
        <w:t xml:space="preserve">he </w:t>
      </w:r>
      <w:r w:rsidRPr="00590C76" w:rsidR="000B0218">
        <w:rPr>
          <w:sz w:val="22"/>
          <w:szCs w:val="22"/>
        </w:rPr>
        <w:t xml:space="preserve">HUD 27061 </w:t>
      </w:r>
      <w:r w:rsidRPr="00590C76" w:rsidR="00025DDC">
        <w:rPr>
          <w:sz w:val="22"/>
          <w:szCs w:val="22"/>
        </w:rPr>
        <w:t xml:space="preserve">form </w:t>
      </w:r>
      <w:r w:rsidRPr="00590C76" w:rsidR="006B69DD">
        <w:rPr>
          <w:sz w:val="22"/>
          <w:szCs w:val="22"/>
        </w:rPr>
        <w:t xml:space="preserve">is submitted annually, either with the </w:t>
      </w:r>
      <w:r w:rsidRPr="00590C76" w:rsidR="009A5844">
        <w:rPr>
          <w:sz w:val="22"/>
          <w:szCs w:val="22"/>
        </w:rPr>
        <w:t>application or on</w:t>
      </w:r>
      <w:r w:rsidRPr="00590C76" w:rsidR="0055522A">
        <w:rPr>
          <w:sz w:val="22"/>
          <w:szCs w:val="22"/>
        </w:rPr>
        <w:t>c</w:t>
      </w:r>
      <w:r w:rsidRPr="00590C76" w:rsidR="009A5844">
        <w:rPr>
          <w:sz w:val="22"/>
          <w:szCs w:val="22"/>
        </w:rPr>
        <w:t>e per year during the project period.</w:t>
      </w:r>
      <w:r w:rsidRPr="00590C76">
        <w:rPr>
          <w:noProof/>
          <w:sz w:val="22"/>
          <w:szCs w:val="22"/>
        </w:rPr>
        <w:t xml:space="preserve"> </w:t>
      </w:r>
    </w:p>
    <w:p w:rsidR="00EF5A94" w:rsidRPr="00590C76" w:rsidP="00EF5A94" w14:paraId="3B8FAD11" w14:textId="77777777">
      <w:pPr>
        <w:pStyle w:val="NoSpacing"/>
        <w:ind w:left="720"/>
        <w:rPr>
          <w:sz w:val="22"/>
          <w:szCs w:val="22"/>
        </w:rPr>
      </w:pPr>
    </w:p>
    <w:p w:rsidR="00306E6B" w:rsidRPr="00590C76" w:rsidP="00EF5A94" w14:paraId="031D4F69" w14:textId="467E9C52">
      <w:pPr>
        <w:pStyle w:val="NoSpacing"/>
        <w:ind w:left="720"/>
        <w:rPr>
          <w:sz w:val="22"/>
          <w:szCs w:val="22"/>
        </w:rPr>
      </w:pPr>
      <w:r w:rsidRPr="00590C76">
        <w:rPr>
          <w:sz w:val="22"/>
          <w:szCs w:val="22"/>
        </w:rPr>
        <w:t xml:space="preserve">The </w:t>
      </w:r>
      <w:r w:rsidRPr="00590C76" w:rsidR="00C37D9E">
        <w:rPr>
          <w:sz w:val="22"/>
          <w:szCs w:val="22"/>
        </w:rPr>
        <w:t xml:space="preserve">form allows </w:t>
      </w:r>
      <w:r w:rsidRPr="00590C76" w:rsidR="004A3A2F">
        <w:rPr>
          <w:sz w:val="22"/>
          <w:szCs w:val="22"/>
        </w:rPr>
        <w:t xml:space="preserve">all </w:t>
      </w:r>
      <w:r w:rsidRPr="00590C76" w:rsidR="00C37D9E">
        <w:rPr>
          <w:sz w:val="22"/>
          <w:szCs w:val="22"/>
        </w:rPr>
        <w:t>applicants</w:t>
      </w:r>
      <w:r w:rsidRPr="00590C76" w:rsidR="00E3644B">
        <w:rPr>
          <w:sz w:val="22"/>
          <w:szCs w:val="22"/>
        </w:rPr>
        <w:t xml:space="preserve"> and </w:t>
      </w:r>
      <w:r w:rsidRPr="00590C76" w:rsidR="009A5844">
        <w:rPr>
          <w:sz w:val="22"/>
          <w:szCs w:val="22"/>
        </w:rPr>
        <w:t>recipients of</w:t>
      </w:r>
      <w:r w:rsidRPr="00590C76" w:rsidR="00C37D9E">
        <w:rPr>
          <w:sz w:val="22"/>
          <w:szCs w:val="22"/>
        </w:rPr>
        <w:t xml:space="preserve"> HUD funding</w:t>
      </w:r>
      <w:r w:rsidRPr="00590C76" w:rsidR="00133ECC">
        <w:rPr>
          <w:sz w:val="22"/>
          <w:szCs w:val="22"/>
        </w:rPr>
        <w:t xml:space="preserve">, which include public housing authorities, State and local units of government, </w:t>
      </w:r>
      <w:r w:rsidRPr="00590C76" w:rsidR="007B3B70">
        <w:rPr>
          <w:sz w:val="22"/>
          <w:szCs w:val="22"/>
        </w:rPr>
        <w:t>non-profit and for-profit organizations, and</w:t>
      </w:r>
      <w:r w:rsidRPr="00590C76" w:rsidR="00CA693B">
        <w:rPr>
          <w:sz w:val="22"/>
          <w:szCs w:val="22"/>
        </w:rPr>
        <w:t xml:space="preserve"> tribal entities</w:t>
      </w:r>
      <w:r w:rsidRPr="00590C76" w:rsidR="00D6478D">
        <w:rPr>
          <w:sz w:val="22"/>
          <w:szCs w:val="22"/>
        </w:rPr>
        <w:t>,</w:t>
      </w:r>
      <w:r w:rsidRPr="00590C76" w:rsidR="00C37D9E">
        <w:rPr>
          <w:sz w:val="22"/>
          <w:szCs w:val="22"/>
        </w:rPr>
        <w:t xml:space="preserve"> to report</w:t>
      </w:r>
      <w:r w:rsidRPr="00590C76" w:rsidR="00B3718B">
        <w:rPr>
          <w:sz w:val="22"/>
          <w:szCs w:val="22"/>
        </w:rPr>
        <w:t xml:space="preserve"> expected</w:t>
      </w:r>
      <w:r w:rsidRPr="00590C76" w:rsidR="00E3644B">
        <w:rPr>
          <w:sz w:val="22"/>
          <w:szCs w:val="22"/>
        </w:rPr>
        <w:t xml:space="preserve"> and actual</w:t>
      </w:r>
      <w:r w:rsidRPr="00590C76" w:rsidR="00C37D9E">
        <w:rPr>
          <w:sz w:val="22"/>
          <w:szCs w:val="22"/>
        </w:rPr>
        <w:t xml:space="preserve"> grant-level race and ethnic data</w:t>
      </w:r>
      <w:r w:rsidRPr="00590C76" w:rsidR="00D6478D">
        <w:rPr>
          <w:sz w:val="22"/>
          <w:szCs w:val="22"/>
        </w:rPr>
        <w:t xml:space="preserve">. </w:t>
      </w:r>
      <w:r w:rsidRPr="00590C76">
        <w:rPr>
          <w:sz w:val="22"/>
          <w:szCs w:val="22"/>
        </w:rPr>
        <w:t xml:space="preserve"> </w:t>
      </w:r>
      <w:r w:rsidRPr="00590C76" w:rsidR="00BD0047">
        <w:rPr>
          <w:sz w:val="22"/>
          <w:szCs w:val="22"/>
        </w:rPr>
        <w:t xml:space="preserve">Forms that report actual grant-level data typically represent a summation of </w:t>
      </w:r>
      <w:r w:rsidRPr="00590C76" w:rsidR="002537E9">
        <w:rPr>
          <w:sz w:val="22"/>
          <w:szCs w:val="22"/>
        </w:rPr>
        <w:t>individual household data reported</w:t>
      </w:r>
      <w:r w:rsidRPr="00590C76" w:rsidR="00600C02">
        <w:rPr>
          <w:sz w:val="22"/>
          <w:szCs w:val="22"/>
        </w:rPr>
        <w:t xml:space="preserve"> during the intake process,</w:t>
      </w:r>
      <w:r w:rsidRPr="00590C76" w:rsidR="002537E9">
        <w:rPr>
          <w:sz w:val="22"/>
          <w:szCs w:val="22"/>
        </w:rPr>
        <w:t xml:space="preserve"> either </w:t>
      </w:r>
      <w:r w:rsidRPr="00590C76" w:rsidR="00600C02">
        <w:rPr>
          <w:sz w:val="22"/>
          <w:szCs w:val="22"/>
        </w:rPr>
        <w:t xml:space="preserve">by </w:t>
      </w:r>
      <w:r w:rsidRPr="00590C76" w:rsidR="002537E9">
        <w:rPr>
          <w:sz w:val="22"/>
          <w:szCs w:val="22"/>
        </w:rPr>
        <w:t>the head of household or by observation</w:t>
      </w:r>
      <w:r w:rsidRPr="00590C76" w:rsidR="00600C02">
        <w:rPr>
          <w:sz w:val="22"/>
          <w:szCs w:val="22"/>
        </w:rPr>
        <w:t xml:space="preserve">. </w:t>
      </w:r>
    </w:p>
    <w:p w:rsidR="003F165B" w:rsidRPr="00590C76" w:rsidP="00EF5A94" w14:paraId="564B6175" w14:textId="77777777">
      <w:pPr>
        <w:pStyle w:val="NoSpacing"/>
        <w:ind w:left="720"/>
        <w:rPr>
          <w:sz w:val="22"/>
          <w:szCs w:val="22"/>
        </w:rPr>
      </w:pPr>
    </w:p>
    <w:p w:rsidR="003F165B" w:rsidRPr="00590C76" w:rsidP="00EF5A94" w14:paraId="149C6DED" w14:textId="11923541">
      <w:pPr>
        <w:pStyle w:val="NoSpacing"/>
        <w:ind w:left="720"/>
        <w:rPr>
          <w:sz w:val="22"/>
          <w:szCs w:val="22"/>
        </w:rPr>
      </w:pPr>
      <w:r w:rsidRPr="00590C76">
        <w:rPr>
          <w:sz w:val="22"/>
          <w:szCs w:val="22"/>
        </w:rPr>
        <w:t xml:space="preserve">Given the wide variation in </w:t>
      </w:r>
      <w:r w:rsidRPr="00590C76" w:rsidR="00937EC4">
        <w:rPr>
          <w:sz w:val="22"/>
          <w:szCs w:val="22"/>
        </w:rPr>
        <w:t xml:space="preserve">HUD programs utilizing the </w:t>
      </w:r>
      <w:r w:rsidRPr="00590C76" w:rsidR="00951B5A">
        <w:rPr>
          <w:sz w:val="22"/>
          <w:szCs w:val="22"/>
        </w:rPr>
        <w:t>information collection</w:t>
      </w:r>
      <w:r w:rsidRPr="00590C76" w:rsidR="00937EC4">
        <w:rPr>
          <w:sz w:val="22"/>
          <w:szCs w:val="22"/>
        </w:rPr>
        <w:t xml:space="preserve">, </w:t>
      </w:r>
      <w:r w:rsidRPr="00590C76" w:rsidR="006A7189">
        <w:rPr>
          <w:sz w:val="22"/>
          <w:szCs w:val="22"/>
        </w:rPr>
        <w:t xml:space="preserve">respondent organizations </w:t>
      </w:r>
      <w:r w:rsidRPr="00590C76" w:rsidR="007C1131">
        <w:rPr>
          <w:sz w:val="22"/>
          <w:szCs w:val="22"/>
        </w:rPr>
        <w:t xml:space="preserve">collect and report </w:t>
      </w:r>
      <w:r w:rsidRPr="00590C76" w:rsidR="001C672D">
        <w:rPr>
          <w:sz w:val="22"/>
          <w:szCs w:val="22"/>
        </w:rPr>
        <w:t xml:space="preserve">this information in various ways. For example, a </w:t>
      </w:r>
      <w:r w:rsidRPr="00590C76" w:rsidR="00AA38D8">
        <w:rPr>
          <w:sz w:val="22"/>
          <w:szCs w:val="22"/>
        </w:rPr>
        <w:t>program that distributes assistance to individual</w:t>
      </w:r>
      <w:r w:rsidRPr="00590C76" w:rsidR="00627186">
        <w:rPr>
          <w:sz w:val="22"/>
          <w:szCs w:val="22"/>
        </w:rPr>
        <w:t xml:space="preserve"> end-recipients</w:t>
      </w:r>
      <w:r w:rsidRPr="00590C76" w:rsidR="00AA38D8">
        <w:rPr>
          <w:sz w:val="22"/>
          <w:szCs w:val="22"/>
        </w:rPr>
        <w:t xml:space="preserve"> </w:t>
      </w:r>
      <w:r w:rsidRPr="00590C76" w:rsidR="007F505A">
        <w:rPr>
          <w:sz w:val="22"/>
          <w:szCs w:val="22"/>
        </w:rPr>
        <w:t>through applications</w:t>
      </w:r>
      <w:r w:rsidRPr="00590C76" w:rsidR="00627186">
        <w:rPr>
          <w:sz w:val="22"/>
          <w:szCs w:val="22"/>
        </w:rPr>
        <w:t>, such as homeowners</w:t>
      </w:r>
      <w:r w:rsidRPr="00590C76" w:rsidR="00755960">
        <w:rPr>
          <w:sz w:val="22"/>
          <w:szCs w:val="22"/>
        </w:rPr>
        <w:t xml:space="preserve">, would </w:t>
      </w:r>
      <w:r w:rsidRPr="00590C76" w:rsidR="00A50128">
        <w:rPr>
          <w:sz w:val="22"/>
          <w:szCs w:val="22"/>
        </w:rPr>
        <w:t xml:space="preserve">be able to collect the information included </w:t>
      </w:r>
      <w:r w:rsidRPr="00590C76" w:rsidR="009E77A1">
        <w:rPr>
          <w:sz w:val="22"/>
          <w:szCs w:val="22"/>
        </w:rPr>
        <w:t xml:space="preserve">in the collection through the application. </w:t>
      </w:r>
      <w:r w:rsidRPr="00590C76" w:rsidR="000B0218">
        <w:rPr>
          <w:sz w:val="22"/>
          <w:szCs w:val="22"/>
        </w:rPr>
        <w:t xml:space="preserve"> </w:t>
      </w:r>
      <w:r w:rsidRPr="00590C76" w:rsidR="009E77A1">
        <w:rPr>
          <w:sz w:val="22"/>
          <w:szCs w:val="22"/>
        </w:rPr>
        <w:t xml:space="preserve">However, a </w:t>
      </w:r>
      <w:r w:rsidRPr="00590C76" w:rsidR="00923E5E">
        <w:rPr>
          <w:sz w:val="22"/>
          <w:szCs w:val="22"/>
        </w:rPr>
        <w:t xml:space="preserve">HUD </w:t>
      </w:r>
      <w:r w:rsidRPr="00590C76" w:rsidR="009E77A1">
        <w:rPr>
          <w:sz w:val="22"/>
          <w:szCs w:val="22"/>
        </w:rPr>
        <w:t>program funding organizations that provide wide-spread services, or activities that may not have a</w:t>
      </w:r>
      <w:r w:rsidRPr="00590C76" w:rsidR="001F0ED4">
        <w:rPr>
          <w:sz w:val="22"/>
          <w:szCs w:val="22"/>
        </w:rPr>
        <w:t xml:space="preserve">n identifiable pool of </w:t>
      </w:r>
      <w:r w:rsidRPr="00590C76" w:rsidR="006D4CCF">
        <w:rPr>
          <w:sz w:val="22"/>
          <w:szCs w:val="22"/>
        </w:rPr>
        <w:t>end-recipients, and may need to rely on census data in their service areas to estimate the population served.</w:t>
      </w:r>
      <w:r w:rsidRPr="00590C76" w:rsidR="00180F04">
        <w:rPr>
          <w:sz w:val="22"/>
          <w:szCs w:val="22"/>
        </w:rPr>
        <w:t xml:space="preserve"> Furthermore, the interaction with the end-recipient varies, and can be a</w:t>
      </w:r>
      <w:r w:rsidRPr="00590C76" w:rsidR="00994E35">
        <w:rPr>
          <w:sz w:val="22"/>
          <w:szCs w:val="22"/>
        </w:rPr>
        <w:t xml:space="preserve"> </w:t>
      </w:r>
      <w:r w:rsidRPr="00590C76" w:rsidR="008F6CE0">
        <w:rPr>
          <w:sz w:val="22"/>
          <w:szCs w:val="22"/>
        </w:rPr>
        <w:t>self-identification by the end-recipient, use of census data, or</w:t>
      </w:r>
      <w:r w:rsidRPr="00590C76" w:rsidR="0029097F">
        <w:rPr>
          <w:sz w:val="22"/>
          <w:szCs w:val="22"/>
        </w:rPr>
        <w:t xml:space="preserve"> proxy identification when necessary</w:t>
      </w:r>
      <w:r w:rsidRPr="00590C76" w:rsidR="00C764E7">
        <w:rPr>
          <w:sz w:val="22"/>
          <w:szCs w:val="22"/>
        </w:rPr>
        <w:t xml:space="preserve">, in line with OMB’s </w:t>
      </w:r>
      <w:r w:rsidRPr="00590C76" w:rsidR="00923E5E">
        <w:rPr>
          <w:sz w:val="22"/>
          <w:szCs w:val="22"/>
        </w:rPr>
        <w:t>SPD</w:t>
      </w:r>
      <w:r w:rsidRPr="00590C76" w:rsidR="00C764E7">
        <w:rPr>
          <w:sz w:val="22"/>
          <w:szCs w:val="22"/>
        </w:rPr>
        <w:t xml:space="preserve"> 15</w:t>
      </w:r>
      <w:r w:rsidRPr="00590C76" w:rsidR="0029097F">
        <w:rPr>
          <w:sz w:val="22"/>
          <w:szCs w:val="22"/>
        </w:rPr>
        <w:t>.</w:t>
      </w:r>
    </w:p>
    <w:p w:rsidR="00A3130C" w:rsidRPr="00590C76" w:rsidP="00A3130C" w14:paraId="667626D9" w14:textId="520F2A91">
      <w:pPr>
        <w:pStyle w:val="NoSpacing"/>
        <w:ind w:left="720"/>
        <w:rPr>
          <w:sz w:val="22"/>
          <w:szCs w:val="22"/>
        </w:rPr>
      </w:pPr>
    </w:p>
    <w:p w:rsidR="004A3A2F" w:rsidRPr="00590C76" w:rsidP="00A3130C" w14:paraId="6073738E" w14:textId="3A0FD8F2">
      <w:pPr>
        <w:pStyle w:val="NoSpacing"/>
        <w:ind w:left="720"/>
        <w:rPr>
          <w:sz w:val="22"/>
          <w:szCs w:val="22"/>
        </w:rPr>
      </w:pPr>
      <w:r w:rsidRPr="00590C76">
        <w:rPr>
          <w:sz w:val="22"/>
          <w:szCs w:val="22"/>
        </w:rPr>
        <w:t xml:space="preserve">Given the wide variation in HUD programs utilizing the information collection, recipient organizations may submit form information in different ways. Data collected may be submitted </w:t>
      </w:r>
      <w:r w:rsidRPr="00590C76" w:rsidR="006B3839">
        <w:rPr>
          <w:sz w:val="22"/>
          <w:szCs w:val="22"/>
        </w:rPr>
        <w:t>annually</w:t>
      </w:r>
      <w:r w:rsidRPr="00590C76">
        <w:rPr>
          <w:sz w:val="22"/>
          <w:szCs w:val="22"/>
        </w:rPr>
        <w:t xml:space="preserve"> through program-specific electronic systems, which include: </w:t>
      </w:r>
      <w:r w:rsidRPr="00590C76" w:rsidR="00783034">
        <w:rPr>
          <w:sz w:val="22"/>
          <w:szCs w:val="22"/>
        </w:rPr>
        <w:t xml:space="preserve">grants.gov, </w:t>
      </w:r>
      <w:r w:rsidRPr="00590C76">
        <w:rPr>
          <w:sz w:val="22"/>
          <w:szCs w:val="22"/>
        </w:rPr>
        <w:t xml:space="preserve">GrantSolutions, </w:t>
      </w:r>
      <w:r w:rsidRPr="00590C76">
        <w:rPr>
          <w:sz w:val="22"/>
          <w:szCs w:val="22"/>
        </w:rPr>
        <w:t>esnaps</w:t>
      </w:r>
      <w:r w:rsidRPr="00590C76">
        <w:rPr>
          <w:sz w:val="22"/>
          <w:szCs w:val="22"/>
        </w:rPr>
        <w:t>,</w:t>
      </w:r>
      <w:r w:rsidR="009E4AE3">
        <w:rPr>
          <w:sz w:val="22"/>
          <w:szCs w:val="22"/>
        </w:rPr>
        <w:t xml:space="preserve"> Sage,</w:t>
      </w:r>
      <w:r w:rsidRPr="00590C76">
        <w:rPr>
          <w:sz w:val="22"/>
          <w:szCs w:val="22"/>
        </w:rPr>
        <w:t xml:space="preserve"> DRGR, PIC. But all data collected must be kept in the</w:t>
      </w:r>
      <w:r w:rsidRPr="00590C76" w:rsidR="00F63B02">
        <w:rPr>
          <w:sz w:val="22"/>
          <w:szCs w:val="22"/>
        </w:rPr>
        <w:t xml:space="preserve"> recipients</w:t>
      </w:r>
      <w:r w:rsidRPr="00590C76">
        <w:rPr>
          <w:sz w:val="22"/>
          <w:szCs w:val="22"/>
        </w:rPr>
        <w:t xml:space="preserve">’ program files </w:t>
      </w:r>
      <w:r w:rsidRPr="00590C76" w:rsidR="007D1C70">
        <w:rPr>
          <w:sz w:val="22"/>
          <w:szCs w:val="22"/>
        </w:rPr>
        <w:t xml:space="preserve">and </w:t>
      </w:r>
      <w:r w:rsidRPr="00590C76">
        <w:rPr>
          <w:sz w:val="22"/>
          <w:szCs w:val="22"/>
        </w:rPr>
        <w:t xml:space="preserve">may be </w:t>
      </w:r>
      <w:r w:rsidRPr="00590C76" w:rsidR="007D1C70">
        <w:rPr>
          <w:sz w:val="22"/>
          <w:szCs w:val="22"/>
        </w:rPr>
        <w:t>collected during a Federal audit or monitoring event</w:t>
      </w:r>
      <w:r w:rsidRPr="00590C76">
        <w:rPr>
          <w:sz w:val="22"/>
          <w:szCs w:val="22"/>
        </w:rPr>
        <w:t xml:space="preserve">.  </w:t>
      </w:r>
      <w:r w:rsidRPr="00590C76" w:rsidR="00C16702">
        <w:rPr>
          <w:sz w:val="22"/>
          <w:szCs w:val="22"/>
        </w:rPr>
        <w:t xml:space="preserve"> </w:t>
      </w:r>
    </w:p>
    <w:p w:rsidR="004A3A2F" w:rsidRPr="00590C76" w:rsidP="00EF5A94" w14:paraId="33C446C4" w14:textId="77777777">
      <w:pPr>
        <w:pStyle w:val="NoSpacing"/>
        <w:ind w:left="720"/>
        <w:rPr>
          <w:sz w:val="22"/>
          <w:szCs w:val="22"/>
        </w:rPr>
      </w:pPr>
    </w:p>
    <w:p w:rsidR="00E40B43" w:rsidRPr="00590C76" w14:paraId="256D304D" w14:textId="36862A2C">
      <w:pPr>
        <w:pStyle w:val="NoSpacing"/>
        <w:ind w:left="720"/>
        <w:rPr>
          <w:sz w:val="22"/>
          <w:szCs w:val="22"/>
        </w:rPr>
      </w:pPr>
      <w:r w:rsidRPr="00590C76">
        <w:rPr>
          <w:sz w:val="22"/>
          <w:szCs w:val="22"/>
        </w:rPr>
        <w:t>The standardization of th</w:t>
      </w:r>
      <w:r w:rsidRPr="00590C76" w:rsidR="004A3A2F">
        <w:rPr>
          <w:sz w:val="22"/>
          <w:szCs w:val="22"/>
        </w:rPr>
        <w:t>is</w:t>
      </w:r>
      <w:r w:rsidRPr="00590C76">
        <w:rPr>
          <w:sz w:val="22"/>
          <w:szCs w:val="22"/>
        </w:rPr>
        <w:t xml:space="preserve"> collection allows HUD to analyze the data </w:t>
      </w:r>
      <w:r w:rsidRPr="00590C76" w:rsidR="00492C4F">
        <w:rPr>
          <w:sz w:val="22"/>
          <w:szCs w:val="22"/>
        </w:rPr>
        <w:t xml:space="preserve">collected </w:t>
      </w:r>
      <w:r w:rsidRPr="00590C76">
        <w:rPr>
          <w:sz w:val="22"/>
          <w:szCs w:val="22"/>
        </w:rPr>
        <w:t xml:space="preserve">across grants and across HUD programs. </w:t>
      </w:r>
      <w:r w:rsidRPr="00590C76" w:rsidR="00C16702">
        <w:rPr>
          <w:sz w:val="22"/>
          <w:szCs w:val="22"/>
        </w:rPr>
        <w:t xml:space="preserve">Also, data reported </w:t>
      </w:r>
      <w:r w:rsidRPr="00590C76" w:rsidR="00C16702">
        <w:rPr>
          <w:noProof/>
          <w:sz w:val="22"/>
          <w:szCs w:val="22"/>
        </w:rPr>
        <w:t xml:space="preserve">will be used by HUD </w:t>
      </w:r>
      <w:r w:rsidRPr="00590C76" w:rsidR="00AE4439">
        <w:rPr>
          <w:noProof/>
          <w:sz w:val="22"/>
          <w:szCs w:val="22"/>
        </w:rPr>
        <w:t>to determine compliance with civil rights laws</w:t>
      </w:r>
      <w:r w:rsidRPr="00590C76" w:rsidR="00750CA4">
        <w:rPr>
          <w:noProof/>
          <w:sz w:val="22"/>
          <w:szCs w:val="22"/>
        </w:rPr>
        <w:t>.</w:t>
      </w:r>
      <w:r w:rsidRPr="00590C76" w:rsidR="00C16702">
        <w:rPr>
          <w:noProof/>
          <w:sz w:val="22"/>
          <w:szCs w:val="22"/>
        </w:rPr>
        <w:t xml:space="preserve">  </w:t>
      </w:r>
      <w:r w:rsidRPr="00590C76" w:rsidR="00EF5A94">
        <w:rPr>
          <w:sz w:val="22"/>
          <w:szCs w:val="22"/>
        </w:rPr>
        <w:t>The form</w:t>
      </w:r>
      <w:r w:rsidRPr="00590C76">
        <w:rPr>
          <w:sz w:val="22"/>
          <w:szCs w:val="22"/>
        </w:rPr>
        <w:t xml:space="preserve"> is a mandatory submission for all HUD programs not </w:t>
      </w:r>
      <w:r w:rsidRPr="00590C76" w:rsidR="00B3718B">
        <w:rPr>
          <w:sz w:val="22"/>
          <w:szCs w:val="22"/>
        </w:rPr>
        <w:t>excepted</w:t>
      </w:r>
      <w:r w:rsidRPr="00590C76">
        <w:rPr>
          <w:sz w:val="22"/>
          <w:szCs w:val="22"/>
        </w:rPr>
        <w:t xml:space="preserve"> </w:t>
      </w:r>
      <w:r w:rsidRPr="00590C76" w:rsidR="00B3718B">
        <w:rPr>
          <w:sz w:val="22"/>
          <w:szCs w:val="22"/>
        </w:rPr>
        <w:t>by</w:t>
      </w:r>
      <w:r w:rsidRPr="00590C76">
        <w:rPr>
          <w:sz w:val="22"/>
          <w:szCs w:val="22"/>
        </w:rPr>
        <w:t xml:space="preserve"> the requirements of the</w:t>
      </w:r>
      <w:r w:rsidRPr="00590C76" w:rsidR="00AE4439">
        <w:rPr>
          <w:sz w:val="22"/>
          <w:szCs w:val="22"/>
        </w:rPr>
        <w:t xml:space="preserve"> Fair Housing Act and the </w:t>
      </w:r>
      <w:r w:rsidRPr="00590C76">
        <w:rPr>
          <w:sz w:val="22"/>
          <w:szCs w:val="22"/>
        </w:rPr>
        <w:t xml:space="preserve">Civil Rights Act of 1964. </w:t>
      </w:r>
    </w:p>
    <w:p w:rsidR="00E40B43" w:rsidRPr="00590C76" w14:paraId="34D29A26" w14:textId="60EB1705">
      <w:pPr>
        <w:pStyle w:val="NoSpacing"/>
        <w:ind w:left="720"/>
        <w:rPr>
          <w:sz w:val="22"/>
          <w:szCs w:val="22"/>
        </w:rPr>
      </w:pPr>
    </w:p>
    <w:p w:rsidR="002F27E8" w:rsidRPr="00590C76" w:rsidP="005E3C6B" w14:paraId="3C13A1AF" w14:textId="03A3EB8E">
      <w:pPr>
        <w:pStyle w:val="NoSpacing"/>
        <w:numPr>
          <w:ilvl w:val="0"/>
          <w:numId w:val="14"/>
        </w:numPr>
        <w:rPr>
          <w:b/>
          <w:bCs/>
          <w:noProof/>
          <w:sz w:val="22"/>
          <w:szCs w:val="22"/>
        </w:rPr>
      </w:pPr>
      <w:r w:rsidRPr="00590C76">
        <w:rPr>
          <w:b/>
          <w:bCs/>
          <w:noProof/>
          <w:sz w:val="22"/>
          <w:szCs w:val="22"/>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E8145B" w:rsidRPr="00590C76" w:rsidP="002F27E8" w14:paraId="4A49F9F6" w14:textId="588077E2">
      <w:pPr>
        <w:pStyle w:val="NoSpacing"/>
        <w:ind w:left="720"/>
        <w:rPr>
          <w:noProof/>
          <w:sz w:val="22"/>
          <w:szCs w:val="22"/>
        </w:rPr>
      </w:pPr>
      <w:r w:rsidRPr="00590C76">
        <w:rPr>
          <w:noProof/>
          <w:sz w:val="22"/>
          <w:szCs w:val="22"/>
        </w:rPr>
        <w:t>Th</w:t>
      </w:r>
      <w:r w:rsidRPr="00590C76" w:rsidR="00025DDC">
        <w:rPr>
          <w:noProof/>
          <w:sz w:val="22"/>
          <w:szCs w:val="22"/>
        </w:rPr>
        <w:t>is</w:t>
      </w:r>
      <w:r w:rsidRPr="00590C76">
        <w:rPr>
          <w:noProof/>
          <w:sz w:val="22"/>
          <w:szCs w:val="22"/>
        </w:rPr>
        <w:t xml:space="preserve"> form</w:t>
      </w:r>
      <w:r w:rsidRPr="00590C76" w:rsidR="00025DDC">
        <w:rPr>
          <w:noProof/>
          <w:sz w:val="22"/>
          <w:szCs w:val="22"/>
        </w:rPr>
        <w:t xml:space="preserve"> is </w:t>
      </w:r>
      <w:r w:rsidRPr="00590C76">
        <w:rPr>
          <w:noProof/>
          <w:sz w:val="22"/>
          <w:szCs w:val="22"/>
        </w:rPr>
        <w:t>download</w:t>
      </w:r>
      <w:r w:rsidRPr="00590C76" w:rsidR="00B3718B">
        <w:rPr>
          <w:noProof/>
          <w:sz w:val="22"/>
          <w:szCs w:val="22"/>
        </w:rPr>
        <w:t>able</w:t>
      </w:r>
      <w:r w:rsidRPr="00590C76">
        <w:rPr>
          <w:noProof/>
          <w:sz w:val="22"/>
          <w:szCs w:val="22"/>
        </w:rPr>
        <w:t xml:space="preserve"> </w:t>
      </w:r>
      <w:r w:rsidRPr="00590C76" w:rsidR="0019397F">
        <w:rPr>
          <w:noProof/>
          <w:sz w:val="22"/>
          <w:szCs w:val="22"/>
        </w:rPr>
        <w:t>from</w:t>
      </w:r>
      <w:r w:rsidRPr="00590C76">
        <w:rPr>
          <w:noProof/>
          <w:sz w:val="22"/>
          <w:szCs w:val="22"/>
        </w:rPr>
        <w:t xml:space="preserve"> </w:t>
      </w:r>
      <w:r w:rsidRPr="00590C76" w:rsidR="0019397F">
        <w:rPr>
          <w:noProof/>
          <w:sz w:val="22"/>
          <w:szCs w:val="22"/>
        </w:rPr>
        <w:t>Gran</w:t>
      </w:r>
      <w:r w:rsidRPr="00590C76" w:rsidR="000302A7">
        <w:rPr>
          <w:noProof/>
          <w:sz w:val="22"/>
          <w:szCs w:val="22"/>
        </w:rPr>
        <w:t>t</w:t>
      </w:r>
      <w:r w:rsidRPr="00590C76" w:rsidR="0019397F">
        <w:rPr>
          <w:noProof/>
          <w:sz w:val="22"/>
          <w:szCs w:val="22"/>
        </w:rPr>
        <w:t>s.gov</w:t>
      </w:r>
      <w:r w:rsidRPr="00590C76" w:rsidR="002F27E8">
        <w:rPr>
          <w:noProof/>
          <w:sz w:val="22"/>
          <w:szCs w:val="22"/>
        </w:rPr>
        <w:t xml:space="preserve"> with each application package,</w:t>
      </w:r>
      <w:r w:rsidRPr="00590C76" w:rsidR="00025DDC">
        <w:rPr>
          <w:noProof/>
          <w:sz w:val="22"/>
          <w:szCs w:val="22"/>
        </w:rPr>
        <w:t xml:space="preserve"> and</w:t>
      </w:r>
      <w:r w:rsidRPr="00590C76" w:rsidR="002F27E8">
        <w:rPr>
          <w:noProof/>
          <w:sz w:val="22"/>
          <w:szCs w:val="22"/>
        </w:rPr>
        <w:t xml:space="preserve"> from</w:t>
      </w:r>
      <w:r w:rsidRPr="00590C76" w:rsidR="00025DDC">
        <w:rPr>
          <w:noProof/>
          <w:sz w:val="22"/>
          <w:szCs w:val="22"/>
        </w:rPr>
        <w:t xml:space="preserve"> </w:t>
      </w:r>
      <w:r w:rsidRPr="00590C76" w:rsidR="00696C35">
        <w:rPr>
          <w:noProof/>
          <w:sz w:val="22"/>
          <w:szCs w:val="22"/>
        </w:rPr>
        <w:t>www.hud.gov, in both Microsoft Word and PDF formats.</w:t>
      </w:r>
      <w:r w:rsidRPr="00590C76" w:rsidR="00F736CB">
        <w:rPr>
          <w:noProof/>
          <w:sz w:val="22"/>
          <w:szCs w:val="22"/>
        </w:rPr>
        <w:t xml:space="preserve">  Applicants are made aware of the location of the form within the NOFO and recipients are made aware in the award terms and conditions.</w:t>
      </w:r>
    </w:p>
    <w:p w:rsidR="00E8145B" w:rsidRPr="00590C76" w:rsidP="005E3C6B" w14:paraId="1307240B" w14:textId="77777777">
      <w:pPr>
        <w:pStyle w:val="NoSpacing"/>
        <w:rPr>
          <w:color w:val="000000"/>
          <w:sz w:val="22"/>
          <w:szCs w:val="22"/>
        </w:rPr>
      </w:pPr>
    </w:p>
    <w:p w:rsidR="002F27E8" w:rsidRPr="00590C76" w:rsidP="005E3C6B" w14:paraId="25E7D2AA" w14:textId="47D4CB20">
      <w:pPr>
        <w:pStyle w:val="NoSpacing"/>
        <w:numPr>
          <w:ilvl w:val="0"/>
          <w:numId w:val="14"/>
        </w:numPr>
        <w:rPr>
          <w:b/>
          <w:bCs/>
          <w:color w:val="000000"/>
          <w:sz w:val="22"/>
          <w:szCs w:val="22"/>
        </w:rPr>
      </w:pPr>
      <w:r w:rsidRPr="00590C76">
        <w:rPr>
          <w:b/>
          <w:bCs/>
          <w:color w:val="000000"/>
          <w:sz w:val="22"/>
          <w:szCs w:val="22"/>
        </w:rPr>
        <w:t>Describe efforts to identify duplication. Show specifically why any similar information already available cannot be used or modified for use for the purposes described in Item 2 above.</w:t>
      </w:r>
    </w:p>
    <w:p w:rsidR="00E8145B" w:rsidRPr="00590C76" w:rsidP="002F27E8" w14:paraId="13FE6D06" w14:textId="3F9D1F10">
      <w:pPr>
        <w:pStyle w:val="NoSpacing"/>
        <w:ind w:left="720"/>
        <w:rPr>
          <w:color w:val="000000"/>
          <w:sz w:val="22"/>
          <w:szCs w:val="22"/>
        </w:rPr>
      </w:pPr>
      <w:r w:rsidRPr="00590C76">
        <w:rPr>
          <w:noProof/>
          <w:sz w:val="22"/>
          <w:szCs w:val="22"/>
        </w:rPr>
        <w:t xml:space="preserve">The </w:t>
      </w:r>
      <w:r w:rsidRPr="00590C76" w:rsidR="002A672F">
        <w:rPr>
          <w:noProof/>
          <w:sz w:val="22"/>
          <w:szCs w:val="22"/>
        </w:rPr>
        <w:t xml:space="preserve">form </w:t>
      </w:r>
      <w:r w:rsidRPr="00590C76" w:rsidR="00D53175">
        <w:rPr>
          <w:noProof/>
          <w:sz w:val="22"/>
          <w:szCs w:val="22"/>
        </w:rPr>
        <w:t xml:space="preserve">uniformly collects information across </w:t>
      </w:r>
      <w:r w:rsidRPr="00590C76" w:rsidR="002A672F">
        <w:rPr>
          <w:noProof/>
          <w:sz w:val="22"/>
          <w:szCs w:val="22"/>
        </w:rPr>
        <w:t xml:space="preserve">applicants </w:t>
      </w:r>
      <w:r w:rsidRPr="00590C76" w:rsidR="00D53175">
        <w:rPr>
          <w:noProof/>
          <w:sz w:val="22"/>
          <w:szCs w:val="22"/>
        </w:rPr>
        <w:t>and funding years</w:t>
      </w:r>
      <w:r w:rsidRPr="00590C76">
        <w:rPr>
          <w:noProof/>
          <w:sz w:val="22"/>
          <w:szCs w:val="22"/>
        </w:rPr>
        <w:t xml:space="preserve">. The collection is not duplicative. </w:t>
      </w:r>
      <w:r w:rsidRPr="00590C76" w:rsidR="002F27E8">
        <w:rPr>
          <w:noProof/>
          <w:sz w:val="22"/>
          <w:szCs w:val="22"/>
        </w:rPr>
        <w:t>HUD requires all program offices to use the data elements in this collection. Program offices may add to but cannot remove data elements from collections.</w:t>
      </w:r>
    </w:p>
    <w:p w:rsidR="00E8145B" w:rsidRPr="00590C76" w:rsidP="005E3C6B" w14:paraId="22A94D68" w14:textId="77777777">
      <w:pPr>
        <w:pStyle w:val="NoSpacing"/>
        <w:rPr>
          <w:color w:val="000000"/>
          <w:sz w:val="22"/>
          <w:szCs w:val="22"/>
        </w:rPr>
      </w:pPr>
    </w:p>
    <w:p w:rsidR="002F27E8" w:rsidRPr="00590C76" w:rsidP="005E3C6B" w14:paraId="6D7836BC" w14:textId="4B47A226">
      <w:pPr>
        <w:pStyle w:val="NoSpacing"/>
        <w:numPr>
          <w:ilvl w:val="0"/>
          <w:numId w:val="14"/>
        </w:numPr>
        <w:rPr>
          <w:b/>
          <w:bCs/>
          <w:color w:val="000000"/>
          <w:sz w:val="22"/>
          <w:szCs w:val="22"/>
        </w:rPr>
      </w:pPr>
      <w:r w:rsidRPr="00590C76">
        <w:rPr>
          <w:b/>
          <w:bCs/>
          <w:color w:val="000000"/>
          <w:sz w:val="22"/>
          <w:szCs w:val="22"/>
        </w:rPr>
        <w:t>If the collection of information impacts small businesses or other small entities, describe any methods used to minimize burden.</w:t>
      </w:r>
    </w:p>
    <w:p w:rsidR="00E8145B" w:rsidRPr="00590C76" w:rsidP="002F27E8" w14:paraId="540B5A88" w14:textId="01C49441">
      <w:pPr>
        <w:pStyle w:val="NoSpacing"/>
        <w:ind w:left="720"/>
        <w:rPr>
          <w:color w:val="000000"/>
          <w:sz w:val="22"/>
          <w:szCs w:val="22"/>
        </w:rPr>
      </w:pPr>
      <w:r w:rsidRPr="00590C76">
        <w:rPr>
          <w:noProof/>
          <w:sz w:val="22"/>
          <w:szCs w:val="22"/>
        </w:rPr>
        <w:t>This collection does not have a significant economic impact on small businesses or entities.</w:t>
      </w:r>
    </w:p>
    <w:p w:rsidR="00E8145B" w:rsidRPr="00590C76" w:rsidP="005E3C6B" w14:paraId="529D05BF" w14:textId="77777777">
      <w:pPr>
        <w:pStyle w:val="NoSpacing"/>
        <w:rPr>
          <w:color w:val="000000"/>
          <w:sz w:val="22"/>
          <w:szCs w:val="22"/>
        </w:rPr>
      </w:pPr>
    </w:p>
    <w:p w:rsidR="002F27E8" w:rsidRPr="00590C76" w:rsidP="005E3C6B" w14:paraId="1EA26AA8" w14:textId="46B15675">
      <w:pPr>
        <w:pStyle w:val="NoSpacing"/>
        <w:numPr>
          <w:ilvl w:val="0"/>
          <w:numId w:val="14"/>
        </w:numPr>
        <w:rPr>
          <w:b/>
          <w:bCs/>
          <w:color w:val="000000"/>
          <w:sz w:val="22"/>
          <w:szCs w:val="22"/>
        </w:rPr>
      </w:pPr>
      <w:r w:rsidRPr="00590C76">
        <w:rPr>
          <w:b/>
          <w:bCs/>
          <w:color w:val="000000"/>
          <w:sz w:val="22"/>
          <w:szCs w:val="22"/>
        </w:rPr>
        <w:t>Describe the consequence to Federal program or policy activities if the collection is not conducted or is conducted less frequently, as well as any technical or legal obstacles to reducing burden.</w:t>
      </w:r>
    </w:p>
    <w:p w:rsidR="00E8145B" w:rsidRPr="00590C76" w:rsidP="002F27E8" w14:paraId="6CF25144" w14:textId="46F0CAD7">
      <w:pPr>
        <w:pStyle w:val="NoSpacing"/>
        <w:ind w:left="720"/>
        <w:rPr>
          <w:color w:val="000000"/>
          <w:sz w:val="22"/>
          <w:szCs w:val="22"/>
        </w:rPr>
      </w:pPr>
      <w:r w:rsidRPr="00590C76">
        <w:rPr>
          <w:noProof/>
          <w:sz w:val="22"/>
          <w:szCs w:val="22"/>
        </w:rPr>
        <w:t xml:space="preserve">If </w:t>
      </w:r>
      <w:r w:rsidRPr="00590C76" w:rsidR="00D53175">
        <w:rPr>
          <w:noProof/>
          <w:sz w:val="22"/>
          <w:szCs w:val="22"/>
        </w:rPr>
        <w:t xml:space="preserve">form </w:t>
      </w:r>
      <w:r w:rsidRPr="00590C76">
        <w:rPr>
          <w:noProof/>
          <w:sz w:val="22"/>
          <w:szCs w:val="22"/>
        </w:rPr>
        <w:t xml:space="preserve">content was reduced, HUD staff’s ability to </w:t>
      </w:r>
      <w:r w:rsidRPr="00590C76" w:rsidR="00D53175">
        <w:rPr>
          <w:noProof/>
          <w:sz w:val="22"/>
          <w:szCs w:val="22"/>
        </w:rPr>
        <w:t>comply with</w:t>
      </w:r>
      <w:r w:rsidRPr="00590C76" w:rsidR="00892A6E">
        <w:rPr>
          <w:noProof/>
          <w:sz w:val="22"/>
          <w:szCs w:val="22"/>
        </w:rPr>
        <w:t xml:space="preserve"> the Fair Housing Act and</w:t>
      </w:r>
      <w:r w:rsidRPr="00590C76" w:rsidR="00D53175">
        <w:rPr>
          <w:noProof/>
          <w:sz w:val="22"/>
          <w:szCs w:val="22"/>
        </w:rPr>
        <w:t xml:space="preserve"> Title VI of the Civil Rights Act of 1964 </w:t>
      </w:r>
      <w:r w:rsidRPr="00590C76">
        <w:rPr>
          <w:noProof/>
          <w:sz w:val="22"/>
          <w:szCs w:val="22"/>
        </w:rPr>
        <w:t>could be impaired.</w:t>
      </w:r>
      <w:r w:rsidRPr="00590C76" w:rsidR="00F11734">
        <w:rPr>
          <w:noProof/>
          <w:sz w:val="22"/>
          <w:szCs w:val="22"/>
        </w:rPr>
        <w:t xml:space="preserve">  </w:t>
      </w:r>
      <w:r w:rsidRPr="00590C76" w:rsidR="00D53175">
        <w:rPr>
          <w:noProof/>
          <w:sz w:val="22"/>
          <w:szCs w:val="22"/>
        </w:rPr>
        <w:t xml:space="preserve">The information reported on the form </w:t>
      </w:r>
      <w:r w:rsidRPr="00590C76" w:rsidR="00F11734">
        <w:rPr>
          <w:noProof/>
          <w:sz w:val="22"/>
          <w:szCs w:val="22"/>
        </w:rPr>
        <w:t xml:space="preserve">is part of the accountability mandated by </w:t>
      </w:r>
      <w:r w:rsidRPr="00590C76" w:rsidR="00107067">
        <w:rPr>
          <w:noProof/>
          <w:sz w:val="22"/>
          <w:szCs w:val="22"/>
        </w:rPr>
        <w:t>Title VI of the Civil Rights Act of 1964</w:t>
      </w:r>
      <w:r w:rsidRPr="00590C76" w:rsidR="00F11734">
        <w:rPr>
          <w:noProof/>
          <w:sz w:val="22"/>
          <w:szCs w:val="22"/>
        </w:rPr>
        <w:t xml:space="preserve">, with respect to HUD assistance made available and awarded.  </w:t>
      </w:r>
    </w:p>
    <w:p w:rsidR="00E8145B" w:rsidRPr="00590C76" w:rsidP="005E3C6B" w14:paraId="27249896" w14:textId="77777777">
      <w:pPr>
        <w:pStyle w:val="NoSpacing"/>
        <w:rPr>
          <w:color w:val="000000"/>
          <w:sz w:val="22"/>
          <w:szCs w:val="22"/>
        </w:rPr>
      </w:pPr>
    </w:p>
    <w:p w:rsidR="002F27E8" w:rsidRPr="00590C76" w:rsidP="00511B22" w14:paraId="06D68BA7" w14:textId="568C65D1">
      <w:pPr>
        <w:pStyle w:val="NoSpacing"/>
        <w:numPr>
          <w:ilvl w:val="0"/>
          <w:numId w:val="14"/>
        </w:numPr>
        <w:rPr>
          <w:b/>
          <w:bCs/>
          <w:sz w:val="22"/>
          <w:szCs w:val="22"/>
        </w:rPr>
      </w:pPr>
      <w:r w:rsidRPr="00590C76">
        <w:rPr>
          <w:b/>
          <w:bCs/>
          <w:sz w:val="22"/>
          <w:szCs w:val="22"/>
        </w:rPr>
        <w:t>Explain any special circumstances that would cause an information collection to be conducted in a manner:</w:t>
      </w:r>
    </w:p>
    <w:p w:rsidR="00511B22" w:rsidRPr="00590C76" w:rsidP="002F27E8" w14:paraId="41FE8823" w14:textId="1252A026">
      <w:pPr>
        <w:pStyle w:val="NoSpacing"/>
        <w:ind w:left="720"/>
        <w:rPr>
          <w:sz w:val="22"/>
          <w:szCs w:val="22"/>
        </w:rPr>
      </w:pPr>
      <w:r w:rsidRPr="00590C76">
        <w:rPr>
          <w:sz w:val="22"/>
          <w:szCs w:val="22"/>
        </w:rPr>
        <w:t xml:space="preserve">There are no special circumstances required in the collection of the information. </w:t>
      </w:r>
      <w:bookmarkStart w:id="1" w:name="_Hlk117577573"/>
      <w:r w:rsidRPr="00590C76">
        <w:rPr>
          <w:sz w:val="22"/>
          <w:szCs w:val="22"/>
        </w:rPr>
        <w:t>The following circumstances do not apply to this collection:</w:t>
      </w:r>
    </w:p>
    <w:p w:rsidR="00511B22" w:rsidRPr="00590C76" w:rsidP="00511B22" w14:paraId="5CB971CB" w14:textId="77777777">
      <w:pPr>
        <w:pStyle w:val="ListParagraph"/>
        <w:rPr>
          <w:sz w:val="22"/>
          <w:szCs w:val="22"/>
        </w:rPr>
      </w:pPr>
    </w:p>
    <w:p w:rsidR="00511B22" w:rsidRPr="00590C76" w:rsidP="00511B22" w14:paraId="514F52BC" w14:textId="77777777">
      <w:pPr>
        <w:pStyle w:val="NoSpacing"/>
        <w:numPr>
          <w:ilvl w:val="0"/>
          <w:numId w:val="16"/>
        </w:numPr>
        <w:ind w:left="1080"/>
        <w:rPr>
          <w:sz w:val="22"/>
          <w:szCs w:val="22"/>
        </w:rPr>
      </w:pPr>
      <w:r w:rsidRPr="00590C76">
        <w:rPr>
          <w:sz w:val="22"/>
          <w:szCs w:val="22"/>
        </w:rPr>
        <w:t xml:space="preserve">requiring respondents to report information to the agency more than quarterly; </w:t>
      </w:r>
      <w:bookmarkStart w:id="2" w:name="_Hlk117772938"/>
      <w:r w:rsidRPr="00590C76">
        <w:rPr>
          <w:b/>
          <w:bCs/>
          <w:sz w:val="22"/>
          <w:szCs w:val="22"/>
        </w:rPr>
        <w:t>N/A</w:t>
      </w:r>
      <w:bookmarkEnd w:id="2"/>
    </w:p>
    <w:p w:rsidR="00511B22" w:rsidRPr="00590C76" w:rsidP="00511B22" w14:paraId="6B25D5E7" w14:textId="77777777">
      <w:pPr>
        <w:pStyle w:val="NoSpacing"/>
        <w:numPr>
          <w:ilvl w:val="0"/>
          <w:numId w:val="17"/>
        </w:numPr>
        <w:ind w:left="1080"/>
        <w:rPr>
          <w:sz w:val="22"/>
          <w:szCs w:val="22"/>
        </w:rPr>
      </w:pPr>
      <w:r w:rsidRPr="00590C76">
        <w:rPr>
          <w:sz w:val="22"/>
          <w:szCs w:val="22"/>
        </w:rPr>
        <w:t>requiring respondents to prepare a written response to a collection of information in fewer than 30 days after receipt of it;</w:t>
      </w:r>
      <w:r w:rsidRPr="00590C76">
        <w:rPr>
          <w:b/>
          <w:bCs/>
          <w:sz w:val="22"/>
          <w:szCs w:val="22"/>
        </w:rPr>
        <w:t xml:space="preserve"> N/A</w:t>
      </w:r>
    </w:p>
    <w:p w:rsidR="00511B22" w:rsidRPr="00590C76" w:rsidP="00511B22" w14:paraId="258BF66E" w14:textId="77777777">
      <w:pPr>
        <w:pStyle w:val="NoSpacing"/>
        <w:numPr>
          <w:ilvl w:val="0"/>
          <w:numId w:val="17"/>
        </w:numPr>
        <w:ind w:left="1080"/>
        <w:rPr>
          <w:sz w:val="22"/>
          <w:szCs w:val="22"/>
        </w:rPr>
      </w:pPr>
      <w:r w:rsidRPr="00590C76">
        <w:rPr>
          <w:sz w:val="22"/>
          <w:szCs w:val="22"/>
        </w:rPr>
        <w:t xml:space="preserve">requiring respondents to submit more than an original and two copies of any document; </w:t>
      </w:r>
      <w:r w:rsidRPr="00590C76">
        <w:rPr>
          <w:b/>
          <w:bCs/>
          <w:sz w:val="22"/>
          <w:szCs w:val="22"/>
        </w:rPr>
        <w:t>N/A</w:t>
      </w:r>
    </w:p>
    <w:p w:rsidR="00511B22" w:rsidRPr="00590C76" w:rsidP="00511B22" w14:paraId="0579A904" w14:textId="77777777">
      <w:pPr>
        <w:pStyle w:val="NoSpacing"/>
        <w:numPr>
          <w:ilvl w:val="0"/>
          <w:numId w:val="17"/>
        </w:numPr>
        <w:ind w:left="1080"/>
        <w:rPr>
          <w:sz w:val="22"/>
          <w:szCs w:val="22"/>
        </w:rPr>
      </w:pPr>
      <w:r w:rsidRPr="00590C76">
        <w:rPr>
          <w:sz w:val="22"/>
          <w:szCs w:val="22"/>
        </w:rPr>
        <w:t xml:space="preserve">requiring respondents to retain records other than health, medical, government contract, grant-in-aid, or tax records for more than three years; </w:t>
      </w:r>
      <w:r w:rsidRPr="00590C76">
        <w:rPr>
          <w:b/>
          <w:bCs/>
          <w:sz w:val="22"/>
          <w:szCs w:val="22"/>
        </w:rPr>
        <w:t>N/A</w:t>
      </w:r>
    </w:p>
    <w:p w:rsidR="00511B22" w:rsidRPr="00590C76" w:rsidP="00511B22" w14:paraId="2755A3C5" w14:textId="77777777">
      <w:pPr>
        <w:pStyle w:val="NoSpacing"/>
        <w:numPr>
          <w:ilvl w:val="0"/>
          <w:numId w:val="17"/>
        </w:numPr>
        <w:ind w:left="1080"/>
        <w:rPr>
          <w:sz w:val="22"/>
          <w:szCs w:val="22"/>
        </w:rPr>
      </w:pPr>
      <w:r w:rsidRPr="00590C76">
        <w:rPr>
          <w:sz w:val="22"/>
          <w:szCs w:val="22"/>
        </w:rPr>
        <w:t xml:space="preserve">in connection with a statistical survey, that is not designed to produce valid and reliable results than can be generalized to the universe of study; </w:t>
      </w:r>
      <w:r w:rsidRPr="00590C76">
        <w:rPr>
          <w:b/>
          <w:bCs/>
          <w:sz w:val="22"/>
          <w:szCs w:val="22"/>
        </w:rPr>
        <w:t>N/A</w:t>
      </w:r>
    </w:p>
    <w:p w:rsidR="00511B22" w:rsidRPr="00590C76" w:rsidP="00511B22" w14:paraId="1B788194" w14:textId="77777777">
      <w:pPr>
        <w:pStyle w:val="NoSpacing"/>
        <w:numPr>
          <w:ilvl w:val="0"/>
          <w:numId w:val="17"/>
        </w:numPr>
        <w:ind w:left="1080"/>
        <w:rPr>
          <w:sz w:val="22"/>
          <w:szCs w:val="22"/>
        </w:rPr>
      </w:pPr>
      <w:r w:rsidRPr="00590C76">
        <w:rPr>
          <w:sz w:val="22"/>
          <w:szCs w:val="22"/>
        </w:rPr>
        <w:t xml:space="preserve">requiring the use of a statistical data classification that has not been reviewed and approved by OMB; </w:t>
      </w:r>
      <w:r w:rsidRPr="00590C76">
        <w:rPr>
          <w:b/>
          <w:bCs/>
          <w:sz w:val="22"/>
          <w:szCs w:val="22"/>
        </w:rPr>
        <w:t>N/A</w:t>
      </w:r>
    </w:p>
    <w:p w:rsidR="00511B22" w:rsidRPr="00590C76" w:rsidP="00511B22" w14:paraId="790FC967" w14:textId="77777777">
      <w:pPr>
        <w:pStyle w:val="NoSpacing"/>
        <w:numPr>
          <w:ilvl w:val="0"/>
          <w:numId w:val="17"/>
        </w:numPr>
        <w:ind w:left="1080"/>
        <w:rPr>
          <w:sz w:val="22"/>
          <w:szCs w:val="22"/>
        </w:rPr>
      </w:pPr>
      <w:r w:rsidRPr="00590C76">
        <w:rPr>
          <w:sz w:val="22"/>
          <w:szCs w:val="22"/>
        </w:rPr>
        <w:t xml:space="preserve">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 </w:t>
      </w:r>
      <w:r w:rsidRPr="00590C76">
        <w:rPr>
          <w:b/>
          <w:bCs/>
          <w:sz w:val="22"/>
          <w:szCs w:val="22"/>
        </w:rPr>
        <w:t>N/A</w:t>
      </w:r>
    </w:p>
    <w:p w:rsidR="00511B22" w:rsidRPr="00590C76" w:rsidP="00511B22" w14:paraId="6DAE6EEC" w14:textId="02DFC8BA">
      <w:pPr>
        <w:pStyle w:val="NoSpacing"/>
        <w:numPr>
          <w:ilvl w:val="0"/>
          <w:numId w:val="17"/>
        </w:numPr>
        <w:ind w:left="1080"/>
        <w:rPr>
          <w:sz w:val="22"/>
          <w:szCs w:val="22"/>
        </w:rPr>
      </w:pPr>
      <w:r w:rsidRPr="00590C76">
        <w:rPr>
          <w:sz w:val="22"/>
          <w:szCs w:val="22"/>
        </w:rPr>
        <w:t xml:space="preserve">requiring respondents to submit proprietary trade secret, or other confidential information unless the agency can demonstrate that it has instituted procedures </w:t>
      </w:r>
      <w:bookmarkEnd w:id="1"/>
      <w:r w:rsidRPr="00590C76">
        <w:rPr>
          <w:sz w:val="22"/>
          <w:szCs w:val="22"/>
        </w:rPr>
        <w:t>to protect the information's confidentiality to the extent permitted by law.</w:t>
      </w:r>
      <w:r w:rsidRPr="00590C76">
        <w:rPr>
          <w:b/>
          <w:bCs/>
          <w:sz w:val="22"/>
          <w:szCs w:val="22"/>
        </w:rPr>
        <w:t xml:space="preserve"> N/A</w:t>
      </w:r>
      <w:r w:rsidRPr="00590C76">
        <w:rPr>
          <w:sz w:val="22"/>
          <w:szCs w:val="22"/>
        </w:rPr>
        <w:t xml:space="preserve">         </w:t>
      </w:r>
    </w:p>
    <w:p w:rsidR="002F66C5" w:rsidRPr="00590C76" w:rsidP="005E3C6B" w14:paraId="57E25356" w14:textId="77777777">
      <w:pPr>
        <w:pStyle w:val="ListParagraph"/>
        <w:rPr>
          <w:sz w:val="22"/>
          <w:szCs w:val="22"/>
        </w:rPr>
      </w:pPr>
    </w:p>
    <w:p w:rsidR="002F27E8" w:rsidRPr="00590C76" w:rsidP="00D53175" w14:paraId="7F9D6EC6" w14:textId="32638001">
      <w:pPr>
        <w:pStyle w:val="NoSpacing"/>
        <w:numPr>
          <w:ilvl w:val="0"/>
          <w:numId w:val="14"/>
        </w:numPr>
        <w:rPr>
          <w:b/>
          <w:bCs/>
          <w:sz w:val="22"/>
          <w:szCs w:val="22"/>
        </w:rPr>
      </w:pPr>
      <w:r w:rsidRPr="00590C76">
        <w:rPr>
          <w:b/>
          <w:bCs/>
          <w:sz w:val="22"/>
          <w:szCs w:val="22"/>
        </w:rPr>
        <w:t>If applicable, provide a copy and identify the date and page number of publication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 Describe efforts to consult with persons outside the agency to obtain their views on the availability of data, frequency of collection, the clarity of instructions and recordkeeping, disclosure, or reporting format (if any), and on the data elements to be recorded, disclosed, or reported. 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606FD8" w:rsidP="00C1202A" w14:paraId="315E4747" w14:textId="77777777">
      <w:pPr>
        <w:pStyle w:val="ListParagraph"/>
        <w:rPr>
          <w:color w:val="000000"/>
          <w:sz w:val="22"/>
          <w:szCs w:val="22"/>
        </w:rPr>
      </w:pPr>
      <w:r w:rsidRPr="00C1202A">
        <w:rPr>
          <w:color w:val="000000"/>
          <w:sz w:val="22"/>
          <w:szCs w:val="22"/>
        </w:rPr>
        <w:t xml:space="preserve">In accordance with the Paperwork Reduction Act of 1995 (Pub. L. 104-13) and Office of Management and Budget (OMB) regulations at 5 CFR Part 1320 (60 FR 44978, August 29, 1995), </w:t>
      </w:r>
      <w:r>
        <w:rPr>
          <w:color w:val="000000"/>
          <w:sz w:val="22"/>
          <w:szCs w:val="22"/>
        </w:rPr>
        <w:t>HUD</w:t>
      </w:r>
      <w:r w:rsidRPr="00C1202A">
        <w:rPr>
          <w:color w:val="000000"/>
          <w:sz w:val="22"/>
          <w:szCs w:val="22"/>
        </w:rPr>
        <w:t xml:space="preserve"> published a notice in the Federal Register announcing the agency’s intention to request an OMB review of this information collection activity.  This notice was published on June 1</w:t>
      </w:r>
      <w:r>
        <w:rPr>
          <w:color w:val="000000"/>
          <w:sz w:val="22"/>
          <w:szCs w:val="22"/>
        </w:rPr>
        <w:t>2</w:t>
      </w:r>
      <w:r w:rsidRPr="00C1202A">
        <w:rPr>
          <w:color w:val="000000"/>
          <w:sz w:val="22"/>
          <w:szCs w:val="22"/>
        </w:rPr>
        <w:t>, 2026 (</w:t>
      </w:r>
      <w:r w:rsidRPr="00482D69" w:rsidR="00482D69">
        <w:rPr>
          <w:color w:val="000000"/>
          <w:sz w:val="22"/>
          <w:szCs w:val="22"/>
        </w:rPr>
        <w:t>91 FR 35697</w:t>
      </w:r>
      <w:r w:rsidRPr="00C1202A">
        <w:rPr>
          <w:color w:val="000000"/>
          <w:sz w:val="22"/>
          <w:szCs w:val="22"/>
        </w:rPr>
        <w:t xml:space="preserve">) and provided a sixty-day period for public comment.  During the notice and comment period, </w:t>
      </w:r>
      <w:r w:rsidR="00482D69">
        <w:rPr>
          <w:color w:val="000000"/>
          <w:sz w:val="22"/>
          <w:szCs w:val="22"/>
        </w:rPr>
        <w:t xml:space="preserve">HUD received six </w:t>
      </w:r>
      <w:r w:rsidRPr="00C1202A">
        <w:rPr>
          <w:color w:val="000000"/>
          <w:sz w:val="22"/>
          <w:szCs w:val="22"/>
        </w:rPr>
        <w:t>comments.</w:t>
      </w:r>
    </w:p>
    <w:tbl>
      <w:tblPr>
        <w:tblW w:w="5000" w:type="pct"/>
        <w:tblLook w:val="04A0"/>
      </w:tblPr>
      <w:tblGrid>
        <w:gridCol w:w="1505"/>
        <w:gridCol w:w="8277"/>
      </w:tblGrid>
      <w:tr w14:paraId="0A636E73" w14:textId="77777777" w:rsidTr="00660252">
        <w:tblPrEx>
          <w:tblW w:w="5000" w:type="pct"/>
          <w:tblLook w:val="04A0"/>
        </w:tblPrEx>
        <w:trPr>
          <w:trHeight w:val="2100"/>
        </w:trPr>
        <w:tc>
          <w:tcPr>
            <w:tcW w:w="769" w:type="pct"/>
            <w:tcBorders>
              <w:top w:val="single" w:sz="4" w:space="0" w:color="808080"/>
              <w:left w:val="single" w:sz="4" w:space="0" w:color="808080"/>
              <w:bottom w:val="single" w:sz="4" w:space="0" w:color="808080"/>
              <w:right w:val="single" w:sz="4" w:space="0" w:color="808080"/>
            </w:tcBorders>
            <w:noWrap/>
            <w:hideMark/>
          </w:tcPr>
          <w:p w:rsidR="00606FD8" w:rsidRPr="00660252" w:rsidP="00606FD8" w14:paraId="5423A4F3" w14:textId="38C7C000">
            <w:pPr>
              <w:overflowPunct/>
              <w:autoSpaceDE/>
              <w:autoSpaceDN/>
              <w:adjustRightInd/>
              <w:textAlignment w:val="auto"/>
              <w:rPr>
                <w:b/>
                <w:bCs/>
                <w:color w:val="000000"/>
                <w:sz w:val="22"/>
                <w:szCs w:val="22"/>
              </w:rPr>
            </w:pPr>
            <w:r w:rsidRPr="00660252">
              <w:rPr>
                <w:b/>
                <w:bCs/>
                <w:color w:val="000000"/>
                <w:sz w:val="22"/>
                <w:szCs w:val="22"/>
              </w:rPr>
              <w:t>Commenter 1</w:t>
            </w:r>
          </w:p>
        </w:tc>
        <w:tc>
          <w:tcPr>
            <w:tcW w:w="4231" w:type="pct"/>
            <w:tcBorders>
              <w:top w:val="single" w:sz="4" w:space="0" w:color="808080"/>
              <w:left w:val="nil"/>
              <w:bottom w:val="single" w:sz="4" w:space="0" w:color="808080"/>
              <w:right w:val="single" w:sz="4" w:space="0" w:color="808080"/>
            </w:tcBorders>
            <w:hideMark/>
          </w:tcPr>
          <w:p w:rsidR="00606FD8" w:rsidRPr="00660252" w:rsidP="00606FD8" w14:paraId="767BE740" w14:textId="72785ACA">
            <w:pPr>
              <w:overflowPunct/>
              <w:autoSpaceDE/>
              <w:autoSpaceDN/>
              <w:adjustRightInd/>
              <w:textAlignment w:val="auto"/>
              <w:rPr>
                <w:color w:val="000000"/>
                <w:sz w:val="22"/>
                <w:szCs w:val="22"/>
              </w:rPr>
            </w:pPr>
            <w:r w:rsidRPr="00660252">
              <w:rPr>
                <w:b/>
                <w:bCs/>
                <w:color w:val="000000"/>
                <w:sz w:val="22"/>
                <w:szCs w:val="22"/>
              </w:rPr>
              <w:t>Comment</w:t>
            </w:r>
            <w:r w:rsidRPr="00660252">
              <w:rPr>
                <w:color w:val="000000"/>
                <w:sz w:val="22"/>
                <w:szCs w:val="22"/>
              </w:rPr>
              <w:t>: A commenter expressed concern that local compliance officers, housing managers, and PHAs improperly exclude foster children and children in the adoption process from total household size headcount because their foster or adoption stipends are excluded from income calculations. The commenter recommended adding explicit instruction language decoupling income exclusions from headcount determinations on eligibility forms to prevent wrongful program disqualifications based on Area Median Income (AMI) thresholds.</w:t>
            </w:r>
            <w:r w:rsidRPr="00660252">
              <w:rPr>
                <w:color w:val="000000"/>
                <w:sz w:val="22"/>
                <w:szCs w:val="22"/>
              </w:rPr>
              <w:br/>
            </w:r>
            <w:r w:rsidRPr="00660252">
              <w:rPr>
                <w:b/>
                <w:bCs/>
                <w:color w:val="000000"/>
                <w:sz w:val="22"/>
                <w:szCs w:val="22"/>
              </w:rPr>
              <w:br/>
              <w:t>HUD Response</w:t>
            </w:r>
            <w:r w:rsidRPr="00660252">
              <w:rPr>
                <w:color w:val="000000"/>
                <w:sz w:val="22"/>
                <w:szCs w:val="22"/>
              </w:rPr>
              <w:t xml:space="preserve">: HUD appreciates the commenter's detailed and substantive feedback regarding the accounting of foster youth and children in the process of adoption in </w:t>
            </w:r>
            <w:r w:rsidRPr="00660252">
              <w:rPr>
                <w:color w:val="000000"/>
                <w:sz w:val="22"/>
                <w:szCs w:val="22"/>
              </w:rPr>
              <w:t>household size calculations. However, this comment falls outside the scope of the specific information collection and document number associated with this notice. While the feedback does not apply to this specific PRA package, HUD recognizes the importance of clear guidance on household composition and AMI determination. The comment has been forwarded to the appropriate program office within the Department for further review and consideration.</w:t>
            </w:r>
          </w:p>
        </w:tc>
      </w:tr>
      <w:tr w14:paraId="03FD413B" w14:textId="77777777" w:rsidTr="00660252">
        <w:tblPrEx>
          <w:tblW w:w="5000" w:type="pct"/>
          <w:tblLook w:val="04A0"/>
        </w:tblPrEx>
        <w:trPr>
          <w:trHeight w:val="1800"/>
        </w:trPr>
        <w:tc>
          <w:tcPr>
            <w:tcW w:w="769" w:type="pct"/>
            <w:tcBorders>
              <w:top w:val="nil"/>
              <w:left w:val="single" w:sz="4" w:space="0" w:color="808080"/>
              <w:bottom w:val="single" w:sz="4" w:space="0" w:color="808080"/>
              <w:right w:val="single" w:sz="4" w:space="0" w:color="808080"/>
            </w:tcBorders>
            <w:noWrap/>
            <w:hideMark/>
          </w:tcPr>
          <w:p w:rsidR="00606FD8" w:rsidRPr="00660252" w:rsidP="00606FD8" w14:paraId="14DC32F2" w14:textId="2A33C6F9">
            <w:pPr>
              <w:overflowPunct/>
              <w:autoSpaceDE/>
              <w:autoSpaceDN/>
              <w:adjustRightInd/>
              <w:textAlignment w:val="auto"/>
              <w:rPr>
                <w:b/>
                <w:bCs/>
                <w:color w:val="000000"/>
                <w:sz w:val="22"/>
                <w:szCs w:val="22"/>
              </w:rPr>
            </w:pPr>
            <w:r w:rsidRPr="00660252">
              <w:rPr>
                <w:b/>
                <w:bCs/>
                <w:color w:val="000000"/>
                <w:sz w:val="22"/>
                <w:szCs w:val="22"/>
              </w:rPr>
              <w:t>Commenter 2</w:t>
            </w:r>
          </w:p>
        </w:tc>
        <w:tc>
          <w:tcPr>
            <w:tcW w:w="4231" w:type="pct"/>
            <w:tcBorders>
              <w:top w:val="nil"/>
              <w:left w:val="nil"/>
              <w:bottom w:val="single" w:sz="4" w:space="0" w:color="808080"/>
              <w:right w:val="single" w:sz="4" w:space="0" w:color="808080"/>
            </w:tcBorders>
            <w:hideMark/>
          </w:tcPr>
          <w:p w:rsidR="00606FD8" w:rsidRPr="00660252" w:rsidP="00606FD8" w14:paraId="5E9B3997" w14:textId="0A41B0BE">
            <w:pPr>
              <w:overflowPunct/>
              <w:autoSpaceDE/>
              <w:autoSpaceDN/>
              <w:adjustRightInd/>
              <w:textAlignment w:val="auto"/>
              <w:rPr>
                <w:color w:val="000000"/>
                <w:sz w:val="22"/>
                <w:szCs w:val="22"/>
              </w:rPr>
            </w:pPr>
            <w:r w:rsidRPr="00660252">
              <w:rPr>
                <w:b/>
                <w:bCs/>
                <w:color w:val="000000"/>
                <w:sz w:val="22"/>
                <w:szCs w:val="22"/>
              </w:rPr>
              <w:t>Comment</w:t>
            </w:r>
            <w:r w:rsidRPr="00660252">
              <w:rPr>
                <w:color w:val="000000"/>
                <w:sz w:val="22"/>
                <w:szCs w:val="22"/>
              </w:rPr>
              <w:t>: A civil rights organization expressed strong support for the proposed collection of demographic information, including data on race, ethnicity, disability status, and other protected characteristics. The commenter emphasized that demographic data collection is lawful, longstanding, and essential for monitoring compliance with civil rights laws, evaluating program equity, and fulfilling HUD's statutory obligation to affirmatively further fair housing (AFFH).</w:t>
            </w:r>
            <w:r w:rsidRPr="00660252">
              <w:rPr>
                <w:color w:val="000000"/>
                <w:sz w:val="22"/>
                <w:szCs w:val="22"/>
              </w:rPr>
              <w:br/>
            </w:r>
            <w:r w:rsidRPr="00660252">
              <w:rPr>
                <w:color w:val="000000"/>
                <w:sz w:val="22"/>
                <w:szCs w:val="22"/>
              </w:rPr>
              <w:br/>
            </w:r>
            <w:r w:rsidRPr="00660252">
              <w:rPr>
                <w:b/>
                <w:bCs/>
                <w:color w:val="000000"/>
                <w:sz w:val="22"/>
                <w:szCs w:val="22"/>
              </w:rPr>
              <w:t>HUD Response</w:t>
            </w:r>
            <w:r w:rsidRPr="00660252">
              <w:rPr>
                <w:color w:val="000000"/>
                <w:sz w:val="22"/>
                <w:szCs w:val="22"/>
              </w:rPr>
              <w:t>: HUD appreciates the commenter's support and agrees that collecting complete and accurate demographic data is vital to ensuring federal housing programs operate in compliance with federal civil rights obligations. HUD will proceed with the information collection as proposed.</w:t>
            </w:r>
          </w:p>
        </w:tc>
      </w:tr>
      <w:tr w14:paraId="7D80858E" w14:textId="77777777" w:rsidTr="00660252">
        <w:tblPrEx>
          <w:tblW w:w="5000" w:type="pct"/>
          <w:tblLook w:val="04A0"/>
        </w:tblPrEx>
        <w:trPr>
          <w:trHeight w:val="2100"/>
        </w:trPr>
        <w:tc>
          <w:tcPr>
            <w:tcW w:w="769" w:type="pct"/>
            <w:tcBorders>
              <w:top w:val="nil"/>
              <w:left w:val="single" w:sz="4" w:space="0" w:color="808080"/>
              <w:bottom w:val="nil"/>
              <w:right w:val="single" w:sz="4" w:space="0" w:color="808080"/>
            </w:tcBorders>
            <w:noWrap/>
            <w:hideMark/>
          </w:tcPr>
          <w:p w:rsidR="00606FD8" w:rsidRPr="00660252" w:rsidP="00606FD8" w14:paraId="44C1C43D" w14:textId="12D3615B">
            <w:pPr>
              <w:overflowPunct/>
              <w:autoSpaceDE/>
              <w:autoSpaceDN/>
              <w:adjustRightInd/>
              <w:textAlignment w:val="auto"/>
              <w:rPr>
                <w:b/>
                <w:bCs/>
                <w:color w:val="000000"/>
                <w:sz w:val="22"/>
                <w:szCs w:val="22"/>
              </w:rPr>
            </w:pPr>
            <w:r w:rsidRPr="00660252">
              <w:rPr>
                <w:b/>
                <w:bCs/>
                <w:color w:val="000000"/>
                <w:sz w:val="22"/>
                <w:szCs w:val="22"/>
              </w:rPr>
              <w:t>Commenter 3</w:t>
            </w:r>
          </w:p>
        </w:tc>
        <w:tc>
          <w:tcPr>
            <w:tcW w:w="4231" w:type="pct"/>
            <w:tcBorders>
              <w:top w:val="nil"/>
              <w:left w:val="nil"/>
              <w:bottom w:val="single" w:sz="4" w:space="0" w:color="808080"/>
              <w:right w:val="single" w:sz="4" w:space="0" w:color="808080"/>
            </w:tcBorders>
            <w:hideMark/>
          </w:tcPr>
          <w:p w:rsidR="00606FD8" w:rsidRPr="00660252" w:rsidP="00606FD8" w14:paraId="58923ED0" w14:textId="2BDD2BA1">
            <w:pPr>
              <w:overflowPunct/>
              <w:autoSpaceDE/>
              <w:autoSpaceDN/>
              <w:adjustRightInd/>
              <w:textAlignment w:val="auto"/>
              <w:rPr>
                <w:color w:val="000000"/>
                <w:sz w:val="22"/>
                <w:szCs w:val="22"/>
              </w:rPr>
            </w:pPr>
            <w:r w:rsidRPr="00660252">
              <w:rPr>
                <w:b/>
                <w:bCs/>
                <w:color w:val="000000"/>
                <w:sz w:val="22"/>
                <w:szCs w:val="22"/>
              </w:rPr>
              <w:t xml:space="preserve">Comment </w:t>
            </w:r>
            <w:r w:rsidRPr="00660252" w:rsidR="006B3839">
              <w:rPr>
                <w:b/>
                <w:bCs/>
                <w:color w:val="000000"/>
                <w:sz w:val="22"/>
                <w:szCs w:val="22"/>
              </w:rPr>
              <w:t>3</w:t>
            </w:r>
            <w:r w:rsidRPr="00660252">
              <w:rPr>
                <w:b/>
                <w:bCs/>
                <w:color w:val="000000"/>
                <w:sz w:val="22"/>
                <w:szCs w:val="22"/>
              </w:rPr>
              <w:t>.1</w:t>
            </w:r>
            <w:r w:rsidRPr="00660252">
              <w:rPr>
                <w:color w:val="000000"/>
                <w:sz w:val="22"/>
                <w:szCs w:val="22"/>
              </w:rPr>
              <w:t>: A commenter noted a discrepancy between the 60-day FR notice abstract/title and the actual data collected by HUD-27061 form. Specifically, the commenter stated that while the notice referenced "other protected class data," the instrument itself only collects race and ethnicity data.  The commenter requested clarification regarding the scope of the form and HUD's data collection practices.</w:t>
            </w:r>
            <w:r w:rsidRPr="00660252">
              <w:rPr>
                <w:color w:val="000000"/>
                <w:sz w:val="22"/>
                <w:szCs w:val="22"/>
              </w:rPr>
              <w:br/>
            </w:r>
            <w:r w:rsidRPr="00660252">
              <w:rPr>
                <w:color w:val="000000"/>
                <w:sz w:val="22"/>
                <w:szCs w:val="22"/>
              </w:rPr>
              <w:br/>
            </w:r>
            <w:r w:rsidRPr="00660252">
              <w:rPr>
                <w:b/>
                <w:bCs/>
                <w:color w:val="000000"/>
                <w:sz w:val="22"/>
                <w:szCs w:val="22"/>
              </w:rPr>
              <w:t xml:space="preserve">HUD Response </w:t>
            </w:r>
            <w:r w:rsidRPr="00660252" w:rsidR="006B3839">
              <w:rPr>
                <w:b/>
                <w:bCs/>
                <w:color w:val="000000"/>
                <w:sz w:val="22"/>
                <w:szCs w:val="22"/>
              </w:rPr>
              <w:t>3</w:t>
            </w:r>
            <w:r w:rsidRPr="00660252">
              <w:rPr>
                <w:b/>
                <w:bCs/>
                <w:color w:val="000000"/>
                <w:sz w:val="22"/>
                <w:szCs w:val="22"/>
              </w:rPr>
              <w:t>.1</w:t>
            </w:r>
            <w:r w:rsidRPr="00660252">
              <w:rPr>
                <w:color w:val="000000"/>
                <w:sz w:val="22"/>
                <w:szCs w:val="22"/>
              </w:rPr>
              <w:t>: HUD agrees with the commenter regarding the scope and title description. The official title of HUD-27061 form is the "Race and Ethnic Data Reporting Form," and its scope is limited strictly to race and ethnicity data collection. References in the 60-day notice to "other protected class data" were included in error and will be removed. Data collection and reporting on disability/handicap and family status are program-specific efforts covered under separate Paperwork Reduction Act (PRA) clearance packages. HUD will make the appropriate adjustments to the scope, title, and abstract in the 30-day FR notice prior to publication.</w:t>
            </w:r>
          </w:p>
        </w:tc>
      </w:tr>
      <w:tr w14:paraId="6F3CFCCB" w14:textId="77777777" w:rsidTr="00660252">
        <w:tblPrEx>
          <w:tblW w:w="5000" w:type="pct"/>
          <w:tblLook w:val="04A0"/>
        </w:tblPrEx>
        <w:trPr>
          <w:trHeight w:val="2400"/>
        </w:trPr>
        <w:tc>
          <w:tcPr>
            <w:tcW w:w="769" w:type="pct"/>
            <w:tcBorders>
              <w:top w:val="nil"/>
              <w:left w:val="single" w:sz="4" w:space="0" w:color="808080"/>
              <w:bottom w:val="nil"/>
              <w:right w:val="single" w:sz="4" w:space="0" w:color="808080"/>
            </w:tcBorders>
            <w:noWrap/>
            <w:hideMark/>
          </w:tcPr>
          <w:p w:rsidR="00606FD8" w:rsidRPr="00660252" w:rsidP="00606FD8" w14:paraId="46908A2D" w14:textId="77777777">
            <w:pPr>
              <w:overflowPunct/>
              <w:autoSpaceDE/>
              <w:autoSpaceDN/>
              <w:adjustRightInd/>
              <w:textAlignment w:val="auto"/>
              <w:rPr>
                <w:b/>
                <w:bCs/>
                <w:color w:val="000000"/>
                <w:sz w:val="22"/>
                <w:szCs w:val="22"/>
              </w:rPr>
            </w:pPr>
            <w:r w:rsidRPr="00660252">
              <w:rPr>
                <w:b/>
                <w:bCs/>
                <w:color w:val="000000"/>
                <w:sz w:val="22"/>
                <w:szCs w:val="22"/>
              </w:rPr>
              <w:t> </w:t>
            </w:r>
          </w:p>
        </w:tc>
        <w:tc>
          <w:tcPr>
            <w:tcW w:w="4231" w:type="pct"/>
            <w:tcBorders>
              <w:top w:val="nil"/>
              <w:left w:val="nil"/>
              <w:bottom w:val="single" w:sz="4" w:space="0" w:color="808080"/>
              <w:right w:val="single" w:sz="4" w:space="0" w:color="808080"/>
            </w:tcBorders>
            <w:hideMark/>
          </w:tcPr>
          <w:p w:rsidR="00606FD8" w:rsidRPr="00660252" w:rsidP="00606FD8" w14:paraId="3211C846" w14:textId="412D5F63">
            <w:pPr>
              <w:overflowPunct/>
              <w:autoSpaceDE/>
              <w:autoSpaceDN/>
              <w:adjustRightInd/>
              <w:textAlignment w:val="auto"/>
              <w:rPr>
                <w:color w:val="000000"/>
                <w:sz w:val="22"/>
                <w:szCs w:val="22"/>
              </w:rPr>
            </w:pPr>
            <w:r w:rsidRPr="00660252">
              <w:rPr>
                <w:b/>
                <w:bCs/>
                <w:color w:val="000000"/>
                <w:sz w:val="22"/>
                <w:szCs w:val="22"/>
              </w:rPr>
              <w:t xml:space="preserve">Comment </w:t>
            </w:r>
            <w:r w:rsidRPr="00660252" w:rsidR="006B3839">
              <w:rPr>
                <w:b/>
                <w:bCs/>
                <w:color w:val="000000"/>
                <w:sz w:val="22"/>
                <w:szCs w:val="22"/>
              </w:rPr>
              <w:t>3</w:t>
            </w:r>
            <w:r w:rsidRPr="00660252">
              <w:rPr>
                <w:b/>
                <w:bCs/>
                <w:color w:val="000000"/>
                <w:sz w:val="22"/>
                <w:szCs w:val="22"/>
              </w:rPr>
              <w:t>.2</w:t>
            </w:r>
            <w:r w:rsidRPr="00660252">
              <w:rPr>
                <w:color w:val="000000"/>
                <w:sz w:val="22"/>
                <w:szCs w:val="22"/>
              </w:rPr>
              <w:t>: A commenter raised concerns regarding HUD's burden hour estimate, arguing that if the collection genuinely encompassed "other protected class data" (such as disability-related characteristics), the 0.50 hour per response and 8,625 total annual burden hours would be understated. The commenter noted that carrying over the prior burden estimate indicates the instrument is limited to race and ethnicity data and urged HUD to either update the burden calculation to include "other protected class" data reporting (option 1) or update the scope so it's limited to race and ethnicity data reporting (option 2).</w:t>
            </w:r>
            <w:r w:rsidRPr="00660252">
              <w:rPr>
                <w:color w:val="000000"/>
                <w:sz w:val="22"/>
                <w:szCs w:val="22"/>
              </w:rPr>
              <w:br/>
            </w:r>
            <w:r w:rsidRPr="00660252">
              <w:rPr>
                <w:color w:val="000000"/>
                <w:sz w:val="22"/>
                <w:szCs w:val="22"/>
              </w:rPr>
              <w:br/>
            </w:r>
            <w:r w:rsidRPr="00660252">
              <w:rPr>
                <w:b/>
                <w:bCs/>
                <w:color w:val="000000"/>
                <w:sz w:val="22"/>
                <w:szCs w:val="22"/>
              </w:rPr>
              <w:t xml:space="preserve">HUD Response </w:t>
            </w:r>
            <w:r w:rsidRPr="00660252" w:rsidR="006B3839">
              <w:rPr>
                <w:b/>
                <w:bCs/>
                <w:color w:val="000000"/>
                <w:sz w:val="22"/>
                <w:szCs w:val="22"/>
              </w:rPr>
              <w:t>3</w:t>
            </w:r>
            <w:r w:rsidRPr="00660252">
              <w:rPr>
                <w:b/>
                <w:bCs/>
                <w:color w:val="000000"/>
                <w:sz w:val="22"/>
                <w:szCs w:val="22"/>
              </w:rPr>
              <w:t>.2</w:t>
            </w:r>
            <w:r w:rsidRPr="00660252">
              <w:rPr>
                <w:color w:val="000000"/>
                <w:sz w:val="22"/>
                <w:szCs w:val="22"/>
              </w:rPr>
              <w:t xml:space="preserve">: HUD agrees with the commenter's observation and confirms that option 2 presented by the commenter is correct: the burden estimate is accurate because HUD-27061 form collects strictly race and ethnicity data. The reference to "other protected class data" in the prior Federal Register notice abstract was included in error and </w:t>
            </w:r>
            <w:r w:rsidRPr="00660252">
              <w:rPr>
                <w:color w:val="000000"/>
                <w:sz w:val="22"/>
                <w:szCs w:val="22"/>
              </w:rPr>
              <w:t>overdescribed</w:t>
            </w:r>
            <w:r w:rsidRPr="00660252">
              <w:rPr>
                <w:color w:val="000000"/>
                <w:sz w:val="22"/>
                <w:szCs w:val="22"/>
              </w:rPr>
              <w:t xml:space="preserve"> the scope. This specific clearance package accounts solely for the burden associated with reporting race and ethnicity. Data collection and reporting burden for disability/handicap and family characteristics are program-specific efforts covered under separate PRA packages. HUD will correct the abstract and scope in the 30-day notice to align with the actual instrument and the verified burden estimate.</w:t>
            </w:r>
          </w:p>
        </w:tc>
      </w:tr>
      <w:tr w14:paraId="5ED7A920" w14:textId="77777777" w:rsidTr="00660252">
        <w:tblPrEx>
          <w:tblW w:w="5000" w:type="pct"/>
          <w:tblLook w:val="04A0"/>
        </w:tblPrEx>
        <w:trPr>
          <w:trHeight w:val="2400"/>
        </w:trPr>
        <w:tc>
          <w:tcPr>
            <w:tcW w:w="769" w:type="pct"/>
            <w:tcBorders>
              <w:top w:val="nil"/>
              <w:left w:val="single" w:sz="4" w:space="0" w:color="808080"/>
              <w:bottom w:val="nil"/>
              <w:right w:val="single" w:sz="4" w:space="0" w:color="808080"/>
            </w:tcBorders>
            <w:noWrap/>
            <w:hideMark/>
          </w:tcPr>
          <w:p w:rsidR="00606FD8" w:rsidRPr="00660252" w:rsidP="00606FD8" w14:paraId="11BAF002" w14:textId="77777777">
            <w:pPr>
              <w:overflowPunct/>
              <w:autoSpaceDE/>
              <w:autoSpaceDN/>
              <w:adjustRightInd/>
              <w:textAlignment w:val="auto"/>
              <w:rPr>
                <w:b/>
                <w:bCs/>
                <w:color w:val="000000"/>
                <w:sz w:val="22"/>
                <w:szCs w:val="22"/>
              </w:rPr>
            </w:pPr>
            <w:r w:rsidRPr="00660252">
              <w:rPr>
                <w:b/>
                <w:bCs/>
                <w:color w:val="000000"/>
                <w:sz w:val="22"/>
                <w:szCs w:val="22"/>
              </w:rPr>
              <w:t> </w:t>
            </w:r>
          </w:p>
        </w:tc>
        <w:tc>
          <w:tcPr>
            <w:tcW w:w="4231" w:type="pct"/>
            <w:tcBorders>
              <w:top w:val="nil"/>
              <w:left w:val="nil"/>
              <w:bottom w:val="single" w:sz="4" w:space="0" w:color="808080"/>
              <w:right w:val="single" w:sz="4" w:space="0" w:color="808080"/>
            </w:tcBorders>
            <w:hideMark/>
          </w:tcPr>
          <w:p w:rsidR="00606FD8" w:rsidRPr="00660252" w:rsidP="00606FD8" w14:paraId="4B9644BB" w14:textId="343C5ADE">
            <w:pPr>
              <w:overflowPunct/>
              <w:autoSpaceDE/>
              <w:autoSpaceDN/>
              <w:adjustRightInd/>
              <w:textAlignment w:val="auto"/>
              <w:rPr>
                <w:color w:val="000000"/>
                <w:sz w:val="22"/>
                <w:szCs w:val="22"/>
              </w:rPr>
            </w:pPr>
            <w:r w:rsidRPr="00660252">
              <w:rPr>
                <w:b/>
                <w:bCs/>
                <w:color w:val="000000"/>
                <w:sz w:val="22"/>
                <w:szCs w:val="22"/>
              </w:rPr>
              <w:t xml:space="preserve">Comment </w:t>
            </w:r>
            <w:r w:rsidRPr="00660252" w:rsidR="006B3839">
              <w:rPr>
                <w:b/>
                <w:bCs/>
                <w:color w:val="000000"/>
                <w:sz w:val="22"/>
                <w:szCs w:val="22"/>
              </w:rPr>
              <w:t>3</w:t>
            </w:r>
            <w:r w:rsidRPr="00660252">
              <w:rPr>
                <w:b/>
                <w:bCs/>
                <w:color w:val="000000"/>
                <w:sz w:val="22"/>
                <w:szCs w:val="22"/>
              </w:rPr>
              <w:t>.3</w:t>
            </w:r>
            <w:r w:rsidRPr="00660252">
              <w:rPr>
                <w:color w:val="000000"/>
                <w:sz w:val="22"/>
                <w:szCs w:val="22"/>
              </w:rPr>
              <w:t>: A commenter offered detailed recommendations to enhance the quality, utility, and clarity of the collection. Specifically, the commenter suggested expanding the collection instrument to include aggregate disability-related compliance data--such as accessible-unit inventories under Section 504, reasonable accommodation and modification counts, and Part 121 handicap categories--structured with privacy-tiering safeguards.</w:t>
            </w:r>
            <w:r w:rsidRPr="00660252">
              <w:rPr>
                <w:color w:val="000000"/>
                <w:sz w:val="22"/>
                <w:szCs w:val="22"/>
              </w:rPr>
              <w:br/>
            </w:r>
            <w:r w:rsidRPr="00660252">
              <w:rPr>
                <w:color w:val="000000"/>
                <w:sz w:val="22"/>
                <w:szCs w:val="22"/>
              </w:rPr>
              <w:br/>
            </w:r>
            <w:r w:rsidRPr="00660252">
              <w:rPr>
                <w:b/>
                <w:bCs/>
                <w:color w:val="000000"/>
                <w:sz w:val="22"/>
                <w:szCs w:val="22"/>
              </w:rPr>
              <w:t xml:space="preserve">HUD Response </w:t>
            </w:r>
            <w:r w:rsidRPr="00660252" w:rsidR="006B3839">
              <w:rPr>
                <w:b/>
                <w:bCs/>
                <w:color w:val="000000"/>
                <w:sz w:val="22"/>
                <w:szCs w:val="22"/>
              </w:rPr>
              <w:t>3</w:t>
            </w:r>
            <w:r w:rsidRPr="00660252">
              <w:rPr>
                <w:b/>
                <w:bCs/>
                <w:color w:val="000000"/>
                <w:sz w:val="22"/>
                <w:szCs w:val="22"/>
              </w:rPr>
              <w:t>.3</w:t>
            </w:r>
            <w:r w:rsidRPr="00660252">
              <w:rPr>
                <w:color w:val="000000"/>
                <w:sz w:val="22"/>
                <w:szCs w:val="22"/>
              </w:rPr>
              <w:t xml:space="preserve">: HUD thanks the commenter for these thoughtful suggestions and recommendations. Because HUD-27061 form is narrowly scoped solely for race and ethnicity reporting, the instrument and supporting statement remain unchanged regarding additional data fields. Tracking and reporting disability status, reasonable accommodations, and Section 504 compliance are captured through separate, program-specific collection mechanisms under dedicated PRA packages. As noted in HUD's responses above, HUD will update the FR notice abstract and scope prior to 30-day publication to accurately reflect the narrow focus of this collection.  </w:t>
            </w:r>
          </w:p>
        </w:tc>
      </w:tr>
      <w:tr w14:paraId="5BFD1841" w14:textId="77777777" w:rsidTr="00660252">
        <w:tblPrEx>
          <w:tblW w:w="5000" w:type="pct"/>
          <w:tblLook w:val="04A0"/>
        </w:tblPrEx>
        <w:trPr>
          <w:trHeight w:val="2400"/>
        </w:trPr>
        <w:tc>
          <w:tcPr>
            <w:tcW w:w="769" w:type="pct"/>
            <w:tcBorders>
              <w:top w:val="nil"/>
              <w:left w:val="single" w:sz="4" w:space="0" w:color="808080"/>
              <w:bottom w:val="single" w:sz="4" w:space="0" w:color="808080"/>
              <w:right w:val="single" w:sz="4" w:space="0" w:color="808080"/>
            </w:tcBorders>
            <w:noWrap/>
            <w:hideMark/>
          </w:tcPr>
          <w:p w:rsidR="00606FD8" w:rsidRPr="00660252" w:rsidP="00606FD8" w14:paraId="12801FBF" w14:textId="77777777">
            <w:pPr>
              <w:overflowPunct/>
              <w:autoSpaceDE/>
              <w:autoSpaceDN/>
              <w:adjustRightInd/>
              <w:textAlignment w:val="auto"/>
              <w:rPr>
                <w:b/>
                <w:bCs/>
                <w:color w:val="000000"/>
                <w:sz w:val="22"/>
                <w:szCs w:val="22"/>
              </w:rPr>
            </w:pPr>
            <w:r w:rsidRPr="00660252">
              <w:rPr>
                <w:b/>
                <w:bCs/>
                <w:color w:val="000000"/>
                <w:sz w:val="22"/>
                <w:szCs w:val="22"/>
              </w:rPr>
              <w:t> </w:t>
            </w:r>
          </w:p>
        </w:tc>
        <w:tc>
          <w:tcPr>
            <w:tcW w:w="4231" w:type="pct"/>
            <w:tcBorders>
              <w:top w:val="nil"/>
              <w:left w:val="nil"/>
              <w:bottom w:val="single" w:sz="4" w:space="0" w:color="808080"/>
              <w:right w:val="single" w:sz="4" w:space="0" w:color="808080"/>
            </w:tcBorders>
            <w:hideMark/>
          </w:tcPr>
          <w:p w:rsidR="00606FD8" w:rsidRPr="00660252" w:rsidP="00606FD8" w14:paraId="584EA42C" w14:textId="194FD895">
            <w:pPr>
              <w:overflowPunct/>
              <w:autoSpaceDE/>
              <w:autoSpaceDN/>
              <w:adjustRightInd/>
              <w:textAlignment w:val="auto"/>
              <w:rPr>
                <w:color w:val="000000"/>
                <w:sz w:val="22"/>
                <w:szCs w:val="22"/>
              </w:rPr>
            </w:pPr>
            <w:r w:rsidRPr="00660252">
              <w:rPr>
                <w:b/>
                <w:bCs/>
                <w:color w:val="000000"/>
                <w:sz w:val="22"/>
                <w:szCs w:val="22"/>
              </w:rPr>
              <w:t xml:space="preserve">Comment </w:t>
            </w:r>
            <w:r w:rsidRPr="00660252" w:rsidR="006B3839">
              <w:rPr>
                <w:b/>
                <w:bCs/>
                <w:color w:val="000000"/>
                <w:sz w:val="22"/>
                <w:szCs w:val="22"/>
              </w:rPr>
              <w:t>3</w:t>
            </w:r>
            <w:r w:rsidRPr="00660252">
              <w:rPr>
                <w:b/>
                <w:bCs/>
                <w:color w:val="000000"/>
                <w:sz w:val="22"/>
                <w:szCs w:val="22"/>
              </w:rPr>
              <w:t>.4</w:t>
            </w:r>
            <w:r w:rsidRPr="00660252">
              <w:rPr>
                <w:color w:val="000000"/>
                <w:sz w:val="22"/>
                <w:szCs w:val="22"/>
              </w:rPr>
              <w:t>: A commenter suggested burden-minimizing strategies, including aggregate reporting, electronic and system-integration collection, and phased implementation--specifically regarding disability-compliance data and automated collection techniques.</w:t>
            </w:r>
            <w:r w:rsidRPr="00660252">
              <w:rPr>
                <w:color w:val="000000"/>
                <w:sz w:val="22"/>
                <w:szCs w:val="22"/>
              </w:rPr>
              <w:br/>
            </w:r>
            <w:r w:rsidRPr="00660252">
              <w:rPr>
                <w:color w:val="000000"/>
                <w:sz w:val="22"/>
                <w:szCs w:val="22"/>
              </w:rPr>
              <w:br/>
            </w:r>
            <w:r w:rsidRPr="00660252">
              <w:rPr>
                <w:b/>
                <w:bCs/>
                <w:color w:val="000000"/>
                <w:sz w:val="22"/>
                <w:szCs w:val="22"/>
              </w:rPr>
              <w:t xml:space="preserve">HUD Response </w:t>
            </w:r>
            <w:r w:rsidRPr="00660252" w:rsidR="006B3839">
              <w:rPr>
                <w:b/>
                <w:bCs/>
                <w:color w:val="000000"/>
                <w:sz w:val="22"/>
                <w:szCs w:val="22"/>
              </w:rPr>
              <w:t>3</w:t>
            </w:r>
            <w:r w:rsidRPr="00660252">
              <w:rPr>
                <w:b/>
                <w:bCs/>
                <w:color w:val="000000"/>
                <w:sz w:val="22"/>
                <w:szCs w:val="22"/>
              </w:rPr>
              <w:t>.4</w:t>
            </w:r>
            <w:r w:rsidRPr="00660252">
              <w:rPr>
                <w:color w:val="000000"/>
                <w:sz w:val="22"/>
                <w:szCs w:val="22"/>
              </w:rPr>
              <w:t>: HUD thanks the commenter for these suggestions. Regarding the inclusion of disability data elements, HUD notes that disability-compliance data is outside the scope of HUD-27061 form, which is strictly limited to race and ethnicity reporting. Concerning electronic collection and system integration, HUD agrees with the intent to minimize respondent burden through automated IT solutions. HUD is currently undergoing a department-wide restructuring and consolidation of its various grants management systems. The Department will use this consolidation effort as an opportunity to fully integrate HUD-27061 form into the unified electronic grants management system, streamlining submission and reducing administrative burden for respondents.  In the interim, HUD will continue to encourage its program offices to integrate the form into the dedicated grants management system.</w:t>
            </w:r>
          </w:p>
        </w:tc>
      </w:tr>
      <w:tr w14:paraId="2F4C02AC" w14:textId="77777777" w:rsidTr="00660252">
        <w:tblPrEx>
          <w:tblW w:w="5000" w:type="pct"/>
          <w:tblLook w:val="04A0"/>
        </w:tblPrEx>
        <w:trPr>
          <w:trHeight w:val="3000"/>
        </w:trPr>
        <w:tc>
          <w:tcPr>
            <w:tcW w:w="769" w:type="pct"/>
            <w:tcBorders>
              <w:top w:val="nil"/>
              <w:left w:val="single" w:sz="4" w:space="0" w:color="808080"/>
              <w:bottom w:val="single" w:sz="4" w:space="0" w:color="808080"/>
              <w:right w:val="single" w:sz="4" w:space="0" w:color="808080"/>
            </w:tcBorders>
            <w:noWrap/>
            <w:hideMark/>
          </w:tcPr>
          <w:p w:rsidR="00606FD8" w:rsidRPr="00660252" w:rsidP="00606FD8" w14:paraId="3DF165CF" w14:textId="4F14B52D">
            <w:pPr>
              <w:overflowPunct/>
              <w:autoSpaceDE/>
              <w:autoSpaceDN/>
              <w:adjustRightInd/>
              <w:textAlignment w:val="auto"/>
              <w:rPr>
                <w:b/>
                <w:bCs/>
                <w:color w:val="000000"/>
                <w:sz w:val="22"/>
                <w:szCs w:val="22"/>
              </w:rPr>
            </w:pPr>
            <w:r w:rsidRPr="00660252">
              <w:rPr>
                <w:b/>
                <w:bCs/>
                <w:color w:val="000000"/>
                <w:sz w:val="22"/>
                <w:szCs w:val="22"/>
              </w:rPr>
              <w:t>Commenter 4</w:t>
            </w:r>
          </w:p>
        </w:tc>
        <w:tc>
          <w:tcPr>
            <w:tcW w:w="4231" w:type="pct"/>
            <w:tcBorders>
              <w:top w:val="nil"/>
              <w:left w:val="nil"/>
              <w:bottom w:val="single" w:sz="4" w:space="0" w:color="808080"/>
              <w:right w:val="single" w:sz="4" w:space="0" w:color="808080"/>
            </w:tcBorders>
            <w:hideMark/>
          </w:tcPr>
          <w:p w:rsidR="00606FD8" w:rsidRPr="00660252" w:rsidP="00606FD8" w14:paraId="70DB7CB4" w14:textId="555E29D0">
            <w:pPr>
              <w:overflowPunct/>
              <w:autoSpaceDE/>
              <w:autoSpaceDN/>
              <w:adjustRightInd/>
              <w:textAlignment w:val="auto"/>
              <w:rPr>
                <w:color w:val="000000"/>
                <w:sz w:val="22"/>
                <w:szCs w:val="22"/>
              </w:rPr>
            </w:pPr>
            <w:r w:rsidRPr="00660252">
              <w:rPr>
                <w:b/>
                <w:bCs/>
                <w:color w:val="000000"/>
                <w:sz w:val="22"/>
                <w:szCs w:val="22"/>
              </w:rPr>
              <w:t>Comment</w:t>
            </w:r>
            <w:r w:rsidRPr="00660252">
              <w:rPr>
                <w:color w:val="000000"/>
                <w:sz w:val="22"/>
                <w:szCs w:val="22"/>
              </w:rPr>
              <w:t>: A commenter expressed concern that housing managers and compliance officers conflate income exclusions with household headcount during tenant intake, specifically excluding foster and pre-adoptive youth from total household size counts when using demographic reporting tools like HUD-27061 form. The commenter requested that HUD add mandatory instruction language and automated electronic checks to HUD-27061 form to clarify that non-taxable or excluded stipends do not remove individuals from total household size for Area Median Income (AMI) calculations.</w:t>
            </w:r>
            <w:r w:rsidRPr="00660252">
              <w:rPr>
                <w:color w:val="000000"/>
                <w:sz w:val="22"/>
                <w:szCs w:val="22"/>
              </w:rPr>
              <w:br/>
            </w:r>
            <w:r w:rsidRPr="00660252">
              <w:rPr>
                <w:color w:val="000000"/>
                <w:sz w:val="22"/>
                <w:szCs w:val="22"/>
              </w:rPr>
              <w:br/>
            </w:r>
            <w:r w:rsidRPr="00660252">
              <w:rPr>
                <w:b/>
                <w:bCs/>
                <w:color w:val="000000"/>
                <w:sz w:val="22"/>
                <w:szCs w:val="22"/>
              </w:rPr>
              <w:t>HUD Response</w:t>
            </w:r>
            <w:r w:rsidRPr="00660252">
              <w:rPr>
                <w:color w:val="000000"/>
                <w:sz w:val="22"/>
                <w:szCs w:val="22"/>
              </w:rPr>
              <w:t>: HUD thanks the commenter for bringing attention to this substantive issue regarding household composition and AMI determinations. However, HUD clarifies that agency-wide HUD-27061 form does not collect individual household-level data or calculated household size; rather, it collects aggregate, program-level race and ethnicity data.</w:t>
            </w:r>
            <w:r w:rsidRPr="00660252">
              <w:rPr>
                <w:color w:val="000000"/>
                <w:sz w:val="22"/>
                <w:szCs w:val="22"/>
              </w:rPr>
              <w:br/>
            </w:r>
            <w:r w:rsidRPr="00660252">
              <w:rPr>
                <w:color w:val="000000"/>
                <w:sz w:val="22"/>
                <w:szCs w:val="22"/>
              </w:rPr>
              <w:br/>
              <w:t>The commenter's feedback appears to pertain to program-specific instruments, such HUD-27061-H (Race and Ethnic Data Reporting Form - Housing Owner/Management Agent), which collect household-level data under distinct, program-specific PRA clearance packages. While this feedback is outside the scope of HUD-27061, HUD recognizes the importance of this issue and has shared these comments with the relevant program office and the form owner of HUD-27061-H form for further review and consideration.</w:t>
            </w:r>
          </w:p>
        </w:tc>
      </w:tr>
      <w:tr w14:paraId="0287E8D2" w14:textId="77777777" w:rsidTr="00660252">
        <w:tblPrEx>
          <w:tblW w:w="5000" w:type="pct"/>
          <w:tblLook w:val="04A0"/>
        </w:tblPrEx>
        <w:trPr>
          <w:trHeight w:val="1200"/>
        </w:trPr>
        <w:tc>
          <w:tcPr>
            <w:tcW w:w="769" w:type="pct"/>
            <w:tcBorders>
              <w:top w:val="nil"/>
              <w:left w:val="single" w:sz="4" w:space="0" w:color="808080"/>
              <w:bottom w:val="single" w:sz="4" w:space="0" w:color="808080"/>
              <w:right w:val="single" w:sz="4" w:space="0" w:color="808080"/>
            </w:tcBorders>
            <w:noWrap/>
            <w:hideMark/>
          </w:tcPr>
          <w:p w:rsidR="00606FD8" w:rsidRPr="00660252" w:rsidP="00606FD8" w14:paraId="5265E9F0" w14:textId="4FDE980D">
            <w:pPr>
              <w:overflowPunct/>
              <w:autoSpaceDE/>
              <w:autoSpaceDN/>
              <w:adjustRightInd/>
              <w:textAlignment w:val="auto"/>
              <w:rPr>
                <w:b/>
                <w:bCs/>
                <w:color w:val="000000"/>
                <w:sz w:val="22"/>
                <w:szCs w:val="22"/>
              </w:rPr>
            </w:pPr>
            <w:r w:rsidRPr="00660252">
              <w:rPr>
                <w:b/>
                <w:bCs/>
                <w:color w:val="000000"/>
                <w:sz w:val="22"/>
                <w:szCs w:val="22"/>
              </w:rPr>
              <w:t>Commenter 5</w:t>
            </w:r>
          </w:p>
        </w:tc>
        <w:tc>
          <w:tcPr>
            <w:tcW w:w="4231" w:type="pct"/>
            <w:tcBorders>
              <w:top w:val="nil"/>
              <w:left w:val="nil"/>
              <w:bottom w:val="single" w:sz="4" w:space="0" w:color="808080"/>
              <w:right w:val="single" w:sz="4" w:space="0" w:color="808080"/>
            </w:tcBorders>
            <w:hideMark/>
          </w:tcPr>
          <w:p w:rsidR="00606FD8" w:rsidRPr="00660252" w:rsidP="00606FD8" w14:paraId="2ACC8144" w14:textId="2E6CEA3C">
            <w:pPr>
              <w:overflowPunct/>
              <w:autoSpaceDE/>
              <w:autoSpaceDN/>
              <w:adjustRightInd/>
              <w:textAlignment w:val="auto"/>
              <w:rPr>
                <w:color w:val="000000"/>
                <w:sz w:val="22"/>
                <w:szCs w:val="22"/>
              </w:rPr>
            </w:pPr>
            <w:r w:rsidRPr="00660252">
              <w:rPr>
                <w:b/>
                <w:bCs/>
                <w:color w:val="000000"/>
                <w:sz w:val="22"/>
                <w:szCs w:val="22"/>
              </w:rPr>
              <w:t>Comment</w:t>
            </w:r>
            <w:r w:rsidRPr="00660252">
              <w:rPr>
                <w:color w:val="000000"/>
                <w:sz w:val="22"/>
                <w:szCs w:val="22"/>
              </w:rPr>
              <w:t xml:space="preserve">: A commenter requested copies of proposed instruments and supporting documents submitted to OMB regarding "Standardization Form for Race and Other Demographic Data Reporting Form—HUD 27061." </w:t>
            </w:r>
            <w:r w:rsidRPr="00660252">
              <w:rPr>
                <w:color w:val="000000"/>
                <w:sz w:val="22"/>
                <w:szCs w:val="22"/>
              </w:rPr>
              <w:br/>
            </w:r>
            <w:r w:rsidRPr="00660252">
              <w:rPr>
                <w:color w:val="000000"/>
                <w:sz w:val="22"/>
                <w:szCs w:val="22"/>
              </w:rPr>
              <w:br/>
            </w:r>
            <w:r w:rsidRPr="00660252">
              <w:rPr>
                <w:b/>
                <w:bCs/>
                <w:color w:val="000000"/>
                <w:sz w:val="22"/>
                <w:szCs w:val="22"/>
              </w:rPr>
              <w:t>HUD Response</w:t>
            </w:r>
            <w:r w:rsidRPr="00660252">
              <w:rPr>
                <w:color w:val="000000"/>
                <w:sz w:val="22"/>
                <w:szCs w:val="22"/>
              </w:rPr>
              <w:t>: Supporting Statement and form HUD-27061 provided via Mon 6/22/2026 4:41 PM email.</w:t>
            </w:r>
          </w:p>
        </w:tc>
      </w:tr>
      <w:tr w14:paraId="2E598AD7" w14:textId="77777777" w:rsidTr="00660252">
        <w:tblPrEx>
          <w:tblW w:w="5000" w:type="pct"/>
          <w:tblLook w:val="04A0"/>
        </w:tblPrEx>
        <w:trPr>
          <w:trHeight w:val="1500"/>
        </w:trPr>
        <w:tc>
          <w:tcPr>
            <w:tcW w:w="769" w:type="pct"/>
            <w:tcBorders>
              <w:top w:val="nil"/>
              <w:left w:val="single" w:sz="4" w:space="0" w:color="808080"/>
              <w:bottom w:val="single" w:sz="4" w:space="0" w:color="808080"/>
              <w:right w:val="single" w:sz="4" w:space="0" w:color="808080"/>
            </w:tcBorders>
            <w:noWrap/>
            <w:hideMark/>
          </w:tcPr>
          <w:p w:rsidR="00606FD8" w:rsidRPr="00660252" w:rsidP="00606FD8" w14:paraId="2F209EAD" w14:textId="1AE30E33">
            <w:pPr>
              <w:overflowPunct/>
              <w:autoSpaceDE/>
              <w:autoSpaceDN/>
              <w:adjustRightInd/>
              <w:textAlignment w:val="auto"/>
              <w:rPr>
                <w:b/>
                <w:bCs/>
                <w:color w:val="000000"/>
                <w:sz w:val="22"/>
                <w:szCs w:val="22"/>
              </w:rPr>
            </w:pPr>
            <w:r w:rsidRPr="00660252">
              <w:rPr>
                <w:b/>
                <w:bCs/>
                <w:color w:val="000000"/>
                <w:sz w:val="22"/>
                <w:szCs w:val="22"/>
              </w:rPr>
              <w:t>Commenter 6</w:t>
            </w:r>
          </w:p>
        </w:tc>
        <w:tc>
          <w:tcPr>
            <w:tcW w:w="4231" w:type="pct"/>
            <w:tcBorders>
              <w:top w:val="nil"/>
              <w:left w:val="nil"/>
              <w:bottom w:val="single" w:sz="4" w:space="0" w:color="808080"/>
              <w:right w:val="single" w:sz="4" w:space="0" w:color="808080"/>
            </w:tcBorders>
            <w:hideMark/>
          </w:tcPr>
          <w:p w:rsidR="00606FD8" w:rsidRPr="00660252" w:rsidP="00606FD8" w14:paraId="11741BC2" w14:textId="15B74546">
            <w:pPr>
              <w:overflowPunct/>
              <w:autoSpaceDE/>
              <w:autoSpaceDN/>
              <w:adjustRightInd/>
              <w:textAlignment w:val="auto"/>
              <w:rPr>
                <w:color w:val="000000"/>
                <w:sz w:val="22"/>
                <w:szCs w:val="22"/>
              </w:rPr>
            </w:pPr>
            <w:r w:rsidRPr="00660252">
              <w:rPr>
                <w:b/>
                <w:bCs/>
                <w:color w:val="000000"/>
                <w:sz w:val="22"/>
                <w:szCs w:val="22"/>
              </w:rPr>
              <w:t>Comment</w:t>
            </w:r>
            <w:r w:rsidRPr="00660252">
              <w:rPr>
                <w:color w:val="000000"/>
                <w:sz w:val="22"/>
                <w:szCs w:val="22"/>
              </w:rPr>
              <w:t xml:space="preserve">: A commenter noted a potential conflict and overlap regarding HUD-27061 and HUD-27061-H forms. </w:t>
            </w:r>
            <w:r w:rsidRPr="00660252">
              <w:rPr>
                <w:color w:val="000000"/>
                <w:sz w:val="22"/>
                <w:szCs w:val="22"/>
              </w:rPr>
              <w:br/>
            </w:r>
            <w:r w:rsidRPr="00660252">
              <w:rPr>
                <w:color w:val="000000"/>
                <w:sz w:val="22"/>
                <w:szCs w:val="22"/>
              </w:rPr>
              <w:br/>
            </w:r>
            <w:r w:rsidRPr="00660252">
              <w:rPr>
                <w:b/>
                <w:bCs/>
                <w:color w:val="000000"/>
                <w:sz w:val="22"/>
                <w:szCs w:val="22"/>
              </w:rPr>
              <w:t>HUD Response</w:t>
            </w:r>
            <w:r w:rsidRPr="00660252">
              <w:rPr>
                <w:color w:val="000000"/>
                <w:sz w:val="22"/>
                <w:szCs w:val="22"/>
              </w:rPr>
              <w:t xml:space="preserve">: HUD clarifies that the HUD-27061 form functions as an aggregate grant summary form for high-level roll-up data and </w:t>
            </w:r>
            <w:r w:rsidRPr="004A0719" w:rsidR="004A0719">
              <w:rPr>
                <w:color w:val="000000"/>
                <w:sz w:val="22"/>
                <w:szCs w:val="22"/>
              </w:rPr>
              <w:t>contains</w:t>
            </w:r>
            <w:r w:rsidRPr="00660252">
              <w:rPr>
                <w:color w:val="000000"/>
                <w:sz w:val="22"/>
                <w:szCs w:val="22"/>
              </w:rPr>
              <w:t xml:space="preserve"> no individual household-level information. And HUD-27061-H is designed to capture granular, individual data by household. Because one form collects detailed household data and the other functions purely as a macro-level summary, the two forms complement each other rather than overlap.</w:t>
            </w:r>
          </w:p>
        </w:tc>
      </w:tr>
    </w:tbl>
    <w:p w:rsidR="00C1202A" w:rsidRPr="00C1202A" w:rsidP="00C1202A" w14:paraId="5FD487D4" w14:textId="7153A7EE">
      <w:pPr>
        <w:pStyle w:val="ListParagraph"/>
        <w:rPr>
          <w:color w:val="000000"/>
          <w:sz w:val="22"/>
          <w:szCs w:val="22"/>
        </w:rPr>
      </w:pPr>
      <w:r w:rsidRPr="00C1202A">
        <w:rPr>
          <w:color w:val="000000"/>
          <w:sz w:val="22"/>
          <w:szCs w:val="22"/>
        </w:rPr>
        <w:t xml:space="preserve"> </w:t>
      </w:r>
    </w:p>
    <w:p w:rsidR="002F27E8" w:rsidRPr="00590C76" w:rsidP="005E3C6B" w14:paraId="3AF321F0" w14:textId="03FBAABA">
      <w:pPr>
        <w:pStyle w:val="NoSpacing"/>
        <w:numPr>
          <w:ilvl w:val="0"/>
          <w:numId w:val="14"/>
        </w:numPr>
        <w:rPr>
          <w:b/>
          <w:bCs/>
          <w:color w:val="000000"/>
          <w:sz w:val="22"/>
          <w:szCs w:val="22"/>
        </w:rPr>
      </w:pPr>
      <w:r w:rsidRPr="00590C76">
        <w:rPr>
          <w:b/>
          <w:bCs/>
          <w:color w:val="000000"/>
          <w:sz w:val="22"/>
          <w:szCs w:val="22"/>
        </w:rPr>
        <w:t>Explain any decision to provide any payment or gift to respondents, other than remuneration of contractors or grantees.</w:t>
      </w:r>
    </w:p>
    <w:p w:rsidR="002F66C5" w:rsidRPr="00590C76" w:rsidP="002F27E8" w14:paraId="21E0478F" w14:textId="7C53EE8A">
      <w:pPr>
        <w:pStyle w:val="NoSpacing"/>
        <w:ind w:left="720"/>
        <w:rPr>
          <w:color w:val="000000"/>
          <w:sz w:val="22"/>
          <w:szCs w:val="22"/>
        </w:rPr>
      </w:pPr>
      <w:r w:rsidRPr="00590C76">
        <w:rPr>
          <w:sz w:val="22"/>
          <w:szCs w:val="22"/>
        </w:rPr>
        <w:t>No payments or gifts are provided to respondents.</w:t>
      </w:r>
    </w:p>
    <w:p w:rsidR="002F66C5" w:rsidRPr="00590C76" w:rsidP="005E3C6B" w14:paraId="3425FAE3" w14:textId="77777777">
      <w:pPr>
        <w:pStyle w:val="ListParagraph"/>
        <w:rPr>
          <w:color w:val="000000"/>
          <w:sz w:val="22"/>
          <w:szCs w:val="22"/>
        </w:rPr>
      </w:pPr>
    </w:p>
    <w:p w:rsidR="002F27E8" w:rsidRPr="00590C76" w:rsidP="009B729A" w14:paraId="5FD5135C" w14:textId="4465827B">
      <w:pPr>
        <w:pStyle w:val="NoSpacing"/>
        <w:numPr>
          <w:ilvl w:val="0"/>
          <w:numId w:val="14"/>
        </w:numPr>
        <w:rPr>
          <w:b/>
          <w:bCs/>
          <w:color w:val="000000"/>
          <w:sz w:val="22"/>
          <w:szCs w:val="22"/>
        </w:rPr>
      </w:pPr>
      <w:r w:rsidRPr="00590C76">
        <w:rPr>
          <w:b/>
          <w:bCs/>
          <w:color w:val="000000"/>
          <w:sz w:val="22"/>
          <w:szCs w:val="22"/>
        </w:rPr>
        <w:t>Describe any assurance of confidentiality provided to respondents and the basis for the assurance in statute, regulation, or agency policy. If the collection requires a system of records notice (SORN) or privacy impact assessment (PIA), those should be cited and described here.</w:t>
      </w:r>
    </w:p>
    <w:p w:rsidR="009B729A" w:rsidRPr="00590C76" w:rsidP="002F27E8" w14:paraId="3016AA50" w14:textId="421FFA60">
      <w:pPr>
        <w:pStyle w:val="NoSpacing"/>
        <w:ind w:left="720"/>
        <w:rPr>
          <w:color w:val="000000"/>
          <w:sz w:val="22"/>
          <w:szCs w:val="22"/>
        </w:rPr>
      </w:pPr>
      <w:r w:rsidRPr="00590C76">
        <w:rPr>
          <w:color w:val="000000"/>
          <w:sz w:val="22"/>
          <w:szCs w:val="22"/>
        </w:rPr>
        <w:t>There is no assurance of confidentiality provided to the respondents</w:t>
      </w:r>
      <w:r w:rsidRPr="00590C76" w:rsidR="00BF0F68">
        <w:rPr>
          <w:color w:val="000000"/>
          <w:sz w:val="22"/>
          <w:szCs w:val="22"/>
        </w:rPr>
        <w:t xml:space="preserve">. The form collects </w:t>
      </w:r>
      <w:r w:rsidRPr="00590C76" w:rsidR="00A47F92">
        <w:rPr>
          <w:color w:val="000000"/>
          <w:sz w:val="22"/>
          <w:szCs w:val="22"/>
        </w:rPr>
        <w:t xml:space="preserve">grant-level summary information, which does not include </w:t>
      </w:r>
      <w:r w:rsidRPr="00590C76" w:rsidR="00BF0F68">
        <w:rPr>
          <w:color w:val="000000"/>
          <w:sz w:val="22"/>
          <w:szCs w:val="22"/>
        </w:rPr>
        <w:t>personal identifying information</w:t>
      </w:r>
      <w:r w:rsidRPr="00590C76" w:rsidR="00A47F92">
        <w:rPr>
          <w:color w:val="000000"/>
          <w:sz w:val="22"/>
          <w:szCs w:val="22"/>
        </w:rPr>
        <w:t xml:space="preserve">. </w:t>
      </w:r>
      <w:r w:rsidRPr="00590C76">
        <w:rPr>
          <w:color w:val="000000"/>
          <w:sz w:val="22"/>
          <w:szCs w:val="22"/>
        </w:rPr>
        <w:t xml:space="preserve">The information requested under this collection is protected and held private in accordance with 5 U.S.C. 552 (Freedom of Information Act), and (Privacy Act of 1974).  </w:t>
      </w:r>
    </w:p>
    <w:p w:rsidR="002F66C5" w:rsidRPr="00590C76" w:rsidP="005E3C6B" w14:paraId="70907C5A" w14:textId="77777777">
      <w:pPr>
        <w:pStyle w:val="ListParagraph"/>
        <w:rPr>
          <w:sz w:val="22"/>
          <w:szCs w:val="22"/>
        </w:rPr>
      </w:pPr>
    </w:p>
    <w:p w:rsidR="002F27E8" w:rsidRPr="00590C76" w:rsidP="005E3C6B" w14:paraId="3E4DEFAB" w14:textId="63490E35">
      <w:pPr>
        <w:pStyle w:val="NoSpacing"/>
        <w:numPr>
          <w:ilvl w:val="0"/>
          <w:numId w:val="14"/>
        </w:numPr>
        <w:rPr>
          <w:b/>
          <w:bCs/>
          <w:color w:val="000000"/>
          <w:sz w:val="22"/>
          <w:szCs w:val="22"/>
        </w:rPr>
      </w:pPr>
      <w:r w:rsidRPr="00590C76">
        <w:rPr>
          <w:b/>
          <w:bCs/>
          <w:color w:val="000000"/>
          <w:sz w:val="22"/>
          <w:szCs w:val="22"/>
        </w:rPr>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2F66C5" w:rsidRPr="00590C76" w:rsidP="002F27E8" w14:paraId="71FF78DC" w14:textId="054B8C31">
      <w:pPr>
        <w:pStyle w:val="NoSpacing"/>
        <w:ind w:left="720"/>
        <w:rPr>
          <w:color w:val="000000"/>
          <w:sz w:val="22"/>
          <w:szCs w:val="22"/>
        </w:rPr>
      </w:pPr>
      <w:r w:rsidRPr="00590C76">
        <w:rPr>
          <w:sz w:val="22"/>
          <w:szCs w:val="22"/>
        </w:rPr>
        <w:t>The collection does not contain information of a sensitive nature about sexual behavior or attitudes, religious beliefs, or private matters.</w:t>
      </w:r>
    </w:p>
    <w:p w:rsidR="002F66C5" w:rsidRPr="00590C76" w:rsidP="005E3C6B" w14:paraId="70CC8CF9" w14:textId="77777777">
      <w:pPr>
        <w:pStyle w:val="ListParagraph"/>
        <w:rPr>
          <w:color w:val="000000"/>
          <w:sz w:val="22"/>
          <w:szCs w:val="22"/>
        </w:rPr>
      </w:pPr>
    </w:p>
    <w:p w:rsidR="002F27E8" w:rsidRPr="00590C76" w:rsidP="002F27E8" w14:paraId="515E32CB" w14:textId="01249E49">
      <w:pPr>
        <w:pStyle w:val="NoSpacing"/>
        <w:numPr>
          <w:ilvl w:val="0"/>
          <w:numId w:val="14"/>
        </w:numPr>
        <w:rPr>
          <w:b/>
          <w:bCs/>
          <w:color w:val="000000"/>
          <w:sz w:val="22"/>
          <w:szCs w:val="22"/>
        </w:rPr>
      </w:pPr>
      <w:r w:rsidRPr="00590C76">
        <w:rPr>
          <w:b/>
          <w:bCs/>
          <w:color w:val="000000"/>
          <w:sz w:val="22"/>
          <w:szCs w:val="22"/>
        </w:rPr>
        <w:t xml:space="preserve">Provide estimates of the hour burden of the collection of information. The statement should: </w:t>
      </w:r>
    </w:p>
    <w:p w:rsidR="002F27E8" w:rsidRPr="00590C76" w:rsidP="002F27E8" w14:paraId="25CF7774" w14:textId="77777777">
      <w:pPr>
        <w:pStyle w:val="NoSpacing"/>
        <w:ind w:left="720"/>
        <w:rPr>
          <w:b/>
          <w:bCs/>
          <w:color w:val="000000"/>
          <w:sz w:val="22"/>
          <w:szCs w:val="22"/>
        </w:rPr>
      </w:pPr>
      <w:r w:rsidRPr="00590C76">
        <w:rPr>
          <w:b/>
          <w:bCs/>
          <w:color w:val="000000"/>
          <w:sz w:val="22"/>
          <w:szCs w:val="22"/>
        </w:rPr>
        <w:t xml:space="preserve">• 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 </w:t>
      </w:r>
    </w:p>
    <w:p w:rsidR="002F27E8" w:rsidRPr="00590C76" w:rsidP="002F27E8" w14:paraId="23267196" w14:textId="77777777">
      <w:pPr>
        <w:pStyle w:val="NoSpacing"/>
        <w:ind w:left="720"/>
        <w:rPr>
          <w:b/>
          <w:bCs/>
          <w:color w:val="000000"/>
          <w:sz w:val="22"/>
          <w:szCs w:val="22"/>
        </w:rPr>
      </w:pPr>
      <w:r w:rsidRPr="00590C76">
        <w:rPr>
          <w:b/>
          <w:bCs/>
          <w:color w:val="000000"/>
          <w:sz w:val="22"/>
          <w:szCs w:val="22"/>
        </w:rPr>
        <w:t xml:space="preserve">• If this request for approval covers more than one form, provide separate hour burden estimates for each form and aggregate the hour burdens. </w:t>
      </w:r>
    </w:p>
    <w:p w:rsidR="002F27E8" w:rsidRPr="00590C76" w:rsidP="002F27E8" w14:paraId="5F1B9440" w14:textId="14E0562B">
      <w:pPr>
        <w:pStyle w:val="NoSpacing"/>
        <w:ind w:left="720"/>
        <w:rPr>
          <w:b/>
          <w:bCs/>
          <w:color w:val="000000"/>
          <w:sz w:val="22"/>
          <w:szCs w:val="22"/>
        </w:rPr>
      </w:pPr>
      <w:r w:rsidRPr="00590C76">
        <w:rPr>
          <w:b/>
          <w:bCs/>
          <w:color w:val="000000"/>
          <w:sz w:val="22"/>
          <w:szCs w:val="22"/>
        </w:rPr>
        <w:t>• 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under ‘Annual Cost to Federal Government’.</w:t>
      </w:r>
    </w:p>
    <w:p w:rsidR="002F27E8" w:rsidRPr="00590C76" w:rsidP="002F27E8" w14:paraId="479A73B4" w14:textId="77777777">
      <w:pPr>
        <w:pStyle w:val="NoSpacing"/>
        <w:ind w:left="720"/>
        <w:rPr>
          <w:color w:val="000000"/>
          <w:sz w:val="22"/>
          <w:szCs w:val="22"/>
        </w:rPr>
      </w:pPr>
    </w:p>
    <w:p w:rsidR="00AE1804" w:rsidRPr="00590C76" w:rsidP="002F27E8" w14:paraId="6B3D686A" w14:textId="3CCCA999">
      <w:pPr>
        <w:pStyle w:val="NoSpacing"/>
        <w:ind w:left="720"/>
        <w:rPr>
          <w:color w:val="000000"/>
          <w:sz w:val="22"/>
          <w:szCs w:val="22"/>
        </w:rPr>
      </w:pPr>
    </w:p>
    <w:p w:rsidR="00E8145B" w:rsidRPr="00590C76" w:rsidP="002F27E8" w14:paraId="724932CD" w14:textId="3F9DFCD0">
      <w:pPr>
        <w:pStyle w:val="NoSpacing"/>
        <w:ind w:left="720"/>
        <w:rPr>
          <w:color w:val="000000"/>
          <w:sz w:val="22"/>
          <w:szCs w:val="22"/>
        </w:rPr>
      </w:pPr>
      <w:r w:rsidRPr="00590C76">
        <w:rPr>
          <w:color w:val="000000"/>
          <w:sz w:val="22"/>
          <w:szCs w:val="22"/>
        </w:rPr>
        <w:t>Estimated burden</w:t>
      </w:r>
      <w:r w:rsidRPr="00590C76" w:rsidR="00A52AA6">
        <w:rPr>
          <w:color w:val="000000"/>
          <w:sz w:val="22"/>
          <w:szCs w:val="22"/>
        </w:rPr>
        <w:t xml:space="preserve">, see </w:t>
      </w:r>
      <w:r w:rsidRPr="00590C76" w:rsidR="00A52AA6">
        <w:rPr>
          <w:color w:val="000000"/>
          <w:sz w:val="22"/>
          <w:szCs w:val="22"/>
        </w:rPr>
        <w:fldChar w:fldCharType="begin"/>
      </w:r>
      <w:r w:rsidRPr="00590C76" w:rsidR="00A52AA6">
        <w:rPr>
          <w:color w:val="000000"/>
          <w:sz w:val="22"/>
          <w:szCs w:val="22"/>
        </w:rPr>
        <w:instrText xml:space="preserve"> REF _Ref109658599 \h </w:instrText>
      </w:r>
      <w:r w:rsidRPr="00590C76" w:rsidR="00D27CC5">
        <w:rPr>
          <w:color w:val="000000"/>
          <w:sz w:val="22"/>
          <w:szCs w:val="22"/>
        </w:rPr>
        <w:instrText xml:space="preserve"> \* MERGEFORMAT </w:instrText>
      </w:r>
      <w:r w:rsidRPr="00590C76" w:rsidR="00A52AA6">
        <w:rPr>
          <w:color w:val="000000"/>
          <w:sz w:val="22"/>
          <w:szCs w:val="22"/>
        </w:rPr>
        <w:fldChar w:fldCharType="separate"/>
      </w:r>
      <w:r w:rsidRPr="00590C76" w:rsidR="00A52AA6">
        <w:rPr>
          <w:sz w:val="22"/>
          <w:szCs w:val="22"/>
        </w:rPr>
        <w:t xml:space="preserve">Table </w:t>
      </w:r>
      <w:r w:rsidRPr="00590C76" w:rsidR="00A52AA6">
        <w:rPr>
          <w:noProof/>
          <w:sz w:val="22"/>
          <w:szCs w:val="22"/>
        </w:rPr>
        <w:t>1</w:t>
      </w:r>
      <w:r w:rsidRPr="00590C76" w:rsidR="00A52AA6">
        <w:rPr>
          <w:color w:val="000000"/>
          <w:sz w:val="22"/>
          <w:szCs w:val="22"/>
        </w:rPr>
        <w:fldChar w:fldCharType="end"/>
      </w:r>
      <w:r w:rsidRPr="00590C76" w:rsidR="00AE1804">
        <w:rPr>
          <w:color w:val="000000"/>
          <w:sz w:val="22"/>
          <w:szCs w:val="22"/>
        </w:rPr>
        <w:t>.  Annual number of respondents, frequency of response, and burden hours remain unchanged. However, the hourly cost has been updated to reflect the most current rate for the noted occupation.</w:t>
      </w:r>
    </w:p>
    <w:p w:rsidR="00D557EA" w:rsidRPr="00590C76" w:rsidP="005E3C6B" w14:paraId="7D2ED688" w14:textId="77777777">
      <w:pPr>
        <w:pStyle w:val="ListParagraph"/>
        <w:rPr>
          <w:color w:val="000000"/>
          <w:sz w:val="22"/>
          <w:szCs w:val="22"/>
        </w:rPr>
      </w:pPr>
    </w:p>
    <w:p w:rsidR="00A52AA6" w:rsidRPr="00590C76" w:rsidP="005E3C6B" w14:paraId="08E92D8D" w14:textId="77777777">
      <w:pPr>
        <w:pStyle w:val="Caption"/>
        <w:rPr>
          <w:sz w:val="22"/>
          <w:szCs w:val="22"/>
        </w:rPr>
      </w:pPr>
      <w:bookmarkStart w:id="3" w:name="_Ref109658599"/>
      <w:r w:rsidRPr="00590C76">
        <w:rPr>
          <w:sz w:val="22"/>
          <w:szCs w:val="22"/>
        </w:rPr>
        <w:t xml:space="preserve">Table </w:t>
      </w:r>
      <w:r w:rsidRPr="00590C76">
        <w:rPr>
          <w:sz w:val="22"/>
          <w:szCs w:val="22"/>
        </w:rPr>
        <w:fldChar w:fldCharType="begin"/>
      </w:r>
      <w:r w:rsidRPr="00590C76">
        <w:rPr>
          <w:sz w:val="22"/>
          <w:szCs w:val="22"/>
        </w:rPr>
        <w:instrText xml:space="preserve"> SEQ Table \* ARABIC </w:instrText>
      </w:r>
      <w:r w:rsidRPr="00590C76">
        <w:rPr>
          <w:sz w:val="22"/>
          <w:szCs w:val="22"/>
        </w:rPr>
        <w:fldChar w:fldCharType="separate"/>
      </w:r>
      <w:r w:rsidRPr="00590C76">
        <w:rPr>
          <w:noProof/>
          <w:sz w:val="22"/>
          <w:szCs w:val="22"/>
        </w:rPr>
        <w:t>1</w:t>
      </w:r>
      <w:r w:rsidRPr="00590C76">
        <w:rPr>
          <w:noProof/>
          <w:sz w:val="22"/>
          <w:szCs w:val="22"/>
        </w:rPr>
        <w:fldChar w:fldCharType="end"/>
      </w:r>
      <w:bookmarkEnd w:id="3"/>
      <w:r w:rsidRPr="00590C76">
        <w:rPr>
          <w:sz w:val="22"/>
          <w:szCs w:val="22"/>
        </w:rPr>
        <w:t>: Estimated Burden for Respondents</w:t>
      </w:r>
    </w:p>
    <w:p w:rsidR="003E1A00" w:rsidRPr="00590C76" w:rsidP="005E3C6B" w14:paraId="74851D5C" w14:textId="77777777">
      <w:pPr>
        <w:pStyle w:val="NoSpacing"/>
        <w:rPr>
          <w:color w:val="000000"/>
          <w:sz w:val="22"/>
          <w:szCs w:val="22"/>
        </w:rPr>
      </w:pPr>
    </w:p>
    <w:tbl>
      <w:tblPr>
        <w:tblW w:w="0" w:type="auto"/>
        <w:tblInd w:w="468" w:type="dxa"/>
        <w:tblCellMar>
          <w:left w:w="0" w:type="dxa"/>
          <w:right w:w="0" w:type="dxa"/>
        </w:tblCellMar>
        <w:tblLook w:val="04A0"/>
      </w:tblPr>
      <w:tblGrid>
        <w:gridCol w:w="1299"/>
        <w:gridCol w:w="1326"/>
        <w:gridCol w:w="1144"/>
        <w:gridCol w:w="1111"/>
        <w:gridCol w:w="1032"/>
        <w:gridCol w:w="1128"/>
        <w:gridCol w:w="1032"/>
        <w:gridCol w:w="1232"/>
      </w:tblGrid>
      <w:tr w14:paraId="6A0BC80E" w14:textId="77777777" w:rsidTr="00AE1804">
        <w:tblPrEx>
          <w:tblW w:w="0" w:type="auto"/>
          <w:tblInd w:w="468" w:type="dxa"/>
          <w:tblCellMar>
            <w:left w:w="0" w:type="dxa"/>
            <w:right w:w="0" w:type="dxa"/>
          </w:tblCellMar>
          <w:tblLook w:val="04A0"/>
        </w:tblPrEx>
        <w:tc>
          <w:tcPr>
            <w:tcW w:w="129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372A0" w:rsidRPr="00590C76" w:rsidP="00F73D17" w14:paraId="31C459E5" w14:textId="77777777">
            <w:pPr>
              <w:adjustRightInd/>
              <w:jc w:val="center"/>
              <w:textAlignment w:val="auto"/>
              <w:rPr>
                <w:rFonts w:eastAsia="Calibri"/>
                <w:b/>
                <w:bCs/>
                <w:color w:val="000000"/>
              </w:rPr>
            </w:pPr>
            <w:r w:rsidRPr="00590C76">
              <w:rPr>
                <w:rFonts w:eastAsia="Calibri"/>
                <w:b/>
                <w:bCs/>
                <w:color w:val="000000"/>
              </w:rPr>
              <w:t>Information Collection</w:t>
            </w:r>
          </w:p>
        </w:tc>
        <w:tc>
          <w:tcPr>
            <w:tcW w:w="13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372A0" w:rsidRPr="00590C76" w:rsidP="00F73D17" w14:paraId="54B96940" w14:textId="77777777">
            <w:pPr>
              <w:adjustRightInd/>
              <w:jc w:val="center"/>
              <w:textAlignment w:val="auto"/>
              <w:rPr>
                <w:rFonts w:eastAsia="Calibri"/>
                <w:b/>
                <w:bCs/>
                <w:color w:val="000000"/>
              </w:rPr>
            </w:pPr>
            <w:r w:rsidRPr="00590C76">
              <w:rPr>
                <w:rFonts w:eastAsia="Calibri"/>
                <w:b/>
                <w:bCs/>
                <w:color w:val="000000"/>
              </w:rPr>
              <w:t>Number of Respondents</w:t>
            </w:r>
          </w:p>
        </w:tc>
        <w:tc>
          <w:tcPr>
            <w:tcW w:w="114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372A0" w:rsidRPr="00590C76" w:rsidP="00F73D17" w14:paraId="6807ABE4" w14:textId="77777777">
            <w:pPr>
              <w:adjustRightInd/>
              <w:jc w:val="center"/>
              <w:textAlignment w:val="auto"/>
              <w:rPr>
                <w:rFonts w:eastAsia="Calibri"/>
                <w:b/>
                <w:bCs/>
                <w:color w:val="000000"/>
              </w:rPr>
            </w:pPr>
            <w:r w:rsidRPr="00590C76">
              <w:rPr>
                <w:rFonts w:eastAsia="Calibri"/>
                <w:b/>
                <w:bCs/>
                <w:color w:val="000000"/>
              </w:rPr>
              <w:t>Frequency of Response</w:t>
            </w:r>
          </w:p>
        </w:tc>
        <w:tc>
          <w:tcPr>
            <w:tcW w:w="11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372A0" w:rsidRPr="00590C76" w:rsidP="00F73D17" w14:paraId="095A3C66" w14:textId="77777777">
            <w:pPr>
              <w:overflowPunct/>
              <w:autoSpaceDE/>
              <w:autoSpaceDN/>
              <w:adjustRightInd/>
              <w:jc w:val="center"/>
              <w:textAlignment w:val="auto"/>
              <w:rPr>
                <w:rFonts w:eastAsia="Calibri"/>
                <w:b/>
                <w:bCs/>
                <w:color w:val="000000"/>
              </w:rPr>
            </w:pPr>
            <w:r w:rsidRPr="00590C76">
              <w:rPr>
                <w:rFonts w:eastAsia="Calibri"/>
                <w:b/>
                <w:bCs/>
                <w:color w:val="000000"/>
              </w:rPr>
              <w:t>Responses</w:t>
            </w:r>
          </w:p>
          <w:p w:rsidR="000372A0" w:rsidRPr="00590C76" w:rsidP="00F73D17" w14:paraId="65CBBE1D" w14:textId="77777777">
            <w:pPr>
              <w:adjustRightInd/>
              <w:jc w:val="center"/>
              <w:textAlignment w:val="auto"/>
              <w:rPr>
                <w:rFonts w:eastAsia="Calibri"/>
                <w:b/>
                <w:bCs/>
                <w:color w:val="000000"/>
              </w:rPr>
            </w:pPr>
            <w:r w:rsidRPr="00590C76">
              <w:rPr>
                <w:rFonts w:eastAsia="Calibri"/>
                <w:b/>
                <w:bCs/>
                <w:color w:val="000000"/>
              </w:rPr>
              <w:t>Per Annum</w:t>
            </w:r>
          </w:p>
        </w:tc>
        <w:tc>
          <w:tcPr>
            <w:tcW w:w="103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372A0" w:rsidRPr="00590C76" w:rsidP="00F73D17" w14:paraId="54494D0E" w14:textId="77777777">
            <w:pPr>
              <w:adjustRightInd/>
              <w:jc w:val="center"/>
              <w:textAlignment w:val="auto"/>
              <w:rPr>
                <w:rFonts w:eastAsia="Calibri"/>
                <w:b/>
                <w:bCs/>
                <w:color w:val="000000"/>
              </w:rPr>
            </w:pPr>
            <w:r w:rsidRPr="00590C76">
              <w:rPr>
                <w:rFonts w:eastAsia="Calibri"/>
                <w:b/>
                <w:bCs/>
                <w:color w:val="000000"/>
              </w:rPr>
              <w:t>Burden Hour Per Response</w:t>
            </w:r>
          </w:p>
        </w:tc>
        <w:tc>
          <w:tcPr>
            <w:tcW w:w="112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372A0" w:rsidRPr="00590C76" w:rsidP="00F73D17" w14:paraId="1B1DE8DB" w14:textId="77777777">
            <w:pPr>
              <w:adjustRightInd/>
              <w:jc w:val="center"/>
              <w:textAlignment w:val="auto"/>
              <w:rPr>
                <w:rFonts w:eastAsia="Calibri"/>
                <w:b/>
                <w:bCs/>
                <w:color w:val="000000"/>
              </w:rPr>
            </w:pPr>
            <w:r w:rsidRPr="00590C76">
              <w:rPr>
                <w:rFonts w:eastAsia="Calibri"/>
                <w:b/>
                <w:bCs/>
                <w:color w:val="000000"/>
              </w:rPr>
              <w:t>Annual Burden Hours</w:t>
            </w:r>
          </w:p>
        </w:tc>
        <w:tc>
          <w:tcPr>
            <w:tcW w:w="103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372A0" w:rsidRPr="00590C76" w:rsidP="00F73D17" w14:paraId="657ADA12" w14:textId="77777777">
            <w:pPr>
              <w:adjustRightInd/>
              <w:jc w:val="center"/>
              <w:textAlignment w:val="auto"/>
              <w:rPr>
                <w:rFonts w:eastAsia="Calibri"/>
                <w:b/>
                <w:bCs/>
                <w:color w:val="000000"/>
              </w:rPr>
            </w:pPr>
            <w:r w:rsidRPr="00590C76">
              <w:rPr>
                <w:rFonts w:eastAsia="Calibri"/>
                <w:b/>
                <w:bCs/>
                <w:color w:val="000000"/>
              </w:rPr>
              <w:t>Hourly Cost Per Response</w:t>
            </w:r>
          </w:p>
        </w:tc>
        <w:tc>
          <w:tcPr>
            <w:tcW w:w="123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0372A0" w:rsidRPr="00590C76" w:rsidP="00F73D17" w14:paraId="350CCD71" w14:textId="77777777">
            <w:pPr>
              <w:overflowPunct/>
              <w:autoSpaceDE/>
              <w:autoSpaceDN/>
              <w:adjustRightInd/>
              <w:jc w:val="center"/>
              <w:textAlignment w:val="auto"/>
              <w:rPr>
                <w:rFonts w:eastAsia="Calibri"/>
                <w:b/>
                <w:bCs/>
                <w:color w:val="000000"/>
              </w:rPr>
            </w:pPr>
            <w:r w:rsidRPr="00590C76">
              <w:rPr>
                <w:rFonts w:eastAsia="Calibri"/>
                <w:b/>
                <w:bCs/>
                <w:color w:val="000000"/>
              </w:rPr>
              <w:t>Annual Cost</w:t>
            </w:r>
          </w:p>
          <w:p w:rsidR="000372A0" w:rsidRPr="00590C76" w:rsidP="00F73D17" w14:paraId="473226EA" w14:textId="77777777">
            <w:pPr>
              <w:adjustRightInd/>
              <w:jc w:val="center"/>
              <w:textAlignment w:val="auto"/>
              <w:rPr>
                <w:rFonts w:eastAsia="Calibri"/>
                <w:b/>
                <w:bCs/>
                <w:color w:val="000000"/>
              </w:rPr>
            </w:pPr>
          </w:p>
        </w:tc>
      </w:tr>
      <w:tr w14:paraId="3FF69324" w14:textId="77777777" w:rsidTr="00AE1804">
        <w:tblPrEx>
          <w:tblW w:w="0" w:type="auto"/>
          <w:tblInd w:w="468" w:type="dxa"/>
          <w:tblCellMar>
            <w:left w:w="0" w:type="dxa"/>
            <w:right w:w="0" w:type="dxa"/>
          </w:tblCellMar>
          <w:tblLook w:val="04A0"/>
        </w:tblPrEx>
        <w:tc>
          <w:tcPr>
            <w:tcW w:w="129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05723" w:rsidRPr="00590C76" w:rsidP="00805723" w14:paraId="6106B440" w14:textId="77777777">
            <w:pPr>
              <w:adjustRightInd/>
              <w:textAlignment w:val="auto"/>
              <w:rPr>
                <w:rFonts w:eastAsia="Calibri"/>
                <w:color w:val="000000"/>
              </w:rPr>
            </w:pPr>
            <w:r w:rsidRPr="00590C76">
              <w:rPr>
                <w:color w:val="000000"/>
              </w:rPr>
              <w:t>HUD-27061</w:t>
            </w:r>
          </w:p>
        </w:tc>
        <w:tc>
          <w:tcPr>
            <w:tcW w:w="13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05723" w:rsidRPr="00590C76" w:rsidP="00805723" w14:paraId="593DDC0E" w14:textId="77777777">
            <w:pPr>
              <w:adjustRightInd/>
              <w:textAlignment w:val="auto"/>
              <w:rPr>
                <w:rFonts w:eastAsia="Calibri"/>
                <w:color w:val="000000"/>
              </w:rPr>
            </w:pPr>
            <w:r w:rsidRPr="00590C76">
              <w:rPr>
                <w:color w:val="000000"/>
              </w:rPr>
              <w:t>14,375</w:t>
            </w:r>
          </w:p>
        </w:tc>
        <w:tc>
          <w:tcPr>
            <w:tcW w:w="1144"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05723" w:rsidRPr="00590C76" w:rsidP="00805723" w14:paraId="352FF900" w14:textId="77777777">
            <w:pPr>
              <w:adjustRightInd/>
              <w:jc w:val="center"/>
              <w:textAlignment w:val="auto"/>
              <w:rPr>
                <w:rFonts w:eastAsia="Calibri"/>
                <w:color w:val="000000"/>
              </w:rPr>
            </w:pPr>
            <w:r w:rsidRPr="00590C76">
              <w:rPr>
                <w:color w:val="000000"/>
              </w:rPr>
              <w:t>1.2</w:t>
            </w:r>
          </w:p>
        </w:tc>
        <w:tc>
          <w:tcPr>
            <w:tcW w:w="111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05723" w:rsidRPr="00590C76" w:rsidP="00805723" w14:paraId="0C704EC4" w14:textId="77777777">
            <w:pPr>
              <w:adjustRightInd/>
              <w:jc w:val="center"/>
              <w:textAlignment w:val="auto"/>
              <w:rPr>
                <w:rFonts w:eastAsia="Calibri"/>
                <w:color w:val="000000"/>
              </w:rPr>
            </w:pPr>
            <w:r w:rsidRPr="00590C76">
              <w:rPr>
                <w:color w:val="000000"/>
              </w:rPr>
              <w:t>17,250</w:t>
            </w:r>
          </w:p>
        </w:tc>
        <w:tc>
          <w:tcPr>
            <w:tcW w:w="103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05723" w:rsidRPr="00590C76" w:rsidP="00805723" w14:paraId="4B8A7FE8" w14:textId="77777777">
            <w:pPr>
              <w:adjustRightInd/>
              <w:jc w:val="center"/>
              <w:textAlignment w:val="auto"/>
              <w:rPr>
                <w:rFonts w:eastAsia="Calibri"/>
                <w:color w:val="000000"/>
              </w:rPr>
            </w:pPr>
            <w:r w:rsidRPr="00590C76">
              <w:rPr>
                <w:color w:val="000000"/>
              </w:rPr>
              <w:t>0.50</w:t>
            </w:r>
          </w:p>
        </w:tc>
        <w:tc>
          <w:tcPr>
            <w:tcW w:w="112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05723" w:rsidRPr="00590C76" w:rsidP="00805723" w14:paraId="1B59C4CB" w14:textId="77777777">
            <w:pPr>
              <w:adjustRightInd/>
              <w:jc w:val="center"/>
              <w:textAlignment w:val="auto"/>
              <w:rPr>
                <w:color w:val="000000"/>
              </w:rPr>
            </w:pPr>
            <w:r w:rsidRPr="00590C76">
              <w:rPr>
                <w:color w:val="000000"/>
              </w:rPr>
              <w:t xml:space="preserve">8,625.00 </w:t>
            </w:r>
          </w:p>
        </w:tc>
        <w:tc>
          <w:tcPr>
            <w:tcW w:w="103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05723" w:rsidRPr="00590C76" w:rsidP="00805723" w14:paraId="5DDF6D98" w14:textId="3A7B0465">
            <w:pPr>
              <w:adjustRightInd/>
              <w:jc w:val="right"/>
              <w:textAlignment w:val="auto"/>
              <w:rPr>
                <w:color w:val="000000"/>
              </w:rPr>
            </w:pPr>
            <w:r w:rsidRPr="00590C76">
              <w:rPr>
                <w:color w:val="000000"/>
              </w:rPr>
              <w:t>$</w:t>
            </w:r>
            <w:r w:rsidR="003E63A2">
              <w:rPr>
                <w:color w:val="000000"/>
              </w:rPr>
              <w:t>53.24</w:t>
            </w:r>
            <w:r w:rsidRPr="00590C76">
              <w:rPr>
                <w:color w:val="000000"/>
              </w:rPr>
              <w:t xml:space="preserve">* </w:t>
            </w:r>
          </w:p>
        </w:tc>
        <w:tc>
          <w:tcPr>
            <w:tcW w:w="123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05723" w:rsidRPr="00590C76" w:rsidP="00805723" w14:paraId="5F7C55DB" w14:textId="509D6CDA">
            <w:pPr>
              <w:adjustRightInd/>
              <w:jc w:val="right"/>
              <w:textAlignment w:val="auto"/>
              <w:rPr>
                <w:color w:val="000000"/>
              </w:rPr>
            </w:pPr>
            <w:r w:rsidRPr="00590C76">
              <w:rPr>
                <w:color w:val="000000"/>
              </w:rPr>
              <w:t>$</w:t>
            </w:r>
            <w:r w:rsidRPr="00590C76" w:rsidR="00AE1804">
              <w:rPr>
                <w:color w:val="000000"/>
              </w:rPr>
              <w:t>4</w:t>
            </w:r>
            <w:r w:rsidR="00022B1B">
              <w:rPr>
                <w:color w:val="000000"/>
              </w:rPr>
              <w:t>59</w:t>
            </w:r>
            <w:r w:rsidRPr="00590C76" w:rsidR="00156228">
              <w:rPr>
                <w:color w:val="000000"/>
              </w:rPr>
              <w:t>,</w:t>
            </w:r>
            <w:r w:rsidR="00022B1B">
              <w:rPr>
                <w:color w:val="000000"/>
              </w:rPr>
              <w:t>1</w:t>
            </w:r>
            <w:r w:rsidRPr="00590C76" w:rsidR="00AE1804">
              <w:rPr>
                <w:color w:val="000000"/>
              </w:rPr>
              <w:t>95</w:t>
            </w:r>
            <w:r w:rsidRPr="00590C76">
              <w:rPr>
                <w:color w:val="000000"/>
              </w:rPr>
              <w:t xml:space="preserve"> </w:t>
            </w:r>
          </w:p>
        </w:tc>
      </w:tr>
      <w:tr w14:paraId="16EB511F" w14:textId="77777777" w:rsidTr="00AE1804">
        <w:tblPrEx>
          <w:tblW w:w="0" w:type="auto"/>
          <w:tblInd w:w="468" w:type="dxa"/>
          <w:tblCellMar>
            <w:left w:w="0" w:type="dxa"/>
            <w:right w:w="0" w:type="dxa"/>
          </w:tblCellMar>
          <w:tblLook w:val="04A0"/>
        </w:tblPrEx>
        <w:tc>
          <w:tcPr>
            <w:tcW w:w="9304" w:type="dxa"/>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05723" w:rsidRPr="00590C76" w:rsidP="00805723" w14:paraId="7177AB16" w14:textId="6FAB298A">
            <w:pPr>
              <w:adjustRightInd/>
              <w:textAlignment w:val="auto"/>
              <w:rPr>
                <w:rFonts w:eastAsia="Calibri"/>
                <w:b/>
                <w:bCs/>
                <w:color w:val="000000"/>
              </w:rPr>
            </w:pPr>
            <w:r w:rsidRPr="00590C76">
              <w:rPr>
                <w:rFonts w:eastAsia="Calibri"/>
                <w:b/>
                <w:bCs/>
                <w:color w:val="000000"/>
              </w:rPr>
              <w:t xml:space="preserve">* </w:t>
            </w:r>
            <w:r w:rsidRPr="00590C76">
              <w:rPr>
                <w:rFonts w:eastAsia="Calibri"/>
                <w:color w:val="000000"/>
              </w:rPr>
              <w:t>Median hourly rate for “Project Management Specialists” (occupation code 13-1082), May 202</w:t>
            </w:r>
            <w:r w:rsidR="00F447D8">
              <w:rPr>
                <w:rFonts w:eastAsia="Calibri"/>
                <w:color w:val="000000"/>
              </w:rPr>
              <w:t>5</w:t>
            </w:r>
            <w:r w:rsidRPr="00590C76">
              <w:rPr>
                <w:rFonts w:eastAsia="Calibri"/>
                <w:color w:val="000000"/>
              </w:rPr>
              <w:t xml:space="preserve"> </w:t>
            </w:r>
            <w:hyperlink r:id="rId8" w:history="1">
              <w:r w:rsidRPr="00F447D8">
                <w:rPr>
                  <w:rStyle w:val="Hyperlink"/>
                  <w:rFonts w:eastAsia="Calibri"/>
                </w:rPr>
                <w:t>National Occupational Employment and Wage Estimates United States</w:t>
              </w:r>
            </w:hyperlink>
            <w:r w:rsidRPr="00590C76">
              <w:rPr>
                <w:rFonts w:eastAsia="Calibri"/>
                <w:color w:val="000000"/>
              </w:rPr>
              <w:t>.</w:t>
            </w:r>
            <w:r w:rsidRPr="00590C76" w:rsidR="00AE1804">
              <w:rPr>
                <w:rFonts w:eastAsia="Calibri"/>
                <w:color w:val="000000"/>
              </w:rPr>
              <w:t xml:space="preserve"> </w:t>
            </w:r>
          </w:p>
        </w:tc>
      </w:tr>
    </w:tbl>
    <w:p w:rsidR="000372A0" w:rsidRPr="00590C76" w:rsidP="005E3C6B" w14:paraId="5C93DBEA" w14:textId="77777777">
      <w:pPr>
        <w:pStyle w:val="NoSpacing"/>
        <w:rPr>
          <w:color w:val="000000"/>
          <w:sz w:val="22"/>
          <w:szCs w:val="22"/>
        </w:rPr>
      </w:pPr>
    </w:p>
    <w:p w:rsidR="000372A0" w:rsidRPr="00590C76" w:rsidP="005E3C6B" w14:paraId="2F688F0E" w14:textId="77777777">
      <w:pPr>
        <w:pStyle w:val="NoSpacing"/>
        <w:rPr>
          <w:color w:val="000000"/>
          <w:sz w:val="22"/>
          <w:szCs w:val="22"/>
        </w:rPr>
      </w:pPr>
    </w:p>
    <w:p w:rsidR="00E8145B" w:rsidRPr="00590C76" w:rsidP="00107067" w14:paraId="5944C6E7" w14:textId="45F1CAE3">
      <w:pPr>
        <w:pStyle w:val="NoSpacing"/>
        <w:ind w:left="720"/>
        <w:rPr>
          <w:color w:val="000000"/>
          <w:sz w:val="22"/>
          <w:szCs w:val="22"/>
        </w:rPr>
      </w:pPr>
      <w:r w:rsidRPr="00590C76">
        <w:rPr>
          <w:sz w:val="22"/>
          <w:szCs w:val="22"/>
        </w:rPr>
        <w:t>The estimated total of all grant application</w:t>
      </w:r>
      <w:r w:rsidRPr="00590C76" w:rsidR="00DB66C2">
        <w:rPr>
          <w:sz w:val="22"/>
          <w:szCs w:val="22"/>
        </w:rPr>
        <w:t>s</w:t>
      </w:r>
      <w:r w:rsidRPr="00590C76">
        <w:rPr>
          <w:sz w:val="22"/>
          <w:szCs w:val="22"/>
        </w:rPr>
        <w:t xml:space="preserve"> in all the Department’s current g</w:t>
      </w:r>
      <w:r w:rsidRPr="00590C76" w:rsidR="00DB66C2">
        <w:rPr>
          <w:sz w:val="22"/>
          <w:szCs w:val="22"/>
        </w:rPr>
        <w:t xml:space="preserve">rant programs is approximately </w:t>
      </w:r>
      <w:r w:rsidRPr="00590C76" w:rsidR="00324B8F">
        <w:rPr>
          <w:sz w:val="22"/>
          <w:szCs w:val="22"/>
        </w:rPr>
        <w:t>1</w:t>
      </w:r>
      <w:r w:rsidRPr="00590C76" w:rsidR="00A3047B">
        <w:rPr>
          <w:sz w:val="22"/>
          <w:szCs w:val="22"/>
        </w:rPr>
        <w:t>4</w:t>
      </w:r>
      <w:r w:rsidRPr="00590C76" w:rsidR="002874E2">
        <w:rPr>
          <w:sz w:val="22"/>
          <w:szCs w:val="22"/>
        </w:rPr>
        <w:t>,</w:t>
      </w:r>
      <w:r w:rsidRPr="00590C76" w:rsidR="00294579">
        <w:rPr>
          <w:sz w:val="22"/>
          <w:szCs w:val="22"/>
        </w:rPr>
        <w:t>375</w:t>
      </w:r>
      <w:r w:rsidRPr="00590C76" w:rsidR="0002140A">
        <w:rPr>
          <w:sz w:val="22"/>
          <w:szCs w:val="22"/>
        </w:rPr>
        <w:t>, including initial and updated applications</w:t>
      </w:r>
      <w:r w:rsidRPr="00590C76">
        <w:rPr>
          <w:sz w:val="22"/>
          <w:szCs w:val="22"/>
        </w:rPr>
        <w:t xml:space="preserve">.  </w:t>
      </w:r>
      <w:bookmarkStart w:id="4" w:name="_Hlk109665304"/>
      <w:r w:rsidRPr="00590C76" w:rsidR="00AE1804">
        <w:rPr>
          <w:sz w:val="22"/>
          <w:szCs w:val="22"/>
        </w:rPr>
        <w:t xml:space="preserve">This collection assumes all applicants become recipients. </w:t>
      </w:r>
      <w:r w:rsidRPr="00590C76">
        <w:rPr>
          <w:sz w:val="22"/>
          <w:szCs w:val="22"/>
        </w:rPr>
        <w:t xml:space="preserve">The actual burden is assessed against each </w:t>
      </w:r>
      <w:r w:rsidRPr="00590C76" w:rsidR="00A67D8D">
        <w:rPr>
          <w:sz w:val="22"/>
          <w:szCs w:val="22"/>
        </w:rPr>
        <w:t xml:space="preserve">HUD </w:t>
      </w:r>
      <w:r w:rsidRPr="00590C76">
        <w:rPr>
          <w:sz w:val="22"/>
          <w:szCs w:val="22"/>
        </w:rPr>
        <w:t>program submission.</w:t>
      </w:r>
    </w:p>
    <w:bookmarkEnd w:id="4"/>
    <w:p w:rsidR="00E8145B" w:rsidRPr="00590C76" w:rsidP="005E3C6B" w14:paraId="3E8F7C50" w14:textId="77777777">
      <w:pPr>
        <w:pStyle w:val="NoSpacing"/>
        <w:rPr>
          <w:color w:val="000000"/>
          <w:sz w:val="22"/>
          <w:szCs w:val="22"/>
        </w:rPr>
      </w:pPr>
    </w:p>
    <w:p w:rsidR="00AE1804" w:rsidRPr="00590C76" w:rsidP="00AE1804" w14:paraId="44952960" w14:textId="0E05A1FE">
      <w:pPr>
        <w:pStyle w:val="NoSpacing"/>
        <w:numPr>
          <w:ilvl w:val="0"/>
          <w:numId w:val="14"/>
        </w:numPr>
        <w:rPr>
          <w:b/>
          <w:bCs/>
          <w:color w:val="000000"/>
          <w:sz w:val="22"/>
          <w:szCs w:val="22"/>
        </w:rPr>
      </w:pPr>
      <w:r w:rsidRPr="00590C76">
        <w:rPr>
          <w:b/>
          <w:bCs/>
          <w:color w:val="000000"/>
          <w:sz w:val="22"/>
          <w:szCs w:val="22"/>
        </w:rPr>
        <w:t xml:space="preserve">Provide an estimate for the total annual cost burden to respondents or record keepers resulting from the collection of information. (Do not include the cost of any hour burden already reflected on the burden worksheet). </w:t>
      </w:r>
    </w:p>
    <w:p w:rsidR="00AE1804" w:rsidRPr="00590C76" w:rsidP="00AE1804" w14:paraId="29611C79" w14:textId="77777777">
      <w:pPr>
        <w:pStyle w:val="NoSpacing"/>
        <w:ind w:left="720"/>
        <w:rPr>
          <w:b/>
          <w:bCs/>
          <w:color w:val="000000"/>
          <w:sz w:val="22"/>
          <w:szCs w:val="22"/>
        </w:rPr>
      </w:pPr>
      <w:r w:rsidRPr="00590C76">
        <w:rPr>
          <w:b/>
          <w:bCs/>
          <w:color w:val="000000"/>
          <w:sz w:val="22"/>
          <w:szCs w:val="22"/>
        </w:rPr>
        <w:t xml:space="preserve">The cost estimate should be split into two components: (a) a total capital and start-up cost component (annualized over its expected useful life) and (b) a total operation and maintenance and purchase of services component. The estimates should 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 </w:t>
      </w:r>
    </w:p>
    <w:p w:rsidR="00AE1804" w:rsidRPr="00590C76" w:rsidP="00AE1804" w14:paraId="0D8E0435" w14:textId="77777777">
      <w:pPr>
        <w:pStyle w:val="NoSpacing"/>
        <w:ind w:left="720"/>
        <w:rPr>
          <w:b/>
          <w:bCs/>
          <w:color w:val="000000"/>
          <w:sz w:val="22"/>
          <w:szCs w:val="22"/>
        </w:rPr>
      </w:pPr>
      <w:r w:rsidRPr="00590C76">
        <w:rPr>
          <w:b/>
          <w:bCs/>
          <w:color w:val="000000"/>
          <w:sz w:val="22"/>
          <w:szCs w:val="22"/>
        </w:rPr>
        <w:t xml:space="preserve">If cost estimates are expected to vary widely, agencies should present ranges of cost burdens and explain the reasons for the variance. The cost of purchasing or contracting out information collections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 </w:t>
      </w:r>
    </w:p>
    <w:p w:rsidR="00AE1804" w:rsidRPr="00590C76" w:rsidP="00AE1804" w14:paraId="1C442C37" w14:textId="77777777">
      <w:pPr>
        <w:pStyle w:val="NoSpacing"/>
        <w:ind w:left="720"/>
        <w:rPr>
          <w:color w:val="000000"/>
          <w:sz w:val="22"/>
          <w:szCs w:val="22"/>
        </w:rPr>
      </w:pPr>
      <w:r w:rsidRPr="00590C76">
        <w:rPr>
          <w:color w:val="000000"/>
          <w:sz w:val="22"/>
          <w:szCs w:val="22"/>
        </w:rPr>
        <w:t xml:space="preserve">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 </w:t>
      </w:r>
    </w:p>
    <w:p w:rsidR="00E8145B" w:rsidRPr="00590C76" w:rsidP="00AE1804" w14:paraId="21A0CE39" w14:textId="0ACD8E2C">
      <w:pPr>
        <w:pStyle w:val="NoSpacing"/>
        <w:ind w:left="720"/>
        <w:rPr>
          <w:color w:val="000000"/>
          <w:sz w:val="22"/>
          <w:szCs w:val="22"/>
        </w:rPr>
      </w:pPr>
      <w:r w:rsidRPr="00590C76">
        <w:rPr>
          <w:sz w:val="22"/>
          <w:szCs w:val="22"/>
        </w:rPr>
        <w:t>There are no additional costs associated with the collection of this information.</w:t>
      </w:r>
    </w:p>
    <w:p w:rsidR="00E8145B" w:rsidRPr="00590C76" w:rsidP="005E3C6B" w14:paraId="31142D49" w14:textId="77777777">
      <w:pPr>
        <w:pStyle w:val="NoSpacing"/>
        <w:rPr>
          <w:color w:val="000000"/>
          <w:sz w:val="22"/>
          <w:szCs w:val="22"/>
        </w:rPr>
      </w:pPr>
    </w:p>
    <w:p w:rsidR="00932090" w:rsidRPr="00590C76" w:rsidP="005E3C6B" w14:paraId="5E402A39" w14:textId="7D2C45DF">
      <w:pPr>
        <w:pStyle w:val="NoSpacing"/>
        <w:numPr>
          <w:ilvl w:val="0"/>
          <w:numId w:val="14"/>
        </w:numPr>
        <w:rPr>
          <w:b/>
          <w:bCs/>
          <w:color w:val="000000"/>
          <w:sz w:val="22"/>
          <w:szCs w:val="22"/>
        </w:rPr>
      </w:pPr>
      <w:r w:rsidRPr="00590C76">
        <w:rPr>
          <w:b/>
          <w:bCs/>
          <w:color w:val="000000"/>
          <w:sz w:val="22"/>
          <w:szCs w:val="22"/>
        </w:rPr>
        <w:t>Provide estimates of annualized costs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Agencies may also aggregate cost estimates from Items 12, 13, and 14 in a single table.</w:t>
      </w:r>
    </w:p>
    <w:p w:rsidR="00E8145B" w:rsidRPr="00590C76" w:rsidP="00932090" w14:paraId="6E1A156B" w14:textId="188A13B7">
      <w:pPr>
        <w:pStyle w:val="NoSpacing"/>
        <w:ind w:left="720"/>
        <w:rPr>
          <w:color w:val="000000"/>
          <w:sz w:val="22"/>
          <w:szCs w:val="22"/>
        </w:rPr>
      </w:pPr>
      <w:r w:rsidRPr="00590C76">
        <w:rPr>
          <w:noProof/>
          <w:sz w:val="22"/>
          <w:szCs w:val="22"/>
        </w:rPr>
        <w:t xml:space="preserve">The </w:t>
      </w:r>
      <w:r w:rsidRPr="00590C76" w:rsidR="00A67D8D">
        <w:rPr>
          <w:noProof/>
          <w:sz w:val="22"/>
          <w:szCs w:val="22"/>
        </w:rPr>
        <w:t xml:space="preserve">actual </w:t>
      </w:r>
      <w:r w:rsidRPr="00590C76">
        <w:rPr>
          <w:noProof/>
          <w:sz w:val="22"/>
          <w:szCs w:val="22"/>
        </w:rPr>
        <w:t xml:space="preserve">costs to the Federal government is assessed on each </w:t>
      </w:r>
      <w:r w:rsidRPr="00590C76" w:rsidR="00A67D8D">
        <w:rPr>
          <w:noProof/>
          <w:sz w:val="22"/>
          <w:szCs w:val="22"/>
        </w:rPr>
        <w:t>HUD</w:t>
      </w:r>
      <w:r w:rsidRPr="00590C76">
        <w:rPr>
          <w:noProof/>
          <w:sz w:val="22"/>
          <w:szCs w:val="22"/>
        </w:rPr>
        <w:t xml:space="preserve"> program submission. </w:t>
      </w:r>
      <w:r w:rsidRPr="00590C76" w:rsidR="00A67D8D">
        <w:rPr>
          <w:noProof/>
          <w:sz w:val="22"/>
          <w:szCs w:val="22"/>
        </w:rPr>
        <w:t xml:space="preserve">However, HUD estimates the cost of the maximum burden on </w:t>
      </w:r>
      <w:bookmarkStart w:id="5" w:name="_Hlk109666488"/>
      <w:r w:rsidRPr="00590C76" w:rsidR="00A67D8D">
        <w:rPr>
          <w:noProof/>
          <w:sz w:val="22"/>
          <w:szCs w:val="22"/>
        </w:rPr>
        <w:t xml:space="preserve">HUD staff would total at most </w:t>
      </w:r>
      <w:bookmarkEnd w:id="5"/>
      <w:r w:rsidRPr="00590C76" w:rsidR="009B729A">
        <w:rPr>
          <w:noProof/>
          <w:sz w:val="22"/>
          <w:szCs w:val="22"/>
        </w:rPr>
        <w:t>$1,</w:t>
      </w:r>
      <w:r w:rsidR="007C7D23">
        <w:rPr>
          <w:noProof/>
          <w:sz w:val="22"/>
          <w:szCs w:val="22"/>
        </w:rPr>
        <w:t>638</w:t>
      </w:r>
      <w:r w:rsidRPr="00590C76" w:rsidR="009B729A">
        <w:rPr>
          <w:noProof/>
          <w:sz w:val="22"/>
          <w:szCs w:val="22"/>
        </w:rPr>
        <w:t>,</w:t>
      </w:r>
      <w:r w:rsidR="007C7D23">
        <w:rPr>
          <w:noProof/>
          <w:sz w:val="22"/>
          <w:szCs w:val="22"/>
        </w:rPr>
        <w:t>060</w:t>
      </w:r>
      <w:r w:rsidRPr="00590C76" w:rsidR="009B729A">
        <w:rPr>
          <w:noProof/>
          <w:sz w:val="22"/>
          <w:szCs w:val="22"/>
        </w:rPr>
        <w:t>.00</w:t>
      </w:r>
      <w:r w:rsidRPr="00590C76" w:rsidR="00A67D8D">
        <w:rPr>
          <w:noProof/>
          <w:sz w:val="22"/>
          <w:szCs w:val="22"/>
        </w:rPr>
        <w:t>.  Th</w:t>
      </w:r>
      <w:r w:rsidRPr="00590C76" w:rsidR="0037780B">
        <w:rPr>
          <w:noProof/>
          <w:sz w:val="22"/>
          <w:szCs w:val="22"/>
        </w:rPr>
        <w:t>is</w:t>
      </w:r>
      <w:r w:rsidRPr="00590C76" w:rsidR="00A67D8D">
        <w:rPr>
          <w:noProof/>
          <w:sz w:val="22"/>
          <w:szCs w:val="22"/>
        </w:rPr>
        <w:t xml:space="preserve"> estimate assume</w:t>
      </w:r>
      <w:r w:rsidRPr="00590C76" w:rsidR="009B729A">
        <w:rPr>
          <w:noProof/>
          <w:sz w:val="22"/>
          <w:szCs w:val="22"/>
        </w:rPr>
        <w:t>s</w:t>
      </w:r>
      <w:r w:rsidRPr="00590C76" w:rsidR="00A67D8D">
        <w:rPr>
          <w:noProof/>
          <w:sz w:val="22"/>
          <w:szCs w:val="22"/>
        </w:rPr>
        <w:t xml:space="preserve"> </w:t>
      </w:r>
      <w:r w:rsidRPr="00590C76" w:rsidR="009B729A">
        <w:rPr>
          <w:noProof/>
          <w:sz w:val="22"/>
          <w:szCs w:val="22"/>
        </w:rPr>
        <w:t xml:space="preserve">the </w:t>
      </w:r>
      <w:r w:rsidRPr="00590C76" w:rsidR="00A67D8D">
        <w:rPr>
          <w:noProof/>
          <w:sz w:val="22"/>
          <w:szCs w:val="22"/>
        </w:rPr>
        <w:t>form would be reviewed for one hour by a GS-13 step 5, and then by a GS-14 and a GS-15 who will look at summary results on an annual basis.</w:t>
      </w:r>
      <w:r w:rsidRPr="00590C76" w:rsidR="00F736CB">
        <w:rPr>
          <w:noProof/>
          <w:sz w:val="22"/>
          <w:szCs w:val="22"/>
        </w:rPr>
        <w:t xml:space="preserve"> </w:t>
      </w:r>
    </w:p>
    <w:p w:rsidR="00E8145B" w:rsidRPr="00590C76" w:rsidP="005E3C6B" w14:paraId="79B4AA25" w14:textId="77777777">
      <w:pPr>
        <w:pStyle w:val="NoSpacing"/>
        <w:rPr>
          <w:color w:val="000000"/>
          <w:sz w:val="22"/>
          <w:szCs w:val="22"/>
        </w:rPr>
      </w:pPr>
    </w:p>
    <w:p w:rsidR="00A8456B" w:rsidRPr="00590C76" w:rsidP="005E3C6B" w14:paraId="22F04C72" w14:textId="77777777">
      <w:pPr>
        <w:pStyle w:val="NoSpacing"/>
        <w:rPr>
          <w:color w:val="000000"/>
          <w:sz w:val="22"/>
          <w:szCs w:val="22"/>
        </w:rPr>
      </w:pPr>
    </w:p>
    <w:p w:rsidR="005C6B45" w:rsidRPr="00590C76" w:rsidP="005C6B45" w14:paraId="77B186C1" w14:textId="77777777">
      <w:pPr>
        <w:pStyle w:val="Caption"/>
        <w:keepNext/>
        <w:rPr>
          <w:sz w:val="22"/>
          <w:szCs w:val="22"/>
        </w:rPr>
      </w:pPr>
      <w:bookmarkStart w:id="6" w:name="_Ref117790049"/>
      <w:r w:rsidRPr="00590C76">
        <w:rPr>
          <w:sz w:val="22"/>
          <w:szCs w:val="22"/>
        </w:rPr>
        <w:t xml:space="preserve">Table </w:t>
      </w:r>
      <w:r w:rsidRPr="00590C76">
        <w:rPr>
          <w:sz w:val="22"/>
          <w:szCs w:val="22"/>
        </w:rPr>
        <w:fldChar w:fldCharType="begin"/>
      </w:r>
      <w:r w:rsidRPr="00590C76">
        <w:rPr>
          <w:sz w:val="22"/>
          <w:szCs w:val="22"/>
        </w:rPr>
        <w:instrText xml:space="preserve"> SEQ Table \* ARABIC </w:instrText>
      </w:r>
      <w:r w:rsidRPr="00590C76">
        <w:rPr>
          <w:sz w:val="22"/>
          <w:szCs w:val="22"/>
        </w:rPr>
        <w:fldChar w:fldCharType="separate"/>
      </w:r>
      <w:r w:rsidRPr="00590C76">
        <w:rPr>
          <w:noProof/>
          <w:sz w:val="22"/>
          <w:szCs w:val="22"/>
        </w:rPr>
        <w:t>2</w:t>
      </w:r>
      <w:r w:rsidRPr="00590C76">
        <w:rPr>
          <w:noProof/>
          <w:sz w:val="22"/>
          <w:szCs w:val="22"/>
        </w:rPr>
        <w:fldChar w:fldCharType="end"/>
      </w:r>
      <w:bookmarkEnd w:id="6"/>
      <w:r w:rsidRPr="00590C76">
        <w:rPr>
          <w:sz w:val="22"/>
          <w:szCs w:val="22"/>
        </w:rPr>
        <w:t>: Estimated HUD Burden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61"/>
        <w:gridCol w:w="1202"/>
        <w:gridCol w:w="1041"/>
        <w:gridCol w:w="1010"/>
        <w:gridCol w:w="941"/>
        <w:gridCol w:w="714"/>
        <w:gridCol w:w="804"/>
        <w:gridCol w:w="804"/>
        <w:gridCol w:w="849"/>
        <w:gridCol w:w="1256"/>
      </w:tblGrid>
      <w:tr w14:paraId="5A2DB821" w14:textId="77777777" w:rsidTr="00660252">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95"/>
        </w:trPr>
        <w:tc>
          <w:tcPr>
            <w:tcW w:w="593" w:type="pct"/>
            <w:vMerge w:val="restart"/>
            <w:noWrap/>
            <w:hideMark/>
          </w:tcPr>
          <w:p w:rsidR="00057833" w:rsidRPr="00660252" w:rsidP="00057833" w14:paraId="708B960B" w14:textId="77777777">
            <w:pPr>
              <w:pStyle w:val="NoSpacing"/>
              <w:rPr>
                <w:b/>
                <w:bCs/>
                <w:color w:val="000000"/>
                <w:sz w:val="18"/>
                <w:szCs w:val="18"/>
              </w:rPr>
            </w:pPr>
            <w:r w:rsidRPr="00660252">
              <w:rPr>
                <w:b/>
                <w:bCs/>
                <w:color w:val="000000"/>
                <w:sz w:val="18"/>
                <w:szCs w:val="18"/>
              </w:rPr>
              <w:t xml:space="preserve">Information </w:t>
            </w:r>
          </w:p>
          <w:p w:rsidR="00057833" w:rsidRPr="00660252" w:rsidP="00057833" w14:paraId="36080E9F" w14:textId="77777777">
            <w:pPr>
              <w:pStyle w:val="NoSpacing"/>
              <w:rPr>
                <w:b/>
                <w:bCs/>
                <w:color w:val="000000"/>
                <w:sz w:val="18"/>
                <w:szCs w:val="18"/>
              </w:rPr>
            </w:pPr>
            <w:r w:rsidRPr="00660252">
              <w:rPr>
                <w:b/>
                <w:bCs/>
                <w:color w:val="000000"/>
                <w:sz w:val="18"/>
                <w:szCs w:val="18"/>
              </w:rPr>
              <w:t>Collection</w:t>
            </w:r>
          </w:p>
        </w:tc>
        <w:tc>
          <w:tcPr>
            <w:tcW w:w="614" w:type="pct"/>
            <w:vMerge w:val="restart"/>
            <w:hideMark/>
          </w:tcPr>
          <w:p w:rsidR="00057833" w:rsidRPr="00660252" w:rsidP="00057833" w14:paraId="6E25AF84" w14:textId="77777777">
            <w:pPr>
              <w:pStyle w:val="NoSpacing"/>
              <w:rPr>
                <w:b/>
                <w:bCs/>
                <w:color w:val="000000"/>
                <w:sz w:val="18"/>
                <w:szCs w:val="18"/>
              </w:rPr>
            </w:pPr>
            <w:r w:rsidRPr="00660252">
              <w:rPr>
                <w:b/>
                <w:bCs/>
                <w:color w:val="000000"/>
                <w:sz w:val="18"/>
                <w:szCs w:val="18"/>
              </w:rPr>
              <w:t>Number of Respondents</w:t>
            </w:r>
          </w:p>
        </w:tc>
        <w:tc>
          <w:tcPr>
            <w:tcW w:w="532" w:type="pct"/>
            <w:vMerge w:val="restart"/>
            <w:hideMark/>
          </w:tcPr>
          <w:p w:rsidR="00057833" w:rsidRPr="00660252" w:rsidP="00057833" w14:paraId="36CB5F47" w14:textId="77777777">
            <w:pPr>
              <w:pStyle w:val="NoSpacing"/>
              <w:rPr>
                <w:b/>
                <w:bCs/>
                <w:color w:val="000000"/>
                <w:sz w:val="18"/>
                <w:szCs w:val="18"/>
              </w:rPr>
            </w:pPr>
            <w:r w:rsidRPr="00660252">
              <w:rPr>
                <w:b/>
                <w:bCs/>
                <w:color w:val="000000"/>
                <w:sz w:val="18"/>
                <w:szCs w:val="18"/>
              </w:rPr>
              <w:t>Frequency of Response</w:t>
            </w:r>
          </w:p>
        </w:tc>
        <w:tc>
          <w:tcPr>
            <w:tcW w:w="516" w:type="pct"/>
            <w:vMerge w:val="restart"/>
          </w:tcPr>
          <w:p w:rsidR="00057833" w:rsidRPr="00660252" w:rsidP="00057833" w14:paraId="3312F83E" w14:textId="77777777">
            <w:pPr>
              <w:overflowPunct/>
              <w:autoSpaceDE/>
              <w:autoSpaceDN/>
              <w:adjustRightInd/>
              <w:textAlignment w:val="auto"/>
              <w:rPr>
                <w:b/>
                <w:bCs/>
                <w:color w:val="000000"/>
                <w:sz w:val="18"/>
                <w:szCs w:val="18"/>
              </w:rPr>
            </w:pPr>
            <w:r w:rsidRPr="00660252">
              <w:rPr>
                <w:rFonts w:eastAsia="Calibri"/>
                <w:b/>
                <w:bCs/>
                <w:color w:val="000000"/>
                <w:sz w:val="18"/>
                <w:szCs w:val="18"/>
              </w:rPr>
              <w:t>Responses Per Annum</w:t>
            </w:r>
          </w:p>
        </w:tc>
        <w:tc>
          <w:tcPr>
            <w:tcW w:w="481" w:type="pct"/>
            <w:vMerge w:val="restart"/>
          </w:tcPr>
          <w:p w:rsidR="00057833" w:rsidRPr="00660252" w:rsidP="00057833" w14:paraId="4D768D39" w14:textId="2127AE9E">
            <w:pPr>
              <w:pStyle w:val="NoSpacing"/>
              <w:rPr>
                <w:b/>
                <w:bCs/>
                <w:color w:val="000000"/>
                <w:sz w:val="18"/>
                <w:szCs w:val="18"/>
              </w:rPr>
            </w:pPr>
            <w:r w:rsidRPr="00660252">
              <w:rPr>
                <w:rFonts w:eastAsia="Calibri"/>
                <w:b/>
                <w:bCs/>
                <w:color w:val="000000"/>
                <w:sz w:val="18"/>
                <w:szCs w:val="18"/>
              </w:rPr>
              <w:t>Burden Hour Per Response</w:t>
            </w:r>
          </w:p>
        </w:tc>
        <w:tc>
          <w:tcPr>
            <w:tcW w:w="1621" w:type="pct"/>
            <w:gridSpan w:val="4"/>
          </w:tcPr>
          <w:p w:rsidR="00057833" w:rsidRPr="00660252" w:rsidP="00057833" w14:paraId="79CA2701" w14:textId="70F3A10E">
            <w:pPr>
              <w:pStyle w:val="NoSpacing"/>
              <w:rPr>
                <w:b/>
                <w:bCs/>
                <w:color w:val="000000"/>
                <w:sz w:val="18"/>
                <w:szCs w:val="18"/>
              </w:rPr>
            </w:pPr>
            <w:r w:rsidRPr="00660252">
              <w:rPr>
                <w:b/>
                <w:bCs/>
                <w:color w:val="000000"/>
                <w:sz w:val="18"/>
                <w:szCs w:val="18"/>
              </w:rPr>
              <w:t>Hourly Cost Per Response*</w:t>
            </w:r>
          </w:p>
        </w:tc>
        <w:tc>
          <w:tcPr>
            <w:tcW w:w="642" w:type="pct"/>
            <w:vMerge w:val="restart"/>
            <w:hideMark/>
          </w:tcPr>
          <w:p w:rsidR="00057833" w:rsidRPr="00660252" w:rsidP="00057833" w14:paraId="5B475250" w14:textId="77777777">
            <w:pPr>
              <w:pStyle w:val="NoSpacing"/>
              <w:rPr>
                <w:b/>
                <w:bCs/>
                <w:color w:val="000000"/>
                <w:sz w:val="18"/>
                <w:szCs w:val="18"/>
              </w:rPr>
            </w:pPr>
            <w:r w:rsidRPr="00660252">
              <w:rPr>
                <w:b/>
                <w:bCs/>
                <w:color w:val="000000"/>
                <w:sz w:val="18"/>
                <w:szCs w:val="18"/>
              </w:rPr>
              <w:t>Annual Cost</w:t>
            </w:r>
          </w:p>
        </w:tc>
      </w:tr>
      <w:tr w14:paraId="4194D6CC" w14:textId="77777777" w:rsidTr="00660252">
        <w:tblPrEx>
          <w:tblW w:w="5000" w:type="pct"/>
          <w:tblLook w:val="04A0"/>
        </w:tblPrEx>
        <w:trPr>
          <w:trHeight w:val="575"/>
        </w:trPr>
        <w:tc>
          <w:tcPr>
            <w:tcW w:w="593" w:type="pct"/>
            <w:vMerge/>
            <w:noWrap/>
          </w:tcPr>
          <w:p w:rsidR="00057833" w:rsidRPr="00660252" w:rsidP="00057833" w14:paraId="26FDA780" w14:textId="77777777">
            <w:pPr>
              <w:pStyle w:val="NoSpacing"/>
              <w:rPr>
                <w:b/>
                <w:bCs/>
                <w:color w:val="000000"/>
                <w:sz w:val="18"/>
                <w:szCs w:val="18"/>
              </w:rPr>
            </w:pPr>
          </w:p>
        </w:tc>
        <w:tc>
          <w:tcPr>
            <w:tcW w:w="614" w:type="pct"/>
            <w:vMerge/>
          </w:tcPr>
          <w:p w:rsidR="00057833" w:rsidRPr="00660252" w:rsidP="00057833" w14:paraId="6C0FA759" w14:textId="77777777">
            <w:pPr>
              <w:pStyle w:val="NoSpacing"/>
              <w:rPr>
                <w:b/>
                <w:bCs/>
                <w:color w:val="000000"/>
                <w:sz w:val="18"/>
                <w:szCs w:val="18"/>
              </w:rPr>
            </w:pPr>
          </w:p>
        </w:tc>
        <w:tc>
          <w:tcPr>
            <w:tcW w:w="532" w:type="pct"/>
            <w:vMerge/>
          </w:tcPr>
          <w:p w:rsidR="00057833" w:rsidRPr="00660252" w:rsidP="00057833" w14:paraId="2F93F6F9" w14:textId="77777777">
            <w:pPr>
              <w:pStyle w:val="NoSpacing"/>
              <w:rPr>
                <w:b/>
                <w:bCs/>
                <w:color w:val="000000"/>
                <w:sz w:val="18"/>
                <w:szCs w:val="18"/>
              </w:rPr>
            </w:pPr>
          </w:p>
        </w:tc>
        <w:tc>
          <w:tcPr>
            <w:tcW w:w="516" w:type="pct"/>
            <w:vMerge/>
          </w:tcPr>
          <w:p w:rsidR="00057833" w:rsidRPr="00660252" w:rsidP="00057833" w14:paraId="5A7668D3" w14:textId="77777777">
            <w:pPr>
              <w:pStyle w:val="NoSpacing"/>
              <w:rPr>
                <w:b/>
                <w:bCs/>
                <w:color w:val="000000"/>
                <w:sz w:val="18"/>
                <w:szCs w:val="18"/>
              </w:rPr>
            </w:pPr>
          </w:p>
        </w:tc>
        <w:tc>
          <w:tcPr>
            <w:tcW w:w="481" w:type="pct"/>
            <w:vMerge/>
          </w:tcPr>
          <w:p w:rsidR="00057833" w:rsidRPr="00660252" w:rsidP="00057833" w14:paraId="576F9BDE" w14:textId="77777777">
            <w:pPr>
              <w:pStyle w:val="NoSpacing"/>
              <w:rPr>
                <w:b/>
                <w:bCs/>
                <w:color w:val="000000"/>
                <w:sz w:val="18"/>
                <w:szCs w:val="18"/>
              </w:rPr>
            </w:pPr>
          </w:p>
        </w:tc>
        <w:tc>
          <w:tcPr>
            <w:tcW w:w="365" w:type="pct"/>
          </w:tcPr>
          <w:p w:rsidR="00057833" w:rsidRPr="00660252" w:rsidP="00057833" w14:paraId="0BA0539A" w14:textId="2360E64B">
            <w:pPr>
              <w:pStyle w:val="NoSpacing"/>
              <w:rPr>
                <w:b/>
                <w:bCs/>
                <w:color w:val="000000"/>
                <w:sz w:val="18"/>
                <w:szCs w:val="18"/>
              </w:rPr>
            </w:pPr>
            <w:r w:rsidRPr="00660252">
              <w:rPr>
                <w:b/>
                <w:bCs/>
                <w:color w:val="000000"/>
                <w:sz w:val="18"/>
                <w:szCs w:val="18"/>
              </w:rPr>
              <w:t>GS 13: 1 hour</w:t>
            </w:r>
          </w:p>
        </w:tc>
        <w:tc>
          <w:tcPr>
            <w:tcW w:w="411" w:type="pct"/>
          </w:tcPr>
          <w:p w:rsidR="00057833" w:rsidRPr="00660252" w:rsidP="00057833" w14:paraId="20B3F278" w14:textId="77777777">
            <w:pPr>
              <w:pStyle w:val="NoSpacing"/>
              <w:rPr>
                <w:b/>
                <w:bCs/>
                <w:color w:val="000000"/>
                <w:sz w:val="18"/>
                <w:szCs w:val="18"/>
              </w:rPr>
            </w:pPr>
            <w:r w:rsidRPr="00660252">
              <w:rPr>
                <w:b/>
                <w:bCs/>
                <w:color w:val="000000"/>
                <w:sz w:val="18"/>
                <w:szCs w:val="18"/>
              </w:rPr>
              <w:t>GS 14: 15 mins.</w:t>
            </w:r>
          </w:p>
        </w:tc>
        <w:tc>
          <w:tcPr>
            <w:tcW w:w="411" w:type="pct"/>
          </w:tcPr>
          <w:p w:rsidR="00057833" w:rsidRPr="00660252" w:rsidP="00057833" w14:paraId="3269AFEC" w14:textId="77777777">
            <w:pPr>
              <w:pStyle w:val="NoSpacing"/>
              <w:rPr>
                <w:b/>
                <w:bCs/>
                <w:color w:val="000000"/>
                <w:sz w:val="18"/>
                <w:szCs w:val="18"/>
              </w:rPr>
            </w:pPr>
            <w:r w:rsidRPr="00660252">
              <w:rPr>
                <w:b/>
                <w:bCs/>
                <w:color w:val="000000"/>
                <w:sz w:val="18"/>
                <w:szCs w:val="18"/>
              </w:rPr>
              <w:t>GS 15: 15 mins.</w:t>
            </w:r>
          </w:p>
        </w:tc>
        <w:tc>
          <w:tcPr>
            <w:tcW w:w="434" w:type="pct"/>
          </w:tcPr>
          <w:p w:rsidR="00057833" w:rsidRPr="00660252" w:rsidP="00057833" w14:paraId="1B8ED1C5" w14:textId="77777777">
            <w:pPr>
              <w:pStyle w:val="NoSpacing"/>
              <w:rPr>
                <w:b/>
                <w:bCs/>
                <w:color w:val="000000"/>
                <w:sz w:val="18"/>
                <w:szCs w:val="18"/>
              </w:rPr>
            </w:pPr>
            <w:r w:rsidRPr="00660252">
              <w:rPr>
                <w:b/>
                <w:bCs/>
                <w:color w:val="000000"/>
                <w:sz w:val="18"/>
                <w:szCs w:val="18"/>
              </w:rPr>
              <w:t>Blended</w:t>
            </w:r>
          </w:p>
        </w:tc>
        <w:tc>
          <w:tcPr>
            <w:tcW w:w="642" w:type="pct"/>
            <w:vMerge/>
          </w:tcPr>
          <w:p w:rsidR="00057833" w:rsidRPr="00660252" w:rsidP="00057833" w14:paraId="51122EA8" w14:textId="77777777">
            <w:pPr>
              <w:pStyle w:val="NoSpacing"/>
              <w:rPr>
                <w:b/>
                <w:bCs/>
                <w:color w:val="000000"/>
                <w:sz w:val="18"/>
                <w:szCs w:val="18"/>
              </w:rPr>
            </w:pPr>
          </w:p>
        </w:tc>
      </w:tr>
      <w:tr w14:paraId="5AB2BE41" w14:textId="77777777" w:rsidTr="00660252">
        <w:tblPrEx>
          <w:tblW w:w="5000" w:type="pct"/>
          <w:tblLook w:val="04A0"/>
        </w:tblPrEx>
        <w:trPr>
          <w:trHeight w:val="300"/>
        </w:trPr>
        <w:tc>
          <w:tcPr>
            <w:tcW w:w="593" w:type="pct"/>
            <w:noWrap/>
            <w:hideMark/>
          </w:tcPr>
          <w:p w:rsidR="00057833" w:rsidRPr="00660252" w:rsidP="00057833" w14:paraId="06011BF1" w14:textId="77777777">
            <w:pPr>
              <w:pStyle w:val="NoSpacing"/>
              <w:rPr>
                <w:color w:val="000000"/>
                <w:sz w:val="18"/>
                <w:szCs w:val="18"/>
              </w:rPr>
            </w:pPr>
            <w:r w:rsidRPr="00660252">
              <w:rPr>
                <w:sz w:val="18"/>
                <w:szCs w:val="18"/>
              </w:rPr>
              <w:t>HUD-27061</w:t>
            </w:r>
          </w:p>
        </w:tc>
        <w:tc>
          <w:tcPr>
            <w:tcW w:w="614" w:type="pct"/>
            <w:noWrap/>
            <w:hideMark/>
          </w:tcPr>
          <w:p w:rsidR="00057833" w:rsidRPr="00660252" w:rsidP="00057833" w14:paraId="73999921" w14:textId="77777777">
            <w:pPr>
              <w:pStyle w:val="NoSpacing"/>
              <w:rPr>
                <w:color w:val="000000"/>
                <w:sz w:val="18"/>
                <w:szCs w:val="18"/>
              </w:rPr>
            </w:pPr>
            <w:r w:rsidRPr="00660252">
              <w:rPr>
                <w:sz w:val="18"/>
                <w:szCs w:val="18"/>
              </w:rPr>
              <w:t>14,375</w:t>
            </w:r>
          </w:p>
        </w:tc>
        <w:tc>
          <w:tcPr>
            <w:tcW w:w="532" w:type="pct"/>
            <w:noWrap/>
            <w:hideMark/>
          </w:tcPr>
          <w:p w:rsidR="00057833" w:rsidRPr="00660252" w:rsidP="00057833" w14:paraId="66948A1C" w14:textId="77777777">
            <w:pPr>
              <w:pStyle w:val="NoSpacing"/>
              <w:rPr>
                <w:color w:val="000000"/>
                <w:sz w:val="18"/>
                <w:szCs w:val="18"/>
              </w:rPr>
            </w:pPr>
            <w:r w:rsidRPr="00660252">
              <w:rPr>
                <w:sz w:val="18"/>
                <w:szCs w:val="18"/>
              </w:rPr>
              <w:t>1.2</w:t>
            </w:r>
          </w:p>
        </w:tc>
        <w:tc>
          <w:tcPr>
            <w:tcW w:w="516" w:type="pct"/>
          </w:tcPr>
          <w:p w:rsidR="00057833" w:rsidRPr="00660252" w:rsidP="00057833" w14:paraId="6B834F94" w14:textId="77777777">
            <w:pPr>
              <w:pStyle w:val="NoSpacing"/>
              <w:rPr>
                <w:sz w:val="18"/>
                <w:szCs w:val="18"/>
              </w:rPr>
            </w:pPr>
            <w:r w:rsidRPr="00660252">
              <w:rPr>
                <w:color w:val="000000"/>
                <w:sz w:val="18"/>
                <w:szCs w:val="18"/>
              </w:rPr>
              <w:t>17,250</w:t>
            </w:r>
          </w:p>
        </w:tc>
        <w:tc>
          <w:tcPr>
            <w:tcW w:w="481" w:type="pct"/>
          </w:tcPr>
          <w:p w:rsidR="00057833" w:rsidRPr="00660252" w:rsidP="00057833" w14:paraId="7C643503" w14:textId="49216507">
            <w:pPr>
              <w:pStyle w:val="NoSpacing"/>
              <w:rPr>
                <w:sz w:val="18"/>
                <w:szCs w:val="18"/>
              </w:rPr>
            </w:pPr>
            <w:r w:rsidRPr="00660252">
              <w:rPr>
                <w:color w:val="000000"/>
                <w:sz w:val="18"/>
                <w:szCs w:val="18"/>
              </w:rPr>
              <w:t>0.50</w:t>
            </w:r>
          </w:p>
        </w:tc>
        <w:tc>
          <w:tcPr>
            <w:tcW w:w="365" w:type="pct"/>
            <w:noWrap/>
            <w:hideMark/>
          </w:tcPr>
          <w:p w:rsidR="00057833" w:rsidRPr="00660252" w:rsidP="00057833" w14:paraId="2790C0D3" w14:textId="47CC1C3D">
            <w:pPr>
              <w:pStyle w:val="NoSpacing"/>
              <w:rPr>
                <w:color w:val="000000"/>
                <w:sz w:val="18"/>
                <w:szCs w:val="18"/>
              </w:rPr>
            </w:pPr>
            <w:r w:rsidRPr="00660252">
              <w:rPr>
                <w:sz w:val="18"/>
                <w:szCs w:val="18"/>
              </w:rPr>
              <w:t>$57.80</w:t>
            </w:r>
          </w:p>
        </w:tc>
        <w:tc>
          <w:tcPr>
            <w:tcW w:w="411" w:type="pct"/>
            <w:noWrap/>
            <w:hideMark/>
          </w:tcPr>
          <w:p w:rsidR="00057833" w:rsidRPr="00660252" w:rsidP="00057833" w14:paraId="77423365" w14:textId="6C295A5E">
            <w:pPr>
              <w:pStyle w:val="NoSpacing"/>
              <w:rPr>
                <w:color w:val="000000"/>
                <w:sz w:val="18"/>
                <w:szCs w:val="18"/>
              </w:rPr>
            </w:pPr>
            <w:r w:rsidRPr="00660252">
              <w:rPr>
                <w:sz w:val="18"/>
                <w:szCs w:val="18"/>
              </w:rPr>
              <w:t>$17.075</w:t>
            </w:r>
          </w:p>
        </w:tc>
        <w:tc>
          <w:tcPr>
            <w:tcW w:w="411" w:type="pct"/>
            <w:noWrap/>
            <w:hideMark/>
          </w:tcPr>
          <w:p w:rsidR="00057833" w:rsidRPr="00660252" w:rsidP="00057833" w14:paraId="41BA943D" w14:textId="248C3EC2">
            <w:pPr>
              <w:pStyle w:val="NoSpacing"/>
              <w:rPr>
                <w:color w:val="000000"/>
                <w:sz w:val="18"/>
                <w:szCs w:val="18"/>
              </w:rPr>
            </w:pPr>
            <w:r w:rsidRPr="00660252">
              <w:rPr>
                <w:sz w:val="18"/>
                <w:szCs w:val="18"/>
              </w:rPr>
              <w:t>$20.085</w:t>
            </w:r>
          </w:p>
        </w:tc>
        <w:tc>
          <w:tcPr>
            <w:tcW w:w="434" w:type="pct"/>
            <w:noWrap/>
            <w:hideMark/>
          </w:tcPr>
          <w:p w:rsidR="00057833" w:rsidRPr="00660252" w:rsidP="00057833" w14:paraId="2DD5CD64" w14:textId="097CAD4E">
            <w:pPr>
              <w:pStyle w:val="NoSpacing"/>
              <w:rPr>
                <w:color w:val="000000"/>
                <w:sz w:val="18"/>
                <w:szCs w:val="18"/>
              </w:rPr>
            </w:pPr>
            <w:r w:rsidRPr="00660252">
              <w:rPr>
                <w:sz w:val="18"/>
                <w:szCs w:val="18"/>
              </w:rPr>
              <w:t>$94.96</w:t>
            </w:r>
          </w:p>
        </w:tc>
        <w:tc>
          <w:tcPr>
            <w:tcW w:w="642" w:type="pct"/>
            <w:noWrap/>
            <w:hideMark/>
          </w:tcPr>
          <w:p w:rsidR="00057833" w:rsidRPr="00660252" w:rsidP="00057833" w14:paraId="7E353803" w14:textId="55E31123">
            <w:pPr>
              <w:pStyle w:val="NoSpacing"/>
              <w:rPr>
                <w:color w:val="000000"/>
                <w:sz w:val="18"/>
                <w:szCs w:val="18"/>
              </w:rPr>
            </w:pPr>
            <w:r w:rsidRPr="00660252">
              <w:rPr>
                <w:sz w:val="18"/>
                <w:szCs w:val="18"/>
              </w:rPr>
              <w:t>$1,638,060.00</w:t>
            </w:r>
          </w:p>
        </w:tc>
      </w:tr>
    </w:tbl>
    <w:p w:rsidR="00A8456B" w:rsidRPr="00590C76" w:rsidP="005C6B45" w14:paraId="1639A480" w14:textId="5080C326">
      <w:pPr>
        <w:pStyle w:val="NoSpacing"/>
        <w:ind w:left="360"/>
        <w:rPr>
          <w:color w:val="000000"/>
          <w:sz w:val="22"/>
          <w:szCs w:val="22"/>
        </w:rPr>
      </w:pPr>
      <w:r w:rsidRPr="00590C76">
        <w:rPr>
          <w:sz w:val="22"/>
          <w:szCs w:val="22"/>
        </w:rPr>
        <w:t xml:space="preserve">* </w:t>
      </w:r>
      <w:bookmarkStart w:id="7" w:name="OLE_LINK1"/>
      <w:bookmarkStart w:id="8" w:name="_Hlk525141270"/>
      <w:r w:rsidRPr="00590C76">
        <w:rPr>
          <w:sz w:val="22"/>
          <w:szCs w:val="22"/>
        </w:rPr>
        <w:t xml:space="preserve">Using </w:t>
      </w:r>
      <w:hyperlink r:id="rId9" w:history="1">
        <w:r w:rsidRPr="00590C76">
          <w:rPr>
            <w:rStyle w:val="Hyperlink"/>
            <w:sz w:val="22"/>
            <w:szCs w:val="22"/>
          </w:rPr>
          <w:t>OPM’s “Rest of the United States” hourly rates for 202</w:t>
        </w:r>
        <w:r w:rsidR="00691335">
          <w:rPr>
            <w:rStyle w:val="Hyperlink"/>
            <w:sz w:val="22"/>
            <w:szCs w:val="22"/>
          </w:rPr>
          <w:t>6</w:t>
        </w:r>
      </w:hyperlink>
      <w:r w:rsidRPr="00590C76">
        <w:rPr>
          <w:sz w:val="22"/>
          <w:szCs w:val="22"/>
        </w:rPr>
        <w:t>, Federal staff time is estimated for a GS-13 step 5 at $</w:t>
      </w:r>
      <w:r w:rsidRPr="00590C76" w:rsidR="00932090">
        <w:rPr>
          <w:sz w:val="22"/>
          <w:szCs w:val="22"/>
        </w:rPr>
        <w:t>57</w:t>
      </w:r>
      <w:r w:rsidRPr="00590C76">
        <w:rPr>
          <w:sz w:val="22"/>
          <w:szCs w:val="22"/>
        </w:rPr>
        <w:t>.</w:t>
      </w:r>
      <w:r w:rsidRPr="00590C76" w:rsidR="00932090">
        <w:rPr>
          <w:sz w:val="22"/>
          <w:szCs w:val="22"/>
        </w:rPr>
        <w:t>80</w:t>
      </w:r>
      <w:r w:rsidRPr="00590C76">
        <w:rPr>
          <w:sz w:val="22"/>
          <w:szCs w:val="22"/>
        </w:rPr>
        <w:t xml:space="preserve"> per hour, </w:t>
      </w:r>
      <w:bookmarkEnd w:id="7"/>
      <w:bookmarkEnd w:id="8"/>
      <w:r w:rsidRPr="00590C76">
        <w:rPr>
          <w:sz w:val="22"/>
          <w:szCs w:val="22"/>
        </w:rPr>
        <w:t>as well as 15 minutes each for a GS-14 step 5 at $6</w:t>
      </w:r>
      <w:r w:rsidRPr="00590C76" w:rsidR="00932090">
        <w:rPr>
          <w:sz w:val="22"/>
          <w:szCs w:val="22"/>
        </w:rPr>
        <w:t>8</w:t>
      </w:r>
      <w:r w:rsidRPr="00590C76">
        <w:rPr>
          <w:sz w:val="22"/>
          <w:szCs w:val="22"/>
        </w:rPr>
        <w:t>.</w:t>
      </w:r>
      <w:r w:rsidRPr="00590C76" w:rsidR="00932090">
        <w:rPr>
          <w:sz w:val="22"/>
          <w:szCs w:val="22"/>
        </w:rPr>
        <w:t>30</w:t>
      </w:r>
      <w:r w:rsidRPr="00590C76">
        <w:rPr>
          <w:sz w:val="22"/>
          <w:szCs w:val="22"/>
        </w:rPr>
        <w:t>/hr. and a GS-15 step 5 at $</w:t>
      </w:r>
      <w:r w:rsidRPr="00590C76" w:rsidR="00932090">
        <w:rPr>
          <w:sz w:val="22"/>
          <w:szCs w:val="22"/>
        </w:rPr>
        <w:t>80</w:t>
      </w:r>
      <w:r w:rsidRPr="00590C76">
        <w:rPr>
          <w:sz w:val="22"/>
          <w:szCs w:val="22"/>
        </w:rPr>
        <w:t>.</w:t>
      </w:r>
      <w:r w:rsidRPr="00590C76" w:rsidR="00932090">
        <w:rPr>
          <w:sz w:val="22"/>
          <w:szCs w:val="22"/>
        </w:rPr>
        <w:t>3</w:t>
      </w:r>
      <w:r w:rsidRPr="00590C76">
        <w:rPr>
          <w:sz w:val="22"/>
          <w:szCs w:val="22"/>
        </w:rPr>
        <w:t>4/hr., bringing the blended total to $</w:t>
      </w:r>
      <w:r w:rsidRPr="00590C76" w:rsidR="00932090">
        <w:rPr>
          <w:sz w:val="22"/>
          <w:szCs w:val="22"/>
        </w:rPr>
        <w:t>94</w:t>
      </w:r>
      <w:r w:rsidRPr="00590C76">
        <w:rPr>
          <w:sz w:val="22"/>
          <w:szCs w:val="22"/>
        </w:rPr>
        <w:t>.</w:t>
      </w:r>
      <w:r w:rsidRPr="00590C76" w:rsidR="00932090">
        <w:rPr>
          <w:sz w:val="22"/>
          <w:szCs w:val="22"/>
        </w:rPr>
        <w:t>96</w:t>
      </w:r>
      <w:r w:rsidRPr="00590C76">
        <w:rPr>
          <w:sz w:val="22"/>
          <w:szCs w:val="22"/>
        </w:rPr>
        <w:t>/</w:t>
      </w:r>
      <w:r w:rsidRPr="00590C76">
        <w:rPr>
          <w:sz w:val="22"/>
          <w:szCs w:val="22"/>
        </w:rPr>
        <w:t>hr</w:t>
      </w:r>
      <w:r w:rsidRPr="00590C76">
        <w:rPr>
          <w:sz w:val="22"/>
          <w:szCs w:val="22"/>
        </w:rPr>
        <w:t xml:space="preserve"> for each form submitted.   </w:t>
      </w:r>
    </w:p>
    <w:p w:rsidR="00A8456B" w:rsidRPr="00590C76" w:rsidP="005E3C6B" w14:paraId="3C6870A8" w14:textId="77777777">
      <w:pPr>
        <w:pStyle w:val="NoSpacing"/>
        <w:rPr>
          <w:color w:val="000000"/>
          <w:sz w:val="22"/>
          <w:szCs w:val="22"/>
        </w:rPr>
      </w:pPr>
    </w:p>
    <w:p w:rsidR="00932090" w:rsidRPr="00590C76" w:rsidP="005E3C6B" w14:paraId="65DFFECD" w14:textId="4B4C4F9E">
      <w:pPr>
        <w:pStyle w:val="NoSpacing"/>
        <w:numPr>
          <w:ilvl w:val="0"/>
          <w:numId w:val="14"/>
        </w:numPr>
        <w:rPr>
          <w:b/>
          <w:bCs/>
          <w:color w:val="000000"/>
          <w:sz w:val="22"/>
          <w:szCs w:val="22"/>
        </w:rPr>
      </w:pPr>
      <w:r w:rsidRPr="00590C76">
        <w:rPr>
          <w:b/>
          <w:bCs/>
          <w:color w:val="000000"/>
          <w:sz w:val="22"/>
          <w:szCs w:val="22"/>
        </w:rPr>
        <w:t>Explain the reasons for any program changes or adjustments reported on the burden worksheet.</w:t>
      </w:r>
    </w:p>
    <w:p w:rsidR="00E8145B" w:rsidRPr="00590C76" w:rsidP="00932090" w14:paraId="0DB6B2AD" w14:textId="096EB8B5">
      <w:pPr>
        <w:pStyle w:val="NoSpacing"/>
        <w:ind w:left="720"/>
        <w:rPr>
          <w:color w:val="000000"/>
          <w:sz w:val="22"/>
          <w:szCs w:val="22"/>
        </w:rPr>
      </w:pPr>
      <w:r w:rsidRPr="00590C76">
        <w:rPr>
          <w:sz w:val="22"/>
          <w:szCs w:val="22"/>
        </w:rPr>
        <w:t xml:space="preserve">This is a </w:t>
      </w:r>
      <w:r w:rsidR="003E60AB">
        <w:rPr>
          <w:sz w:val="22"/>
          <w:szCs w:val="22"/>
        </w:rPr>
        <w:t>reinstatement</w:t>
      </w:r>
      <w:r w:rsidRPr="00590C76" w:rsidR="003E60AB">
        <w:rPr>
          <w:sz w:val="22"/>
          <w:szCs w:val="22"/>
        </w:rPr>
        <w:t xml:space="preserve"> </w:t>
      </w:r>
      <w:r w:rsidRPr="00590C76" w:rsidR="0061605E">
        <w:rPr>
          <w:sz w:val="22"/>
          <w:szCs w:val="22"/>
        </w:rPr>
        <w:t>with</w:t>
      </w:r>
      <w:r w:rsidRPr="00590C76" w:rsidR="002F27E8">
        <w:rPr>
          <w:sz w:val="22"/>
          <w:szCs w:val="22"/>
        </w:rPr>
        <w:t>out changes</w:t>
      </w:r>
      <w:r w:rsidRPr="00590C76">
        <w:rPr>
          <w:sz w:val="22"/>
          <w:szCs w:val="22"/>
        </w:rPr>
        <w:t xml:space="preserve">. </w:t>
      </w:r>
    </w:p>
    <w:p w:rsidR="00E8145B" w:rsidRPr="00590C76" w:rsidP="005E3C6B" w14:paraId="34F161ED" w14:textId="77777777">
      <w:pPr>
        <w:pStyle w:val="NoSpacing"/>
        <w:rPr>
          <w:color w:val="000000"/>
          <w:sz w:val="22"/>
          <w:szCs w:val="22"/>
        </w:rPr>
      </w:pPr>
    </w:p>
    <w:p w:rsidR="00932090" w:rsidRPr="00590C76" w:rsidP="005E3C6B" w14:paraId="4B935175" w14:textId="779ACEF2">
      <w:pPr>
        <w:pStyle w:val="NoSpacing"/>
        <w:numPr>
          <w:ilvl w:val="0"/>
          <w:numId w:val="14"/>
        </w:numPr>
        <w:rPr>
          <w:b/>
          <w:bCs/>
          <w:color w:val="000000"/>
          <w:sz w:val="22"/>
          <w:szCs w:val="22"/>
        </w:rPr>
      </w:pPr>
      <w:r w:rsidRPr="00590C76">
        <w:rPr>
          <w:b/>
          <w:bCs/>
          <w:color w:val="000000"/>
          <w:sz w:val="22"/>
          <w:szCs w:val="22"/>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E8145B" w:rsidRPr="00590C76" w:rsidP="00932090" w14:paraId="2B469B17" w14:textId="49974733">
      <w:pPr>
        <w:pStyle w:val="NoSpacing"/>
        <w:ind w:left="720"/>
        <w:rPr>
          <w:color w:val="000000"/>
          <w:sz w:val="22"/>
          <w:szCs w:val="22"/>
        </w:rPr>
      </w:pPr>
      <w:r w:rsidRPr="00590C76">
        <w:rPr>
          <w:color w:val="000000"/>
          <w:sz w:val="22"/>
          <w:szCs w:val="22"/>
        </w:rPr>
        <w:t xml:space="preserve">The information </w:t>
      </w:r>
      <w:r w:rsidRPr="00590C76" w:rsidR="009E759B">
        <w:rPr>
          <w:color w:val="000000"/>
          <w:sz w:val="22"/>
          <w:szCs w:val="22"/>
        </w:rPr>
        <w:t xml:space="preserve">may be made available publicly depending on requests from OMB, Congress, or Federal agencies with appropriate authority.  Also, individual HUD programs may assess </w:t>
      </w:r>
      <w:r w:rsidRPr="00590C76" w:rsidR="00BC5047">
        <w:rPr>
          <w:color w:val="000000"/>
          <w:sz w:val="22"/>
          <w:szCs w:val="22"/>
        </w:rPr>
        <w:t>the need</w:t>
      </w:r>
      <w:r w:rsidRPr="00590C76" w:rsidR="009E759B">
        <w:rPr>
          <w:color w:val="000000"/>
          <w:sz w:val="22"/>
          <w:szCs w:val="22"/>
        </w:rPr>
        <w:t xml:space="preserve"> to publish information.</w:t>
      </w:r>
      <w:r w:rsidRPr="00590C76" w:rsidR="00BC5047">
        <w:rPr>
          <w:color w:val="000000"/>
          <w:sz w:val="22"/>
          <w:szCs w:val="22"/>
        </w:rPr>
        <w:t xml:space="preserve"> </w:t>
      </w:r>
      <w:r w:rsidRPr="00590C76" w:rsidR="000B1BB9">
        <w:rPr>
          <w:color w:val="000000"/>
          <w:sz w:val="22"/>
          <w:szCs w:val="22"/>
        </w:rPr>
        <w:t xml:space="preserve">When this information is used to inform public reports or is otherwise reported publicly, HUD will ensure adequate discussion is included regarding validity concerns and biases in how this data is collected by grantee organizations and aggregated by HUD. This discussion should acknowledge certain limitations to this dataset including: (1) the inability for grantee organizations to report non-responses or refused response data and a lack of clarity as to how these data-points are reported to HUD; (2) potentially varied collection methods, including both self-identification and proxy reporting (which may present validity issues); (3) that entities do not report multiracial categories that are below 1% of all respondents, which may inadvertently skew the aggregate reporting of the racial and/or ethnic identity of individuals served by HUD grantees. Following internal consultation, the agency may also choose to discuss additional sources of error or bias. </w:t>
      </w:r>
      <w:r w:rsidRPr="00590C76" w:rsidR="007A0DA0">
        <w:rPr>
          <w:color w:val="000000"/>
          <w:sz w:val="22"/>
          <w:szCs w:val="22"/>
        </w:rPr>
        <w:t>.</w:t>
      </w:r>
      <w:r w:rsidRPr="00590C76">
        <w:rPr>
          <w:color w:val="000000"/>
          <w:sz w:val="22"/>
          <w:szCs w:val="22"/>
        </w:rPr>
        <w:t xml:space="preserve">  </w:t>
      </w:r>
    </w:p>
    <w:p w:rsidR="00E8145B" w:rsidRPr="00590C76" w:rsidP="005E3C6B" w14:paraId="4EB87A9A" w14:textId="77777777">
      <w:pPr>
        <w:pStyle w:val="NoSpacing"/>
        <w:rPr>
          <w:color w:val="000000"/>
          <w:sz w:val="22"/>
          <w:szCs w:val="22"/>
        </w:rPr>
      </w:pPr>
    </w:p>
    <w:p w:rsidR="00932090" w:rsidRPr="00590C76" w:rsidP="005E3C6B" w14:paraId="2E6C1CC5" w14:textId="79D36291">
      <w:pPr>
        <w:pStyle w:val="NoSpacing"/>
        <w:numPr>
          <w:ilvl w:val="0"/>
          <w:numId w:val="14"/>
        </w:numPr>
        <w:rPr>
          <w:b/>
          <w:bCs/>
          <w:sz w:val="22"/>
          <w:szCs w:val="22"/>
        </w:rPr>
      </w:pPr>
      <w:r w:rsidRPr="00590C76">
        <w:rPr>
          <w:b/>
          <w:bCs/>
          <w:sz w:val="22"/>
          <w:szCs w:val="22"/>
        </w:rPr>
        <w:t>If seeking approval to not display the expiration date for OMB approval of the information collection, explain the reasons that display would be inappropriate.</w:t>
      </w:r>
    </w:p>
    <w:p w:rsidR="007371F6" w:rsidRPr="00590C76" w:rsidP="00932090" w14:paraId="16443718" w14:textId="09020AFC">
      <w:pPr>
        <w:pStyle w:val="NoSpacing"/>
        <w:ind w:left="720"/>
        <w:rPr>
          <w:sz w:val="22"/>
          <w:szCs w:val="22"/>
        </w:rPr>
      </w:pPr>
      <w:r w:rsidRPr="00590C76">
        <w:rPr>
          <w:sz w:val="22"/>
          <w:szCs w:val="22"/>
        </w:rPr>
        <w:t>The information collection instrument</w:t>
      </w:r>
      <w:r w:rsidRPr="00590C76" w:rsidR="00DB66C2">
        <w:rPr>
          <w:sz w:val="22"/>
          <w:szCs w:val="22"/>
        </w:rPr>
        <w:t>s</w:t>
      </w:r>
      <w:r w:rsidRPr="00590C76">
        <w:rPr>
          <w:sz w:val="22"/>
          <w:szCs w:val="22"/>
        </w:rPr>
        <w:t xml:space="preserve"> will display the expiration date for OMB approval of the information collection.</w:t>
      </w:r>
    </w:p>
    <w:p w:rsidR="00E8145B" w:rsidRPr="00590C76" w:rsidP="005E3C6B" w14:paraId="520262B1" w14:textId="77777777">
      <w:pPr>
        <w:pStyle w:val="NoSpacing"/>
        <w:rPr>
          <w:color w:val="000000"/>
          <w:sz w:val="22"/>
          <w:szCs w:val="22"/>
        </w:rPr>
      </w:pPr>
    </w:p>
    <w:p w:rsidR="00932090" w:rsidRPr="00590C76" w:rsidP="005E3C6B" w14:paraId="4F16CEFF" w14:textId="24668780">
      <w:pPr>
        <w:pStyle w:val="NoSpacing"/>
        <w:numPr>
          <w:ilvl w:val="0"/>
          <w:numId w:val="14"/>
        </w:numPr>
        <w:rPr>
          <w:b/>
          <w:bCs/>
          <w:sz w:val="22"/>
          <w:szCs w:val="22"/>
        </w:rPr>
      </w:pPr>
      <w:r w:rsidRPr="00590C76">
        <w:rPr>
          <w:b/>
          <w:bCs/>
          <w:sz w:val="22"/>
          <w:szCs w:val="22"/>
        </w:rPr>
        <w:t>Explain each exception to the topics of the certification statement identified in “Certification for Paperwork Reduction Act Submissions.”</w:t>
      </w:r>
    </w:p>
    <w:p w:rsidR="00040303" w:rsidRPr="00590C76" w:rsidP="005E3C6B" w14:paraId="176E2B02" w14:textId="0BE178F5">
      <w:pPr>
        <w:pStyle w:val="ListParagraph"/>
        <w:rPr>
          <w:sz w:val="22"/>
          <w:szCs w:val="22"/>
        </w:rPr>
      </w:pPr>
      <w:r w:rsidRPr="003E60AB">
        <w:rPr>
          <w:sz w:val="22"/>
          <w:szCs w:val="22"/>
        </w:rPr>
        <w:t xml:space="preserve">There are no exceptions to the certification statement. </w:t>
      </w:r>
    </w:p>
    <w:p w:rsidR="00040303" w:rsidRPr="00590C76" w:rsidP="005E3C6B" w14:paraId="7874A9FD" w14:textId="77777777">
      <w:pPr>
        <w:pStyle w:val="NoSpacing"/>
        <w:ind w:left="720"/>
        <w:rPr>
          <w:sz w:val="22"/>
          <w:szCs w:val="22"/>
        </w:rPr>
      </w:pPr>
    </w:p>
    <w:bookmarkEnd w:id="0"/>
    <w:p w:rsidR="007371F6" w:rsidRPr="00590C76" w:rsidP="005E3C6B" w14:paraId="4FA3D48E" w14:textId="6F4713FC">
      <w:pPr>
        <w:pStyle w:val="NoSpacing"/>
        <w:rPr>
          <w:sz w:val="22"/>
          <w:szCs w:val="22"/>
        </w:rPr>
      </w:pPr>
    </w:p>
    <w:sectPr w:rsidSect="005E3C6B">
      <w:pgSz w:w="12240" w:h="15840" w:code="1"/>
      <w:pgMar w:top="1152" w:right="1152" w:bottom="1152" w:left="1152" w:header="475" w:footer="475" w:gutter="144"/>
      <w:cols w:space="48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B26EA4E0"/>
    <w:lvl w:ilvl="0">
      <w:start w:val="0"/>
      <w:numFmt w:val="decimal"/>
      <w:lvlText w:val="*"/>
      <w:lvlJc w:val="left"/>
    </w:lvl>
  </w:abstractNum>
  <w:abstractNum w:abstractNumId="1">
    <w:nsid w:val="072B28C2"/>
    <w:multiLevelType w:val="hybridMultilevel"/>
    <w:tmpl w:val="BF12C5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CAE29E0"/>
    <w:multiLevelType w:val="singleLevel"/>
    <w:tmpl w:val="7F4C2A44"/>
    <w:lvl w:ilvl="0">
      <w:start w:val="1"/>
      <w:numFmt w:val="lowerLetter"/>
      <w:lvlText w:val="(%1) "/>
      <w:legacy w:legacy="1" w:legacySpace="0" w:legacyIndent="360"/>
      <w:lvlJc w:val="left"/>
      <w:pPr>
        <w:ind w:left="720" w:hanging="360"/>
      </w:pPr>
      <w:rPr>
        <w:rFonts w:ascii="Times New Roman" w:hAnsi="Times New Roman" w:hint="default"/>
        <w:b w:val="0"/>
        <w:i w:val="0"/>
        <w:sz w:val="20"/>
        <w:u w:val="none"/>
      </w:rPr>
    </w:lvl>
  </w:abstractNum>
  <w:abstractNum w:abstractNumId="3">
    <w:nsid w:val="12002BDB"/>
    <w:multiLevelType w:val="singleLevel"/>
    <w:tmpl w:val="41F82AA2"/>
    <w:lvl w:ilvl="0">
      <w:start w:val="1"/>
      <w:numFmt w:val="lowerLetter"/>
      <w:lvlText w:val="%1. "/>
      <w:legacy w:legacy="1" w:legacySpace="0" w:legacyIndent="240"/>
      <w:lvlJc w:val="left"/>
      <w:pPr>
        <w:ind w:left="480" w:hanging="240"/>
      </w:pPr>
      <w:rPr>
        <w:rFonts w:ascii="Helvetica" w:hAnsi="Helvetica" w:hint="default"/>
        <w:b w:val="0"/>
        <w:i w:val="0"/>
        <w:sz w:val="16"/>
        <w:u w:val="none"/>
      </w:rPr>
    </w:lvl>
  </w:abstractNum>
  <w:abstractNum w:abstractNumId="4">
    <w:nsid w:val="1E8A5383"/>
    <w:multiLevelType w:val="hybridMultilevel"/>
    <w:tmpl w:val="8D28E1F0"/>
    <w:lvl w:ilvl="0">
      <w:start w:val="1"/>
      <w:numFmt w:val="decimal"/>
      <w:lvlText w:val="%1."/>
      <w:lvlJc w:val="left"/>
      <w:pPr>
        <w:tabs>
          <w:tab w:val="num" w:pos="360"/>
        </w:tabs>
        <w:ind w:left="360" w:hanging="360"/>
      </w:pPr>
      <w:rPr>
        <w:rFonts w:ascii="Times New Roman" w:hAnsi="Times New Roman" w:hint="default"/>
        <w:b w:val="0"/>
        <w:i w:val="0"/>
        <w:color w:val="auto"/>
        <w:sz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452731AA"/>
    <w:multiLevelType w:val="hybridMultilevel"/>
    <w:tmpl w:val="C8A270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48070494"/>
    <w:multiLevelType w:val="hybridMultilevel"/>
    <w:tmpl w:val="13226EAC"/>
    <w:lvl w:ilvl="0">
      <w:start w:val="11"/>
      <w:numFmt w:val="decimal"/>
      <w:lvlText w:val="%1."/>
      <w:lvlJc w:val="left"/>
      <w:pPr>
        <w:tabs>
          <w:tab w:val="num" w:pos="360"/>
        </w:tabs>
        <w:ind w:left="360" w:hanging="360"/>
      </w:pPr>
      <w:rPr>
        <w:rFonts w:hint="default"/>
        <w:color w:val="000000"/>
        <w:sz w:val="18"/>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7">
    <w:nsid w:val="48E83725"/>
    <w:multiLevelType w:val="hybridMultilevel"/>
    <w:tmpl w:val="6D2EDC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B206095"/>
    <w:multiLevelType w:val="singleLevel"/>
    <w:tmpl w:val="1512C79E"/>
    <w:lvl w:ilvl="0">
      <w:start w:val="7"/>
      <w:numFmt w:val="decimal"/>
      <w:lvlText w:val="%1. "/>
      <w:legacy w:legacy="1" w:legacySpace="0" w:legacyIndent="360"/>
      <w:lvlJc w:val="left"/>
      <w:pPr>
        <w:ind w:left="360" w:hanging="360"/>
      </w:pPr>
      <w:rPr>
        <w:rFonts w:ascii="Times New Roman" w:hAnsi="Times New Roman" w:hint="default"/>
        <w:b w:val="0"/>
        <w:i w:val="0"/>
        <w:sz w:val="18"/>
        <w:u w:val="none"/>
      </w:rPr>
    </w:lvl>
  </w:abstractNum>
  <w:abstractNum w:abstractNumId="9">
    <w:nsid w:val="54627B55"/>
    <w:multiLevelType w:val="hybridMultilevel"/>
    <w:tmpl w:val="67A00304"/>
    <w:lvl w:ilvl="0">
      <w:start w:val="11"/>
      <w:numFmt w:val="decimal"/>
      <w:lvlText w:val="%1."/>
      <w:lvlJc w:val="left"/>
      <w:pPr>
        <w:tabs>
          <w:tab w:val="num" w:pos="720"/>
        </w:tabs>
        <w:ind w:left="720" w:hanging="360"/>
      </w:pPr>
      <w:rPr>
        <w:rFonts w:hint="default"/>
        <w:color w:val="auto"/>
        <w:sz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59E459DF"/>
    <w:multiLevelType w:val="hybridMultilevel"/>
    <w:tmpl w:val="02C6E7D4"/>
    <w:lvl w:ilvl="0">
      <w:start w:val="1"/>
      <w:numFmt w:val="bullet"/>
      <w:lvlText w:val=""/>
      <w:lvlJc w:val="left"/>
      <w:pPr>
        <w:tabs>
          <w:tab w:val="num" w:pos="360"/>
        </w:tabs>
        <w:ind w:left="288" w:hanging="288"/>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5B9C3B37"/>
    <w:multiLevelType w:val="hybridMultilevel"/>
    <w:tmpl w:val="D08650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0DB08FD"/>
    <w:multiLevelType w:val="hybridMultilevel"/>
    <w:tmpl w:val="12B2AD5E"/>
    <w:lvl w:ilvl="0">
      <w:start w:val="10"/>
      <w:numFmt w:val="decimal"/>
      <w:lvlText w:val="%1."/>
      <w:lvlJc w:val="left"/>
      <w:pPr>
        <w:tabs>
          <w:tab w:val="num" w:pos="360"/>
        </w:tabs>
        <w:ind w:left="360" w:hanging="360"/>
      </w:pPr>
      <w:rPr>
        <w:rFonts w:hint="default"/>
        <w:sz w:val="18"/>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3">
    <w:nsid w:val="6B3E09E9"/>
    <w:multiLevelType w:val="hybridMultilevel"/>
    <w:tmpl w:val="108E74C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34B6389"/>
    <w:multiLevelType w:val="singleLevel"/>
    <w:tmpl w:val="A69E7D62"/>
    <w:lvl w:ilvl="0">
      <w:start w:val="8"/>
      <w:numFmt w:val="lowerLetter"/>
      <w:lvlText w:val="(%1) "/>
      <w:legacy w:legacy="1" w:legacySpace="0" w:legacyIndent="360"/>
      <w:lvlJc w:val="left"/>
      <w:pPr>
        <w:ind w:left="720" w:hanging="360"/>
      </w:pPr>
      <w:rPr>
        <w:rFonts w:ascii="Times New Roman" w:hAnsi="Times New Roman" w:hint="default"/>
        <w:b w:val="0"/>
        <w:i w:val="0"/>
        <w:sz w:val="20"/>
        <w:u w:val="none"/>
      </w:rPr>
    </w:lvl>
  </w:abstractNum>
  <w:abstractNum w:abstractNumId="15">
    <w:nsid w:val="78AD586B"/>
    <w:multiLevelType w:val="singleLevel"/>
    <w:tmpl w:val="6FA6A740"/>
    <w:lvl w:ilvl="0">
      <w:start w:val="1"/>
      <w:numFmt w:val="lowerRoman"/>
      <w:lvlText w:val="(%1) "/>
      <w:legacy w:legacy="1" w:legacySpace="0" w:legacyIndent="360"/>
      <w:lvlJc w:val="left"/>
      <w:pPr>
        <w:ind w:left="1080" w:hanging="360"/>
      </w:pPr>
      <w:rPr>
        <w:rFonts w:ascii="Times New Roman" w:hAnsi="Times New Roman" w:hint="default"/>
        <w:b w:val="0"/>
        <w:i w:val="0"/>
        <w:sz w:val="20"/>
        <w:u w:val="none"/>
      </w:rPr>
    </w:lvl>
  </w:abstractNum>
  <w:abstractNum w:abstractNumId="16">
    <w:nsid w:val="79A2049E"/>
    <w:multiLevelType w:val="hybridMultilevel"/>
    <w:tmpl w:val="DFB239F8"/>
    <w:lvl w:ilvl="0">
      <w:start w:val="1"/>
      <w:numFmt w:val="decimal"/>
      <w:lvlText w:val="%1."/>
      <w:lvlJc w:val="left"/>
      <w:pPr>
        <w:ind w:left="720" w:hanging="360"/>
      </w:pPr>
      <w:rPr>
        <w:rFonts w:hint="default"/>
        <w:color w:val="000000"/>
        <w:sz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7A1B2E99"/>
    <w:multiLevelType w:val="singleLevel"/>
    <w:tmpl w:val="41F82AA2"/>
    <w:lvl w:ilvl="0">
      <w:start w:val="1"/>
      <w:numFmt w:val="lowerLetter"/>
      <w:lvlText w:val="%1. "/>
      <w:legacy w:legacy="1" w:legacySpace="0" w:legacyIndent="240"/>
      <w:lvlJc w:val="left"/>
      <w:pPr>
        <w:ind w:left="492" w:hanging="240"/>
      </w:pPr>
      <w:rPr>
        <w:rFonts w:ascii="Helvetica" w:hAnsi="Helvetica" w:hint="default"/>
        <w:b w:val="0"/>
        <w:i w:val="0"/>
        <w:sz w:val="16"/>
        <w:u w:val="none"/>
      </w:rPr>
    </w:lvl>
  </w:abstractNum>
  <w:num w:numId="1" w16cid:durableId="836381651">
    <w:abstractNumId w:val="3"/>
  </w:num>
  <w:num w:numId="2" w16cid:durableId="1019771837">
    <w:abstractNumId w:val="17"/>
  </w:num>
  <w:num w:numId="3" w16cid:durableId="1545216015">
    <w:abstractNumId w:val="2"/>
  </w:num>
  <w:num w:numId="4" w16cid:durableId="1786777513">
    <w:abstractNumId w:val="15"/>
  </w:num>
  <w:num w:numId="5" w16cid:durableId="1418750796">
    <w:abstractNumId w:val="14"/>
  </w:num>
  <w:num w:numId="6" w16cid:durableId="1593664418">
    <w:abstractNumId w:val="14"/>
    <w:lvlOverride w:ilvl="0">
      <w:lvl w:ilvl="0">
        <w:start w:val="1"/>
        <w:numFmt w:val="lowerLetter"/>
        <w:lvlText w:val="(%1) "/>
        <w:legacy w:legacy="1" w:legacySpace="0" w:legacyIndent="360"/>
        <w:lvlJc w:val="left"/>
        <w:pPr>
          <w:ind w:left="720" w:hanging="360"/>
        </w:pPr>
        <w:rPr>
          <w:rFonts w:ascii="Times New Roman" w:hAnsi="Times New Roman" w:hint="default"/>
          <w:b w:val="0"/>
          <w:i w:val="0"/>
          <w:sz w:val="20"/>
          <w:u w:val="none"/>
        </w:rPr>
      </w:lvl>
    </w:lvlOverride>
  </w:num>
  <w:num w:numId="7" w16cid:durableId="1563714425">
    <w:abstractNumId w:val="8"/>
  </w:num>
  <w:num w:numId="8" w16cid:durableId="557135195">
    <w:abstractNumId w:val="0"/>
    <w:lvlOverride w:ilvl="0">
      <w:lvl w:ilvl="0">
        <w:start w:val="1"/>
        <w:numFmt w:val="bullet"/>
        <w:lvlText w:val=""/>
        <w:legacy w:legacy="1" w:legacySpace="0" w:legacyIndent="144"/>
        <w:lvlJc w:val="left"/>
        <w:pPr>
          <w:ind w:left="504" w:hanging="144"/>
        </w:pPr>
        <w:rPr>
          <w:rFonts w:ascii="Symbol" w:hAnsi="Symbol" w:hint="default"/>
          <w:sz w:val="16"/>
        </w:rPr>
      </w:lvl>
    </w:lvlOverride>
  </w:num>
  <w:num w:numId="9" w16cid:durableId="746849021">
    <w:abstractNumId w:val="9"/>
  </w:num>
  <w:num w:numId="10" w16cid:durableId="1845827154">
    <w:abstractNumId w:val="10"/>
  </w:num>
  <w:num w:numId="11" w16cid:durableId="2091466927">
    <w:abstractNumId w:val="4"/>
  </w:num>
  <w:num w:numId="12" w16cid:durableId="1694455714">
    <w:abstractNumId w:val="6"/>
  </w:num>
  <w:num w:numId="13" w16cid:durableId="2048992269">
    <w:abstractNumId w:val="12"/>
  </w:num>
  <w:num w:numId="14" w16cid:durableId="188766502">
    <w:abstractNumId w:val="16"/>
  </w:num>
  <w:num w:numId="15" w16cid:durableId="1665162473">
    <w:abstractNumId w:val="1"/>
  </w:num>
  <w:num w:numId="16" w16cid:durableId="197285267">
    <w:abstractNumId w:val="11"/>
  </w:num>
  <w:num w:numId="17" w16cid:durableId="693195691">
    <w:abstractNumId w:val="5"/>
  </w:num>
  <w:num w:numId="18" w16cid:durableId="1313288522">
    <w:abstractNumId w:val="13"/>
  </w:num>
  <w:num w:numId="19" w16cid:durableId="16656654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rawingGridVerticalSpacing w:val="120"/>
  <w:displayVerticalDrawingGridEvery w:val="0"/>
  <w:doNotUseMarginsForDrawingGridOrigin/>
  <w:noPunctuationKerning/>
  <w:characterSpacingControl w:val="doNotCompress"/>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01D"/>
    <w:rsid w:val="00007219"/>
    <w:rsid w:val="000174BC"/>
    <w:rsid w:val="0002140A"/>
    <w:rsid w:val="00021752"/>
    <w:rsid w:val="00022B1B"/>
    <w:rsid w:val="00025DDC"/>
    <w:rsid w:val="000302A7"/>
    <w:rsid w:val="000372A0"/>
    <w:rsid w:val="00040303"/>
    <w:rsid w:val="000549F5"/>
    <w:rsid w:val="000552BE"/>
    <w:rsid w:val="00057833"/>
    <w:rsid w:val="00071070"/>
    <w:rsid w:val="000A50C7"/>
    <w:rsid w:val="000B0218"/>
    <w:rsid w:val="000B1BB9"/>
    <w:rsid w:val="000E57DE"/>
    <w:rsid w:val="000E5ACF"/>
    <w:rsid w:val="000F72D1"/>
    <w:rsid w:val="000F78E4"/>
    <w:rsid w:val="00105F20"/>
    <w:rsid w:val="00107067"/>
    <w:rsid w:val="00116FA0"/>
    <w:rsid w:val="00133ECC"/>
    <w:rsid w:val="00156228"/>
    <w:rsid w:val="001708E7"/>
    <w:rsid w:val="00180F04"/>
    <w:rsid w:val="00184719"/>
    <w:rsid w:val="001849A8"/>
    <w:rsid w:val="001933E8"/>
    <w:rsid w:val="0019397F"/>
    <w:rsid w:val="001C45D6"/>
    <w:rsid w:val="001C672D"/>
    <w:rsid w:val="001E4067"/>
    <w:rsid w:val="001F0ED4"/>
    <w:rsid w:val="00215A1E"/>
    <w:rsid w:val="00222425"/>
    <w:rsid w:val="00237213"/>
    <w:rsid w:val="002537E9"/>
    <w:rsid w:val="00253A0B"/>
    <w:rsid w:val="002559A4"/>
    <w:rsid w:val="00256ABE"/>
    <w:rsid w:val="00260639"/>
    <w:rsid w:val="00271B16"/>
    <w:rsid w:val="00275DAE"/>
    <w:rsid w:val="0028073F"/>
    <w:rsid w:val="00281606"/>
    <w:rsid w:val="002874E2"/>
    <w:rsid w:val="0029097F"/>
    <w:rsid w:val="002916DB"/>
    <w:rsid w:val="00294579"/>
    <w:rsid w:val="00295C70"/>
    <w:rsid w:val="002A672F"/>
    <w:rsid w:val="002E724E"/>
    <w:rsid w:val="002F27E8"/>
    <w:rsid w:val="002F66C5"/>
    <w:rsid w:val="00306E6B"/>
    <w:rsid w:val="00322613"/>
    <w:rsid w:val="003242EC"/>
    <w:rsid w:val="00324B8F"/>
    <w:rsid w:val="003409C9"/>
    <w:rsid w:val="00365934"/>
    <w:rsid w:val="003753FE"/>
    <w:rsid w:val="0037780B"/>
    <w:rsid w:val="003920C3"/>
    <w:rsid w:val="0039386E"/>
    <w:rsid w:val="003B1280"/>
    <w:rsid w:val="003C6098"/>
    <w:rsid w:val="003C654D"/>
    <w:rsid w:val="003E1A00"/>
    <w:rsid w:val="003E60AB"/>
    <w:rsid w:val="003E63A2"/>
    <w:rsid w:val="003F165B"/>
    <w:rsid w:val="003F1D39"/>
    <w:rsid w:val="00410BE3"/>
    <w:rsid w:val="00432780"/>
    <w:rsid w:val="00451426"/>
    <w:rsid w:val="00465B3F"/>
    <w:rsid w:val="00482D69"/>
    <w:rsid w:val="00492C4F"/>
    <w:rsid w:val="00495577"/>
    <w:rsid w:val="004A0719"/>
    <w:rsid w:val="004A3A2F"/>
    <w:rsid w:val="004B7568"/>
    <w:rsid w:val="004C63CD"/>
    <w:rsid w:val="004E4D0E"/>
    <w:rsid w:val="004E6F99"/>
    <w:rsid w:val="00504081"/>
    <w:rsid w:val="00511B22"/>
    <w:rsid w:val="00530575"/>
    <w:rsid w:val="0055522A"/>
    <w:rsid w:val="00563007"/>
    <w:rsid w:val="00566BAE"/>
    <w:rsid w:val="00580692"/>
    <w:rsid w:val="00580CC6"/>
    <w:rsid w:val="00581A63"/>
    <w:rsid w:val="00590C76"/>
    <w:rsid w:val="005C5AA9"/>
    <w:rsid w:val="005C6B45"/>
    <w:rsid w:val="005C6EC7"/>
    <w:rsid w:val="005E18FF"/>
    <w:rsid w:val="005E3C6B"/>
    <w:rsid w:val="005F085C"/>
    <w:rsid w:val="00600C02"/>
    <w:rsid w:val="00606FD8"/>
    <w:rsid w:val="0061605E"/>
    <w:rsid w:val="00624BC5"/>
    <w:rsid w:val="00627186"/>
    <w:rsid w:val="00630390"/>
    <w:rsid w:val="00640C1C"/>
    <w:rsid w:val="00660252"/>
    <w:rsid w:val="00691335"/>
    <w:rsid w:val="00694C1A"/>
    <w:rsid w:val="00696C35"/>
    <w:rsid w:val="006A2650"/>
    <w:rsid w:val="006A7189"/>
    <w:rsid w:val="006B18B3"/>
    <w:rsid w:val="006B3839"/>
    <w:rsid w:val="006B6107"/>
    <w:rsid w:val="006B69DD"/>
    <w:rsid w:val="006C7FAE"/>
    <w:rsid w:val="006D4CCF"/>
    <w:rsid w:val="006D7C8C"/>
    <w:rsid w:val="006E2605"/>
    <w:rsid w:val="007133B1"/>
    <w:rsid w:val="007240DD"/>
    <w:rsid w:val="007371F6"/>
    <w:rsid w:val="00750CA4"/>
    <w:rsid w:val="00755960"/>
    <w:rsid w:val="007606CD"/>
    <w:rsid w:val="007820DF"/>
    <w:rsid w:val="00783034"/>
    <w:rsid w:val="007901A6"/>
    <w:rsid w:val="00791A56"/>
    <w:rsid w:val="007A0DA0"/>
    <w:rsid w:val="007B3B70"/>
    <w:rsid w:val="007C1131"/>
    <w:rsid w:val="007C47DB"/>
    <w:rsid w:val="007C7D23"/>
    <w:rsid w:val="007D1C70"/>
    <w:rsid w:val="007E1BA9"/>
    <w:rsid w:val="007F505A"/>
    <w:rsid w:val="007F5ADF"/>
    <w:rsid w:val="008027C0"/>
    <w:rsid w:val="00805723"/>
    <w:rsid w:val="00821F0D"/>
    <w:rsid w:val="00827538"/>
    <w:rsid w:val="008356ED"/>
    <w:rsid w:val="0085319F"/>
    <w:rsid w:val="00856DC8"/>
    <w:rsid w:val="008613B7"/>
    <w:rsid w:val="00877AD5"/>
    <w:rsid w:val="00880097"/>
    <w:rsid w:val="00892A6E"/>
    <w:rsid w:val="008947C2"/>
    <w:rsid w:val="008A04B6"/>
    <w:rsid w:val="008A4B01"/>
    <w:rsid w:val="008F6CE0"/>
    <w:rsid w:val="00917919"/>
    <w:rsid w:val="00923E5E"/>
    <w:rsid w:val="00932090"/>
    <w:rsid w:val="009326C7"/>
    <w:rsid w:val="0093575B"/>
    <w:rsid w:val="00937EC4"/>
    <w:rsid w:val="00942CF9"/>
    <w:rsid w:val="00945A37"/>
    <w:rsid w:val="009506EA"/>
    <w:rsid w:val="00951B5A"/>
    <w:rsid w:val="009604E4"/>
    <w:rsid w:val="00967CA5"/>
    <w:rsid w:val="00994E35"/>
    <w:rsid w:val="009A2120"/>
    <w:rsid w:val="009A5844"/>
    <w:rsid w:val="009B729A"/>
    <w:rsid w:val="009D7ECC"/>
    <w:rsid w:val="009E11F8"/>
    <w:rsid w:val="009E4AE3"/>
    <w:rsid w:val="009E759B"/>
    <w:rsid w:val="009E77A1"/>
    <w:rsid w:val="00A061F1"/>
    <w:rsid w:val="00A3047B"/>
    <w:rsid w:val="00A3130C"/>
    <w:rsid w:val="00A36D51"/>
    <w:rsid w:val="00A47F92"/>
    <w:rsid w:val="00A50128"/>
    <w:rsid w:val="00A52AA6"/>
    <w:rsid w:val="00A56AD1"/>
    <w:rsid w:val="00A67D8D"/>
    <w:rsid w:val="00A72437"/>
    <w:rsid w:val="00A8456B"/>
    <w:rsid w:val="00A955BA"/>
    <w:rsid w:val="00A96BF2"/>
    <w:rsid w:val="00A96CB9"/>
    <w:rsid w:val="00AA38D8"/>
    <w:rsid w:val="00AA5C83"/>
    <w:rsid w:val="00AB351F"/>
    <w:rsid w:val="00AE0508"/>
    <w:rsid w:val="00AE1804"/>
    <w:rsid w:val="00AE4439"/>
    <w:rsid w:val="00AF067D"/>
    <w:rsid w:val="00B04086"/>
    <w:rsid w:val="00B05643"/>
    <w:rsid w:val="00B2293E"/>
    <w:rsid w:val="00B23282"/>
    <w:rsid w:val="00B23452"/>
    <w:rsid w:val="00B31528"/>
    <w:rsid w:val="00B322E4"/>
    <w:rsid w:val="00B3718B"/>
    <w:rsid w:val="00B43267"/>
    <w:rsid w:val="00B63526"/>
    <w:rsid w:val="00B77A07"/>
    <w:rsid w:val="00B97F1C"/>
    <w:rsid w:val="00BA17CB"/>
    <w:rsid w:val="00BA4D8C"/>
    <w:rsid w:val="00BA6304"/>
    <w:rsid w:val="00BB2F6F"/>
    <w:rsid w:val="00BC0B42"/>
    <w:rsid w:val="00BC5047"/>
    <w:rsid w:val="00BD0047"/>
    <w:rsid w:val="00BE580A"/>
    <w:rsid w:val="00BF0F68"/>
    <w:rsid w:val="00BF391D"/>
    <w:rsid w:val="00C1202A"/>
    <w:rsid w:val="00C16702"/>
    <w:rsid w:val="00C16881"/>
    <w:rsid w:val="00C206D5"/>
    <w:rsid w:val="00C37D9E"/>
    <w:rsid w:val="00C41F6E"/>
    <w:rsid w:val="00C67580"/>
    <w:rsid w:val="00C764E7"/>
    <w:rsid w:val="00C76C51"/>
    <w:rsid w:val="00C83F16"/>
    <w:rsid w:val="00C92603"/>
    <w:rsid w:val="00CA5501"/>
    <w:rsid w:val="00CA693B"/>
    <w:rsid w:val="00CB1DE4"/>
    <w:rsid w:val="00CB610A"/>
    <w:rsid w:val="00CF0F8F"/>
    <w:rsid w:val="00CF3E76"/>
    <w:rsid w:val="00CF772E"/>
    <w:rsid w:val="00D03DB1"/>
    <w:rsid w:val="00D24CB9"/>
    <w:rsid w:val="00D27CC5"/>
    <w:rsid w:val="00D53175"/>
    <w:rsid w:val="00D55231"/>
    <w:rsid w:val="00D557EA"/>
    <w:rsid w:val="00D6478D"/>
    <w:rsid w:val="00D74120"/>
    <w:rsid w:val="00D82E16"/>
    <w:rsid w:val="00D87BEF"/>
    <w:rsid w:val="00D95013"/>
    <w:rsid w:val="00D972EB"/>
    <w:rsid w:val="00DA334E"/>
    <w:rsid w:val="00DB66C2"/>
    <w:rsid w:val="00DC2971"/>
    <w:rsid w:val="00DD22EA"/>
    <w:rsid w:val="00DD5C32"/>
    <w:rsid w:val="00DD6F36"/>
    <w:rsid w:val="00DD792B"/>
    <w:rsid w:val="00DE40A2"/>
    <w:rsid w:val="00E33ACE"/>
    <w:rsid w:val="00E3644B"/>
    <w:rsid w:val="00E40B43"/>
    <w:rsid w:val="00E5501D"/>
    <w:rsid w:val="00E64B90"/>
    <w:rsid w:val="00E64E31"/>
    <w:rsid w:val="00E8145B"/>
    <w:rsid w:val="00E8178D"/>
    <w:rsid w:val="00EB7F9B"/>
    <w:rsid w:val="00EF2301"/>
    <w:rsid w:val="00EF5A94"/>
    <w:rsid w:val="00F01047"/>
    <w:rsid w:val="00F02765"/>
    <w:rsid w:val="00F11734"/>
    <w:rsid w:val="00F11FB7"/>
    <w:rsid w:val="00F12634"/>
    <w:rsid w:val="00F17AEC"/>
    <w:rsid w:val="00F25EFC"/>
    <w:rsid w:val="00F3582D"/>
    <w:rsid w:val="00F41333"/>
    <w:rsid w:val="00F443D4"/>
    <w:rsid w:val="00F447D8"/>
    <w:rsid w:val="00F63B02"/>
    <w:rsid w:val="00F64121"/>
    <w:rsid w:val="00F70D0B"/>
    <w:rsid w:val="00F736CB"/>
    <w:rsid w:val="00F73D17"/>
    <w:rsid w:val="00F76559"/>
    <w:rsid w:val="00F9078B"/>
    <w:rsid w:val="00F94C86"/>
    <w:rsid w:val="00FA1C62"/>
    <w:rsid w:val="00FA28B4"/>
    <w:rsid w:val="00FB46C8"/>
    <w:rsid w:val="00FB53CC"/>
    <w:rsid w:val="00FC5C3B"/>
    <w:rsid w:val="00FE646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41AD513"/>
  <w15:chartTrackingRefBased/>
  <w15:docId w15:val="{0C60225C-F26E-41CA-B9A1-3E777E8CD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C6B45"/>
    <w:pPr>
      <w:overflowPunct w:val="0"/>
      <w:autoSpaceDE w:val="0"/>
      <w:autoSpaceDN w:val="0"/>
      <w:adjustRightInd w:val="0"/>
      <w:textAlignment w:val="baseline"/>
    </w:pPr>
  </w:style>
  <w:style w:type="paragraph" w:styleId="Heading1">
    <w:name w:val="heading 1"/>
    <w:basedOn w:val="Normal"/>
    <w:next w:val="Normal"/>
    <w:qFormat/>
    <w:pPr>
      <w:keepNext/>
      <w:tabs>
        <w:tab w:val="left" w:pos="240"/>
      </w:tabs>
      <w:spacing w:after="40"/>
      <w:ind w:left="120" w:right="-120"/>
      <w:outlineLvl w:val="0"/>
    </w:pPr>
    <w:rPr>
      <w:rFonts w:ascii="Helvetica" w:hAnsi="Helvetica"/>
      <w:b/>
      <w:bCs/>
      <w:color w:val="000000"/>
      <w:sz w:val="18"/>
    </w:rPr>
  </w:style>
  <w:style w:type="paragraph" w:styleId="Heading2">
    <w:name w:val="heading 2"/>
    <w:basedOn w:val="Normal"/>
    <w:next w:val="Normal"/>
    <w:link w:val="Heading2Char"/>
    <w:semiHidden/>
    <w:unhideWhenUsed/>
    <w:qFormat/>
    <w:rsid w:val="00B2328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keepLines/>
      <w:tabs>
        <w:tab w:val="left" w:pos="360"/>
        <w:tab w:val="left" w:pos="720"/>
      </w:tabs>
      <w:ind w:left="360"/>
    </w:pPr>
    <w:rPr>
      <w:noProof/>
      <w:sz w:val="22"/>
    </w:rPr>
  </w:style>
  <w:style w:type="paragraph" w:styleId="BodyTextIndent2">
    <w:name w:val="Body Text Indent 2"/>
    <w:basedOn w:val="Normal"/>
    <w:rsid w:val="00E5501D"/>
    <w:pPr>
      <w:spacing w:after="120" w:line="480" w:lineRule="auto"/>
      <w:ind w:left="360"/>
    </w:pPr>
  </w:style>
  <w:style w:type="paragraph" w:styleId="BlockText">
    <w:name w:val="Block Text"/>
    <w:basedOn w:val="Normal"/>
    <w:rsid w:val="007371F6"/>
    <w:pPr>
      <w:ind w:left="360" w:right="-360" w:hanging="360"/>
    </w:pPr>
    <w:rPr>
      <w:sz w:val="24"/>
    </w:rPr>
  </w:style>
  <w:style w:type="paragraph" w:styleId="NoSpacing">
    <w:name w:val="No Spacing"/>
    <w:uiPriority w:val="1"/>
    <w:qFormat/>
    <w:rsid w:val="00FA28B4"/>
    <w:pPr>
      <w:overflowPunct w:val="0"/>
      <w:autoSpaceDE w:val="0"/>
      <w:autoSpaceDN w:val="0"/>
      <w:adjustRightInd w:val="0"/>
      <w:textAlignment w:val="baseline"/>
    </w:pPr>
  </w:style>
  <w:style w:type="paragraph" w:styleId="ListParagraph">
    <w:name w:val="List Paragraph"/>
    <w:basedOn w:val="Normal"/>
    <w:uiPriority w:val="34"/>
    <w:qFormat/>
    <w:rsid w:val="002F66C5"/>
    <w:pPr>
      <w:ind w:left="720"/>
    </w:pPr>
  </w:style>
  <w:style w:type="paragraph" w:styleId="Caption">
    <w:name w:val="caption"/>
    <w:basedOn w:val="Normal"/>
    <w:next w:val="Normal"/>
    <w:unhideWhenUsed/>
    <w:qFormat/>
    <w:rsid w:val="00A52AA6"/>
    <w:rPr>
      <w:b/>
      <w:bCs/>
    </w:rPr>
  </w:style>
  <w:style w:type="character" w:styleId="CommentReference">
    <w:name w:val="annotation reference"/>
    <w:uiPriority w:val="99"/>
    <w:rsid w:val="00F11734"/>
    <w:rPr>
      <w:sz w:val="16"/>
      <w:szCs w:val="16"/>
    </w:rPr>
  </w:style>
  <w:style w:type="paragraph" w:styleId="CommentText">
    <w:name w:val="annotation text"/>
    <w:basedOn w:val="Normal"/>
    <w:link w:val="CommentTextChar"/>
    <w:rsid w:val="00F11734"/>
  </w:style>
  <w:style w:type="character" w:customStyle="1" w:styleId="CommentTextChar">
    <w:name w:val="Comment Text Char"/>
    <w:basedOn w:val="DefaultParagraphFont"/>
    <w:link w:val="CommentText"/>
    <w:rsid w:val="00F11734"/>
  </w:style>
  <w:style w:type="paragraph" w:styleId="CommentSubject">
    <w:name w:val="annotation subject"/>
    <w:basedOn w:val="CommentText"/>
    <w:next w:val="CommentText"/>
    <w:link w:val="CommentSubjectChar"/>
    <w:rsid w:val="00F11734"/>
    <w:rPr>
      <w:b/>
      <w:bCs/>
    </w:rPr>
  </w:style>
  <w:style w:type="character" w:customStyle="1" w:styleId="CommentSubjectChar">
    <w:name w:val="Comment Subject Char"/>
    <w:link w:val="CommentSubject"/>
    <w:rsid w:val="00F11734"/>
    <w:rPr>
      <w:b/>
      <w:bCs/>
    </w:rPr>
  </w:style>
  <w:style w:type="paragraph" w:styleId="FootnoteText">
    <w:name w:val="footnote text"/>
    <w:basedOn w:val="Normal"/>
    <w:link w:val="FootnoteTextChar"/>
    <w:rsid w:val="00A67D8D"/>
  </w:style>
  <w:style w:type="character" w:customStyle="1" w:styleId="FootnoteTextChar">
    <w:name w:val="Footnote Text Char"/>
    <w:basedOn w:val="DefaultParagraphFont"/>
    <w:link w:val="FootnoteText"/>
    <w:rsid w:val="00A67D8D"/>
  </w:style>
  <w:style w:type="character" w:styleId="Hyperlink">
    <w:name w:val="Hyperlink"/>
    <w:uiPriority w:val="99"/>
    <w:unhideWhenUsed/>
    <w:rsid w:val="00A67D8D"/>
    <w:rPr>
      <w:color w:val="0000FF"/>
      <w:u w:val="single"/>
    </w:rPr>
  </w:style>
  <w:style w:type="character" w:styleId="FootnoteReference">
    <w:name w:val="footnote reference"/>
    <w:rsid w:val="00A67D8D"/>
    <w:rPr>
      <w:vertAlign w:val="superscript"/>
    </w:rPr>
  </w:style>
  <w:style w:type="paragraph" w:styleId="Revision">
    <w:name w:val="Revision"/>
    <w:hidden/>
    <w:uiPriority w:val="99"/>
    <w:semiHidden/>
    <w:rsid w:val="007C47DB"/>
  </w:style>
  <w:style w:type="character" w:styleId="UnresolvedMention">
    <w:name w:val="Unresolved Mention"/>
    <w:uiPriority w:val="99"/>
    <w:semiHidden/>
    <w:unhideWhenUsed/>
    <w:rsid w:val="00805723"/>
    <w:rPr>
      <w:color w:val="605E5C"/>
      <w:shd w:val="clear" w:color="auto" w:fill="E1DFDD"/>
    </w:rPr>
  </w:style>
  <w:style w:type="character" w:customStyle="1" w:styleId="cf01">
    <w:name w:val="cf01"/>
    <w:basedOn w:val="DefaultParagraphFont"/>
    <w:rsid w:val="004E6F99"/>
    <w:rPr>
      <w:rFonts w:ascii="Segoe UI" w:hAnsi="Segoe UI" w:cs="Segoe UI" w:hint="default"/>
      <w:sz w:val="18"/>
      <w:szCs w:val="18"/>
    </w:rPr>
  </w:style>
  <w:style w:type="character" w:customStyle="1" w:styleId="Heading2Char">
    <w:name w:val="Heading 2 Char"/>
    <w:basedOn w:val="DefaultParagraphFont"/>
    <w:link w:val="Heading2"/>
    <w:semiHidden/>
    <w:rsid w:val="00B23282"/>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rsid w:val="0066025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data.bls.gov/oesprofile/?major_group=130000&amp;occupation=131082&amp;measure=01&amp;areas=INDUSTRY,STATE,MSA" TargetMode="External" /><Relationship Id="rId9" Type="http://schemas.openxmlformats.org/officeDocument/2006/relationships/hyperlink" Target="https://www.opm.gov/policy-data-oversight/pay-leave/salaries-wages/salary-tables/pdf/2026/RUS_h.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F7B936115B44E4EBE9110561C240801" ma:contentTypeVersion="6" ma:contentTypeDescription="Create a new document." ma:contentTypeScope="" ma:versionID="2fc32a57d7e8a4142c321ca7c44151a8">
  <xsd:schema xmlns:xsd="http://www.w3.org/2001/XMLSchema" xmlns:xs="http://www.w3.org/2001/XMLSchema" xmlns:p="http://schemas.microsoft.com/office/2006/metadata/properties" xmlns:ns2="889cec9d-f49a-45ec-8448-fb6282d3c0b0" xmlns:ns3="bb82bc55-7145-4434-b4f4-dffe89b867da" targetNamespace="http://schemas.microsoft.com/office/2006/metadata/properties" ma:root="true" ma:fieldsID="0cdd8c618dfcb82ad9fcedf229d7b79e" ns2:_="" ns3:_="">
    <xsd:import namespace="889cec9d-f49a-45ec-8448-fb6282d3c0b0"/>
    <xsd:import namespace="bb82bc55-7145-4434-b4f4-dffe89b867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cec9d-f49a-45ec-8448-fb6282d3c0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82bc55-7145-4434-b4f4-dffe89b867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2CE5129-A329-43C7-9A9B-0BE9A8AD630D}">
  <ds:schemaRefs>
    <ds:schemaRef ds:uri="http://schemas.openxmlformats.org/officeDocument/2006/bibliography"/>
  </ds:schemaRefs>
</ds:datastoreItem>
</file>

<file path=customXml/itemProps2.xml><?xml version="1.0" encoding="utf-8"?>
<ds:datastoreItem xmlns:ds="http://schemas.openxmlformats.org/officeDocument/2006/customXml" ds:itemID="{F2D1A55E-80EA-45A8-9962-55BE0640B0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cec9d-f49a-45ec-8448-fb6282d3c0b0"/>
    <ds:schemaRef ds:uri="bb82bc55-7145-4434-b4f4-dffe89b867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F0A6C3-B41E-436C-A1DB-08AB77699FFC}">
  <ds:schemaRefs>
    <ds:schemaRef ds:uri="http://schemas.microsoft.com/sharepoint/v3/contenttype/forms"/>
  </ds:schemaRefs>
</ds:datastoreItem>
</file>

<file path=customXml/itemProps4.xml><?xml version="1.0" encoding="utf-8"?>
<ds:datastoreItem xmlns:ds="http://schemas.openxmlformats.org/officeDocument/2006/customXml" ds:itemID="{2B35EB35-A178-439F-97CB-F05AA681A762}">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8</Pages>
  <Words>4350</Words>
  <Characters>24796</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Paperwork Reduction Act Submission</vt:lpstr>
    </vt:vector>
  </TitlesOfParts>
  <Company>HUD</Company>
  <LinksUpToDate>false</LinksUpToDate>
  <CharactersWithSpaces>29088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Paperwork Reduction Act Submission</dc:title>
  <dc:creator>WAYNE EDDINS</dc:creator>
  <cp:lastModifiedBy>Brown, Christine W</cp:lastModifiedBy>
  <cp:revision>2</cp:revision>
  <cp:lastPrinted>2002-06-14T18:44:00Z</cp:lastPrinted>
  <dcterms:created xsi:type="dcterms:W3CDTF">2026-08-26T18:25:00Z</dcterms:created>
  <dcterms:modified xsi:type="dcterms:W3CDTF">2026-08-26T18:25:00Z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0x0101003F7B936115B44E4EBE9110561C240801</vt:lpwstr>
  </property>
  <property fmtid="{D5CDD505-2E9C-101B-9397-08002B2CF9AE}" pid="3" name="_NewReviewCycle">
    <vt:lpwstr/>
  </property>
</Properties>
</file>