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595197" w14:paraId="59B2D7C8" w14:textId="77777777">
      <w:pPr>
        <w:pStyle w:val="Title"/>
        <w:spacing w:before="19"/>
      </w:pPr>
      <w:r>
        <w:rPr>
          <w:spacing w:val="-2"/>
        </w:rPr>
        <w:t>SUPPORTING</w:t>
      </w:r>
      <w:r>
        <w:rPr>
          <w:spacing w:val="1"/>
        </w:rPr>
        <w:t xml:space="preserve"> </w:t>
      </w:r>
      <w:r>
        <w:rPr>
          <w:spacing w:val="-2"/>
        </w:rPr>
        <w:t>STATEMENT</w:t>
      </w:r>
    </w:p>
    <w:p w:rsidR="00595197" w14:paraId="3D0D01E0" w14:textId="77777777">
      <w:pPr>
        <w:pStyle w:val="BodyText"/>
        <w:ind w:left="0"/>
        <w:rPr>
          <w:b/>
          <w:sz w:val="28"/>
        </w:rPr>
      </w:pPr>
    </w:p>
    <w:p w:rsidR="00595197" w14:paraId="370DCFA2" w14:textId="77777777">
      <w:pPr>
        <w:pStyle w:val="BodyText"/>
        <w:ind w:left="0"/>
        <w:rPr>
          <w:b/>
          <w:sz w:val="28"/>
        </w:rPr>
      </w:pPr>
    </w:p>
    <w:p w:rsidR="00595197" w14:paraId="27E34ADA" w14:textId="77777777">
      <w:pPr>
        <w:pStyle w:val="BodyText"/>
        <w:ind w:left="0"/>
        <w:rPr>
          <w:b/>
          <w:sz w:val="28"/>
        </w:rPr>
      </w:pPr>
    </w:p>
    <w:p w:rsidR="00595197" w14:paraId="55BB4E3B" w14:textId="77777777">
      <w:pPr>
        <w:pStyle w:val="BodyText"/>
        <w:spacing w:before="233"/>
        <w:ind w:left="0"/>
        <w:rPr>
          <w:b/>
          <w:sz w:val="28"/>
        </w:rPr>
      </w:pPr>
    </w:p>
    <w:p w:rsidR="00595197" w14:paraId="0DB520C0" w14:textId="77777777">
      <w:pPr>
        <w:pStyle w:val="Title"/>
      </w:pPr>
      <w:r>
        <w:t>Part</w:t>
      </w:r>
      <w:r>
        <w:rPr>
          <w:spacing w:val="-6"/>
        </w:rPr>
        <w:t xml:space="preserve"> </w:t>
      </w:r>
      <w:r>
        <w:rPr>
          <w:spacing w:val="-10"/>
        </w:rPr>
        <w:t>A</w:t>
      </w:r>
    </w:p>
    <w:p w:rsidR="00595197" w14:paraId="78B62E21" w14:textId="77777777">
      <w:pPr>
        <w:pStyle w:val="BodyText"/>
        <w:ind w:left="0"/>
        <w:rPr>
          <w:b/>
          <w:sz w:val="28"/>
        </w:rPr>
      </w:pPr>
    </w:p>
    <w:p w:rsidR="00595197" w14:paraId="001493AA" w14:textId="77777777">
      <w:pPr>
        <w:pStyle w:val="BodyText"/>
        <w:ind w:left="0"/>
        <w:rPr>
          <w:b/>
          <w:sz w:val="28"/>
        </w:rPr>
      </w:pPr>
    </w:p>
    <w:p w:rsidR="00595197" w14:paraId="307194FC" w14:textId="77777777">
      <w:pPr>
        <w:pStyle w:val="BodyText"/>
        <w:ind w:left="0"/>
        <w:rPr>
          <w:b/>
          <w:sz w:val="28"/>
        </w:rPr>
      </w:pPr>
    </w:p>
    <w:p w:rsidR="00595197" w14:paraId="106D522E" w14:textId="77777777">
      <w:pPr>
        <w:pStyle w:val="BodyText"/>
        <w:spacing w:before="232"/>
        <w:ind w:left="0"/>
        <w:rPr>
          <w:b/>
          <w:sz w:val="28"/>
        </w:rPr>
      </w:pPr>
    </w:p>
    <w:p w:rsidR="00595197" w:rsidP="000569DB" w14:paraId="24AE4B44" w14:textId="71AAF14A">
      <w:pPr>
        <w:pStyle w:val="BodyText"/>
        <w:ind w:left="0"/>
        <w:jc w:val="center"/>
        <w:rPr>
          <w:sz w:val="28"/>
        </w:rPr>
      </w:pPr>
      <w:r w:rsidRPr="0091010F">
        <w:rPr>
          <w:sz w:val="28"/>
        </w:rPr>
        <w:t>Request for Renewal of Information Collection: Online ABA Complaint Form (OMB Control # 3014-0012)</w:t>
      </w:r>
    </w:p>
    <w:p w:rsidR="00595197" w14:paraId="4D8A2979" w14:textId="77777777">
      <w:pPr>
        <w:pStyle w:val="BodyText"/>
        <w:ind w:left="0"/>
        <w:rPr>
          <w:sz w:val="28"/>
        </w:rPr>
      </w:pPr>
    </w:p>
    <w:p w:rsidR="00595197" w14:paraId="4865E285" w14:textId="77777777">
      <w:pPr>
        <w:pStyle w:val="BodyText"/>
        <w:ind w:left="0"/>
        <w:rPr>
          <w:sz w:val="28"/>
        </w:rPr>
      </w:pPr>
    </w:p>
    <w:p w:rsidR="00595197" w14:paraId="07AFE0CF" w14:textId="77777777">
      <w:pPr>
        <w:pStyle w:val="BodyText"/>
        <w:spacing w:before="232"/>
        <w:ind w:left="0"/>
        <w:rPr>
          <w:sz w:val="28"/>
        </w:rPr>
      </w:pPr>
    </w:p>
    <w:p w:rsidR="00595197" w14:paraId="01502C89" w14:textId="6AABEEDC">
      <w:pPr>
        <w:ind w:left="511" w:right="174"/>
        <w:jc w:val="center"/>
        <w:rPr>
          <w:sz w:val="24"/>
          <w:szCs w:val="24"/>
        </w:rPr>
      </w:pPr>
      <w:r w:rsidRPr="091218A0">
        <w:rPr>
          <w:sz w:val="24"/>
          <w:szCs w:val="24"/>
        </w:rPr>
        <w:t xml:space="preserve">Date: </w:t>
      </w:r>
      <w:r w:rsidRPr="091218A0" w:rsidR="0091010F">
        <w:rPr>
          <w:spacing w:val="-2"/>
          <w:sz w:val="24"/>
          <w:szCs w:val="24"/>
        </w:rPr>
        <w:t>08/1</w:t>
      </w:r>
      <w:r w:rsidRPr="091218A0" w:rsidR="509A1AF3">
        <w:rPr>
          <w:spacing w:val="-2"/>
          <w:sz w:val="24"/>
          <w:szCs w:val="24"/>
        </w:rPr>
        <w:t>8</w:t>
      </w:r>
      <w:r w:rsidRPr="091218A0" w:rsidR="0091010F">
        <w:rPr>
          <w:spacing w:val="-2"/>
          <w:sz w:val="24"/>
          <w:szCs w:val="24"/>
        </w:rPr>
        <w:t>/2026</w:t>
      </w:r>
    </w:p>
    <w:p w:rsidR="00595197" w14:paraId="7BC9343F" w14:textId="77777777">
      <w:pPr>
        <w:pStyle w:val="BodyText"/>
        <w:ind w:left="0"/>
        <w:rPr>
          <w:sz w:val="24"/>
        </w:rPr>
      </w:pPr>
    </w:p>
    <w:p w:rsidR="00595197" w14:paraId="70E642BB" w14:textId="77777777">
      <w:pPr>
        <w:pStyle w:val="BodyText"/>
        <w:ind w:left="0"/>
        <w:rPr>
          <w:sz w:val="24"/>
        </w:rPr>
      </w:pPr>
    </w:p>
    <w:p w:rsidR="00595197" w14:paraId="4C9AF040" w14:textId="77777777">
      <w:pPr>
        <w:pStyle w:val="BodyText"/>
        <w:ind w:left="0"/>
        <w:rPr>
          <w:sz w:val="24"/>
        </w:rPr>
      </w:pPr>
    </w:p>
    <w:p w:rsidR="00595197" w14:paraId="6EFFABE0" w14:textId="77777777">
      <w:pPr>
        <w:pStyle w:val="BodyText"/>
        <w:ind w:left="0"/>
        <w:rPr>
          <w:sz w:val="24"/>
        </w:rPr>
      </w:pPr>
    </w:p>
    <w:p w:rsidR="00595197" w14:paraId="6171AE67" w14:textId="77777777">
      <w:pPr>
        <w:pStyle w:val="BodyText"/>
        <w:spacing w:before="136"/>
        <w:ind w:left="0"/>
        <w:rPr>
          <w:sz w:val="24"/>
        </w:rPr>
      </w:pPr>
    </w:p>
    <w:p w:rsidR="00595197" w14:paraId="613C9356" w14:textId="77777777">
      <w:pPr>
        <w:ind w:left="511" w:right="173"/>
        <w:jc w:val="center"/>
        <w:rPr>
          <w:sz w:val="24"/>
        </w:rPr>
      </w:pPr>
      <w:r>
        <w:rPr>
          <w:sz w:val="24"/>
        </w:rPr>
        <w:t>United</w:t>
      </w:r>
      <w:r>
        <w:rPr>
          <w:spacing w:val="-3"/>
          <w:sz w:val="24"/>
        </w:rPr>
        <w:t xml:space="preserve"> </w:t>
      </w:r>
      <w:r>
        <w:rPr>
          <w:sz w:val="24"/>
        </w:rPr>
        <w:t>States</w:t>
      </w:r>
      <w:r>
        <w:rPr>
          <w:spacing w:val="-2"/>
          <w:sz w:val="24"/>
        </w:rPr>
        <w:t xml:space="preserve"> </w:t>
      </w:r>
      <w:r>
        <w:rPr>
          <w:sz w:val="24"/>
        </w:rPr>
        <w:t>Access</w:t>
      </w:r>
      <w:r>
        <w:rPr>
          <w:spacing w:val="-2"/>
          <w:sz w:val="24"/>
        </w:rPr>
        <w:t xml:space="preserve"> Board</w:t>
      </w:r>
    </w:p>
    <w:p w:rsidR="00595197" w14:paraId="6BED35FD" w14:textId="77777777">
      <w:pPr>
        <w:jc w:val="center"/>
        <w:rPr>
          <w:sz w:val="24"/>
        </w:rPr>
        <w:sectPr w:rsidSect="00520E0F">
          <w:type w:val="continuous"/>
          <w:pgSz w:w="12240" w:h="15840" w:orient="portrait"/>
          <w:pgMar w:top="1420" w:right="1300" w:bottom="280" w:left="960" w:header="720" w:footer="720" w:gutter="0"/>
          <w:cols w:space="720"/>
        </w:sectPr>
      </w:pPr>
    </w:p>
    <w:p w:rsidR="00595197" w14:paraId="063D0C65" w14:textId="77777777">
      <w:pPr>
        <w:pStyle w:val="Heading1"/>
        <w:spacing w:before="40"/>
        <w:ind w:left="119"/>
      </w:pPr>
      <w:bookmarkStart w:id="0" w:name="PART_A:_JUSTIFICATION"/>
      <w:bookmarkEnd w:id="0"/>
      <w:r>
        <w:t>PART</w:t>
      </w:r>
      <w:r>
        <w:rPr>
          <w:spacing w:val="-6"/>
        </w:rPr>
        <w:t xml:space="preserve"> </w:t>
      </w:r>
      <w:r>
        <w:t>A:</w:t>
      </w:r>
      <w:r>
        <w:rPr>
          <w:spacing w:val="-4"/>
        </w:rPr>
        <w:t xml:space="preserve"> </w:t>
      </w:r>
      <w:r>
        <w:rPr>
          <w:spacing w:val="-2"/>
        </w:rPr>
        <w:t>JUSTIFICATION</w:t>
      </w:r>
    </w:p>
    <w:p w:rsidR="00595197" w14:paraId="6F113E4E" w14:textId="77777777">
      <w:pPr>
        <w:pStyle w:val="ListParagraph"/>
        <w:numPr>
          <w:ilvl w:val="0"/>
          <w:numId w:val="1"/>
        </w:numPr>
        <w:tabs>
          <w:tab w:val="left" w:pos="478"/>
        </w:tabs>
        <w:ind w:left="478" w:hanging="358"/>
        <w:rPr>
          <w:b/>
        </w:rPr>
      </w:pPr>
      <w:bookmarkStart w:id="1" w:name="1._Circumstances_Making_the_Collection_o"/>
      <w:bookmarkEnd w:id="1"/>
      <w:r>
        <w:rPr>
          <w:b/>
        </w:rPr>
        <w:t>Circumstances</w:t>
      </w:r>
      <w:r>
        <w:rPr>
          <w:b/>
          <w:spacing w:val="-11"/>
        </w:rPr>
        <w:t xml:space="preserve"> </w:t>
      </w:r>
      <w:r>
        <w:rPr>
          <w:b/>
        </w:rPr>
        <w:t>Making</w:t>
      </w:r>
      <w:r>
        <w:rPr>
          <w:b/>
          <w:spacing w:val="-9"/>
        </w:rPr>
        <w:t xml:space="preserve"> </w:t>
      </w:r>
      <w:r>
        <w:rPr>
          <w:b/>
        </w:rPr>
        <w:t>the</w:t>
      </w:r>
      <w:r>
        <w:rPr>
          <w:b/>
          <w:spacing w:val="-11"/>
        </w:rPr>
        <w:t xml:space="preserve"> </w:t>
      </w:r>
      <w:r>
        <w:rPr>
          <w:b/>
        </w:rPr>
        <w:t>Collection</w:t>
      </w:r>
      <w:r>
        <w:rPr>
          <w:b/>
          <w:spacing w:val="-9"/>
        </w:rPr>
        <w:t xml:space="preserve"> </w:t>
      </w:r>
      <w:r>
        <w:rPr>
          <w:b/>
        </w:rPr>
        <w:t>of</w:t>
      </w:r>
      <w:r>
        <w:rPr>
          <w:b/>
          <w:spacing w:val="-10"/>
        </w:rPr>
        <w:t xml:space="preserve"> </w:t>
      </w:r>
      <w:r>
        <w:rPr>
          <w:b/>
        </w:rPr>
        <w:t>Information</w:t>
      </w:r>
      <w:r>
        <w:rPr>
          <w:b/>
          <w:spacing w:val="-11"/>
        </w:rPr>
        <w:t xml:space="preserve"> </w:t>
      </w:r>
      <w:r>
        <w:rPr>
          <w:b/>
          <w:spacing w:val="-2"/>
        </w:rPr>
        <w:t>Necessary</w:t>
      </w:r>
    </w:p>
    <w:p w:rsidR="0056743B" w:rsidP="0056743B" w14:paraId="240B6B3B" w14:textId="77777777">
      <w:pPr>
        <w:ind w:firstLine="120"/>
      </w:pPr>
    </w:p>
    <w:p w:rsidR="0056743B" w:rsidP="0056743B" w14:paraId="38DBAE9F" w14:textId="05624560">
      <w:pPr>
        <w:ind w:left="477"/>
      </w:pPr>
      <w:r w:rsidRPr="0056743B">
        <w:t xml:space="preserve">Under section 502(b)(1) of the Rehabilitation Act of 1973, as amended (29 U.S.C. § 792(b)(1)), the United States Access Board (which is also, at times, referred to by its former name, the “Architectural and Transportation Barriers Compliance Board”) is statutorily charged with enforcing the Architectural Barriers Act (ABA) by, among other things, investigating and resolving complaints concerning the accessibility of ABA-covered facilities. In general, the ABA aims to ensure that federal buildings, as well as non-federal buildings built or altered using federal funds, are accessible to, and usable by, </w:t>
      </w:r>
      <w:r w:rsidRPr="0056743B">
        <w:t>persons</w:t>
      </w:r>
      <w:r w:rsidRPr="0056743B">
        <w:t xml:space="preserve"> with disabilities.</w:t>
      </w:r>
    </w:p>
    <w:p w:rsidR="0056743B" w:rsidP="0056743B" w14:paraId="0E6424A4" w14:textId="77777777">
      <w:pPr>
        <w:ind w:left="477"/>
      </w:pPr>
    </w:p>
    <w:p w:rsidR="005C39B5" w:rsidP="0056743B" w14:paraId="2F951ADE" w14:textId="113319D4">
      <w:pPr>
        <w:ind w:left="477"/>
      </w:pPr>
      <w:r w:rsidRPr="0056743B">
        <w:t xml:space="preserve">Any individual who is concerned about the accessibility of an ABA-covered facility can submit an ABA complaint. The Access Board investigates each complaint within its jurisdiction and, if violations are found, works with the agency/organization that controls that facility to remedy these accessibility barriers. Complaints must be </w:t>
      </w:r>
      <w:r w:rsidRPr="0056743B">
        <w:t>written, but</w:t>
      </w:r>
      <w:r w:rsidRPr="0056743B">
        <w:t xml:space="preserve"> can be submitted to the agency th</w:t>
      </w:r>
      <w:r w:rsidR="001B3664">
        <w:t>r</w:t>
      </w:r>
      <w:r w:rsidRPr="0056743B">
        <w:t xml:space="preserve">ough </w:t>
      </w:r>
      <w:r w:rsidRPr="0056743B">
        <w:t>any one of several</w:t>
      </w:r>
      <w:r w:rsidRPr="0056743B">
        <w:t xml:space="preserve"> methods: email, mail, or web-based complaint form.</w:t>
      </w:r>
      <w:r w:rsidR="00327647">
        <w:t xml:space="preserve"> The web-based complaint form is the method by which most ABA complaints are submitted.</w:t>
      </w:r>
    </w:p>
    <w:p w:rsidR="00B8291C" w:rsidRPr="005E061F" w:rsidP="00B8291C" w14:paraId="52A56A28" w14:textId="77777777">
      <w:pPr>
        <w:pStyle w:val="ListParagraph"/>
        <w:numPr>
          <w:ilvl w:val="0"/>
          <w:numId w:val="1"/>
        </w:numPr>
        <w:rPr>
          <w:b/>
          <w:bCs/>
        </w:rPr>
      </w:pPr>
      <w:r w:rsidRPr="005E061F">
        <w:rPr>
          <w:b/>
          <w:bCs/>
        </w:rPr>
        <w:t>Purpose</w:t>
      </w:r>
      <w:r w:rsidRPr="005E061F">
        <w:rPr>
          <w:b/>
          <w:bCs/>
          <w:spacing w:val="-7"/>
        </w:rPr>
        <w:t xml:space="preserve"> </w:t>
      </w:r>
      <w:r w:rsidRPr="005E061F">
        <w:rPr>
          <w:b/>
          <w:bCs/>
        </w:rPr>
        <w:t>and</w:t>
      </w:r>
      <w:r w:rsidRPr="005E061F">
        <w:rPr>
          <w:b/>
          <w:bCs/>
          <w:spacing w:val="-6"/>
        </w:rPr>
        <w:t xml:space="preserve"> </w:t>
      </w:r>
      <w:r w:rsidRPr="005E061F">
        <w:rPr>
          <w:b/>
          <w:bCs/>
        </w:rPr>
        <w:t>Use</w:t>
      </w:r>
      <w:r w:rsidRPr="005E061F">
        <w:rPr>
          <w:b/>
          <w:bCs/>
          <w:spacing w:val="-8"/>
        </w:rPr>
        <w:t xml:space="preserve"> </w:t>
      </w:r>
      <w:r w:rsidRPr="005E061F">
        <w:rPr>
          <w:b/>
          <w:bCs/>
        </w:rPr>
        <w:t>of</w:t>
      </w:r>
      <w:r w:rsidRPr="005E061F">
        <w:rPr>
          <w:b/>
          <w:bCs/>
          <w:spacing w:val="-7"/>
        </w:rPr>
        <w:t xml:space="preserve"> </w:t>
      </w:r>
      <w:r w:rsidRPr="005E061F">
        <w:rPr>
          <w:b/>
          <w:bCs/>
        </w:rPr>
        <w:t>the</w:t>
      </w:r>
      <w:r w:rsidRPr="005E061F">
        <w:rPr>
          <w:b/>
          <w:bCs/>
          <w:spacing w:val="-8"/>
        </w:rPr>
        <w:t xml:space="preserve"> </w:t>
      </w:r>
      <w:r w:rsidRPr="005E061F">
        <w:rPr>
          <w:b/>
          <w:bCs/>
        </w:rPr>
        <w:t>Information</w:t>
      </w:r>
      <w:r w:rsidRPr="005E061F">
        <w:rPr>
          <w:b/>
          <w:bCs/>
          <w:spacing w:val="-8"/>
        </w:rPr>
        <w:t xml:space="preserve"> </w:t>
      </w:r>
      <w:r w:rsidRPr="005E061F">
        <w:rPr>
          <w:b/>
          <w:bCs/>
          <w:spacing w:val="-2"/>
        </w:rPr>
        <w:t>Collection</w:t>
      </w:r>
    </w:p>
    <w:p w:rsidR="005C39B5" w:rsidP="0056743B" w14:paraId="26D79CC5" w14:textId="77777777">
      <w:pPr>
        <w:ind w:left="477"/>
      </w:pPr>
    </w:p>
    <w:p w:rsidR="005C39B5" w:rsidP="0056743B" w14:paraId="5113F45D" w14:textId="436C8105">
      <w:pPr>
        <w:ind w:left="477"/>
      </w:pPr>
      <w:r w:rsidRPr="0056743B">
        <w:t xml:space="preserve"> The Online ABA Complaint Form solicits only information required by the Access Board to carry out its </w:t>
      </w:r>
      <w:r w:rsidRPr="0056743B">
        <w:t>statutorily-mandated</w:t>
      </w:r>
      <w:r w:rsidRPr="0056743B">
        <w:t xml:space="preserve"> ABA enforcement program. The online form contains fields that prompt users to provide information needed to evaluate ABA jurisdiction and conduct investigations. This includes the name and/or address of the building that is the subject of the complaint, as </w:t>
      </w:r>
      <w:r w:rsidRPr="0056743B">
        <w:t>well</w:t>
      </w:r>
      <w:r w:rsidRPr="0056743B">
        <w:t xml:space="preserve"> </w:t>
      </w:r>
      <w:r w:rsidR="00305E8F">
        <w:t xml:space="preserve">a </w:t>
      </w:r>
      <w:r w:rsidRPr="0056743B">
        <w:t xml:space="preserve">brief description(s) of the accessibility </w:t>
      </w:r>
      <w:r w:rsidRPr="0056743B">
        <w:t>barrier</w:t>
      </w:r>
      <w:r w:rsidRPr="0056743B">
        <w:t xml:space="preserve">(s) encountered at that facility. Additionally, users may, at their option, upload digital photos or other materials to support or document their complaints. Provision of personal information by complainants, such as name and/or contact information, is optional and, where provided, cannot be disclosed by the agency </w:t>
      </w:r>
      <w:r w:rsidRPr="0056743B">
        <w:t>absent</w:t>
      </w:r>
      <w:r w:rsidRPr="0056743B">
        <w:t xml:space="preserve"> written consent. </w:t>
      </w:r>
    </w:p>
    <w:p w:rsidR="005C39B5" w:rsidP="0056743B" w14:paraId="5E397CA6" w14:textId="77777777">
      <w:pPr>
        <w:ind w:left="477"/>
      </w:pPr>
    </w:p>
    <w:p w:rsidR="005E061F" w:rsidP="005E061F" w14:paraId="03571C8C" w14:textId="77777777">
      <w:pPr>
        <w:ind w:left="477"/>
      </w:pPr>
      <w:r w:rsidRPr="0056743B">
        <w:t xml:space="preserve">This information collection pertains only to the web-based ABA complaint form, which is referred to as the “Online ABA Complaint Form.” The Access Board seeks renewed approval by OMB under the Paperwork Reduction Act to continue using its existing Online ABA Complaint Form (OMB Control # 3014-0012) without substantive change. That is, we propose no material changes to either the form or its fields, </w:t>
      </w:r>
    </w:p>
    <w:p w:rsidR="005E061F" w:rsidP="005E061F" w14:paraId="1716D1AE" w14:textId="2061D394">
      <w:pPr>
        <w:ind w:left="477"/>
      </w:pPr>
      <w:r w:rsidRPr="0056743B">
        <w:t xml:space="preserve">but, instead, only modest formatting-type changes to update the </w:t>
      </w:r>
      <w:r w:rsidR="005E5DEB">
        <w:t>“</w:t>
      </w:r>
      <w:r w:rsidRPr="0056743B">
        <w:t>look and feel</w:t>
      </w:r>
      <w:r w:rsidR="005E5DEB">
        <w:t>”</w:t>
      </w:r>
      <w:r w:rsidRPr="0056743B">
        <w:t xml:space="preserve"> of the online form. </w:t>
      </w:r>
      <w:bookmarkStart w:id="2" w:name="3._Consideration_Given_to_Information_Te"/>
      <w:bookmarkEnd w:id="2"/>
    </w:p>
    <w:p w:rsidR="00595197" w14:paraId="260F51A9" w14:textId="3FEEE8CC">
      <w:pPr>
        <w:pStyle w:val="Heading1"/>
        <w:numPr>
          <w:ilvl w:val="0"/>
          <w:numId w:val="1"/>
        </w:numPr>
        <w:tabs>
          <w:tab w:val="left" w:pos="477"/>
        </w:tabs>
        <w:ind w:left="477" w:hanging="358"/>
      </w:pPr>
      <w:r>
        <w:t>Consideration</w:t>
      </w:r>
      <w:r>
        <w:rPr>
          <w:spacing w:val="-11"/>
        </w:rPr>
        <w:t xml:space="preserve"> </w:t>
      </w:r>
      <w:r>
        <w:t>Given</w:t>
      </w:r>
      <w:r>
        <w:rPr>
          <w:spacing w:val="-10"/>
        </w:rPr>
        <w:t xml:space="preserve"> </w:t>
      </w:r>
      <w:r>
        <w:t>to</w:t>
      </w:r>
      <w:r>
        <w:rPr>
          <w:spacing w:val="-11"/>
        </w:rPr>
        <w:t xml:space="preserve"> </w:t>
      </w:r>
      <w:r>
        <w:t>Information</w:t>
      </w:r>
      <w:r>
        <w:rPr>
          <w:spacing w:val="-10"/>
        </w:rPr>
        <w:t xml:space="preserve"> </w:t>
      </w:r>
      <w:r>
        <w:rPr>
          <w:spacing w:val="-2"/>
        </w:rPr>
        <w:t>Technology</w:t>
      </w:r>
    </w:p>
    <w:p w:rsidR="00717797" w:rsidP="00AA0613" w14:paraId="409CC45D" w14:textId="281C0192">
      <w:pPr>
        <w:ind w:left="477"/>
      </w:pPr>
      <w:r w:rsidRPr="007250EF">
        <w:t xml:space="preserve">The Online ABA Complaint form is, by definition, a </w:t>
      </w:r>
      <w:r w:rsidRPr="007250EF">
        <w:t>digitally-native</w:t>
      </w:r>
      <w:r w:rsidRPr="007250EF">
        <w:t xml:space="preserve"> mode of complaint submission. This web-based form is user-friendly and accessible. It assists complainants with the complaint filing process by providing fields that call for information needed by the agency to evaluate jurisdiction, investigate complaints, and/or refer non-ABA matters to other federal agencies, as applicable. The format of the online form also helps complainants save time by focusing their data entry efforts on the information needed for ABA complaints, rather than extraneous matters. As a web-based form, complainants also have the convenience of completing this complaint form at any time of day or night. </w:t>
      </w:r>
    </w:p>
    <w:p w:rsidR="00717797" w:rsidP="00AA0613" w14:paraId="1F3DEECB" w14:textId="77777777">
      <w:pPr>
        <w:ind w:left="477"/>
      </w:pPr>
    </w:p>
    <w:p w:rsidR="00C51345" w:rsidRPr="00C51345" w:rsidP="00717797" w14:paraId="71D2C451" w14:textId="5925EE90">
      <w:pPr>
        <w:pStyle w:val="Heading2"/>
        <w:numPr>
          <w:ilvl w:val="0"/>
          <w:numId w:val="1"/>
        </w:numPr>
      </w:pPr>
      <w:r w:rsidRPr="00C51345">
        <w:t>Duplication of Information</w:t>
      </w:r>
    </w:p>
    <w:p w:rsidR="00C51345" w:rsidP="00C51345" w14:paraId="18246A0D" w14:textId="5BA2FF65">
      <w:pPr>
        <w:ind w:left="480"/>
      </w:pPr>
      <w:r w:rsidRPr="00C51345">
        <w:t xml:space="preserve">No similar data </w:t>
      </w:r>
      <w:r w:rsidRPr="00C51345">
        <w:t>are</w:t>
      </w:r>
      <w:r w:rsidRPr="00C51345">
        <w:t xml:space="preserve"> gathered or maintained by the Access Board or available from outside sources. Other, non-web-based methods of ABA complaint submission (i.e., email, mail, facsimile) do not involve Access Board-provided forms. For these, individual complainants submit their written allegations in their own words using a format/organization of their choosing.</w:t>
      </w:r>
    </w:p>
    <w:p w:rsidR="00595197" w:rsidP="00C51345" w14:paraId="2B7DC0B1" w14:textId="77777777">
      <w:pPr>
        <w:pStyle w:val="Heading2"/>
        <w:numPr>
          <w:ilvl w:val="0"/>
          <w:numId w:val="1"/>
        </w:numPr>
      </w:pPr>
      <w:bookmarkStart w:id="3" w:name="5.__Reducing_the_Burden_on_Small_Entitie"/>
      <w:bookmarkEnd w:id="3"/>
      <w:r>
        <w:t>Reducing</w:t>
      </w:r>
      <w:r>
        <w:rPr>
          <w:spacing w:val="-7"/>
        </w:rPr>
        <w:t xml:space="preserve"> </w:t>
      </w:r>
      <w:r>
        <w:t>the</w:t>
      </w:r>
      <w:r>
        <w:rPr>
          <w:spacing w:val="-8"/>
        </w:rPr>
        <w:t xml:space="preserve"> </w:t>
      </w:r>
      <w:r>
        <w:t>Burden</w:t>
      </w:r>
      <w:r>
        <w:rPr>
          <w:spacing w:val="-7"/>
        </w:rPr>
        <w:t xml:space="preserve"> </w:t>
      </w:r>
      <w:r>
        <w:t>on</w:t>
      </w:r>
      <w:r>
        <w:rPr>
          <w:spacing w:val="-6"/>
        </w:rPr>
        <w:t xml:space="preserve"> </w:t>
      </w:r>
      <w:r>
        <w:t>Small</w:t>
      </w:r>
      <w:r>
        <w:rPr>
          <w:spacing w:val="-8"/>
        </w:rPr>
        <w:t xml:space="preserve"> </w:t>
      </w:r>
      <w:r>
        <w:rPr>
          <w:spacing w:val="-2"/>
        </w:rPr>
        <w:t>Entities</w:t>
      </w:r>
    </w:p>
    <w:p w:rsidR="00BA5442" w:rsidP="005532E3" w14:paraId="0A2A20D9" w14:textId="02E91552">
      <w:pPr>
        <w:ind w:left="479"/>
      </w:pPr>
      <w:r w:rsidRPr="00FF2DAD">
        <w:t xml:space="preserve">Not applicable. This information collection does not impact small businesses or other small entities. ABA complaints can only be submitted by individuals, not businesses or other organizations. </w:t>
      </w:r>
    </w:p>
    <w:p w:rsidR="00FF2DAD" w:rsidRPr="000A3D54" w:rsidP="00BA5442" w14:paraId="5044094C" w14:textId="3A4893D5">
      <w:pPr>
        <w:pStyle w:val="ListParagraph"/>
        <w:numPr>
          <w:ilvl w:val="0"/>
          <w:numId w:val="1"/>
        </w:numPr>
        <w:rPr>
          <w:b/>
          <w:bCs/>
        </w:rPr>
      </w:pPr>
      <w:r w:rsidRPr="000A3D54">
        <w:rPr>
          <w:b/>
          <w:bCs/>
        </w:rPr>
        <w:t>Consequences of Not Conducting the Collection</w:t>
      </w:r>
    </w:p>
    <w:p w:rsidR="00595197" w14:paraId="6B1E906F" w14:textId="47570FDB">
      <w:pPr>
        <w:pStyle w:val="BodyText"/>
        <w:spacing w:before="120"/>
        <w:ind w:right="201"/>
      </w:pPr>
      <w:r w:rsidRPr="009036A2">
        <w:t xml:space="preserve">Absent an online complaint form, it is likely that the Access Board’s ABA enforcement program would experience a significant drop in complaints. Annually, well over 90% of ABA complaints are submitted using the agency’s existing online form. </w:t>
      </w:r>
      <w:r w:rsidRPr="009036A2">
        <w:t>In light of</w:t>
      </w:r>
      <w:r w:rsidRPr="009036A2">
        <w:t xml:space="preserve"> complainants’ overwhelming preference for the online form, it is likely that, were there no web-based ABA complaint form, fewer individuals would take the time to submit written ABA complaints. This drop-off in ABA complaints, in turn, would likely lead to fewer accessibility barriers being corrected at ABA-covered facilities. Lastly, it is our experience that, when ABA complaints are submitted in paper-based formats (e.g., email, mail), they are more likely to be incomplete, and, even when complete, require additional time to process because staff must manually enter the complaint information into the Access Board’s case tracking database. </w:t>
      </w:r>
      <w:r w:rsidR="00B56F8D">
        <w:t xml:space="preserve"> </w:t>
      </w:r>
      <w:r w:rsidR="001C36F2">
        <w:t xml:space="preserve"> </w:t>
      </w:r>
    </w:p>
    <w:p w:rsidR="00595197" w14:paraId="0E97EC03" w14:textId="77777777">
      <w:pPr>
        <w:pStyle w:val="Heading1"/>
        <w:numPr>
          <w:ilvl w:val="0"/>
          <w:numId w:val="1"/>
        </w:numPr>
        <w:tabs>
          <w:tab w:val="left" w:pos="477"/>
        </w:tabs>
        <w:ind w:left="477" w:hanging="358"/>
      </w:pPr>
      <w:bookmarkStart w:id="4" w:name="7._Special_Circumstances"/>
      <w:bookmarkEnd w:id="4"/>
      <w:r>
        <w:t>Special</w:t>
      </w:r>
      <w:r>
        <w:rPr>
          <w:spacing w:val="-11"/>
        </w:rPr>
        <w:t xml:space="preserve"> </w:t>
      </w:r>
      <w:r>
        <w:rPr>
          <w:spacing w:val="-2"/>
        </w:rPr>
        <w:t>Circumstances</w:t>
      </w:r>
    </w:p>
    <w:p w:rsidR="00595197" w14:paraId="7545E1F7" w14:textId="3A99D395">
      <w:pPr>
        <w:pStyle w:val="BodyText"/>
        <w:spacing w:before="120"/>
      </w:pPr>
      <w:r w:rsidRPr="0098243D">
        <w:t>Not applicable.</w:t>
      </w:r>
      <w:r>
        <w:t xml:space="preserve"> </w:t>
      </w:r>
      <w:r w:rsidR="00136F7C">
        <w:t>There</w:t>
      </w:r>
      <w:r w:rsidR="00136F7C">
        <w:rPr>
          <w:spacing w:val="-3"/>
        </w:rPr>
        <w:t xml:space="preserve"> </w:t>
      </w:r>
      <w:r w:rsidR="00136F7C">
        <w:t>are</w:t>
      </w:r>
      <w:r w:rsidR="00136F7C">
        <w:rPr>
          <w:spacing w:val="-3"/>
        </w:rPr>
        <w:t xml:space="preserve"> </w:t>
      </w:r>
      <w:r w:rsidR="00136F7C">
        <w:t>no</w:t>
      </w:r>
      <w:r w:rsidR="00136F7C">
        <w:rPr>
          <w:spacing w:val="-2"/>
        </w:rPr>
        <w:t xml:space="preserve"> </w:t>
      </w:r>
      <w:r w:rsidR="00136F7C">
        <w:t>special</w:t>
      </w:r>
      <w:r w:rsidR="00136F7C">
        <w:rPr>
          <w:spacing w:val="-3"/>
        </w:rPr>
        <w:t xml:space="preserve"> </w:t>
      </w:r>
      <w:r w:rsidR="00136F7C">
        <w:t>circumstances.</w:t>
      </w:r>
      <w:r w:rsidR="00136F7C">
        <w:rPr>
          <w:spacing w:val="-3"/>
        </w:rPr>
        <w:t xml:space="preserve"> </w:t>
      </w:r>
      <w:r w:rsidR="00136F7C">
        <w:t>The</w:t>
      </w:r>
      <w:r w:rsidR="00136F7C">
        <w:rPr>
          <w:spacing w:val="-3"/>
        </w:rPr>
        <w:t xml:space="preserve"> </w:t>
      </w:r>
      <w:r w:rsidR="00136F7C">
        <w:t>information</w:t>
      </w:r>
      <w:r w:rsidR="00136F7C">
        <w:rPr>
          <w:spacing w:val="-3"/>
        </w:rPr>
        <w:t xml:space="preserve"> </w:t>
      </w:r>
      <w:r w:rsidR="00136F7C">
        <w:t>collected</w:t>
      </w:r>
      <w:r w:rsidR="00136F7C">
        <w:rPr>
          <w:spacing w:val="-3"/>
        </w:rPr>
        <w:t xml:space="preserve"> </w:t>
      </w:r>
      <w:r w:rsidR="00136F7C">
        <w:t>will</w:t>
      </w:r>
      <w:r w:rsidR="00136F7C">
        <w:rPr>
          <w:spacing w:val="-3"/>
        </w:rPr>
        <w:t xml:space="preserve"> </w:t>
      </w:r>
      <w:r w:rsidR="00136F7C">
        <w:t>be</w:t>
      </w:r>
      <w:r w:rsidR="00136F7C">
        <w:rPr>
          <w:spacing w:val="-3"/>
        </w:rPr>
        <w:t xml:space="preserve"> </w:t>
      </w:r>
      <w:r w:rsidR="00136F7C">
        <w:t>voluntary</w:t>
      </w:r>
      <w:r w:rsidR="00136F7C">
        <w:rPr>
          <w:spacing w:val="-3"/>
        </w:rPr>
        <w:t xml:space="preserve"> </w:t>
      </w:r>
      <w:r w:rsidR="00136F7C">
        <w:t>and</w:t>
      </w:r>
      <w:r w:rsidR="00136F7C">
        <w:rPr>
          <w:spacing w:val="-3"/>
        </w:rPr>
        <w:t xml:space="preserve"> </w:t>
      </w:r>
      <w:r w:rsidR="00136F7C">
        <w:t>will</w:t>
      </w:r>
      <w:r w:rsidR="00136F7C">
        <w:rPr>
          <w:spacing w:val="-3"/>
        </w:rPr>
        <w:t xml:space="preserve"> </w:t>
      </w:r>
      <w:r w:rsidR="00136F7C">
        <w:t>not</w:t>
      </w:r>
      <w:r w:rsidR="00136F7C">
        <w:rPr>
          <w:spacing w:val="-3"/>
        </w:rPr>
        <w:t xml:space="preserve"> </w:t>
      </w:r>
      <w:r w:rsidR="00136F7C">
        <w:t>be</w:t>
      </w:r>
      <w:r w:rsidR="00136F7C">
        <w:rPr>
          <w:spacing w:val="-3"/>
        </w:rPr>
        <w:t xml:space="preserve"> </w:t>
      </w:r>
      <w:r w:rsidR="00136F7C">
        <w:t>used</w:t>
      </w:r>
      <w:r w:rsidR="00136F7C">
        <w:rPr>
          <w:spacing w:val="-3"/>
        </w:rPr>
        <w:t xml:space="preserve"> </w:t>
      </w:r>
      <w:r w:rsidR="00136F7C">
        <w:t>for statistical purposes.</w:t>
      </w:r>
    </w:p>
    <w:p w:rsidR="00595197" w14:paraId="14FAA763" w14:textId="77777777">
      <w:pPr>
        <w:pStyle w:val="Heading1"/>
        <w:numPr>
          <w:ilvl w:val="0"/>
          <w:numId w:val="1"/>
        </w:numPr>
        <w:tabs>
          <w:tab w:val="left" w:pos="477"/>
        </w:tabs>
        <w:ind w:left="477" w:hanging="358"/>
      </w:pPr>
      <w:bookmarkStart w:id="5" w:name="8._Consultations_with_Persons_Outside_th"/>
      <w:bookmarkEnd w:id="5"/>
      <w:r>
        <w:t>Consultations</w:t>
      </w:r>
      <w:r>
        <w:rPr>
          <w:spacing w:val="-12"/>
        </w:rPr>
        <w:t xml:space="preserve"> </w:t>
      </w:r>
      <w:r>
        <w:t>with</w:t>
      </w:r>
      <w:r>
        <w:rPr>
          <w:spacing w:val="-9"/>
        </w:rPr>
        <w:t xml:space="preserve"> </w:t>
      </w:r>
      <w:r>
        <w:t>Persons</w:t>
      </w:r>
      <w:r>
        <w:rPr>
          <w:spacing w:val="-9"/>
        </w:rPr>
        <w:t xml:space="preserve"> </w:t>
      </w:r>
      <w:r>
        <w:t>Outside</w:t>
      </w:r>
      <w:r>
        <w:rPr>
          <w:spacing w:val="-9"/>
        </w:rPr>
        <w:t xml:space="preserve"> </w:t>
      </w:r>
      <w:r>
        <w:t>the</w:t>
      </w:r>
      <w:r>
        <w:rPr>
          <w:spacing w:val="-9"/>
        </w:rPr>
        <w:t xml:space="preserve"> </w:t>
      </w:r>
      <w:r>
        <w:rPr>
          <w:spacing w:val="-2"/>
        </w:rPr>
        <w:t>Agency</w:t>
      </w:r>
    </w:p>
    <w:p w:rsidR="00595197" w:rsidRPr="000E5957" w:rsidP="64033959" w14:paraId="6EF42EBE" w14:textId="20BA45C7">
      <w:pPr>
        <w:pStyle w:val="BodyText"/>
        <w:spacing w:before="119" w:line="259" w:lineRule="auto"/>
        <w:ind w:right="187"/>
      </w:pPr>
      <w:r w:rsidRPr="003C4650">
        <w:t>In</w:t>
      </w:r>
      <w:r w:rsidRPr="003C4650">
        <w:rPr>
          <w:spacing w:val="-3"/>
        </w:rPr>
        <w:t xml:space="preserve"> </w:t>
      </w:r>
      <w:r w:rsidRPr="003C4650">
        <w:t>accordance</w:t>
      </w:r>
      <w:r w:rsidRPr="003C4650">
        <w:rPr>
          <w:spacing w:val="-3"/>
        </w:rPr>
        <w:t xml:space="preserve"> </w:t>
      </w:r>
      <w:r w:rsidRPr="003C4650">
        <w:t>with</w:t>
      </w:r>
      <w:r w:rsidRPr="003C4650">
        <w:rPr>
          <w:spacing w:val="-3"/>
        </w:rPr>
        <w:t xml:space="preserve"> </w:t>
      </w:r>
      <w:r w:rsidRPr="003C4650">
        <w:t>5</w:t>
      </w:r>
      <w:r w:rsidRPr="003C4650">
        <w:rPr>
          <w:spacing w:val="-3"/>
        </w:rPr>
        <w:t xml:space="preserve"> </w:t>
      </w:r>
      <w:r w:rsidRPr="003C4650">
        <w:t>C.F.R.</w:t>
      </w:r>
      <w:r w:rsidRPr="003C4650">
        <w:rPr>
          <w:spacing w:val="-3"/>
        </w:rPr>
        <w:t xml:space="preserve"> </w:t>
      </w:r>
      <w:r w:rsidRPr="003C4650">
        <w:t>§</w:t>
      </w:r>
      <w:r w:rsidRPr="003C4650">
        <w:rPr>
          <w:spacing w:val="-3"/>
        </w:rPr>
        <w:t xml:space="preserve"> </w:t>
      </w:r>
      <w:r w:rsidRPr="003C4650">
        <w:t>1320.8(d),</w:t>
      </w:r>
      <w:r w:rsidRPr="003C4650">
        <w:rPr>
          <w:spacing w:val="-2"/>
        </w:rPr>
        <w:t xml:space="preserve"> </w:t>
      </w:r>
      <w:r w:rsidRPr="003C4650">
        <w:t>the</w:t>
      </w:r>
      <w:r w:rsidRPr="003C4650">
        <w:rPr>
          <w:spacing w:val="-2"/>
        </w:rPr>
        <w:t xml:space="preserve"> </w:t>
      </w:r>
      <w:r w:rsidRPr="003C4650">
        <w:t>Access</w:t>
      </w:r>
      <w:r w:rsidRPr="003C4650">
        <w:rPr>
          <w:spacing w:val="-3"/>
        </w:rPr>
        <w:t xml:space="preserve"> </w:t>
      </w:r>
      <w:r w:rsidRPr="003C4650">
        <w:t>Board</w:t>
      </w:r>
      <w:r w:rsidRPr="003C4650">
        <w:rPr>
          <w:spacing w:val="-3"/>
        </w:rPr>
        <w:t xml:space="preserve"> </w:t>
      </w:r>
      <w:r w:rsidRPr="003C4650">
        <w:t>published</w:t>
      </w:r>
      <w:r w:rsidRPr="003C4650">
        <w:rPr>
          <w:spacing w:val="-3"/>
        </w:rPr>
        <w:t xml:space="preserve"> </w:t>
      </w:r>
      <w:r w:rsidRPr="003C4650">
        <w:t>a</w:t>
      </w:r>
      <w:r w:rsidRPr="003C4650">
        <w:rPr>
          <w:spacing w:val="-3"/>
        </w:rPr>
        <w:t xml:space="preserve"> </w:t>
      </w:r>
      <w:r w:rsidRPr="003C4650">
        <w:t>60-day</w:t>
      </w:r>
      <w:r w:rsidRPr="003C4650">
        <w:rPr>
          <w:spacing w:val="-2"/>
        </w:rPr>
        <w:t xml:space="preserve"> </w:t>
      </w:r>
      <w:r w:rsidRPr="003C4650">
        <w:t>notice</w:t>
      </w:r>
      <w:r w:rsidRPr="003C4650">
        <w:rPr>
          <w:spacing w:val="-2"/>
        </w:rPr>
        <w:t xml:space="preserve"> </w:t>
      </w:r>
      <w:r w:rsidRPr="003C4650">
        <w:t>for</w:t>
      </w:r>
      <w:r w:rsidRPr="003C4650">
        <w:rPr>
          <w:spacing w:val="-3"/>
        </w:rPr>
        <w:t xml:space="preserve"> </w:t>
      </w:r>
      <w:r w:rsidRPr="003C4650">
        <w:t>public</w:t>
      </w:r>
      <w:r w:rsidRPr="003C4650">
        <w:rPr>
          <w:spacing w:val="-2"/>
        </w:rPr>
        <w:t xml:space="preserve"> </w:t>
      </w:r>
      <w:r w:rsidRPr="003C4650">
        <w:t xml:space="preserve">comment in the </w:t>
      </w:r>
      <w:r w:rsidRPr="6C37155B">
        <w:rPr>
          <w:i/>
          <w:iCs/>
        </w:rPr>
        <w:t xml:space="preserve">Federal Register </w:t>
      </w:r>
      <w:r w:rsidRPr="003C4650">
        <w:t xml:space="preserve">on </w:t>
      </w:r>
      <w:r w:rsidRPr="003C4650" w:rsidR="00B014B0">
        <w:t>May 27, 2026</w:t>
      </w:r>
      <w:r w:rsidRPr="003C4650">
        <w:t xml:space="preserve"> (</w:t>
      </w:r>
      <w:r w:rsidRPr="003C4650" w:rsidR="003C4650">
        <w:t>91</w:t>
      </w:r>
      <w:r w:rsidRPr="003C4650" w:rsidR="739CD715">
        <w:t xml:space="preserve"> </w:t>
      </w:r>
      <w:r w:rsidRPr="003C4650">
        <w:t xml:space="preserve">Fed. Reg. </w:t>
      </w:r>
      <w:r w:rsidRPr="003C4650" w:rsidR="003C4650">
        <w:t>31404</w:t>
      </w:r>
      <w:r w:rsidRPr="003C4650">
        <w:t>)</w:t>
      </w:r>
      <w:r w:rsidRPr="003C4650" w:rsidR="00E67364">
        <w:t>.</w:t>
      </w:r>
      <w:r w:rsidRPr="003C4650" w:rsidR="00E67364">
        <w:t xml:space="preserve"> </w:t>
      </w:r>
      <w:r w:rsidRPr="003C4650" w:rsidR="003C4650">
        <w:t>No</w:t>
      </w:r>
      <w:r w:rsidRPr="003C4650" w:rsidR="00E67364">
        <w:t xml:space="preserve"> comment</w:t>
      </w:r>
      <w:r w:rsidRPr="003C4650" w:rsidR="003C4650">
        <w:t>s</w:t>
      </w:r>
      <w:r w:rsidRPr="003C4650" w:rsidR="00E67364">
        <w:t xml:space="preserve"> we</w:t>
      </w:r>
      <w:r w:rsidRPr="003C4650" w:rsidR="003C4650">
        <w:t>re</w:t>
      </w:r>
      <w:r w:rsidRPr="003C4650" w:rsidR="00E67364">
        <w:t xml:space="preserve"> received </w:t>
      </w:r>
      <w:r w:rsidRPr="003C4650" w:rsidR="003C4650">
        <w:t>i</w:t>
      </w:r>
      <w:r w:rsidR="0076634F">
        <w:t>n</w:t>
      </w:r>
      <w:r w:rsidRPr="003C4650" w:rsidR="00E53119">
        <w:t xml:space="preserve"> </w:t>
      </w:r>
      <w:r w:rsidRPr="003C4650" w:rsidR="003C4650">
        <w:t>response</w:t>
      </w:r>
      <w:r w:rsidRPr="003C4650" w:rsidR="00E53119">
        <w:t xml:space="preserve"> to the </w:t>
      </w:r>
      <w:r w:rsidRPr="003C4650" w:rsidR="002B0DE0">
        <w:t>information collection request</w:t>
      </w:r>
      <w:r w:rsidRPr="003C4650">
        <w:t>.</w:t>
      </w:r>
      <w:r w:rsidRPr="003C4650" w:rsidR="00301072">
        <w:t xml:space="preserve"> </w:t>
      </w:r>
      <w:r w:rsidRPr="003C4650" w:rsidR="003155F7">
        <w:t xml:space="preserve">On </w:t>
      </w:r>
      <w:r w:rsidRPr="00EA26C2" w:rsidR="002B109B">
        <w:t xml:space="preserve">August </w:t>
      </w:r>
      <w:r w:rsidRPr="00EA26C2" w:rsidR="00EA26C2">
        <w:t>18, 2026</w:t>
      </w:r>
      <w:r w:rsidRPr="00F00D2C" w:rsidR="003155F7">
        <w:t>, t</w:t>
      </w:r>
      <w:r w:rsidRPr="00F00D2C" w:rsidR="000E5957">
        <w:t xml:space="preserve">he Access Board published a 30-day notice for public comment in the </w:t>
      </w:r>
      <w:r w:rsidRPr="6C37155B" w:rsidR="000E5957">
        <w:rPr>
          <w:i/>
          <w:iCs/>
        </w:rPr>
        <w:t>Federal Register</w:t>
      </w:r>
      <w:r w:rsidRPr="00F00D2C" w:rsidR="006D35DD">
        <w:t>. (9</w:t>
      </w:r>
      <w:r w:rsidRPr="00F00D2C" w:rsidR="6A91AE23">
        <w:t>1</w:t>
      </w:r>
      <w:r w:rsidRPr="00F00D2C" w:rsidR="09A73BCF">
        <w:t xml:space="preserve"> Fed. Reg.</w:t>
      </w:r>
      <w:r w:rsidRPr="00F00D2C" w:rsidR="006D35DD">
        <w:t xml:space="preserve"> </w:t>
      </w:r>
      <w:r w:rsidRPr="00F00D2C" w:rsidR="17734791">
        <w:t>53399</w:t>
      </w:r>
      <w:r w:rsidRPr="00F00D2C" w:rsidR="006D35DD">
        <w:t>).</w:t>
      </w:r>
    </w:p>
    <w:p w:rsidR="00595197" w14:paraId="28B22E8E" w14:textId="77777777">
      <w:pPr>
        <w:pStyle w:val="Heading1"/>
        <w:numPr>
          <w:ilvl w:val="0"/>
          <w:numId w:val="1"/>
        </w:numPr>
        <w:tabs>
          <w:tab w:val="left" w:pos="477"/>
        </w:tabs>
        <w:spacing w:before="121"/>
        <w:ind w:left="477" w:hanging="358"/>
      </w:pPr>
      <w:bookmarkStart w:id="6" w:name="9._Payment_or_Gift"/>
      <w:bookmarkEnd w:id="6"/>
      <w:r>
        <w:t>Payment</w:t>
      </w:r>
      <w:r>
        <w:rPr>
          <w:spacing w:val="-7"/>
        </w:rPr>
        <w:t xml:space="preserve"> </w:t>
      </w:r>
      <w:r>
        <w:t>or</w:t>
      </w:r>
      <w:r>
        <w:rPr>
          <w:spacing w:val="-6"/>
        </w:rPr>
        <w:t xml:space="preserve"> </w:t>
      </w:r>
      <w:r>
        <w:rPr>
          <w:spacing w:val="-4"/>
        </w:rPr>
        <w:t>Gift</w:t>
      </w:r>
    </w:p>
    <w:p w:rsidR="00595197" w14:paraId="56B0B70E" w14:textId="614635ED">
      <w:pPr>
        <w:pStyle w:val="BodyText"/>
        <w:spacing w:before="120"/>
      </w:pPr>
      <w:r w:rsidRPr="00892E57">
        <w:t xml:space="preserve">Not applicable. No payments or gifts are provided to individuals who use the Online ABA Complaint Form. </w:t>
      </w:r>
    </w:p>
    <w:p w:rsidR="00595197" w14:paraId="546B7A23" w14:textId="77777777">
      <w:pPr>
        <w:pStyle w:val="Heading1"/>
        <w:numPr>
          <w:ilvl w:val="0"/>
          <w:numId w:val="1"/>
        </w:numPr>
        <w:tabs>
          <w:tab w:val="left" w:pos="477"/>
        </w:tabs>
        <w:spacing w:before="119"/>
        <w:ind w:left="477" w:hanging="358"/>
      </w:pPr>
      <w:bookmarkStart w:id="7" w:name="10._Confidentiality"/>
      <w:bookmarkEnd w:id="7"/>
      <w:r>
        <w:rPr>
          <w:spacing w:val="-2"/>
        </w:rPr>
        <w:t>Confidentiality</w:t>
      </w:r>
    </w:p>
    <w:p w:rsidR="007B3A21" w14:paraId="3A3979B1" w14:textId="6E90EAA1">
      <w:pPr>
        <w:pStyle w:val="BodyText"/>
        <w:spacing w:before="120"/>
        <w:ind w:right="187"/>
      </w:pPr>
      <w:r w:rsidRPr="0036565A">
        <w:t xml:space="preserve">The Online ABA Complaint Form does not </w:t>
      </w:r>
      <w:r w:rsidR="008A049D">
        <w:t>require</w:t>
      </w:r>
      <w:r w:rsidRPr="0036565A">
        <w:t xml:space="preserve"> of</w:t>
      </w:r>
      <w:r w:rsidRPr="0036565A">
        <w:t xml:space="preserve"> personal information to submit a complaint. ABA complaints of any type – whether submitted online or through other methods – can be submitted anonymously. However, should individuals wish to be kept </w:t>
      </w:r>
      <w:r w:rsidRPr="0036565A">
        <w:t>apprised</w:t>
      </w:r>
      <w:r w:rsidRPr="0036565A">
        <w:t xml:space="preserve"> concerning the status or resolution of their complaint, they must, at minimum, provide </w:t>
      </w:r>
      <w:r w:rsidR="003550E8">
        <w:t xml:space="preserve">their name and </w:t>
      </w:r>
      <w:r w:rsidRPr="0036565A">
        <w:t>one type of contact information (i.e., email address</w:t>
      </w:r>
      <w:r w:rsidR="003550E8">
        <w:t xml:space="preserve"> or phone number</w:t>
      </w:r>
      <w:r w:rsidRPr="0036565A">
        <w:t>). By regulation, any personal information provided by complainants remains strictly confidential, absent written permission from that individual to disclose. See 36 C.F.R. part 1150. In addition, access to the agency’s case tracking system is strictly controlled (and audited) through system permissions, thereby adding another layer of protection for complainants’ personal information, when submitted.</w:t>
      </w:r>
      <w:r w:rsidR="00332CA0">
        <w:t xml:space="preserve"> </w:t>
      </w:r>
      <w:r w:rsidR="00FB75DF">
        <w:t>Finally, the Access Board has an approved SORN</w:t>
      </w:r>
      <w:r w:rsidR="00BE1720">
        <w:t xml:space="preserve"> USAB.0002-Complaint Tracking System governing the </w:t>
      </w:r>
      <w:r w:rsidR="00266A51">
        <w:t xml:space="preserve">operation of this system of records. </w:t>
      </w:r>
      <w:r w:rsidR="004D602B">
        <w:t xml:space="preserve">88 FR 78292 (November 15, 2023). </w:t>
      </w:r>
    </w:p>
    <w:p w:rsidR="00595197" w14:paraId="49FE4122" w14:textId="77777777">
      <w:pPr>
        <w:pStyle w:val="Heading1"/>
        <w:numPr>
          <w:ilvl w:val="0"/>
          <w:numId w:val="1"/>
        </w:numPr>
        <w:tabs>
          <w:tab w:val="left" w:pos="477"/>
        </w:tabs>
        <w:ind w:left="477" w:hanging="358"/>
      </w:pPr>
      <w:r>
        <w:t>Sensitive</w:t>
      </w:r>
      <w:r>
        <w:rPr>
          <w:spacing w:val="-12"/>
        </w:rPr>
        <w:t xml:space="preserve"> </w:t>
      </w:r>
      <w:r>
        <w:rPr>
          <w:spacing w:val="-2"/>
        </w:rPr>
        <w:t>Nature</w:t>
      </w:r>
    </w:p>
    <w:p w:rsidR="00595197" w14:paraId="3A159A48" w14:textId="0F1AD77C">
      <w:pPr>
        <w:pStyle w:val="BodyText"/>
        <w:spacing w:before="120"/>
      </w:pPr>
      <w:r>
        <w:t xml:space="preserve">Not Applicable. </w:t>
      </w:r>
      <w:r w:rsidR="00136F7C">
        <w:t>No</w:t>
      </w:r>
      <w:r w:rsidR="00136F7C">
        <w:rPr>
          <w:spacing w:val="-6"/>
        </w:rPr>
        <w:t xml:space="preserve"> </w:t>
      </w:r>
      <w:r w:rsidR="00136F7C">
        <w:t>questions</w:t>
      </w:r>
      <w:r w:rsidR="00136F7C">
        <w:rPr>
          <w:spacing w:val="-3"/>
        </w:rPr>
        <w:t xml:space="preserve"> </w:t>
      </w:r>
      <w:r w:rsidR="00136F7C">
        <w:t>will</w:t>
      </w:r>
      <w:r w:rsidR="00136F7C">
        <w:rPr>
          <w:spacing w:val="-6"/>
        </w:rPr>
        <w:t xml:space="preserve"> </w:t>
      </w:r>
      <w:r w:rsidR="00136F7C">
        <w:t>be</w:t>
      </w:r>
      <w:r w:rsidR="00136F7C">
        <w:rPr>
          <w:spacing w:val="-5"/>
        </w:rPr>
        <w:t xml:space="preserve"> </w:t>
      </w:r>
      <w:r w:rsidR="00136F7C">
        <w:t>asked</w:t>
      </w:r>
      <w:r w:rsidR="00136F7C">
        <w:rPr>
          <w:spacing w:val="-4"/>
        </w:rPr>
        <w:t xml:space="preserve"> </w:t>
      </w:r>
      <w:r w:rsidR="00136F7C">
        <w:t>that</w:t>
      </w:r>
      <w:r w:rsidR="00136F7C">
        <w:rPr>
          <w:spacing w:val="-7"/>
        </w:rPr>
        <w:t xml:space="preserve"> </w:t>
      </w:r>
      <w:r w:rsidR="00136F7C">
        <w:t>are</w:t>
      </w:r>
      <w:r w:rsidR="00136F7C">
        <w:rPr>
          <w:spacing w:val="-5"/>
        </w:rPr>
        <w:t xml:space="preserve"> </w:t>
      </w:r>
      <w:r w:rsidR="00136F7C">
        <w:t>of</w:t>
      </w:r>
      <w:r w:rsidR="00136F7C">
        <w:rPr>
          <w:spacing w:val="-6"/>
        </w:rPr>
        <w:t xml:space="preserve"> </w:t>
      </w:r>
      <w:r w:rsidR="00136F7C">
        <w:t>a</w:t>
      </w:r>
      <w:r w:rsidR="00136F7C">
        <w:rPr>
          <w:spacing w:val="-4"/>
        </w:rPr>
        <w:t xml:space="preserve"> </w:t>
      </w:r>
      <w:r w:rsidR="00136F7C">
        <w:t>personal</w:t>
      </w:r>
      <w:r w:rsidR="00136F7C">
        <w:rPr>
          <w:spacing w:val="-6"/>
        </w:rPr>
        <w:t xml:space="preserve"> </w:t>
      </w:r>
      <w:r w:rsidR="00136F7C">
        <w:t>or</w:t>
      </w:r>
      <w:r w:rsidR="00136F7C">
        <w:rPr>
          <w:spacing w:val="-6"/>
        </w:rPr>
        <w:t xml:space="preserve"> </w:t>
      </w:r>
      <w:r w:rsidR="00136F7C">
        <w:t>sensitive</w:t>
      </w:r>
      <w:r w:rsidR="00136F7C">
        <w:rPr>
          <w:spacing w:val="-5"/>
        </w:rPr>
        <w:t xml:space="preserve"> </w:t>
      </w:r>
      <w:r w:rsidR="00136F7C">
        <w:rPr>
          <w:spacing w:val="-2"/>
        </w:rPr>
        <w:t>nature.</w:t>
      </w:r>
    </w:p>
    <w:p w:rsidR="00595197" w:rsidRPr="00F20F4D" w14:paraId="69CC8955" w14:textId="77777777">
      <w:pPr>
        <w:pStyle w:val="Heading1"/>
        <w:numPr>
          <w:ilvl w:val="0"/>
          <w:numId w:val="1"/>
        </w:numPr>
        <w:tabs>
          <w:tab w:val="left" w:pos="477"/>
        </w:tabs>
        <w:spacing w:before="121"/>
        <w:ind w:left="477" w:hanging="358"/>
      </w:pPr>
      <w:bookmarkStart w:id="8" w:name="12._Burden_of_Information_Collection"/>
      <w:bookmarkEnd w:id="8"/>
      <w:r w:rsidRPr="00F20F4D">
        <w:t>Burden</w:t>
      </w:r>
      <w:r w:rsidRPr="00F20F4D">
        <w:rPr>
          <w:spacing w:val="-10"/>
        </w:rPr>
        <w:t xml:space="preserve"> </w:t>
      </w:r>
      <w:r w:rsidRPr="00F20F4D">
        <w:t>of</w:t>
      </w:r>
      <w:r w:rsidRPr="00F20F4D">
        <w:rPr>
          <w:spacing w:val="-9"/>
        </w:rPr>
        <w:t xml:space="preserve"> </w:t>
      </w:r>
      <w:r w:rsidRPr="00F20F4D">
        <w:t>Information</w:t>
      </w:r>
      <w:r w:rsidRPr="00F20F4D">
        <w:rPr>
          <w:spacing w:val="-10"/>
        </w:rPr>
        <w:t xml:space="preserve"> </w:t>
      </w:r>
      <w:r w:rsidRPr="00F20F4D">
        <w:rPr>
          <w:spacing w:val="-2"/>
        </w:rPr>
        <w:t>Collection</w:t>
      </w:r>
    </w:p>
    <w:p w:rsidR="00595197" w14:paraId="66BD5F2A" w14:textId="4D8586A8">
      <w:pPr>
        <w:pStyle w:val="BodyText"/>
        <w:spacing w:before="119"/>
        <w:ind w:right="187"/>
      </w:pPr>
      <w:r w:rsidRPr="00F50F72">
        <w:t xml:space="preserve">The projected annual burden hours for this renewed information collection </w:t>
      </w:r>
      <w:r w:rsidRPr="00F50F72">
        <w:t>is</w:t>
      </w:r>
      <w:r w:rsidRPr="00F50F72">
        <w:t xml:space="preserve"> informed by the Access Board’s </w:t>
      </w:r>
      <w:r w:rsidRPr="00E62F7B">
        <w:t xml:space="preserve">nearly decade-long experience using a web-based ABA complaint form, as well as, more broadly, </w:t>
      </w:r>
      <w:r w:rsidRPr="00E62F7B">
        <w:t>it</w:t>
      </w:r>
      <w:r w:rsidRPr="00E62F7B">
        <w:t xml:space="preserve"> long-standing experience implementing the ABA enforcement program. </w:t>
      </w:r>
      <w:r w:rsidRPr="00E62F7B" w:rsidR="00795E84">
        <w:t>The Access Board</w:t>
      </w:r>
      <w:r w:rsidRPr="00E62F7B">
        <w:t xml:space="preserve"> </w:t>
      </w:r>
      <w:r w:rsidRPr="00E62F7B" w:rsidR="00795E84">
        <w:t>estimates that it will receive</w:t>
      </w:r>
      <w:r w:rsidRPr="00E62F7B" w:rsidR="008547B4">
        <w:t xml:space="preserve"> </w:t>
      </w:r>
      <w:r w:rsidRPr="00E62F7B" w:rsidR="008801CD">
        <w:t>400</w:t>
      </w:r>
      <w:r w:rsidRPr="00E62F7B" w:rsidR="00A70E0E">
        <w:t xml:space="preserve"> </w:t>
      </w:r>
      <w:r w:rsidRPr="00E62F7B">
        <w:t xml:space="preserve">ABA complaints annually. We estimate that completion of the online form takes users about </w:t>
      </w:r>
      <w:r w:rsidRPr="00E62F7B" w:rsidR="00E62F7B">
        <w:t xml:space="preserve">5 to </w:t>
      </w:r>
      <w:r w:rsidRPr="00E62F7B" w:rsidR="00A70E0E">
        <w:t>15</w:t>
      </w:r>
      <w:r w:rsidRPr="00E62F7B">
        <w:t xml:space="preserve"> minutes, depending on the number of accessibility barriers alleged and supporting documentation uploaded (which</w:t>
      </w:r>
      <w:r w:rsidRPr="00F50F72">
        <w:t xml:space="preserve"> is optional). To be conservative </w:t>
      </w:r>
      <w:r w:rsidRPr="00F50F72">
        <w:t>with regard to</w:t>
      </w:r>
      <w:r w:rsidRPr="00F50F72">
        <w:t xml:space="preserve"> burden estimates, we assume </w:t>
      </w:r>
      <w:r w:rsidR="00E62F7B">
        <w:t>15</w:t>
      </w:r>
      <w:r w:rsidRPr="00F50F72">
        <w:t xml:space="preserve"> minutes for average response time. </w:t>
      </w:r>
      <w:r w:rsidR="00621112">
        <w:t xml:space="preserve">To calculate the </w:t>
      </w:r>
      <w:r w:rsidR="00C058CE">
        <w:t xml:space="preserve">annualized cost </w:t>
      </w:r>
      <w:r w:rsidR="00621112">
        <w:t xml:space="preserve">burden </w:t>
      </w:r>
      <w:r w:rsidR="00C058CE">
        <w:t xml:space="preserve">to respondents </w:t>
      </w:r>
      <w:r w:rsidR="00621112">
        <w:t xml:space="preserve">the Access Board </w:t>
      </w:r>
      <w:r w:rsidR="00E62F7B">
        <w:t>is relying on</w:t>
      </w:r>
      <w:r w:rsidR="00621112">
        <w:t xml:space="preserve"> BLS wage data</w:t>
      </w:r>
      <w:r>
        <w:rPr>
          <w:rStyle w:val="FootnoteReference"/>
        </w:rPr>
        <w:footnoteReference w:id="2"/>
      </w:r>
      <w:r w:rsidR="00621112">
        <w:t xml:space="preserve"> </w:t>
      </w:r>
      <w:r w:rsidR="00F53A6C">
        <w:t xml:space="preserve">for </w:t>
      </w:r>
      <w:r w:rsidR="00A42513">
        <w:t xml:space="preserve">“All Occupations” as a generic/general wage value to </w:t>
      </w:r>
      <w:r w:rsidR="006861B8">
        <w:t>represent</w:t>
      </w:r>
      <w:r w:rsidR="00A42513">
        <w:t xml:space="preserve"> the opportunity cost of the collection.</w:t>
      </w:r>
      <w:r w:rsidR="006861B8">
        <w:t xml:space="preserve"> </w:t>
      </w:r>
      <w:r w:rsidR="00872E0C">
        <w:t>(00-0000, hourly mean wage $</w:t>
      </w:r>
      <w:r w:rsidR="006861B8">
        <w:t>32.66</w:t>
      </w:r>
      <w:r w:rsidR="006861B8">
        <w:t>}</w:t>
      </w:r>
      <w:r w:rsidR="00A42513">
        <w:t xml:space="preserve">  </w:t>
      </w:r>
      <w:r w:rsidR="005F7897">
        <w:t>We</w:t>
      </w:r>
      <w:r w:rsidR="005F7897">
        <w:t xml:space="preserve"> expect members of the public to fill out this complaint form on their own/personal time, not as part of work duties. </w:t>
      </w:r>
      <w:r w:rsidR="00511954">
        <w:t>Table A below presents t</w:t>
      </w:r>
      <w:r w:rsidR="004202DD">
        <w:t>he Access Board estimates of the annual reporting burden for the online technical assistance training request form</w:t>
      </w:r>
      <w:r w:rsidR="00F20F4D">
        <w:t xml:space="preserve">. </w:t>
      </w:r>
    </w:p>
    <w:p w:rsidR="00595197" w14:paraId="09F8AD92" w14:textId="77777777">
      <w:pPr>
        <w:pStyle w:val="Heading1"/>
        <w:ind w:left="479"/>
      </w:pPr>
      <w:r>
        <w:t>Table</w:t>
      </w:r>
      <w:r>
        <w:rPr>
          <w:spacing w:val="-9"/>
        </w:rPr>
        <w:t xml:space="preserve"> </w:t>
      </w:r>
      <w:r>
        <w:t>A:</w:t>
      </w:r>
      <w:r>
        <w:rPr>
          <w:spacing w:val="-7"/>
        </w:rPr>
        <w:t xml:space="preserve"> </w:t>
      </w:r>
      <w:r>
        <w:t>Estimated</w:t>
      </w:r>
      <w:r>
        <w:rPr>
          <w:spacing w:val="-9"/>
        </w:rPr>
        <w:t xml:space="preserve"> </w:t>
      </w:r>
      <w:r>
        <w:t>Annual</w:t>
      </w:r>
      <w:r>
        <w:rPr>
          <w:spacing w:val="-8"/>
        </w:rPr>
        <w:t xml:space="preserve"> </w:t>
      </w:r>
      <w:r>
        <w:t>Reporting</w:t>
      </w:r>
      <w:r>
        <w:rPr>
          <w:spacing w:val="-8"/>
        </w:rPr>
        <w:t xml:space="preserve"> </w:t>
      </w:r>
      <w:r>
        <w:rPr>
          <w:spacing w:val="-2"/>
        </w:rPr>
        <w:t>Burden</w:t>
      </w:r>
    </w:p>
    <w:p w:rsidR="00595197" w14:paraId="24276F51" w14:textId="77777777">
      <w:pPr>
        <w:pStyle w:val="BodyText"/>
        <w:spacing w:before="11"/>
        <w:ind w:left="0"/>
        <w:rPr>
          <w:b/>
          <w:sz w:val="9"/>
        </w:rPr>
      </w:pPr>
    </w:p>
    <w:tbl>
      <w:tblPr>
        <w:tblStyle w:val="TableGrid"/>
        <w:tblW w:w="4761" w:type="pct"/>
        <w:tblInd w:w="672" w:type="dxa"/>
        <w:tblLayout w:type="fixed"/>
        <w:tblLook w:val="04A0"/>
      </w:tblPr>
      <w:tblGrid>
        <w:gridCol w:w="2310"/>
        <w:gridCol w:w="1336"/>
        <w:gridCol w:w="1189"/>
        <w:gridCol w:w="1010"/>
        <w:gridCol w:w="1152"/>
        <w:gridCol w:w="1152"/>
        <w:gridCol w:w="1344"/>
      </w:tblGrid>
      <w:tr w14:paraId="2364635F" w14:textId="3C8B2293" w:rsidTr="0049590A">
        <w:tblPrEx>
          <w:tblW w:w="4761" w:type="pct"/>
          <w:tblInd w:w="672" w:type="dxa"/>
          <w:tblLayout w:type="fixed"/>
          <w:tblLook w:val="04A0"/>
        </w:tblPrEx>
        <w:trPr>
          <w:trHeight w:val="1404"/>
        </w:trPr>
        <w:tc>
          <w:tcPr>
            <w:tcW w:w="1216" w:type="pct"/>
            <w:vAlign w:val="center"/>
          </w:tcPr>
          <w:p w:rsidR="00F96C51" w:rsidRPr="00570AFD" w:rsidP="00315071" w14:paraId="17E62F86" w14:textId="77777777">
            <w:r w:rsidRPr="00570AFD">
              <w:t>Type of Collection</w:t>
            </w:r>
          </w:p>
        </w:tc>
        <w:tc>
          <w:tcPr>
            <w:tcW w:w="703" w:type="pct"/>
            <w:vAlign w:val="center"/>
          </w:tcPr>
          <w:p w:rsidR="00F96C51" w:rsidRPr="00570AFD" w:rsidP="00315071" w14:paraId="74B9EAE3" w14:textId="77777777">
            <w:r w:rsidRPr="00570AFD">
              <w:t>Number of respondents</w:t>
            </w:r>
          </w:p>
        </w:tc>
        <w:tc>
          <w:tcPr>
            <w:tcW w:w="626" w:type="pct"/>
            <w:vAlign w:val="center"/>
          </w:tcPr>
          <w:p w:rsidR="00F96C51" w:rsidRPr="00570AFD" w:rsidP="00315071" w14:paraId="1B75040C" w14:textId="77777777">
            <w:r w:rsidRPr="00570AFD">
              <w:t>Frequency of response</w:t>
            </w:r>
          </w:p>
          <w:p w:rsidR="00F96C51" w:rsidRPr="00570AFD" w:rsidP="00315071" w14:paraId="73290451" w14:textId="77777777">
            <w:r w:rsidRPr="00570AFD">
              <w:t>(per year)</w:t>
            </w:r>
          </w:p>
        </w:tc>
        <w:tc>
          <w:tcPr>
            <w:tcW w:w="532" w:type="pct"/>
            <w:vAlign w:val="center"/>
          </w:tcPr>
          <w:p w:rsidR="00F96C51" w:rsidRPr="00570AFD" w:rsidP="00315071" w14:paraId="07978DF7" w14:textId="77777777">
            <w:r w:rsidRPr="00570AFD">
              <w:t>Average response time</w:t>
            </w:r>
          </w:p>
          <w:p w:rsidR="00F96C51" w:rsidRPr="00570AFD" w:rsidP="00315071" w14:paraId="5C2DFDFE" w14:textId="77777777">
            <w:r w:rsidRPr="00570AFD">
              <w:t>(</w:t>
            </w:r>
            <w:r w:rsidRPr="00570AFD">
              <w:t>mins</w:t>
            </w:r>
            <w:r w:rsidRPr="00570AFD">
              <w:t>.)</w:t>
            </w:r>
          </w:p>
        </w:tc>
        <w:tc>
          <w:tcPr>
            <w:tcW w:w="607" w:type="pct"/>
            <w:vAlign w:val="center"/>
          </w:tcPr>
          <w:p w:rsidR="00F96C51" w:rsidRPr="00570AFD" w:rsidP="00315071" w14:paraId="6B75DB21" w14:textId="77777777">
            <w:r w:rsidRPr="00570AFD">
              <w:t>Total burden (hours)</w:t>
            </w:r>
          </w:p>
        </w:tc>
        <w:tc>
          <w:tcPr>
            <w:tcW w:w="607" w:type="pct"/>
          </w:tcPr>
          <w:p w:rsidR="00F96C51" w:rsidP="00315071" w14:paraId="48B9CB49" w14:textId="2642B40E">
            <w:r>
              <w:t xml:space="preserve"> Average hourly mean wage </w:t>
            </w:r>
          </w:p>
        </w:tc>
        <w:tc>
          <w:tcPr>
            <w:tcW w:w="708" w:type="pct"/>
          </w:tcPr>
          <w:p w:rsidR="00F96C51" w:rsidRPr="00570AFD" w:rsidP="00315071" w14:paraId="40BA3E50" w14:textId="161764B2">
            <w:r>
              <w:t>Annualized burden cost to respondent</w:t>
            </w:r>
            <w:r w:rsidR="0049590A">
              <w:t>s</w:t>
            </w:r>
          </w:p>
        </w:tc>
      </w:tr>
      <w:tr w14:paraId="6233FB76" w14:textId="5B6BAC20" w:rsidTr="0049590A">
        <w:tblPrEx>
          <w:tblW w:w="4761" w:type="pct"/>
          <w:tblInd w:w="672" w:type="dxa"/>
          <w:tblLayout w:type="fixed"/>
          <w:tblLook w:val="04A0"/>
        </w:tblPrEx>
        <w:trPr>
          <w:trHeight w:val="701"/>
        </w:trPr>
        <w:tc>
          <w:tcPr>
            <w:tcW w:w="1216" w:type="pct"/>
            <w:vAlign w:val="center"/>
          </w:tcPr>
          <w:p w:rsidR="00F96C51" w:rsidRPr="00570AFD" w:rsidP="00287723" w14:paraId="5D44FA05" w14:textId="7214E5EE">
            <w:r>
              <w:t>ABA Complaint Form</w:t>
            </w:r>
          </w:p>
        </w:tc>
        <w:tc>
          <w:tcPr>
            <w:tcW w:w="703" w:type="pct"/>
            <w:vAlign w:val="center"/>
          </w:tcPr>
          <w:p w:rsidR="00F96C51" w:rsidRPr="00570AFD" w:rsidP="00287723" w14:paraId="3A3868BC" w14:textId="4C22EB7F">
            <w:r>
              <w:t>400</w:t>
            </w:r>
          </w:p>
        </w:tc>
        <w:tc>
          <w:tcPr>
            <w:tcW w:w="626" w:type="pct"/>
            <w:vAlign w:val="center"/>
          </w:tcPr>
          <w:p w:rsidR="00F96C51" w:rsidRPr="00570AFD" w:rsidP="00287723" w14:paraId="2116C2C0" w14:textId="16F972C5">
            <w:r>
              <w:t>1</w:t>
            </w:r>
          </w:p>
        </w:tc>
        <w:tc>
          <w:tcPr>
            <w:tcW w:w="532" w:type="pct"/>
            <w:vAlign w:val="center"/>
          </w:tcPr>
          <w:p w:rsidR="00F96C51" w:rsidRPr="00570AFD" w:rsidP="00287723" w14:paraId="0139FA0C" w14:textId="56891AB9">
            <w:r>
              <w:t>15</w:t>
            </w:r>
          </w:p>
        </w:tc>
        <w:tc>
          <w:tcPr>
            <w:tcW w:w="607" w:type="pct"/>
            <w:vAlign w:val="center"/>
          </w:tcPr>
          <w:p w:rsidR="00F96C51" w:rsidRPr="00570AFD" w:rsidP="00287723" w14:paraId="283A5DFA" w14:textId="4942905D">
            <w:r>
              <w:t>100</w:t>
            </w:r>
          </w:p>
        </w:tc>
        <w:tc>
          <w:tcPr>
            <w:tcW w:w="607" w:type="pct"/>
          </w:tcPr>
          <w:p w:rsidR="008C69E2" w:rsidRPr="00516BB6" w:rsidP="00287723" w14:paraId="126D0433" w14:textId="77777777"/>
          <w:p w:rsidR="00F96C51" w:rsidRPr="00516BB6" w:rsidP="00287723" w14:paraId="757195E9" w14:textId="212DD687">
            <w:r w:rsidRPr="00516BB6">
              <w:t>$</w:t>
            </w:r>
            <w:r w:rsidRPr="00516BB6" w:rsidR="006861B8">
              <w:t>32.66</w:t>
            </w:r>
          </w:p>
        </w:tc>
        <w:tc>
          <w:tcPr>
            <w:tcW w:w="708" w:type="pct"/>
          </w:tcPr>
          <w:p w:rsidR="00516BB6" w:rsidRPr="00516BB6" w:rsidP="00287723" w14:paraId="32E88443" w14:textId="77777777">
            <w:pPr>
              <w:jc w:val="center"/>
            </w:pPr>
          </w:p>
          <w:p w:rsidR="00F96C51" w:rsidRPr="00516BB6" w:rsidP="00287723" w14:paraId="4CB71C72" w14:textId="0D669180">
            <w:pPr>
              <w:jc w:val="center"/>
            </w:pPr>
            <w:r w:rsidRPr="00516BB6">
              <w:t>$3,</w:t>
            </w:r>
            <w:r w:rsidRPr="00516BB6" w:rsidR="00516BB6">
              <w:t>266</w:t>
            </w:r>
          </w:p>
        </w:tc>
      </w:tr>
    </w:tbl>
    <w:p w:rsidR="00595197" w:rsidP="00287723" w14:paraId="42A601D0" w14:textId="77777777">
      <w:pPr>
        <w:pStyle w:val="BodyText"/>
        <w:ind w:left="480"/>
      </w:pPr>
      <w:r>
        <w:t>(Note:</w:t>
      </w:r>
      <w:r>
        <w:rPr>
          <w:spacing w:val="-8"/>
        </w:rPr>
        <w:t xml:space="preserve"> </w:t>
      </w:r>
      <w:r>
        <w:t>Estimates</w:t>
      </w:r>
      <w:r>
        <w:rPr>
          <w:spacing w:val="-7"/>
        </w:rPr>
        <w:t xml:space="preserve"> </w:t>
      </w:r>
      <w:r>
        <w:t>for</w:t>
      </w:r>
      <w:r>
        <w:rPr>
          <w:spacing w:val="-8"/>
        </w:rPr>
        <w:t xml:space="preserve"> </w:t>
      </w:r>
      <w:r>
        <w:t>annual</w:t>
      </w:r>
      <w:r>
        <w:rPr>
          <w:spacing w:val="-7"/>
        </w:rPr>
        <w:t xml:space="preserve"> </w:t>
      </w:r>
      <w:r>
        <w:t>time</w:t>
      </w:r>
      <w:r>
        <w:rPr>
          <w:spacing w:val="-7"/>
        </w:rPr>
        <w:t xml:space="preserve"> </w:t>
      </w:r>
      <w:r>
        <w:t>burdens</w:t>
      </w:r>
      <w:r>
        <w:rPr>
          <w:spacing w:val="-8"/>
        </w:rPr>
        <w:t xml:space="preserve"> </w:t>
      </w:r>
      <w:r>
        <w:t>are</w:t>
      </w:r>
      <w:r>
        <w:rPr>
          <w:spacing w:val="-7"/>
        </w:rPr>
        <w:t xml:space="preserve"> </w:t>
      </w:r>
      <w:r>
        <w:t>rounded</w:t>
      </w:r>
      <w:r>
        <w:rPr>
          <w:spacing w:val="-8"/>
        </w:rPr>
        <w:t xml:space="preserve"> </w:t>
      </w:r>
      <w:r>
        <w:t>to</w:t>
      </w:r>
      <w:r>
        <w:rPr>
          <w:spacing w:val="-5"/>
        </w:rPr>
        <w:t xml:space="preserve"> </w:t>
      </w:r>
      <w:r>
        <w:t>the</w:t>
      </w:r>
      <w:r>
        <w:rPr>
          <w:spacing w:val="-7"/>
        </w:rPr>
        <w:t xml:space="preserve"> </w:t>
      </w:r>
      <w:r>
        <w:t>nearest</w:t>
      </w:r>
      <w:r>
        <w:rPr>
          <w:spacing w:val="-7"/>
        </w:rPr>
        <w:t xml:space="preserve"> </w:t>
      </w:r>
      <w:r>
        <w:rPr>
          <w:spacing w:val="-2"/>
        </w:rPr>
        <w:t>hour.)</w:t>
      </w:r>
    </w:p>
    <w:p w:rsidR="00595197" w14:paraId="75A0707C" w14:textId="77777777"/>
    <w:p w:rsidR="00595197" w14:paraId="270842C7" w14:textId="77777777">
      <w:pPr>
        <w:pStyle w:val="Heading1"/>
        <w:numPr>
          <w:ilvl w:val="0"/>
          <w:numId w:val="1"/>
        </w:numPr>
        <w:tabs>
          <w:tab w:val="left" w:pos="477"/>
        </w:tabs>
        <w:spacing w:before="40"/>
        <w:ind w:left="477" w:hanging="358"/>
        <w:jc w:val="both"/>
      </w:pPr>
      <w:bookmarkStart w:id="9" w:name="13._Costs_to_Respondents"/>
      <w:bookmarkEnd w:id="9"/>
      <w:r>
        <w:t>Costs</w:t>
      </w:r>
      <w:r>
        <w:rPr>
          <w:spacing w:val="-5"/>
        </w:rPr>
        <w:t xml:space="preserve"> </w:t>
      </w:r>
      <w:r>
        <w:t>to</w:t>
      </w:r>
      <w:r>
        <w:rPr>
          <w:spacing w:val="-4"/>
        </w:rPr>
        <w:t xml:space="preserve"> </w:t>
      </w:r>
      <w:r>
        <w:rPr>
          <w:spacing w:val="-2"/>
        </w:rPr>
        <w:t>Respondents</w:t>
      </w:r>
    </w:p>
    <w:p w:rsidR="00595197" w:rsidP="00670FE9" w14:paraId="02F69E58" w14:textId="0D3F32AC">
      <w:pPr>
        <w:pStyle w:val="BodyText"/>
        <w:spacing w:before="120"/>
      </w:pPr>
      <w:r>
        <w:t xml:space="preserve">Not applicable.  </w:t>
      </w:r>
      <w:r w:rsidRPr="009C4DA7" w:rsidR="009C4DA7">
        <w:t>Use of the Online ABA Complaint Form imposes no costs on respondents/complainants.</w:t>
      </w:r>
    </w:p>
    <w:p w:rsidR="00595197" w14:paraId="4A254579" w14:textId="77777777">
      <w:pPr>
        <w:pStyle w:val="Heading1"/>
        <w:numPr>
          <w:ilvl w:val="0"/>
          <w:numId w:val="1"/>
        </w:numPr>
        <w:tabs>
          <w:tab w:val="left" w:pos="477"/>
        </w:tabs>
        <w:spacing w:before="121"/>
        <w:ind w:left="477" w:hanging="358"/>
        <w:jc w:val="both"/>
      </w:pPr>
      <w:bookmarkStart w:id="10" w:name="14._Costs_to_Federal_Government"/>
      <w:bookmarkEnd w:id="10"/>
      <w:r>
        <w:t>Costs</w:t>
      </w:r>
      <w:r>
        <w:rPr>
          <w:spacing w:val="-6"/>
        </w:rPr>
        <w:t xml:space="preserve"> </w:t>
      </w:r>
      <w:r>
        <w:t>to</w:t>
      </w:r>
      <w:r>
        <w:rPr>
          <w:spacing w:val="-6"/>
        </w:rPr>
        <w:t xml:space="preserve"> </w:t>
      </w:r>
      <w:r>
        <w:t>Federal</w:t>
      </w:r>
      <w:r>
        <w:rPr>
          <w:spacing w:val="-7"/>
        </w:rPr>
        <w:t xml:space="preserve"> </w:t>
      </w:r>
      <w:r>
        <w:rPr>
          <w:spacing w:val="-2"/>
        </w:rPr>
        <w:t>Government</w:t>
      </w:r>
    </w:p>
    <w:p w:rsidR="00595197" w:rsidP="00670FE9" w14:paraId="12E712F2" w14:textId="064FCE45">
      <w:pPr>
        <w:pStyle w:val="BodyText"/>
        <w:spacing w:before="119"/>
        <w:ind w:right="288"/>
      </w:pPr>
      <w:r w:rsidRPr="009B15ED">
        <w:t>The costs to the Access Board associated with this information collection</w:t>
      </w:r>
      <w:r w:rsidRPr="009B15ED" w:rsidR="009C2EB2">
        <w:t xml:space="preserve"> </w:t>
      </w:r>
      <w:r w:rsidRPr="009B15ED" w:rsidR="009C2EB2">
        <w:t>is</w:t>
      </w:r>
      <w:r w:rsidRPr="009B15ED" w:rsidR="00DC0487">
        <w:t xml:space="preserve"> salary time of the employee </w:t>
      </w:r>
      <w:r w:rsidRPr="009B15ED" w:rsidR="00ED5872">
        <w:t>reviewing</w:t>
      </w:r>
      <w:r w:rsidRPr="009B15ED" w:rsidR="00DC0487">
        <w:t xml:space="preserve"> the forms</w:t>
      </w:r>
      <w:r w:rsidRPr="009B15ED">
        <w:t>.</w:t>
      </w:r>
      <w:r w:rsidRPr="009B15ED" w:rsidR="00DC0487">
        <w:t xml:space="preserve"> </w:t>
      </w:r>
      <w:r w:rsidRPr="009B15ED" w:rsidR="006E0885">
        <w:t xml:space="preserve">The employee conducting the review of these forms is the </w:t>
      </w:r>
      <w:r w:rsidRPr="009B15ED" w:rsidR="00DE4A0C">
        <w:t xml:space="preserve">senior compliance </w:t>
      </w:r>
      <w:r w:rsidRPr="009B15ED" w:rsidR="00293391">
        <w:t>specialist</w:t>
      </w:r>
      <w:r w:rsidRPr="009B15ED" w:rsidR="00ED5872">
        <w:t xml:space="preserve"> which is a GS 14 position.  We estimate that the employee will spend </w:t>
      </w:r>
      <w:r w:rsidR="00CC4855">
        <w:t>thirty</w:t>
      </w:r>
      <w:r w:rsidRPr="009B15ED" w:rsidR="00293391">
        <w:t xml:space="preserve"> (</w:t>
      </w:r>
      <w:r w:rsidR="00CC4855">
        <w:t>30</w:t>
      </w:r>
      <w:r w:rsidRPr="009B15ED" w:rsidR="00293391">
        <w:t>)</w:t>
      </w:r>
      <w:r w:rsidRPr="009B15ED" w:rsidR="00ED5872">
        <w:t xml:space="preserve"> minutes evaluating each form, which would be an annual burden of </w:t>
      </w:r>
      <w:r w:rsidR="00CC4855">
        <w:t>200</w:t>
      </w:r>
      <w:r w:rsidRPr="009B15ED" w:rsidR="00ED5872">
        <w:t xml:space="preserve"> hours. </w:t>
      </w:r>
      <w:r w:rsidRPr="009B15ED" w:rsidR="00DC0487">
        <w:t>The estimated cost of</w:t>
      </w:r>
      <w:r w:rsidR="00AD08B8">
        <w:t xml:space="preserve"> </w:t>
      </w:r>
      <w:r w:rsidRPr="009B15ED" w:rsidR="00DC0487">
        <w:t xml:space="preserve">salary to review this form would </w:t>
      </w:r>
      <w:r w:rsidRPr="00AD08B8" w:rsidR="00DC0487">
        <w:t xml:space="preserve">be </w:t>
      </w:r>
      <w:r w:rsidRPr="00AD08B8" w:rsidR="007A06B0">
        <w:t>$</w:t>
      </w:r>
      <w:r w:rsidR="009A2E39">
        <w:t>17</w:t>
      </w:r>
      <w:r w:rsidR="00947816">
        <w:t>,928</w:t>
      </w:r>
      <w:r w:rsidRPr="00AD08B8" w:rsidR="007A06B0">
        <w:t>.</w:t>
      </w:r>
      <w:r w:rsidR="007A06B0">
        <w:t xml:space="preserve"> </w:t>
      </w:r>
      <w:r>
        <w:t xml:space="preserve"> </w:t>
      </w:r>
    </w:p>
    <w:p w:rsidR="00595197" w14:paraId="45CE8C2E" w14:textId="77777777">
      <w:pPr>
        <w:pStyle w:val="Heading1"/>
        <w:numPr>
          <w:ilvl w:val="0"/>
          <w:numId w:val="1"/>
        </w:numPr>
        <w:tabs>
          <w:tab w:val="left" w:pos="477"/>
        </w:tabs>
        <w:ind w:left="477" w:hanging="358"/>
        <w:jc w:val="both"/>
      </w:pPr>
      <w:bookmarkStart w:id="11" w:name="15._Reason_for_Change"/>
      <w:bookmarkEnd w:id="11"/>
      <w:r>
        <w:t>Reason</w:t>
      </w:r>
      <w:r>
        <w:rPr>
          <w:spacing w:val="-7"/>
        </w:rPr>
        <w:t xml:space="preserve"> </w:t>
      </w:r>
      <w:r>
        <w:t>for</w:t>
      </w:r>
      <w:r>
        <w:rPr>
          <w:spacing w:val="-7"/>
        </w:rPr>
        <w:t xml:space="preserve"> </w:t>
      </w:r>
      <w:r>
        <w:rPr>
          <w:spacing w:val="-2"/>
        </w:rPr>
        <w:t>Change</w:t>
      </w:r>
    </w:p>
    <w:p w:rsidR="00595197" w:rsidP="00670FE9" w14:paraId="1FE49861" w14:textId="4FF248B8">
      <w:pPr>
        <w:pStyle w:val="BodyText"/>
        <w:spacing w:before="120"/>
      </w:pPr>
      <w:r w:rsidRPr="009C4DA7">
        <w:t xml:space="preserve">Not applicable. This is a renewal request for an existing, </w:t>
      </w:r>
      <w:r w:rsidRPr="009C4DA7">
        <w:t>previously-cleared</w:t>
      </w:r>
      <w:r w:rsidRPr="009C4DA7">
        <w:t xml:space="preserve"> information collection.</w:t>
      </w:r>
    </w:p>
    <w:p w:rsidR="00595197" w14:paraId="1FB688A6" w14:textId="77777777">
      <w:pPr>
        <w:pStyle w:val="Heading1"/>
        <w:numPr>
          <w:ilvl w:val="0"/>
          <w:numId w:val="1"/>
        </w:numPr>
        <w:tabs>
          <w:tab w:val="left" w:pos="477"/>
        </w:tabs>
        <w:spacing w:before="119"/>
        <w:ind w:left="477" w:hanging="358"/>
        <w:jc w:val="both"/>
      </w:pPr>
      <w:bookmarkStart w:id="12" w:name="16._Tabulation_of_Results,_Schedule,_Ana"/>
      <w:bookmarkEnd w:id="12"/>
      <w:r>
        <w:t>Tabulation</w:t>
      </w:r>
      <w:r>
        <w:rPr>
          <w:spacing w:val="-10"/>
        </w:rPr>
        <w:t xml:space="preserve"> </w:t>
      </w:r>
      <w:r>
        <w:t>of</w:t>
      </w:r>
      <w:r>
        <w:rPr>
          <w:spacing w:val="-9"/>
        </w:rPr>
        <w:t xml:space="preserve"> </w:t>
      </w:r>
      <w:r>
        <w:t>Results,</w:t>
      </w:r>
      <w:r>
        <w:rPr>
          <w:spacing w:val="-9"/>
        </w:rPr>
        <w:t xml:space="preserve"> </w:t>
      </w:r>
      <w:r>
        <w:t>Schedule,</w:t>
      </w:r>
      <w:r>
        <w:rPr>
          <w:spacing w:val="-10"/>
        </w:rPr>
        <w:t xml:space="preserve"> </w:t>
      </w:r>
      <w:r>
        <w:t>Analysis</w:t>
      </w:r>
      <w:r>
        <w:rPr>
          <w:spacing w:val="-10"/>
        </w:rPr>
        <w:t xml:space="preserve"> </w:t>
      </w:r>
      <w:r>
        <w:rPr>
          <w:spacing w:val="-2"/>
        </w:rPr>
        <w:t>Plans</w:t>
      </w:r>
    </w:p>
    <w:p w:rsidR="00595197" w:rsidP="00670FE9" w14:paraId="38A4FFC1" w14:textId="73E40AB3">
      <w:pPr>
        <w:pStyle w:val="BodyText"/>
        <w:spacing w:before="120"/>
        <w:ind w:right="201"/>
      </w:pPr>
      <w:r w:rsidRPr="00BE2E24">
        <w:t xml:space="preserve">Not applicable. As discussed in Sections 1 and </w:t>
      </w:r>
      <w:r w:rsidRPr="00BE2E24">
        <w:t>2,</w:t>
      </w:r>
      <w:r w:rsidRPr="00BE2E24">
        <w:t xml:space="preserve"> above, the Online ABA Complaint Form is used only in support of, and in conjunction with, the agency’s ABA enforcement program. Should complaint- or case related data be needed to prepare programmatic reviews or reports for external use or posting (e.g., congressional budget justification, intra-agency reporting), only anonymized case-related data is used, such as: accessibility barriers alleged across complaints; corrective actions taken by agencies; or number of complaints submitted/closed per fiscal year.</w:t>
      </w:r>
      <w:r w:rsidR="00136F7C">
        <w:t xml:space="preserve"> </w:t>
      </w:r>
    </w:p>
    <w:p w:rsidR="00595197" w14:paraId="2CF4527A" w14:textId="77777777">
      <w:pPr>
        <w:pStyle w:val="Heading1"/>
        <w:numPr>
          <w:ilvl w:val="0"/>
          <w:numId w:val="1"/>
        </w:numPr>
        <w:tabs>
          <w:tab w:val="left" w:pos="478"/>
        </w:tabs>
        <w:spacing w:before="121"/>
        <w:ind w:left="478" w:hanging="358"/>
      </w:pPr>
      <w:r>
        <w:t>Display</w:t>
      </w:r>
      <w:r>
        <w:rPr>
          <w:spacing w:val="-8"/>
        </w:rPr>
        <w:t xml:space="preserve"> </w:t>
      </w:r>
      <w:r>
        <w:t>of</w:t>
      </w:r>
      <w:r>
        <w:rPr>
          <w:spacing w:val="-7"/>
        </w:rPr>
        <w:t xml:space="preserve"> </w:t>
      </w:r>
      <w:r>
        <w:t>OMB</w:t>
      </w:r>
      <w:r>
        <w:rPr>
          <w:spacing w:val="-7"/>
        </w:rPr>
        <w:t xml:space="preserve"> </w:t>
      </w:r>
      <w:r>
        <w:t>Approval</w:t>
      </w:r>
      <w:r>
        <w:rPr>
          <w:spacing w:val="-7"/>
        </w:rPr>
        <w:t xml:space="preserve"> </w:t>
      </w:r>
      <w:r>
        <w:rPr>
          <w:spacing w:val="-4"/>
        </w:rPr>
        <w:t>Date</w:t>
      </w:r>
    </w:p>
    <w:p w:rsidR="00595197" w14:paraId="340CD11C" w14:textId="77777777">
      <w:pPr>
        <w:pStyle w:val="BodyText"/>
        <w:spacing w:before="120"/>
      </w:pPr>
      <w:r>
        <w:t xml:space="preserve">We </w:t>
      </w:r>
      <w:r>
        <w:t>are not requesting</w:t>
      </w:r>
      <w:r>
        <w:t xml:space="preserve"> an exemption </w:t>
      </w:r>
      <w:r>
        <w:t>with regard to</w:t>
      </w:r>
      <w:r>
        <w:t xml:space="preserve"> display of OMB control number and expiration date. </w:t>
      </w:r>
    </w:p>
    <w:p w:rsidR="00595197" w14:paraId="6ABF0140" w14:textId="77777777">
      <w:pPr>
        <w:pStyle w:val="Heading1"/>
        <w:numPr>
          <w:ilvl w:val="0"/>
          <w:numId w:val="1"/>
        </w:numPr>
        <w:tabs>
          <w:tab w:val="left" w:pos="477"/>
        </w:tabs>
        <w:ind w:left="477" w:hanging="358"/>
      </w:pPr>
      <w:bookmarkStart w:id="13" w:name="18._Exceptions_to_Certification_for_Pape"/>
      <w:bookmarkEnd w:id="13"/>
      <w:r>
        <w:t>Exceptions</w:t>
      </w:r>
      <w:r>
        <w:rPr>
          <w:spacing w:val="-12"/>
        </w:rPr>
        <w:t xml:space="preserve"> </w:t>
      </w:r>
      <w:r>
        <w:t>to</w:t>
      </w:r>
      <w:r>
        <w:rPr>
          <w:spacing w:val="-9"/>
        </w:rPr>
        <w:t xml:space="preserve"> </w:t>
      </w:r>
      <w:r>
        <w:t>Certification</w:t>
      </w:r>
      <w:r>
        <w:rPr>
          <w:spacing w:val="-9"/>
        </w:rPr>
        <w:t xml:space="preserve"> </w:t>
      </w:r>
      <w:r>
        <w:t>for</w:t>
      </w:r>
      <w:r>
        <w:rPr>
          <w:spacing w:val="-10"/>
        </w:rPr>
        <w:t xml:space="preserve"> </w:t>
      </w:r>
      <w:r>
        <w:t>Paperwork</w:t>
      </w:r>
      <w:r>
        <w:rPr>
          <w:spacing w:val="-10"/>
        </w:rPr>
        <w:t xml:space="preserve"> </w:t>
      </w:r>
      <w:r>
        <w:t>Reduction</w:t>
      </w:r>
      <w:r>
        <w:rPr>
          <w:spacing w:val="-9"/>
        </w:rPr>
        <w:t xml:space="preserve"> </w:t>
      </w:r>
      <w:r>
        <w:t>Act</w:t>
      </w:r>
      <w:r>
        <w:rPr>
          <w:spacing w:val="-11"/>
        </w:rPr>
        <w:t xml:space="preserve"> </w:t>
      </w:r>
      <w:r>
        <w:rPr>
          <w:spacing w:val="-2"/>
        </w:rPr>
        <w:t>Submissions</w:t>
      </w:r>
    </w:p>
    <w:p w:rsidR="00595197" w14:paraId="3C9FEB89" w14:textId="77777777">
      <w:pPr>
        <w:pStyle w:val="BodyText"/>
        <w:spacing w:before="119"/>
      </w:pPr>
      <w:r>
        <w:t>The</w:t>
      </w:r>
      <w:r>
        <w:rPr>
          <w:spacing w:val="-4"/>
        </w:rPr>
        <w:t xml:space="preserve"> </w:t>
      </w:r>
      <w:r>
        <w:t>activities</w:t>
      </w:r>
      <w:r>
        <w:rPr>
          <w:spacing w:val="-2"/>
        </w:rPr>
        <w:t xml:space="preserve"> </w:t>
      </w:r>
      <w:r w:rsidR="00670FE9">
        <w:rPr>
          <w:spacing w:val="-2"/>
        </w:rPr>
        <w:t xml:space="preserve">related to this information collection comply </w:t>
      </w:r>
      <w:r>
        <w:t>with</w:t>
      </w:r>
      <w:r>
        <w:rPr>
          <w:spacing w:val="-4"/>
        </w:rPr>
        <w:t xml:space="preserve"> </w:t>
      </w:r>
      <w:r>
        <w:t>the</w:t>
      </w:r>
      <w:r>
        <w:rPr>
          <w:spacing w:val="-4"/>
        </w:rPr>
        <w:t xml:space="preserve"> </w:t>
      </w:r>
      <w:r>
        <w:t>requirements</w:t>
      </w:r>
      <w:r>
        <w:rPr>
          <w:spacing w:val="-2"/>
        </w:rPr>
        <w:t xml:space="preserve"> </w:t>
      </w:r>
      <w:r>
        <w:t>in</w:t>
      </w:r>
      <w:r>
        <w:rPr>
          <w:spacing w:val="-4"/>
        </w:rPr>
        <w:t xml:space="preserve"> </w:t>
      </w:r>
      <w:r>
        <w:t>5 C.FR. § 1320.9.</w:t>
      </w:r>
      <w:r>
        <w:rPr>
          <w:spacing w:val="40"/>
        </w:rPr>
        <w:t xml:space="preserve"> </w:t>
      </w:r>
      <w:r>
        <w:t>We do not anticipate seeking any exceptions.</w:t>
      </w:r>
    </w:p>
    <w:sectPr>
      <w:footerReference w:type="default" r:id="rId8"/>
      <w:pgSz w:w="12240" w:h="15840" w:orient="portrait"/>
      <w:pgMar w:top="1400" w:right="1300" w:bottom="940" w:left="960" w:header="0" w:footer="743"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95197" w14:paraId="422D84BE" w14:textId="77777777">
    <w:pPr>
      <w:pStyle w:val="BodyText"/>
      <w:spacing w:line="14" w:lineRule="auto"/>
      <w:ind w:left="0"/>
      <w:rPr>
        <w:sz w:val="20"/>
      </w:rPr>
    </w:pPr>
    <w:r>
      <w:rPr>
        <w:noProof/>
      </w:rPr>
      <mc:AlternateContent>
        <mc:Choice Requires="wps">
          <w:drawing>
            <wp:anchor distT="0" distB="0" distL="0" distR="0" simplePos="0" relativeHeight="251658240" behindDoc="1" locked="0" layoutInCell="1" allowOverlap="1">
              <wp:simplePos x="0" y="0"/>
              <wp:positionH relativeFrom="page">
                <wp:posOffset>3812285</wp:posOffset>
              </wp:positionH>
              <wp:positionV relativeFrom="page">
                <wp:posOffset>9446577</wp:posOffset>
              </wp:positionV>
              <wp:extent cx="160020" cy="165100"/>
              <wp:effectExtent l="0" t="0" r="0" b="0"/>
              <wp:wrapNone/>
              <wp:docPr id="1" name="Textbox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60020" cy="165100"/>
                      </a:xfrm>
                      <a:prstGeom prst="rect">
                        <a:avLst/>
                      </a:prstGeom>
                    </wps:spPr>
                    <wps:txbx>
                      <w:txbxContent>
                        <w:p w:rsidR="00595197" w14:textId="77777777">
                          <w:pPr>
                            <w:pStyle w:val="BodyText"/>
                            <w:spacing w:line="244" w:lineRule="exact"/>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1" o:spid="_x0000_s2049" type="#_x0000_t202" style="width:12.6pt;height:13pt;margin-top:743.8pt;margin-left:300.2pt;mso-position-horizontal-relative:page;mso-position-vertical-relative:page;mso-wrap-distance-bottom:0;mso-wrap-distance-left:0;mso-wrap-distance-right:0;mso-wrap-distance-top:0;mso-wrap-style:square;position:absolute;visibility:visible;v-text-anchor:top;z-index:-251657216" filled="f" stroked="f">
              <v:textbox inset="0,0,0,0">
                <w:txbxContent>
                  <w:p w:rsidR="00595197" w14:paraId="2AA5FC05" w14:textId="77777777">
                    <w:pPr>
                      <w:pStyle w:val="BodyText"/>
                      <w:spacing w:line="244" w:lineRule="exact"/>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CE0951" w14:paraId="084326D6" w14:textId="77777777">
      <w:r>
        <w:separator/>
      </w:r>
    </w:p>
  </w:footnote>
  <w:footnote w:type="continuationSeparator" w:id="1">
    <w:p w:rsidR="00CE0951" w14:paraId="0B8B43EE" w14:textId="77777777">
      <w:r>
        <w:continuationSeparator/>
      </w:r>
    </w:p>
  </w:footnote>
  <w:footnote w:id="2">
    <w:p w:rsidR="009F0CFA" w:rsidRPr="00AD5DE0" w14:paraId="48AA849B" w14:textId="6D911271">
      <w:pPr>
        <w:pStyle w:val="FootnoteText"/>
      </w:pPr>
      <w:r>
        <w:rPr>
          <w:rStyle w:val="FootnoteReference"/>
        </w:rPr>
        <w:footnoteRef/>
      </w:r>
      <w:r>
        <w:t xml:space="preserve"> The Access Board relied on the Occupational Employment and Wage Statistics </w:t>
      </w:r>
      <w:r w:rsidR="00EE0F6F">
        <w:t>Data from the U.S. Bureau of Labor Statistics</w:t>
      </w:r>
      <w:r w:rsidR="00AD5DE0">
        <w:t xml:space="preserve">. Industry: Cross-Industry, Private, Federal, State, and Local Government, Period: May 2024. </w:t>
      </w:r>
      <w:r w:rsidR="00AD5DE0">
        <w:rPr>
          <w:i/>
          <w:iCs/>
        </w:rPr>
        <w:t xml:space="preserve">Available at </w:t>
      </w:r>
      <w:hyperlink r:id="rId1" w:anchor="/industry/000000" w:history="1">
        <w:r w:rsidRPr="00AD5DE0" w:rsidR="00AD5DE0">
          <w:rPr>
            <w:rStyle w:val="Hyperlink"/>
            <w:i/>
            <w:iCs/>
          </w:rPr>
          <w:t>Occupational Employment and Wage Statistics</w:t>
        </w:r>
      </w:hyperlink>
      <w:r w:rsidR="00AD5DE0">
        <w:rPr>
          <w:i/>
          <w:iCs/>
        </w:rPr>
        <w:t xml:space="preserve"> </w:t>
      </w:r>
      <w:r w:rsidR="00AD5DE0">
        <w:t xml:space="preserve">(last visited </w:t>
      </w:r>
      <w:r w:rsidR="00DE4A0C">
        <w:t>August 17</w:t>
      </w:r>
      <w:r w:rsidR="00AD5DE0">
        <w:t>, 2026).</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AD22530"/>
    <w:multiLevelType w:val="hybridMultilevel"/>
    <w:tmpl w:val="D4A8F1A4"/>
    <w:lvl w:ilvl="0">
      <w:start w:val="1"/>
      <w:numFmt w:val="decimal"/>
      <w:pStyle w:val="Heading2"/>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32BF1731"/>
    <w:multiLevelType w:val="hybridMultilevel"/>
    <w:tmpl w:val="AA8C4342"/>
    <w:lvl w:ilvl="0">
      <w:start w:val="1"/>
      <w:numFmt w:val="decimal"/>
      <w:lvlText w:val="%1."/>
      <w:lvlJc w:val="left"/>
      <w:pPr>
        <w:ind w:left="839" w:hanging="360"/>
      </w:pPr>
    </w:lvl>
    <w:lvl w:ilvl="1" w:tentative="1">
      <w:start w:val="1"/>
      <w:numFmt w:val="lowerLetter"/>
      <w:lvlText w:val="%2."/>
      <w:lvlJc w:val="left"/>
      <w:pPr>
        <w:ind w:left="1559" w:hanging="360"/>
      </w:pPr>
    </w:lvl>
    <w:lvl w:ilvl="2" w:tentative="1">
      <w:start w:val="1"/>
      <w:numFmt w:val="lowerRoman"/>
      <w:lvlText w:val="%3."/>
      <w:lvlJc w:val="right"/>
      <w:pPr>
        <w:ind w:left="2279" w:hanging="180"/>
      </w:pPr>
    </w:lvl>
    <w:lvl w:ilvl="3" w:tentative="1">
      <w:start w:val="1"/>
      <w:numFmt w:val="decimal"/>
      <w:lvlText w:val="%4."/>
      <w:lvlJc w:val="left"/>
      <w:pPr>
        <w:ind w:left="2999" w:hanging="360"/>
      </w:pPr>
    </w:lvl>
    <w:lvl w:ilvl="4" w:tentative="1">
      <w:start w:val="1"/>
      <w:numFmt w:val="lowerLetter"/>
      <w:lvlText w:val="%5."/>
      <w:lvlJc w:val="left"/>
      <w:pPr>
        <w:ind w:left="3719" w:hanging="360"/>
      </w:pPr>
    </w:lvl>
    <w:lvl w:ilvl="5" w:tentative="1">
      <w:start w:val="1"/>
      <w:numFmt w:val="lowerRoman"/>
      <w:lvlText w:val="%6."/>
      <w:lvlJc w:val="right"/>
      <w:pPr>
        <w:ind w:left="4439" w:hanging="180"/>
      </w:pPr>
    </w:lvl>
    <w:lvl w:ilvl="6" w:tentative="1">
      <w:start w:val="1"/>
      <w:numFmt w:val="decimal"/>
      <w:lvlText w:val="%7."/>
      <w:lvlJc w:val="left"/>
      <w:pPr>
        <w:ind w:left="5159" w:hanging="360"/>
      </w:pPr>
    </w:lvl>
    <w:lvl w:ilvl="7" w:tentative="1">
      <w:start w:val="1"/>
      <w:numFmt w:val="lowerLetter"/>
      <w:lvlText w:val="%8."/>
      <w:lvlJc w:val="left"/>
      <w:pPr>
        <w:ind w:left="5879" w:hanging="360"/>
      </w:pPr>
    </w:lvl>
    <w:lvl w:ilvl="8" w:tentative="1">
      <w:start w:val="1"/>
      <w:numFmt w:val="lowerRoman"/>
      <w:lvlText w:val="%9."/>
      <w:lvlJc w:val="right"/>
      <w:pPr>
        <w:ind w:left="6599" w:hanging="180"/>
      </w:pPr>
    </w:lvl>
  </w:abstractNum>
  <w:abstractNum w:abstractNumId="2">
    <w:nsid w:val="35FF432D"/>
    <w:multiLevelType w:val="hybridMultilevel"/>
    <w:tmpl w:val="A81A6338"/>
    <w:lvl w:ilvl="0">
      <w:start w:val="1"/>
      <w:numFmt w:val="decimal"/>
      <w:lvlText w:val="%1."/>
      <w:lvlJc w:val="left"/>
      <w:pPr>
        <w:ind w:left="480" w:hanging="360"/>
      </w:pPr>
      <w:rPr>
        <w:rFonts w:ascii="Calibri" w:eastAsia="Calibri" w:hAnsi="Calibri" w:cs="Calibri" w:hint="default"/>
        <w:b/>
        <w:bCs/>
        <w:i w:val="0"/>
        <w:iCs w:val="0"/>
        <w:spacing w:val="0"/>
        <w:w w:val="99"/>
        <w:sz w:val="22"/>
        <w:szCs w:val="22"/>
        <w:lang w:val="en-US" w:eastAsia="en-US" w:bidi="ar-SA"/>
      </w:rPr>
    </w:lvl>
    <w:lvl w:ilvl="1">
      <w:start w:val="0"/>
      <w:numFmt w:val="bullet"/>
      <w:lvlText w:val=""/>
      <w:lvlJc w:val="left"/>
      <w:pPr>
        <w:ind w:left="1199" w:hanging="360"/>
      </w:pPr>
      <w:rPr>
        <w:rFonts w:ascii="Symbol" w:eastAsia="Symbol" w:hAnsi="Symbol" w:cs="Symbol" w:hint="default"/>
        <w:b w:val="0"/>
        <w:bCs w:val="0"/>
        <w:i w:val="0"/>
        <w:iCs w:val="0"/>
        <w:spacing w:val="0"/>
        <w:w w:val="99"/>
        <w:sz w:val="22"/>
        <w:szCs w:val="22"/>
        <w:lang w:val="en-US" w:eastAsia="en-US" w:bidi="ar-SA"/>
      </w:rPr>
    </w:lvl>
    <w:lvl w:ilvl="2">
      <w:start w:val="0"/>
      <w:numFmt w:val="bullet"/>
      <w:lvlText w:val="•"/>
      <w:lvlJc w:val="left"/>
      <w:pPr>
        <w:ind w:left="2175" w:hanging="360"/>
      </w:pPr>
      <w:rPr>
        <w:rFonts w:hint="default"/>
        <w:lang w:val="en-US" w:eastAsia="en-US" w:bidi="ar-SA"/>
      </w:rPr>
    </w:lvl>
    <w:lvl w:ilvl="3">
      <w:start w:val="0"/>
      <w:numFmt w:val="bullet"/>
      <w:lvlText w:val="•"/>
      <w:lvlJc w:val="left"/>
      <w:pPr>
        <w:ind w:left="3151" w:hanging="360"/>
      </w:pPr>
      <w:rPr>
        <w:rFonts w:hint="default"/>
        <w:lang w:val="en-US" w:eastAsia="en-US" w:bidi="ar-SA"/>
      </w:rPr>
    </w:lvl>
    <w:lvl w:ilvl="4">
      <w:start w:val="0"/>
      <w:numFmt w:val="bullet"/>
      <w:lvlText w:val="•"/>
      <w:lvlJc w:val="left"/>
      <w:pPr>
        <w:ind w:left="4126" w:hanging="360"/>
      </w:pPr>
      <w:rPr>
        <w:rFonts w:hint="default"/>
        <w:lang w:val="en-US" w:eastAsia="en-US" w:bidi="ar-SA"/>
      </w:rPr>
    </w:lvl>
    <w:lvl w:ilvl="5">
      <w:start w:val="0"/>
      <w:numFmt w:val="bullet"/>
      <w:lvlText w:val="•"/>
      <w:lvlJc w:val="left"/>
      <w:pPr>
        <w:ind w:left="5102" w:hanging="360"/>
      </w:pPr>
      <w:rPr>
        <w:rFonts w:hint="default"/>
        <w:lang w:val="en-US" w:eastAsia="en-US" w:bidi="ar-SA"/>
      </w:rPr>
    </w:lvl>
    <w:lvl w:ilvl="6">
      <w:start w:val="0"/>
      <w:numFmt w:val="bullet"/>
      <w:lvlText w:val="•"/>
      <w:lvlJc w:val="left"/>
      <w:pPr>
        <w:ind w:left="6077" w:hanging="360"/>
      </w:pPr>
      <w:rPr>
        <w:rFonts w:hint="default"/>
        <w:lang w:val="en-US" w:eastAsia="en-US" w:bidi="ar-SA"/>
      </w:rPr>
    </w:lvl>
    <w:lvl w:ilvl="7">
      <w:start w:val="0"/>
      <w:numFmt w:val="bullet"/>
      <w:lvlText w:val="•"/>
      <w:lvlJc w:val="left"/>
      <w:pPr>
        <w:ind w:left="7053" w:hanging="360"/>
      </w:pPr>
      <w:rPr>
        <w:rFonts w:hint="default"/>
        <w:lang w:val="en-US" w:eastAsia="en-US" w:bidi="ar-SA"/>
      </w:rPr>
    </w:lvl>
    <w:lvl w:ilvl="8">
      <w:start w:val="0"/>
      <w:numFmt w:val="bullet"/>
      <w:lvlText w:val="•"/>
      <w:lvlJc w:val="left"/>
      <w:pPr>
        <w:ind w:left="8028" w:hanging="360"/>
      </w:pPr>
      <w:rPr>
        <w:rFonts w:hint="default"/>
        <w:lang w:val="en-US" w:eastAsia="en-US" w:bidi="ar-SA"/>
      </w:rPr>
    </w:lvl>
  </w:abstractNum>
  <w:abstractNum w:abstractNumId="3">
    <w:nsid w:val="6B3D46A4"/>
    <w:multiLevelType w:val="multilevel"/>
    <w:tmpl w:val="88FE2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EB86801"/>
    <w:multiLevelType w:val="hybridMultilevel"/>
    <w:tmpl w:val="541041C4"/>
    <w:lvl w:ilvl="0">
      <w:start w:val="1"/>
      <w:numFmt w:val="decimal"/>
      <w:lvlText w:val="%1."/>
      <w:lvlJc w:val="left"/>
      <w:pPr>
        <w:ind w:left="839" w:hanging="360"/>
      </w:pPr>
    </w:lvl>
    <w:lvl w:ilvl="1" w:tentative="1">
      <w:start w:val="1"/>
      <w:numFmt w:val="lowerLetter"/>
      <w:lvlText w:val="%2."/>
      <w:lvlJc w:val="left"/>
      <w:pPr>
        <w:ind w:left="1559" w:hanging="360"/>
      </w:pPr>
    </w:lvl>
    <w:lvl w:ilvl="2" w:tentative="1">
      <w:start w:val="1"/>
      <w:numFmt w:val="lowerRoman"/>
      <w:lvlText w:val="%3."/>
      <w:lvlJc w:val="right"/>
      <w:pPr>
        <w:ind w:left="2279" w:hanging="180"/>
      </w:pPr>
    </w:lvl>
    <w:lvl w:ilvl="3" w:tentative="1">
      <w:start w:val="1"/>
      <w:numFmt w:val="decimal"/>
      <w:lvlText w:val="%4."/>
      <w:lvlJc w:val="left"/>
      <w:pPr>
        <w:ind w:left="2999" w:hanging="360"/>
      </w:pPr>
    </w:lvl>
    <w:lvl w:ilvl="4" w:tentative="1">
      <w:start w:val="1"/>
      <w:numFmt w:val="lowerLetter"/>
      <w:lvlText w:val="%5."/>
      <w:lvlJc w:val="left"/>
      <w:pPr>
        <w:ind w:left="3719" w:hanging="360"/>
      </w:pPr>
    </w:lvl>
    <w:lvl w:ilvl="5" w:tentative="1">
      <w:start w:val="1"/>
      <w:numFmt w:val="lowerRoman"/>
      <w:lvlText w:val="%6."/>
      <w:lvlJc w:val="right"/>
      <w:pPr>
        <w:ind w:left="4439" w:hanging="180"/>
      </w:pPr>
    </w:lvl>
    <w:lvl w:ilvl="6" w:tentative="1">
      <w:start w:val="1"/>
      <w:numFmt w:val="decimal"/>
      <w:lvlText w:val="%7."/>
      <w:lvlJc w:val="left"/>
      <w:pPr>
        <w:ind w:left="5159" w:hanging="360"/>
      </w:pPr>
    </w:lvl>
    <w:lvl w:ilvl="7" w:tentative="1">
      <w:start w:val="1"/>
      <w:numFmt w:val="lowerLetter"/>
      <w:lvlText w:val="%8."/>
      <w:lvlJc w:val="left"/>
      <w:pPr>
        <w:ind w:left="5879" w:hanging="360"/>
      </w:pPr>
    </w:lvl>
    <w:lvl w:ilvl="8" w:tentative="1">
      <w:start w:val="1"/>
      <w:numFmt w:val="lowerRoman"/>
      <w:lvlText w:val="%9."/>
      <w:lvlJc w:val="right"/>
      <w:pPr>
        <w:ind w:left="6599" w:hanging="180"/>
      </w:pPr>
    </w:lvl>
  </w:abstractNum>
  <w:num w:numId="1" w16cid:durableId="1252857156">
    <w:abstractNumId w:val="2"/>
  </w:num>
  <w:num w:numId="2" w16cid:durableId="1661346955">
    <w:abstractNumId w:val="1"/>
  </w:num>
  <w:num w:numId="3" w16cid:durableId="853350092">
    <w:abstractNumId w:val="3"/>
  </w:num>
  <w:num w:numId="4" w16cid:durableId="534274113">
    <w:abstractNumId w:val="4"/>
  </w:num>
  <w:num w:numId="5" w16cid:durableId="530447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20"/>
  <w:drawingGridHorizontalSpacing w:val="110"/>
  <w:displayHorizontalDrawingGridEvery w:val="2"/>
  <w:characterSpacingControl w:val="doNotCompress"/>
  <w:footnotePr>
    <w:footnote w:id="0"/>
    <w:footnote w:id="1"/>
  </w:foot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5197"/>
    <w:rsid w:val="00006397"/>
    <w:rsid w:val="00015F18"/>
    <w:rsid w:val="00023EB2"/>
    <w:rsid w:val="000272BE"/>
    <w:rsid w:val="00031888"/>
    <w:rsid w:val="000569DB"/>
    <w:rsid w:val="00071390"/>
    <w:rsid w:val="00090A29"/>
    <w:rsid w:val="00091C31"/>
    <w:rsid w:val="000A3D54"/>
    <w:rsid w:val="000B16E6"/>
    <w:rsid w:val="000D625F"/>
    <w:rsid w:val="000E5957"/>
    <w:rsid w:val="001140FD"/>
    <w:rsid w:val="00114683"/>
    <w:rsid w:val="00125339"/>
    <w:rsid w:val="00136917"/>
    <w:rsid w:val="00136F7C"/>
    <w:rsid w:val="0016162D"/>
    <w:rsid w:val="00162DD5"/>
    <w:rsid w:val="00163F77"/>
    <w:rsid w:val="0016517A"/>
    <w:rsid w:val="0017009C"/>
    <w:rsid w:val="00171F4F"/>
    <w:rsid w:val="0018124C"/>
    <w:rsid w:val="00185917"/>
    <w:rsid w:val="001A3561"/>
    <w:rsid w:val="001B3118"/>
    <w:rsid w:val="001B3664"/>
    <w:rsid w:val="001C0465"/>
    <w:rsid w:val="001C1911"/>
    <w:rsid w:val="001C36F2"/>
    <w:rsid w:val="001C47C8"/>
    <w:rsid w:val="001C5995"/>
    <w:rsid w:val="001E0D8D"/>
    <w:rsid w:val="002129CC"/>
    <w:rsid w:val="002235C6"/>
    <w:rsid w:val="00226E3D"/>
    <w:rsid w:val="002326DE"/>
    <w:rsid w:val="002477ED"/>
    <w:rsid w:val="00251717"/>
    <w:rsid w:val="00262212"/>
    <w:rsid w:val="00266A51"/>
    <w:rsid w:val="002760E1"/>
    <w:rsid w:val="00277EBA"/>
    <w:rsid w:val="0028406E"/>
    <w:rsid w:val="00287723"/>
    <w:rsid w:val="00292F76"/>
    <w:rsid w:val="00293391"/>
    <w:rsid w:val="002A02A0"/>
    <w:rsid w:val="002A4A68"/>
    <w:rsid w:val="002B0DE0"/>
    <w:rsid w:val="002B109B"/>
    <w:rsid w:val="002B4579"/>
    <w:rsid w:val="002B7010"/>
    <w:rsid w:val="002D7797"/>
    <w:rsid w:val="002F363E"/>
    <w:rsid w:val="002F4490"/>
    <w:rsid w:val="00301072"/>
    <w:rsid w:val="00305E8F"/>
    <w:rsid w:val="00311B1B"/>
    <w:rsid w:val="00315071"/>
    <w:rsid w:val="00315269"/>
    <w:rsid w:val="003155F7"/>
    <w:rsid w:val="00327647"/>
    <w:rsid w:val="00332CA0"/>
    <w:rsid w:val="00333EAA"/>
    <w:rsid w:val="00352D76"/>
    <w:rsid w:val="003550E8"/>
    <w:rsid w:val="00360B8F"/>
    <w:rsid w:val="00363815"/>
    <w:rsid w:val="0036565A"/>
    <w:rsid w:val="00365CF6"/>
    <w:rsid w:val="003677BA"/>
    <w:rsid w:val="00377856"/>
    <w:rsid w:val="00384EE3"/>
    <w:rsid w:val="003974BA"/>
    <w:rsid w:val="003A320A"/>
    <w:rsid w:val="003C0FC0"/>
    <w:rsid w:val="003C4650"/>
    <w:rsid w:val="003E462F"/>
    <w:rsid w:val="003E4D52"/>
    <w:rsid w:val="003E6051"/>
    <w:rsid w:val="003F57DD"/>
    <w:rsid w:val="0040119B"/>
    <w:rsid w:val="00403BF7"/>
    <w:rsid w:val="004103A4"/>
    <w:rsid w:val="00416D4A"/>
    <w:rsid w:val="004202DD"/>
    <w:rsid w:val="0042685A"/>
    <w:rsid w:val="00427377"/>
    <w:rsid w:val="0043272B"/>
    <w:rsid w:val="00441530"/>
    <w:rsid w:val="0048105B"/>
    <w:rsid w:val="00494F13"/>
    <w:rsid w:val="0049590A"/>
    <w:rsid w:val="00495B87"/>
    <w:rsid w:val="004B0888"/>
    <w:rsid w:val="004D1F2E"/>
    <w:rsid w:val="004D4C41"/>
    <w:rsid w:val="004D602B"/>
    <w:rsid w:val="004F7950"/>
    <w:rsid w:val="005038E6"/>
    <w:rsid w:val="00511954"/>
    <w:rsid w:val="0051201C"/>
    <w:rsid w:val="005137CE"/>
    <w:rsid w:val="00516BB6"/>
    <w:rsid w:val="00520D81"/>
    <w:rsid w:val="00520E0F"/>
    <w:rsid w:val="00547652"/>
    <w:rsid w:val="005532E3"/>
    <w:rsid w:val="0056743B"/>
    <w:rsid w:val="00570AFD"/>
    <w:rsid w:val="00572422"/>
    <w:rsid w:val="00581FB3"/>
    <w:rsid w:val="00583888"/>
    <w:rsid w:val="00595197"/>
    <w:rsid w:val="005C13F1"/>
    <w:rsid w:val="005C2BD6"/>
    <w:rsid w:val="005C39B5"/>
    <w:rsid w:val="005E061F"/>
    <w:rsid w:val="005E5DEB"/>
    <w:rsid w:val="005F1862"/>
    <w:rsid w:val="005F7897"/>
    <w:rsid w:val="006006CB"/>
    <w:rsid w:val="00621112"/>
    <w:rsid w:val="00621458"/>
    <w:rsid w:val="0064425E"/>
    <w:rsid w:val="00652711"/>
    <w:rsid w:val="0065391C"/>
    <w:rsid w:val="00653C83"/>
    <w:rsid w:val="00664F25"/>
    <w:rsid w:val="00670FE9"/>
    <w:rsid w:val="006861B8"/>
    <w:rsid w:val="00695246"/>
    <w:rsid w:val="00695CEF"/>
    <w:rsid w:val="00696860"/>
    <w:rsid w:val="006A1810"/>
    <w:rsid w:val="006A6D2E"/>
    <w:rsid w:val="006B3C21"/>
    <w:rsid w:val="006B7028"/>
    <w:rsid w:val="006D35DD"/>
    <w:rsid w:val="006D679E"/>
    <w:rsid w:val="006D7230"/>
    <w:rsid w:val="006E01C7"/>
    <w:rsid w:val="006E0885"/>
    <w:rsid w:val="006E7FBA"/>
    <w:rsid w:val="006F0045"/>
    <w:rsid w:val="007006AE"/>
    <w:rsid w:val="00703DA0"/>
    <w:rsid w:val="007073C8"/>
    <w:rsid w:val="00707A91"/>
    <w:rsid w:val="0071185D"/>
    <w:rsid w:val="00717797"/>
    <w:rsid w:val="00722711"/>
    <w:rsid w:val="0072426F"/>
    <w:rsid w:val="007250EF"/>
    <w:rsid w:val="00733B35"/>
    <w:rsid w:val="00745A39"/>
    <w:rsid w:val="0074776A"/>
    <w:rsid w:val="0076634F"/>
    <w:rsid w:val="00795E84"/>
    <w:rsid w:val="0079605F"/>
    <w:rsid w:val="007A06B0"/>
    <w:rsid w:val="007A26EB"/>
    <w:rsid w:val="007B3A21"/>
    <w:rsid w:val="007D6B7C"/>
    <w:rsid w:val="008005E8"/>
    <w:rsid w:val="008065AC"/>
    <w:rsid w:val="00812284"/>
    <w:rsid w:val="008167B4"/>
    <w:rsid w:val="00816886"/>
    <w:rsid w:val="008172D0"/>
    <w:rsid w:val="00825957"/>
    <w:rsid w:val="00826A66"/>
    <w:rsid w:val="00831276"/>
    <w:rsid w:val="00836E47"/>
    <w:rsid w:val="008547B4"/>
    <w:rsid w:val="00854800"/>
    <w:rsid w:val="00867229"/>
    <w:rsid w:val="008674EA"/>
    <w:rsid w:val="00872E0C"/>
    <w:rsid w:val="00875C96"/>
    <w:rsid w:val="008801CD"/>
    <w:rsid w:val="00880FD4"/>
    <w:rsid w:val="008815ED"/>
    <w:rsid w:val="00885CCC"/>
    <w:rsid w:val="00887E58"/>
    <w:rsid w:val="00892E57"/>
    <w:rsid w:val="008A049D"/>
    <w:rsid w:val="008C38A4"/>
    <w:rsid w:val="008C69E2"/>
    <w:rsid w:val="008D4B86"/>
    <w:rsid w:val="008D5C2C"/>
    <w:rsid w:val="008E2BC6"/>
    <w:rsid w:val="008E7B2C"/>
    <w:rsid w:val="009012EF"/>
    <w:rsid w:val="009036A2"/>
    <w:rsid w:val="009077E6"/>
    <w:rsid w:val="0090794F"/>
    <w:rsid w:val="0091010F"/>
    <w:rsid w:val="00917491"/>
    <w:rsid w:val="00920FDC"/>
    <w:rsid w:val="009245BD"/>
    <w:rsid w:val="00931BF2"/>
    <w:rsid w:val="00936404"/>
    <w:rsid w:val="009409D8"/>
    <w:rsid w:val="00947816"/>
    <w:rsid w:val="00953839"/>
    <w:rsid w:val="00957201"/>
    <w:rsid w:val="00960CCE"/>
    <w:rsid w:val="0096713A"/>
    <w:rsid w:val="009740B8"/>
    <w:rsid w:val="0098243D"/>
    <w:rsid w:val="00987293"/>
    <w:rsid w:val="00992B8C"/>
    <w:rsid w:val="009A2E39"/>
    <w:rsid w:val="009B15ED"/>
    <w:rsid w:val="009C1A5D"/>
    <w:rsid w:val="009C2EB2"/>
    <w:rsid w:val="009C4DA7"/>
    <w:rsid w:val="009C52C9"/>
    <w:rsid w:val="009D4E9D"/>
    <w:rsid w:val="009E2962"/>
    <w:rsid w:val="009E48C4"/>
    <w:rsid w:val="009E60CB"/>
    <w:rsid w:val="009F0671"/>
    <w:rsid w:val="009F0CFA"/>
    <w:rsid w:val="009F3F2E"/>
    <w:rsid w:val="00A05D3C"/>
    <w:rsid w:val="00A207E8"/>
    <w:rsid w:val="00A23CD7"/>
    <w:rsid w:val="00A240E6"/>
    <w:rsid w:val="00A32257"/>
    <w:rsid w:val="00A34608"/>
    <w:rsid w:val="00A408C4"/>
    <w:rsid w:val="00A42513"/>
    <w:rsid w:val="00A42571"/>
    <w:rsid w:val="00A60B12"/>
    <w:rsid w:val="00A62919"/>
    <w:rsid w:val="00A70E0E"/>
    <w:rsid w:val="00A72B8C"/>
    <w:rsid w:val="00A80BA4"/>
    <w:rsid w:val="00A9254E"/>
    <w:rsid w:val="00AA0613"/>
    <w:rsid w:val="00AA2CF2"/>
    <w:rsid w:val="00AB0B35"/>
    <w:rsid w:val="00AD08B8"/>
    <w:rsid w:val="00AD4156"/>
    <w:rsid w:val="00AD5DE0"/>
    <w:rsid w:val="00AE0AA1"/>
    <w:rsid w:val="00AE491B"/>
    <w:rsid w:val="00AE5DFC"/>
    <w:rsid w:val="00AE6C0A"/>
    <w:rsid w:val="00B014B0"/>
    <w:rsid w:val="00B0228A"/>
    <w:rsid w:val="00B0383F"/>
    <w:rsid w:val="00B07AF9"/>
    <w:rsid w:val="00B104D0"/>
    <w:rsid w:val="00B237F1"/>
    <w:rsid w:val="00B24706"/>
    <w:rsid w:val="00B253F7"/>
    <w:rsid w:val="00B256F1"/>
    <w:rsid w:val="00B26ABB"/>
    <w:rsid w:val="00B41576"/>
    <w:rsid w:val="00B52ADD"/>
    <w:rsid w:val="00B56AFB"/>
    <w:rsid w:val="00B56F8D"/>
    <w:rsid w:val="00B61573"/>
    <w:rsid w:val="00B634BA"/>
    <w:rsid w:val="00B8291C"/>
    <w:rsid w:val="00B94A79"/>
    <w:rsid w:val="00BA5442"/>
    <w:rsid w:val="00BA6524"/>
    <w:rsid w:val="00BE1720"/>
    <w:rsid w:val="00BE2E24"/>
    <w:rsid w:val="00BE3C54"/>
    <w:rsid w:val="00C058CE"/>
    <w:rsid w:val="00C114E1"/>
    <w:rsid w:val="00C1412C"/>
    <w:rsid w:val="00C22E49"/>
    <w:rsid w:val="00C50410"/>
    <w:rsid w:val="00C51345"/>
    <w:rsid w:val="00C522EF"/>
    <w:rsid w:val="00C60B90"/>
    <w:rsid w:val="00C7205A"/>
    <w:rsid w:val="00C852F0"/>
    <w:rsid w:val="00C86107"/>
    <w:rsid w:val="00CA5C04"/>
    <w:rsid w:val="00CC4855"/>
    <w:rsid w:val="00CD432A"/>
    <w:rsid w:val="00CE0951"/>
    <w:rsid w:val="00CE1D24"/>
    <w:rsid w:val="00CE490D"/>
    <w:rsid w:val="00D06402"/>
    <w:rsid w:val="00D10BDF"/>
    <w:rsid w:val="00D10EE1"/>
    <w:rsid w:val="00D4774F"/>
    <w:rsid w:val="00D63AA9"/>
    <w:rsid w:val="00D6787F"/>
    <w:rsid w:val="00D70B2C"/>
    <w:rsid w:val="00D77B8D"/>
    <w:rsid w:val="00DA6415"/>
    <w:rsid w:val="00DC0487"/>
    <w:rsid w:val="00DC660D"/>
    <w:rsid w:val="00DD3F7E"/>
    <w:rsid w:val="00DE4A0C"/>
    <w:rsid w:val="00E12A22"/>
    <w:rsid w:val="00E170E4"/>
    <w:rsid w:val="00E24EA0"/>
    <w:rsid w:val="00E3303B"/>
    <w:rsid w:val="00E4198E"/>
    <w:rsid w:val="00E520D6"/>
    <w:rsid w:val="00E53119"/>
    <w:rsid w:val="00E5334C"/>
    <w:rsid w:val="00E62F7B"/>
    <w:rsid w:val="00E667D5"/>
    <w:rsid w:val="00E67364"/>
    <w:rsid w:val="00E76B77"/>
    <w:rsid w:val="00E77133"/>
    <w:rsid w:val="00E774E6"/>
    <w:rsid w:val="00E81E5C"/>
    <w:rsid w:val="00E91610"/>
    <w:rsid w:val="00E956B0"/>
    <w:rsid w:val="00EA26C2"/>
    <w:rsid w:val="00EA39ED"/>
    <w:rsid w:val="00EA49AB"/>
    <w:rsid w:val="00EC049C"/>
    <w:rsid w:val="00EC3833"/>
    <w:rsid w:val="00EC4CAE"/>
    <w:rsid w:val="00ED2F67"/>
    <w:rsid w:val="00ED5872"/>
    <w:rsid w:val="00EE0F6F"/>
    <w:rsid w:val="00EF2770"/>
    <w:rsid w:val="00F00D2C"/>
    <w:rsid w:val="00F03D63"/>
    <w:rsid w:val="00F11F0E"/>
    <w:rsid w:val="00F20F4D"/>
    <w:rsid w:val="00F35176"/>
    <w:rsid w:val="00F36025"/>
    <w:rsid w:val="00F450E9"/>
    <w:rsid w:val="00F50F72"/>
    <w:rsid w:val="00F53A6C"/>
    <w:rsid w:val="00F657E7"/>
    <w:rsid w:val="00F70108"/>
    <w:rsid w:val="00F7067A"/>
    <w:rsid w:val="00F73D32"/>
    <w:rsid w:val="00F762AA"/>
    <w:rsid w:val="00F92993"/>
    <w:rsid w:val="00F92D82"/>
    <w:rsid w:val="00F96C51"/>
    <w:rsid w:val="00FB6FBA"/>
    <w:rsid w:val="00FB75DF"/>
    <w:rsid w:val="00FC0B77"/>
    <w:rsid w:val="00FC3417"/>
    <w:rsid w:val="00FE20A7"/>
    <w:rsid w:val="00FF14BE"/>
    <w:rsid w:val="00FF2DAD"/>
    <w:rsid w:val="00FF7B23"/>
    <w:rsid w:val="091218A0"/>
    <w:rsid w:val="09A73BCF"/>
    <w:rsid w:val="17734791"/>
    <w:rsid w:val="2C2A8C37"/>
    <w:rsid w:val="509A1AF3"/>
    <w:rsid w:val="64033959"/>
    <w:rsid w:val="6A91AE23"/>
    <w:rsid w:val="6C37155B"/>
    <w:rsid w:val="739CD71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6836C78"/>
  <w15:docId w15:val="{0BC9EB89-8A56-48A0-A100-20CCAAEE9A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rsid w:val="00C51345"/>
    <w:pPr>
      <w:spacing w:before="120"/>
      <w:outlineLvl w:val="0"/>
    </w:pPr>
    <w:rPr>
      <w:b/>
      <w:bCs/>
    </w:rPr>
  </w:style>
  <w:style w:type="paragraph" w:styleId="Heading2">
    <w:name w:val="heading 2"/>
    <w:basedOn w:val="Normal"/>
    <w:next w:val="Normal"/>
    <w:link w:val="Heading2Char"/>
    <w:uiPriority w:val="9"/>
    <w:unhideWhenUsed/>
    <w:qFormat/>
    <w:rsid w:val="00C51345"/>
    <w:pPr>
      <w:keepNext/>
      <w:keepLines/>
      <w:numPr>
        <w:numId w:val="5"/>
      </w:numPr>
      <w:spacing w:before="40"/>
      <w:outlineLvl w:val="1"/>
    </w:pPr>
    <w:rPr>
      <w:rFonts w:asciiTheme="minorHAnsi" w:eastAsiaTheme="majorEastAsia" w:hAnsiTheme="minorHAnsi" w:cstheme="majorBidi"/>
      <w:b/>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479"/>
    </w:pPr>
  </w:style>
  <w:style w:type="paragraph" w:styleId="Title">
    <w:name w:val="Title"/>
    <w:basedOn w:val="Normal"/>
    <w:uiPriority w:val="10"/>
    <w:qFormat/>
    <w:pPr>
      <w:ind w:left="511" w:right="172"/>
      <w:jc w:val="center"/>
    </w:pPr>
    <w:rPr>
      <w:b/>
      <w:bCs/>
      <w:sz w:val="28"/>
      <w:szCs w:val="28"/>
    </w:rPr>
  </w:style>
  <w:style w:type="paragraph" w:styleId="ListParagraph">
    <w:name w:val="List Paragraph"/>
    <w:basedOn w:val="Normal"/>
    <w:uiPriority w:val="1"/>
    <w:qFormat/>
    <w:pPr>
      <w:spacing w:before="120"/>
      <w:ind w:left="477" w:hanging="358"/>
    </w:pPr>
  </w:style>
  <w:style w:type="paragraph" w:customStyle="1" w:styleId="TableParagraph">
    <w:name w:val="Table Paragraph"/>
    <w:basedOn w:val="Normal"/>
    <w:uiPriority w:val="1"/>
    <w:qFormat/>
    <w:pPr>
      <w:spacing w:before="64"/>
      <w:ind w:left="16"/>
      <w:jc w:val="center"/>
    </w:pPr>
  </w:style>
  <w:style w:type="table" w:styleId="TableGrid">
    <w:name w:val="Table Grid"/>
    <w:basedOn w:val="TableNormal"/>
    <w:uiPriority w:val="59"/>
    <w:rsid w:val="00960CCE"/>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E2BC6"/>
    <w:pPr>
      <w:tabs>
        <w:tab w:val="center" w:pos="4680"/>
        <w:tab w:val="right" w:pos="9360"/>
      </w:tabs>
    </w:pPr>
  </w:style>
  <w:style w:type="character" w:customStyle="1" w:styleId="HeaderChar">
    <w:name w:val="Header Char"/>
    <w:basedOn w:val="DefaultParagraphFont"/>
    <w:link w:val="Header"/>
    <w:uiPriority w:val="99"/>
    <w:rsid w:val="008E2BC6"/>
    <w:rPr>
      <w:rFonts w:ascii="Calibri" w:eastAsia="Calibri" w:hAnsi="Calibri" w:cs="Calibri"/>
    </w:rPr>
  </w:style>
  <w:style w:type="paragraph" w:styleId="Footer">
    <w:name w:val="footer"/>
    <w:basedOn w:val="Normal"/>
    <w:link w:val="FooterChar"/>
    <w:uiPriority w:val="99"/>
    <w:unhideWhenUsed/>
    <w:rsid w:val="008E2BC6"/>
    <w:pPr>
      <w:tabs>
        <w:tab w:val="center" w:pos="4680"/>
        <w:tab w:val="right" w:pos="9360"/>
      </w:tabs>
    </w:pPr>
  </w:style>
  <w:style w:type="character" w:customStyle="1" w:styleId="FooterChar">
    <w:name w:val="Footer Char"/>
    <w:basedOn w:val="DefaultParagraphFont"/>
    <w:link w:val="Footer"/>
    <w:uiPriority w:val="99"/>
    <w:rsid w:val="008E2BC6"/>
    <w:rPr>
      <w:rFonts w:ascii="Calibri" w:eastAsia="Calibri" w:hAnsi="Calibri" w:cs="Calibri"/>
    </w:rPr>
  </w:style>
  <w:style w:type="paragraph" w:styleId="Revision">
    <w:name w:val="Revision"/>
    <w:hidden/>
    <w:uiPriority w:val="99"/>
    <w:semiHidden/>
    <w:rsid w:val="00836E47"/>
    <w:pPr>
      <w:widowControl/>
      <w:autoSpaceDE/>
      <w:autoSpaceDN/>
    </w:pPr>
    <w:rPr>
      <w:rFonts w:ascii="Calibri" w:eastAsia="Calibri" w:hAnsi="Calibri" w:cs="Calibri"/>
    </w:rPr>
  </w:style>
  <w:style w:type="character" w:styleId="CommentReference">
    <w:name w:val="annotation reference"/>
    <w:basedOn w:val="DefaultParagraphFont"/>
    <w:uiPriority w:val="99"/>
    <w:semiHidden/>
    <w:unhideWhenUsed/>
    <w:rsid w:val="0042685A"/>
    <w:rPr>
      <w:sz w:val="16"/>
      <w:szCs w:val="16"/>
    </w:rPr>
  </w:style>
  <w:style w:type="paragraph" w:styleId="CommentText">
    <w:name w:val="annotation text"/>
    <w:basedOn w:val="Normal"/>
    <w:link w:val="CommentTextChar"/>
    <w:uiPriority w:val="99"/>
    <w:unhideWhenUsed/>
    <w:rsid w:val="0042685A"/>
    <w:rPr>
      <w:sz w:val="20"/>
      <w:szCs w:val="20"/>
    </w:rPr>
  </w:style>
  <w:style w:type="character" w:customStyle="1" w:styleId="CommentTextChar">
    <w:name w:val="Comment Text Char"/>
    <w:basedOn w:val="DefaultParagraphFont"/>
    <w:link w:val="CommentText"/>
    <w:uiPriority w:val="99"/>
    <w:rsid w:val="0042685A"/>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42685A"/>
    <w:rPr>
      <w:b/>
      <w:bCs/>
    </w:rPr>
  </w:style>
  <w:style w:type="character" w:customStyle="1" w:styleId="CommentSubjectChar">
    <w:name w:val="Comment Subject Char"/>
    <w:basedOn w:val="CommentTextChar"/>
    <w:link w:val="CommentSubject"/>
    <w:uiPriority w:val="99"/>
    <w:semiHidden/>
    <w:rsid w:val="0042685A"/>
    <w:rPr>
      <w:rFonts w:ascii="Calibri" w:eastAsia="Calibri" w:hAnsi="Calibri" w:cs="Calibri"/>
      <w:b/>
      <w:bCs/>
      <w:sz w:val="20"/>
      <w:szCs w:val="20"/>
    </w:rPr>
  </w:style>
  <w:style w:type="paragraph" w:styleId="FootnoteText">
    <w:name w:val="footnote text"/>
    <w:basedOn w:val="Normal"/>
    <w:link w:val="FootnoteTextChar"/>
    <w:uiPriority w:val="99"/>
    <w:semiHidden/>
    <w:unhideWhenUsed/>
    <w:rsid w:val="009F0CFA"/>
    <w:rPr>
      <w:sz w:val="20"/>
      <w:szCs w:val="20"/>
    </w:rPr>
  </w:style>
  <w:style w:type="character" w:customStyle="1" w:styleId="FootnoteTextChar">
    <w:name w:val="Footnote Text Char"/>
    <w:basedOn w:val="DefaultParagraphFont"/>
    <w:link w:val="FootnoteText"/>
    <w:uiPriority w:val="99"/>
    <w:semiHidden/>
    <w:rsid w:val="009F0CFA"/>
    <w:rPr>
      <w:rFonts w:ascii="Calibri" w:eastAsia="Calibri" w:hAnsi="Calibri" w:cs="Calibri"/>
      <w:sz w:val="20"/>
      <w:szCs w:val="20"/>
    </w:rPr>
  </w:style>
  <w:style w:type="character" w:styleId="FootnoteReference">
    <w:name w:val="footnote reference"/>
    <w:basedOn w:val="DefaultParagraphFont"/>
    <w:uiPriority w:val="99"/>
    <w:semiHidden/>
    <w:unhideWhenUsed/>
    <w:rsid w:val="009F0CFA"/>
    <w:rPr>
      <w:vertAlign w:val="superscript"/>
    </w:rPr>
  </w:style>
  <w:style w:type="character" w:styleId="Hyperlink">
    <w:name w:val="Hyperlink"/>
    <w:basedOn w:val="DefaultParagraphFont"/>
    <w:uiPriority w:val="99"/>
    <w:unhideWhenUsed/>
    <w:rsid w:val="00AD5DE0"/>
    <w:rPr>
      <w:color w:val="0000FF" w:themeColor="hyperlink"/>
      <w:u w:val="single"/>
    </w:rPr>
  </w:style>
  <w:style w:type="character" w:styleId="UnresolvedMention">
    <w:name w:val="Unresolved Mention"/>
    <w:basedOn w:val="DefaultParagraphFont"/>
    <w:uiPriority w:val="99"/>
    <w:semiHidden/>
    <w:unhideWhenUsed/>
    <w:rsid w:val="00AD5DE0"/>
    <w:rPr>
      <w:color w:val="605E5C"/>
      <w:shd w:val="clear" w:color="auto" w:fill="E1DFDD"/>
    </w:rPr>
  </w:style>
  <w:style w:type="character" w:customStyle="1" w:styleId="Heading2Char">
    <w:name w:val="Heading 2 Char"/>
    <w:basedOn w:val="DefaultParagraphFont"/>
    <w:link w:val="Heading2"/>
    <w:uiPriority w:val="9"/>
    <w:rsid w:val="00C51345"/>
    <w:rPr>
      <w:rFonts w:eastAsiaTheme="majorEastAsia" w:cstheme="majorBidi"/>
      <w:b/>
      <w:szCs w:val="26"/>
    </w:rPr>
  </w:style>
  <w:style w:type="character" w:styleId="FollowedHyperlink">
    <w:name w:val="FollowedHyperlink"/>
    <w:basedOn w:val="DefaultParagraphFont"/>
    <w:uiPriority w:val="99"/>
    <w:semiHidden/>
    <w:unhideWhenUsed/>
    <w:rsid w:val="00B237F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footer" Target="footer1.xml" /><Relationship Id="rId9" Type="http://schemas.openxmlformats.org/officeDocument/2006/relationships/theme" Target="theme/theme1.xml" /></Relationships>
</file>

<file path=word/_rels/footnotes.xml.rels><?xml version="1.0" encoding="utf-8" standalone="yes"?><Relationships xmlns="http://schemas.openxmlformats.org/package/2006/relationships"><Relationship Id="rId1" Type="http://schemas.openxmlformats.org/officeDocument/2006/relationships/hyperlink" Target="https://data.bls.gov/oes/"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f43b82c9-4e3c-4442-ad6c-cd900445c87f" xsi:nil="true"/>
    <lcf76f155ced4ddcb4097134ff3c332f xmlns="f43b82c9-4e3c-4442-ad6c-cd900445c87f">
      <Terms xmlns="http://schemas.microsoft.com/office/infopath/2007/PartnerControls"/>
    </lcf76f155ced4ddcb4097134ff3c332f>
    <TaxCatchAll xmlns="2e143262-ee4f-4cba-9f63-afb5e0a4b88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1BE144CB196FC4E8526C7B9B91298F6" ma:contentTypeVersion="20" ma:contentTypeDescription="Create a new document." ma:contentTypeScope="" ma:versionID="d6f30a265486aa7938058a9b9a5a100c">
  <xsd:schema xmlns:xsd="http://www.w3.org/2001/XMLSchema" xmlns:xs="http://www.w3.org/2001/XMLSchema" xmlns:p="http://schemas.microsoft.com/office/2006/metadata/properties" xmlns:ns2="f43b82c9-4e3c-4442-ad6c-cd900445c87f" xmlns:ns3="2e143262-ee4f-4cba-9f63-afb5e0a4b883" targetNamespace="http://schemas.microsoft.com/office/2006/metadata/properties" ma:root="true" ma:fieldsID="15cf8d3d0e257e1c8a79dd5677af880d" ns2:_="" ns3:_="">
    <xsd:import namespace="f43b82c9-4e3c-4442-ad6c-cd900445c87f"/>
    <xsd:import namespace="2e143262-ee4f-4cba-9f63-afb5e0a4b88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DateTaken" minOccurs="0"/>
                <xsd:element ref="ns2:MediaServiceLocation" minOccurs="0"/>
                <xsd:element ref="ns3:SharedWithUsers" minOccurs="0"/>
                <xsd:element ref="ns3:SharedWithDetails" minOccurs="0"/>
                <xsd:element ref="ns2:_Flow_SignoffStatus" minOccurs="0"/>
                <xsd:element ref="ns2:MediaServiceGenerationTime" minOccurs="0"/>
                <xsd:element ref="ns2:MediaServiceEventHashCode" minOccurs="0"/>
                <xsd:element ref="ns2:MediaServiceOCR" minOccurs="0"/>
                <xsd:element ref="ns2:MediaServiceObjectDetectorVersions" minOccurs="0"/>
                <xsd:element ref="ns2:MediaServiceSearchProperties" minOccurs="0"/>
                <xsd:element ref="ns2:lcf76f155ced4ddcb4097134ff3c332f" minOccurs="0"/>
                <xsd:element ref="ns3:TaxCatchAll"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3b82c9-4e3c-4442-ad6c-cd900445c8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_Flow_SignoffStatus" ma:index="17" nillable="true" ma:displayName="Sign-off status" ma:internalName="Sign_x002d_off_x0020_status">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9332d46d-0608-4ef3-b4df-c7260dd73c3b" ma:termSetId="09814cd3-568e-fe90-9814-8d621ff8fb84" ma:anchorId="fba54fb3-c3e1-fe81-a776-ca4b69148c4d" ma:open="true" ma:isKeyword="false">
      <xsd:complexType>
        <xsd:sequence>
          <xsd:element ref="pc:Terms" minOccurs="0" maxOccurs="1"/>
        </xsd:sequence>
      </xsd:complexType>
    </xsd:element>
    <xsd:element name="MediaLengthInSeconds" ma:index="26" nillable="true" ma:displayName="MediaLengthInSeconds" ma:hidden="true" ma:internalName="MediaLengthInSeconds" ma:readOnly="true">
      <xsd:simpleType>
        <xsd:restriction base="dms:Unknow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e143262-ee4f-4cba-9f63-afb5e0a4b883"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4aa5ec33-36cb-412d-8da6-aadb757ee509}" ma:internalName="TaxCatchAll" ma:showField="CatchAllData" ma:web="2e143262-ee4f-4cba-9f63-afb5e0a4b88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CAF401E-37AA-47F9-BBC5-8C0962F56DD2}">
  <ds:schemaRefs>
    <ds:schemaRef ds:uri="http://schemas.microsoft.com/office/2006/metadata/properties"/>
    <ds:schemaRef ds:uri="http://schemas.microsoft.com/office/infopath/2007/PartnerControls"/>
    <ds:schemaRef ds:uri="f43b82c9-4e3c-4442-ad6c-cd900445c87f"/>
    <ds:schemaRef ds:uri="2e143262-ee4f-4cba-9f63-afb5e0a4b883"/>
  </ds:schemaRefs>
</ds:datastoreItem>
</file>

<file path=customXml/itemProps2.xml><?xml version="1.0" encoding="utf-8"?>
<ds:datastoreItem xmlns:ds="http://schemas.openxmlformats.org/officeDocument/2006/customXml" ds:itemID="{97A62352-62FB-4E52-AEE2-F0A8D2DB3C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3b82c9-4e3c-4442-ad6c-cd900445c87f"/>
    <ds:schemaRef ds:uri="2e143262-ee4f-4cba-9f63-afb5e0a4b8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D4836A9-181A-4555-AFDF-95F5A7F7B1F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Wendy Marshall</dc:creator>
  <cp:lastModifiedBy>Wendy Marshall</cp:lastModifiedBy>
  <cp:revision>58</cp:revision>
  <dcterms:created xsi:type="dcterms:W3CDTF">2026-08-11T21:36:00Z</dcterms:created>
  <dcterms:modified xsi:type="dcterms:W3CDTF">2026-08-18T20:05:28Z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0x01010091BE144CB196FC4E8526C7B9B91298F6</vt:lpwstr>
  </property>
  <property fmtid="{D5CDD505-2E9C-101B-9397-08002B2CF9AE}" pid="3" name="MediaServiceImageTags">
    <vt:lpwstr/>
  </property>
</Properties>
</file>