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B6C63" w:rsidRPr="00855D2C" w14:paraId="5B69B460" w14:textId="77777777">
      <w:pPr>
        <w:tabs>
          <w:tab w:val="center" w:pos="4680"/>
        </w:tabs>
        <w:jc w:val="center"/>
        <w:rPr>
          <w:rFonts w:ascii="Times New Roman" w:hAnsi="Times New Roman"/>
          <w:b/>
          <w:sz w:val="32"/>
          <w:szCs w:val="32"/>
        </w:rPr>
      </w:pPr>
      <w:r w:rsidRPr="00855D2C">
        <w:rPr>
          <w:rFonts w:ascii="Times New Roman" w:hAnsi="Times New Roman"/>
          <w:b/>
          <w:color w:val="000000"/>
          <w:sz w:val="32"/>
          <w:szCs w:val="32"/>
        </w:rPr>
        <w:t>S</w:t>
      </w:r>
      <w:r w:rsidRPr="00855D2C">
        <w:rPr>
          <w:rFonts w:ascii="Times New Roman" w:hAnsi="Times New Roman"/>
          <w:b/>
          <w:sz w:val="32"/>
          <w:szCs w:val="32"/>
        </w:rPr>
        <w:t>UPPORTING STATEMENT</w:t>
      </w:r>
    </w:p>
    <w:p w:rsidR="007B6C63" w:rsidRPr="00FC41DF" w14:paraId="0139B386" w14:textId="77777777">
      <w:pPr>
        <w:jc w:val="center"/>
        <w:rPr>
          <w:rFonts w:ascii="Times New Roman" w:hAnsi="Times New Roman"/>
          <w:b/>
        </w:rPr>
      </w:pPr>
    </w:p>
    <w:p w:rsidR="007B6C63" w:rsidRPr="00855D2C" w14:paraId="1DA8DDB2" w14:textId="77777777">
      <w:pPr>
        <w:tabs>
          <w:tab w:val="center" w:pos="4680"/>
        </w:tabs>
        <w:jc w:val="center"/>
        <w:rPr>
          <w:rFonts w:ascii="Times New Roman" w:hAnsi="Times New Roman"/>
          <w:b/>
          <w:sz w:val="28"/>
          <w:szCs w:val="28"/>
        </w:rPr>
      </w:pPr>
      <w:r w:rsidRPr="00855D2C">
        <w:rPr>
          <w:rFonts w:ascii="Times New Roman" w:hAnsi="Times New Roman"/>
          <w:b/>
          <w:sz w:val="28"/>
          <w:szCs w:val="28"/>
        </w:rPr>
        <w:t xml:space="preserve">QUARTERLY CERTIFIED STATEMENT INVOICE FOR DEPOSIT </w:t>
      </w:r>
    </w:p>
    <w:p w:rsidR="007B6C63" w:rsidRPr="00855D2C" w14:paraId="724DAA1D" w14:textId="77777777">
      <w:pPr>
        <w:tabs>
          <w:tab w:val="center" w:pos="4680"/>
        </w:tabs>
        <w:jc w:val="center"/>
        <w:rPr>
          <w:rFonts w:ascii="Times New Roman" w:hAnsi="Times New Roman"/>
          <w:b/>
          <w:sz w:val="28"/>
          <w:szCs w:val="28"/>
        </w:rPr>
      </w:pPr>
      <w:r w:rsidRPr="00855D2C">
        <w:rPr>
          <w:rFonts w:ascii="Times New Roman" w:hAnsi="Times New Roman"/>
          <w:b/>
          <w:sz w:val="28"/>
          <w:szCs w:val="28"/>
        </w:rPr>
        <w:t>INSURANCE ASSESSMENT</w:t>
      </w:r>
    </w:p>
    <w:p w:rsidR="007B6C63" w:rsidRPr="00855D2C" w:rsidP="00FC41DF" w14:paraId="28840592" w14:textId="77777777">
      <w:pPr>
        <w:tabs>
          <w:tab w:val="center" w:pos="4680"/>
        </w:tabs>
        <w:jc w:val="center"/>
        <w:rPr>
          <w:rFonts w:ascii="Times New Roman" w:hAnsi="Times New Roman"/>
          <w:b/>
          <w:sz w:val="28"/>
          <w:szCs w:val="28"/>
        </w:rPr>
      </w:pPr>
      <w:r w:rsidRPr="00855D2C">
        <w:rPr>
          <w:rFonts w:ascii="Times New Roman" w:hAnsi="Times New Roman"/>
          <w:b/>
          <w:sz w:val="28"/>
          <w:szCs w:val="28"/>
        </w:rPr>
        <w:t>(OMB No. 3064</w:t>
      </w:r>
      <w:r w:rsidRPr="00855D2C">
        <w:rPr>
          <w:rFonts w:ascii="Times New Roman" w:hAnsi="Times New Roman"/>
          <w:b/>
          <w:sz w:val="28"/>
          <w:szCs w:val="28"/>
        </w:rPr>
        <w:noBreakHyphen/>
        <w:t>0057)</w:t>
      </w:r>
    </w:p>
    <w:p w:rsidR="007B6C63" w14:paraId="6BD68AFA" w14:textId="77777777">
      <w:pPr>
        <w:rPr>
          <w:rFonts w:ascii="Times New Roman" w:hAnsi="Times New Roman"/>
        </w:rPr>
      </w:pPr>
    </w:p>
    <w:p w:rsidR="007B6C63" w:rsidRPr="004C5B45" w14:paraId="209E89F7" w14:textId="77777777">
      <w:pPr>
        <w:rPr>
          <w:rFonts w:ascii="Times New Roman" w:hAnsi="Times New Roman"/>
          <w:b/>
        </w:rPr>
      </w:pPr>
      <w:r w:rsidRPr="004C5B45">
        <w:rPr>
          <w:rFonts w:ascii="Times New Roman" w:hAnsi="Times New Roman"/>
          <w:b/>
        </w:rPr>
        <w:t>INTRODUCTION</w:t>
      </w:r>
    </w:p>
    <w:p w:rsidR="007B6C63" w14:paraId="7D1F86FE" w14:textId="77777777">
      <w:pPr>
        <w:rPr>
          <w:rFonts w:ascii="Times New Roman" w:hAnsi="Times New Roman"/>
        </w:rPr>
      </w:pPr>
    </w:p>
    <w:p w:rsidR="007B6C63" w14:paraId="3D8ABC4E" w14:textId="08E58EA5">
      <w:pPr>
        <w:rPr>
          <w:rFonts w:ascii="Times New Roman" w:hAnsi="Times New Roman"/>
        </w:rPr>
      </w:pPr>
      <w:r>
        <w:rPr>
          <w:rFonts w:ascii="Times New Roman" w:hAnsi="Times New Roman"/>
        </w:rPr>
        <w:t xml:space="preserve">The FDIC is requesting OMB </w:t>
      </w:r>
      <w:r w:rsidR="00D804A5">
        <w:rPr>
          <w:rFonts w:ascii="Times New Roman" w:hAnsi="Times New Roman"/>
        </w:rPr>
        <w:t>approval</w:t>
      </w:r>
      <w:r>
        <w:rPr>
          <w:rFonts w:ascii="Times New Roman" w:hAnsi="Times New Roman"/>
        </w:rPr>
        <w:t xml:space="preserve"> </w:t>
      </w:r>
      <w:r w:rsidR="00D804A5">
        <w:rPr>
          <w:rFonts w:ascii="Times New Roman" w:hAnsi="Times New Roman"/>
        </w:rPr>
        <w:t>of the three-year extension</w:t>
      </w:r>
      <w:r w:rsidR="00615BAD">
        <w:rPr>
          <w:rFonts w:ascii="Times New Roman" w:hAnsi="Times New Roman"/>
        </w:rPr>
        <w:t>, without change,</w:t>
      </w:r>
      <w:r w:rsidR="00D804A5">
        <w:rPr>
          <w:rFonts w:ascii="Times New Roman" w:hAnsi="Times New Roman"/>
        </w:rPr>
        <w:t xml:space="preserve"> of its</w:t>
      </w:r>
      <w:r>
        <w:rPr>
          <w:rFonts w:ascii="Times New Roman" w:hAnsi="Times New Roman"/>
        </w:rPr>
        <w:t xml:space="preserve"> collection of information </w:t>
      </w:r>
      <w:r w:rsidR="00D804A5">
        <w:rPr>
          <w:rFonts w:ascii="Times New Roman" w:hAnsi="Times New Roman"/>
        </w:rPr>
        <w:t>entitled “Quarterly Certified Statement Invoice for Deposit Insurance Assessment</w:t>
      </w:r>
      <w:r w:rsidR="00655078">
        <w:rPr>
          <w:rFonts w:ascii="Times New Roman" w:hAnsi="Times New Roman"/>
        </w:rPr>
        <w:t>” (OMB Control No. 3064-0057) which cu</w:t>
      </w:r>
      <w:r w:rsidR="00855D2C">
        <w:rPr>
          <w:rFonts w:ascii="Times New Roman" w:hAnsi="Times New Roman"/>
        </w:rPr>
        <w:t>rrently expires on</w:t>
      </w:r>
      <w:r w:rsidR="006B18B4">
        <w:rPr>
          <w:rFonts w:ascii="Times New Roman" w:hAnsi="Times New Roman"/>
        </w:rPr>
        <w:t xml:space="preserve"> </w:t>
      </w:r>
      <w:r w:rsidR="00C007D8">
        <w:rPr>
          <w:rFonts w:ascii="Times New Roman" w:hAnsi="Times New Roman"/>
        </w:rPr>
        <w:t>October 31,2026</w:t>
      </w:r>
      <w:r w:rsidR="00655078">
        <w:rPr>
          <w:rFonts w:ascii="Times New Roman" w:hAnsi="Times New Roman"/>
        </w:rPr>
        <w:t>.</w:t>
      </w:r>
      <w:r>
        <w:rPr>
          <w:rFonts w:ascii="Times New Roman" w:hAnsi="Times New Roman"/>
        </w:rPr>
        <w:t xml:space="preserve"> </w:t>
      </w:r>
    </w:p>
    <w:p w:rsidR="007B6C63" w14:paraId="0E66C3E5" w14:textId="77777777">
      <w:pPr>
        <w:rPr>
          <w:rFonts w:ascii="Times New Roman" w:hAnsi="Times New Roman"/>
        </w:rPr>
      </w:pPr>
    </w:p>
    <w:p w:rsidR="007B6C63" w14:paraId="1775ED94" w14:textId="77777777">
      <w:pPr>
        <w:rPr>
          <w:rFonts w:ascii="Times New Roman" w:hAnsi="Times New Roman"/>
        </w:rPr>
      </w:pPr>
      <w:r>
        <w:rPr>
          <w:rFonts w:ascii="Times New Roman" w:hAnsi="Times New Roman"/>
        </w:rPr>
        <w:t>The FDIC collects assessments on a quarterly basis.  Each</w:t>
      </w:r>
      <w:r w:rsidR="00A81BD7">
        <w:rPr>
          <w:rFonts w:ascii="Times New Roman" w:hAnsi="Times New Roman"/>
        </w:rPr>
        <w:t xml:space="preserve"> assessment </w:t>
      </w:r>
      <w:r>
        <w:rPr>
          <w:rFonts w:ascii="Times New Roman" w:hAnsi="Times New Roman"/>
        </w:rPr>
        <w:t>is based on the institution's quarterly report of condition for the prior calendar quarter</w:t>
      </w:r>
      <w:r w:rsidR="005E62DB">
        <w:rPr>
          <w:rFonts w:ascii="Times New Roman" w:hAnsi="Times New Roman"/>
        </w:rPr>
        <w:t>.</w:t>
      </w:r>
      <w:r>
        <w:rPr>
          <w:rFonts w:ascii="Times New Roman" w:hAnsi="Times New Roman"/>
        </w:rPr>
        <w:t xml:space="preserve">  The information collection consists of </w:t>
      </w:r>
      <w:r w:rsidR="005E62DB">
        <w:rPr>
          <w:rFonts w:ascii="Times New Roman" w:hAnsi="Times New Roman"/>
        </w:rPr>
        <w:t>a</w:t>
      </w:r>
      <w:r>
        <w:rPr>
          <w:rFonts w:ascii="Times New Roman" w:hAnsi="Times New Roman"/>
        </w:rPr>
        <w:t xml:space="preserve"> </w:t>
      </w:r>
      <w:r w:rsidR="00C14D80">
        <w:rPr>
          <w:rFonts w:ascii="Times New Roman" w:hAnsi="Times New Roman"/>
        </w:rPr>
        <w:t>review</w:t>
      </w:r>
      <w:r>
        <w:rPr>
          <w:rFonts w:ascii="Times New Roman" w:hAnsi="Times New Roman"/>
        </w:rPr>
        <w:t xml:space="preserve"> by officials of the insured institutions to confirm that the assessment data are accurate and, in cases of inaccuracy, submission of corrected data.</w:t>
      </w:r>
    </w:p>
    <w:p w:rsidR="007B6C63" w14:paraId="222801E3" w14:textId="77777777">
      <w:pPr>
        <w:rPr>
          <w:rFonts w:ascii="Times New Roman" w:hAnsi="Times New Roman"/>
        </w:rPr>
      </w:pPr>
    </w:p>
    <w:p w:rsidR="007B6C63" w14:paraId="73DD2100" w14:textId="77777777">
      <w:pPr>
        <w:tabs>
          <w:tab w:val="left" w:pos="-1440"/>
        </w:tabs>
        <w:rPr>
          <w:rFonts w:ascii="Times New Roman" w:hAnsi="Times New Roman"/>
        </w:rPr>
      </w:pPr>
      <w:r>
        <w:rPr>
          <w:rFonts w:ascii="Times New Roman" w:hAnsi="Times New Roman"/>
        </w:rPr>
        <w:t>A.</w:t>
      </w:r>
      <w:r>
        <w:rPr>
          <w:rFonts w:ascii="Times New Roman" w:hAnsi="Times New Roman"/>
        </w:rPr>
        <w:tab/>
      </w:r>
      <w:r w:rsidRPr="004C5B45">
        <w:rPr>
          <w:rFonts w:ascii="Times New Roman" w:hAnsi="Times New Roman"/>
          <w:b/>
        </w:rPr>
        <w:t>JUSTIFICATION</w:t>
      </w:r>
    </w:p>
    <w:p w:rsidR="007B6C63" w14:paraId="0547FE68" w14:textId="77777777">
      <w:pPr>
        <w:rPr>
          <w:rFonts w:ascii="Times New Roman" w:hAnsi="Times New Roman"/>
        </w:rPr>
      </w:pPr>
    </w:p>
    <w:p w:rsidR="007B6C63" w:rsidP="00A1019D" w14:paraId="35F78392" w14:textId="77777777">
      <w:pPr>
        <w:tabs>
          <w:tab w:val="left" w:pos="-1440"/>
        </w:tabs>
        <w:ind w:left="720" w:hanging="360"/>
        <w:rPr>
          <w:rFonts w:ascii="Times New Roman" w:hAnsi="Times New Roman"/>
        </w:rPr>
      </w:pPr>
      <w:r>
        <w:rPr>
          <w:rFonts w:ascii="Times New Roman" w:hAnsi="Times New Roman"/>
        </w:rPr>
        <w:t>1.</w:t>
      </w:r>
      <w:r>
        <w:rPr>
          <w:rFonts w:ascii="Times New Roman" w:hAnsi="Times New Roman"/>
        </w:rPr>
        <w:tab/>
      </w:r>
      <w:r w:rsidRPr="003514D6" w:rsidR="00386C94">
        <w:rPr>
          <w:rFonts w:ascii="Times New Roman" w:hAnsi="Times New Roman"/>
          <w:b/>
          <w:bCs/>
          <w:iCs/>
          <w:szCs w:val="24"/>
          <w:u w:val="single"/>
        </w:rPr>
        <w:t xml:space="preserve">Circumstances that make the collection </w:t>
      </w:r>
      <w:r w:rsidRPr="00A1019D" w:rsidR="00386C94">
        <w:rPr>
          <w:rFonts w:ascii="Times New Roman" w:hAnsi="Times New Roman"/>
          <w:b/>
          <w:bCs/>
          <w:iCs/>
          <w:u w:val="single"/>
        </w:rPr>
        <w:t>necessary</w:t>
      </w:r>
      <w:r w:rsidR="00386C94">
        <w:rPr>
          <w:rFonts w:ascii="Times New Roman" w:hAnsi="Times New Roman"/>
          <w:b/>
          <w:bCs/>
          <w:iCs/>
          <w:szCs w:val="24"/>
          <w:u w:val="single"/>
        </w:rPr>
        <w:t>:</w:t>
      </w:r>
    </w:p>
    <w:p w:rsidR="007B6C63" w14:paraId="737F3CD2" w14:textId="77777777">
      <w:pPr>
        <w:rPr>
          <w:rFonts w:ascii="Times New Roman" w:hAnsi="Times New Roman"/>
        </w:rPr>
      </w:pPr>
    </w:p>
    <w:p w:rsidR="007B6C63" w:rsidP="000B0581" w14:paraId="734D3ABF" w14:textId="77777777">
      <w:pPr>
        <w:ind w:left="720"/>
        <w:rPr>
          <w:rFonts w:ascii="Times New Roman" w:hAnsi="Times New Roman"/>
        </w:rPr>
      </w:pPr>
      <w:r>
        <w:rPr>
          <w:rFonts w:ascii="Times New Roman" w:hAnsi="Times New Roman"/>
        </w:rPr>
        <w:t xml:space="preserve">The FDIC collects assessments from insured institutions pursuant to </w:t>
      </w:r>
      <w:r w:rsidR="009B7A15">
        <w:rPr>
          <w:rFonts w:ascii="Times New Roman" w:hAnsi="Times New Roman"/>
        </w:rPr>
        <w:t>s</w:t>
      </w:r>
      <w:r>
        <w:rPr>
          <w:rFonts w:ascii="Times New Roman" w:hAnsi="Times New Roman"/>
        </w:rPr>
        <w:t>ection 7 of the Federal Deposit Insurance Act ("FDI Act"), 12 U.S.C. section 1817(c), to assure that the D</w:t>
      </w:r>
      <w:r w:rsidR="009B7A15">
        <w:rPr>
          <w:rFonts w:ascii="Times New Roman" w:hAnsi="Times New Roman"/>
        </w:rPr>
        <w:t xml:space="preserve">eposit </w:t>
      </w:r>
      <w:r>
        <w:rPr>
          <w:rFonts w:ascii="Times New Roman" w:hAnsi="Times New Roman"/>
        </w:rPr>
        <w:t>I</w:t>
      </w:r>
      <w:r w:rsidR="009B7A15">
        <w:rPr>
          <w:rFonts w:ascii="Times New Roman" w:hAnsi="Times New Roman"/>
        </w:rPr>
        <w:t xml:space="preserve">nsurance </w:t>
      </w:r>
      <w:r>
        <w:rPr>
          <w:rFonts w:ascii="Times New Roman" w:hAnsi="Times New Roman"/>
        </w:rPr>
        <w:t>F</w:t>
      </w:r>
      <w:r w:rsidR="009B7A15">
        <w:rPr>
          <w:rFonts w:ascii="Times New Roman" w:hAnsi="Times New Roman"/>
        </w:rPr>
        <w:t>und</w:t>
      </w:r>
      <w:r>
        <w:rPr>
          <w:rFonts w:ascii="Times New Roman" w:hAnsi="Times New Roman"/>
        </w:rPr>
        <w:t xml:space="preserve"> </w:t>
      </w:r>
      <w:r w:rsidR="008B2102">
        <w:rPr>
          <w:rFonts w:ascii="Times New Roman" w:hAnsi="Times New Roman"/>
        </w:rPr>
        <w:t xml:space="preserve">(“DIF”) </w:t>
      </w:r>
      <w:r>
        <w:rPr>
          <w:rFonts w:ascii="Times New Roman" w:hAnsi="Times New Roman"/>
        </w:rPr>
        <w:t xml:space="preserve">is adequately capitalized.  The </w:t>
      </w:r>
      <w:r w:rsidR="009B7A15">
        <w:rPr>
          <w:rFonts w:ascii="Times New Roman" w:hAnsi="Times New Roman"/>
        </w:rPr>
        <w:t xml:space="preserve">Quarterly </w:t>
      </w:r>
      <w:r>
        <w:rPr>
          <w:rFonts w:ascii="Times New Roman" w:hAnsi="Times New Roman"/>
        </w:rPr>
        <w:t xml:space="preserve">Certified Statement </w:t>
      </w:r>
      <w:r w:rsidR="009B7A15">
        <w:rPr>
          <w:rFonts w:ascii="Times New Roman" w:hAnsi="Times New Roman"/>
        </w:rPr>
        <w:t xml:space="preserve">Invoice </w:t>
      </w:r>
      <w:r>
        <w:rPr>
          <w:rFonts w:ascii="Times New Roman" w:hAnsi="Times New Roman"/>
        </w:rPr>
        <w:t>provides insured institutions with an accounting of the FDIC’s assessment</w:t>
      </w:r>
      <w:r w:rsidR="008B2102">
        <w:rPr>
          <w:rFonts w:ascii="Times New Roman" w:hAnsi="Times New Roman"/>
        </w:rPr>
        <w:t xml:space="preserve"> and collection</w:t>
      </w:r>
      <w:r>
        <w:rPr>
          <w:rFonts w:ascii="Times New Roman" w:hAnsi="Times New Roman"/>
        </w:rPr>
        <w:t>.</w:t>
      </w:r>
    </w:p>
    <w:p w:rsidR="007B6C63" w14:paraId="74D3B854" w14:textId="77777777">
      <w:pPr>
        <w:rPr>
          <w:rFonts w:ascii="Times New Roman" w:hAnsi="Times New Roman"/>
        </w:rPr>
      </w:pPr>
    </w:p>
    <w:p w:rsidR="007B6C63" w:rsidP="00A1019D" w14:paraId="795373F6" w14:textId="77777777">
      <w:pPr>
        <w:tabs>
          <w:tab w:val="left" w:pos="-1440"/>
        </w:tabs>
        <w:ind w:left="720" w:hanging="360"/>
        <w:rPr>
          <w:rFonts w:ascii="Times New Roman" w:hAnsi="Times New Roman"/>
        </w:rPr>
      </w:pPr>
      <w:r>
        <w:rPr>
          <w:rFonts w:ascii="Times New Roman" w:hAnsi="Times New Roman"/>
        </w:rPr>
        <w:t>2.</w:t>
      </w:r>
      <w:r>
        <w:rPr>
          <w:rFonts w:ascii="Times New Roman" w:hAnsi="Times New Roman"/>
        </w:rPr>
        <w:tab/>
      </w:r>
      <w:r w:rsidRPr="00FC41DF" w:rsidR="00386C94">
        <w:rPr>
          <w:rFonts w:ascii="Times New Roman" w:hAnsi="Times New Roman"/>
          <w:b/>
          <w:bCs/>
          <w:iCs/>
          <w:szCs w:val="24"/>
          <w:u w:val="single"/>
        </w:rPr>
        <w:t xml:space="preserve">Use of </w:t>
      </w:r>
      <w:r w:rsidRPr="00FC41DF" w:rsidR="00386C94">
        <w:rPr>
          <w:rFonts w:ascii="Times New Roman" w:hAnsi="Times New Roman"/>
          <w:b/>
          <w:u w:val="single"/>
        </w:rPr>
        <w:t>the</w:t>
      </w:r>
      <w:r w:rsidRPr="00FC41DF" w:rsidR="00386C94">
        <w:rPr>
          <w:rFonts w:ascii="Times New Roman" w:hAnsi="Times New Roman"/>
          <w:b/>
          <w:bCs/>
          <w:iCs/>
          <w:szCs w:val="24"/>
          <w:u w:val="single"/>
        </w:rPr>
        <w:t xml:space="preserve"> </w:t>
      </w:r>
      <w:r w:rsidRPr="00A1019D" w:rsidR="00386C94">
        <w:rPr>
          <w:rFonts w:ascii="Times New Roman" w:hAnsi="Times New Roman"/>
          <w:b/>
          <w:bCs/>
          <w:iCs/>
          <w:u w:val="single"/>
        </w:rPr>
        <w:t>information</w:t>
      </w:r>
      <w:r w:rsidR="00386C94">
        <w:rPr>
          <w:rFonts w:ascii="Times New Roman" w:hAnsi="Times New Roman"/>
          <w:b/>
          <w:bCs/>
          <w:iCs/>
          <w:szCs w:val="24"/>
          <w:u w:val="single"/>
        </w:rPr>
        <w:t>:</w:t>
      </w:r>
    </w:p>
    <w:p w:rsidR="007B6C63" w14:paraId="1194918A" w14:textId="77777777">
      <w:pPr>
        <w:rPr>
          <w:rFonts w:ascii="Times New Roman" w:hAnsi="Times New Roman"/>
        </w:rPr>
      </w:pPr>
    </w:p>
    <w:p w:rsidR="007B6C63" w:rsidP="000B0581" w14:paraId="0BA027A3" w14:textId="77777777">
      <w:pPr>
        <w:ind w:left="720"/>
        <w:rPr>
          <w:rFonts w:ascii="Times New Roman" w:hAnsi="Times New Roman"/>
        </w:rPr>
      </w:pPr>
      <w:r>
        <w:rPr>
          <w:rFonts w:ascii="Times New Roman" w:hAnsi="Times New Roman"/>
        </w:rPr>
        <w:t>The information contained in the certification is used exclusively by the FDIC to identify an institution</w:t>
      </w:r>
      <w:r w:rsidR="00217B22">
        <w:rPr>
          <w:rFonts w:ascii="Times New Roman" w:hAnsi="Times New Roman"/>
        </w:rPr>
        <w:t>,</w:t>
      </w:r>
      <w:r>
        <w:rPr>
          <w:rFonts w:ascii="Times New Roman" w:hAnsi="Times New Roman"/>
        </w:rPr>
        <w:t xml:space="preserve"> the amount</w:t>
      </w:r>
      <w:r w:rsidR="00217B22">
        <w:rPr>
          <w:rFonts w:ascii="Times New Roman" w:hAnsi="Times New Roman"/>
        </w:rPr>
        <w:t xml:space="preserve"> of the deposit insurance assessment due from that institution for the prior quarter, and to memorialize how the assessment amount was calculated.</w:t>
      </w:r>
    </w:p>
    <w:p w:rsidR="007B6C63" w14:paraId="1A1D5D27" w14:textId="77777777">
      <w:pPr>
        <w:ind w:left="720"/>
        <w:rPr>
          <w:rFonts w:ascii="Times New Roman" w:hAnsi="Times New Roman"/>
        </w:rPr>
      </w:pPr>
    </w:p>
    <w:p w:rsidR="007B6C63" w:rsidP="00A1019D" w14:paraId="738B58D6" w14:textId="77777777">
      <w:pPr>
        <w:tabs>
          <w:tab w:val="left" w:pos="-1440"/>
        </w:tabs>
        <w:ind w:left="720" w:hanging="360"/>
        <w:rPr>
          <w:rFonts w:ascii="Times New Roman" w:hAnsi="Times New Roman"/>
        </w:rPr>
      </w:pPr>
      <w:r>
        <w:rPr>
          <w:rFonts w:ascii="Times New Roman" w:hAnsi="Times New Roman"/>
        </w:rPr>
        <w:t>3.</w:t>
      </w:r>
      <w:r>
        <w:rPr>
          <w:rFonts w:ascii="Times New Roman" w:hAnsi="Times New Roman"/>
        </w:rPr>
        <w:tab/>
      </w:r>
      <w:r w:rsidRPr="00A1019D" w:rsidR="00386C94">
        <w:rPr>
          <w:rFonts w:ascii="Times New Roman" w:hAnsi="Times New Roman"/>
          <w:b/>
          <w:bCs/>
          <w:iCs/>
          <w:u w:val="single"/>
        </w:rPr>
        <w:t>Consideration</w:t>
      </w:r>
      <w:r w:rsidRPr="00FC41DF" w:rsidR="00386C94">
        <w:rPr>
          <w:rFonts w:ascii="Times New Roman" w:hAnsi="Times New Roman"/>
          <w:b/>
          <w:bCs/>
          <w:iCs/>
          <w:szCs w:val="24"/>
          <w:u w:val="single"/>
        </w:rPr>
        <w:t xml:space="preserve"> of the use of improved information technology:</w:t>
      </w:r>
    </w:p>
    <w:p w:rsidR="007B6C63" w14:paraId="43DC085F" w14:textId="77777777">
      <w:pPr>
        <w:rPr>
          <w:rFonts w:ascii="Times New Roman" w:hAnsi="Times New Roman"/>
        </w:rPr>
      </w:pPr>
    </w:p>
    <w:p w:rsidR="000855E4" w:rsidP="000B0581" w14:paraId="6B39FD73" w14:textId="77777777">
      <w:pPr>
        <w:ind w:left="720"/>
        <w:rPr>
          <w:rFonts w:ascii="Times New Roman" w:hAnsi="Times New Roman"/>
        </w:rPr>
      </w:pPr>
      <w:r>
        <w:rPr>
          <w:rFonts w:ascii="Times New Roman" w:hAnsi="Times New Roman"/>
        </w:rPr>
        <w:t xml:space="preserve">Burden-reducing procedures permit the automated invoicing and direct debit of assessments.  The Certified Statement contains confidential information relating to the risk classification of the institution.  Insured depository institutions access their quarterly certified statement invoices in electronic form via the FDIC’s e-business website </w:t>
      </w:r>
      <w:r>
        <w:rPr>
          <w:rFonts w:ascii="Times New Roman" w:hAnsi="Times New Roman"/>
          <w:i/>
        </w:rPr>
        <w:t>FDICconnect</w:t>
      </w:r>
      <w:r>
        <w:rPr>
          <w:rFonts w:ascii="Times New Roman" w:hAnsi="Times New Roman"/>
        </w:rPr>
        <w:t>, a secure channel to the insured institutions.  Correct invoices need not be signed or returned to the FDIC.  If Internet access poses a hardship to some institutions, an alternative form of access may be provided by the FDIC.</w:t>
      </w:r>
    </w:p>
    <w:p w:rsidR="007B6C63" w14:paraId="2ABD15EC" w14:textId="77777777">
      <w:pPr>
        <w:ind w:left="1440"/>
        <w:rPr>
          <w:rFonts w:ascii="Times New Roman" w:hAnsi="Times New Roman"/>
        </w:rPr>
      </w:pPr>
    </w:p>
    <w:p w:rsidR="007B6C63" w14:paraId="32FEBD00" w14:textId="77777777">
      <w:pPr>
        <w:rPr>
          <w:rFonts w:ascii="Times New Roman" w:hAnsi="Times New Roman"/>
        </w:rPr>
      </w:pPr>
    </w:p>
    <w:p w:rsidR="007B6C63" w:rsidP="00866DB2" w14:paraId="71A580AA" w14:textId="77777777">
      <w:pPr>
        <w:keepNext/>
        <w:tabs>
          <w:tab w:val="left" w:pos="-1440"/>
        </w:tabs>
        <w:ind w:left="720" w:hanging="360"/>
        <w:rPr>
          <w:rFonts w:ascii="Times New Roman" w:hAnsi="Times New Roman"/>
        </w:rPr>
      </w:pPr>
      <w:r>
        <w:rPr>
          <w:rFonts w:ascii="Times New Roman" w:hAnsi="Times New Roman"/>
        </w:rPr>
        <w:t>4.</w:t>
      </w:r>
      <w:r>
        <w:rPr>
          <w:rFonts w:ascii="Times New Roman" w:hAnsi="Times New Roman"/>
        </w:rPr>
        <w:tab/>
      </w:r>
      <w:r w:rsidRPr="00A1019D" w:rsidR="00386C94">
        <w:rPr>
          <w:rFonts w:ascii="Times New Roman" w:hAnsi="Times New Roman"/>
          <w:b/>
          <w:bCs/>
          <w:iCs/>
          <w:u w:val="single"/>
        </w:rPr>
        <w:t>Efforts</w:t>
      </w:r>
      <w:r w:rsidRPr="00386C94" w:rsidR="00386C94">
        <w:rPr>
          <w:rFonts w:ascii="Times New Roman" w:hAnsi="Times New Roman"/>
          <w:b/>
          <w:spacing w:val="-1"/>
          <w:szCs w:val="24"/>
          <w:u w:val="single"/>
        </w:rPr>
        <w:t xml:space="preserve"> to identify duplication:</w:t>
      </w:r>
    </w:p>
    <w:p w:rsidR="000855E4" w:rsidP="00866DB2" w14:paraId="7545E786" w14:textId="77777777">
      <w:pPr>
        <w:keepNext/>
        <w:ind w:left="1440"/>
        <w:rPr>
          <w:rFonts w:ascii="Times New Roman" w:hAnsi="Times New Roman"/>
        </w:rPr>
      </w:pPr>
    </w:p>
    <w:p w:rsidR="007B6C63" w:rsidP="00866DB2" w14:paraId="15D003EE" w14:textId="77777777">
      <w:pPr>
        <w:keepNext/>
        <w:ind w:left="720"/>
        <w:rPr>
          <w:rFonts w:ascii="Times New Roman" w:hAnsi="Times New Roman"/>
        </w:rPr>
      </w:pPr>
      <w:r>
        <w:rPr>
          <w:rFonts w:ascii="Times New Roman" w:hAnsi="Times New Roman"/>
        </w:rPr>
        <w:t>There is no duplication.  The certification is not available in any other form or place.</w:t>
      </w:r>
    </w:p>
    <w:p w:rsidR="007B6C63" w:rsidP="00866DB2" w14:paraId="68338BDD" w14:textId="77777777">
      <w:pPr>
        <w:keepNext/>
        <w:rPr>
          <w:rFonts w:ascii="Times New Roman" w:hAnsi="Times New Roman"/>
        </w:rPr>
      </w:pPr>
    </w:p>
    <w:p w:rsidR="007B6C63" w:rsidP="00A1019D" w14:paraId="1C89854A" w14:textId="77777777">
      <w:pPr>
        <w:tabs>
          <w:tab w:val="left" w:pos="-1440"/>
        </w:tabs>
        <w:ind w:left="720" w:hanging="360"/>
        <w:rPr>
          <w:rFonts w:ascii="Times New Roman" w:hAnsi="Times New Roman"/>
        </w:rPr>
      </w:pPr>
      <w:r>
        <w:rPr>
          <w:rFonts w:ascii="Times New Roman" w:hAnsi="Times New Roman"/>
        </w:rPr>
        <w:t>5.</w:t>
      </w:r>
      <w:r>
        <w:rPr>
          <w:rFonts w:ascii="Times New Roman" w:hAnsi="Times New Roman"/>
        </w:rPr>
        <w:tab/>
      </w:r>
      <w:r w:rsidRPr="00386C94" w:rsidR="00386C94">
        <w:rPr>
          <w:rFonts w:ascii="Times New Roman" w:hAnsi="Times New Roman"/>
          <w:b/>
          <w:bCs/>
          <w:iCs/>
          <w:u w:val="single"/>
        </w:rPr>
        <w:t>Methods used to minimize burden if the collection has a significant impact on a</w:t>
      </w:r>
      <w:r w:rsidR="00A1019D">
        <w:rPr>
          <w:rFonts w:ascii="Times New Roman" w:hAnsi="Times New Roman"/>
          <w:b/>
          <w:bCs/>
          <w:iCs/>
          <w:u w:val="single"/>
        </w:rPr>
        <w:t xml:space="preserve"> </w:t>
      </w:r>
      <w:r w:rsidRPr="00386C94" w:rsidR="00386C94">
        <w:rPr>
          <w:rFonts w:ascii="Times New Roman" w:hAnsi="Times New Roman"/>
          <w:b/>
          <w:bCs/>
          <w:iCs/>
          <w:u w:val="single"/>
        </w:rPr>
        <w:t>substantial number of small entities:</w:t>
      </w:r>
    </w:p>
    <w:p w:rsidR="007B6C63" w14:paraId="62CB1FDA" w14:textId="77777777">
      <w:pPr>
        <w:rPr>
          <w:rFonts w:ascii="Times New Roman" w:hAnsi="Times New Roman"/>
        </w:rPr>
      </w:pPr>
    </w:p>
    <w:p w:rsidR="007B6C63" w:rsidP="000B0581" w14:paraId="2591E256" w14:textId="3A88CB39">
      <w:pPr>
        <w:ind w:left="720"/>
        <w:rPr>
          <w:rFonts w:ascii="Times New Roman" w:hAnsi="Times New Roman"/>
        </w:rPr>
      </w:pPr>
      <w:r w:rsidRPr="00B01F25">
        <w:rPr>
          <w:rFonts w:ascii="Times New Roman" w:hAnsi="Times New Roman"/>
        </w:rPr>
        <w:t>All insured institutions, large and small, are subject to the same requirements</w:t>
      </w:r>
      <w:r w:rsidRPr="00B01F25" w:rsidR="000855E4">
        <w:rPr>
          <w:rFonts w:ascii="Times New Roman" w:hAnsi="Times New Roman"/>
        </w:rPr>
        <w:t xml:space="preserve">. </w:t>
      </w:r>
      <w:r w:rsidRPr="00B01F25" w:rsidR="00177720">
        <w:rPr>
          <w:rFonts w:ascii="Times New Roman" w:hAnsi="Times New Roman"/>
          <w:snapToGrid/>
        </w:rPr>
        <w:t>Therefore,</w:t>
      </w:r>
      <w:r w:rsidRPr="00B01F25" w:rsidR="000855E4">
        <w:rPr>
          <w:rFonts w:ascii="Times New Roman" w:hAnsi="Times New Roman"/>
          <w:snapToGrid/>
        </w:rPr>
        <w:t xml:space="preserve"> all insured depository institutions, regardless of size, receive a</w:t>
      </w:r>
      <w:r w:rsidRPr="00B01F25" w:rsidR="002A35F4">
        <w:rPr>
          <w:rFonts w:ascii="Times New Roman" w:hAnsi="Times New Roman"/>
          <w:snapToGrid/>
        </w:rPr>
        <w:t>nd must review and certify a</w:t>
      </w:r>
      <w:r w:rsidRPr="00B01F25" w:rsidR="00177720">
        <w:rPr>
          <w:rFonts w:ascii="Times New Roman" w:hAnsi="Times New Roman"/>
          <w:snapToGrid/>
        </w:rPr>
        <w:t xml:space="preserve"> quarterly</w:t>
      </w:r>
      <w:r w:rsidRPr="00B01F25" w:rsidR="000855E4">
        <w:rPr>
          <w:rFonts w:ascii="Times New Roman" w:hAnsi="Times New Roman"/>
          <w:snapToGrid/>
        </w:rPr>
        <w:t xml:space="preserve"> </w:t>
      </w:r>
      <w:r w:rsidRPr="00B01F25" w:rsidR="002A35F4">
        <w:rPr>
          <w:rFonts w:ascii="Times New Roman" w:hAnsi="Times New Roman"/>
          <w:snapToGrid/>
        </w:rPr>
        <w:t xml:space="preserve">deposit insurance assessment </w:t>
      </w:r>
      <w:r w:rsidRPr="00B01F25" w:rsidR="000855E4">
        <w:rPr>
          <w:rFonts w:ascii="Times New Roman" w:hAnsi="Times New Roman"/>
          <w:snapToGrid/>
        </w:rPr>
        <w:t>invoice</w:t>
      </w:r>
      <w:r w:rsidRPr="00B01F25" w:rsidR="00177720">
        <w:rPr>
          <w:rFonts w:ascii="Times New Roman" w:hAnsi="Times New Roman"/>
          <w:snapToGrid/>
        </w:rPr>
        <w:t>.</w:t>
      </w:r>
      <w:r w:rsidRPr="00B01F25" w:rsidR="000855E4">
        <w:rPr>
          <w:rFonts w:ascii="Times New Roman" w:hAnsi="Times New Roman"/>
          <w:snapToGrid/>
        </w:rPr>
        <w:t xml:space="preserve"> </w:t>
      </w:r>
      <w:r w:rsidRPr="00B01F25" w:rsidR="006B18B4">
        <w:rPr>
          <w:rFonts w:ascii="Times New Roman" w:hAnsi="Times New Roman"/>
          <w:snapToGrid/>
        </w:rPr>
        <w:t>There are currently 4,</w:t>
      </w:r>
      <w:r w:rsidRPr="00B01F25" w:rsidR="00113C03">
        <w:rPr>
          <w:rFonts w:ascii="Times New Roman" w:hAnsi="Times New Roman"/>
          <w:snapToGrid/>
        </w:rPr>
        <w:t>345</w:t>
      </w:r>
      <w:r w:rsidRPr="00B01F25" w:rsidR="00177720">
        <w:rPr>
          <w:rFonts w:ascii="Times New Roman" w:hAnsi="Times New Roman"/>
          <w:snapToGrid/>
        </w:rPr>
        <w:t xml:space="preserve"> insured depository institutions. </w:t>
      </w:r>
      <w:r w:rsidRPr="00B01F25" w:rsidR="000855E4">
        <w:rPr>
          <w:rFonts w:ascii="Times New Roman" w:hAnsi="Times New Roman"/>
          <w:snapToGrid/>
        </w:rPr>
        <w:t xml:space="preserve">FDIC estimates that </w:t>
      </w:r>
      <w:r w:rsidRPr="00B01F25" w:rsidR="00113C03">
        <w:rPr>
          <w:rFonts w:ascii="Times New Roman" w:hAnsi="Times New Roman"/>
          <w:snapToGrid/>
        </w:rPr>
        <w:t>2,</w:t>
      </w:r>
      <w:r w:rsidRPr="00B01F25" w:rsidR="00F524C9">
        <w:rPr>
          <w:rFonts w:ascii="Times New Roman" w:hAnsi="Times New Roman"/>
          <w:snapToGrid/>
        </w:rPr>
        <w:t>096</w:t>
      </w:r>
      <w:r w:rsidRPr="00B01F25" w:rsidR="00177720">
        <w:rPr>
          <w:rFonts w:ascii="Times New Roman" w:hAnsi="Times New Roman"/>
          <w:snapToGrid/>
        </w:rPr>
        <w:t xml:space="preserve"> of these are</w:t>
      </w:r>
      <w:r w:rsidRPr="00B01F25" w:rsidR="000855E4">
        <w:rPr>
          <w:rFonts w:ascii="Times New Roman" w:hAnsi="Times New Roman"/>
          <w:snapToGrid/>
        </w:rPr>
        <w:t xml:space="preserve"> small </w:t>
      </w:r>
      <w:r w:rsidRPr="00B01F25" w:rsidR="000855E4">
        <w:rPr>
          <w:rFonts w:ascii="Times New Roman" w:hAnsi="Times New Roman"/>
          <w:snapToGrid/>
        </w:rPr>
        <w:t>entities</w:t>
      </w:r>
      <w:r w:rsidRPr="00B01F25" w:rsidR="002A35F4">
        <w:rPr>
          <w:rFonts w:ascii="Times New Roman" w:hAnsi="Times New Roman"/>
          <w:snapToGrid/>
        </w:rPr>
        <w:t xml:space="preserve"> which would be a substantial number of small entities</w:t>
      </w:r>
      <w:r w:rsidRPr="00B01F25" w:rsidR="000855E4">
        <w:rPr>
          <w:rFonts w:ascii="Times New Roman" w:hAnsi="Times New Roman"/>
          <w:snapToGrid/>
        </w:rPr>
        <w:t>.</w:t>
      </w:r>
      <w:r w:rsidRPr="00B01F25" w:rsidR="00177720">
        <w:rPr>
          <w:rFonts w:ascii="Times New Roman" w:hAnsi="Times New Roman"/>
          <w:snapToGrid/>
        </w:rPr>
        <w:t xml:space="preserve">  </w:t>
      </w:r>
      <w:r w:rsidRPr="00B01F25" w:rsidR="002A35F4">
        <w:rPr>
          <w:rFonts w:ascii="Times New Roman" w:hAnsi="Times New Roman"/>
          <w:snapToGrid/>
        </w:rPr>
        <w:t>However, t</w:t>
      </w:r>
      <w:r w:rsidRPr="00B01F25" w:rsidR="00177720">
        <w:rPr>
          <w:rFonts w:ascii="Times New Roman" w:hAnsi="Times New Roman"/>
          <w:snapToGrid/>
        </w:rPr>
        <w:t>he time to respond</w:t>
      </w:r>
      <w:r w:rsidRPr="00B01F25" w:rsidR="002A35F4">
        <w:rPr>
          <w:rFonts w:ascii="Times New Roman" w:hAnsi="Times New Roman"/>
          <w:snapToGrid/>
        </w:rPr>
        <w:t xml:space="preserve"> is estimated to be only 20 minutes</w:t>
      </w:r>
      <w:r w:rsidRPr="00B01F25" w:rsidR="000855E4">
        <w:rPr>
          <w:rFonts w:ascii="Times New Roman" w:hAnsi="Times New Roman"/>
        </w:rPr>
        <w:t xml:space="preserve"> </w:t>
      </w:r>
      <w:r w:rsidRPr="00B01F25" w:rsidR="002A35F4">
        <w:rPr>
          <w:rFonts w:ascii="Times New Roman" w:hAnsi="Times New Roman"/>
        </w:rPr>
        <w:t xml:space="preserve">per </w:t>
      </w:r>
      <w:r w:rsidRPr="00B01F25" w:rsidR="002A35F4">
        <w:rPr>
          <w:rFonts w:ascii="Times New Roman" w:hAnsi="Times New Roman"/>
        </w:rPr>
        <w:t>quarter,</w:t>
      </w:r>
      <w:r w:rsidRPr="00B01F25" w:rsidR="002A35F4">
        <w:rPr>
          <w:rFonts w:ascii="Times New Roman" w:hAnsi="Times New Roman"/>
        </w:rPr>
        <w:t xml:space="preserve"> per respondent.  Therefore, this information collection does not have a significant impact on those </w:t>
      </w:r>
      <w:r w:rsidRPr="00B01F25" w:rsidR="0008081C">
        <w:rPr>
          <w:rFonts w:ascii="Times New Roman" w:hAnsi="Times New Roman"/>
        </w:rPr>
        <w:t>respondents,</w:t>
      </w:r>
      <w:r w:rsidRPr="00B01F25" w:rsidR="002A35F4">
        <w:rPr>
          <w:rFonts w:ascii="Times New Roman" w:hAnsi="Times New Roman"/>
        </w:rPr>
        <w:t xml:space="preserve"> and the information collection does not have a significant impact on a substantial number of small entities.</w:t>
      </w:r>
    </w:p>
    <w:p w:rsidR="007B6C63" w14:paraId="68A4C58C" w14:textId="77777777">
      <w:pPr>
        <w:rPr>
          <w:rFonts w:ascii="Times New Roman" w:hAnsi="Times New Roman"/>
        </w:rPr>
      </w:pPr>
    </w:p>
    <w:p w:rsidR="007B6C63" w:rsidRPr="00FC41DF" w:rsidP="00A1019D" w14:paraId="143B7091" w14:textId="77777777">
      <w:pPr>
        <w:tabs>
          <w:tab w:val="left" w:pos="-1440"/>
        </w:tabs>
        <w:ind w:left="720" w:hanging="360"/>
        <w:rPr>
          <w:rFonts w:ascii="Times New Roman" w:hAnsi="Times New Roman"/>
          <w:b/>
          <w:bCs/>
          <w:iCs/>
          <w:u w:val="single"/>
        </w:rPr>
      </w:pPr>
      <w:r>
        <w:rPr>
          <w:rFonts w:ascii="Times New Roman" w:hAnsi="Times New Roman"/>
        </w:rPr>
        <w:t>6.</w:t>
      </w:r>
      <w:r>
        <w:rPr>
          <w:rFonts w:ascii="Times New Roman" w:hAnsi="Times New Roman"/>
        </w:rPr>
        <w:tab/>
      </w:r>
      <w:r w:rsidRPr="00A1019D" w:rsidR="00386C94">
        <w:rPr>
          <w:rFonts w:ascii="Times New Roman" w:hAnsi="Times New Roman"/>
          <w:b/>
          <w:bCs/>
          <w:iCs/>
          <w:u w:val="single"/>
        </w:rPr>
        <w:t>Consequences</w:t>
      </w:r>
      <w:r w:rsidRPr="00FC41DF" w:rsidR="00386C94">
        <w:rPr>
          <w:rFonts w:ascii="Times New Roman" w:hAnsi="Times New Roman"/>
          <w:b/>
          <w:bCs/>
          <w:iCs/>
          <w:u w:val="single"/>
        </w:rPr>
        <w:t xml:space="preserve"> to the Federal program if the collection were conducted less frequently:</w:t>
      </w:r>
    </w:p>
    <w:p w:rsidR="007B6C63" w14:paraId="475A22F2" w14:textId="77777777">
      <w:pPr>
        <w:rPr>
          <w:rFonts w:ascii="Times New Roman" w:hAnsi="Times New Roman"/>
        </w:rPr>
      </w:pPr>
    </w:p>
    <w:p w:rsidR="007B6C63" w:rsidP="000B0581" w14:paraId="67FB8790" w14:textId="77777777">
      <w:pPr>
        <w:ind w:left="720"/>
        <w:rPr>
          <w:rFonts w:ascii="Times New Roman" w:hAnsi="Times New Roman"/>
        </w:rPr>
      </w:pPr>
      <w:r>
        <w:rPr>
          <w:rFonts w:ascii="Times New Roman" w:hAnsi="Times New Roman"/>
        </w:rPr>
        <w:t>Less frequent collection would be inconsistent with the statutor</w:t>
      </w:r>
      <w:r w:rsidR="00615BAD">
        <w:rPr>
          <w:rFonts w:ascii="Times New Roman" w:hAnsi="Times New Roman"/>
        </w:rPr>
        <w:t>y requirement for certification of deposit insurance assessments.</w:t>
      </w:r>
    </w:p>
    <w:p w:rsidR="007B6C63" w:rsidRPr="00386C94" w14:paraId="378C7D80" w14:textId="77777777">
      <w:pPr>
        <w:rPr>
          <w:rFonts w:ascii="Times New Roman" w:hAnsi="Times New Roman"/>
        </w:rPr>
      </w:pPr>
    </w:p>
    <w:p w:rsidR="00386C94" w:rsidRPr="00386C94" w:rsidP="00A1019D" w14:paraId="23B75757" w14:textId="77777777">
      <w:pPr>
        <w:tabs>
          <w:tab w:val="left" w:pos="-1440"/>
        </w:tabs>
        <w:ind w:left="720" w:hanging="360"/>
        <w:rPr>
          <w:rFonts w:ascii="Times New Roman" w:hAnsi="Times New Roman"/>
          <w:b/>
          <w:bCs/>
          <w:iCs/>
        </w:rPr>
      </w:pPr>
      <w:r w:rsidRPr="00386C94">
        <w:rPr>
          <w:rFonts w:ascii="Times New Roman" w:hAnsi="Times New Roman"/>
        </w:rPr>
        <w:t>7.</w:t>
      </w:r>
      <w:r w:rsidRPr="00386C94">
        <w:rPr>
          <w:rFonts w:ascii="Times New Roman" w:hAnsi="Times New Roman"/>
        </w:rPr>
        <w:tab/>
      </w:r>
      <w:r w:rsidRPr="00A1019D">
        <w:rPr>
          <w:rFonts w:ascii="Times New Roman" w:hAnsi="Times New Roman"/>
          <w:b/>
          <w:bCs/>
          <w:iCs/>
          <w:u w:val="single"/>
        </w:rPr>
        <w:t>Special circumstances necessitating collection inconsistent with 5 CFR Part 1320.5(d)(2):</w:t>
      </w:r>
    </w:p>
    <w:p w:rsidR="007B6C63" w14:paraId="4B9E7527" w14:textId="77777777">
      <w:pPr>
        <w:rPr>
          <w:rFonts w:ascii="Times New Roman" w:hAnsi="Times New Roman"/>
        </w:rPr>
      </w:pPr>
    </w:p>
    <w:p w:rsidR="007B6C63" w:rsidP="000B0581" w14:paraId="19013D20" w14:textId="77777777">
      <w:pPr>
        <w:ind w:left="720"/>
        <w:rPr>
          <w:rFonts w:ascii="Times New Roman" w:hAnsi="Times New Roman"/>
        </w:rPr>
      </w:pPr>
      <w:r>
        <w:rPr>
          <w:rFonts w:ascii="Times New Roman" w:hAnsi="Times New Roman"/>
          <w:bCs/>
          <w:iCs/>
          <w:szCs w:val="24"/>
        </w:rPr>
        <w:t xml:space="preserve">None.  </w:t>
      </w:r>
      <w:r w:rsidRPr="00386C94">
        <w:rPr>
          <w:rFonts w:ascii="Times New Roman" w:hAnsi="Times New Roman"/>
        </w:rPr>
        <w:t>The</w:t>
      </w:r>
      <w:r w:rsidRPr="000C4F75">
        <w:rPr>
          <w:rFonts w:ascii="Times New Roman" w:hAnsi="Times New Roman"/>
          <w:bCs/>
          <w:iCs/>
          <w:szCs w:val="24"/>
        </w:rPr>
        <w:t xml:space="preserve"> information is collected in a manner consistent with </w:t>
      </w:r>
      <w:r>
        <w:rPr>
          <w:rFonts w:ascii="Times New Roman" w:hAnsi="Times New Roman"/>
          <w:bCs/>
          <w:iCs/>
          <w:szCs w:val="24"/>
        </w:rPr>
        <w:t>5</w:t>
      </w:r>
      <w:r w:rsidRPr="000C4F75">
        <w:rPr>
          <w:rFonts w:ascii="Times New Roman" w:hAnsi="Times New Roman"/>
          <w:bCs/>
          <w:iCs/>
          <w:szCs w:val="24"/>
        </w:rPr>
        <w:t xml:space="preserve"> CFR 1320.5(d)(2).</w:t>
      </w:r>
    </w:p>
    <w:p w:rsidR="007B6C63" w14:paraId="5F92B3F0" w14:textId="77777777">
      <w:pPr>
        <w:rPr>
          <w:rFonts w:ascii="Times New Roman" w:hAnsi="Times New Roman"/>
        </w:rPr>
      </w:pPr>
    </w:p>
    <w:p w:rsidR="007B6C63" w:rsidP="00A1019D" w14:paraId="1A0DEAB0" w14:textId="77777777">
      <w:pPr>
        <w:tabs>
          <w:tab w:val="left" w:pos="-1440"/>
        </w:tabs>
        <w:ind w:left="720" w:hanging="360"/>
        <w:rPr>
          <w:rFonts w:ascii="Times New Roman" w:hAnsi="Times New Roman"/>
        </w:rPr>
      </w:pPr>
      <w:r>
        <w:rPr>
          <w:rFonts w:ascii="Times New Roman" w:hAnsi="Times New Roman"/>
        </w:rPr>
        <w:t>8.</w:t>
      </w:r>
      <w:r>
        <w:rPr>
          <w:rFonts w:ascii="Times New Roman" w:hAnsi="Times New Roman"/>
        </w:rPr>
        <w:tab/>
      </w:r>
      <w:r w:rsidRPr="00A1019D" w:rsidR="00D55074">
        <w:rPr>
          <w:rFonts w:ascii="Times New Roman" w:hAnsi="Times New Roman"/>
          <w:b/>
          <w:bCs/>
          <w:iCs/>
          <w:u w:val="single"/>
        </w:rPr>
        <w:t>Efforts</w:t>
      </w:r>
      <w:r w:rsidRPr="00D55074" w:rsidR="00D55074">
        <w:rPr>
          <w:rFonts w:ascii="Times New Roman" w:hAnsi="Times New Roman"/>
          <w:b/>
          <w:bCs/>
          <w:iCs/>
          <w:szCs w:val="24"/>
          <w:u w:val="single"/>
        </w:rPr>
        <w:t xml:space="preserve"> to consult with </w:t>
      </w:r>
      <w:r w:rsidRPr="00D55074" w:rsidR="00D55074">
        <w:rPr>
          <w:rFonts w:ascii="Times New Roman" w:hAnsi="Times New Roman"/>
          <w:b/>
          <w:bCs/>
          <w:iCs/>
          <w:szCs w:val="24"/>
          <w:u w:val="single"/>
        </w:rPr>
        <w:t>persons</w:t>
      </w:r>
      <w:r w:rsidRPr="00D55074" w:rsidR="00D55074">
        <w:rPr>
          <w:rFonts w:ascii="Times New Roman" w:hAnsi="Times New Roman"/>
          <w:b/>
          <w:bCs/>
          <w:iCs/>
          <w:szCs w:val="24"/>
          <w:u w:val="single"/>
        </w:rPr>
        <w:t xml:space="preserve"> outside the agency:</w:t>
      </w:r>
    </w:p>
    <w:p w:rsidR="007B6C63" w14:paraId="22F11604" w14:textId="77777777">
      <w:pPr>
        <w:rPr>
          <w:rFonts w:ascii="Times New Roman" w:hAnsi="Times New Roman"/>
        </w:rPr>
      </w:pPr>
    </w:p>
    <w:p w:rsidR="007B6C63" w:rsidP="000B0581" w14:paraId="15E65426" w14:textId="128DBE60">
      <w:pPr>
        <w:ind w:left="720"/>
        <w:rPr>
          <w:rFonts w:ascii="Times New Roman" w:hAnsi="Times New Roman"/>
        </w:rPr>
      </w:pPr>
      <w:r>
        <w:rPr>
          <w:rFonts w:ascii="Times New Roman" w:hAnsi="Times New Roman"/>
        </w:rPr>
        <w:t xml:space="preserve">The deposit insurance assessment system, including the Certified Statement, was developed through extensive consultation with stakeholders, and established through notice-and-comment rulemaking.  The FDIC </w:t>
      </w:r>
      <w:r w:rsidR="00DE2D0B">
        <w:rPr>
          <w:rFonts w:ascii="Times New Roman" w:hAnsi="Times New Roman"/>
        </w:rPr>
        <w:t xml:space="preserve">published a notice in the </w:t>
      </w:r>
      <w:r w:rsidRPr="000B0581" w:rsidR="00DE2D0B">
        <w:rPr>
          <w:rFonts w:ascii="Times New Roman" w:hAnsi="Times New Roman"/>
        </w:rPr>
        <w:t>Federal</w:t>
      </w:r>
      <w:r w:rsidR="00DE2D0B">
        <w:rPr>
          <w:rFonts w:ascii="Times New Roman" w:hAnsi="Times New Roman"/>
          <w:i/>
        </w:rPr>
        <w:t xml:space="preserve"> Register</w:t>
      </w:r>
      <w:r w:rsidR="00DE2D0B">
        <w:rPr>
          <w:rFonts w:ascii="Times New Roman" w:hAnsi="Times New Roman"/>
        </w:rPr>
        <w:t xml:space="preserve"> seeking </w:t>
      </w:r>
      <w:r>
        <w:rPr>
          <w:rFonts w:ascii="Times New Roman" w:hAnsi="Times New Roman"/>
        </w:rPr>
        <w:t xml:space="preserve">comment </w:t>
      </w:r>
      <w:r w:rsidR="00DE2D0B">
        <w:rPr>
          <w:rFonts w:ascii="Times New Roman" w:hAnsi="Times New Roman"/>
        </w:rPr>
        <w:t xml:space="preserve">for a 60-day period on renewal of this information collection </w:t>
      </w:r>
      <w:r>
        <w:rPr>
          <w:rFonts w:ascii="Times New Roman" w:hAnsi="Times New Roman"/>
        </w:rPr>
        <w:t xml:space="preserve">on </w:t>
      </w:r>
      <w:r w:rsidR="00C007D8">
        <w:rPr>
          <w:rFonts w:ascii="Times New Roman" w:hAnsi="Times New Roman"/>
        </w:rPr>
        <w:t>June 4</w:t>
      </w:r>
      <w:r w:rsidR="006B18B4">
        <w:rPr>
          <w:rFonts w:ascii="Times New Roman" w:hAnsi="Times New Roman"/>
        </w:rPr>
        <w:t>, 202</w:t>
      </w:r>
      <w:r w:rsidR="00C007D8">
        <w:rPr>
          <w:rFonts w:ascii="Times New Roman" w:hAnsi="Times New Roman"/>
        </w:rPr>
        <w:t>6</w:t>
      </w:r>
      <w:r w:rsidR="00DE2D0B">
        <w:rPr>
          <w:rFonts w:ascii="Times New Roman" w:hAnsi="Times New Roman"/>
        </w:rPr>
        <w:t xml:space="preserve"> (</w:t>
      </w:r>
      <w:r w:rsidR="00C007D8">
        <w:rPr>
          <w:rFonts w:ascii="Times New Roman" w:hAnsi="Times New Roman"/>
        </w:rPr>
        <w:t>91</w:t>
      </w:r>
      <w:r w:rsidR="00DE2D0B">
        <w:rPr>
          <w:rFonts w:ascii="Times New Roman" w:hAnsi="Times New Roman"/>
        </w:rPr>
        <w:t xml:space="preserve"> FR</w:t>
      </w:r>
      <w:r w:rsidR="006B18B4">
        <w:rPr>
          <w:rFonts w:ascii="Times New Roman" w:hAnsi="Times New Roman"/>
        </w:rPr>
        <w:t xml:space="preserve"> </w:t>
      </w:r>
      <w:r w:rsidR="00C007D8">
        <w:rPr>
          <w:rFonts w:ascii="Times New Roman" w:hAnsi="Times New Roman"/>
        </w:rPr>
        <w:t>33724</w:t>
      </w:r>
      <w:r w:rsidR="00DE2D0B">
        <w:rPr>
          <w:rFonts w:ascii="Times New Roman" w:hAnsi="Times New Roman"/>
        </w:rPr>
        <w:t>)</w:t>
      </w:r>
      <w:r>
        <w:rPr>
          <w:rFonts w:ascii="Times New Roman" w:hAnsi="Times New Roman"/>
        </w:rPr>
        <w:t>.  No comments were received.</w:t>
      </w:r>
    </w:p>
    <w:p w:rsidR="007B6C63" w14:paraId="4036EE3A" w14:textId="77777777">
      <w:pPr>
        <w:rPr>
          <w:rFonts w:ascii="Times New Roman" w:hAnsi="Times New Roman"/>
        </w:rPr>
      </w:pPr>
    </w:p>
    <w:p w:rsidR="007B6C63" w:rsidP="00A1019D" w14:paraId="165DF84C" w14:textId="77777777">
      <w:pPr>
        <w:tabs>
          <w:tab w:val="left" w:pos="-1440"/>
        </w:tabs>
        <w:ind w:left="720" w:hanging="360"/>
        <w:rPr>
          <w:rFonts w:ascii="Times New Roman" w:hAnsi="Times New Roman"/>
        </w:rPr>
      </w:pPr>
      <w:r>
        <w:rPr>
          <w:rFonts w:ascii="Times New Roman" w:hAnsi="Times New Roman"/>
        </w:rPr>
        <w:t>9.</w:t>
      </w:r>
      <w:r>
        <w:rPr>
          <w:rFonts w:ascii="Times New Roman" w:hAnsi="Times New Roman"/>
        </w:rPr>
        <w:tab/>
      </w:r>
      <w:r w:rsidRPr="00A1019D" w:rsidR="00881712">
        <w:rPr>
          <w:rFonts w:ascii="Times New Roman" w:hAnsi="Times New Roman"/>
          <w:b/>
          <w:bCs/>
          <w:iCs/>
          <w:u w:val="single"/>
        </w:rPr>
        <w:t>Payment</w:t>
      </w:r>
      <w:r w:rsidRPr="00881712" w:rsidR="00881712">
        <w:rPr>
          <w:rFonts w:ascii="Times New Roman" w:hAnsi="Times New Roman"/>
          <w:b/>
          <w:spacing w:val="-10"/>
          <w:szCs w:val="24"/>
          <w:u w:val="single"/>
        </w:rPr>
        <w:t xml:space="preserve"> </w:t>
      </w:r>
      <w:r w:rsidRPr="00881712" w:rsidR="00881712">
        <w:rPr>
          <w:rFonts w:ascii="Times New Roman" w:hAnsi="Times New Roman"/>
          <w:b/>
          <w:spacing w:val="1"/>
          <w:szCs w:val="24"/>
          <w:u w:val="single"/>
        </w:rPr>
        <w:t>or</w:t>
      </w:r>
      <w:r w:rsidRPr="00881712" w:rsidR="00881712">
        <w:rPr>
          <w:rFonts w:ascii="Times New Roman" w:hAnsi="Times New Roman"/>
          <w:b/>
          <w:spacing w:val="-7"/>
          <w:szCs w:val="24"/>
          <w:u w:val="single"/>
        </w:rPr>
        <w:t xml:space="preserve"> </w:t>
      </w:r>
      <w:r w:rsidRPr="00881712" w:rsidR="00881712">
        <w:rPr>
          <w:rFonts w:ascii="Times New Roman" w:hAnsi="Times New Roman"/>
          <w:b/>
          <w:spacing w:val="-5"/>
          <w:szCs w:val="24"/>
          <w:u w:val="single"/>
        </w:rPr>
        <w:t>gifts to respondents:</w:t>
      </w:r>
    </w:p>
    <w:p w:rsidR="007B6C63" w14:paraId="2E0B2B31" w14:textId="77777777">
      <w:pPr>
        <w:rPr>
          <w:rFonts w:ascii="Times New Roman" w:hAnsi="Times New Roman"/>
        </w:rPr>
      </w:pPr>
    </w:p>
    <w:p w:rsidR="007B6C63" w:rsidP="000B0581" w14:paraId="7D84B763" w14:textId="77777777">
      <w:pPr>
        <w:ind w:left="720"/>
        <w:rPr>
          <w:rFonts w:ascii="Times New Roman" w:hAnsi="Times New Roman"/>
        </w:rPr>
      </w:pPr>
      <w:r>
        <w:rPr>
          <w:rFonts w:ascii="Times New Roman" w:hAnsi="Times New Roman"/>
        </w:rPr>
        <w:t>None.</w:t>
      </w:r>
    </w:p>
    <w:p w:rsidR="007B6C63" w14:paraId="677C40D5" w14:textId="77777777">
      <w:pPr>
        <w:ind w:left="720" w:firstLine="720"/>
        <w:rPr>
          <w:rFonts w:ascii="Times New Roman" w:hAnsi="Times New Roman"/>
        </w:rPr>
      </w:pPr>
    </w:p>
    <w:p w:rsidR="007B6C63" w:rsidP="00F8783F" w14:paraId="24D00C90" w14:textId="77777777">
      <w:pPr>
        <w:keepNext/>
        <w:tabs>
          <w:tab w:val="left" w:pos="-1440"/>
        </w:tabs>
        <w:ind w:left="720" w:hanging="360"/>
        <w:rPr>
          <w:rFonts w:ascii="Times New Roman" w:hAnsi="Times New Roman"/>
        </w:rPr>
      </w:pPr>
      <w:r>
        <w:rPr>
          <w:rFonts w:ascii="Times New Roman" w:hAnsi="Times New Roman"/>
        </w:rPr>
        <w:t>10.</w:t>
      </w:r>
      <w:r>
        <w:rPr>
          <w:rFonts w:ascii="Times New Roman" w:hAnsi="Times New Roman"/>
        </w:rPr>
        <w:tab/>
      </w:r>
      <w:r w:rsidRPr="00A1019D" w:rsidR="00881712">
        <w:rPr>
          <w:rFonts w:ascii="Times New Roman" w:hAnsi="Times New Roman"/>
          <w:b/>
          <w:bCs/>
          <w:iCs/>
          <w:u w:val="single"/>
        </w:rPr>
        <w:t>Any</w:t>
      </w:r>
      <w:r w:rsidRPr="00881712" w:rsidR="00881712">
        <w:rPr>
          <w:rFonts w:ascii="Times New Roman" w:hAnsi="Times New Roman"/>
          <w:b/>
          <w:bCs/>
          <w:iCs/>
          <w:szCs w:val="24"/>
          <w:u w:val="single"/>
        </w:rPr>
        <w:t xml:space="preserve"> assurance of confidentiality:</w:t>
      </w:r>
    </w:p>
    <w:p w:rsidR="007B6C63" w:rsidP="00F8783F" w14:paraId="5C7EBA57" w14:textId="77777777">
      <w:pPr>
        <w:keepNext/>
        <w:rPr>
          <w:rFonts w:ascii="Times New Roman" w:hAnsi="Times New Roman"/>
        </w:rPr>
      </w:pPr>
    </w:p>
    <w:p w:rsidR="00881712" w:rsidP="00F8783F" w14:paraId="04BF8722" w14:textId="77777777">
      <w:pPr>
        <w:keepNext/>
        <w:ind w:left="720"/>
        <w:rPr>
          <w:rFonts w:ascii="Times New Roman" w:hAnsi="Times New Roman"/>
        </w:rPr>
      </w:pPr>
      <w:r>
        <w:rPr>
          <w:rFonts w:ascii="Times New Roman" w:hAnsi="Times New Roman"/>
        </w:rPr>
        <w:t xml:space="preserve">The risk rate classification of an </w:t>
      </w:r>
      <w:r w:rsidR="00F8783F">
        <w:rPr>
          <w:rFonts w:ascii="Times New Roman" w:hAnsi="Times New Roman"/>
        </w:rPr>
        <w:t>insured depository</w:t>
      </w:r>
      <w:r>
        <w:rPr>
          <w:rFonts w:ascii="Times New Roman" w:hAnsi="Times New Roman"/>
        </w:rPr>
        <w:t xml:space="preserve"> institution is confidential. Information is kept private to the extent allowed by law.</w:t>
      </w:r>
    </w:p>
    <w:p w:rsidR="007B6C63" w14:paraId="42AFC991" w14:textId="77777777">
      <w:pPr>
        <w:ind w:left="720" w:firstLine="720"/>
        <w:rPr>
          <w:rFonts w:ascii="Times New Roman" w:hAnsi="Times New Roman"/>
        </w:rPr>
      </w:pPr>
    </w:p>
    <w:p w:rsidR="0008081C" w14:paraId="1D37F3C2" w14:textId="77777777">
      <w:pPr>
        <w:ind w:left="720" w:firstLine="720"/>
        <w:rPr>
          <w:rFonts w:ascii="Times New Roman" w:hAnsi="Times New Roman"/>
        </w:rPr>
      </w:pPr>
    </w:p>
    <w:p w:rsidR="0008081C" w14:paraId="399A622F" w14:textId="77777777">
      <w:pPr>
        <w:ind w:left="720" w:firstLine="720"/>
        <w:rPr>
          <w:rFonts w:ascii="Times New Roman" w:hAnsi="Times New Roman"/>
        </w:rPr>
      </w:pPr>
    </w:p>
    <w:p w:rsidR="00881712" w:rsidRPr="00F04445" w:rsidP="00A1019D" w14:paraId="6CD48B93" w14:textId="77777777">
      <w:pPr>
        <w:tabs>
          <w:tab w:val="left" w:pos="-1440"/>
        </w:tabs>
        <w:ind w:left="720" w:hanging="360"/>
        <w:rPr>
          <w:rFonts w:ascii="Times New Roman" w:hAnsi="Times New Roman"/>
          <w:b/>
          <w:spacing w:val="-1"/>
          <w:szCs w:val="24"/>
        </w:rPr>
      </w:pPr>
      <w:r w:rsidRPr="00881712">
        <w:rPr>
          <w:rFonts w:ascii="Times New Roman" w:hAnsi="Times New Roman"/>
        </w:rPr>
        <w:t>11.</w:t>
      </w:r>
      <w:r w:rsidRPr="00881712">
        <w:rPr>
          <w:rFonts w:ascii="Times New Roman" w:hAnsi="Times New Roman"/>
        </w:rPr>
        <w:tab/>
      </w:r>
      <w:r w:rsidRPr="002A5F6B">
        <w:rPr>
          <w:rFonts w:ascii="Times New Roman" w:hAnsi="Times New Roman"/>
          <w:b/>
          <w:bCs/>
          <w:iCs/>
          <w:u w:val="single"/>
        </w:rPr>
        <w:t>Justification</w:t>
      </w:r>
      <w:r w:rsidRPr="002A5F6B">
        <w:rPr>
          <w:rFonts w:ascii="Times New Roman" w:hAnsi="Times New Roman"/>
          <w:b/>
          <w:bCs/>
          <w:spacing w:val="-1"/>
          <w:szCs w:val="24"/>
          <w:u w:val="single"/>
        </w:rPr>
        <w:t xml:space="preserve"> </w:t>
      </w:r>
      <w:r w:rsidRPr="002A5F6B">
        <w:rPr>
          <w:rFonts w:ascii="Times New Roman" w:hAnsi="Times New Roman"/>
          <w:u w:val="single"/>
        </w:rPr>
        <w:t>for</w:t>
      </w:r>
      <w:r w:rsidRPr="002A5F6B">
        <w:rPr>
          <w:rFonts w:ascii="Times New Roman" w:hAnsi="Times New Roman"/>
          <w:b/>
          <w:bCs/>
          <w:spacing w:val="-1"/>
          <w:szCs w:val="24"/>
          <w:u w:val="single"/>
        </w:rPr>
        <w:t xml:space="preserve"> questions of a sensitive nature:</w:t>
      </w:r>
    </w:p>
    <w:p w:rsidR="0008081C" w:rsidP="000B0581" w14:paraId="786FEB48" w14:textId="77777777">
      <w:pPr>
        <w:ind w:left="720"/>
        <w:rPr>
          <w:rFonts w:ascii="Times New Roman" w:hAnsi="Times New Roman"/>
          <w:spacing w:val="-1"/>
          <w:szCs w:val="24"/>
        </w:rPr>
      </w:pPr>
    </w:p>
    <w:p w:rsidR="007B6C63" w:rsidP="000B0581" w14:paraId="3C6A99DA" w14:textId="09BED14B">
      <w:pPr>
        <w:ind w:left="720"/>
        <w:rPr>
          <w:rFonts w:ascii="Times New Roman" w:hAnsi="Times New Roman"/>
        </w:rPr>
      </w:pPr>
      <w:r>
        <w:rPr>
          <w:rFonts w:ascii="Times New Roman" w:hAnsi="Times New Roman"/>
          <w:spacing w:val="-1"/>
          <w:szCs w:val="24"/>
        </w:rPr>
        <w:t xml:space="preserve">Not </w:t>
      </w:r>
      <w:r w:rsidRPr="000B0581">
        <w:rPr>
          <w:rFonts w:ascii="Times New Roman" w:hAnsi="Times New Roman"/>
        </w:rPr>
        <w:t>applicable</w:t>
      </w:r>
      <w:r w:rsidR="003B3219">
        <w:rPr>
          <w:rFonts w:ascii="Times New Roman" w:hAnsi="Times New Roman"/>
          <w:spacing w:val="-1"/>
          <w:szCs w:val="24"/>
        </w:rPr>
        <w:t>.</w:t>
      </w:r>
      <w:r>
        <w:rPr>
          <w:rFonts w:ascii="Times New Roman" w:hAnsi="Times New Roman"/>
          <w:spacing w:val="-1"/>
          <w:szCs w:val="24"/>
        </w:rPr>
        <w:t xml:space="preserve"> </w:t>
      </w:r>
      <w:r w:rsidR="003B3219">
        <w:rPr>
          <w:rFonts w:ascii="Times New Roman" w:hAnsi="Times New Roman"/>
          <w:spacing w:val="-1"/>
          <w:szCs w:val="24"/>
        </w:rPr>
        <w:t>N</w:t>
      </w:r>
      <w:r>
        <w:rPr>
          <w:rFonts w:ascii="Times New Roman" w:hAnsi="Times New Roman"/>
          <w:spacing w:val="-1"/>
          <w:szCs w:val="24"/>
        </w:rPr>
        <w:t>o sensitive information is collected.</w:t>
      </w:r>
    </w:p>
    <w:p w:rsidR="00615BAD" w14:paraId="054D44D6" w14:textId="77777777">
      <w:pPr>
        <w:rPr>
          <w:rFonts w:ascii="Times New Roman" w:hAnsi="Times New Roman"/>
        </w:rPr>
      </w:pPr>
    </w:p>
    <w:p w:rsidR="007B6C63" w:rsidP="00A1019D" w14:paraId="0056679D" w14:textId="77777777">
      <w:pPr>
        <w:tabs>
          <w:tab w:val="left" w:pos="-1440"/>
        </w:tabs>
        <w:ind w:left="720" w:hanging="360"/>
        <w:rPr>
          <w:rFonts w:ascii="Times New Roman" w:hAnsi="Times New Roman"/>
          <w:b/>
          <w:bCs/>
          <w:iCs/>
          <w:szCs w:val="24"/>
          <w:u w:val="single"/>
        </w:rPr>
      </w:pPr>
      <w:r>
        <w:rPr>
          <w:rFonts w:ascii="Times New Roman" w:hAnsi="Times New Roman"/>
        </w:rPr>
        <w:t>12.</w:t>
      </w:r>
      <w:r>
        <w:rPr>
          <w:rFonts w:ascii="Times New Roman" w:hAnsi="Times New Roman"/>
        </w:rPr>
        <w:tab/>
      </w:r>
      <w:r w:rsidRPr="00A1019D" w:rsidR="00881712">
        <w:rPr>
          <w:rFonts w:ascii="Times New Roman" w:hAnsi="Times New Roman"/>
          <w:b/>
          <w:bCs/>
          <w:iCs/>
          <w:u w:val="single"/>
        </w:rPr>
        <w:t>Estimate</w:t>
      </w:r>
      <w:r w:rsidRPr="00D64624" w:rsidR="00881712">
        <w:rPr>
          <w:rFonts w:ascii="Times New Roman" w:hAnsi="Times New Roman"/>
          <w:b/>
          <w:bCs/>
          <w:iCs/>
          <w:szCs w:val="24"/>
          <w:u w:val="single"/>
        </w:rPr>
        <w:t xml:space="preserve"> of hour burden including annualized hourly costs:</w:t>
      </w:r>
    </w:p>
    <w:p w:rsidR="004A5EE7" w:rsidP="00A1019D" w14:paraId="0D5E4158" w14:textId="77777777">
      <w:pPr>
        <w:tabs>
          <w:tab w:val="left" w:pos="-1440"/>
        </w:tabs>
        <w:ind w:left="720" w:hanging="360"/>
        <w:rPr>
          <w:rFonts w:ascii="Times New Roman" w:hAnsi="Times New Roman"/>
          <w:b/>
          <w:bCs/>
          <w:iCs/>
          <w:szCs w:val="24"/>
          <w:u w:val="single"/>
        </w:rPr>
      </w:pPr>
    </w:p>
    <w:p w:rsidR="00881712" w14:paraId="0DD1A969" w14:textId="77777777">
      <w:pPr>
        <w:tabs>
          <w:tab w:val="left" w:pos="-1440"/>
        </w:tabs>
        <w:ind w:firstLine="720"/>
        <w:rPr>
          <w:rFonts w:ascii="Times New Roman" w:hAnsi="Times New Roman"/>
          <w:b/>
          <w:bCs/>
          <w:iCs/>
          <w:szCs w:val="24"/>
          <w:u w:val="single"/>
        </w:rPr>
      </w:pPr>
    </w:p>
    <w:tbl>
      <w:tblPr>
        <w:tblW w:w="9440" w:type="dxa"/>
        <w:tblLayout w:type="fixed"/>
        <w:tblCellMar>
          <w:top w:w="15" w:type="dxa"/>
        </w:tblCellMar>
        <w:tblLook w:val="04A0"/>
      </w:tblPr>
      <w:tblGrid>
        <w:gridCol w:w="2253"/>
        <w:gridCol w:w="1593"/>
        <w:gridCol w:w="1313"/>
        <w:gridCol w:w="1653"/>
        <w:gridCol w:w="1097"/>
        <w:gridCol w:w="1531"/>
      </w:tblGrid>
      <w:tr w14:paraId="5AFC9EA3" w14:textId="77777777" w:rsidTr="00A42784">
        <w:tblPrEx>
          <w:tblW w:w="9440" w:type="dxa"/>
          <w:tblLayout w:type="fixed"/>
          <w:tblCellMar>
            <w:top w:w="15" w:type="dxa"/>
          </w:tblCellMar>
          <w:tblLook w:val="04A0"/>
        </w:tblPrEx>
        <w:trPr>
          <w:trHeight w:val="360"/>
        </w:trPr>
        <w:tc>
          <w:tcPr>
            <w:tcW w:w="9440" w:type="dxa"/>
            <w:gridSpan w:val="6"/>
            <w:tcBorders>
              <w:top w:val="single" w:sz="8" w:space="0" w:color="auto"/>
              <w:left w:val="single" w:sz="8" w:space="0" w:color="auto"/>
              <w:bottom w:val="single" w:sz="8" w:space="0" w:color="auto"/>
              <w:right w:val="single" w:sz="8" w:space="0" w:color="000000"/>
            </w:tcBorders>
            <w:vAlign w:val="center"/>
            <w:hideMark/>
          </w:tcPr>
          <w:p w:rsidR="003773E0" w:rsidRPr="003773E0" w:rsidP="003773E0" w14:paraId="57D68016" w14:textId="764D955D">
            <w:pPr>
              <w:widowControl/>
              <w:jc w:val="center"/>
              <w:rPr>
                <w:rFonts w:ascii="Source Sans Pro" w:hAnsi="Source Sans Pro" w:cs="Calibri"/>
                <w:snapToGrid/>
                <w:color w:val="000000"/>
                <w:szCs w:val="24"/>
              </w:rPr>
            </w:pPr>
            <w:r w:rsidRPr="003773E0">
              <w:rPr>
                <w:rFonts w:ascii="Source Sans Pro" w:hAnsi="Source Sans Pro" w:cs="Calibri"/>
                <w:snapToGrid/>
                <w:color w:val="000000"/>
                <w:szCs w:val="24"/>
              </w:rPr>
              <w:t>Summary of Estimated Annual Burden (OMB No. 3064-0057)</w:t>
            </w:r>
          </w:p>
        </w:tc>
      </w:tr>
      <w:tr w14:paraId="17BC1427" w14:textId="77777777" w:rsidTr="00A42784">
        <w:tblPrEx>
          <w:tblW w:w="9440" w:type="dxa"/>
          <w:tblLayout w:type="fixed"/>
          <w:tblCellMar>
            <w:top w:w="15" w:type="dxa"/>
          </w:tblCellMar>
          <w:tblLook w:val="04A0"/>
        </w:tblPrEx>
        <w:trPr>
          <w:trHeight w:val="1140"/>
        </w:trPr>
        <w:tc>
          <w:tcPr>
            <w:tcW w:w="2253" w:type="dxa"/>
            <w:tcBorders>
              <w:top w:val="nil"/>
              <w:left w:val="single" w:sz="8" w:space="0" w:color="auto"/>
              <w:bottom w:val="single" w:sz="8" w:space="0" w:color="auto"/>
              <w:right w:val="single" w:sz="8" w:space="0" w:color="auto"/>
            </w:tcBorders>
            <w:vAlign w:val="center"/>
            <w:hideMark/>
          </w:tcPr>
          <w:p w:rsidR="003773E0" w:rsidRPr="003773E0" w:rsidP="003773E0" w14:paraId="285EBA78" w14:textId="77777777">
            <w:pPr>
              <w:widowControl/>
              <w:rPr>
                <w:rFonts w:ascii="Source Sans Pro" w:hAnsi="Source Sans Pro" w:cs="Calibri"/>
                <w:snapToGrid/>
                <w:color w:val="000000"/>
                <w:sz w:val="20"/>
              </w:rPr>
            </w:pPr>
            <w:r w:rsidRPr="003773E0">
              <w:rPr>
                <w:rFonts w:ascii="Source Sans Pro" w:hAnsi="Source Sans Pro" w:cs="Calibri"/>
                <w:snapToGrid/>
                <w:color w:val="000000"/>
                <w:sz w:val="20"/>
              </w:rPr>
              <w:t>Information Collection (IC) (Obligation to Respond)</w:t>
            </w:r>
          </w:p>
        </w:tc>
        <w:tc>
          <w:tcPr>
            <w:tcW w:w="1593" w:type="dxa"/>
            <w:tcBorders>
              <w:top w:val="nil"/>
              <w:left w:val="nil"/>
              <w:bottom w:val="single" w:sz="8" w:space="0" w:color="auto"/>
              <w:right w:val="single" w:sz="8" w:space="0" w:color="auto"/>
            </w:tcBorders>
            <w:vAlign w:val="center"/>
            <w:hideMark/>
          </w:tcPr>
          <w:p w:rsidR="003773E0" w:rsidRPr="003773E0" w:rsidP="003773E0" w14:paraId="55244C9C" w14:textId="77777777">
            <w:pPr>
              <w:widowControl/>
              <w:jc w:val="center"/>
              <w:rPr>
                <w:rFonts w:ascii="Source Sans Pro" w:hAnsi="Source Sans Pro" w:cs="Calibri"/>
                <w:snapToGrid/>
                <w:color w:val="000000"/>
                <w:sz w:val="20"/>
              </w:rPr>
            </w:pPr>
            <w:r w:rsidRPr="003773E0">
              <w:rPr>
                <w:rFonts w:ascii="Source Sans Pro" w:hAnsi="Source Sans Pro" w:cs="Calibri"/>
                <w:snapToGrid/>
                <w:color w:val="000000"/>
                <w:sz w:val="20"/>
              </w:rPr>
              <w:t>Type of Burden</w:t>
            </w:r>
            <w:r w:rsidRPr="003773E0">
              <w:rPr>
                <w:rFonts w:ascii="Source Sans Pro" w:hAnsi="Source Sans Pro" w:cs="Calibri"/>
                <w:snapToGrid/>
                <w:color w:val="000000"/>
                <w:sz w:val="20"/>
              </w:rPr>
              <w:br/>
              <w:t>(Frequency of Response)</w:t>
            </w:r>
          </w:p>
        </w:tc>
        <w:tc>
          <w:tcPr>
            <w:tcW w:w="1313" w:type="dxa"/>
            <w:tcBorders>
              <w:top w:val="nil"/>
              <w:left w:val="nil"/>
              <w:bottom w:val="single" w:sz="8" w:space="0" w:color="auto"/>
              <w:right w:val="single" w:sz="8" w:space="0" w:color="auto"/>
            </w:tcBorders>
            <w:vAlign w:val="center"/>
            <w:hideMark/>
          </w:tcPr>
          <w:p w:rsidR="003773E0" w:rsidRPr="003773E0" w:rsidP="003773E0" w14:paraId="6C9BCD4B" w14:textId="77777777">
            <w:pPr>
              <w:widowControl/>
              <w:jc w:val="center"/>
              <w:rPr>
                <w:rFonts w:ascii="Source Sans Pro" w:hAnsi="Source Sans Pro" w:cs="Calibri"/>
                <w:snapToGrid/>
                <w:color w:val="000000"/>
                <w:sz w:val="20"/>
              </w:rPr>
            </w:pPr>
            <w:r w:rsidRPr="003773E0">
              <w:rPr>
                <w:rFonts w:ascii="Source Sans Pro" w:hAnsi="Source Sans Pro" w:cs="Calibri"/>
                <w:snapToGrid/>
                <w:color w:val="000000"/>
                <w:sz w:val="20"/>
              </w:rPr>
              <w:t xml:space="preserve"> Number of Respondents</w:t>
            </w:r>
          </w:p>
        </w:tc>
        <w:tc>
          <w:tcPr>
            <w:tcW w:w="1653" w:type="dxa"/>
            <w:tcBorders>
              <w:top w:val="nil"/>
              <w:left w:val="nil"/>
              <w:bottom w:val="single" w:sz="8" w:space="0" w:color="auto"/>
              <w:right w:val="single" w:sz="8" w:space="0" w:color="auto"/>
            </w:tcBorders>
            <w:vAlign w:val="center"/>
            <w:hideMark/>
          </w:tcPr>
          <w:p w:rsidR="003773E0" w:rsidRPr="003773E0" w:rsidP="003773E0" w14:paraId="301FA12C" w14:textId="77777777">
            <w:pPr>
              <w:widowControl/>
              <w:jc w:val="center"/>
              <w:rPr>
                <w:rFonts w:ascii="Source Sans Pro" w:hAnsi="Source Sans Pro" w:cs="Calibri"/>
                <w:snapToGrid/>
                <w:color w:val="000000"/>
                <w:sz w:val="20"/>
              </w:rPr>
            </w:pPr>
            <w:r w:rsidRPr="003773E0">
              <w:rPr>
                <w:rFonts w:ascii="Source Sans Pro" w:hAnsi="Source Sans Pro" w:cs="Calibri"/>
                <w:snapToGrid/>
                <w:color w:val="000000"/>
                <w:sz w:val="20"/>
              </w:rPr>
              <w:t xml:space="preserve"> Number of Responses per Respondent</w:t>
            </w:r>
          </w:p>
        </w:tc>
        <w:tc>
          <w:tcPr>
            <w:tcW w:w="1097" w:type="dxa"/>
            <w:tcBorders>
              <w:top w:val="nil"/>
              <w:left w:val="nil"/>
              <w:bottom w:val="single" w:sz="8" w:space="0" w:color="auto"/>
              <w:right w:val="single" w:sz="8" w:space="0" w:color="auto"/>
            </w:tcBorders>
            <w:vAlign w:val="center"/>
            <w:hideMark/>
          </w:tcPr>
          <w:p w:rsidR="003773E0" w:rsidRPr="003773E0" w:rsidP="003773E0" w14:paraId="4876D041" w14:textId="77777777">
            <w:pPr>
              <w:widowControl/>
              <w:jc w:val="center"/>
              <w:rPr>
                <w:rFonts w:ascii="Source Sans Pro" w:hAnsi="Source Sans Pro" w:cs="Calibri"/>
                <w:snapToGrid/>
                <w:color w:val="000000"/>
                <w:sz w:val="20"/>
              </w:rPr>
            </w:pPr>
            <w:r w:rsidRPr="003773E0">
              <w:rPr>
                <w:rFonts w:ascii="Source Sans Pro" w:hAnsi="Source Sans Pro" w:cs="Calibri"/>
                <w:snapToGrid/>
                <w:color w:val="000000"/>
                <w:sz w:val="20"/>
              </w:rPr>
              <w:t>Average Time per Response (HH:MM)</w:t>
            </w:r>
          </w:p>
        </w:tc>
        <w:tc>
          <w:tcPr>
            <w:tcW w:w="1531" w:type="dxa"/>
            <w:tcBorders>
              <w:top w:val="nil"/>
              <w:left w:val="nil"/>
              <w:bottom w:val="single" w:sz="8" w:space="0" w:color="auto"/>
              <w:right w:val="single" w:sz="8" w:space="0" w:color="auto"/>
            </w:tcBorders>
            <w:vAlign w:val="center"/>
            <w:hideMark/>
          </w:tcPr>
          <w:p w:rsidR="003773E0" w:rsidRPr="003773E0" w:rsidP="003773E0" w14:paraId="11201B18" w14:textId="77777777">
            <w:pPr>
              <w:widowControl/>
              <w:jc w:val="center"/>
              <w:rPr>
                <w:rFonts w:ascii="Source Sans Pro" w:hAnsi="Source Sans Pro" w:cs="Calibri"/>
                <w:snapToGrid/>
                <w:color w:val="000000"/>
                <w:sz w:val="20"/>
              </w:rPr>
            </w:pPr>
            <w:r w:rsidRPr="003773E0">
              <w:rPr>
                <w:rFonts w:ascii="Source Sans Pro" w:hAnsi="Source Sans Pro" w:cs="Calibri"/>
                <w:snapToGrid/>
                <w:color w:val="000000"/>
                <w:sz w:val="20"/>
              </w:rPr>
              <w:t>Annual Burden (Hours)</w:t>
            </w:r>
          </w:p>
        </w:tc>
      </w:tr>
      <w:tr w14:paraId="640157BC" w14:textId="77777777" w:rsidTr="00A42784">
        <w:tblPrEx>
          <w:tblW w:w="9440" w:type="dxa"/>
          <w:tblLayout w:type="fixed"/>
          <w:tblCellMar>
            <w:top w:w="15" w:type="dxa"/>
          </w:tblCellMar>
          <w:tblLook w:val="04A0"/>
        </w:tblPrEx>
        <w:trPr>
          <w:trHeight w:val="1635"/>
        </w:trPr>
        <w:tc>
          <w:tcPr>
            <w:tcW w:w="2253" w:type="dxa"/>
            <w:tcBorders>
              <w:top w:val="nil"/>
              <w:left w:val="single" w:sz="8" w:space="0" w:color="auto"/>
              <w:bottom w:val="single" w:sz="8" w:space="0" w:color="auto"/>
              <w:right w:val="single" w:sz="8" w:space="0" w:color="auto"/>
            </w:tcBorders>
            <w:vAlign w:val="center"/>
            <w:hideMark/>
          </w:tcPr>
          <w:p w:rsidR="003773E0" w:rsidRPr="003773E0" w:rsidP="003773E0" w14:paraId="255DEAFF" w14:textId="77777777">
            <w:pPr>
              <w:widowControl/>
              <w:rPr>
                <w:rFonts w:ascii="Source Sans Pro" w:hAnsi="Source Sans Pro" w:cs="Calibri"/>
                <w:snapToGrid/>
                <w:color w:val="000000"/>
                <w:sz w:val="20"/>
              </w:rPr>
            </w:pPr>
            <w:r w:rsidRPr="003773E0">
              <w:rPr>
                <w:rFonts w:ascii="Source Sans Pro" w:hAnsi="Source Sans Pro" w:cs="Calibri"/>
                <w:snapToGrid/>
                <w:color w:val="000000"/>
                <w:sz w:val="20"/>
              </w:rPr>
              <w:t>1. Quarterly Certified Statement Invoice for Deposit Insurance Assessment,</w:t>
            </w:r>
            <w:r w:rsidRPr="003773E0">
              <w:rPr>
                <w:rFonts w:ascii="Source Sans Pro" w:hAnsi="Source Sans Pro" w:cs="Calibri"/>
                <w:snapToGrid/>
                <w:color w:val="000000"/>
                <w:sz w:val="20"/>
              </w:rPr>
              <w:br/>
              <w:t>12 CFR Part 327</w:t>
            </w:r>
            <w:r w:rsidRPr="003773E0">
              <w:rPr>
                <w:rFonts w:ascii="Source Sans Pro" w:hAnsi="Source Sans Pro" w:cs="Calibri"/>
                <w:snapToGrid/>
                <w:color w:val="000000"/>
                <w:sz w:val="20"/>
              </w:rPr>
              <w:br/>
              <w:t>(Mandatory)</w:t>
            </w:r>
          </w:p>
        </w:tc>
        <w:tc>
          <w:tcPr>
            <w:tcW w:w="1593" w:type="dxa"/>
            <w:tcBorders>
              <w:top w:val="nil"/>
              <w:left w:val="nil"/>
              <w:bottom w:val="single" w:sz="8" w:space="0" w:color="auto"/>
              <w:right w:val="single" w:sz="8" w:space="0" w:color="auto"/>
            </w:tcBorders>
            <w:vAlign w:val="center"/>
            <w:hideMark/>
          </w:tcPr>
          <w:p w:rsidR="003773E0" w:rsidRPr="003773E0" w:rsidP="003773E0" w14:paraId="1F0CEF69" w14:textId="77777777">
            <w:pPr>
              <w:widowControl/>
              <w:jc w:val="center"/>
              <w:rPr>
                <w:rFonts w:ascii="Source Sans Pro" w:hAnsi="Source Sans Pro" w:cs="Calibri"/>
                <w:snapToGrid/>
                <w:color w:val="000000"/>
                <w:sz w:val="20"/>
              </w:rPr>
            </w:pPr>
            <w:r w:rsidRPr="003773E0">
              <w:rPr>
                <w:rFonts w:ascii="Source Sans Pro" w:hAnsi="Source Sans Pro" w:cs="Calibri"/>
                <w:snapToGrid/>
                <w:color w:val="000000"/>
                <w:sz w:val="20"/>
              </w:rPr>
              <w:t>Reporting</w:t>
            </w:r>
            <w:r w:rsidRPr="003773E0">
              <w:rPr>
                <w:rFonts w:ascii="Source Sans Pro" w:hAnsi="Source Sans Pro" w:cs="Calibri"/>
                <w:snapToGrid/>
                <w:color w:val="000000"/>
                <w:sz w:val="20"/>
              </w:rPr>
              <w:br/>
              <w:t>(Quarterly)</w:t>
            </w:r>
          </w:p>
        </w:tc>
        <w:tc>
          <w:tcPr>
            <w:tcW w:w="1313" w:type="dxa"/>
            <w:tcBorders>
              <w:top w:val="nil"/>
              <w:left w:val="nil"/>
              <w:bottom w:val="single" w:sz="8" w:space="0" w:color="auto"/>
              <w:right w:val="single" w:sz="8" w:space="0" w:color="auto"/>
            </w:tcBorders>
            <w:noWrap/>
            <w:vAlign w:val="center"/>
            <w:hideMark/>
          </w:tcPr>
          <w:p w:rsidR="003773E0" w:rsidRPr="003773E0" w:rsidP="003773E0" w14:paraId="4E496084" w14:textId="77777777">
            <w:pPr>
              <w:widowControl/>
              <w:jc w:val="right"/>
              <w:rPr>
                <w:rFonts w:ascii="Source Sans Pro" w:hAnsi="Source Sans Pro" w:cs="Calibri"/>
                <w:snapToGrid/>
                <w:color w:val="000000"/>
                <w:sz w:val="20"/>
              </w:rPr>
            </w:pPr>
            <w:r w:rsidRPr="003773E0">
              <w:rPr>
                <w:rFonts w:ascii="Source Sans Pro" w:hAnsi="Source Sans Pro" w:cs="Calibri"/>
                <w:snapToGrid/>
                <w:color w:val="000000"/>
                <w:sz w:val="20"/>
              </w:rPr>
              <w:t>4,345</w:t>
            </w:r>
          </w:p>
        </w:tc>
        <w:tc>
          <w:tcPr>
            <w:tcW w:w="1653" w:type="dxa"/>
            <w:tcBorders>
              <w:top w:val="nil"/>
              <w:left w:val="nil"/>
              <w:bottom w:val="single" w:sz="8" w:space="0" w:color="auto"/>
              <w:right w:val="single" w:sz="8" w:space="0" w:color="auto"/>
            </w:tcBorders>
            <w:noWrap/>
            <w:vAlign w:val="center"/>
            <w:hideMark/>
          </w:tcPr>
          <w:p w:rsidR="003773E0" w:rsidRPr="003773E0" w:rsidP="003773E0" w14:paraId="70088BD4" w14:textId="77777777">
            <w:pPr>
              <w:widowControl/>
              <w:jc w:val="right"/>
              <w:rPr>
                <w:rFonts w:ascii="Source Sans Pro" w:hAnsi="Source Sans Pro" w:cs="Calibri"/>
                <w:snapToGrid/>
                <w:color w:val="000000"/>
                <w:sz w:val="20"/>
              </w:rPr>
            </w:pPr>
            <w:r w:rsidRPr="003773E0">
              <w:rPr>
                <w:rFonts w:ascii="Source Sans Pro" w:hAnsi="Source Sans Pro" w:cs="Calibri"/>
                <w:snapToGrid/>
                <w:color w:val="000000"/>
                <w:sz w:val="20"/>
              </w:rPr>
              <w:t>4</w:t>
            </w:r>
          </w:p>
        </w:tc>
        <w:tc>
          <w:tcPr>
            <w:tcW w:w="1097" w:type="dxa"/>
            <w:tcBorders>
              <w:top w:val="nil"/>
              <w:left w:val="nil"/>
              <w:bottom w:val="single" w:sz="8" w:space="0" w:color="auto"/>
              <w:right w:val="nil"/>
            </w:tcBorders>
            <w:vAlign w:val="center"/>
            <w:hideMark/>
          </w:tcPr>
          <w:p w:rsidR="003773E0" w:rsidRPr="003773E0" w:rsidP="003773E0" w14:paraId="12E94917" w14:textId="77777777">
            <w:pPr>
              <w:widowControl/>
              <w:jc w:val="right"/>
              <w:rPr>
                <w:rFonts w:ascii="Source Sans Pro" w:hAnsi="Source Sans Pro" w:cs="Calibri"/>
                <w:snapToGrid/>
                <w:color w:val="000000"/>
                <w:sz w:val="20"/>
              </w:rPr>
            </w:pPr>
            <w:r w:rsidRPr="003773E0">
              <w:rPr>
                <w:rFonts w:ascii="Source Sans Pro" w:hAnsi="Source Sans Pro" w:cs="Calibri"/>
                <w:snapToGrid/>
                <w:color w:val="000000"/>
                <w:sz w:val="20"/>
              </w:rPr>
              <w:t>00:20</w:t>
            </w:r>
          </w:p>
        </w:tc>
        <w:tc>
          <w:tcPr>
            <w:tcW w:w="1531" w:type="dxa"/>
            <w:tcBorders>
              <w:top w:val="nil"/>
              <w:left w:val="single" w:sz="8" w:space="0" w:color="auto"/>
              <w:bottom w:val="single" w:sz="8" w:space="0" w:color="auto"/>
              <w:right w:val="single" w:sz="8" w:space="0" w:color="auto"/>
            </w:tcBorders>
            <w:noWrap/>
            <w:vAlign w:val="center"/>
            <w:hideMark/>
          </w:tcPr>
          <w:p w:rsidR="003773E0" w:rsidRPr="003773E0" w:rsidP="003773E0" w14:paraId="1AA5C19D" w14:textId="77777777">
            <w:pPr>
              <w:widowControl/>
              <w:jc w:val="right"/>
              <w:rPr>
                <w:rFonts w:ascii="Source Sans Pro" w:hAnsi="Source Sans Pro" w:cs="Calibri"/>
                <w:snapToGrid/>
                <w:color w:val="000000"/>
                <w:sz w:val="20"/>
              </w:rPr>
            </w:pPr>
            <w:r w:rsidRPr="003773E0">
              <w:rPr>
                <w:rFonts w:ascii="Source Sans Pro" w:hAnsi="Source Sans Pro" w:cs="Calibri"/>
                <w:snapToGrid/>
                <w:color w:val="000000"/>
                <w:sz w:val="20"/>
              </w:rPr>
              <w:t>5,793</w:t>
            </w:r>
          </w:p>
        </w:tc>
      </w:tr>
      <w:tr w14:paraId="257039C5" w14:textId="77777777" w:rsidTr="00A42784">
        <w:tblPrEx>
          <w:tblW w:w="9440" w:type="dxa"/>
          <w:tblLayout w:type="fixed"/>
          <w:tblCellMar>
            <w:top w:w="15" w:type="dxa"/>
          </w:tblCellMar>
          <w:tblLook w:val="04A0"/>
        </w:tblPrEx>
        <w:trPr>
          <w:trHeight w:val="300"/>
        </w:trPr>
        <w:tc>
          <w:tcPr>
            <w:tcW w:w="7909" w:type="dxa"/>
            <w:gridSpan w:val="5"/>
            <w:tcBorders>
              <w:top w:val="single" w:sz="8" w:space="0" w:color="auto"/>
              <w:left w:val="single" w:sz="8" w:space="0" w:color="auto"/>
              <w:bottom w:val="single" w:sz="8" w:space="0" w:color="auto"/>
              <w:right w:val="nil"/>
            </w:tcBorders>
            <w:shd w:val="clear" w:color="000000" w:fill="FFFFFF"/>
            <w:noWrap/>
            <w:vAlign w:val="center"/>
            <w:hideMark/>
          </w:tcPr>
          <w:p w:rsidR="003773E0" w:rsidRPr="003773E0" w:rsidP="003773E0" w14:paraId="228FADE0" w14:textId="77777777">
            <w:pPr>
              <w:widowControl/>
              <w:jc w:val="right"/>
              <w:rPr>
                <w:rFonts w:ascii="Source Sans Pro" w:hAnsi="Source Sans Pro" w:cs="Calibri"/>
                <w:b/>
                <w:bCs/>
                <w:i/>
                <w:iCs/>
                <w:snapToGrid/>
                <w:color w:val="000000"/>
                <w:sz w:val="22"/>
                <w:szCs w:val="22"/>
              </w:rPr>
            </w:pPr>
            <w:r w:rsidRPr="003773E0">
              <w:rPr>
                <w:rFonts w:ascii="Source Sans Pro" w:hAnsi="Source Sans Pro" w:cs="Calibri"/>
                <w:b/>
                <w:bCs/>
                <w:i/>
                <w:iCs/>
                <w:snapToGrid/>
                <w:color w:val="000000"/>
                <w:sz w:val="22"/>
                <w:szCs w:val="22"/>
              </w:rPr>
              <w:t>Total Annual Burden (Hours):</w:t>
            </w:r>
          </w:p>
        </w:tc>
        <w:tc>
          <w:tcPr>
            <w:tcW w:w="1531" w:type="dxa"/>
            <w:tcBorders>
              <w:top w:val="nil"/>
              <w:left w:val="nil"/>
              <w:bottom w:val="single" w:sz="8" w:space="0" w:color="auto"/>
              <w:right w:val="single" w:sz="8" w:space="0" w:color="auto"/>
            </w:tcBorders>
            <w:noWrap/>
            <w:vAlign w:val="bottom"/>
            <w:hideMark/>
          </w:tcPr>
          <w:p w:rsidR="003773E0" w:rsidRPr="003773E0" w:rsidP="003773E0" w14:paraId="7D0E3766" w14:textId="77777777">
            <w:pPr>
              <w:widowControl/>
              <w:jc w:val="right"/>
              <w:rPr>
                <w:rFonts w:ascii="Source Sans Pro" w:eastAsia="Source Sans Pro" w:hAnsi="Source Sans Pro" w:cs="Source Sans Pro"/>
                <w:snapToGrid/>
                <w:sz w:val="20"/>
              </w:rPr>
            </w:pPr>
            <w:r w:rsidRPr="003773E0">
              <w:rPr>
                <w:rFonts w:ascii="Source Sans Pro" w:eastAsia="Source Sans Pro" w:hAnsi="Source Sans Pro" w:cs="Source Sans Pro"/>
                <w:b/>
                <w:bCs/>
                <w:i/>
                <w:iCs/>
                <w:snapToGrid/>
                <w:sz w:val="20"/>
              </w:rPr>
              <w:t>5,793</w:t>
            </w:r>
          </w:p>
        </w:tc>
      </w:tr>
      <w:tr w14:paraId="061DD5E0" w14:textId="77777777" w:rsidTr="00A42784">
        <w:tblPrEx>
          <w:tblW w:w="9440" w:type="dxa"/>
          <w:tblLayout w:type="fixed"/>
          <w:tblCellMar>
            <w:top w:w="15" w:type="dxa"/>
          </w:tblCellMar>
          <w:tblLook w:val="04A0"/>
        </w:tblPrEx>
        <w:trPr>
          <w:trHeight w:val="252"/>
        </w:trPr>
        <w:tc>
          <w:tcPr>
            <w:tcW w:w="9440" w:type="dxa"/>
            <w:gridSpan w:val="6"/>
            <w:tcBorders>
              <w:top w:val="single" w:sz="8" w:space="0" w:color="auto"/>
              <w:left w:val="single" w:sz="8" w:space="0" w:color="auto"/>
              <w:bottom w:val="single" w:sz="4" w:space="0" w:color="auto"/>
              <w:right w:val="single" w:sz="8" w:space="0" w:color="000000"/>
            </w:tcBorders>
            <w:noWrap/>
            <w:hideMark/>
          </w:tcPr>
          <w:p w:rsidR="003773E0" w:rsidRPr="003773E0" w:rsidP="003773E0" w14:paraId="5D64FBD4" w14:textId="77777777">
            <w:pPr>
              <w:widowControl/>
              <w:rPr>
                <w:rFonts w:ascii="Source Sans Pro" w:hAnsi="Source Sans Pro" w:cs="Calibri"/>
                <w:snapToGrid/>
                <w:color w:val="000000"/>
                <w:sz w:val="18"/>
                <w:szCs w:val="18"/>
              </w:rPr>
            </w:pPr>
            <w:r w:rsidRPr="003773E0">
              <w:rPr>
                <w:rFonts w:ascii="Source Sans Pro" w:hAnsi="Source Sans Pro" w:cs="Calibri"/>
                <w:snapToGrid/>
                <w:color w:val="000000"/>
                <w:sz w:val="18"/>
                <w:szCs w:val="18"/>
              </w:rPr>
              <w:t>Source: FDIC.</w:t>
            </w:r>
          </w:p>
        </w:tc>
      </w:tr>
    </w:tbl>
    <w:p w:rsidR="003773E0" w:rsidP="006B18B4" w14:paraId="0DD674E2" w14:textId="77777777">
      <w:pPr>
        <w:keepNext/>
        <w:tabs>
          <w:tab w:val="left" w:pos="-1440"/>
        </w:tabs>
        <w:ind w:left="720" w:hanging="360"/>
        <w:rPr>
          <w:rFonts w:ascii="Times New Roman" w:hAnsi="Times New Roman"/>
          <w:lang w:bidi="en-US"/>
        </w:rPr>
      </w:pPr>
    </w:p>
    <w:p w:rsidR="004A5EE7" w:rsidP="006B18B4" w14:paraId="775FCAE0" w14:textId="77777777">
      <w:pPr>
        <w:keepNext/>
        <w:tabs>
          <w:tab w:val="left" w:pos="-1440"/>
        </w:tabs>
        <w:ind w:left="720" w:hanging="360"/>
        <w:rPr>
          <w:rFonts w:ascii="Times New Roman" w:hAnsi="Times New Roman"/>
          <w:lang w:bidi="en-US"/>
        </w:rPr>
      </w:pPr>
    </w:p>
    <w:tbl>
      <w:tblPr>
        <w:tblW w:w="9443" w:type="dxa"/>
        <w:tblCellMar>
          <w:top w:w="15" w:type="dxa"/>
        </w:tblCellMar>
        <w:tblLook w:val="04A0"/>
      </w:tblPr>
      <w:tblGrid>
        <w:gridCol w:w="1316"/>
        <w:gridCol w:w="837"/>
        <w:gridCol w:w="1007"/>
        <w:gridCol w:w="1007"/>
        <w:gridCol w:w="905"/>
        <w:gridCol w:w="1007"/>
        <w:gridCol w:w="1006"/>
        <w:gridCol w:w="914"/>
        <w:gridCol w:w="1444"/>
      </w:tblGrid>
      <w:tr w14:paraId="25D0550E" w14:textId="77777777" w:rsidTr="00D31DC4">
        <w:tblPrEx>
          <w:tblW w:w="9443" w:type="dxa"/>
          <w:tblCellMar>
            <w:top w:w="15" w:type="dxa"/>
          </w:tblCellMar>
          <w:tblLook w:val="04A0"/>
        </w:tblPrEx>
        <w:trPr>
          <w:trHeight w:val="362"/>
        </w:trPr>
        <w:tc>
          <w:tcPr>
            <w:tcW w:w="9443" w:type="dxa"/>
            <w:gridSpan w:val="9"/>
            <w:tcBorders>
              <w:top w:val="single" w:sz="8" w:space="0" w:color="auto"/>
              <w:left w:val="single" w:sz="8" w:space="0" w:color="auto"/>
              <w:bottom w:val="single" w:sz="8" w:space="0" w:color="auto"/>
              <w:right w:val="single" w:sz="8" w:space="0" w:color="auto"/>
            </w:tcBorders>
            <w:noWrap/>
            <w:vAlign w:val="bottom"/>
            <w:hideMark/>
          </w:tcPr>
          <w:p w:rsidR="00FD2265" w:rsidRPr="00FD2265" w:rsidP="00FD2265" w14:paraId="4F55B367" w14:textId="57A41814">
            <w:pPr>
              <w:widowControl/>
              <w:jc w:val="center"/>
              <w:rPr>
                <w:rFonts w:ascii="Source Sans Pro" w:hAnsi="Source Sans Pro" w:cs="Calibri"/>
                <w:snapToGrid/>
                <w:color w:val="000000"/>
                <w:szCs w:val="24"/>
              </w:rPr>
            </w:pPr>
            <w:r w:rsidRPr="00FD2265">
              <w:rPr>
                <w:rFonts w:ascii="Source Sans Pro" w:hAnsi="Source Sans Pro" w:cs="Calibri"/>
                <w:snapToGrid/>
                <w:color w:val="000000"/>
                <w:szCs w:val="24"/>
              </w:rPr>
              <w:t>Summary of Hourly Burden Cost Estimate (OMB No. 3064-0057)</w:t>
            </w:r>
          </w:p>
        </w:tc>
      </w:tr>
      <w:tr w14:paraId="4293741E" w14:textId="77777777" w:rsidTr="00D31DC4">
        <w:tblPrEx>
          <w:tblW w:w="9443" w:type="dxa"/>
          <w:tblCellMar>
            <w:top w:w="15" w:type="dxa"/>
          </w:tblCellMar>
          <w:tblLook w:val="04A0"/>
        </w:tblPrEx>
        <w:trPr>
          <w:trHeight w:val="604"/>
        </w:trPr>
        <w:tc>
          <w:tcPr>
            <w:tcW w:w="1316" w:type="dxa"/>
            <w:vMerge w:val="restart"/>
            <w:tcBorders>
              <w:top w:val="nil"/>
              <w:left w:val="single" w:sz="8" w:space="0" w:color="auto"/>
              <w:bottom w:val="single" w:sz="8" w:space="0" w:color="auto"/>
              <w:right w:val="single" w:sz="8" w:space="0" w:color="auto"/>
            </w:tcBorders>
            <w:vAlign w:val="center"/>
            <w:hideMark/>
          </w:tcPr>
          <w:p w:rsidR="00FD2265" w:rsidRPr="00FD2265" w:rsidP="00FD2265" w14:paraId="445BBD5F" w14:textId="77777777">
            <w:pPr>
              <w:widowControl/>
              <w:rPr>
                <w:rFonts w:ascii="Source Sans Pro" w:hAnsi="Source Sans Pro" w:cs="Calibri"/>
                <w:snapToGrid/>
                <w:color w:val="000000"/>
                <w:sz w:val="20"/>
              </w:rPr>
            </w:pPr>
            <w:r w:rsidRPr="00FD2265">
              <w:rPr>
                <w:rFonts w:ascii="Source Sans Pro" w:hAnsi="Source Sans Pro" w:cs="Calibri"/>
                <w:snapToGrid/>
                <w:color w:val="000000"/>
                <w:sz w:val="20"/>
              </w:rPr>
              <w:t xml:space="preserve">Information Collection (IC) (Obligation to Respond) </w:t>
            </w:r>
          </w:p>
        </w:tc>
        <w:tc>
          <w:tcPr>
            <w:tcW w:w="837" w:type="dxa"/>
            <w:vMerge w:val="restart"/>
            <w:tcBorders>
              <w:top w:val="nil"/>
              <w:left w:val="single" w:sz="8" w:space="0" w:color="auto"/>
              <w:bottom w:val="single" w:sz="8" w:space="0" w:color="auto"/>
              <w:right w:val="single" w:sz="8" w:space="0" w:color="auto"/>
            </w:tcBorders>
            <w:vAlign w:val="center"/>
            <w:hideMark/>
          </w:tcPr>
          <w:p w:rsidR="00FD2265" w:rsidRPr="00FD2265" w:rsidP="00FD2265" w14:paraId="0E7CC3B3" w14:textId="77777777">
            <w:pPr>
              <w:widowControl/>
              <w:jc w:val="center"/>
              <w:rPr>
                <w:rFonts w:ascii="Source Sans Pro" w:hAnsi="Source Sans Pro" w:cs="Calibri"/>
                <w:snapToGrid/>
                <w:color w:val="000000"/>
                <w:sz w:val="20"/>
              </w:rPr>
            </w:pPr>
            <w:r w:rsidRPr="00FD2265">
              <w:rPr>
                <w:rFonts w:ascii="Source Sans Pro" w:hAnsi="Source Sans Pro" w:cs="Calibri"/>
                <w:snapToGrid/>
                <w:color w:val="000000"/>
                <w:sz w:val="20"/>
              </w:rPr>
              <w:t xml:space="preserve">Hourly Weight </w:t>
            </w:r>
            <w:r w:rsidRPr="00FD2265">
              <w:rPr>
                <w:rFonts w:ascii="Source Sans Pro" w:hAnsi="Source Sans Pro" w:cs="Calibri"/>
                <w:snapToGrid/>
                <w:color w:val="000000"/>
                <w:sz w:val="20"/>
              </w:rPr>
              <w:br/>
              <w:t>(%)</w:t>
            </w:r>
          </w:p>
        </w:tc>
        <w:tc>
          <w:tcPr>
            <w:tcW w:w="6027" w:type="dxa"/>
            <w:gridSpan w:val="6"/>
            <w:vMerge w:val="restart"/>
            <w:tcBorders>
              <w:top w:val="single" w:sz="8" w:space="0" w:color="auto"/>
              <w:left w:val="single" w:sz="8" w:space="0" w:color="auto"/>
              <w:bottom w:val="single" w:sz="8" w:space="0" w:color="auto"/>
              <w:right w:val="single" w:sz="8" w:space="0" w:color="auto"/>
            </w:tcBorders>
            <w:vAlign w:val="center"/>
            <w:hideMark/>
          </w:tcPr>
          <w:p w:rsidR="00FD2265" w:rsidRPr="00FD2265" w:rsidP="00FD2265" w14:paraId="636C69DD" w14:textId="77777777">
            <w:pPr>
              <w:widowControl/>
              <w:jc w:val="center"/>
              <w:rPr>
                <w:rFonts w:ascii="Source Sans Pro" w:hAnsi="Source Sans Pro" w:cs="Calibri"/>
                <w:snapToGrid/>
                <w:color w:val="000000"/>
                <w:sz w:val="20"/>
              </w:rPr>
            </w:pPr>
            <w:r w:rsidRPr="00FD2265">
              <w:rPr>
                <w:rFonts w:ascii="Source Sans Pro" w:hAnsi="Source Sans Pro" w:cs="Calibri"/>
                <w:snapToGrid/>
                <w:color w:val="000000"/>
                <w:sz w:val="20"/>
              </w:rPr>
              <w:t xml:space="preserve">Percentage Shares of Hours Spent by and </w:t>
            </w:r>
            <w:r w:rsidRPr="00FD2265">
              <w:rPr>
                <w:rFonts w:ascii="Source Sans Pro" w:hAnsi="Source Sans Pro" w:cs="Calibri"/>
                <w:snapToGrid/>
                <w:color w:val="000000"/>
                <w:sz w:val="20"/>
              </w:rPr>
              <w:br/>
              <w:t xml:space="preserve">Hourly Compensation Rates for each Occupation Group </w:t>
            </w:r>
            <w:r w:rsidRPr="00FD2265">
              <w:rPr>
                <w:rFonts w:ascii="Source Sans Pro" w:hAnsi="Source Sans Pro" w:cs="Calibri"/>
                <w:snapToGrid/>
                <w:color w:val="000000"/>
                <w:sz w:val="20"/>
              </w:rPr>
              <w:br/>
              <w:t>(by Collection)</w:t>
            </w:r>
          </w:p>
        </w:tc>
        <w:tc>
          <w:tcPr>
            <w:tcW w:w="1263" w:type="dxa"/>
            <w:vMerge w:val="restart"/>
            <w:tcBorders>
              <w:top w:val="nil"/>
              <w:left w:val="single" w:sz="8" w:space="0" w:color="auto"/>
              <w:bottom w:val="single" w:sz="8" w:space="0" w:color="auto"/>
              <w:right w:val="single" w:sz="8" w:space="0" w:color="auto"/>
            </w:tcBorders>
            <w:vAlign w:val="center"/>
            <w:hideMark/>
          </w:tcPr>
          <w:p w:rsidR="00FD2265" w:rsidRPr="00FD2265" w:rsidP="00FD2265" w14:paraId="51263A32" w14:textId="77777777">
            <w:pPr>
              <w:widowControl/>
              <w:jc w:val="center"/>
              <w:rPr>
                <w:rFonts w:ascii="Source Sans Pro" w:hAnsi="Source Sans Pro" w:cs="Calibri"/>
                <w:snapToGrid/>
                <w:color w:val="000000"/>
                <w:sz w:val="20"/>
              </w:rPr>
            </w:pPr>
            <w:r w:rsidRPr="00FD2265">
              <w:rPr>
                <w:rFonts w:ascii="Source Sans Pro" w:hAnsi="Source Sans Pro" w:cs="Calibri"/>
                <w:snapToGrid/>
                <w:color w:val="000000"/>
                <w:sz w:val="20"/>
              </w:rPr>
              <w:t>Estimated Hourly Compensation Rate</w:t>
            </w:r>
          </w:p>
        </w:tc>
      </w:tr>
      <w:tr w14:paraId="38D546F0" w14:textId="77777777" w:rsidTr="00D31DC4">
        <w:tblPrEx>
          <w:tblW w:w="9443" w:type="dxa"/>
          <w:tblCellMar>
            <w:top w:w="15" w:type="dxa"/>
          </w:tblCellMar>
          <w:tblLook w:val="04A0"/>
        </w:tblPrEx>
        <w:trPr>
          <w:trHeight w:val="869"/>
        </w:trPr>
        <w:tc>
          <w:tcPr>
            <w:tcW w:w="1316" w:type="dxa"/>
            <w:vMerge/>
            <w:tcBorders>
              <w:top w:val="nil"/>
              <w:left w:val="single" w:sz="8" w:space="0" w:color="auto"/>
              <w:bottom w:val="single" w:sz="8" w:space="0" w:color="auto"/>
              <w:right w:val="single" w:sz="8" w:space="0" w:color="auto"/>
            </w:tcBorders>
            <w:vAlign w:val="center"/>
            <w:hideMark/>
          </w:tcPr>
          <w:p w:rsidR="00FD2265" w:rsidRPr="00FD2265" w:rsidP="00FD2265" w14:paraId="2DDA8894" w14:textId="77777777">
            <w:pPr>
              <w:widowControl/>
              <w:rPr>
                <w:rFonts w:ascii="Source Sans Pro" w:hAnsi="Source Sans Pro" w:cs="Calibri"/>
                <w:snapToGrid/>
                <w:color w:val="000000"/>
                <w:sz w:val="20"/>
              </w:rPr>
            </w:pPr>
          </w:p>
        </w:tc>
        <w:tc>
          <w:tcPr>
            <w:tcW w:w="837" w:type="dxa"/>
            <w:vMerge/>
            <w:tcBorders>
              <w:top w:val="nil"/>
              <w:left w:val="single" w:sz="8" w:space="0" w:color="auto"/>
              <w:bottom w:val="single" w:sz="8" w:space="0" w:color="auto"/>
              <w:right w:val="single" w:sz="8" w:space="0" w:color="auto"/>
            </w:tcBorders>
            <w:vAlign w:val="center"/>
            <w:hideMark/>
          </w:tcPr>
          <w:p w:rsidR="00FD2265" w:rsidRPr="00FD2265" w:rsidP="00FD2265" w14:paraId="33B65BE6" w14:textId="77777777">
            <w:pPr>
              <w:widowControl/>
              <w:rPr>
                <w:rFonts w:ascii="Source Sans Pro" w:hAnsi="Source Sans Pro" w:cs="Calibri"/>
                <w:snapToGrid/>
                <w:color w:val="000000"/>
                <w:sz w:val="20"/>
              </w:rPr>
            </w:pPr>
          </w:p>
        </w:tc>
        <w:tc>
          <w:tcPr>
            <w:tcW w:w="6027" w:type="dxa"/>
            <w:gridSpan w:val="6"/>
            <w:vMerge/>
            <w:tcBorders>
              <w:top w:val="single" w:sz="8" w:space="0" w:color="auto"/>
              <w:left w:val="single" w:sz="8" w:space="0" w:color="auto"/>
              <w:bottom w:val="single" w:sz="8" w:space="0" w:color="auto"/>
              <w:right w:val="single" w:sz="8" w:space="0" w:color="auto"/>
            </w:tcBorders>
            <w:vAlign w:val="center"/>
            <w:hideMark/>
          </w:tcPr>
          <w:p w:rsidR="00FD2265" w:rsidRPr="00FD2265" w:rsidP="00FD2265" w14:paraId="75F060FD" w14:textId="77777777">
            <w:pPr>
              <w:widowControl/>
              <w:rPr>
                <w:rFonts w:ascii="Source Sans Pro" w:hAnsi="Source Sans Pro" w:cs="Calibri"/>
                <w:snapToGrid/>
                <w:color w:val="000000"/>
                <w:sz w:val="20"/>
              </w:rPr>
            </w:pPr>
          </w:p>
        </w:tc>
        <w:tc>
          <w:tcPr>
            <w:tcW w:w="1263" w:type="dxa"/>
            <w:vMerge/>
            <w:tcBorders>
              <w:top w:val="nil"/>
              <w:left w:val="single" w:sz="8" w:space="0" w:color="auto"/>
              <w:bottom w:val="single" w:sz="8" w:space="0" w:color="auto"/>
              <w:right w:val="single" w:sz="8" w:space="0" w:color="auto"/>
            </w:tcBorders>
            <w:vAlign w:val="center"/>
            <w:hideMark/>
          </w:tcPr>
          <w:p w:rsidR="00FD2265" w:rsidRPr="00FD2265" w:rsidP="00FD2265" w14:paraId="21C5D355" w14:textId="77777777">
            <w:pPr>
              <w:widowControl/>
              <w:rPr>
                <w:rFonts w:ascii="Source Sans Pro" w:hAnsi="Source Sans Pro" w:cs="Calibri"/>
                <w:snapToGrid/>
                <w:color w:val="000000"/>
                <w:sz w:val="20"/>
              </w:rPr>
            </w:pPr>
          </w:p>
        </w:tc>
      </w:tr>
      <w:tr w14:paraId="49F139EE" w14:textId="77777777" w:rsidTr="00D31DC4">
        <w:tblPrEx>
          <w:tblW w:w="9443" w:type="dxa"/>
          <w:tblCellMar>
            <w:top w:w="15" w:type="dxa"/>
          </w:tblCellMar>
          <w:tblLook w:val="04A0"/>
        </w:tblPrEx>
        <w:trPr>
          <w:trHeight w:val="362"/>
        </w:trPr>
        <w:tc>
          <w:tcPr>
            <w:tcW w:w="1316" w:type="dxa"/>
            <w:vMerge/>
            <w:tcBorders>
              <w:top w:val="nil"/>
              <w:left w:val="single" w:sz="8" w:space="0" w:color="auto"/>
              <w:bottom w:val="single" w:sz="8" w:space="0" w:color="auto"/>
              <w:right w:val="single" w:sz="8" w:space="0" w:color="auto"/>
            </w:tcBorders>
            <w:vAlign w:val="center"/>
            <w:hideMark/>
          </w:tcPr>
          <w:p w:rsidR="00FD2265" w:rsidRPr="00FD2265" w:rsidP="00FD2265" w14:paraId="690F32E3" w14:textId="77777777">
            <w:pPr>
              <w:widowControl/>
              <w:rPr>
                <w:rFonts w:ascii="Source Sans Pro" w:hAnsi="Source Sans Pro" w:cs="Calibri"/>
                <w:snapToGrid/>
                <w:color w:val="000000"/>
                <w:sz w:val="20"/>
              </w:rPr>
            </w:pPr>
          </w:p>
        </w:tc>
        <w:tc>
          <w:tcPr>
            <w:tcW w:w="837" w:type="dxa"/>
            <w:vMerge/>
            <w:tcBorders>
              <w:top w:val="nil"/>
              <w:left w:val="single" w:sz="8" w:space="0" w:color="auto"/>
              <w:bottom w:val="single" w:sz="8" w:space="0" w:color="auto"/>
              <w:right w:val="single" w:sz="8" w:space="0" w:color="auto"/>
            </w:tcBorders>
            <w:vAlign w:val="center"/>
            <w:hideMark/>
          </w:tcPr>
          <w:p w:rsidR="00FD2265" w:rsidRPr="00FD2265" w:rsidP="00FD2265" w14:paraId="0720162B" w14:textId="77777777">
            <w:pPr>
              <w:widowControl/>
              <w:rPr>
                <w:rFonts w:ascii="Source Sans Pro" w:hAnsi="Source Sans Pro" w:cs="Calibri"/>
                <w:snapToGrid/>
                <w:color w:val="000000"/>
                <w:sz w:val="20"/>
              </w:rPr>
            </w:pPr>
          </w:p>
        </w:tc>
        <w:tc>
          <w:tcPr>
            <w:tcW w:w="1007" w:type="dxa"/>
            <w:vMerge w:val="restart"/>
            <w:tcBorders>
              <w:top w:val="nil"/>
              <w:left w:val="single" w:sz="8" w:space="0" w:color="auto"/>
              <w:bottom w:val="single" w:sz="8" w:space="0" w:color="auto"/>
              <w:right w:val="single" w:sz="8" w:space="0" w:color="auto"/>
            </w:tcBorders>
            <w:vAlign w:val="center"/>
            <w:hideMark/>
          </w:tcPr>
          <w:p w:rsidR="00FD2265" w:rsidRPr="00FD2265" w:rsidP="00FD2265" w14:paraId="74FF3214" w14:textId="77777777">
            <w:pPr>
              <w:widowControl/>
              <w:jc w:val="center"/>
              <w:rPr>
                <w:rFonts w:ascii="Source Sans Pro" w:hAnsi="Source Sans Pro" w:cs="Calibri"/>
                <w:snapToGrid/>
                <w:color w:val="000000"/>
                <w:sz w:val="20"/>
              </w:rPr>
            </w:pPr>
            <w:r w:rsidRPr="00FD2265">
              <w:rPr>
                <w:rFonts w:ascii="Source Sans Pro" w:hAnsi="Source Sans Pro" w:cs="Calibri"/>
                <w:snapToGrid/>
                <w:color w:val="000000"/>
                <w:sz w:val="20"/>
              </w:rPr>
              <w:t>Exec. &amp; Mgr.      ($158.33)</w:t>
            </w:r>
          </w:p>
        </w:tc>
        <w:tc>
          <w:tcPr>
            <w:tcW w:w="1007" w:type="dxa"/>
            <w:vMerge w:val="restart"/>
            <w:tcBorders>
              <w:top w:val="nil"/>
              <w:left w:val="single" w:sz="8" w:space="0" w:color="auto"/>
              <w:bottom w:val="single" w:sz="8" w:space="0" w:color="auto"/>
              <w:right w:val="single" w:sz="8" w:space="0" w:color="auto"/>
            </w:tcBorders>
            <w:vAlign w:val="center"/>
            <w:hideMark/>
          </w:tcPr>
          <w:p w:rsidR="00FD2265" w:rsidRPr="00FD2265" w:rsidP="00FD2265" w14:paraId="7D312DE3" w14:textId="00ABE583">
            <w:pPr>
              <w:widowControl/>
              <w:jc w:val="center"/>
              <w:rPr>
                <w:rFonts w:ascii="Source Sans Pro" w:hAnsi="Source Sans Pro" w:cs="Calibri"/>
                <w:snapToGrid/>
                <w:color w:val="000000"/>
                <w:sz w:val="20"/>
              </w:rPr>
            </w:pPr>
            <w:r w:rsidRPr="00FD2265">
              <w:rPr>
                <w:rFonts w:ascii="Source Sans Pro" w:hAnsi="Source Sans Pro" w:cs="Calibri"/>
                <w:snapToGrid/>
                <w:color w:val="000000"/>
                <w:sz w:val="20"/>
              </w:rPr>
              <w:t>Lawyer (</w:t>
            </w:r>
            <w:r w:rsidRPr="00FD2265">
              <w:rPr>
                <w:rFonts w:ascii="Source Sans Pro" w:hAnsi="Source Sans Pro" w:cs="Calibri"/>
                <w:snapToGrid/>
                <w:color w:val="000000"/>
                <w:sz w:val="20"/>
              </w:rPr>
              <w:t>$178.57)</w:t>
            </w:r>
          </w:p>
        </w:tc>
        <w:tc>
          <w:tcPr>
            <w:tcW w:w="905" w:type="dxa"/>
            <w:vMerge w:val="restart"/>
            <w:tcBorders>
              <w:top w:val="nil"/>
              <w:left w:val="single" w:sz="8" w:space="0" w:color="auto"/>
              <w:bottom w:val="single" w:sz="8" w:space="0" w:color="auto"/>
              <w:right w:val="single" w:sz="8" w:space="0" w:color="auto"/>
            </w:tcBorders>
            <w:vAlign w:val="center"/>
            <w:hideMark/>
          </w:tcPr>
          <w:p w:rsidR="00FD2265" w:rsidRPr="00FD2265" w:rsidP="00FD2265" w14:paraId="62BA4AC9" w14:textId="77777777">
            <w:pPr>
              <w:widowControl/>
              <w:jc w:val="center"/>
              <w:rPr>
                <w:rFonts w:ascii="Source Sans Pro" w:hAnsi="Source Sans Pro" w:cs="Calibri"/>
                <w:snapToGrid/>
                <w:color w:val="000000"/>
                <w:sz w:val="20"/>
              </w:rPr>
            </w:pPr>
            <w:r w:rsidRPr="00FD2265">
              <w:rPr>
                <w:rFonts w:ascii="Source Sans Pro" w:hAnsi="Source Sans Pro" w:cs="Calibri"/>
                <w:snapToGrid/>
                <w:color w:val="000000"/>
                <w:sz w:val="20"/>
              </w:rPr>
              <w:t>Compl</w:t>
            </w:r>
            <w:r w:rsidRPr="00FD2265">
              <w:rPr>
                <w:rFonts w:ascii="Source Sans Pro" w:hAnsi="Source Sans Pro" w:cs="Calibri"/>
                <w:snapToGrid/>
                <w:color w:val="000000"/>
                <w:sz w:val="20"/>
              </w:rPr>
              <w:t>. Ofc.   ($80.32)</w:t>
            </w:r>
          </w:p>
        </w:tc>
        <w:tc>
          <w:tcPr>
            <w:tcW w:w="1007" w:type="dxa"/>
            <w:vMerge w:val="restart"/>
            <w:tcBorders>
              <w:top w:val="nil"/>
              <w:left w:val="single" w:sz="8" w:space="0" w:color="auto"/>
              <w:bottom w:val="single" w:sz="8" w:space="0" w:color="auto"/>
              <w:right w:val="single" w:sz="8" w:space="0" w:color="auto"/>
            </w:tcBorders>
            <w:vAlign w:val="center"/>
            <w:hideMark/>
          </w:tcPr>
          <w:p w:rsidR="00FD2265" w:rsidRPr="00FD2265" w:rsidP="00FD2265" w14:paraId="1FD3DB76" w14:textId="00ED0A82">
            <w:pPr>
              <w:widowControl/>
              <w:jc w:val="center"/>
              <w:rPr>
                <w:rFonts w:ascii="Source Sans Pro" w:hAnsi="Source Sans Pro" w:cs="Calibri"/>
                <w:snapToGrid/>
                <w:color w:val="000000"/>
                <w:sz w:val="20"/>
              </w:rPr>
            </w:pPr>
            <w:r w:rsidRPr="00FD2265">
              <w:rPr>
                <w:rFonts w:ascii="Source Sans Pro" w:hAnsi="Source Sans Pro" w:cs="Calibri"/>
                <w:snapToGrid/>
                <w:color w:val="000000"/>
                <w:sz w:val="20"/>
              </w:rPr>
              <w:t>IT (</w:t>
            </w:r>
            <w:r w:rsidRPr="00FD2265">
              <w:rPr>
                <w:rFonts w:ascii="Source Sans Pro" w:hAnsi="Source Sans Pro" w:cs="Calibri"/>
                <w:snapToGrid/>
                <w:color w:val="000000"/>
                <w:sz w:val="20"/>
              </w:rPr>
              <w:t>$115.86)</w:t>
            </w:r>
          </w:p>
        </w:tc>
        <w:tc>
          <w:tcPr>
            <w:tcW w:w="1006" w:type="dxa"/>
            <w:vMerge w:val="restart"/>
            <w:tcBorders>
              <w:top w:val="nil"/>
              <w:left w:val="single" w:sz="8" w:space="0" w:color="auto"/>
              <w:bottom w:val="single" w:sz="8" w:space="0" w:color="auto"/>
              <w:right w:val="single" w:sz="8" w:space="0" w:color="auto"/>
            </w:tcBorders>
            <w:vAlign w:val="center"/>
            <w:hideMark/>
          </w:tcPr>
          <w:p w:rsidR="00FD2265" w:rsidRPr="00FD2265" w:rsidP="00FD2265" w14:paraId="1D96FA90" w14:textId="77777777">
            <w:pPr>
              <w:widowControl/>
              <w:jc w:val="center"/>
              <w:rPr>
                <w:rFonts w:ascii="Source Sans Pro" w:hAnsi="Source Sans Pro" w:cs="Calibri"/>
                <w:snapToGrid/>
                <w:color w:val="000000"/>
                <w:sz w:val="20"/>
              </w:rPr>
            </w:pPr>
            <w:r w:rsidRPr="00FD2265">
              <w:rPr>
                <w:rFonts w:ascii="Source Sans Pro" w:hAnsi="Source Sans Pro" w:cs="Calibri"/>
                <w:snapToGrid/>
                <w:color w:val="000000"/>
                <w:sz w:val="20"/>
              </w:rPr>
              <w:t xml:space="preserve">Fin. </w:t>
            </w:r>
            <w:r w:rsidRPr="00FD2265">
              <w:rPr>
                <w:rFonts w:ascii="Source Sans Pro" w:hAnsi="Source Sans Pro" w:cs="Calibri"/>
                <w:snapToGrid/>
                <w:color w:val="000000"/>
                <w:sz w:val="20"/>
              </w:rPr>
              <w:t>Anlst</w:t>
            </w:r>
            <w:r w:rsidRPr="00FD2265">
              <w:rPr>
                <w:rFonts w:ascii="Source Sans Pro" w:hAnsi="Source Sans Pro" w:cs="Calibri"/>
                <w:snapToGrid/>
                <w:color w:val="000000"/>
                <w:sz w:val="20"/>
              </w:rPr>
              <w:t>.    ($100.73)</w:t>
            </w:r>
          </w:p>
        </w:tc>
        <w:tc>
          <w:tcPr>
            <w:tcW w:w="1095" w:type="dxa"/>
            <w:vMerge w:val="restart"/>
            <w:tcBorders>
              <w:top w:val="nil"/>
              <w:left w:val="single" w:sz="8" w:space="0" w:color="auto"/>
              <w:bottom w:val="single" w:sz="8" w:space="0" w:color="auto"/>
              <w:right w:val="single" w:sz="8" w:space="0" w:color="auto"/>
            </w:tcBorders>
            <w:vAlign w:val="center"/>
            <w:hideMark/>
          </w:tcPr>
          <w:p w:rsidR="00FD2265" w:rsidRPr="00FD2265" w:rsidP="00FD2265" w14:paraId="44171EBC" w14:textId="6DC0EE92">
            <w:pPr>
              <w:widowControl/>
              <w:jc w:val="center"/>
              <w:rPr>
                <w:rFonts w:ascii="Source Sans Pro" w:hAnsi="Source Sans Pro" w:cs="Calibri"/>
                <w:snapToGrid/>
                <w:color w:val="000000"/>
                <w:sz w:val="20"/>
              </w:rPr>
            </w:pPr>
            <w:r w:rsidRPr="00FD2265">
              <w:rPr>
                <w:rFonts w:ascii="Source Sans Pro" w:hAnsi="Source Sans Pro" w:cs="Calibri"/>
                <w:snapToGrid/>
                <w:color w:val="000000"/>
                <w:sz w:val="20"/>
              </w:rPr>
              <w:t>Clerical (</w:t>
            </w:r>
            <w:r w:rsidRPr="00FD2265">
              <w:rPr>
                <w:rFonts w:ascii="Source Sans Pro" w:hAnsi="Source Sans Pro" w:cs="Calibri"/>
                <w:snapToGrid/>
                <w:color w:val="000000"/>
                <w:sz w:val="20"/>
              </w:rPr>
              <w:t>$42.33)</w:t>
            </w:r>
          </w:p>
        </w:tc>
        <w:tc>
          <w:tcPr>
            <w:tcW w:w="1263" w:type="dxa"/>
            <w:vMerge/>
            <w:tcBorders>
              <w:top w:val="nil"/>
              <w:left w:val="single" w:sz="8" w:space="0" w:color="auto"/>
              <w:bottom w:val="single" w:sz="8" w:space="0" w:color="auto"/>
              <w:right w:val="single" w:sz="8" w:space="0" w:color="auto"/>
            </w:tcBorders>
            <w:vAlign w:val="center"/>
            <w:hideMark/>
          </w:tcPr>
          <w:p w:rsidR="00FD2265" w:rsidRPr="00FD2265" w:rsidP="00FD2265" w14:paraId="4602E385" w14:textId="77777777">
            <w:pPr>
              <w:widowControl/>
              <w:rPr>
                <w:rFonts w:ascii="Source Sans Pro" w:hAnsi="Source Sans Pro" w:cs="Calibri"/>
                <w:snapToGrid/>
                <w:color w:val="000000"/>
                <w:sz w:val="20"/>
              </w:rPr>
            </w:pPr>
          </w:p>
        </w:tc>
      </w:tr>
      <w:tr w14:paraId="22EE2202" w14:textId="77777777" w:rsidTr="00D31DC4">
        <w:tblPrEx>
          <w:tblW w:w="9443" w:type="dxa"/>
          <w:tblCellMar>
            <w:top w:w="15" w:type="dxa"/>
          </w:tblCellMar>
          <w:tblLook w:val="04A0"/>
        </w:tblPrEx>
        <w:trPr>
          <w:trHeight w:val="1148"/>
        </w:trPr>
        <w:tc>
          <w:tcPr>
            <w:tcW w:w="1316" w:type="dxa"/>
            <w:vMerge/>
            <w:tcBorders>
              <w:top w:val="nil"/>
              <w:left w:val="single" w:sz="8" w:space="0" w:color="auto"/>
              <w:bottom w:val="single" w:sz="8" w:space="0" w:color="auto"/>
              <w:right w:val="single" w:sz="8" w:space="0" w:color="auto"/>
            </w:tcBorders>
            <w:vAlign w:val="center"/>
            <w:hideMark/>
          </w:tcPr>
          <w:p w:rsidR="00FD2265" w:rsidRPr="00FD2265" w:rsidP="00FD2265" w14:paraId="4648291E" w14:textId="77777777">
            <w:pPr>
              <w:widowControl/>
              <w:rPr>
                <w:rFonts w:ascii="Source Sans Pro" w:hAnsi="Source Sans Pro" w:cs="Calibri"/>
                <w:snapToGrid/>
                <w:color w:val="000000"/>
                <w:sz w:val="20"/>
              </w:rPr>
            </w:pPr>
          </w:p>
        </w:tc>
        <w:tc>
          <w:tcPr>
            <w:tcW w:w="837" w:type="dxa"/>
            <w:vMerge/>
            <w:tcBorders>
              <w:top w:val="nil"/>
              <w:left w:val="single" w:sz="8" w:space="0" w:color="auto"/>
              <w:bottom w:val="single" w:sz="8" w:space="0" w:color="auto"/>
              <w:right w:val="single" w:sz="8" w:space="0" w:color="auto"/>
            </w:tcBorders>
            <w:vAlign w:val="center"/>
            <w:hideMark/>
          </w:tcPr>
          <w:p w:rsidR="00FD2265" w:rsidRPr="00FD2265" w:rsidP="00FD2265" w14:paraId="595E2C94" w14:textId="77777777">
            <w:pPr>
              <w:widowControl/>
              <w:rPr>
                <w:rFonts w:ascii="Source Sans Pro" w:hAnsi="Source Sans Pro" w:cs="Calibri"/>
                <w:snapToGrid/>
                <w:color w:val="000000"/>
                <w:sz w:val="20"/>
              </w:rPr>
            </w:pPr>
          </w:p>
        </w:tc>
        <w:tc>
          <w:tcPr>
            <w:tcW w:w="1007" w:type="dxa"/>
            <w:vMerge/>
            <w:tcBorders>
              <w:top w:val="nil"/>
              <w:left w:val="single" w:sz="8" w:space="0" w:color="auto"/>
              <w:bottom w:val="single" w:sz="8" w:space="0" w:color="auto"/>
              <w:right w:val="single" w:sz="8" w:space="0" w:color="auto"/>
            </w:tcBorders>
            <w:vAlign w:val="center"/>
            <w:hideMark/>
          </w:tcPr>
          <w:p w:rsidR="00FD2265" w:rsidRPr="00FD2265" w:rsidP="00FD2265" w14:paraId="0CE10AF3" w14:textId="77777777">
            <w:pPr>
              <w:widowControl/>
              <w:rPr>
                <w:rFonts w:ascii="Source Sans Pro" w:hAnsi="Source Sans Pro" w:cs="Calibri"/>
                <w:snapToGrid/>
                <w:color w:val="000000"/>
                <w:sz w:val="20"/>
              </w:rPr>
            </w:pPr>
          </w:p>
        </w:tc>
        <w:tc>
          <w:tcPr>
            <w:tcW w:w="1007" w:type="dxa"/>
            <w:vMerge/>
            <w:tcBorders>
              <w:top w:val="nil"/>
              <w:left w:val="single" w:sz="8" w:space="0" w:color="auto"/>
              <w:bottom w:val="single" w:sz="8" w:space="0" w:color="auto"/>
              <w:right w:val="single" w:sz="8" w:space="0" w:color="auto"/>
            </w:tcBorders>
            <w:vAlign w:val="center"/>
            <w:hideMark/>
          </w:tcPr>
          <w:p w:rsidR="00FD2265" w:rsidRPr="00FD2265" w:rsidP="00FD2265" w14:paraId="306DD64F" w14:textId="77777777">
            <w:pPr>
              <w:widowControl/>
              <w:rPr>
                <w:rFonts w:ascii="Source Sans Pro" w:hAnsi="Source Sans Pro" w:cs="Calibri"/>
                <w:snapToGrid/>
                <w:color w:val="000000"/>
                <w:sz w:val="20"/>
              </w:rPr>
            </w:pPr>
          </w:p>
        </w:tc>
        <w:tc>
          <w:tcPr>
            <w:tcW w:w="905" w:type="dxa"/>
            <w:vMerge/>
            <w:tcBorders>
              <w:top w:val="nil"/>
              <w:left w:val="single" w:sz="8" w:space="0" w:color="auto"/>
              <w:bottom w:val="single" w:sz="8" w:space="0" w:color="auto"/>
              <w:right w:val="single" w:sz="8" w:space="0" w:color="auto"/>
            </w:tcBorders>
            <w:vAlign w:val="center"/>
            <w:hideMark/>
          </w:tcPr>
          <w:p w:rsidR="00FD2265" w:rsidRPr="00FD2265" w:rsidP="00FD2265" w14:paraId="00C359DD" w14:textId="77777777">
            <w:pPr>
              <w:widowControl/>
              <w:rPr>
                <w:rFonts w:ascii="Source Sans Pro" w:hAnsi="Source Sans Pro" w:cs="Calibri"/>
                <w:snapToGrid/>
                <w:color w:val="000000"/>
                <w:sz w:val="20"/>
              </w:rPr>
            </w:pPr>
          </w:p>
        </w:tc>
        <w:tc>
          <w:tcPr>
            <w:tcW w:w="1007" w:type="dxa"/>
            <w:vMerge/>
            <w:tcBorders>
              <w:top w:val="nil"/>
              <w:left w:val="single" w:sz="8" w:space="0" w:color="auto"/>
              <w:bottom w:val="single" w:sz="8" w:space="0" w:color="auto"/>
              <w:right w:val="single" w:sz="8" w:space="0" w:color="auto"/>
            </w:tcBorders>
            <w:vAlign w:val="center"/>
            <w:hideMark/>
          </w:tcPr>
          <w:p w:rsidR="00FD2265" w:rsidRPr="00FD2265" w:rsidP="00FD2265" w14:paraId="615B197F" w14:textId="77777777">
            <w:pPr>
              <w:widowControl/>
              <w:rPr>
                <w:rFonts w:ascii="Source Sans Pro" w:hAnsi="Source Sans Pro" w:cs="Calibri"/>
                <w:snapToGrid/>
                <w:color w:val="000000"/>
                <w:sz w:val="20"/>
              </w:rPr>
            </w:pPr>
          </w:p>
        </w:tc>
        <w:tc>
          <w:tcPr>
            <w:tcW w:w="1006" w:type="dxa"/>
            <w:vMerge/>
            <w:tcBorders>
              <w:top w:val="nil"/>
              <w:left w:val="single" w:sz="8" w:space="0" w:color="auto"/>
              <w:bottom w:val="single" w:sz="8" w:space="0" w:color="auto"/>
              <w:right w:val="single" w:sz="8" w:space="0" w:color="auto"/>
            </w:tcBorders>
            <w:vAlign w:val="center"/>
            <w:hideMark/>
          </w:tcPr>
          <w:p w:rsidR="00FD2265" w:rsidRPr="00FD2265" w:rsidP="00FD2265" w14:paraId="7EEE0F66" w14:textId="77777777">
            <w:pPr>
              <w:widowControl/>
              <w:rPr>
                <w:rFonts w:ascii="Source Sans Pro" w:hAnsi="Source Sans Pro" w:cs="Calibri"/>
                <w:snapToGrid/>
                <w:color w:val="000000"/>
                <w:sz w:val="20"/>
              </w:rPr>
            </w:pPr>
          </w:p>
        </w:tc>
        <w:tc>
          <w:tcPr>
            <w:tcW w:w="1095" w:type="dxa"/>
            <w:vMerge/>
            <w:tcBorders>
              <w:top w:val="nil"/>
              <w:left w:val="single" w:sz="8" w:space="0" w:color="auto"/>
              <w:bottom w:val="single" w:sz="8" w:space="0" w:color="auto"/>
              <w:right w:val="single" w:sz="8" w:space="0" w:color="auto"/>
            </w:tcBorders>
            <w:vAlign w:val="center"/>
            <w:hideMark/>
          </w:tcPr>
          <w:p w:rsidR="00FD2265" w:rsidRPr="00FD2265" w:rsidP="00FD2265" w14:paraId="0DD1C7CD" w14:textId="77777777">
            <w:pPr>
              <w:widowControl/>
              <w:rPr>
                <w:rFonts w:ascii="Source Sans Pro" w:hAnsi="Source Sans Pro" w:cs="Calibri"/>
                <w:snapToGrid/>
                <w:color w:val="000000"/>
                <w:sz w:val="20"/>
              </w:rPr>
            </w:pPr>
          </w:p>
        </w:tc>
        <w:tc>
          <w:tcPr>
            <w:tcW w:w="1263" w:type="dxa"/>
            <w:vMerge/>
            <w:tcBorders>
              <w:top w:val="nil"/>
              <w:left w:val="single" w:sz="8" w:space="0" w:color="auto"/>
              <w:bottom w:val="single" w:sz="8" w:space="0" w:color="auto"/>
              <w:right w:val="single" w:sz="8" w:space="0" w:color="auto"/>
            </w:tcBorders>
            <w:vAlign w:val="center"/>
            <w:hideMark/>
          </w:tcPr>
          <w:p w:rsidR="00FD2265" w:rsidRPr="00FD2265" w:rsidP="00FD2265" w14:paraId="43EAADCF" w14:textId="77777777">
            <w:pPr>
              <w:widowControl/>
              <w:rPr>
                <w:rFonts w:ascii="Source Sans Pro" w:hAnsi="Source Sans Pro" w:cs="Calibri"/>
                <w:snapToGrid/>
                <w:color w:val="000000"/>
                <w:sz w:val="20"/>
              </w:rPr>
            </w:pPr>
          </w:p>
        </w:tc>
      </w:tr>
      <w:tr w14:paraId="416E8A20" w14:textId="77777777" w:rsidTr="004A5EE7">
        <w:tblPrEx>
          <w:tblW w:w="9443" w:type="dxa"/>
          <w:tblCellMar>
            <w:top w:w="15" w:type="dxa"/>
          </w:tblCellMar>
          <w:tblLook w:val="04A0"/>
        </w:tblPrEx>
        <w:trPr>
          <w:trHeight w:val="1646"/>
        </w:trPr>
        <w:tc>
          <w:tcPr>
            <w:tcW w:w="1316" w:type="dxa"/>
            <w:tcBorders>
              <w:top w:val="nil"/>
              <w:left w:val="single" w:sz="8" w:space="0" w:color="auto"/>
              <w:bottom w:val="single" w:sz="8" w:space="0" w:color="auto"/>
              <w:right w:val="single" w:sz="8" w:space="0" w:color="auto"/>
            </w:tcBorders>
            <w:vAlign w:val="center"/>
            <w:hideMark/>
          </w:tcPr>
          <w:p w:rsidR="00FD2265" w:rsidRPr="00FD2265" w:rsidP="00FD2265" w14:paraId="249B6D9C" w14:textId="77777777">
            <w:pPr>
              <w:widowControl/>
              <w:rPr>
                <w:rFonts w:ascii="Source Sans Pro" w:hAnsi="Source Sans Pro" w:cs="Calibri"/>
                <w:snapToGrid/>
                <w:color w:val="000000"/>
                <w:sz w:val="20"/>
              </w:rPr>
            </w:pPr>
            <w:r w:rsidRPr="00FD2265">
              <w:rPr>
                <w:rFonts w:ascii="Source Sans Pro" w:hAnsi="Source Sans Pro" w:cs="Calibri"/>
                <w:snapToGrid/>
                <w:color w:val="000000"/>
                <w:sz w:val="20"/>
              </w:rPr>
              <w:t>1. Quarterly Certified Statement Invoice for Deposit Insurance Assessment,</w:t>
            </w:r>
            <w:r w:rsidRPr="00FD2265">
              <w:rPr>
                <w:rFonts w:ascii="Source Sans Pro" w:hAnsi="Source Sans Pro" w:cs="Calibri"/>
                <w:snapToGrid/>
                <w:color w:val="000000"/>
                <w:sz w:val="20"/>
              </w:rPr>
              <w:br/>
              <w:t>12 CFR Part 327</w:t>
            </w:r>
            <w:r w:rsidRPr="00FD2265">
              <w:rPr>
                <w:rFonts w:ascii="Source Sans Pro" w:hAnsi="Source Sans Pro" w:cs="Calibri"/>
                <w:snapToGrid/>
                <w:color w:val="000000"/>
                <w:sz w:val="20"/>
              </w:rPr>
              <w:br/>
              <w:t>(Mandatory)</w:t>
            </w:r>
          </w:p>
        </w:tc>
        <w:tc>
          <w:tcPr>
            <w:tcW w:w="837" w:type="dxa"/>
            <w:tcBorders>
              <w:top w:val="nil"/>
              <w:left w:val="nil"/>
              <w:bottom w:val="single" w:sz="8" w:space="0" w:color="auto"/>
              <w:right w:val="single" w:sz="8" w:space="0" w:color="auto"/>
            </w:tcBorders>
            <w:vAlign w:val="center"/>
            <w:hideMark/>
          </w:tcPr>
          <w:p w:rsidR="00FD2265" w:rsidRPr="00FD2265" w:rsidP="00FD2265" w14:paraId="79C8CD10" w14:textId="77777777">
            <w:pPr>
              <w:widowControl/>
              <w:jc w:val="center"/>
              <w:rPr>
                <w:rFonts w:ascii="Source Sans Pro" w:hAnsi="Source Sans Pro" w:cs="Calibri"/>
                <w:snapToGrid/>
                <w:color w:val="000000"/>
                <w:sz w:val="20"/>
              </w:rPr>
            </w:pPr>
            <w:r w:rsidRPr="00FD2265">
              <w:rPr>
                <w:rFonts w:ascii="Source Sans Pro" w:hAnsi="Source Sans Pro" w:cs="Calibri"/>
                <w:snapToGrid/>
                <w:color w:val="000000"/>
                <w:sz w:val="20"/>
              </w:rPr>
              <w:t>100.00</w:t>
            </w:r>
          </w:p>
        </w:tc>
        <w:tc>
          <w:tcPr>
            <w:tcW w:w="1007" w:type="dxa"/>
            <w:tcBorders>
              <w:top w:val="nil"/>
              <w:left w:val="nil"/>
              <w:bottom w:val="single" w:sz="8" w:space="0" w:color="auto"/>
              <w:right w:val="single" w:sz="8" w:space="0" w:color="auto"/>
            </w:tcBorders>
            <w:vAlign w:val="center"/>
            <w:hideMark/>
          </w:tcPr>
          <w:p w:rsidR="00FD2265" w:rsidRPr="00FD2265" w:rsidP="00FD2265" w14:paraId="276FE563" w14:textId="77777777">
            <w:pPr>
              <w:widowControl/>
              <w:jc w:val="center"/>
              <w:rPr>
                <w:rFonts w:ascii="Source Sans Pro" w:hAnsi="Source Sans Pro" w:cs="Calibri"/>
                <w:snapToGrid/>
                <w:color w:val="000000"/>
                <w:sz w:val="20"/>
              </w:rPr>
            </w:pPr>
            <w:r w:rsidRPr="00FD2265">
              <w:rPr>
                <w:rFonts w:ascii="Source Sans Pro" w:hAnsi="Source Sans Pro" w:cs="Calibri"/>
                <w:snapToGrid/>
                <w:color w:val="000000"/>
                <w:sz w:val="20"/>
              </w:rPr>
              <w:t>40</w:t>
            </w:r>
          </w:p>
        </w:tc>
        <w:tc>
          <w:tcPr>
            <w:tcW w:w="1007" w:type="dxa"/>
            <w:tcBorders>
              <w:top w:val="nil"/>
              <w:left w:val="nil"/>
              <w:bottom w:val="single" w:sz="8" w:space="0" w:color="auto"/>
              <w:right w:val="single" w:sz="8" w:space="0" w:color="auto"/>
            </w:tcBorders>
            <w:vAlign w:val="center"/>
            <w:hideMark/>
          </w:tcPr>
          <w:p w:rsidR="00FD2265" w:rsidRPr="00FD2265" w:rsidP="00FD2265" w14:paraId="0ABFC323" w14:textId="77777777">
            <w:pPr>
              <w:widowControl/>
              <w:jc w:val="center"/>
              <w:rPr>
                <w:rFonts w:ascii="Source Sans Pro" w:hAnsi="Source Sans Pro" w:cs="Calibri"/>
                <w:snapToGrid/>
                <w:color w:val="000000"/>
                <w:sz w:val="20"/>
              </w:rPr>
            </w:pPr>
            <w:r w:rsidRPr="00FD2265">
              <w:rPr>
                <w:rFonts w:ascii="Source Sans Pro" w:hAnsi="Source Sans Pro" w:cs="Calibri"/>
                <w:snapToGrid/>
                <w:color w:val="000000"/>
                <w:sz w:val="20"/>
              </w:rPr>
              <w:t>0</w:t>
            </w:r>
          </w:p>
        </w:tc>
        <w:tc>
          <w:tcPr>
            <w:tcW w:w="905" w:type="dxa"/>
            <w:tcBorders>
              <w:top w:val="nil"/>
              <w:left w:val="nil"/>
              <w:bottom w:val="single" w:sz="8" w:space="0" w:color="auto"/>
              <w:right w:val="single" w:sz="8" w:space="0" w:color="auto"/>
            </w:tcBorders>
            <w:vAlign w:val="center"/>
            <w:hideMark/>
          </w:tcPr>
          <w:p w:rsidR="00FD2265" w:rsidRPr="00FD2265" w:rsidP="00FD2265" w14:paraId="79ADC3B8" w14:textId="77777777">
            <w:pPr>
              <w:widowControl/>
              <w:jc w:val="center"/>
              <w:rPr>
                <w:rFonts w:ascii="Source Sans Pro" w:hAnsi="Source Sans Pro" w:cs="Calibri"/>
                <w:snapToGrid/>
                <w:color w:val="000000"/>
                <w:sz w:val="20"/>
              </w:rPr>
            </w:pPr>
            <w:r w:rsidRPr="00FD2265">
              <w:rPr>
                <w:rFonts w:ascii="Source Sans Pro" w:hAnsi="Source Sans Pro" w:cs="Calibri"/>
                <w:snapToGrid/>
                <w:color w:val="000000"/>
                <w:sz w:val="20"/>
              </w:rPr>
              <w:t>30</w:t>
            </w:r>
          </w:p>
        </w:tc>
        <w:tc>
          <w:tcPr>
            <w:tcW w:w="1007" w:type="dxa"/>
            <w:tcBorders>
              <w:top w:val="nil"/>
              <w:left w:val="nil"/>
              <w:bottom w:val="single" w:sz="8" w:space="0" w:color="auto"/>
              <w:right w:val="single" w:sz="8" w:space="0" w:color="auto"/>
            </w:tcBorders>
            <w:vAlign w:val="center"/>
            <w:hideMark/>
          </w:tcPr>
          <w:p w:rsidR="00FD2265" w:rsidRPr="00FD2265" w:rsidP="00FD2265" w14:paraId="1A3A57EB" w14:textId="77777777">
            <w:pPr>
              <w:widowControl/>
              <w:jc w:val="center"/>
              <w:rPr>
                <w:rFonts w:ascii="Source Sans Pro" w:hAnsi="Source Sans Pro" w:cs="Calibri"/>
                <w:snapToGrid/>
                <w:color w:val="000000"/>
                <w:sz w:val="20"/>
              </w:rPr>
            </w:pPr>
            <w:r w:rsidRPr="00FD2265">
              <w:rPr>
                <w:rFonts w:ascii="Source Sans Pro" w:hAnsi="Source Sans Pro" w:cs="Calibri"/>
                <w:snapToGrid/>
                <w:color w:val="000000"/>
                <w:sz w:val="20"/>
              </w:rPr>
              <w:t>0</w:t>
            </w:r>
          </w:p>
        </w:tc>
        <w:tc>
          <w:tcPr>
            <w:tcW w:w="1006" w:type="dxa"/>
            <w:tcBorders>
              <w:top w:val="nil"/>
              <w:left w:val="nil"/>
              <w:bottom w:val="single" w:sz="8" w:space="0" w:color="auto"/>
              <w:right w:val="single" w:sz="8" w:space="0" w:color="auto"/>
            </w:tcBorders>
            <w:vAlign w:val="center"/>
            <w:hideMark/>
          </w:tcPr>
          <w:p w:rsidR="00FD2265" w:rsidRPr="00FD2265" w:rsidP="00FD2265" w14:paraId="4B4B7F67" w14:textId="77777777">
            <w:pPr>
              <w:widowControl/>
              <w:jc w:val="center"/>
              <w:rPr>
                <w:rFonts w:ascii="Source Sans Pro" w:hAnsi="Source Sans Pro" w:cs="Calibri"/>
                <w:snapToGrid/>
                <w:color w:val="000000"/>
                <w:sz w:val="20"/>
              </w:rPr>
            </w:pPr>
            <w:r w:rsidRPr="00FD2265">
              <w:rPr>
                <w:rFonts w:ascii="Source Sans Pro" w:hAnsi="Source Sans Pro" w:cs="Calibri"/>
                <w:snapToGrid/>
                <w:color w:val="000000"/>
                <w:sz w:val="20"/>
              </w:rPr>
              <w:t>30</w:t>
            </w:r>
          </w:p>
        </w:tc>
        <w:tc>
          <w:tcPr>
            <w:tcW w:w="1095" w:type="dxa"/>
            <w:tcBorders>
              <w:top w:val="nil"/>
              <w:left w:val="nil"/>
              <w:bottom w:val="single" w:sz="8" w:space="0" w:color="auto"/>
              <w:right w:val="single" w:sz="8" w:space="0" w:color="auto"/>
            </w:tcBorders>
            <w:vAlign w:val="center"/>
            <w:hideMark/>
          </w:tcPr>
          <w:p w:rsidR="00FD2265" w:rsidRPr="00FD2265" w:rsidP="00FD2265" w14:paraId="2A6372A1" w14:textId="77777777">
            <w:pPr>
              <w:widowControl/>
              <w:jc w:val="center"/>
              <w:rPr>
                <w:rFonts w:ascii="Source Sans Pro" w:hAnsi="Source Sans Pro" w:cs="Calibri"/>
                <w:snapToGrid/>
                <w:color w:val="000000"/>
                <w:sz w:val="20"/>
              </w:rPr>
            </w:pPr>
            <w:r w:rsidRPr="00FD2265">
              <w:rPr>
                <w:rFonts w:ascii="Source Sans Pro" w:hAnsi="Source Sans Pro" w:cs="Calibri"/>
                <w:snapToGrid/>
                <w:color w:val="000000"/>
                <w:sz w:val="20"/>
              </w:rPr>
              <w:t>0</w:t>
            </w:r>
          </w:p>
        </w:tc>
        <w:tc>
          <w:tcPr>
            <w:tcW w:w="1263" w:type="dxa"/>
            <w:tcBorders>
              <w:top w:val="nil"/>
              <w:left w:val="nil"/>
              <w:right w:val="single" w:sz="8" w:space="0" w:color="auto"/>
            </w:tcBorders>
            <w:vAlign w:val="center"/>
            <w:hideMark/>
          </w:tcPr>
          <w:p w:rsidR="00FD2265" w:rsidRPr="00FD2265" w:rsidP="00FD2265" w14:paraId="443146A8" w14:textId="77777777">
            <w:pPr>
              <w:widowControl/>
              <w:ind w:firstLine="200" w:firstLineChars="100"/>
              <w:jc w:val="right"/>
              <w:rPr>
                <w:rFonts w:ascii="Source Sans Pro" w:hAnsi="Source Sans Pro" w:cs="Calibri"/>
                <w:snapToGrid/>
                <w:color w:val="000000"/>
                <w:sz w:val="20"/>
              </w:rPr>
            </w:pPr>
            <w:r w:rsidRPr="00FD2265">
              <w:rPr>
                <w:rFonts w:ascii="Source Sans Pro" w:hAnsi="Source Sans Pro" w:cs="Calibri"/>
                <w:snapToGrid/>
                <w:color w:val="000000"/>
                <w:sz w:val="20"/>
              </w:rPr>
              <w:t xml:space="preserve">$118.77 </w:t>
            </w:r>
          </w:p>
        </w:tc>
      </w:tr>
      <w:tr w14:paraId="21B4D770" w14:textId="77777777" w:rsidTr="004A5EE7">
        <w:tblPrEx>
          <w:tblW w:w="9443" w:type="dxa"/>
          <w:tblCellMar>
            <w:top w:w="15" w:type="dxa"/>
          </w:tblCellMar>
          <w:tblLook w:val="04A0"/>
        </w:tblPrEx>
        <w:trPr>
          <w:trHeight w:val="302"/>
        </w:trPr>
        <w:tc>
          <w:tcPr>
            <w:tcW w:w="8180" w:type="dxa"/>
            <w:gridSpan w:val="8"/>
            <w:tcBorders>
              <w:top w:val="single" w:sz="8" w:space="0" w:color="auto"/>
              <w:left w:val="single" w:sz="8" w:space="0" w:color="auto"/>
              <w:bottom w:val="single" w:sz="4" w:space="0" w:color="auto"/>
              <w:right w:val="single" w:sz="8" w:space="0" w:color="auto"/>
            </w:tcBorders>
            <w:vAlign w:val="center"/>
            <w:hideMark/>
          </w:tcPr>
          <w:p w:rsidR="00FD2265" w:rsidRPr="00FD2265" w:rsidP="00FD2265" w14:paraId="48B5C0F2" w14:textId="77777777">
            <w:pPr>
              <w:widowControl/>
              <w:jc w:val="right"/>
              <w:rPr>
                <w:rFonts w:ascii="Source Sans Pro" w:hAnsi="Source Sans Pro" w:cs="Calibri"/>
                <w:b/>
                <w:bCs/>
                <w:i/>
                <w:iCs/>
                <w:snapToGrid/>
                <w:color w:val="000000"/>
                <w:sz w:val="22"/>
                <w:szCs w:val="22"/>
              </w:rPr>
            </w:pPr>
            <w:r w:rsidRPr="00FD2265">
              <w:rPr>
                <w:rFonts w:ascii="Source Sans Pro" w:hAnsi="Source Sans Pro" w:cs="Calibri"/>
                <w:b/>
                <w:bCs/>
                <w:i/>
                <w:iCs/>
                <w:snapToGrid/>
                <w:color w:val="000000"/>
                <w:sz w:val="22"/>
                <w:szCs w:val="22"/>
              </w:rPr>
              <w:t>Weighted Average Hourly Compensation Rate:</w:t>
            </w:r>
          </w:p>
        </w:tc>
        <w:tc>
          <w:tcPr>
            <w:tcW w:w="1263" w:type="dxa"/>
            <w:tcBorders>
              <w:top w:val="nil"/>
              <w:left w:val="nil"/>
              <w:bottom w:val="single" w:sz="4" w:space="0" w:color="auto"/>
              <w:right w:val="single" w:sz="8" w:space="0" w:color="auto"/>
            </w:tcBorders>
            <w:vAlign w:val="center"/>
            <w:hideMark/>
          </w:tcPr>
          <w:p w:rsidR="00FD2265" w:rsidRPr="00FD2265" w:rsidP="00FD2265" w14:paraId="7FB7DD26" w14:textId="77777777">
            <w:pPr>
              <w:widowControl/>
              <w:ind w:firstLine="220" w:firstLineChars="100"/>
              <w:jc w:val="right"/>
              <w:rPr>
                <w:rFonts w:ascii="Source Sans Pro" w:hAnsi="Source Sans Pro" w:cs="Calibri"/>
                <w:b/>
                <w:bCs/>
                <w:i/>
                <w:iCs/>
                <w:snapToGrid/>
                <w:color w:val="000000"/>
                <w:sz w:val="22"/>
                <w:szCs w:val="22"/>
              </w:rPr>
            </w:pPr>
            <w:r w:rsidRPr="00FD2265">
              <w:rPr>
                <w:rFonts w:ascii="Source Sans Pro" w:hAnsi="Source Sans Pro" w:cs="Calibri"/>
                <w:b/>
                <w:bCs/>
                <w:i/>
                <w:iCs/>
                <w:snapToGrid/>
                <w:color w:val="000000"/>
                <w:sz w:val="22"/>
                <w:szCs w:val="22"/>
              </w:rPr>
              <w:t xml:space="preserve">$118.77 </w:t>
            </w:r>
          </w:p>
        </w:tc>
      </w:tr>
    </w:tbl>
    <w:p w:rsidR="00012534" w:rsidP="00AE1D79" w14:paraId="064B8DB5" w14:textId="77777777">
      <w:pPr>
        <w:keepNext/>
        <w:tabs>
          <w:tab w:val="left" w:pos="-1440"/>
        </w:tabs>
        <w:rPr>
          <w:rFonts w:ascii="Times New Roman" w:hAnsi="Times New Roman"/>
          <w:lang w:bidi="en-US"/>
        </w:rPr>
      </w:pPr>
    </w:p>
    <w:tbl>
      <w:tblPr>
        <w:tblW w:w="9440" w:type="dxa"/>
        <w:tblLook w:val="04A0"/>
      </w:tblPr>
      <w:tblGrid>
        <w:gridCol w:w="2340"/>
        <w:gridCol w:w="2573"/>
        <w:gridCol w:w="2907"/>
        <w:gridCol w:w="1620"/>
      </w:tblGrid>
      <w:tr w14:paraId="693CD590" w14:textId="77777777" w:rsidTr="00BA2E4D">
        <w:tblPrEx>
          <w:tblW w:w="9440" w:type="dxa"/>
          <w:tblLook w:val="04A0"/>
        </w:tblPrEx>
        <w:trPr>
          <w:trHeight w:val="360"/>
        </w:trPr>
        <w:tc>
          <w:tcPr>
            <w:tcW w:w="9440" w:type="dxa"/>
            <w:gridSpan w:val="4"/>
            <w:tcBorders>
              <w:top w:val="single" w:sz="8" w:space="0" w:color="auto"/>
              <w:left w:val="single" w:sz="8" w:space="0" w:color="auto"/>
              <w:bottom w:val="single" w:sz="8" w:space="0" w:color="auto"/>
              <w:right w:val="single" w:sz="8" w:space="0" w:color="000000"/>
            </w:tcBorders>
            <w:noWrap/>
            <w:vAlign w:val="center"/>
            <w:hideMark/>
          </w:tcPr>
          <w:p w:rsidR="006C36D0" w:rsidRPr="006C36D0" w:rsidP="006C36D0" w14:paraId="3507044D" w14:textId="51377584">
            <w:pPr>
              <w:widowControl/>
              <w:jc w:val="center"/>
              <w:rPr>
                <w:rFonts w:ascii="Source Sans Pro" w:hAnsi="Source Sans Pro" w:cs="Calibri"/>
                <w:snapToGrid/>
                <w:color w:val="000000"/>
                <w:szCs w:val="24"/>
              </w:rPr>
            </w:pPr>
            <w:r w:rsidRPr="006C36D0">
              <w:rPr>
                <w:rFonts w:ascii="Source Sans Pro" w:hAnsi="Source Sans Pro" w:cs="Calibri"/>
                <w:snapToGrid/>
                <w:color w:val="000000"/>
                <w:szCs w:val="24"/>
              </w:rPr>
              <w:t>Total Estimated Cost Burden (OMB No. 3064-0057)</w:t>
            </w:r>
          </w:p>
        </w:tc>
      </w:tr>
      <w:tr w14:paraId="7C90A95F" w14:textId="77777777" w:rsidTr="00BA2E4D">
        <w:tblPrEx>
          <w:tblW w:w="9440" w:type="dxa"/>
          <w:tblLook w:val="04A0"/>
        </w:tblPrEx>
        <w:trPr>
          <w:trHeight w:val="600"/>
        </w:trPr>
        <w:tc>
          <w:tcPr>
            <w:tcW w:w="2340" w:type="dxa"/>
            <w:tcBorders>
              <w:top w:val="nil"/>
              <w:left w:val="single" w:sz="8" w:space="0" w:color="auto"/>
              <w:bottom w:val="single" w:sz="8" w:space="0" w:color="auto"/>
              <w:right w:val="single" w:sz="8" w:space="0" w:color="auto"/>
            </w:tcBorders>
            <w:vAlign w:val="center"/>
            <w:hideMark/>
          </w:tcPr>
          <w:p w:rsidR="006C36D0" w:rsidRPr="006C36D0" w:rsidP="006C36D0" w14:paraId="5DD9DC1D" w14:textId="77777777">
            <w:pPr>
              <w:widowControl/>
              <w:rPr>
                <w:rFonts w:ascii="Source Sans Pro" w:hAnsi="Source Sans Pro" w:cs="Calibri"/>
                <w:snapToGrid/>
                <w:color w:val="000000"/>
                <w:sz w:val="20"/>
              </w:rPr>
            </w:pPr>
            <w:r w:rsidRPr="006C36D0">
              <w:rPr>
                <w:rFonts w:ascii="Source Sans Pro" w:hAnsi="Source Sans Pro" w:cs="Calibri"/>
                <w:snapToGrid/>
                <w:color w:val="000000"/>
                <w:sz w:val="20"/>
              </w:rPr>
              <w:t>Information Collection Request</w:t>
            </w:r>
          </w:p>
        </w:tc>
        <w:tc>
          <w:tcPr>
            <w:tcW w:w="2573" w:type="dxa"/>
            <w:tcBorders>
              <w:top w:val="nil"/>
              <w:left w:val="nil"/>
              <w:bottom w:val="single" w:sz="8" w:space="0" w:color="auto"/>
              <w:right w:val="single" w:sz="8" w:space="0" w:color="auto"/>
            </w:tcBorders>
            <w:vAlign w:val="center"/>
            <w:hideMark/>
          </w:tcPr>
          <w:p w:rsidR="006C36D0" w:rsidRPr="006C36D0" w:rsidP="006C36D0" w14:paraId="09DE2678" w14:textId="77777777">
            <w:pPr>
              <w:widowControl/>
              <w:jc w:val="center"/>
              <w:rPr>
                <w:rFonts w:ascii="Source Sans Pro" w:hAnsi="Source Sans Pro" w:cs="Calibri"/>
                <w:snapToGrid/>
                <w:color w:val="000000"/>
                <w:sz w:val="20"/>
              </w:rPr>
            </w:pPr>
            <w:r w:rsidRPr="006C36D0">
              <w:rPr>
                <w:rFonts w:ascii="Source Sans Pro" w:hAnsi="Source Sans Pro" w:cs="Calibri"/>
                <w:snapToGrid/>
                <w:color w:val="000000"/>
                <w:sz w:val="20"/>
              </w:rPr>
              <w:t>Annual Burden (Hours)</w:t>
            </w:r>
          </w:p>
        </w:tc>
        <w:tc>
          <w:tcPr>
            <w:tcW w:w="2907" w:type="dxa"/>
            <w:tcBorders>
              <w:top w:val="nil"/>
              <w:left w:val="nil"/>
              <w:bottom w:val="single" w:sz="8" w:space="0" w:color="auto"/>
              <w:right w:val="single" w:sz="8" w:space="0" w:color="auto"/>
            </w:tcBorders>
            <w:vAlign w:val="center"/>
            <w:hideMark/>
          </w:tcPr>
          <w:p w:rsidR="006C36D0" w:rsidRPr="006C36D0" w:rsidP="006C36D0" w14:paraId="2A768C95" w14:textId="77777777">
            <w:pPr>
              <w:widowControl/>
              <w:jc w:val="center"/>
              <w:rPr>
                <w:rFonts w:ascii="Source Sans Pro" w:hAnsi="Source Sans Pro" w:cs="Calibri"/>
                <w:snapToGrid/>
                <w:color w:val="000000"/>
                <w:sz w:val="20"/>
              </w:rPr>
            </w:pPr>
            <w:r w:rsidRPr="006C36D0">
              <w:rPr>
                <w:rFonts w:ascii="Source Sans Pro" w:hAnsi="Source Sans Pro" w:cs="Calibri"/>
                <w:snapToGrid/>
                <w:color w:val="000000"/>
                <w:sz w:val="20"/>
              </w:rPr>
              <w:t>Weighted Average Hourly Compensation Rate</w:t>
            </w:r>
          </w:p>
        </w:tc>
        <w:tc>
          <w:tcPr>
            <w:tcW w:w="1620" w:type="dxa"/>
            <w:tcBorders>
              <w:top w:val="nil"/>
              <w:left w:val="nil"/>
              <w:bottom w:val="single" w:sz="8" w:space="0" w:color="auto"/>
              <w:right w:val="single" w:sz="8" w:space="0" w:color="auto"/>
            </w:tcBorders>
            <w:vAlign w:val="center"/>
            <w:hideMark/>
          </w:tcPr>
          <w:p w:rsidR="006C36D0" w:rsidRPr="006C36D0" w:rsidP="006C36D0" w14:paraId="20FBF271" w14:textId="77777777">
            <w:pPr>
              <w:widowControl/>
              <w:jc w:val="center"/>
              <w:rPr>
                <w:rFonts w:ascii="Source Sans Pro" w:hAnsi="Source Sans Pro" w:cs="Calibri"/>
                <w:snapToGrid/>
                <w:color w:val="000000"/>
                <w:sz w:val="20"/>
              </w:rPr>
            </w:pPr>
            <w:r w:rsidRPr="006C36D0">
              <w:rPr>
                <w:rFonts w:ascii="Source Sans Pro" w:hAnsi="Source Sans Pro" w:cs="Calibri"/>
                <w:snapToGrid/>
                <w:color w:val="000000"/>
                <w:sz w:val="20"/>
              </w:rPr>
              <w:t>Annual Respondent Cost</w:t>
            </w:r>
          </w:p>
        </w:tc>
      </w:tr>
      <w:tr w14:paraId="063A212C" w14:textId="77777777" w:rsidTr="00BA2E4D">
        <w:tblPrEx>
          <w:tblW w:w="9440" w:type="dxa"/>
          <w:tblLook w:val="04A0"/>
        </w:tblPrEx>
        <w:trPr>
          <w:trHeight w:val="863"/>
        </w:trPr>
        <w:tc>
          <w:tcPr>
            <w:tcW w:w="2340" w:type="dxa"/>
            <w:tcBorders>
              <w:top w:val="nil"/>
              <w:left w:val="single" w:sz="8" w:space="0" w:color="auto"/>
              <w:bottom w:val="single" w:sz="8" w:space="0" w:color="auto"/>
              <w:right w:val="single" w:sz="8" w:space="0" w:color="auto"/>
            </w:tcBorders>
            <w:vAlign w:val="center"/>
            <w:hideMark/>
          </w:tcPr>
          <w:p w:rsidR="006C36D0" w:rsidRPr="006C36D0" w:rsidP="006C36D0" w14:paraId="54BE96EC" w14:textId="77777777">
            <w:pPr>
              <w:widowControl/>
              <w:rPr>
                <w:rFonts w:ascii="Source Sans Pro" w:hAnsi="Source Sans Pro" w:cs="Calibri"/>
                <w:snapToGrid/>
                <w:color w:val="000000"/>
                <w:sz w:val="20"/>
              </w:rPr>
            </w:pPr>
            <w:r w:rsidRPr="006C36D0">
              <w:rPr>
                <w:rFonts w:ascii="Source Sans Pro" w:hAnsi="Source Sans Pro" w:cs="Calibri"/>
                <w:snapToGrid/>
                <w:color w:val="000000"/>
                <w:sz w:val="20"/>
              </w:rPr>
              <w:t>Quarterly Certified Statement Invoice for Deposit Insurance Assessment</w:t>
            </w:r>
          </w:p>
        </w:tc>
        <w:tc>
          <w:tcPr>
            <w:tcW w:w="2573" w:type="dxa"/>
            <w:tcBorders>
              <w:top w:val="nil"/>
              <w:left w:val="nil"/>
              <w:bottom w:val="single" w:sz="8" w:space="0" w:color="auto"/>
              <w:right w:val="single" w:sz="8" w:space="0" w:color="auto"/>
            </w:tcBorders>
            <w:noWrap/>
            <w:vAlign w:val="center"/>
            <w:hideMark/>
          </w:tcPr>
          <w:p w:rsidR="006C36D0" w:rsidRPr="006C36D0" w:rsidP="006C36D0" w14:paraId="2EB0CDDA" w14:textId="77777777">
            <w:pPr>
              <w:widowControl/>
              <w:ind w:firstLine="400" w:firstLineChars="200"/>
              <w:jc w:val="right"/>
              <w:rPr>
                <w:rFonts w:ascii="Source Sans Pro" w:hAnsi="Source Sans Pro" w:cs="Calibri"/>
                <w:snapToGrid/>
                <w:color w:val="000000"/>
                <w:sz w:val="20"/>
              </w:rPr>
            </w:pPr>
            <w:r w:rsidRPr="006C36D0">
              <w:rPr>
                <w:rFonts w:ascii="Source Sans Pro" w:hAnsi="Source Sans Pro" w:cs="Calibri"/>
                <w:snapToGrid/>
                <w:color w:val="000000"/>
                <w:sz w:val="20"/>
              </w:rPr>
              <w:t xml:space="preserve">                                    5,793 </w:t>
            </w:r>
          </w:p>
        </w:tc>
        <w:tc>
          <w:tcPr>
            <w:tcW w:w="2907" w:type="dxa"/>
            <w:tcBorders>
              <w:top w:val="nil"/>
              <w:left w:val="nil"/>
              <w:bottom w:val="single" w:sz="8" w:space="0" w:color="auto"/>
              <w:right w:val="single" w:sz="8" w:space="0" w:color="auto"/>
            </w:tcBorders>
            <w:noWrap/>
            <w:vAlign w:val="center"/>
            <w:hideMark/>
          </w:tcPr>
          <w:p w:rsidR="006C36D0" w:rsidRPr="006C36D0" w:rsidP="006C36D0" w14:paraId="4FD5F02C" w14:textId="77777777">
            <w:pPr>
              <w:widowControl/>
              <w:ind w:firstLine="200" w:firstLineChars="100"/>
              <w:jc w:val="right"/>
              <w:rPr>
                <w:rFonts w:ascii="Source Sans Pro" w:hAnsi="Source Sans Pro" w:cs="Calibri"/>
                <w:snapToGrid/>
                <w:color w:val="000000"/>
                <w:sz w:val="20"/>
              </w:rPr>
            </w:pPr>
            <w:r w:rsidRPr="006C36D0">
              <w:rPr>
                <w:rFonts w:ascii="Source Sans Pro" w:hAnsi="Source Sans Pro" w:cs="Calibri"/>
                <w:snapToGrid/>
                <w:color w:val="000000"/>
                <w:sz w:val="20"/>
              </w:rPr>
              <w:t>$118.77</w:t>
            </w:r>
          </w:p>
        </w:tc>
        <w:tc>
          <w:tcPr>
            <w:tcW w:w="1620" w:type="dxa"/>
            <w:tcBorders>
              <w:top w:val="nil"/>
              <w:left w:val="nil"/>
              <w:bottom w:val="single" w:sz="8" w:space="0" w:color="auto"/>
              <w:right w:val="single" w:sz="8" w:space="0" w:color="auto"/>
            </w:tcBorders>
            <w:noWrap/>
            <w:vAlign w:val="center"/>
            <w:hideMark/>
          </w:tcPr>
          <w:p w:rsidR="006C36D0" w:rsidRPr="006C36D0" w:rsidP="006C36D0" w14:paraId="5D6BA8DD" w14:textId="77777777">
            <w:pPr>
              <w:widowControl/>
              <w:ind w:firstLine="200" w:firstLineChars="100"/>
              <w:jc w:val="right"/>
              <w:rPr>
                <w:rFonts w:ascii="Source Sans Pro" w:hAnsi="Source Sans Pro" w:cs="Calibri"/>
                <w:snapToGrid/>
                <w:color w:val="000000"/>
                <w:sz w:val="20"/>
              </w:rPr>
            </w:pPr>
            <w:r w:rsidRPr="006C36D0">
              <w:rPr>
                <w:rFonts w:ascii="Source Sans Pro" w:hAnsi="Source Sans Pro" w:cs="Calibri"/>
                <w:snapToGrid/>
                <w:color w:val="000000"/>
                <w:sz w:val="20"/>
              </w:rPr>
              <w:t>$688,035</w:t>
            </w:r>
          </w:p>
        </w:tc>
      </w:tr>
      <w:tr w14:paraId="0E3E65CC" w14:textId="77777777" w:rsidTr="00BA2E4D">
        <w:tblPrEx>
          <w:tblW w:w="9440" w:type="dxa"/>
          <w:tblLook w:val="04A0"/>
        </w:tblPrEx>
        <w:trPr>
          <w:trHeight w:val="360"/>
        </w:trPr>
        <w:tc>
          <w:tcPr>
            <w:tcW w:w="7820" w:type="dxa"/>
            <w:gridSpan w:val="3"/>
            <w:tcBorders>
              <w:top w:val="single" w:sz="8" w:space="0" w:color="auto"/>
              <w:left w:val="single" w:sz="8" w:space="0" w:color="auto"/>
              <w:bottom w:val="single" w:sz="8" w:space="0" w:color="auto"/>
              <w:right w:val="nil"/>
            </w:tcBorders>
            <w:shd w:val="clear" w:color="000000" w:fill="FFFFFF"/>
            <w:noWrap/>
            <w:vAlign w:val="center"/>
            <w:hideMark/>
          </w:tcPr>
          <w:p w:rsidR="006C36D0" w:rsidRPr="006C36D0" w:rsidP="006C36D0" w14:paraId="7F174443" w14:textId="77777777">
            <w:pPr>
              <w:widowControl/>
              <w:jc w:val="right"/>
              <w:rPr>
                <w:rFonts w:ascii="Source Sans Pro" w:hAnsi="Source Sans Pro" w:cs="Calibri"/>
                <w:b/>
                <w:bCs/>
                <w:i/>
                <w:iCs/>
                <w:snapToGrid/>
                <w:color w:val="000000"/>
                <w:sz w:val="22"/>
                <w:szCs w:val="22"/>
              </w:rPr>
            </w:pPr>
            <w:r w:rsidRPr="006C36D0">
              <w:rPr>
                <w:rFonts w:ascii="Source Sans Pro" w:hAnsi="Source Sans Pro" w:cs="Calibri"/>
                <w:b/>
                <w:bCs/>
                <w:i/>
                <w:iCs/>
                <w:snapToGrid/>
                <w:color w:val="000000"/>
                <w:sz w:val="22"/>
                <w:szCs w:val="22"/>
              </w:rPr>
              <w:t>Total Annual Respondent Cost:</w:t>
            </w:r>
          </w:p>
        </w:tc>
        <w:tc>
          <w:tcPr>
            <w:tcW w:w="1620" w:type="dxa"/>
            <w:tcBorders>
              <w:top w:val="nil"/>
              <w:left w:val="nil"/>
              <w:bottom w:val="single" w:sz="8" w:space="0" w:color="auto"/>
              <w:right w:val="single" w:sz="8" w:space="0" w:color="auto"/>
            </w:tcBorders>
            <w:shd w:val="clear" w:color="000000" w:fill="FFFFFF"/>
            <w:vAlign w:val="center"/>
            <w:hideMark/>
          </w:tcPr>
          <w:p w:rsidR="006C36D0" w:rsidRPr="006C36D0" w:rsidP="006C36D0" w14:paraId="3AA2AFC8" w14:textId="77777777">
            <w:pPr>
              <w:widowControl/>
              <w:ind w:firstLine="220" w:firstLineChars="100"/>
              <w:jc w:val="right"/>
              <w:rPr>
                <w:rFonts w:ascii="Source Sans Pro" w:hAnsi="Source Sans Pro" w:cs="Calibri"/>
                <w:b/>
                <w:bCs/>
                <w:i/>
                <w:iCs/>
                <w:snapToGrid/>
                <w:color w:val="000000"/>
                <w:sz w:val="22"/>
                <w:szCs w:val="22"/>
              </w:rPr>
            </w:pPr>
            <w:r w:rsidRPr="006C36D0">
              <w:rPr>
                <w:rFonts w:ascii="Source Sans Pro" w:hAnsi="Source Sans Pro" w:cs="Calibri"/>
                <w:b/>
                <w:bCs/>
                <w:i/>
                <w:iCs/>
                <w:snapToGrid/>
                <w:color w:val="000000"/>
                <w:sz w:val="22"/>
                <w:szCs w:val="22"/>
              </w:rPr>
              <w:t xml:space="preserve">$688,035 </w:t>
            </w:r>
          </w:p>
        </w:tc>
      </w:tr>
      <w:tr w14:paraId="039BA828" w14:textId="77777777" w:rsidTr="00BA2E4D">
        <w:tblPrEx>
          <w:tblW w:w="9440" w:type="dxa"/>
          <w:tblLook w:val="04A0"/>
        </w:tblPrEx>
        <w:trPr>
          <w:trHeight w:val="403"/>
        </w:trPr>
        <w:tc>
          <w:tcPr>
            <w:tcW w:w="9440" w:type="dxa"/>
            <w:gridSpan w:val="4"/>
            <w:tcBorders>
              <w:top w:val="single" w:sz="8" w:space="0" w:color="auto"/>
              <w:left w:val="single" w:sz="8" w:space="0" w:color="auto"/>
              <w:bottom w:val="single" w:sz="8" w:space="0" w:color="auto"/>
              <w:right w:val="single" w:sz="8" w:space="0" w:color="000000"/>
            </w:tcBorders>
            <w:noWrap/>
            <w:hideMark/>
          </w:tcPr>
          <w:p w:rsidR="006C36D0" w:rsidRPr="006C36D0" w:rsidP="006C36D0" w14:paraId="0AD40A4B" w14:textId="77777777">
            <w:pPr>
              <w:widowControl/>
              <w:rPr>
                <w:rFonts w:ascii="Source Sans Pro" w:hAnsi="Source Sans Pro" w:cs="Calibri"/>
                <w:snapToGrid/>
                <w:color w:val="000000"/>
                <w:sz w:val="18"/>
                <w:szCs w:val="18"/>
              </w:rPr>
            </w:pPr>
            <w:r w:rsidRPr="006C36D0">
              <w:rPr>
                <w:rFonts w:ascii="Source Sans Pro" w:hAnsi="Source Sans Pro" w:cs="Calibri"/>
                <w:snapToGrid/>
                <w:color w:val="000000"/>
                <w:sz w:val="18"/>
                <w:szCs w:val="18"/>
              </w:rPr>
              <w:t>Source: FDIC.</w:t>
            </w:r>
          </w:p>
        </w:tc>
      </w:tr>
    </w:tbl>
    <w:p w:rsidR="006C36D0" w:rsidP="006B18B4" w14:paraId="59B4E40E" w14:textId="41B3E370">
      <w:pPr>
        <w:keepNext/>
        <w:tabs>
          <w:tab w:val="left" w:pos="-1440"/>
        </w:tabs>
        <w:ind w:left="720" w:hanging="360"/>
        <w:rPr>
          <w:rFonts w:ascii="Times New Roman" w:hAnsi="Times New Roman"/>
          <w:lang w:bidi="en-US"/>
        </w:rPr>
      </w:pPr>
    </w:p>
    <w:p w:rsidR="003773E0" w:rsidRPr="006B18B4" w:rsidP="006B18B4" w14:paraId="5DA9380B" w14:textId="77777777">
      <w:pPr>
        <w:keepNext/>
        <w:tabs>
          <w:tab w:val="left" w:pos="-1440"/>
        </w:tabs>
        <w:ind w:left="720" w:hanging="360"/>
        <w:rPr>
          <w:rFonts w:ascii="Times New Roman" w:hAnsi="Times New Roman"/>
          <w:lang w:bidi="en-US"/>
        </w:rPr>
      </w:pPr>
    </w:p>
    <w:p w:rsidR="007B6C63" w:rsidRPr="000B0581" w:rsidP="000B0581" w14:paraId="1073998D" w14:textId="77777777">
      <w:pPr>
        <w:keepNext/>
        <w:tabs>
          <w:tab w:val="left" w:pos="-1440"/>
        </w:tabs>
        <w:ind w:left="720" w:hanging="360"/>
        <w:rPr>
          <w:rFonts w:ascii="Times New Roman" w:hAnsi="Times New Roman"/>
          <w:b/>
          <w:u w:val="single"/>
        </w:rPr>
      </w:pPr>
      <w:r>
        <w:rPr>
          <w:rFonts w:ascii="Times New Roman" w:hAnsi="Times New Roman"/>
        </w:rPr>
        <w:t>13.</w:t>
      </w:r>
      <w:r>
        <w:rPr>
          <w:rFonts w:ascii="Times New Roman" w:hAnsi="Times New Roman"/>
        </w:rPr>
        <w:tab/>
      </w:r>
      <w:r w:rsidRPr="000B0581" w:rsidR="00523B22">
        <w:rPr>
          <w:rFonts w:ascii="Times New Roman" w:hAnsi="Times New Roman"/>
          <w:b/>
          <w:bCs/>
          <w:iCs/>
          <w:u w:val="single"/>
        </w:rPr>
        <w:t>Estimate</w:t>
      </w:r>
      <w:r w:rsidRPr="000B0581" w:rsidR="00523B22">
        <w:rPr>
          <w:rFonts w:ascii="Times New Roman" w:hAnsi="Times New Roman"/>
          <w:b/>
          <w:bCs/>
          <w:szCs w:val="24"/>
          <w:u w:val="single"/>
        </w:rPr>
        <w:t xml:space="preserve"> of </w:t>
      </w:r>
      <w:r w:rsidRPr="000B0581" w:rsidR="00523B22">
        <w:rPr>
          <w:rFonts w:ascii="Times New Roman" w:hAnsi="Times New Roman"/>
          <w:b/>
          <w:u w:val="single"/>
        </w:rPr>
        <w:t>start</w:t>
      </w:r>
      <w:r w:rsidRPr="000B0581" w:rsidR="00523B22">
        <w:rPr>
          <w:rFonts w:ascii="Times New Roman" w:hAnsi="Times New Roman"/>
          <w:b/>
          <w:bCs/>
          <w:szCs w:val="24"/>
          <w:u w:val="single"/>
        </w:rPr>
        <w:t>-up costs to respondents:</w:t>
      </w:r>
    </w:p>
    <w:p w:rsidR="007B6C63" w:rsidRPr="000B0581" w14:paraId="3DD67CBB" w14:textId="77777777">
      <w:pPr>
        <w:rPr>
          <w:rFonts w:ascii="Times New Roman" w:hAnsi="Times New Roman"/>
          <w:b/>
          <w:u w:val="single"/>
        </w:rPr>
      </w:pPr>
    </w:p>
    <w:p w:rsidR="007B6C63" w:rsidP="000B0581" w14:paraId="687BE8D9" w14:textId="77777777">
      <w:pPr>
        <w:ind w:left="720"/>
        <w:rPr>
          <w:rFonts w:ascii="Times New Roman" w:hAnsi="Times New Roman"/>
        </w:rPr>
      </w:pPr>
      <w:r>
        <w:rPr>
          <w:rFonts w:ascii="Times New Roman" w:hAnsi="Times New Roman"/>
        </w:rPr>
        <w:t>No</w:t>
      </w:r>
      <w:r w:rsidR="000B0581">
        <w:rPr>
          <w:rFonts w:ascii="Times New Roman" w:hAnsi="Times New Roman"/>
        </w:rPr>
        <w:t>ne</w:t>
      </w:r>
      <w:r>
        <w:rPr>
          <w:rFonts w:ascii="Times New Roman" w:hAnsi="Times New Roman"/>
        </w:rPr>
        <w:t>.</w:t>
      </w:r>
    </w:p>
    <w:p w:rsidR="007B6C63" w14:paraId="74A0C1A4" w14:textId="77777777">
      <w:pPr>
        <w:rPr>
          <w:rFonts w:ascii="Times New Roman" w:hAnsi="Times New Roman"/>
        </w:rPr>
      </w:pPr>
    </w:p>
    <w:p w:rsidR="007B6C63" w:rsidP="00A1019D" w14:paraId="5631B799" w14:textId="77777777">
      <w:pPr>
        <w:tabs>
          <w:tab w:val="left" w:pos="-1440"/>
        </w:tabs>
        <w:ind w:left="720" w:hanging="360"/>
        <w:rPr>
          <w:rFonts w:ascii="Times New Roman" w:hAnsi="Times New Roman"/>
        </w:rPr>
      </w:pPr>
      <w:r>
        <w:rPr>
          <w:rFonts w:ascii="Times New Roman" w:hAnsi="Times New Roman"/>
        </w:rPr>
        <w:t>14.</w:t>
      </w:r>
      <w:r>
        <w:rPr>
          <w:rFonts w:ascii="Times New Roman" w:hAnsi="Times New Roman"/>
        </w:rPr>
        <w:tab/>
      </w:r>
      <w:r w:rsidRPr="00A1019D" w:rsidR="00523B22">
        <w:rPr>
          <w:rFonts w:ascii="Times New Roman" w:hAnsi="Times New Roman"/>
          <w:b/>
          <w:bCs/>
          <w:iCs/>
          <w:u w:val="single"/>
        </w:rPr>
        <w:t>Estimate</w:t>
      </w:r>
      <w:r w:rsidRPr="00D64624" w:rsidR="00523B22">
        <w:rPr>
          <w:rFonts w:ascii="Times New Roman" w:hAnsi="Times New Roman"/>
          <w:b/>
          <w:bCs/>
          <w:iCs/>
          <w:szCs w:val="24"/>
          <w:u w:val="single"/>
        </w:rPr>
        <w:t xml:space="preserve"> of annualized costs to the government:</w:t>
      </w:r>
    </w:p>
    <w:p w:rsidR="007B6C63" w14:paraId="4C5D4EB5" w14:textId="77777777">
      <w:pPr>
        <w:ind w:firstLine="720"/>
        <w:rPr>
          <w:rFonts w:ascii="Times New Roman" w:hAnsi="Times New Roman"/>
        </w:rPr>
      </w:pPr>
    </w:p>
    <w:p w:rsidR="007B6C63" w:rsidP="000B0581" w14:paraId="32A165B3" w14:textId="77777777">
      <w:pPr>
        <w:ind w:left="720"/>
        <w:rPr>
          <w:rFonts w:ascii="Times New Roman" w:hAnsi="Times New Roman"/>
        </w:rPr>
      </w:pPr>
      <w:r w:rsidRPr="000B0581">
        <w:rPr>
          <w:rFonts w:ascii="Times New Roman" w:hAnsi="Times New Roman"/>
          <w:szCs w:val="24"/>
        </w:rPr>
        <w:t>None</w:t>
      </w:r>
      <w:r>
        <w:rPr>
          <w:rFonts w:ascii="Times New Roman" w:hAnsi="Times New Roman"/>
        </w:rPr>
        <w:t>.</w:t>
      </w:r>
    </w:p>
    <w:p w:rsidR="007B6C63" w14:paraId="74C745BD" w14:textId="77777777">
      <w:pPr>
        <w:rPr>
          <w:rFonts w:ascii="Times New Roman" w:hAnsi="Times New Roman"/>
        </w:rPr>
      </w:pPr>
    </w:p>
    <w:p w:rsidR="007B6C63" w:rsidP="00B61AD2" w14:paraId="1BCB48F7" w14:textId="77777777">
      <w:pPr>
        <w:keepNext/>
        <w:tabs>
          <w:tab w:val="left" w:pos="-1440"/>
        </w:tabs>
        <w:ind w:left="720" w:hanging="360"/>
        <w:rPr>
          <w:rFonts w:ascii="Times New Roman" w:hAnsi="Times New Roman"/>
        </w:rPr>
      </w:pPr>
      <w:r>
        <w:rPr>
          <w:rFonts w:ascii="Times New Roman" w:hAnsi="Times New Roman"/>
        </w:rPr>
        <w:t>15.</w:t>
      </w:r>
      <w:r>
        <w:rPr>
          <w:rFonts w:ascii="Times New Roman" w:hAnsi="Times New Roman"/>
        </w:rPr>
        <w:tab/>
      </w:r>
      <w:r w:rsidRPr="000B0581" w:rsidR="00523B22">
        <w:rPr>
          <w:rFonts w:ascii="Times New Roman" w:hAnsi="Times New Roman"/>
          <w:b/>
          <w:bCs/>
          <w:iCs/>
          <w:u w:val="single"/>
        </w:rPr>
        <w:t>Analysis</w:t>
      </w:r>
      <w:r w:rsidRPr="000B0581" w:rsidR="00523B22">
        <w:rPr>
          <w:rFonts w:ascii="Times New Roman" w:hAnsi="Times New Roman"/>
          <w:b/>
          <w:bCs/>
          <w:iCs/>
          <w:szCs w:val="24"/>
          <w:u w:val="single"/>
        </w:rPr>
        <w:t xml:space="preserve"> </w:t>
      </w:r>
      <w:r w:rsidRPr="000B0581" w:rsidR="00523B22">
        <w:rPr>
          <w:rFonts w:ascii="Times New Roman" w:hAnsi="Times New Roman"/>
          <w:b/>
          <w:u w:val="single"/>
        </w:rPr>
        <w:t>of</w:t>
      </w:r>
      <w:r w:rsidRPr="000B0581" w:rsidR="00523B22">
        <w:rPr>
          <w:rFonts w:ascii="Times New Roman" w:hAnsi="Times New Roman"/>
          <w:b/>
          <w:bCs/>
          <w:iCs/>
          <w:szCs w:val="24"/>
          <w:u w:val="single"/>
        </w:rPr>
        <w:t xml:space="preserve"> change in burden:</w:t>
      </w:r>
    </w:p>
    <w:p w:rsidR="007B6C63" w:rsidP="00B61AD2" w14:paraId="60BAF562" w14:textId="77777777">
      <w:pPr>
        <w:keepNext/>
        <w:rPr>
          <w:rFonts w:ascii="Times New Roman" w:hAnsi="Times New Roman"/>
        </w:rPr>
      </w:pPr>
    </w:p>
    <w:p w:rsidR="007B6C63" w:rsidP="00BE5D5E" w14:paraId="7F649FA4" w14:textId="25136F44">
      <w:pPr>
        <w:keepNext/>
        <w:ind w:left="720"/>
        <w:rPr>
          <w:rFonts w:ascii="Times New Roman" w:hAnsi="Times New Roman"/>
        </w:rPr>
      </w:pPr>
      <w:r>
        <w:rPr>
          <w:rFonts w:ascii="Times New Roman" w:hAnsi="Times New Roman"/>
        </w:rPr>
        <w:t xml:space="preserve">There is no change in the substance or methodology of this information collection. </w:t>
      </w:r>
      <w:r w:rsidR="00BE5D5E">
        <w:rPr>
          <w:rFonts w:ascii="Times New Roman" w:hAnsi="Times New Roman"/>
        </w:rPr>
        <w:t xml:space="preserve">Total estimated annual burden decreased </w:t>
      </w:r>
      <w:r w:rsidR="00B805BA">
        <w:rPr>
          <w:rFonts w:ascii="Times New Roman" w:hAnsi="Times New Roman"/>
          <w:lang w:bidi="en-US"/>
        </w:rPr>
        <w:t>547</w:t>
      </w:r>
      <w:r w:rsidR="00BE5D5E">
        <w:rPr>
          <w:rFonts w:ascii="Times New Roman" w:hAnsi="Times New Roman"/>
          <w:lang w:bidi="en-US"/>
        </w:rPr>
        <w:t xml:space="preserve"> hours from </w:t>
      </w:r>
      <w:r w:rsidR="00811264">
        <w:rPr>
          <w:rFonts w:ascii="Times New Roman" w:hAnsi="Times New Roman"/>
          <w:lang w:bidi="en-US"/>
        </w:rPr>
        <w:t>6,340</w:t>
      </w:r>
      <w:r w:rsidR="00BE5D5E">
        <w:rPr>
          <w:rFonts w:ascii="Times New Roman" w:hAnsi="Times New Roman"/>
          <w:lang w:bidi="en-US"/>
        </w:rPr>
        <w:t xml:space="preserve"> hours in 202</w:t>
      </w:r>
      <w:r w:rsidR="00811264">
        <w:rPr>
          <w:rFonts w:ascii="Times New Roman" w:hAnsi="Times New Roman"/>
          <w:lang w:bidi="en-US"/>
        </w:rPr>
        <w:t>4</w:t>
      </w:r>
      <w:r w:rsidR="00BE5D5E">
        <w:rPr>
          <w:rFonts w:ascii="Times New Roman" w:hAnsi="Times New Roman"/>
          <w:lang w:bidi="en-US"/>
        </w:rPr>
        <w:t xml:space="preserve"> to </w:t>
      </w:r>
      <w:r w:rsidR="00811264">
        <w:rPr>
          <w:rFonts w:ascii="Times New Roman" w:hAnsi="Times New Roman"/>
          <w:lang w:bidi="en-US"/>
        </w:rPr>
        <w:t>5,793</w:t>
      </w:r>
      <w:r w:rsidR="00BE5D5E">
        <w:rPr>
          <w:rFonts w:ascii="Times New Roman" w:hAnsi="Times New Roman"/>
          <w:lang w:bidi="en-US"/>
        </w:rPr>
        <w:t xml:space="preserve"> currently.  </w:t>
      </w:r>
      <w:r w:rsidR="00243D0C">
        <w:rPr>
          <w:rFonts w:ascii="Times New Roman" w:hAnsi="Times New Roman"/>
        </w:rPr>
        <w:t xml:space="preserve">The change in burden is due </w:t>
      </w:r>
      <w:r>
        <w:rPr>
          <w:rFonts w:ascii="Times New Roman" w:hAnsi="Times New Roman"/>
        </w:rPr>
        <w:t xml:space="preserve">solely </w:t>
      </w:r>
      <w:r w:rsidRPr="00BE5D5E" w:rsidR="00BE5D5E">
        <w:rPr>
          <w:rFonts w:ascii="Times New Roman" w:hAnsi="Times New Roman"/>
          <w:lang w:bidi="en-US"/>
        </w:rPr>
        <w:t>to the decrease in the number of IDIs</w:t>
      </w:r>
      <w:r w:rsidR="009D36E8">
        <w:rPr>
          <w:rFonts w:ascii="Times New Roman" w:hAnsi="Times New Roman"/>
          <w:lang w:bidi="en-US"/>
        </w:rPr>
        <w:t>.</w:t>
      </w:r>
    </w:p>
    <w:p w:rsidR="00D35001" w:rsidRPr="00A1019D" w:rsidP="00A1019D" w14:paraId="524D5E1F" w14:textId="77777777">
      <w:pPr>
        <w:tabs>
          <w:tab w:val="left" w:pos="-1440"/>
        </w:tabs>
        <w:ind w:left="720" w:hanging="360"/>
        <w:rPr>
          <w:rFonts w:ascii="Times New Roman" w:hAnsi="Times New Roman"/>
          <w:b/>
          <w:bCs/>
          <w:iCs/>
          <w:u w:val="single"/>
        </w:rPr>
      </w:pPr>
    </w:p>
    <w:p w:rsidR="00937218" w:rsidRPr="00D64624" w:rsidP="00A1019D" w14:paraId="7D20BBBA" w14:textId="77777777">
      <w:pPr>
        <w:tabs>
          <w:tab w:val="left" w:pos="-1440"/>
        </w:tabs>
        <w:ind w:left="720" w:hanging="360"/>
        <w:rPr>
          <w:rFonts w:ascii="Times New Roman" w:hAnsi="Times New Roman"/>
          <w:b/>
          <w:szCs w:val="24"/>
          <w:u w:val="single"/>
        </w:rPr>
      </w:pPr>
      <w:r>
        <w:rPr>
          <w:rFonts w:ascii="Times New Roman" w:hAnsi="Times New Roman"/>
        </w:rPr>
        <w:t>16.</w:t>
      </w:r>
      <w:r>
        <w:rPr>
          <w:rFonts w:ascii="Times New Roman" w:hAnsi="Times New Roman"/>
        </w:rPr>
        <w:tab/>
      </w:r>
      <w:r w:rsidRPr="00A1019D">
        <w:rPr>
          <w:rFonts w:ascii="Times New Roman" w:hAnsi="Times New Roman"/>
          <w:b/>
          <w:bCs/>
          <w:iCs/>
          <w:u w:val="single"/>
        </w:rPr>
        <w:t>Information</w:t>
      </w:r>
      <w:r w:rsidRPr="00D64624">
        <w:rPr>
          <w:rFonts w:ascii="Times New Roman" w:hAnsi="Times New Roman"/>
          <w:b/>
          <w:szCs w:val="24"/>
          <w:u w:val="single"/>
        </w:rPr>
        <w:t xml:space="preserve"> regarding collections whose results are planned to be published for statistical use:</w:t>
      </w:r>
    </w:p>
    <w:p w:rsidR="007B6C63" w14:paraId="6BCEC10F" w14:textId="77777777">
      <w:pPr>
        <w:rPr>
          <w:rFonts w:ascii="Times New Roman" w:hAnsi="Times New Roman"/>
        </w:rPr>
      </w:pPr>
    </w:p>
    <w:p w:rsidR="007B6C63" w:rsidP="000B0581" w14:paraId="75D14B44" w14:textId="77777777">
      <w:pPr>
        <w:ind w:left="720"/>
        <w:rPr>
          <w:rFonts w:ascii="Times New Roman" w:hAnsi="Times New Roman"/>
        </w:rPr>
      </w:pPr>
      <w:r>
        <w:rPr>
          <w:rFonts w:ascii="Times New Roman" w:hAnsi="Times New Roman"/>
        </w:rPr>
        <w:t>The information collected is for internal FDIC use only and is not published.  Aggregate assessment information is published in financial reports.</w:t>
      </w:r>
    </w:p>
    <w:p w:rsidR="007B6C63" w14:paraId="7941626A" w14:textId="77777777">
      <w:pPr>
        <w:rPr>
          <w:rFonts w:ascii="Times New Roman" w:hAnsi="Times New Roman"/>
        </w:rPr>
      </w:pPr>
    </w:p>
    <w:p w:rsidR="007B6C63" w:rsidP="00A1019D" w14:paraId="5C69804E" w14:textId="77777777">
      <w:pPr>
        <w:tabs>
          <w:tab w:val="left" w:pos="-1440"/>
        </w:tabs>
        <w:ind w:left="720" w:hanging="360"/>
        <w:rPr>
          <w:rFonts w:ascii="Times New Roman" w:hAnsi="Times New Roman"/>
        </w:rPr>
      </w:pPr>
      <w:r>
        <w:rPr>
          <w:rFonts w:ascii="Times New Roman" w:hAnsi="Times New Roman"/>
        </w:rPr>
        <w:t>17.</w:t>
      </w:r>
      <w:r>
        <w:rPr>
          <w:rFonts w:ascii="Times New Roman" w:hAnsi="Times New Roman"/>
        </w:rPr>
        <w:tab/>
      </w:r>
      <w:r w:rsidRPr="00A1019D" w:rsidR="00937218">
        <w:rPr>
          <w:rFonts w:ascii="Times New Roman" w:hAnsi="Times New Roman"/>
          <w:b/>
          <w:bCs/>
          <w:iCs/>
          <w:u w:val="single"/>
        </w:rPr>
        <w:t>Display</w:t>
      </w:r>
      <w:r w:rsidRPr="00937218" w:rsidR="00937218">
        <w:rPr>
          <w:rFonts w:ascii="Times New Roman" w:hAnsi="Times New Roman"/>
          <w:b/>
          <w:u w:val="single"/>
        </w:rPr>
        <w:t xml:space="preserve"> of expiration d</w:t>
      </w:r>
      <w:r w:rsidRPr="00937218">
        <w:rPr>
          <w:rFonts w:ascii="Times New Roman" w:hAnsi="Times New Roman"/>
          <w:b/>
          <w:u w:val="single"/>
        </w:rPr>
        <w:t>ate</w:t>
      </w:r>
      <w:r w:rsidRPr="00937218" w:rsidR="00937218">
        <w:rPr>
          <w:rFonts w:ascii="Times New Roman" w:hAnsi="Times New Roman"/>
          <w:b/>
          <w:u w:val="single"/>
        </w:rPr>
        <w:t>:</w:t>
      </w:r>
    </w:p>
    <w:p w:rsidR="007B6C63" w14:paraId="566C1DA8" w14:textId="77777777">
      <w:pPr>
        <w:rPr>
          <w:rFonts w:ascii="Times New Roman" w:hAnsi="Times New Roman"/>
        </w:rPr>
      </w:pPr>
    </w:p>
    <w:p w:rsidR="007B6C63" w:rsidP="000B0581" w14:paraId="0CBA9066" w14:textId="77777777">
      <w:pPr>
        <w:ind w:left="720"/>
        <w:rPr>
          <w:rFonts w:ascii="Times New Roman" w:hAnsi="Times New Roman"/>
        </w:rPr>
      </w:pPr>
      <w:r w:rsidRPr="00D64624">
        <w:rPr>
          <w:rFonts w:ascii="Times New Roman" w:hAnsi="Times New Roman"/>
          <w:szCs w:val="24"/>
        </w:rPr>
        <w:t xml:space="preserve">Not applicable.  </w:t>
      </w:r>
      <w:r>
        <w:rPr>
          <w:rFonts w:ascii="Times New Roman" w:hAnsi="Times New Roman"/>
          <w:szCs w:val="24"/>
        </w:rPr>
        <w:t xml:space="preserve">The FDIC does not seek approval to not display the expiration date for </w:t>
      </w:r>
      <w:r w:rsidRPr="000B0581">
        <w:rPr>
          <w:rFonts w:ascii="Times New Roman" w:hAnsi="Times New Roman"/>
        </w:rPr>
        <w:t>OMB</w:t>
      </w:r>
      <w:r>
        <w:rPr>
          <w:rFonts w:ascii="Times New Roman" w:hAnsi="Times New Roman"/>
          <w:szCs w:val="24"/>
        </w:rPr>
        <w:t xml:space="preserve"> approval for the information collection.  </w:t>
      </w:r>
      <w:r w:rsidRPr="006D69AE">
        <w:rPr>
          <w:rFonts w:ascii="Times New Roman" w:hAnsi="Times New Roman"/>
        </w:rPr>
        <w:t xml:space="preserve">The OMB control number and expiration date will be displayed on the </w:t>
      </w:r>
      <w:r w:rsidR="00655078">
        <w:rPr>
          <w:rFonts w:ascii="Times New Roman" w:hAnsi="Times New Roman"/>
        </w:rPr>
        <w:t>Quarterly Certified Statement Invoice for Deposit Insurance Assessment form</w:t>
      </w:r>
      <w:r>
        <w:rPr>
          <w:rFonts w:ascii="Times New Roman" w:hAnsi="Times New Roman"/>
        </w:rPr>
        <w:t xml:space="preserve"> (FDIC Form 6420/07). </w:t>
      </w:r>
    </w:p>
    <w:p w:rsidR="007B6C63" w14:paraId="6C424EC7" w14:textId="77777777">
      <w:pPr>
        <w:rPr>
          <w:rFonts w:ascii="Times New Roman" w:hAnsi="Times New Roman"/>
        </w:rPr>
      </w:pPr>
    </w:p>
    <w:p w:rsidR="007B6C63" w:rsidP="00A1019D" w14:paraId="46D50B33" w14:textId="77777777">
      <w:pPr>
        <w:tabs>
          <w:tab w:val="left" w:pos="-1440"/>
        </w:tabs>
        <w:ind w:left="720" w:hanging="360"/>
        <w:rPr>
          <w:rFonts w:ascii="Times New Roman" w:hAnsi="Times New Roman"/>
        </w:rPr>
      </w:pPr>
      <w:r>
        <w:rPr>
          <w:rFonts w:ascii="Times New Roman" w:hAnsi="Times New Roman"/>
        </w:rPr>
        <w:t>18.</w:t>
      </w:r>
      <w:r>
        <w:rPr>
          <w:rFonts w:ascii="Times New Roman" w:hAnsi="Times New Roman"/>
        </w:rPr>
        <w:tab/>
      </w:r>
      <w:r w:rsidRPr="00A1019D" w:rsidR="00937218">
        <w:rPr>
          <w:rFonts w:ascii="Times New Roman" w:hAnsi="Times New Roman"/>
          <w:b/>
          <w:bCs/>
          <w:iCs/>
          <w:u w:val="single"/>
        </w:rPr>
        <w:t>Exceptions</w:t>
      </w:r>
      <w:r w:rsidRPr="00937218" w:rsidR="00937218">
        <w:rPr>
          <w:rFonts w:ascii="Times New Roman" w:hAnsi="Times New Roman"/>
          <w:b/>
          <w:u w:val="single"/>
        </w:rPr>
        <w:t xml:space="preserve"> to c</w:t>
      </w:r>
      <w:r w:rsidRPr="00937218">
        <w:rPr>
          <w:rFonts w:ascii="Times New Roman" w:hAnsi="Times New Roman"/>
          <w:b/>
          <w:u w:val="single"/>
        </w:rPr>
        <w:t>ertification</w:t>
      </w:r>
      <w:r w:rsidRPr="00937218" w:rsidR="00937218">
        <w:rPr>
          <w:rFonts w:ascii="Times New Roman" w:hAnsi="Times New Roman"/>
          <w:b/>
          <w:u w:val="single"/>
        </w:rPr>
        <w:t>:</w:t>
      </w:r>
    </w:p>
    <w:p w:rsidR="007B6C63" w:rsidP="00FC41DF" w14:paraId="761B745F" w14:textId="77777777">
      <w:pPr>
        <w:tabs>
          <w:tab w:val="left" w:pos="-1440"/>
        </w:tabs>
        <w:ind w:firstLine="360"/>
        <w:rPr>
          <w:rFonts w:ascii="Times New Roman" w:hAnsi="Times New Roman"/>
        </w:rPr>
      </w:pPr>
    </w:p>
    <w:p w:rsidR="007B6C63" w:rsidP="000B0581" w14:paraId="164C6058" w14:textId="77777777">
      <w:pPr>
        <w:ind w:left="720"/>
        <w:rPr>
          <w:rFonts w:ascii="Times New Roman" w:hAnsi="Times New Roman"/>
        </w:rPr>
      </w:pPr>
      <w:r w:rsidRPr="000B0581">
        <w:rPr>
          <w:rFonts w:ascii="Times New Roman" w:hAnsi="Times New Roman"/>
          <w:szCs w:val="24"/>
        </w:rPr>
        <w:t>None</w:t>
      </w:r>
      <w:r>
        <w:rPr>
          <w:rFonts w:ascii="Times New Roman" w:hAnsi="Times New Roman"/>
        </w:rPr>
        <w:t>.</w:t>
      </w:r>
    </w:p>
    <w:p w:rsidR="007B6C63" w:rsidP="000B0581" w14:paraId="0B18BEF4" w14:textId="77777777">
      <w:pPr>
        <w:ind w:left="720"/>
        <w:rPr>
          <w:rFonts w:ascii="Times New Roman" w:hAnsi="Times New Roman"/>
        </w:rPr>
      </w:pPr>
    </w:p>
    <w:p w:rsidR="007B6C63" w14:paraId="4F6245D8" w14:textId="77777777">
      <w:pPr>
        <w:tabs>
          <w:tab w:val="left" w:pos="-1440"/>
        </w:tabs>
        <w:rPr>
          <w:rFonts w:ascii="Times New Roman" w:hAnsi="Times New Roman"/>
        </w:rPr>
      </w:pPr>
      <w:r>
        <w:rPr>
          <w:rFonts w:ascii="Times New Roman" w:hAnsi="Times New Roman"/>
        </w:rPr>
        <w:t>B.</w:t>
      </w:r>
      <w:r>
        <w:rPr>
          <w:rFonts w:ascii="Times New Roman" w:hAnsi="Times New Roman"/>
        </w:rPr>
        <w:tab/>
      </w:r>
      <w:r w:rsidR="00937218">
        <w:rPr>
          <w:rFonts w:ascii="Times New Roman" w:hAnsi="Times New Roman"/>
          <w:b/>
          <w:szCs w:val="24"/>
        </w:rPr>
        <w:t>COLLECTION OF INFORMATION EMPLOYING STATISTICAL METHODS</w:t>
      </w:r>
    </w:p>
    <w:p w:rsidR="007B6C63" w14:paraId="081E59F2" w14:textId="77777777">
      <w:pPr>
        <w:rPr>
          <w:rFonts w:ascii="Times New Roman" w:hAnsi="Times New Roman"/>
        </w:rPr>
      </w:pPr>
    </w:p>
    <w:p w:rsidR="007B6C63" w:rsidP="000B0581" w14:paraId="0F6D50AA" w14:textId="77777777">
      <w:pPr>
        <w:ind w:left="720"/>
        <w:rPr>
          <w:rFonts w:ascii="Times New Roman" w:hAnsi="Times New Roman"/>
        </w:rPr>
      </w:pPr>
      <w:r>
        <w:rPr>
          <w:rFonts w:ascii="Times New Roman" w:hAnsi="Times New Roman"/>
        </w:rPr>
        <w:t>Not applicable.</w:t>
      </w:r>
    </w:p>
    <w:p w:rsidR="007B6C63" w14:paraId="6FBC42A0" w14:textId="77777777">
      <w:pPr>
        <w:rPr>
          <w:rFonts w:ascii="Times New Roman" w:hAnsi="Times New Roman"/>
        </w:rPr>
      </w:pPr>
    </w:p>
    <w:p w:rsidR="007B6C63" w14:paraId="2454EF29" w14:textId="77777777">
      <w:pPr>
        <w:rPr>
          <w:rFonts w:ascii="Times New Roman" w:hAnsi="Times New Roman"/>
        </w:rPr>
      </w:pPr>
    </w:p>
    <w:sectPr>
      <w:headerReference w:type="even" r:id="rId8"/>
      <w:headerReference w:type="default" r:id="rId9"/>
      <w:footerReference w:type="even" r:id="rId10"/>
      <w:footerReference w:type="default" r:id="rId11"/>
      <w:headerReference w:type="first" r:id="rId12"/>
      <w:footerReference w:type="first" r:id="rId13"/>
      <w:endnotePr>
        <w:numFmt w:val="decimal"/>
      </w:endnotePr>
      <w:type w:val="continuous"/>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PS">
    <w:altName w:val="Courier New"/>
    <w:panose1 w:val="00000000000000000000"/>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ource Sans Pro">
    <w:panose1 w:val="020B0503030403020204"/>
    <w:charset w:val="00"/>
    <w:family w:val="swiss"/>
    <w:notTrueType/>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96DC2" w14:paraId="172CB26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B6C63" w14:paraId="32FACF4C" w14:textId="77777777">
    <w:pPr>
      <w:spacing w:line="240" w:lineRule="exact"/>
    </w:pPr>
  </w:p>
  <w:p w:rsidR="007B6C63" w14:paraId="5AEF6030" w14:textId="60C47E12">
    <w:pPr>
      <w:framePr w:w="9361" w:wrap="notBeside" w:vAnchor="text" w:hAnchor="text" w:x="1" w:y="1"/>
      <w:jc w:val="center"/>
      <w:rPr>
        <w:rFonts w:ascii="Times New Roman" w:hAnsi="Times New Roman"/>
      </w:rPr>
    </w:pPr>
    <w:r>
      <w:rPr>
        <w:rFonts w:ascii="Times New Roman" w:hAnsi="Times New Roman"/>
      </w:rPr>
      <w:fldChar w:fldCharType="begin"/>
    </w:r>
    <w:r>
      <w:rPr>
        <w:rFonts w:ascii="Times New Roman" w:hAnsi="Times New Roman"/>
      </w:rPr>
      <w:instrText xml:space="preserve">PAGE </w:instrText>
    </w:r>
    <w:r>
      <w:rPr>
        <w:rFonts w:ascii="Times New Roman" w:hAnsi="Times New Roman"/>
      </w:rPr>
      <w:fldChar w:fldCharType="separate"/>
    </w:r>
    <w:r w:rsidR="00A04C87">
      <w:rPr>
        <w:rFonts w:ascii="Times New Roman" w:hAnsi="Times New Roman"/>
        <w:noProof/>
      </w:rPr>
      <w:t>5</w:t>
    </w:r>
    <w:r>
      <w:rPr>
        <w:rFonts w:ascii="Times New Roman" w:hAnsi="Times New Roman"/>
      </w:rPr>
      <w:fldChar w:fldCharType="end"/>
    </w:r>
  </w:p>
  <w:p w:rsidR="007B6C63" w14:paraId="2C49F98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96DC2" w14:paraId="2616CCE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96DC2" w14:paraId="3F9A511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96DC2" w14:paraId="4B49D13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96DC2" w14:paraId="73CD49D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5623CFC"/>
    <w:multiLevelType w:val="hybridMultilevel"/>
    <w:tmpl w:val="2FF4FEAA"/>
    <w:lvl w:ilvl="0">
      <w:start w:val="16"/>
      <w:numFmt w:val="decimal"/>
      <w:lvlText w:val="%1."/>
      <w:lvlJc w:val="left"/>
      <w:pPr>
        <w:ind w:left="720" w:hanging="360"/>
      </w:pPr>
      <w:rPr>
        <w:rFonts w:hint="default"/>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CBA5A7B"/>
    <w:multiLevelType w:val="hybridMultilevel"/>
    <w:tmpl w:val="4F6C3130"/>
    <w:lvl w:ilvl="0">
      <w:start w:val="11"/>
      <w:numFmt w:val="decimal"/>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
    <w:nsid w:val="788721FE"/>
    <w:multiLevelType w:val="singleLevel"/>
    <w:tmpl w:val="6F94DAD4"/>
    <w:lvl w:ilvl="0">
      <w:start w:val="3"/>
      <w:numFmt w:val="decimal"/>
      <w:lvlText w:val="%1."/>
      <w:lvlJc w:val="left"/>
      <w:pPr>
        <w:tabs>
          <w:tab w:val="num" w:pos="720"/>
        </w:tabs>
        <w:ind w:left="720" w:hanging="720"/>
      </w:pPr>
      <w:rPr>
        <w:rFonts w:hint="default"/>
      </w:rPr>
    </w:lvl>
  </w:abstractNum>
  <w:num w:numId="1" w16cid:durableId="1111511082">
    <w:abstractNumId w:val="2"/>
  </w:num>
  <w:num w:numId="2" w16cid:durableId="411316578">
    <w:abstractNumId w:val="1"/>
  </w:num>
  <w:num w:numId="3" w16cid:durableId="1587419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F79"/>
    <w:rsid w:val="000002C9"/>
    <w:rsid w:val="00012534"/>
    <w:rsid w:val="0008081C"/>
    <w:rsid w:val="0008222A"/>
    <w:rsid w:val="000855E4"/>
    <w:rsid w:val="00093D0F"/>
    <w:rsid w:val="000B0581"/>
    <w:rsid w:val="000C4F75"/>
    <w:rsid w:val="001126D4"/>
    <w:rsid w:val="00113C03"/>
    <w:rsid w:val="00151C75"/>
    <w:rsid w:val="00175893"/>
    <w:rsid w:val="00177720"/>
    <w:rsid w:val="001778A3"/>
    <w:rsid w:val="001D78D3"/>
    <w:rsid w:val="001E41BE"/>
    <w:rsid w:val="00217B22"/>
    <w:rsid w:val="00243D0C"/>
    <w:rsid w:val="002718EC"/>
    <w:rsid w:val="002A35F4"/>
    <w:rsid w:val="002A5F6B"/>
    <w:rsid w:val="002B1AFA"/>
    <w:rsid w:val="002F26D8"/>
    <w:rsid w:val="003514D6"/>
    <w:rsid w:val="003773E0"/>
    <w:rsid w:val="00386C94"/>
    <w:rsid w:val="003B3219"/>
    <w:rsid w:val="003E3404"/>
    <w:rsid w:val="003E5901"/>
    <w:rsid w:val="003F2FF8"/>
    <w:rsid w:val="004347B5"/>
    <w:rsid w:val="00435A15"/>
    <w:rsid w:val="004531AA"/>
    <w:rsid w:val="00454007"/>
    <w:rsid w:val="0048245A"/>
    <w:rsid w:val="004A5EE7"/>
    <w:rsid w:val="004C5B45"/>
    <w:rsid w:val="004D0A22"/>
    <w:rsid w:val="00523B22"/>
    <w:rsid w:val="005B79C4"/>
    <w:rsid w:val="005C5B63"/>
    <w:rsid w:val="005E62DB"/>
    <w:rsid w:val="00615BAD"/>
    <w:rsid w:val="00633585"/>
    <w:rsid w:val="0063734B"/>
    <w:rsid w:val="00653821"/>
    <w:rsid w:val="00655078"/>
    <w:rsid w:val="00686F68"/>
    <w:rsid w:val="006B0048"/>
    <w:rsid w:val="006B18B4"/>
    <w:rsid w:val="006C36D0"/>
    <w:rsid w:val="006D69AE"/>
    <w:rsid w:val="00747C61"/>
    <w:rsid w:val="007562B8"/>
    <w:rsid w:val="007A3FA0"/>
    <w:rsid w:val="007B6C63"/>
    <w:rsid w:val="007C46E4"/>
    <w:rsid w:val="0080546E"/>
    <w:rsid w:val="00811264"/>
    <w:rsid w:val="00820F79"/>
    <w:rsid w:val="00842640"/>
    <w:rsid w:val="00844536"/>
    <w:rsid w:val="00855D2C"/>
    <w:rsid w:val="00866DB2"/>
    <w:rsid w:val="00881712"/>
    <w:rsid w:val="008B2102"/>
    <w:rsid w:val="00937218"/>
    <w:rsid w:val="009B62D9"/>
    <w:rsid w:val="009B7A15"/>
    <w:rsid w:val="009C2BFF"/>
    <w:rsid w:val="009D36E8"/>
    <w:rsid w:val="00A04C87"/>
    <w:rsid w:val="00A1019D"/>
    <w:rsid w:val="00A26153"/>
    <w:rsid w:val="00A42784"/>
    <w:rsid w:val="00A81BD7"/>
    <w:rsid w:val="00A84EA0"/>
    <w:rsid w:val="00AE1D79"/>
    <w:rsid w:val="00B01F25"/>
    <w:rsid w:val="00B11EC6"/>
    <w:rsid w:val="00B17BBF"/>
    <w:rsid w:val="00B61AD2"/>
    <w:rsid w:val="00B805BA"/>
    <w:rsid w:val="00B93364"/>
    <w:rsid w:val="00BA2E4D"/>
    <w:rsid w:val="00BD64F8"/>
    <w:rsid w:val="00BE5D5E"/>
    <w:rsid w:val="00C007D8"/>
    <w:rsid w:val="00C14D80"/>
    <w:rsid w:val="00C547EF"/>
    <w:rsid w:val="00C750AB"/>
    <w:rsid w:val="00C8275D"/>
    <w:rsid w:val="00CB2ED5"/>
    <w:rsid w:val="00CC7A55"/>
    <w:rsid w:val="00CE498C"/>
    <w:rsid w:val="00D0274E"/>
    <w:rsid w:val="00D1720C"/>
    <w:rsid w:val="00D31DC4"/>
    <w:rsid w:val="00D35001"/>
    <w:rsid w:val="00D50914"/>
    <w:rsid w:val="00D55074"/>
    <w:rsid w:val="00D64624"/>
    <w:rsid w:val="00D804A5"/>
    <w:rsid w:val="00DD29EA"/>
    <w:rsid w:val="00DE2D0B"/>
    <w:rsid w:val="00E91CE6"/>
    <w:rsid w:val="00F04445"/>
    <w:rsid w:val="00F05AFE"/>
    <w:rsid w:val="00F17FB8"/>
    <w:rsid w:val="00F34CBE"/>
    <w:rsid w:val="00F524C9"/>
    <w:rsid w:val="00F8783F"/>
    <w:rsid w:val="00F9430B"/>
    <w:rsid w:val="00F96DC2"/>
    <w:rsid w:val="00FC41DF"/>
    <w:rsid w:val="00FC6915"/>
    <w:rsid w:val="00FD226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2798264"/>
  <w15:chartTrackingRefBased/>
  <w15:docId w15:val="{26E65ED7-BDC4-4561-ABE1-89903BE25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Body Text"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ourier" w:hAnsi="Courier"/>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12,Style 16,Style 19,Style 35,fr"/>
    <w:uiPriority w:val="99"/>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styleId="BodyText">
    <w:name w:val="Body Text"/>
    <w:basedOn w:val="Normal"/>
    <w:link w:val="BodyTextChar"/>
    <w:unhideWhenUsed/>
    <w:qFormat/>
    <w:rsid w:val="00386C94"/>
    <w:pPr>
      <w:widowControl/>
    </w:pPr>
    <w:rPr>
      <w:rFonts w:ascii="Arial Narrow" w:hAnsi="Arial Narrow"/>
      <w:snapToGrid/>
      <w:u w:val="single"/>
    </w:rPr>
  </w:style>
  <w:style w:type="character" w:customStyle="1" w:styleId="BodyTextChar">
    <w:name w:val="Body Text Char"/>
    <w:link w:val="BodyText"/>
    <w:rsid w:val="00386C94"/>
    <w:rPr>
      <w:rFonts w:ascii="Arial Narrow" w:hAnsi="Arial Narrow"/>
      <w:sz w:val="24"/>
      <w:u w:val="single"/>
    </w:rPr>
  </w:style>
  <w:style w:type="paragraph" w:styleId="FootnoteText">
    <w:name w:val="footnote text"/>
    <w:aliases w:val="ALTS FOOTNOTE,Car,Footnote Text Char Char,Footnote Text Char Char Char Char,Footnote Text Char Char Char Char Char Char Char Char Char Char Char Char Char Char Char Char Char,Footnote Text Char1 Char Char,Style 15,fn,ft"/>
    <w:basedOn w:val="Normal"/>
    <w:link w:val="FootnoteTextChar"/>
    <w:uiPriority w:val="99"/>
    <w:rsid w:val="00881712"/>
    <w:pPr>
      <w:autoSpaceDE w:val="0"/>
      <w:autoSpaceDN w:val="0"/>
      <w:adjustRightInd w:val="0"/>
    </w:pPr>
    <w:rPr>
      <w:rFonts w:ascii="CourierPS" w:hAnsi="CourierPS"/>
      <w:snapToGrid/>
      <w:sz w:val="20"/>
    </w:rPr>
  </w:style>
  <w:style w:type="character" w:customStyle="1" w:styleId="FootnoteTextChar">
    <w:name w:val="Footnote Text Char"/>
    <w:aliases w:val="ALTS FOOTNOTE Char,Car Char,Footnote Text Char Char Char,Footnote Text Char Char Char Char Char,Footnote Text Char Char Char Char Char Char Char Char Char Char Char Char Char Char Char Char Char Char,Footnote Text Char1 Char Char Char"/>
    <w:link w:val="FootnoteText"/>
    <w:uiPriority w:val="99"/>
    <w:rsid w:val="00881712"/>
    <w:rPr>
      <w:rFonts w:ascii="CourierPS" w:hAnsi="CourierPS"/>
    </w:rPr>
  </w:style>
  <w:style w:type="character" w:styleId="Hyperlink">
    <w:name w:val="Hyperlink"/>
    <w:uiPriority w:val="99"/>
    <w:unhideWhenUsed/>
    <w:rsid w:val="00881712"/>
    <w:rPr>
      <w:color w:val="0000FF"/>
      <w:u w:val="single"/>
    </w:rPr>
  </w:style>
  <w:style w:type="table" w:styleId="TableGrid">
    <w:name w:val="Table Grid"/>
    <w:basedOn w:val="TableNormal"/>
    <w:uiPriority w:val="39"/>
    <w:rsid w:val="002A5F6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BBB3CD2F64D9D48BC412B08629DE2CD" ma:contentTypeVersion="11" ma:contentTypeDescription="Create a new document." ma:contentTypeScope="" ma:versionID="30246953b058d74c66378dd7d0226bf4">
  <xsd:schema xmlns:xsd="http://www.w3.org/2001/XMLSchema" xmlns:xs="http://www.w3.org/2001/XMLSchema" xmlns:p="http://schemas.microsoft.com/office/2006/metadata/properties" xmlns:ns3="8ecf3cf1-193c-4267-b4c5-a65e2ab4bcf0" xmlns:ns4="847f5849-349c-4ddb-9561-aeb300bf2281" targetNamespace="http://schemas.microsoft.com/office/2006/metadata/properties" ma:root="true" ma:fieldsID="a7200fc0d332ec3973c5c8c37078d3f3" ns3:_="" ns4:_="">
    <xsd:import namespace="8ecf3cf1-193c-4267-b4c5-a65e2ab4bcf0"/>
    <xsd:import namespace="847f5849-349c-4ddb-9561-aeb300bf228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cf3cf1-193c-4267-b4c5-a65e2ab4bcf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7f5849-349c-4ddb-9561-aeb300bf22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847f5849-349c-4ddb-9561-aeb300bf228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18DC0-0076-429B-8EB8-D79B0AF0AECF}">
  <ds:schemaRefs>
    <ds:schemaRef ds:uri="http://schemas.microsoft.com/sharepoint/v3/contenttype/forms"/>
  </ds:schemaRefs>
</ds:datastoreItem>
</file>

<file path=customXml/itemProps2.xml><?xml version="1.0" encoding="utf-8"?>
<ds:datastoreItem xmlns:ds="http://schemas.openxmlformats.org/officeDocument/2006/customXml" ds:itemID="{9D62BC92-FEFB-4C65-A417-34B9F1028E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cf3cf1-193c-4267-b4c5-a65e2ab4bcf0"/>
    <ds:schemaRef ds:uri="847f5849-349c-4ddb-9561-aeb300bf2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4F5884-BED8-4990-B061-3222ED28302A}">
  <ds:schemaRefs>
    <ds:schemaRef ds:uri="http://schemas.microsoft.com/office/2006/metadata/properties"/>
    <ds:schemaRef ds:uri="http://schemas.microsoft.com/office/infopath/2007/PartnerControls"/>
    <ds:schemaRef ds:uri="847f5849-349c-4ddb-9561-aeb300bf2281"/>
  </ds:schemaRefs>
</ds:datastoreItem>
</file>

<file path=customXml/itemProps4.xml><?xml version="1.0" encoding="utf-8"?>
<ds:datastoreItem xmlns:ds="http://schemas.openxmlformats.org/officeDocument/2006/customXml" ds:itemID="{FA0372B7-E74A-4016-9191-E95FF500B88F}">
  <ds:schemaRefs>
    <ds:schemaRef ds:uri="http://schemas.openxmlformats.org/officeDocument/2006/bibliography"/>
  </ds:schemaRefs>
</ds:datastoreItem>
</file>

<file path=docMetadata/LabelInfo.xml><?xml version="1.0" encoding="utf-8"?>
<clbl:labelList xmlns:clbl="http://schemas.microsoft.com/office/2020/mipLabelMetadata">
  <clbl:label id="{3be8ab8c-433c-4394-a4fb-cd2d5c4d0a5e}" enabled="1" method="Privileged" siteId="{26c83bc9-31c1-4d77-a523-0816095aba31}"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1026</Words>
  <Characters>5850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Gofney, Rashida K.</dc:creator>
  <cp:lastModifiedBy>Meiers, Robert M.</cp:lastModifiedBy>
  <cp:revision>2</cp:revision>
  <dcterms:created xsi:type="dcterms:W3CDTF">2026-08-25T16:24:00Z</dcterms:created>
  <dcterms:modified xsi:type="dcterms:W3CDTF">2026-08-25T16:24:00Z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0x010100ABBB3CD2F64D9D48BC412B08629DE2CD</vt:lpwstr>
  </property>
  <property fmtid="{D5CDD505-2E9C-101B-9397-08002B2CF9AE}" pid="3" name="MSIP_Label_3be8ab8c-433c-4394-a4fb-cd2d5c4d0a5e_ActionId">
    <vt:lpwstr>7b51f803-f808-4659-866d-c13391a39662</vt:lpwstr>
  </property>
  <property fmtid="{D5CDD505-2E9C-101B-9397-08002B2CF9AE}" pid="4" name="MSIP_Label_3be8ab8c-433c-4394-a4fb-cd2d5c4d0a5e_ContentBits">
    <vt:lpwstr>0</vt:lpwstr>
  </property>
  <property fmtid="{D5CDD505-2E9C-101B-9397-08002B2CF9AE}" pid="5" name="MSIP_Label_3be8ab8c-433c-4394-a4fb-cd2d5c4d0a5e_Enabled">
    <vt:lpwstr>true</vt:lpwstr>
  </property>
  <property fmtid="{D5CDD505-2E9C-101B-9397-08002B2CF9AE}" pid="6" name="MSIP_Label_3be8ab8c-433c-4394-a4fb-cd2d5c4d0a5e_Method">
    <vt:lpwstr>Privileged</vt:lpwstr>
  </property>
  <property fmtid="{D5CDD505-2E9C-101B-9397-08002B2CF9AE}" pid="7" name="MSIP_Label_3be8ab8c-433c-4394-a4fb-cd2d5c4d0a5e_Name">
    <vt:lpwstr>None</vt:lpwstr>
  </property>
  <property fmtid="{D5CDD505-2E9C-101B-9397-08002B2CF9AE}" pid="8" name="MSIP_Label_3be8ab8c-433c-4394-a4fb-cd2d5c4d0a5e_SetDate">
    <vt:lpwstr>2023-07-11T18:36:14Z</vt:lpwstr>
  </property>
  <property fmtid="{D5CDD505-2E9C-101B-9397-08002B2CF9AE}" pid="9" name="MSIP_Label_3be8ab8c-433c-4394-a4fb-cd2d5c4d0a5e_SiteId">
    <vt:lpwstr>26c83bc9-31c1-4d77-a523-0816095aba31</vt:lpwstr>
  </property>
</Properties>
</file>