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EA5CE3" w:rsidRPr="006075A8" w:rsidP="00B70863" w14:paraId="364612CF" w14:textId="36F0F7E2">
      <w:pPr>
        <w:pStyle w:val="Title"/>
        <w:rPr>
          <w:rFonts w:cs="Times New Roman"/>
          <w:sz w:val="24"/>
          <w:szCs w:val="24"/>
        </w:rPr>
      </w:pPr>
      <w:r w:rsidRPr="5422AA4C">
        <w:rPr>
          <w:rFonts w:cs="Times New Roman"/>
          <w:sz w:val="24"/>
          <w:szCs w:val="24"/>
        </w:rPr>
        <w:t>Supporting Statement</w:t>
      </w:r>
    </w:p>
    <w:p w:rsidR="00FD1ECF" w:rsidRPr="006075A8" w:rsidP="00FD1ECF" w14:paraId="115419F2" w14:textId="72B8B7DC">
      <w:pPr>
        <w:autoSpaceDE w:val="0"/>
        <w:autoSpaceDN w:val="0"/>
        <w:jc w:val="center"/>
        <w:rPr>
          <w:rFonts w:ascii="Times New Roman" w:hAnsi="Times New Roman" w:cs="Times New Roman"/>
          <w:b/>
          <w:bCs/>
          <w:sz w:val="24"/>
          <w:szCs w:val="24"/>
        </w:rPr>
      </w:pPr>
      <w:r w:rsidRPr="006075A8">
        <w:rPr>
          <w:rFonts w:ascii="Times New Roman" w:hAnsi="Times New Roman" w:cs="Times New Roman"/>
          <w:b/>
          <w:bCs/>
          <w:sz w:val="24"/>
          <w:szCs w:val="24"/>
        </w:rPr>
        <w:t xml:space="preserve"> </w:t>
      </w:r>
      <w:r w:rsidRPr="006075A8" w:rsidR="001D3913">
        <w:rPr>
          <w:rFonts w:ascii="Times New Roman" w:hAnsi="Times New Roman" w:cs="Times New Roman"/>
          <w:b/>
          <w:bCs/>
          <w:sz w:val="24"/>
          <w:szCs w:val="24"/>
        </w:rPr>
        <w:t>Trade Regulation Rule on Disclosure Requirements and Prohibitions Concerning Franchising</w:t>
      </w:r>
      <w:r w:rsidRPr="006075A8">
        <w:rPr>
          <w:rFonts w:ascii="Times New Roman" w:hAnsi="Times New Roman" w:cs="Times New Roman"/>
          <w:b/>
          <w:bCs/>
          <w:sz w:val="24"/>
          <w:szCs w:val="24"/>
        </w:rPr>
        <w:t xml:space="preserve"> </w:t>
      </w:r>
    </w:p>
    <w:p w:rsidR="00FD1ECF" w:rsidRPr="006075A8" w:rsidP="00FD1ECF" w14:paraId="627411A2" w14:textId="39B0BC6D">
      <w:pPr>
        <w:autoSpaceDE w:val="0"/>
        <w:autoSpaceDN w:val="0"/>
        <w:jc w:val="center"/>
        <w:rPr>
          <w:rFonts w:ascii="Times New Roman" w:hAnsi="Times New Roman" w:cs="Times New Roman"/>
          <w:b/>
          <w:sz w:val="24"/>
          <w:szCs w:val="24"/>
        </w:rPr>
      </w:pPr>
      <w:r w:rsidRPr="006075A8">
        <w:rPr>
          <w:rFonts w:ascii="Times New Roman" w:hAnsi="Times New Roman" w:cs="Times New Roman"/>
          <w:b/>
          <w:bCs/>
          <w:sz w:val="24"/>
          <w:szCs w:val="24"/>
        </w:rPr>
        <w:t xml:space="preserve">16 C.F.R. </w:t>
      </w:r>
      <w:r w:rsidRPr="006075A8" w:rsidR="00CB21DA">
        <w:rPr>
          <w:rFonts w:ascii="Times New Roman" w:hAnsi="Times New Roman" w:cs="Times New Roman"/>
          <w:b/>
          <w:bCs/>
          <w:sz w:val="24"/>
          <w:szCs w:val="24"/>
        </w:rPr>
        <w:t xml:space="preserve">Part </w:t>
      </w:r>
      <w:r w:rsidRPr="006075A8" w:rsidR="00984D7C">
        <w:rPr>
          <w:rFonts w:ascii="Times New Roman" w:hAnsi="Times New Roman" w:cs="Times New Roman"/>
          <w:b/>
          <w:bCs/>
          <w:sz w:val="24"/>
          <w:szCs w:val="24"/>
        </w:rPr>
        <w:t>436</w:t>
      </w:r>
      <w:r w:rsidRPr="006075A8">
        <w:rPr>
          <w:rFonts w:ascii="Times New Roman" w:hAnsi="Times New Roman" w:cs="Times New Roman"/>
          <w:b/>
          <w:bCs/>
          <w:sz w:val="24"/>
          <w:szCs w:val="24"/>
        </w:rPr>
        <w:t xml:space="preserve"> </w:t>
      </w:r>
    </w:p>
    <w:p w:rsidR="00FD1ECF" w:rsidRPr="006075A8" w:rsidP="00FD1ECF" w14:paraId="4DFC599F" w14:textId="6439F886">
      <w:pPr>
        <w:autoSpaceDE w:val="0"/>
        <w:autoSpaceDN w:val="0"/>
        <w:jc w:val="center"/>
        <w:rPr>
          <w:rFonts w:ascii="Times New Roman" w:hAnsi="Times New Roman" w:cs="Times New Roman"/>
          <w:b/>
          <w:bCs/>
          <w:sz w:val="24"/>
          <w:szCs w:val="24"/>
        </w:rPr>
      </w:pPr>
      <w:r w:rsidRPr="006075A8">
        <w:rPr>
          <w:rFonts w:ascii="Times New Roman" w:hAnsi="Times New Roman" w:cs="Times New Roman"/>
          <w:b/>
          <w:bCs/>
          <w:sz w:val="24"/>
          <w:szCs w:val="24"/>
        </w:rPr>
        <w:t>(OMB Control No. 3084-</w:t>
      </w:r>
      <w:r w:rsidRPr="006075A8" w:rsidR="00984D7C">
        <w:rPr>
          <w:rFonts w:ascii="Times New Roman" w:hAnsi="Times New Roman" w:cs="Times New Roman"/>
          <w:b/>
          <w:bCs/>
          <w:sz w:val="24"/>
          <w:szCs w:val="24"/>
        </w:rPr>
        <w:t>0107</w:t>
      </w:r>
      <w:r w:rsidRPr="006075A8">
        <w:rPr>
          <w:rFonts w:ascii="Times New Roman" w:hAnsi="Times New Roman" w:cs="Times New Roman"/>
          <w:b/>
          <w:bCs/>
          <w:sz w:val="24"/>
          <w:szCs w:val="24"/>
        </w:rPr>
        <w:t xml:space="preserve">) </w:t>
      </w:r>
    </w:p>
    <w:p w:rsidR="00FD1ECF" w:rsidRPr="006075A8" w:rsidP="00FD1ECF" w14:paraId="5A79EE6A" w14:textId="77777777">
      <w:pPr>
        <w:autoSpaceDE w:val="0"/>
        <w:autoSpaceDN w:val="0"/>
        <w:jc w:val="center"/>
        <w:rPr>
          <w:rFonts w:ascii="Times New Roman" w:hAnsi="Times New Roman" w:cs="Times New Roman"/>
          <w:b/>
          <w:bCs/>
          <w:sz w:val="24"/>
          <w:szCs w:val="24"/>
        </w:rPr>
      </w:pPr>
    </w:p>
    <w:p w:rsidR="00560053" w:rsidRPr="006075A8" w:rsidP="00FD1ECF" w14:paraId="7CF6535C" w14:textId="65070C90">
      <w:pPr>
        <w:autoSpaceDE w:val="0"/>
        <w:autoSpaceDN w:val="0"/>
        <w:jc w:val="center"/>
        <w:rPr>
          <w:rFonts w:ascii="Times New Roman" w:eastAsia="Calibri" w:hAnsi="Times New Roman" w:cs="Times New Roman"/>
          <w:b/>
          <w:bCs/>
          <w:sz w:val="24"/>
          <w:szCs w:val="24"/>
          <w:u w:val="single"/>
        </w:rPr>
      </w:pPr>
      <w:r w:rsidRPr="006075A8">
        <w:rPr>
          <w:rFonts w:ascii="Times New Roman" w:eastAsia="Calibri" w:hAnsi="Times New Roman" w:cs="Times New Roman"/>
          <w:b/>
          <w:bCs/>
          <w:sz w:val="24"/>
          <w:szCs w:val="24"/>
          <w:u w:val="single"/>
        </w:rPr>
        <w:t>Overview of Information Collection</w:t>
      </w:r>
    </w:p>
    <w:p w:rsidR="00560053" w:rsidRPr="006075A8" w:rsidP="00560053" w14:paraId="10E8E5EA" w14:textId="77777777">
      <w:pPr>
        <w:autoSpaceDE w:val="0"/>
        <w:autoSpaceDN w:val="0"/>
        <w:rPr>
          <w:rFonts w:ascii="Times New Roman" w:eastAsia="Calibri" w:hAnsi="Times New Roman" w:cs="Times New Roman"/>
          <w:sz w:val="24"/>
          <w:szCs w:val="24"/>
        </w:rPr>
      </w:pPr>
    </w:p>
    <w:p w:rsidR="004D2477" w:rsidRPr="006075A8" w:rsidP="004D2477" w14:paraId="1D05DF20" w14:textId="7F298923">
      <w:pPr>
        <w:pStyle w:val="BodyText"/>
        <w:spacing w:before="1"/>
        <w:ind w:firstLine="835"/>
        <w:rPr>
          <w:rFonts w:cs="Times New Roman"/>
        </w:rPr>
      </w:pPr>
      <w:r w:rsidRPr="006075A8">
        <w:rPr>
          <w:rFonts w:eastAsia="Calibri" w:cs="Times New Roman"/>
        </w:rPr>
        <w:t>Th</w:t>
      </w:r>
      <w:r w:rsidRPr="006075A8" w:rsidR="00B52AE0">
        <w:rPr>
          <w:rFonts w:eastAsia="Calibri" w:cs="Times New Roman"/>
        </w:rPr>
        <w:t xml:space="preserve">e Federal Trade Commission </w:t>
      </w:r>
      <w:r w:rsidRPr="006075A8">
        <w:rPr>
          <w:rFonts w:eastAsia="Calibri" w:cs="Times New Roman"/>
        </w:rPr>
        <w:t>request</w:t>
      </w:r>
      <w:r w:rsidRPr="006075A8" w:rsidR="00B52AE0">
        <w:rPr>
          <w:rFonts w:eastAsia="Calibri" w:cs="Times New Roman"/>
        </w:rPr>
        <w:t>s</w:t>
      </w:r>
      <w:r w:rsidRPr="006075A8">
        <w:rPr>
          <w:rFonts w:eastAsia="Calibri" w:cs="Times New Roman"/>
        </w:rPr>
        <w:t xml:space="preserve"> </w:t>
      </w:r>
      <w:r w:rsidRPr="006075A8" w:rsidR="0010243C">
        <w:rPr>
          <w:rFonts w:eastAsia="Calibri" w:cs="Times New Roman"/>
        </w:rPr>
        <w:t xml:space="preserve">a three-year extension of an existing </w:t>
      </w:r>
      <w:r w:rsidRPr="006075A8" w:rsidR="0010243C">
        <w:rPr>
          <w:rFonts w:cs="Times New Roman"/>
        </w:rPr>
        <w:t>clearance</w:t>
      </w:r>
      <w:r w:rsidRPr="006075A8" w:rsidR="00475DBD">
        <w:rPr>
          <w:rFonts w:eastAsia="Calibri" w:cs="Times New Roman"/>
        </w:rPr>
        <w:t xml:space="preserve"> </w:t>
      </w:r>
      <w:r w:rsidRPr="006075A8">
        <w:rPr>
          <w:rFonts w:cs="Times New Roman"/>
        </w:rPr>
        <w:t>from the Office of Management and Budget (</w:t>
      </w:r>
      <w:r w:rsidRPr="006075A8" w:rsidR="00571254">
        <w:rPr>
          <w:rFonts w:cs="Times New Roman"/>
        </w:rPr>
        <w:t>“</w:t>
      </w:r>
      <w:r w:rsidRPr="006075A8">
        <w:rPr>
          <w:rFonts w:cs="Times New Roman"/>
        </w:rPr>
        <w:t>OMB</w:t>
      </w:r>
      <w:r w:rsidRPr="006075A8" w:rsidR="00571254">
        <w:rPr>
          <w:rFonts w:cs="Times New Roman"/>
        </w:rPr>
        <w:t>”</w:t>
      </w:r>
      <w:r w:rsidRPr="006075A8">
        <w:rPr>
          <w:rFonts w:cs="Times New Roman"/>
        </w:rPr>
        <w:t>)</w:t>
      </w:r>
      <w:r w:rsidRPr="006075A8">
        <w:rPr>
          <w:rFonts w:eastAsia="Calibri" w:cs="Times New Roman"/>
        </w:rPr>
        <w:t xml:space="preserve"> </w:t>
      </w:r>
      <w:r w:rsidRPr="006075A8">
        <w:rPr>
          <w:rFonts w:cs="Times New Roman"/>
        </w:rPr>
        <w:t>for the</w:t>
      </w:r>
      <w:r w:rsidRPr="006075A8" w:rsidR="00EE3198">
        <w:rPr>
          <w:rFonts w:cs="Times New Roman"/>
        </w:rPr>
        <w:t xml:space="preserve"> information collection requirements </w:t>
      </w:r>
      <w:r w:rsidRPr="006075A8">
        <w:rPr>
          <w:rFonts w:cs="Times New Roman"/>
        </w:rPr>
        <w:t xml:space="preserve">contained in the </w:t>
      </w:r>
      <w:r w:rsidRPr="006075A8" w:rsidR="00FE171E">
        <w:rPr>
          <w:rFonts w:cs="Times New Roman"/>
        </w:rPr>
        <w:t xml:space="preserve">Trade Regulation Rule on Disclosure Requirements and Prohibitions Concerning Franchising, </w:t>
      </w:r>
      <w:r w:rsidRPr="006075A8" w:rsidR="00DA72C7">
        <w:rPr>
          <w:rFonts w:cs="Times New Roman"/>
        </w:rPr>
        <w:t>16 C.F.R. part 436</w:t>
      </w:r>
      <w:r w:rsidRPr="006075A8">
        <w:rPr>
          <w:rFonts w:cs="Times New Roman"/>
        </w:rPr>
        <w:t>.</w:t>
      </w:r>
      <w:r w:rsidRPr="006075A8" w:rsidR="000336CC">
        <w:rPr>
          <w:rFonts w:cs="Times New Roman"/>
        </w:rPr>
        <w:t xml:space="preserve">  </w:t>
      </w:r>
    </w:p>
    <w:p w:rsidR="00CF45AF" w:rsidRPr="006075A8" w:rsidP="00CD54B1" w14:paraId="6770BFB7" w14:textId="77777777">
      <w:pPr>
        <w:pStyle w:val="ListParagraph"/>
        <w:ind w:left="720"/>
        <w:rPr>
          <w:rFonts w:ascii="Times New Roman" w:hAnsi="Times New Roman" w:cs="Times New Roman"/>
          <w:sz w:val="24"/>
          <w:szCs w:val="24"/>
        </w:rPr>
      </w:pPr>
    </w:p>
    <w:p w:rsidR="00EA5CE3" w:rsidRPr="006075A8" w:rsidP="00B70863" w14:paraId="26151B15" w14:textId="77777777">
      <w:pPr>
        <w:rPr>
          <w:rFonts w:ascii="Times New Roman" w:hAnsi="Times New Roman" w:cs="Times New Roman"/>
          <w:b/>
          <w:sz w:val="24"/>
          <w:szCs w:val="24"/>
        </w:rPr>
      </w:pPr>
      <w:r w:rsidRPr="006075A8">
        <w:rPr>
          <w:rFonts w:ascii="Times New Roman" w:hAnsi="Times New Roman" w:cs="Times New Roman"/>
          <w:b/>
          <w:sz w:val="24"/>
          <w:szCs w:val="24"/>
        </w:rPr>
        <w:t>1.</w:t>
      </w:r>
      <w:r w:rsidRPr="006075A8">
        <w:rPr>
          <w:rFonts w:ascii="Times New Roman" w:hAnsi="Times New Roman" w:cs="Times New Roman"/>
          <w:sz w:val="24"/>
          <w:szCs w:val="24"/>
        </w:rPr>
        <w:tab/>
      </w:r>
      <w:r w:rsidRPr="006075A8" w:rsidR="001556C2">
        <w:rPr>
          <w:rFonts w:ascii="Times New Roman" w:hAnsi="Times New Roman" w:cs="Times New Roman"/>
          <w:b/>
          <w:sz w:val="24"/>
          <w:szCs w:val="24"/>
        </w:rPr>
        <w:t>Necessity for Collecting the Information</w:t>
      </w:r>
    </w:p>
    <w:p w:rsidR="00CA16C6" w:rsidRPr="006075A8" w:rsidP="00CA16C6" w14:paraId="7798B40E" w14:textId="77777777">
      <w:pPr>
        <w:rPr>
          <w:rFonts w:ascii="Times New Roman" w:hAnsi="Times New Roman" w:cs="Times New Roman"/>
          <w:sz w:val="24"/>
          <w:szCs w:val="24"/>
        </w:rPr>
      </w:pPr>
    </w:p>
    <w:p w:rsidR="00094956" w:rsidRPr="006075A8" w:rsidP="00094956" w14:paraId="2A6D511A" w14:textId="77777777">
      <w:pPr>
        <w:ind w:firstLine="720"/>
        <w:rPr>
          <w:rFonts w:ascii="Times New Roman" w:hAnsi="Times New Roman" w:cs="Times New Roman"/>
          <w:sz w:val="24"/>
          <w:szCs w:val="24"/>
        </w:rPr>
      </w:pPr>
      <w:r w:rsidRPr="006075A8">
        <w:rPr>
          <w:rFonts w:ascii="Times New Roman" w:hAnsi="Times New Roman" w:cs="Times New Roman"/>
          <w:sz w:val="24"/>
          <w:szCs w:val="24"/>
        </w:rPr>
        <w:t xml:space="preserve">In 1978, the Federal Trade Commission (“FTC” or “Commission”) issued the original Trade Regulation Rule on Disclosure Requirements and Prohibitions Concerning Franchising, 16 C.F.R. part 436 (“Franchise Rule” or “Rule”), after concluding that lengthy investigations and a rulemaking proceeding revealed evidence of widespread deceptive and unfair practices in the sale of franchises and business opportunities. The Commission’s investigation disclosed that prospective purchasers often found it difficult to obtain reliable information about proposed franchise and business opportunity investments, and to verify the representations of the sellers and brokers offering them for sale. </w:t>
      </w:r>
    </w:p>
    <w:p w:rsidR="00094956" w:rsidRPr="006075A8" w:rsidP="00094956" w14:paraId="5FE0E16C" w14:textId="77777777">
      <w:pPr>
        <w:ind w:firstLine="720"/>
        <w:rPr>
          <w:rFonts w:ascii="Times New Roman" w:hAnsi="Times New Roman" w:cs="Times New Roman"/>
          <w:sz w:val="24"/>
          <w:szCs w:val="24"/>
        </w:rPr>
      </w:pPr>
    </w:p>
    <w:p w:rsidR="00094956" w:rsidRPr="006075A8" w:rsidP="00094956" w14:paraId="378C0D75" w14:textId="348ECB97">
      <w:pPr>
        <w:ind w:firstLine="720"/>
        <w:rPr>
          <w:rFonts w:ascii="Times New Roman" w:hAnsi="Times New Roman" w:cs="Times New Roman"/>
          <w:sz w:val="24"/>
          <w:szCs w:val="24"/>
        </w:rPr>
      </w:pPr>
      <w:r w:rsidRPr="006075A8">
        <w:rPr>
          <w:rFonts w:ascii="Times New Roman" w:hAnsi="Times New Roman" w:cs="Times New Roman"/>
          <w:sz w:val="24"/>
          <w:szCs w:val="24"/>
        </w:rPr>
        <w:t xml:space="preserve">The Rule requires franchisors to furnish to prospective franchisees a disclosure document that provides information relating to the franchisor, the franchisor’s business, the nature of the proposed franchise relationship, and additional information about any claims concerning actual or potential sales, income, or profits for a prospective franchisee (“financial performance representations”). The franchisor must </w:t>
      </w:r>
      <w:r w:rsidR="00A3702D">
        <w:rPr>
          <w:rFonts w:ascii="Times New Roman" w:hAnsi="Times New Roman" w:cs="Times New Roman"/>
          <w:sz w:val="24"/>
          <w:szCs w:val="24"/>
        </w:rPr>
        <w:t>have</w:t>
      </w:r>
      <w:r w:rsidR="00996B14">
        <w:rPr>
          <w:rFonts w:ascii="Times New Roman" w:hAnsi="Times New Roman" w:cs="Times New Roman"/>
          <w:sz w:val="24"/>
          <w:szCs w:val="24"/>
        </w:rPr>
        <w:t xml:space="preserve"> written </w:t>
      </w:r>
      <w:r w:rsidRPr="006075A8">
        <w:rPr>
          <w:rFonts w:ascii="Times New Roman" w:hAnsi="Times New Roman" w:cs="Times New Roman"/>
          <w:sz w:val="24"/>
          <w:szCs w:val="24"/>
        </w:rPr>
        <w:t>information that forms a reasonable basis for such claims</w:t>
      </w:r>
      <w:r w:rsidR="00A3702D">
        <w:rPr>
          <w:rFonts w:ascii="Times New Roman" w:hAnsi="Times New Roman" w:cs="Times New Roman"/>
          <w:sz w:val="24"/>
          <w:szCs w:val="24"/>
        </w:rPr>
        <w:t xml:space="preserve"> at the time such claims are made</w:t>
      </w:r>
      <w:r w:rsidRPr="006075A8">
        <w:rPr>
          <w:rFonts w:ascii="Times New Roman" w:hAnsi="Times New Roman" w:cs="Times New Roman"/>
          <w:sz w:val="24"/>
          <w:szCs w:val="24"/>
        </w:rPr>
        <w:t xml:space="preserve">. </w:t>
      </w:r>
      <w:r w:rsidRPr="006075A8">
        <w:rPr>
          <w:rFonts w:ascii="Times New Roman" w:hAnsi="Times New Roman" w:cs="Times New Roman"/>
          <w:sz w:val="24"/>
          <w:szCs w:val="24"/>
        </w:rPr>
        <w:br/>
      </w:r>
    </w:p>
    <w:p w:rsidR="00CA16C6" w:rsidRPr="006075A8" w:rsidP="00094956" w14:paraId="7DF91CD4" w14:textId="2BE627A7">
      <w:pPr>
        <w:ind w:firstLine="720"/>
        <w:rPr>
          <w:rFonts w:ascii="Times New Roman" w:hAnsi="Times New Roman" w:cs="Times New Roman"/>
          <w:sz w:val="24"/>
          <w:szCs w:val="24"/>
        </w:rPr>
      </w:pPr>
      <w:r w:rsidRPr="006075A8">
        <w:rPr>
          <w:rFonts w:ascii="Times New Roman" w:hAnsi="Times New Roman" w:cs="Times New Roman"/>
          <w:sz w:val="24"/>
          <w:szCs w:val="24"/>
        </w:rPr>
        <w:t>The Rule requires all disclosures to (1) be made at least 14 calendar days before the franchisee signs a contract or makes a payment in connection with a franchise sale, and (2) use disclosure documents that comply with the form and content set forth in the Rule. It does not regulate the substantive terms of the franchisor-franchisee relationship. Nor does it require registration of the offering or the filing of any documents with the Commission in connection with the sale of franchises.</w:t>
      </w:r>
    </w:p>
    <w:p w:rsidR="005F3521" w:rsidRPr="006075A8" w:rsidP="00CA16C6" w14:paraId="247D65BB" w14:textId="77777777">
      <w:pPr>
        <w:rPr>
          <w:rFonts w:ascii="Times New Roman" w:hAnsi="Times New Roman" w:cs="Times New Roman"/>
          <w:sz w:val="24"/>
          <w:szCs w:val="24"/>
        </w:rPr>
      </w:pPr>
    </w:p>
    <w:p w:rsidR="005F3521" w:rsidRPr="006075A8" w:rsidP="00094956" w14:paraId="1E1499C3" w14:textId="5AEDB588">
      <w:pPr>
        <w:ind w:firstLine="720"/>
        <w:rPr>
          <w:rFonts w:ascii="Times New Roman" w:hAnsi="Times New Roman" w:cs="Times New Roman"/>
          <w:sz w:val="24"/>
          <w:szCs w:val="24"/>
        </w:rPr>
      </w:pPr>
      <w:r w:rsidRPr="006075A8">
        <w:rPr>
          <w:rFonts w:ascii="Times New Roman" w:hAnsi="Times New Roman" w:cs="Times New Roman"/>
          <w:sz w:val="24"/>
          <w:szCs w:val="24"/>
        </w:rPr>
        <w:t>Revisions to the Rule</w:t>
      </w:r>
      <w:r>
        <w:rPr>
          <w:rStyle w:val="FootnoteReference"/>
          <w:rFonts w:ascii="Times New Roman" w:hAnsi="Times New Roman"/>
          <w:sz w:val="24"/>
          <w:szCs w:val="24"/>
        </w:rPr>
        <w:footnoteReference w:id="3"/>
      </w:r>
      <w:r w:rsidRPr="006075A8">
        <w:rPr>
          <w:rFonts w:ascii="Times New Roman" w:hAnsi="Times New Roman" w:cs="Times New Roman"/>
          <w:sz w:val="24"/>
          <w:szCs w:val="24"/>
        </w:rPr>
        <w:t xml:space="preserve"> took final effect on July 1, 2008, after a one-year phase-in. Among other things, the amendments accomplished five objectives. First, the amendments addressed the sale of business format and product franchises exclusively.</w:t>
      </w:r>
      <w:r>
        <w:rPr>
          <w:rStyle w:val="FootnoteReference"/>
          <w:rFonts w:ascii="Times New Roman" w:hAnsi="Times New Roman"/>
          <w:sz w:val="24"/>
          <w:szCs w:val="24"/>
        </w:rPr>
        <w:footnoteReference w:id="4"/>
      </w:r>
      <w:r w:rsidRPr="006075A8">
        <w:rPr>
          <w:rFonts w:ascii="Times New Roman" w:hAnsi="Times New Roman" w:cs="Times New Roman"/>
          <w:sz w:val="24"/>
          <w:szCs w:val="24"/>
        </w:rPr>
        <w:t xml:space="preserve"> Second, the amendments minimized prior inconsistencies between federal and state disclosure requirements by merging the Rule’s </w:t>
      </w:r>
      <w:r w:rsidRPr="006075A8">
        <w:rPr>
          <w:rFonts w:ascii="Times New Roman" w:hAnsi="Times New Roman" w:cs="Times New Roman"/>
          <w:sz w:val="24"/>
          <w:szCs w:val="24"/>
        </w:rPr>
        <w:t>disclosure requirements with the Uniform Franchise Offering Circular (“UFOC”) disclosure format accepted by states that have franchise registration and disclosure laws.</w:t>
      </w:r>
      <w:r>
        <w:rPr>
          <w:rStyle w:val="FootnoteReference"/>
          <w:rFonts w:ascii="Times New Roman" w:hAnsi="Times New Roman"/>
          <w:sz w:val="24"/>
          <w:szCs w:val="24"/>
        </w:rPr>
        <w:footnoteReference w:id="5"/>
      </w:r>
      <w:r w:rsidRPr="006075A8">
        <w:rPr>
          <w:rFonts w:ascii="Times New Roman" w:hAnsi="Times New Roman" w:cs="Times New Roman"/>
          <w:sz w:val="24"/>
          <w:szCs w:val="24"/>
        </w:rPr>
        <w:t xml:space="preserve"> Third, the amendments required the disclosure of more information on the quality of the franchise relationship, such as litigation franchisors initiate against their franchisees and the existence of any franchisee associations. Fourth, the amendments recognized new technologies by permitting franchisors to furnish disclosures electronically, including by email and posting on the Internet. Finally, the amendments reduced compliance costs by creating disclosure exemptions for sophisticated investors and for sales to franchisor “insiders” who are already familiar with the franchise system’s operations.</w:t>
      </w:r>
    </w:p>
    <w:p w:rsidR="003D0FB1" w:rsidRPr="006075A8" w:rsidP="00CA16C6" w14:paraId="66602F12" w14:textId="77777777">
      <w:pPr>
        <w:rPr>
          <w:rFonts w:ascii="Times New Roman" w:hAnsi="Times New Roman" w:cs="Times New Roman"/>
          <w:sz w:val="24"/>
          <w:szCs w:val="24"/>
        </w:rPr>
      </w:pPr>
    </w:p>
    <w:p w:rsidR="00EA5CE3" w:rsidRPr="006075A8" w:rsidP="00B70863" w14:paraId="50147853" w14:textId="77777777">
      <w:pPr>
        <w:rPr>
          <w:rFonts w:ascii="Times New Roman" w:hAnsi="Times New Roman" w:cs="Times New Roman"/>
          <w:sz w:val="24"/>
          <w:szCs w:val="24"/>
        </w:rPr>
      </w:pPr>
      <w:r w:rsidRPr="006075A8">
        <w:rPr>
          <w:rFonts w:ascii="Times New Roman" w:hAnsi="Times New Roman" w:cs="Times New Roman"/>
          <w:b/>
          <w:sz w:val="24"/>
          <w:szCs w:val="24"/>
        </w:rPr>
        <w:t>2.</w:t>
      </w:r>
      <w:r w:rsidRPr="006075A8">
        <w:rPr>
          <w:rFonts w:ascii="Times New Roman" w:hAnsi="Times New Roman" w:cs="Times New Roman"/>
          <w:b/>
          <w:sz w:val="24"/>
          <w:szCs w:val="24"/>
        </w:rPr>
        <w:tab/>
      </w:r>
      <w:r w:rsidRPr="006075A8" w:rsidR="001556C2">
        <w:rPr>
          <w:rFonts w:ascii="Times New Roman" w:hAnsi="Times New Roman" w:cs="Times New Roman"/>
          <w:b/>
          <w:sz w:val="24"/>
          <w:szCs w:val="24"/>
        </w:rPr>
        <w:t>Use of the Information</w:t>
      </w:r>
    </w:p>
    <w:p w:rsidR="00EA5CE3" w:rsidRPr="006075A8" w:rsidP="00CD54B1" w14:paraId="3C58F819" w14:textId="77777777">
      <w:pPr>
        <w:rPr>
          <w:rFonts w:ascii="Times New Roman" w:hAnsi="Times New Roman" w:cs="Times New Roman"/>
          <w:sz w:val="24"/>
          <w:szCs w:val="24"/>
        </w:rPr>
      </w:pPr>
    </w:p>
    <w:p w:rsidR="00894422" w:rsidRPr="006075A8" w:rsidP="00DF5763" w14:paraId="7C1C890C" w14:textId="58FCCFF6">
      <w:pPr>
        <w:ind w:firstLine="720"/>
        <w:rPr>
          <w:rFonts w:ascii="Times New Roman" w:hAnsi="Times New Roman" w:cs="Times New Roman"/>
          <w:sz w:val="24"/>
          <w:szCs w:val="24"/>
        </w:rPr>
      </w:pPr>
      <w:r w:rsidRPr="44E3250E">
        <w:rPr>
          <w:rFonts w:ascii="Times New Roman" w:hAnsi="Times New Roman" w:cs="Times New Roman"/>
          <w:sz w:val="24"/>
          <w:szCs w:val="24"/>
        </w:rPr>
        <w:t>The Rule does not require the FTC to collect any information from covered entities</w:t>
      </w:r>
      <w:r w:rsidRPr="44E3250E" w:rsidR="45FC7483">
        <w:rPr>
          <w:rFonts w:ascii="Times New Roman" w:hAnsi="Times New Roman" w:cs="Times New Roman"/>
          <w:sz w:val="24"/>
          <w:szCs w:val="24"/>
        </w:rPr>
        <w:t>.</w:t>
      </w:r>
      <w:r w:rsidRPr="44E3250E">
        <w:rPr>
          <w:rFonts w:ascii="Times New Roman" w:hAnsi="Times New Roman" w:cs="Times New Roman"/>
          <w:sz w:val="24"/>
          <w:szCs w:val="24"/>
        </w:rPr>
        <w:t xml:space="preserve"> </w:t>
      </w:r>
      <w:r w:rsidRPr="44E3250E" w:rsidR="00591FE8">
        <w:rPr>
          <w:rFonts w:ascii="Times New Roman" w:hAnsi="Times New Roman" w:cs="Times New Roman"/>
          <w:sz w:val="24"/>
          <w:szCs w:val="24"/>
        </w:rPr>
        <w:t>Prospective franchisees</w:t>
      </w:r>
      <w:r w:rsidRPr="44E3250E" w:rsidR="003D1990">
        <w:rPr>
          <w:rFonts w:ascii="Times New Roman" w:hAnsi="Times New Roman" w:cs="Times New Roman"/>
          <w:sz w:val="24"/>
          <w:szCs w:val="24"/>
        </w:rPr>
        <w:t xml:space="preserve"> can</w:t>
      </w:r>
      <w:r w:rsidRPr="44E3250E" w:rsidR="00591FE8">
        <w:rPr>
          <w:rFonts w:ascii="Times New Roman" w:hAnsi="Times New Roman" w:cs="Times New Roman"/>
          <w:sz w:val="24"/>
          <w:szCs w:val="24"/>
        </w:rPr>
        <w:t xml:space="preserve"> use the disclosures required by the Franchise Rule to become better informed about potential franchise investments and to verify representations made by a franchisor.</w:t>
      </w:r>
    </w:p>
    <w:p w:rsidR="00591FE8" w:rsidRPr="006075A8" w:rsidP="00DF5763" w14:paraId="46B89F86" w14:textId="77777777">
      <w:pPr>
        <w:ind w:firstLine="720"/>
        <w:rPr>
          <w:rFonts w:ascii="Times New Roman" w:hAnsi="Times New Roman" w:cs="Times New Roman"/>
          <w:sz w:val="24"/>
          <w:szCs w:val="24"/>
        </w:rPr>
      </w:pPr>
    </w:p>
    <w:p w:rsidR="00591FE8" w:rsidRPr="006075A8" w:rsidP="00DF5763" w14:paraId="4D0B40C6" w14:textId="30C6E439">
      <w:pPr>
        <w:ind w:firstLine="720"/>
        <w:rPr>
          <w:rFonts w:ascii="Times New Roman" w:hAnsi="Times New Roman" w:cs="Times New Roman"/>
          <w:sz w:val="24"/>
          <w:szCs w:val="24"/>
        </w:rPr>
      </w:pPr>
      <w:r w:rsidRPr="006075A8">
        <w:rPr>
          <w:rFonts w:ascii="Times New Roman" w:hAnsi="Times New Roman" w:cs="Times New Roman"/>
          <w:sz w:val="24"/>
          <w:szCs w:val="24"/>
        </w:rPr>
        <w:t xml:space="preserve">For example, if a franchisor chooses to make financial performance representations, disclosures are necessary to enable a prospective franchisee to analyze the credibility of those claims. Accordingly, the Rule requires the franchisor to (1) provide specified information about the claims, and (2) preserve and offer to show prospective franchisees the background material upon which the claim is based. This allows the prospective franchisee to form an independent judgment about the reliability of the claim. It also discourages the use of unrealistic financial performance representations because the franchisor knows that the franchisee can determine whether the representation is credible by examining the background material. </w:t>
      </w:r>
    </w:p>
    <w:p w:rsidR="00DF5763" w:rsidRPr="006075A8" w:rsidP="00DF5763" w14:paraId="68351987" w14:textId="77777777">
      <w:pPr>
        <w:rPr>
          <w:rFonts w:ascii="Times New Roman" w:hAnsi="Times New Roman" w:cs="Times New Roman"/>
          <w:sz w:val="24"/>
          <w:szCs w:val="24"/>
        </w:rPr>
      </w:pPr>
    </w:p>
    <w:p w:rsidR="00EA5CE3" w:rsidRPr="006075A8" w:rsidP="00B70863" w14:paraId="6DC28160" w14:textId="77777777">
      <w:pPr>
        <w:rPr>
          <w:rFonts w:ascii="Times New Roman" w:hAnsi="Times New Roman" w:cs="Times New Roman"/>
          <w:b/>
          <w:sz w:val="24"/>
          <w:szCs w:val="24"/>
        </w:rPr>
      </w:pPr>
      <w:r w:rsidRPr="006075A8">
        <w:rPr>
          <w:rFonts w:ascii="Times New Roman" w:hAnsi="Times New Roman" w:cs="Times New Roman"/>
          <w:b/>
          <w:sz w:val="24"/>
          <w:szCs w:val="24"/>
        </w:rPr>
        <w:t>3.</w:t>
      </w:r>
      <w:r w:rsidRPr="006075A8">
        <w:rPr>
          <w:rFonts w:ascii="Times New Roman" w:hAnsi="Times New Roman" w:cs="Times New Roman"/>
          <w:b/>
          <w:sz w:val="24"/>
          <w:szCs w:val="24"/>
        </w:rPr>
        <w:tab/>
      </w:r>
      <w:r w:rsidRPr="006075A8" w:rsidR="001556C2">
        <w:rPr>
          <w:rFonts w:ascii="Times New Roman" w:hAnsi="Times New Roman" w:cs="Times New Roman"/>
          <w:b/>
          <w:sz w:val="24"/>
          <w:szCs w:val="24"/>
        </w:rPr>
        <w:t>Consideration of the Use of Information Technology to Reduce Burden</w:t>
      </w:r>
    </w:p>
    <w:p w:rsidR="00EA5CE3" w:rsidRPr="006075A8" w:rsidP="00CD54B1" w14:paraId="59EA2EFE" w14:textId="77777777">
      <w:pPr>
        <w:rPr>
          <w:rFonts w:ascii="Times New Roman" w:hAnsi="Times New Roman" w:cs="Times New Roman"/>
          <w:sz w:val="24"/>
          <w:szCs w:val="24"/>
        </w:rPr>
      </w:pPr>
    </w:p>
    <w:p w:rsidR="00897341" w:rsidRPr="006075A8" w:rsidP="00897341" w14:paraId="4D57696C" w14:textId="530A5160">
      <w:pPr>
        <w:pStyle w:val="BodyText"/>
        <w:ind w:right="310"/>
        <w:rPr>
          <w:rFonts w:cs="Times New Roman"/>
        </w:rPr>
      </w:pPr>
      <w:r w:rsidRPr="006075A8">
        <w:rPr>
          <w:rFonts w:cs="Times New Roman"/>
        </w:rPr>
        <w:t>Consistent with the aims of the Government Paperwork Elimination Act, 44 U.S.C. § 3504 note, the Rule permits franchisors greater latitude in using technology to reduce compliance costs. Franchisors may reduce significantly printing and distribution costs by using email and the Internet to furnish disclosure documents. 16 C.F.R. §§ 436.2(c), 436.6(g). The Rule also permits the use of electronic signatures and electronic recordkeeping. 16 C.F.R. §§ 436.1(u), 436.6(h); see 72 Fed. Reg. 15444, 15,517–18 (Mar. 30, 2007).</w:t>
      </w:r>
    </w:p>
    <w:p w:rsidR="00F8439F" w:rsidRPr="006075A8" w:rsidP="00897341" w14:paraId="0D94F930" w14:textId="77777777">
      <w:pPr>
        <w:pStyle w:val="BodyText"/>
        <w:ind w:right="310"/>
        <w:rPr>
          <w:rFonts w:cs="Times New Roman"/>
        </w:rPr>
      </w:pPr>
    </w:p>
    <w:p w:rsidR="00EA5CE3" w:rsidRPr="006075A8" w:rsidP="00B70863" w14:paraId="4F6D3838" w14:textId="3705C30D">
      <w:pPr>
        <w:rPr>
          <w:rFonts w:ascii="Times New Roman" w:hAnsi="Times New Roman" w:cs="Times New Roman"/>
          <w:b/>
          <w:sz w:val="24"/>
          <w:szCs w:val="24"/>
        </w:rPr>
      </w:pPr>
      <w:r w:rsidRPr="006075A8">
        <w:rPr>
          <w:rFonts w:ascii="Times New Roman" w:hAnsi="Times New Roman" w:cs="Times New Roman"/>
          <w:b/>
          <w:sz w:val="24"/>
          <w:szCs w:val="24"/>
        </w:rPr>
        <w:t>4.</w:t>
      </w:r>
      <w:r w:rsidRPr="006075A8">
        <w:rPr>
          <w:rFonts w:ascii="Times New Roman" w:hAnsi="Times New Roman" w:cs="Times New Roman"/>
          <w:b/>
          <w:sz w:val="24"/>
          <w:szCs w:val="24"/>
        </w:rPr>
        <w:tab/>
      </w:r>
      <w:r w:rsidRPr="006075A8" w:rsidR="001556C2">
        <w:rPr>
          <w:rFonts w:ascii="Times New Roman" w:hAnsi="Times New Roman" w:cs="Times New Roman"/>
          <w:b/>
          <w:sz w:val="24"/>
          <w:szCs w:val="24"/>
        </w:rPr>
        <w:t>Efforts to Identify Duplication</w:t>
      </w:r>
    </w:p>
    <w:p w:rsidR="00EA5CE3" w:rsidRPr="006075A8" w:rsidP="00CD54B1" w14:paraId="2C12A9E4" w14:textId="77777777">
      <w:pPr>
        <w:rPr>
          <w:rFonts w:ascii="Times New Roman" w:hAnsi="Times New Roman" w:cs="Times New Roman"/>
          <w:sz w:val="24"/>
          <w:szCs w:val="24"/>
        </w:rPr>
      </w:pPr>
    </w:p>
    <w:p w:rsidR="00086A07" w:rsidRPr="006075A8" w:rsidP="00F02D66" w14:paraId="21980C1D" w14:textId="2892969C">
      <w:pPr>
        <w:ind w:firstLine="720"/>
        <w:rPr>
          <w:rFonts w:ascii="Times New Roman" w:hAnsi="Times New Roman" w:cs="Times New Roman"/>
          <w:sz w:val="24"/>
          <w:szCs w:val="24"/>
        </w:rPr>
      </w:pPr>
      <w:r w:rsidRPr="006075A8">
        <w:rPr>
          <w:rFonts w:ascii="Times New Roman" w:hAnsi="Times New Roman" w:cs="Times New Roman"/>
          <w:sz w:val="24"/>
          <w:szCs w:val="24"/>
        </w:rPr>
        <w:t xml:space="preserve">The Rule avoids potential duplication of state laws. Since it took effect on July 1, 2008, the FDD disclosure format prescribed by the amended Rule has provided a single disclosure that can be used in all states that have franchise registration and disclosure laws because it </w:t>
      </w:r>
      <w:r w:rsidRPr="006075A8">
        <w:rPr>
          <w:rFonts w:ascii="Times New Roman" w:hAnsi="Times New Roman" w:cs="Times New Roman"/>
          <w:sz w:val="24"/>
          <w:szCs w:val="24"/>
        </w:rPr>
        <w:t>incorporates UFOC requirements.</w:t>
      </w:r>
      <w:r>
        <w:rPr>
          <w:rStyle w:val="FootnoteReference"/>
          <w:rFonts w:ascii="Times New Roman" w:hAnsi="Times New Roman"/>
          <w:sz w:val="24"/>
          <w:szCs w:val="24"/>
        </w:rPr>
        <w:footnoteReference w:id="6"/>
      </w:r>
    </w:p>
    <w:p w:rsidR="00F02D66" w:rsidRPr="006075A8" w:rsidP="00F02D66" w14:paraId="07E2E3B9" w14:textId="77777777">
      <w:pPr>
        <w:ind w:firstLine="720"/>
        <w:rPr>
          <w:rFonts w:ascii="Times New Roman" w:hAnsi="Times New Roman" w:cs="Times New Roman"/>
          <w:sz w:val="24"/>
          <w:szCs w:val="24"/>
        </w:rPr>
      </w:pPr>
    </w:p>
    <w:p w:rsidR="00EA5CE3" w:rsidRPr="006075A8" w:rsidP="00B70863" w14:paraId="180247D9" w14:textId="77777777">
      <w:pPr>
        <w:rPr>
          <w:rFonts w:ascii="Times New Roman" w:hAnsi="Times New Roman" w:cs="Times New Roman"/>
          <w:b/>
          <w:sz w:val="24"/>
          <w:szCs w:val="24"/>
        </w:rPr>
      </w:pPr>
      <w:r w:rsidRPr="006075A8">
        <w:rPr>
          <w:rFonts w:ascii="Times New Roman" w:hAnsi="Times New Roman" w:cs="Times New Roman"/>
          <w:b/>
          <w:sz w:val="24"/>
          <w:szCs w:val="24"/>
        </w:rPr>
        <w:t>5.</w:t>
      </w:r>
      <w:r w:rsidRPr="006075A8">
        <w:rPr>
          <w:rFonts w:ascii="Times New Roman" w:hAnsi="Times New Roman" w:cs="Times New Roman"/>
          <w:b/>
          <w:sz w:val="24"/>
          <w:szCs w:val="24"/>
        </w:rPr>
        <w:tab/>
      </w:r>
      <w:r w:rsidRPr="006075A8" w:rsidR="001556C2">
        <w:rPr>
          <w:rFonts w:ascii="Times New Roman" w:hAnsi="Times New Roman" w:cs="Times New Roman"/>
          <w:b/>
          <w:sz w:val="24"/>
          <w:szCs w:val="24"/>
        </w:rPr>
        <w:t>Efforts to Minimize the Burden on Small Businesses</w:t>
      </w:r>
    </w:p>
    <w:p w:rsidR="00EA5CE3" w:rsidRPr="006075A8" w:rsidP="00CD54B1" w14:paraId="2A8B1631" w14:textId="77777777">
      <w:pPr>
        <w:rPr>
          <w:rFonts w:ascii="Times New Roman" w:hAnsi="Times New Roman" w:cs="Times New Roman"/>
          <w:sz w:val="24"/>
          <w:szCs w:val="24"/>
        </w:rPr>
      </w:pPr>
    </w:p>
    <w:p w:rsidR="008D6C16" w:rsidRPr="006075A8" w:rsidP="001C3B92" w14:paraId="41425532" w14:textId="53EE1F9F">
      <w:pPr>
        <w:ind w:firstLine="720"/>
        <w:rPr>
          <w:rFonts w:ascii="Times New Roman" w:eastAsia="Times New Roman" w:hAnsi="Times New Roman" w:cs="Times New Roman"/>
          <w:sz w:val="24"/>
          <w:szCs w:val="24"/>
        </w:rPr>
      </w:pPr>
      <w:r w:rsidRPr="006075A8">
        <w:rPr>
          <w:rFonts w:ascii="Times New Roman" w:eastAsia="Times New Roman" w:hAnsi="Times New Roman" w:cs="Times New Roman"/>
          <w:sz w:val="24"/>
          <w:szCs w:val="24"/>
        </w:rPr>
        <w:t>The Rule does not require a franchisor to register or file disclosure documents with the government before offering or selling a franchise. Thus, compliance with the Rule does not involve the burdens or fees typically associated with registering or filing disclosure documents in states with franchise disclosure or registration laws; a consideration that may be especially important to small businesses.</w:t>
      </w:r>
    </w:p>
    <w:p w:rsidR="001C3B92" w:rsidRPr="006075A8" w:rsidP="00CD54B1" w14:paraId="4572F513" w14:textId="77777777">
      <w:pPr>
        <w:rPr>
          <w:rFonts w:ascii="Times New Roman" w:hAnsi="Times New Roman" w:cs="Times New Roman"/>
          <w:sz w:val="24"/>
          <w:szCs w:val="24"/>
        </w:rPr>
      </w:pPr>
    </w:p>
    <w:p w:rsidR="00EA5CE3" w:rsidRPr="006075A8" w:rsidP="00B70863" w14:paraId="72B5F73D" w14:textId="77777777">
      <w:pPr>
        <w:rPr>
          <w:rFonts w:ascii="Times New Roman" w:hAnsi="Times New Roman" w:cs="Times New Roman"/>
          <w:b/>
          <w:sz w:val="24"/>
          <w:szCs w:val="24"/>
        </w:rPr>
      </w:pPr>
      <w:r w:rsidRPr="006075A8">
        <w:rPr>
          <w:rFonts w:ascii="Times New Roman" w:hAnsi="Times New Roman" w:cs="Times New Roman"/>
          <w:b/>
          <w:sz w:val="24"/>
          <w:szCs w:val="24"/>
        </w:rPr>
        <w:t>6.</w:t>
      </w:r>
      <w:r w:rsidRPr="006075A8">
        <w:rPr>
          <w:rFonts w:ascii="Times New Roman" w:hAnsi="Times New Roman" w:cs="Times New Roman"/>
          <w:b/>
          <w:sz w:val="24"/>
          <w:szCs w:val="24"/>
        </w:rPr>
        <w:tab/>
      </w:r>
      <w:r w:rsidRPr="006075A8" w:rsidR="001556C2">
        <w:rPr>
          <w:rFonts w:ascii="Times New Roman" w:hAnsi="Times New Roman" w:cs="Times New Roman"/>
          <w:b/>
          <w:sz w:val="24"/>
          <w:szCs w:val="24"/>
        </w:rPr>
        <w:t>Consequences of Conducting the Collection Less Frequently</w:t>
      </w:r>
    </w:p>
    <w:p w:rsidR="00EA5CE3" w:rsidRPr="006075A8" w:rsidP="00CD54B1" w14:paraId="49DACC2E" w14:textId="77777777">
      <w:pPr>
        <w:rPr>
          <w:rFonts w:ascii="Times New Roman" w:hAnsi="Times New Roman" w:cs="Times New Roman"/>
          <w:sz w:val="24"/>
          <w:szCs w:val="24"/>
        </w:rPr>
      </w:pPr>
    </w:p>
    <w:p w:rsidR="00CF45AF" w:rsidRPr="006075A8" w:rsidP="005B7FC9" w14:paraId="0DCFAEEF" w14:textId="2692DD02">
      <w:pPr>
        <w:ind w:firstLine="720"/>
        <w:rPr>
          <w:rFonts w:ascii="Times New Roman" w:hAnsi="Times New Roman" w:cs="Times New Roman"/>
          <w:sz w:val="24"/>
          <w:szCs w:val="24"/>
        </w:rPr>
      </w:pPr>
      <w:r w:rsidRPr="006075A8">
        <w:rPr>
          <w:rFonts w:ascii="Times New Roman" w:hAnsi="Times New Roman" w:cs="Times New Roman"/>
          <w:sz w:val="24"/>
          <w:szCs w:val="24"/>
        </w:rPr>
        <w:t>Reducing the frequency of disclosure under the Rule would deprive prospective franchise purchasers of material, current information. With limited exceptions, the Rule requires only a one-time disclosure to a prospective purchaser, and the Rule minimizes the burden of information collection by requiring only annual updates of the mandated disclosures, unless there is a material change during the year. Where a material change has occurred, only a quarterly update to the FDD is required to reflect the change. In addition, when providing the FDD to a prospective franchisee, the franchise seller must also notify the prospective franchisee of any material changes that the seller knows or should have known occurred in the information contained in any financial performance representation.</w:t>
      </w:r>
    </w:p>
    <w:p w:rsidR="005B7FC9" w:rsidRPr="006075A8" w:rsidP="005B7FC9" w14:paraId="2D1679C5" w14:textId="77777777">
      <w:pPr>
        <w:rPr>
          <w:rFonts w:ascii="Times New Roman" w:hAnsi="Times New Roman" w:cs="Times New Roman"/>
          <w:sz w:val="24"/>
          <w:szCs w:val="24"/>
        </w:rPr>
      </w:pPr>
    </w:p>
    <w:p w:rsidR="00EA5CE3" w:rsidRPr="006075A8" w:rsidP="00B70863" w14:paraId="5D917666" w14:textId="5CE88659">
      <w:pPr>
        <w:rPr>
          <w:rFonts w:ascii="Times New Roman" w:hAnsi="Times New Roman" w:cs="Times New Roman"/>
          <w:b/>
          <w:sz w:val="24"/>
          <w:szCs w:val="24"/>
        </w:rPr>
      </w:pPr>
      <w:r w:rsidRPr="006075A8">
        <w:rPr>
          <w:rFonts w:ascii="Times New Roman" w:hAnsi="Times New Roman" w:cs="Times New Roman"/>
          <w:b/>
          <w:sz w:val="24"/>
          <w:szCs w:val="24"/>
        </w:rPr>
        <w:t>7.</w:t>
      </w:r>
      <w:r w:rsidRPr="006075A8">
        <w:rPr>
          <w:rFonts w:ascii="Times New Roman" w:hAnsi="Times New Roman" w:cs="Times New Roman"/>
          <w:b/>
          <w:sz w:val="24"/>
          <w:szCs w:val="24"/>
        </w:rPr>
        <w:tab/>
      </w:r>
      <w:r w:rsidRPr="006075A8" w:rsidR="001556C2">
        <w:rPr>
          <w:rFonts w:ascii="Times New Roman" w:hAnsi="Times New Roman" w:cs="Times New Roman"/>
          <w:b/>
          <w:sz w:val="24"/>
          <w:szCs w:val="24"/>
        </w:rPr>
        <w:t xml:space="preserve">Special Circumstances Requiring Collection Inconsistent </w:t>
      </w:r>
      <w:r w:rsidRPr="006075A8" w:rsidR="0002594C">
        <w:rPr>
          <w:rFonts w:ascii="Times New Roman" w:hAnsi="Times New Roman" w:cs="Times New Roman"/>
          <w:b/>
          <w:sz w:val="24"/>
          <w:szCs w:val="24"/>
        </w:rPr>
        <w:t>w</w:t>
      </w:r>
      <w:r w:rsidRPr="006075A8" w:rsidR="001556C2">
        <w:rPr>
          <w:rFonts w:ascii="Times New Roman" w:hAnsi="Times New Roman" w:cs="Times New Roman"/>
          <w:b/>
          <w:sz w:val="24"/>
          <w:szCs w:val="24"/>
        </w:rPr>
        <w:t>ith Guidelines</w:t>
      </w:r>
    </w:p>
    <w:p w:rsidR="00EA5CE3" w:rsidRPr="006075A8" w:rsidP="00CD54B1" w14:paraId="3078065D" w14:textId="77777777">
      <w:pPr>
        <w:rPr>
          <w:rFonts w:ascii="Times New Roman" w:hAnsi="Times New Roman" w:cs="Times New Roman"/>
          <w:sz w:val="24"/>
          <w:szCs w:val="24"/>
        </w:rPr>
      </w:pPr>
    </w:p>
    <w:p w:rsidR="00EA5CE3" w:rsidRPr="006075A8" w:rsidP="00C04F54" w14:paraId="0798F96D" w14:textId="3E97718D">
      <w:pPr>
        <w:rPr>
          <w:rFonts w:ascii="Times New Roman" w:hAnsi="Times New Roman" w:cs="Times New Roman"/>
          <w:sz w:val="24"/>
          <w:szCs w:val="24"/>
        </w:rPr>
      </w:pPr>
      <w:r w:rsidRPr="006075A8">
        <w:rPr>
          <w:rFonts w:ascii="Times New Roman" w:hAnsi="Times New Roman" w:cs="Times New Roman"/>
          <w:sz w:val="24"/>
          <w:szCs w:val="24"/>
        </w:rPr>
        <w:tab/>
      </w:r>
      <w:r w:rsidRPr="006075A8" w:rsidR="00C04F54">
        <w:rPr>
          <w:rFonts w:ascii="Times New Roman" w:hAnsi="Times New Roman" w:cs="Times New Roman"/>
          <w:sz w:val="24"/>
          <w:szCs w:val="24"/>
        </w:rPr>
        <w:t xml:space="preserve">The </w:t>
      </w:r>
      <w:r w:rsidRPr="006075A8" w:rsidR="001C3B92">
        <w:rPr>
          <w:rFonts w:ascii="Times New Roman" w:hAnsi="Times New Roman" w:cs="Times New Roman"/>
          <w:sz w:val="24"/>
          <w:szCs w:val="24"/>
        </w:rPr>
        <w:t xml:space="preserve">collection of information in this Rule is </w:t>
      </w:r>
      <w:r w:rsidRPr="006075A8" w:rsidR="00C04F54">
        <w:rPr>
          <w:rFonts w:ascii="Times New Roman" w:hAnsi="Times New Roman" w:cs="Times New Roman"/>
          <w:sz w:val="24"/>
          <w:szCs w:val="24"/>
        </w:rPr>
        <w:t xml:space="preserve">consistent with the guidelines contained in 5 C.F.R. § 1320.5(d)(2).  </w:t>
      </w:r>
    </w:p>
    <w:p w:rsidR="00CF45AF" w:rsidRPr="006075A8" w:rsidP="00CD54B1" w14:paraId="2FFAC96F" w14:textId="77777777">
      <w:pPr>
        <w:rPr>
          <w:rFonts w:ascii="Times New Roman" w:hAnsi="Times New Roman" w:cs="Times New Roman"/>
          <w:sz w:val="24"/>
          <w:szCs w:val="24"/>
        </w:rPr>
      </w:pPr>
    </w:p>
    <w:p w:rsidR="00EA5CE3" w:rsidRPr="006075A8" w:rsidP="00B70863" w14:paraId="72BA06DF" w14:textId="0EDE33DA">
      <w:pPr>
        <w:rPr>
          <w:rFonts w:ascii="Times New Roman" w:hAnsi="Times New Roman" w:cs="Times New Roman"/>
          <w:b/>
          <w:sz w:val="24"/>
          <w:szCs w:val="24"/>
        </w:rPr>
      </w:pPr>
      <w:r w:rsidRPr="006075A8">
        <w:rPr>
          <w:rFonts w:ascii="Times New Roman" w:hAnsi="Times New Roman" w:cs="Times New Roman"/>
          <w:b/>
          <w:sz w:val="24"/>
          <w:szCs w:val="24"/>
        </w:rPr>
        <w:t>8.</w:t>
      </w:r>
      <w:r w:rsidRPr="006075A8">
        <w:rPr>
          <w:rFonts w:ascii="Times New Roman" w:hAnsi="Times New Roman" w:cs="Times New Roman"/>
          <w:b/>
          <w:sz w:val="24"/>
          <w:szCs w:val="24"/>
        </w:rPr>
        <w:tab/>
      </w:r>
      <w:r w:rsidRPr="006075A8" w:rsidR="001556C2">
        <w:rPr>
          <w:rFonts w:ascii="Times New Roman" w:hAnsi="Times New Roman" w:cs="Times New Roman"/>
          <w:b/>
          <w:sz w:val="24"/>
          <w:szCs w:val="24"/>
        </w:rPr>
        <w:t>Consultation Outside the Agency</w:t>
      </w:r>
    </w:p>
    <w:p w:rsidR="00EA5CE3" w:rsidRPr="006075A8" w:rsidP="00CD54B1" w14:paraId="65A69697" w14:textId="77777777">
      <w:pPr>
        <w:rPr>
          <w:rFonts w:ascii="Times New Roman" w:hAnsi="Times New Roman" w:cs="Times New Roman"/>
          <w:sz w:val="24"/>
          <w:szCs w:val="24"/>
        </w:rPr>
      </w:pPr>
    </w:p>
    <w:p w:rsidR="00EA5CE3" w:rsidRPr="006075A8" w:rsidP="00CD54B1" w14:paraId="42EC092E" w14:textId="2063701E">
      <w:pPr>
        <w:rPr>
          <w:rFonts w:ascii="Times New Roman" w:hAnsi="Times New Roman" w:cs="Times New Roman"/>
          <w:sz w:val="24"/>
          <w:szCs w:val="24"/>
        </w:rPr>
      </w:pPr>
      <w:r w:rsidRPr="006075A8">
        <w:rPr>
          <w:rFonts w:ascii="Times New Roman" w:hAnsi="Times New Roman" w:cs="Times New Roman"/>
          <w:sz w:val="24"/>
          <w:szCs w:val="24"/>
        </w:rPr>
        <w:tab/>
      </w:r>
      <w:r w:rsidRPr="006075A8" w:rsidR="001556C2">
        <w:rPr>
          <w:rFonts w:ascii="Times New Roman" w:hAnsi="Times New Roman" w:cs="Times New Roman"/>
          <w:sz w:val="24"/>
          <w:szCs w:val="24"/>
        </w:rPr>
        <w:t>As a prelude to this request, the Commission sought public comment. See</w:t>
      </w:r>
      <w:r w:rsidRPr="006075A8" w:rsidR="00797281">
        <w:rPr>
          <w:rFonts w:ascii="Times New Roman" w:hAnsi="Times New Roman" w:cs="Times New Roman"/>
          <w:sz w:val="24"/>
          <w:szCs w:val="24"/>
        </w:rPr>
        <w:t xml:space="preserve"> 9</w:t>
      </w:r>
      <w:r w:rsidRPr="006075A8" w:rsidR="008D170F">
        <w:rPr>
          <w:rFonts w:ascii="Times New Roman" w:hAnsi="Times New Roman" w:cs="Times New Roman"/>
          <w:sz w:val="24"/>
          <w:szCs w:val="24"/>
        </w:rPr>
        <w:t>1</w:t>
      </w:r>
      <w:r w:rsidRPr="006075A8" w:rsidR="00560053">
        <w:rPr>
          <w:rFonts w:ascii="Times New Roman" w:hAnsi="Times New Roman" w:cs="Times New Roman"/>
          <w:sz w:val="24"/>
          <w:szCs w:val="24"/>
        </w:rPr>
        <w:t xml:space="preserve"> Fed. Reg.</w:t>
      </w:r>
      <w:r w:rsidRPr="006075A8" w:rsidR="00797281">
        <w:rPr>
          <w:rFonts w:ascii="Times New Roman" w:hAnsi="Times New Roman" w:cs="Times New Roman"/>
          <w:sz w:val="24"/>
          <w:szCs w:val="24"/>
        </w:rPr>
        <w:t xml:space="preserve"> </w:t>
      </w:r>
      <w:r w:rsidRPr="006075A8" w:rsidR="00FF766F">
        <w:rPr>
          <w:rFonts w:ascii="Times New Roman" w:hAnsi="Times New Roman" w:cs="Times New Roman"/>
          <w:sz w:val="24"/>
          <w:szCs w:val="24"/>
        </w:rPr>
        <w:t>24235</w:t>
      </w:r>
      <w:r w:rsidRPr="006075A8" w:rsidR="00AC5195">
        <w:rPr>
          <w:rFonts w:ascii="Times New Roman" w:hAnsi="Times New Roman" w:cs="Times New Roman"/>
          <w:sz w:val="24"/>
          <w:szCs w:val="24"/>
        </w:rPr>
        <w:t xml:space="preserve"> (</w:t>
      </w:r>
      <w:r w:rsidRPr="006075A8" w:rsidR="00FF766F">
        <w:rPr>
          <w:rFonts w:ascii="Times New Roman" w:hAnsi="Times New Roman" w:cs="Times New Roman"/>
          <w:sz w:val="24"/>
          <w:szCs w:val="24"/>
        </w:rPr>
        <w:t>May</w:t>
      </w:r>
      <w:r w:rsidRPr="006075A8" w:rsidR="00A019FA">
        <w:rPr>
          <w:rFonts w:ascii="Times New Roman" w:hAnsi="Times New Roman" w:cs="Times New Roman"/>
          <w:sz w:val="24"/>
          <w:szCs w:val="24"/>
        </w:rPr>
        <w:t xml:space="preserve"> </w:t>
      </w:r>
      <w:r w:rsidRPr="006075A8" w:rsidR="00FF766F">
        <w:rPr>
          <w:rFonts w:ascii="Times New Roman" w:hAnsi="Times New Roman" w:cs="Times New Roman"/>
          <w:sz w:val="24"/>
          <w:szCs w:val="24"/>
        </w:rPr>
        <w:t>5</w:t>
      </w:r>
      <w:r w:rsidRPr="006075A8" w:rsidR="00AC5195">
        <w:rPr>
          <w:rFonts w:ascii="Times New Roman" w:hAnsi="Times New Roman" w:cs="Times New Roman"/>
          <w:sz w:val="24"/>
          <w:szCs w:val="24"/>
        </w:rPr>
        <w:t>, 20</w:t>
      </w:r>
      <w:r w:rsidRPr="006075A8" w:rsidR="00560053">
        <w:rPr>
          <w:rFonts w:ascii="Times New Roman" w:hAnsi="Times New Roman" w:cs="Times New Roman"/>
          <w:sz w:val="24"/>
          <w:szCs w:val="24"/>
        </w:rPr>
        <w:t>2</w:t>
      </w:r>
      <w:r w:rsidRPr="006075A8" w:rsidR="00A019FA">
        <w:rPr>
          <w:rFonts w:ascii="Times New Roman" w:hAnsi="Times New Roman" w:cs="Times New Roman"/>
          <w:sz w:val="24"/>
          <w:szCs w:val="24"/>
        </w:rPr>
        <w:t>6</w:t>
      </w:r>
      <w:r w:rsidRPr="006075A8" w:rsidR="001556C2">
        <w:rPr>
          <w:rFonts w:ascii="Times New Roman" w:hAnsi="Times New Roman" w:cs="Times New Roman"/>
          <w:sz w:val="24"/>
          <w:szCs w:val="24"/>
        </w:rPr>
        <w:t>)</w:t>
      </w:r>
      <w:r w:rsidRPr="006075A8" w:rsidR="00B650A4">
        <w:rPr>
          <w:rFonts w:ascii="Times New Roman" w:hAnsi="Times New Roman" w:cs="Times New Roman"/>
          <w:sz w:val="24"/>
          <w:szCs w:val="24"/>
        </w:rPr>
        <w:t xml:space="preserve">. </w:t>
      </w:r>
      <w:r w:rsidRPr="006075A8" w:rsidR="00124A6B">
        <w:rPr>
          <w:rFonts w:ascii="Times New Roman" w:hAnsi="Times New Roman" w:cs="Times New Roman"/>
          <w:sz w:val="24"/>
          <w:szCs w:val="24"/>
        </w:rPr>
        <w:t>No</w:t>
      </w:r>
      <w:r w:rsidRPr="006075A8" w:rsidR="00FF766F">
        <w:rPr>
          <w:rFonts w:ascii="Times New Roman" w:hAnsi="Times New Roman" w:cs="Times New Roman"/>
          <w:sz w:val="24"/>
          <w:szCs w:val="24"/>
        </w:rPr>
        <w:t xml:space="preserve"> </w:t>
      </w:r>
      <w:r w:rsidR="00F4569F">
        <w:rPr>
          <w:rFonts w:ascii="Times New Roman" w:hAnsi="Times New Roman" w:cs="Times New Roman"/>
          <w:sz w:val="24"/>
          <w:szCs w:val="24"/>
        </w:rPr>
        <w:t xml:space="preserve">germane </w:t>
      </w:r>
      <w:r w:rsidRPr="006075A8" w:rsidR="001556C2">
        <w:rPr>
          <w:rFonts w:ascii="Times New Roman" w:hAnsi="Times New Roman" w:cs="Times New Roman"/>
          <w:sz w:val="24"/>
          <w:szCs w:val="24"/>
        </w:rPr>
        <w:t>comments were received.</w:t>
      </w:r>
      <w:r w:rsidRPr="006075A8" w:rsidR="00021D7A">
        <w:rPr>
          <w:rFonts w:ascii="Times New Roman" w:hAnsi="Times New Roman" w:cs="Times New Roman"/>
          <w:sz w:val="24"/>
          <w:szCs w:val="24"/>
        </w:rPr>
        <w:t xml:space="preserve"> </w:t>
      </w:r>
      <w:r w:rsidRPr="006075A8" w:rsidR="001556C2">
        <w:rPr>
          <w:rFonts w:ascii="Times New Roman" w:hAnsi="Times New Roman" w:cs="Times New Roman"/>
          <w:sz w:val="24"/>
          <w:szCs w:val="24"/>
        </w:rPr>
        <w:t>Pursuant to the</w:t>
      </w:r>
      <w:r w:rsidRPr="006075A8" w:rsidR="00B650A4">
        <w:rPr>
          <w:rFonts w:ascii="Times New Roman" w:hAnsi="Times New Roman" w:cs="Times New Roman"/>
          <w:sz w:val="24"/>
          <w:szCs w:val="24"/>
        </w:rPr>
        <w:t xml:space="preserve"> </w:t>
      </w:r>
      <w:r w:rsidRPr="006075A8" w:rsidR="001556C2">
        <w:rPr>
          <w:rFonts w:ascii="Times New Roman" w:hAnsi="Times New Roman" w:cs="Times New Roman"/>
          <w:sz w:val="24"/>
          <w:szCs w:val="24"/>
        </w:rPr>
        <w:t xml:space="preserve">OMB regulations that implement the PRA (5 C.F.R. </w:t>
      </w:r>
      <w:r w:rsidRPr="006075A8" w:rsidR="002317AA">
        <w:rPr>
          <w:rFonts w:ascii="Times New Roman" w:hAnsi="Times New Roman" w:cs="Times New Roman"/>
          <w:sz w:val="24"/>
          <w:szCs w:val="24"/>
        </w:rPr>
        <w:t>p</w:t>
      </w:r>
      <w:r w:rsidRPr="006075A8" w:rsidR="001556C2">
        <w:rPr>
          <w:rFonts w:ascii="Times New Roman" w:hAnsi="Times New Roman" w:cs="Times New Roman"/>
          <w:sz w:val="24"/>
          <w:szCs w:val="24"/>
        </w:rPr>
        <w:t>art 1320), the FTC is providing a second opportunity for public comment while seeking OMB approval to extend the existing paperwork clearance for the Rule.</w:t>
      </w:r>
    </w:p>
    <w:p w:rsidR="00CF45AF" w:rsidRPr="006075A8" w:rsidP="00CD54B1" w14:paraId="1DFF7F9F" w14:textId="77777777">
      <w:pPr>
        <w:rPr>
          <w:rFonts w:ascii="Times New Roman" w:hAnsi="Times New Roman" w:cs="Times New Roman"/>
          <w:sz w:val="24"/>
          <w:szCs w:val="24"/>
        </w:rPr>
      </w:pPr>
    </w:p>
    <w:p w:rsidR="00EA5CE3" w:rsidRPr="006075A8" w:rsidP="00B70863" w14:paraId="63073A93" w14:textId="77777777">
      <w:pPr>
        <w:rPr>
          <w:rFonts w:ascii="Times New Roman" w:hAnsi="Times New Roman" w:cs="Times New Roman"/>
          <w:b/>
          <w:sz w:val="24"/>
          <w:szCs w:val="24"/>
        </w:rPr>
      </w:pPr>
      <w:r w:rsidRPr="006075A8">
        <w:rPr>
          <w:rFonts w:ascii="Times New Roman" w:hAnsi="Times New Roman" w:cs="Times New Roman"/>
          <w:b/>
          <w:sz w:val="24"/>
          <w:szCs w:val="24"/>
        </w:rPr>
        <w:t>9.</w:t>
      </w:r>
      <w:r w:rsidRPr="006075A8">
        <w:rPr>
          <w:rFonts w:ascii="Times New Roman" w:hAnsi="Times New Roman" w:cs="Times New Roman"/>
          <w:b/>
          <w:sz w:val="24"/>
          <w:szCs w:val="24"/>
        </w:rPr>
        <w:tab/>
      </w:r>
      <w:r w:rsidRPr="006075A8" w:rsidR="001556C2">
        <w:rPr>
          <w:rFonts w:ascii="Times New Roman" w:hAnsi="Times New Roman" w:cs="Times New Roman"/>
          <w:b/>
          <w:sz w:val="24"/>
          <w:szCs w:val="24"/>
        </w:rPr>
        <w:t>Payments or Gifts to Respondents</w:t>
      </w:r>
    </w:p>
    <w:p w:rsidR="00EA5CE3" w:rsidRPr="006075A8" w:rsidP="00CD54B1" w14:paraId="275F13C3" w14:textId="77777777">
      <w:pPr>
        <w:rPr>
          <w:rFonts w:ascii="Times New Roman" w:hAnsi="Times New Roman" w:cs="Times New Roman"/>
          <w:sz w:val="24"/>
          <w:szCs w:val="24"/>
        </w:rPr>
      </w:pPr>
    </w:p>
    <w:p w:rsidR="00EA5CE3" w:rsidRPr="006075A8" w:rsidP="00CD54B1" w14:paraId="0585EB12" w14:textId="3A2CDEDC">
      <w:pPr>
        <w:rPr>
          <w:rFonts w:ascii="Times New Roman" w:hAnsi="Times New Roman" w:cs="Times New Roman"/>
          <w:sz w:val="24"/>
          <w:szCs w:val="24"/>
        </w:rPr>
      </w:pPr>
      <w:r w:rsidRPr="006075A8">
        <w:rPr>
          <w:rFonts w:ascii="Times New Roman" w:hAnsi="Times New Roman" w:cs="Times New Roman"/>
          <w:sz w:val="24"/>
          <w:szCs w:val="24"/>
        </w:rPr>
        <w:tab/>
      </w:r>
      <w:r w:rsidRPr="006075A8" w:rsidR="001556C2">
        <w:rPr>
          <w:rFonts w:ascii="Times New Roman" w:hAnsi="Times New Roman" w:cs="Times New Roman"/>
          <w:sz w:val="24"/>
          <w:szCs w:val="24"/>
        </w:rPr>
        <w:t>Not applicable</w:t>
      </w:r>
      <w:r w:rsidRPr="006075A8" w:rsidR="00BD6F04">
        <w:rPr>
          <w:rFonts w:ascii="Times New Roman" w:hAnsi="Times New Roman" w:cs="Times New Roman"/>
          <w:sz w:val="24"/>
          <w:szCs w:val="24"/>
        </w:rPr>
        <w:t>.</w:t>
      </w:r>
    </w:p>
    <w:p w:rsidR="00CF45AF" w:rsidP="00CD54B1" w14:paraId="56DEC87F" w14:textId="77777777">
      <w:pPr>
        <w:rPr>
          <w:rFonts w:ascii="Times New Roman" w:hAnsi="Times New Roman" w:cs="Times New Roman"/>
          <w:sz w:val="24"/>
          <w:szCs w:val="24"/>
        </w:rPr>
      </w:pPr>
    </w:p>
    <w:p w:rsidR="00DF0CA0" w:rsidRPr="006075A8" w:rsidP="00CD54B1" w14:paraId="68C89FAF" w14:textId="77777777">
      <w:pPr>
        <w:rPr>
          <w:rFonts w:ascii="Times New Roman" w:hAnsi="Times New Roman" w:cs="Times New Roman"/>
          <w:sz w:val="24"/>
          <w:szCs w:val="24"/>
        </w:rPr>
      </w:pPr>
    </w:p>
    <w:p w:rsidR="00EA5CE3" w:rsidRPr="006075A8" w:rsidP="00B70863" w14:paraId="448A63D0" w14:textId="6CDAB3DF">
      <w:pPr>
        <w:rPr>
          <w:rFonts w:ascii="Times New Roman" w:hAnsi="Times New Roman" w:cs="Times New Roman"/>
          <w:b/>
          <w:sz w:val="24"/>
          <w:szCs w:val="24"/>
        </w:rPr>
      </w:pPr>
      <w:r w:rsidRPr="006075A8">
        <w:rPr>
          <w:rFonts w:ascii="Times New Roman" w:hAnsi="Times New Roman" w:cs="Times New Roman"/>
          <w:b/>
          <w:sz w:val="24"/>
          <w:szCs w:val="24"/>
        </w:rPr>
        <w:t>10</w:t>
      </w:r>
      <w:r w:rsidRPr="006075A8" w:rsidR="00951776">
        <w:rPr>
          <w:rFonts w:ascii="Times New Roman" w:hAnsi="Times New Roman" w:cs="Times New Roman"/>
          <w:b/>
          <w:sz w:val="24"/>
          <w:szCs w:val="24"/>
        </w:rPr>
        <w:t>.</w:t>
      </w:r>
      <w:r w:rsidRPr="006075A8">
        <w:rPr>
          <w:rFonts w:ascii="Times New Roman" w:hAnsi="Times New Roman" w:cs="Times New Roman"/>
          <w:b/>
          <w:sz w:val="24"/>
          <w:szCs w:val="24"/>
        </w:rPr>
        <w:tab/>
        <w:t>Assurances of Confidentiality</w:t>
      </w:r>
    </w:p>
    <w:p w:rsidR="00EA5CE3" w:rsidRPr="006075A8" w:rsidP="00CD54B1" w14:paraId="0C23F476" w14:textId="77777777">
      <w:pPr>
        <w:rPr>
          <w:rFonts w:ascii="Times New Roman" w:hAnsi="Times New Roman" w:cs="Times New Roman"/>
          <w:sz w:val="24"/>
          <w:szCs w:val="24"/>
        </w:rPr>
      </w:pPr>
    </w:p>
    <w:p w:rsidR="00FB33E6" w:rsidRPr="006075A8" w:rsidP="00093173" w14:paraId="01F42780" w14:textId="2B699349">
      <w:pPr>
        <w:ind w:firstLine="720"/>
        <w:rPr>
          <w:rFonts w:ascii="Times New Roman" w:hAnsi="Times New Roman" w:cs="Times New Roman"/>
          <w:sz w:val="24"/>
          <w:szCs w:val="24"/>
        </w:rPr>
      </w:pPr>
      <w:r w:rsidRPr="006075A8">
        <w:rPr>
          <w:rFonts w:ascii="Times New Roman" w:hAnsi="Times New Roman" w:cs="Times New Roman"/>
          <w:sz w:val="24"/>
          <w:szCs w:val="24"/>
        </w:rPr>
        <w:t>No assurance of confidentiality is necessary, since franchisors do not register or file any documents with the Commission. To the extent that information covered by a recordkeeping requirement is collected by the Commission for law enforcement purposes, the confidentiality provisions of Sections 6(f) and 21 of the FTC Act, 15 U.S.C. §§ 46(f), 57b-2 will apply.</w:t>
      </w:r>
    </w:p>
    <w:p w:rsidR="00E71FAF" w:rsidRPr="006075A8" w:rsidP="00093173" w14:paraId="47377A51" w14:textId="77777777">
      <w:pPr>
        <w:ind w:firstLine="720"/>
        <w:rPr>
          <w:rFonts w:ascii="Times New Roman" w:hAnsi="Times New Roman" w:cs="Times New Roman"/>
          <w:sz w:val="24"/>
          <w:szCs w:val="24"/>
        </w:rPr>
      </w:pPr>
    </w:p>
    <w:p w:rsidR="00951776" w:rsidRPr="006075A8" w:rsidP="00951776" w14:paraId="2A2884EA" w14:textId="46E194BE">
      <w:pPr>
        <w:rPr>
          <w:rFonts w:ascii="Times New Roman" w:hAnsi="Times New Roman" w:cs="Times New Roman"/>
          <w:b/>
          <w:bCs/>
          <w:sz w:val="24"/>
          <w:szCs w:val="24"/>
        </w:rPr>
      </w:pPr>
      <w:r w:rsidRPr="006075A8">
        <w:rPr>
          <w:rFonts w:ascii="Times New Roman" w:hAnsi="Times New Roman" w:cs="Times New Roman"/>
          <w:b/>
          <w:bCs/>
          <w:sz w:val="24"/>
          <w:szCs w:val="24"/>
        </w:rPr>
        <w:t>11.</w:t>
      </w:r>
      <w:r w:rsidRPr="006075A8">
        <w:rPr>
          <w:rFonts w:ascii="Times New Roman" w:hAnsi="Times New Roman" w:cs="Times New Roman"/>
          <w:b/>
          <w:bCs/>
          <w:sz w:val="24"/>
          <w:szCs w:val="24"/>
        </w:rPr>
        <w:tab/>
        <w:t xml:space="preserve">Sensitive </w:t>
      </w:r>
      <w:r w:rsidR="0071210A">
        <w:rPr>
          <w:rFonts w:ascii="Times New Roman" w:hAnsi="Times New Roman" w:cs="Times New Roman"/>
          <w:b/>
          <w:bCs/>
          <w:sz w:val="24"/>
          <w:szCs w:val="24"/>
        </w:rPr>
        <w:t>or Private Information</w:t>
      </w:r>
    </w:p>
    <w:p w:rsidR="00093173" w:rsidRPr="006075A8" w:rsidP="00AC5195" w14:paraId="6925F177" w14:textId="77777777">
      <w:pPr>
        <w:rPr>
          <w:rFonts w:ascii="Times New Roman" w:hAnsi="Times New Roman" w:cs="Times New Roman"/>
          <w:sz w:val="24"/>
          <w:szCs w:val="24"/>
        </w:rPr>
      </w:pPr>
    </w:p>
    <w:p w:rsidR="00951776" w:rsidRPr="006075A8" w:rsidP="00E71FAF" w14:paraId="7EC1F4C8" w14:textId="25D70029">
      <w:pPr>
        <w:ind w:firstLine="720"/>
        <w:rPr>
          <w:rFonts w:ascii="Times New Roman" w:hAnsi="Times New Roman" w:cs="Times New Roman"/>
          <w:sz w:val="24"/>
          <w:szCs w:val="24"/>
        </w:rPr>
      </w:pPr>
      <w:r w:rsidRPr="006075A8">
        <w:rPr>
          <w:rFonts w:ascii="Times New Roman" w:hAnsi="Times New Roman" w:cs="Times New Roman"/>
          <w:sz w:val="24"/>
          <w:szCs w:val="24"/>
        </w:rPr>
        <w:t>Under the provisions of the Rule, a franchisor must disclose certain franchisees’ names, business addresses, and business telephone numbers. Disclosing this information lets prospective franchisees conduct their own due diligence investigation of the franchisor’s claims, in particular financial performance representations. No other information about individual franchisees must be disclosed. For example, franchisors that choose to make a financial performance representation based upon the earnings history of current franchisees need not identify in the FDD the individual franchisees whose information formed the basis of the earnings claim, or the earnings of any individual franchisee or franchised location.</w:t>
      </w:r>
    </w:p>
    <w:p w:rsidR="00E71FAF" w:rsidRPr="006075A8" w:rsidP="00AC5195" w14:paraId="609A0978" w14:textId="77777777">
      <w:pPr>
        <w:rPr>
          <w:rFonts w:ascii="Times New Roman" w:hAnsi="Times New Roman" w:cs="Times New Roman"/>
          <w:sz w:val="24"/>
          <w:szCs w:val="24"/>
        </w:rPr>
      </w:pPr>
    </w:p>
    <w:p w:rsidR="00EA5CE3" w:rsidRPr="006075A8" w:rsidP="00B70863" w14:paraId="2F5D6C1F" w14:textId="77777777">
      <w:pPr>
        <w:rPr>
          <w:rFonts w:ascii="Times New Roman" w:hAnsi="Times New Roman" w:cs="Times New Roman"/>
          <w:b/>
          <w:sz w:val="24"/>
          <w:szCs w:val="24"/>
        </w:rPr>
      </w:pPr>
      <w:r w:rsidRPr="006075A8">
        <w:rPr>
          <w:rFonts w:ascii="Times New Roman" w:hAnsi="Times New Roman" w:cs="Times New Roman"/>
          <w:b/>
          <w:sz w:val="24"/>
          <w:szCs w:val="24"/>
        </w:rPr>
        <w:t>12.</w:t>
      </w:r>
      <w:r w:rsidRPr="006075A8">
        <w:rPr>
          <w:rFonts w:ascii="Times New Roman" w:hAnsi="Times New Roman" w:cs="Times New Roman"/>
          <w:b/>
          <w:sz w:val="24"/>
          <w:szCs w:val="24"/>
        </w:rPr>
        <w:tab/>
      </w:r>
      <w:r w:rsidRPr="006075A8" w:rsidR="001556C2">
        <w:rPr>
          <w:rFonts w:ascii="Times New Roman" w:hAnsi="Times New Roman" w:cs="Times New Roman"/>
          <w:b/>
          <w:sz w:val="24"/>
          <w:szCs w:val="24"/>
        </w:rPr>
        <w:t>Hours and Labor Cost Burden</w:t>
      </w:r>
    </w:p>
    <w:p w:rsidR="00EA5CE3" w:rsidRPr="006075A8" w:rsidP="00AC5195" w14:paraId="2E09A2AD" w14:textId="77777777">
      <w:pPr>
        <w:rPr>
          <w:rFonts w:ascii="Times New Roman" w:hAnsi="Times New Roman" w:cs="Times New Roman"/>
          <w:sz w:val="24"/>
          <w:szCs w:val="24"/>
        </w:rPr>
      </w:pPr>
    </w:p>
    <w:p w:rsidR="00FB054C" w:rsidRPr="006075A8" w:rsidP="00AC5195" w14:paraId="55D2BF1B" w14:textId="4FE69479">
      <w:pPr>
        <w:rPr>
          <w:rFonts w:ascii="Times New Roman" w:hAnsi="Times New Roman" w:cs="Times New Roman"/>
          <w:bCs/>
          <w:color w:val="000000" w:themeColor="text1"/>
          <w:sz w:val="24"/>
          <w:szCs w:val="24"/>
        </w:rPr>
      </w:pPr>
      <w:r w:rsidRPr="006075A8">
        <w:rPr>
          <w:rFonts w:ascii="Times New Roman" w:hAnsi="Times New Roman" w:cs="Times New Roman"/>
          <w:bCs/>
          <w:color w:val="000000" w:themeColor="text1"/>
          <w:sz w:val="24"/>
          <w:szCs w:val="24"/>
        </w:rPr>
        <w:t>E</w:t>
      </w:r>
      <w:r w:rsidRPr="006075A8" w:rsidR="000C4A20">
        <w:rPr>
          <w:rFonts w:ascii="Times New Roman" w:hAnsi="Times New Roman" w:cs="Times New Roman"/>
          <w:bCs/>
          <w:color w:val="000000" w:themeColor="text1"/>
          <w:sz w:val="24"/>
          <w:szCs w:val="24"/>
        </w:rPr>
        <w:t xml:space="preserve">stimated </w:t>
      </w:r>
      <w:r w:rsidRPr="006075A8">
        <w:rPr>
          <w:rFonts w:ascii="Times New Roman" w:hAnsi="Times New Roman" w:cs="Times New Roman"/>
          <w:bCs/>
          <w:color w:val="000000" w:themeColor="text1"/>
          <w:sz w:val="24"/>
          <w:szCs w:val="24"/>
        </w:rPr>
        <w:t>A</w:t>
      </w:r>
      <w:r w:rsidRPr="006075A8" w:rsidR="000C4A20">
        <w:rPr>
          <w:rFonts w:ascii="Times New Roman" w:hAnsi="Times New Roman" w:cs="Times New Roman"/>
          <w:bCs/>
          <w:color w:val="000000" w:themeColor="text1"/>
          <w:sz w:val="24"/>
          <w:szCs w:val="24"/>
        </w:rPr>
        <w:t xml:space="preserve">nnual </w:t>
      </w:r>
      <w:r w:rsidRPr="006075A8">
        <w:rPr>
          <w:rFonts w:ascii="Times New Roman" w:hAnsi="Times New Roman" w:cs="Times New Roman"/>
          <w:bCs/>
          <w:color w:val="000000" w:themeColor="text1"/>
          <w:sz w:val="24"/>
          <w:szCs w:val="24"/>
        </w:rPr>
        <w:t>B</w:t>
      </w:r>
      <w:r w:rsidRPr="006075A8" w:rsidR="000C4A20">
        <w:rPr>
          <w:rFonts w:ascii="Times New Roman" w:hAnsi="Times New Roman" w:cs="Times New Roman"/>
          <w:bCs/>
          <w:color w:val="000000" w:themeColor="text1"/>
          <w:sz w:val="24"/>
          <w:szCs w:val="24"/>
        </w:rPr>
        <w:t xml:space="preserve">urden </w:t>
      </w:r>
      <w:r w:rsidRPr="006075A8">
        <w:rPr>
          <w:rFonts w:ascii="Times New Roman" w:hAnsi="Times New Roman" w:cs="Times New Roman"/>
          <w:bCs/>
          <w:color w:val="000000" w:themeColor="text1"/>
          <w:sz w:val="24"/>
          <w:szCs w:val="24"/>
        </w:rPr>
        <w:t>H</w:t>
      </w:r>
      <w:r w:rsidRPr="006075A8" w:rsidR="000C4A20">
        <w:rPr>
          <w:rFonts w:ascii="Times New Roman" w:hAnsi="Times New Roman" w:cs="Times New Roman"/>
          <w:bCs/>
          <w:color w:val="000000" w:themeColor="text1"/>
          <w:sz w:val="24"/>
          <w:szCs w:val="24"/>
        </w:rPr>
        <w:t>ours:</w:t>
      </w:r>
      <w:r w:rsidRPr="006075A8">
        <w:rPr>
          <w:rFonts w:ascii="Times New Roman" w:hAnsi="Times New Roman" w:cs="Times New Roman"/>
          <w:bCs/>
          <w:color w:val="000000" w:themeColor="text1"/>
          <w:sz w:val="24"/>
          <w:szCs w:val="24"/>
        </w:rPr>
        <w:t xml:space="preserve">  </w:t>
      </w:r>
      <w:r w:rsidRPr="006075A8" w:rsidR="009A29B2">
        <w:rPr>
          <w:rFonts w:ascii="Times New Roman" w:hAnsi="Times New Roman" w:cs="Times New Roman"/>
          <w:bCs/>
          <w:color w:val="000000" w:themeColor="text1"/>
          <w:sz w:val="24"/>
          <w:szCs w:val="24"/>
        </w:rPr>
        <w:t>22,480</w:t>
      </w:r>
    </w:p>
    <w:p w:rsidR="00B95FF7" w:rsidRPr="006075A8" w:rsidP="00B95FF7" w14:paraId="61399F45" w14:textId="69849628">
      <w:pPr>
        <w:ind w:firstLine="720"/>
        <w:rPr>
          <w:rFonts w:ascii="Times New Roman" w:hAnsi="Times New Roman" w:cs="Times New Roman"/>
          <w:bCs/>
          <w:color w:val="000000" w:themeColor="text1"/>
          <w:sz w:val="24"/>
          <w:szCs w:val="24"/>
        </w:rPr>
      </w:pPr>
      <w:r w:rsidRPr="006075A8">
        <w:rPr>
          <w:rFonts w:ascii="Times New Roman" w:hAnsi="Times New Roman" w:cs="Times New Roman"/>
          <w:bCs/>
          <w:color w:val="000000" w:themeColor="text1"/>
          <w:sz w:val="24"/>
          <w:szCs w:val="24"/>
        </w:rPr>
        <w:t>(11,280 + 7,200 + 4,000)</w:t>
      </w:r>
    </w:p>
    <w:p w:rsidR="00B95FF7" w:rsidRPr="006075A8" w:rsidP="00B95FF7" w14:paraId="7A9FF8B3" w14:textId="77777777">
      <w:pPr>
        <w:rPr>
          <w:rFonts w:ascii="Times New Roman" w:hAnsi="Times New Roman" w:cs="Times New Roman"/>
          <w:sz w:val="24"/>
          <w:szCs w:val="24"/>
        </w:rPr>
      </w:pPr>
    </w:p>
    <w:p w:rsidR="00F112DF" w:rsidRPr="006075A8" w:rsidP="00F112DF" w14:paraId="07713DF6" w14:textId="381B2770">
      <w:pPr>
        <w:rPr>
          <w:rFonts w:ascii="Times New Roman" w:hAnsi="Times New Roman" w:cs="Times New Roman"/>
          <w:bCs/>
          <w:color w:val="000000" w:themeColor="text1"/>
          <w:sz w:val="24"/>
          <w:szCs w:val="24"/>
        </w:rPr>
      </w:pPr>
      <w:r w:rsidRPr="006075A8">
        <w:rPr>
          <w:rFonts w:ascii="Times New Roman" w:hAnsi="Times New Roman" w:cs="Times New Roman"/>
          <w:bCs/>
          <w:color w:val="000000" w:themeColor="text1"/>
          <w:sz w:val="24"/>
          <w:szCs w:val="24"/>
        </w:rPr>
        <w:t>Estimated Annual Labor Costs:</w:t>
      </w:r>
      <w:r w:rsidRPr="006075A8" w:rsidR="00953450">
        <w:rPr>
          <w:rFonts w:ascii="Times New Roman" w:hAnsi="Times New Roman" w:cs="Times New Roman"/>
          <w:bCs/>
          <w:color w:val="000000" w:themeColor="text1"/>
          <w:sz w:val="24"/>
          <w:szCs w:val="24"/>
        </w:rPr>
        <w:t xml:space="preserve"> </w:t>
      </w:r>
      <w:r w:rsidRPr="006075A8">
        <w:rPr>
          <w:rFonts w:ascii="Times New Roman" w:hAnsi="Times New Roman" w:cs="Times New Roman"/>
          <w:bCs/>
          <w:color w:val="000000" w:themeColor="text1"/>
          <w:sz w:val="24"/>
          <w:szCs w:val="24"/>
        </w:rPr>
        <w:t xml:space="preserve"> </w:t>
      </w:r>
      <w:bookmarkStart w:id="0" w:name="_Hlk124410517"/>
      <w:r w:rsidRPr="006075A8" w:rsidR="00A35813">
        <w:rPr>
          <w:rFonts w:ascii="Times New Roman" w:hAnsi="Times New Roman" w:cs="Times New Roman"/>
          <w:sz w:val="24"/>
          <w:szCs w:val="24"/>
        </w:rPr>
        <w:t>$</w:t>
      </w:r>
      <w:bookmarkEnd w:id="0"/>
      <w:r w:rsidRPr="006075A8" w:rsidR="00A35813">
        <w:rPr>
          <w:rFonts w:ascii="Times New Roman" w:hAnsi="Times New Roman" w:cs="Times New Roman"/>
          <w:sz w:val="24"/>
          <w:szCs w:val="24"/>
        </w:rPr>
        <w:t>8,40</w:t>
      </w:r>
      <w:r w:rsidRPr="006075A8" w:rsidR="003605CD">
        <w:rPr>
          <w:rFonts w:ascii="Times New Roman" w:hAnsi="Times New Roman" w:cs="Times New Roman"/>
          <w:sz w:val="24"/>
          <w:szCs w:val="24"/>
        </w:rPr>
        <w:t>3</w:t>
      </w:r>
      <w:r w:rsidRPr="006075A8" w:rsidR="00A35813">
        <w:rPr>
          <w:rFonts w:ascii="Times New Roman" w:hAnsi="Times New Roman" w:cs="Times New Roman"/>
          <w:sz w:val="24"/>
          <w:szCs w:val="24"/>
        </w:rPr>
        <w:t>,</w:t>
      </w:r>
      <w:r w:rsidRPr="006075A8" w:rsidR="003605CD">
        <w:rPr>
          <w:rFonts w:ascii="Times New Roman" w:hAnsi="Times New Roman" w:cs="Times New Roman"/>
          <w:sz w:val="24"/>
          <w:szCs w:val="24"/>
        </w:rPr>
        <w:t>68</w:t>
      </w:r>
      <w:r w:rsidRPr="006075A8" w:rsidR="00A35813">
        <w:rPr>
          <w:rFonts w:ascii="Times New Roman" w:hAnsi="Times New Roman" w:cs="Times New Roman"/>
          <w:sz w:val="24"/>
          <w:szCs w:val="24"/>
        </w:rPr>
        <w:t>0.</w:t>
      </w:r>
      <w:r>
        <w:rPr>
          <w:rStyle w:val="FootnoteReference"/>
          <w:rFonts w:ascii="Times New Roman" w:hAnsi="Times New Roman"/>
          <w:sz w:val="24"/>
          <w:szCs w:val="24"/>
        </w:rPr>
        <w:footnoteReference w:id="7"/>
      </w:r>
    </w:p>
    <w:p w:rsidR="00151589" w:rsidRPr="006075A8" w:rsidP="00F112DF" w14:paraId="2F87E6CB" w14:textId="264ABFEB">
      <w:pPr>
        <w:rPr>
          <w:rFonts w:ascii="Times New Roman" w:hAnsi="Times New Roman" w:cs="Times New Roman"/>
          <w:bCs/>
          <w:color w:val="000000" w:themeColor="text1"/>
          <w:sz w:val="24"/>
          <w:szCs w:val="24"/>
        </w:rPr>
      </w:pPr>
      <w:r w:rsidRPr="006075A8">
        <w:rPr>
          <w:rFonts w:ascii="Times New Roman" w:hAnsi="Times New Roman" w:cs="Times New Roman"/>
          <w:bCs/>
          <w:color w:val="000000" w:themeColor="text1"/>
          <w:sz w:val="24"/>
          <w:szCs w:val="24"/>
        </w:rPr>
        <w:tab/>
        <w:t>($</w:t>
      </w:r>
      <w:r w:rsidRPr="006075A8" w:rsidR="00CD19DB">
        <w:rPr>
          <w:rFonts w:ascii="Times New Roman" w:hAnsi="Times New Roman" w:cs="Times New Roman"/>
          <w:sz w:val="24"/>
          <w:szCs w:val="24"/>
        </w:rPr>
        <w:t xml:space="preserve">5,076,000 </w:t>
      </w:r>
      <w:r w:rsidRPr="006075A8">
        <w:rPr>
          <w:rFonts w:ascii="Times New Roman" w:hAnsi="Times New Roman" w:cs="Times New Roman"/>
          <w:bCs/>
          <w:color w:val="000000" w:themeColor="text1"/>
          <w:sz w:val="24"/>
          <w:szCs w:val="24"/>
        </w:rPr>
        <w:t>+ $</w:t>
      </w:r>
      <w:r w:rsidRPr="006075A8" w:rsidR="00CD19DB">
        <w:rPr>
          <w:rFonts w:ascii="Times New Roman" w:hAnsi="Times New Roman" w:cs="Times New Roman"/>
          <w:sz w:val="24"/>
          <w:szCs w:val="24"/>
        </w:rPr>
        <w:t xml:space="preserve">3,240,000 </w:t>
      </w:r>
      <w:r w:rsidRPr="006075A8">
        <w:rPr>
          <w:rFonts w:ascii="Times New Roman" w:hAnsi="Times New Roman" w:cs="Times New Roman"/>
          <w:bCs/>
          <w:color w:val="000000" w:themeColor="text1"/>
          <w:sz w:val="24"/>
          <w:szCs w:val="24"/>
        </w:rPr>
        <w:t>+ $</w:t>
      </w:r>
      <w:r w:rsidRPr="006075A8" w:rsidR="002C7151">
        <w:rPr>
          <w:rFonts w:ascii="Times New Roman" w:hAnsi="Times New Roman" w:cs="Times New Roman"/>
          <w:sz w:val="24"/>
          <w:szCs w:val="24"/>
        </w:rPr>
        <w:t>8</w:t>
      </w:r>
      <w:r w:rsidRPr="006075A8" w:rsidR="000D516C">
        <w:rPr>
          <w:rFonts w:ascii="Times New Roman" w:hAnsi="Times New Roman" w:cs="Times New Roman"/>
          <w:sz w:val="24"/>
          <w:szCs w:val="24"/>
        </w:rPr>
        <w:t>7</w:t>
      </w:r>
      <w:r w:rsidRPr="006075A8" w:rsidR="002C7151">
        <w:rPr>
          <w:rFonts w:ascii="Times New Roman" w:hAnsi="Times New Roman" w:cs="Times New Roman"/>
          <w:sz w:val="24"/>
          <w:szCs w:val="24"/>
        </w:rPr>
        <w:t>,</w:t>
      </w:r>
      <w:r w:rsidRPr="006075A8" w:rsidR="000D516C">
        <w:rPr>
          <w:rFonts w:ascii="Times New Roman" w:hAnsi="Times New Roman" w:cs="Times New Roman"/>
          <w:sz w:val="24"/>
          <w:szCs w:val="24"/>
        </w:rPr>
        <w:t>68</w:t>
      </w:r>
      <w:r w:rsidRPr="006075A8" w:rsidR="002C7151">
        <w:rPr>
          <w:rFonts w:ascii="Times New Roman" w:hAnsi="Times New Roman" w:cs="Times New Roman"/>
          <w:sz w:val="24"/>
          <w:szCs w:val="24"/>
        </w:rPr>
        <w:t>0</w:t>
      </w:r>
      <w:r w:rsidRPr="006075A8" w:rsidR="00A73AAD">
        <w:rPr>
          <w:rFonts w:ascii="Times New Roman" w:hAnsi="Times New Roman" w:cs="Times New Roman"/>
          <w:bCs/>
          <w:color w:val="000000" w:themeColor="text1"/>
          <w:sz w:val="24"/>
          <w:szCs w:val="24"/>
        </w:rPr>
        <w:t>)</w:t>
      </w:r>
    </w:p>
    <w:p w:rsidR="000C4A20" w:rsidRPr="006075A8" w:rsidP="00AC5195" w14:paraId="28171C70" w14:textId="77777777">
      <w:pPr>
        <w:rPr>
          <w:rFonts w:ascii="Times New Roman" w:hAnsi="Times New Roman" w:cs="Times New Roman"/>
          <w:sz w:val="24"/>
          <w:szCs w:val="24"/>
        </w:rPr>
      </w:pPr>
    </w:p>
    <w:p w:rsidR="007E3E11" w:rsidP="0071210A" w14:paraId="35B5C48B" w14:textId="4FA9319B">
      <w:pPr>
        <w:widowControl/>
        <w:ind w:firstLine="720"/>
        <w:rPr>
          <w:rFonts w:ascii="Times New Roman" w:hAnsi="Times New Roman" w:cs="Times New Roman"/>
          <w:sz w:val="24"/>
          <w:szCs w:val="24"/>
        </w:rPr>
      </w:pPr>
      <w:r w:rsidRPr="006075A8">
        <w:rPr>
          <w:rFonts w:ascii="Times New Roman" w:hAnsi="Times New Roman" w:cs="Times New Roman"/>
          <w:sz w:val="24"/>
          <w:szCs w:val="24"/>
        </w:rPr>
        <w:t>FTC staff estimates that there are approximately 4,000 sellers of franchises covered by the Rule, with approximately 6% (240) of that total reflecting an equal amount of new and departing business entrants.</w:t>
      </w:r>
      <w:r>
        <w:rPr>
          <w:rStyle w:val="FootnoteReference"/>
          <w:rFonts w:ascii="Times New Roman" w:hAnsi="Times New Roman"/>
          <w:sz w:val="24"/>
          <w:szCs w:val="24"/>
        </w:rPr>
        <w:footnoteReference w:id="8"/>
      </w:r>
      <w:r w:rsidRPr="006075A8">
        <w:rPr>
          <w:rFonts w:ascii="Times New Roman" w:hAnsi="Times New Roman" w:cs="Times New Roman"/>
          <w:sz w:val="24"/>
          <w:szCs w:val="24"/>
        </w:rPr>
        <w:t xml:space="preserve"> FTC staff estimates that the average annual disclosure burden for established franchisors to update existing disclosure documents will be three hours per seller for a total of 11,280 hours (3,760 franchisors × 3 hours). For new sellers of franchise opportunities, FTC staff estimates that the preparation of disclosure documents will require approximately 30 hours for a total of 7,200 hours (240 new franchisors × 30 hours).</w:t>
      </w:r>
    </w:p>
    <w:p w:rsidR="0071210A" w:rsidRPr="006075A8" w:rsidP="0071210A" w14:paraId="3E959946" w14:textId="77777777">
      <w:pPr>
        <w:widowControl/>
        <w:ind w:firstLine="720"/>
        <w:rPr>
          <w:rFonts w:ascii="Times New Roman" w:hAnsi="Times New Roman" w:cs="Times New Roman"/>
          <w:sz w:val="24"/>
          <w:szCs w:val="24"/>
        </w:rPr>
      </w:pPr>
    </w:p>
    <w:p w:rsidR="007E3E11" w:rsidP="0071210A" w14:paraId="1941E93B" w14:textId="014CF62B">
      <w:pPr>
        <w:widowControl/>
        <w:ind w:firstLine="720"/>
        <w:rPr>
          <w:rFonts w:ascii="Times New Roman" w:hAnsi="Times New Roman" w:cs="Times New Roman"/>
          <w:sz w:val="24"/>
          <w:szCs w:val="24"/>
        </w:rPr>
      </w:pPr>
      <w:r w:rsidRPr="006075A8">
        <w:rPr>
          <w:rFonts w:ascii="Times New Roman" w:hAnsi="Times New Roman" w:cs="Times New Roman"/>
          <w:sz w:val="24"/>
          <w:szCs w:val="24"/>
        </w:rPr>
        <w:t xml:space="preserve">Covered franchisors also may need to maintain an alternative version of the FDD for use in non-registration states, which may differ from FDDs used in registration states. FTC staff estimates that this recordkeeping obligation would require approximately one hour per year. This results in an additional burden of 4,000 hours (4,000 franchisors × 1 hour). Under the Rule, a franchisor is also required to retain copies of receipts of disclosure documents, as well as materially different versions of its disclosure documents. Such recordkeeping requirements, </w:t>
      </w:r>
      <w:r w:rsidRPr="006075A8">
        <w:rPr>
          <w:rFonts w:ascii="Times New Roman" w:hAnsi="Times New Roman" w:cs="Times New Roman"/>
          <w:sz w:val="24"/>
          <w:szCs w:val="24"/>
        </w:rPr>
        <w:t>however, are consistent with, or less burdensome than, those imposed by the states that have franchise registration and disclosure laws. Accordingly, FTC staff believes that incremental recordkeeping burden, if any, would be de minimis.</w:t>
      </w:r>
    </w:p>
    <w:p w:rsidR="0071210A" w:rsidRPr="006075A8" w:rsidP="0071210A" w14:paraId="52DD37C8" w14:textId="77777777">
      <w:pPr>
        <w:widowControl/>
        <w:ind w:firstLine="720"/>
        <w:rPr>
          <w:rFonts w:ascii="Times New Roman" w:hAnsi="Times New Roman" w:cs="Times New Roman"/>
          <w:sz w:val="24"/>
          <w:szCs w:val="24"/>
        </w:rPr>
      </w:pPr>
    </w:p>
    <w:p w:rsidR="00B95FF7" w:rsidP="0071210A" w14:paraId="34E68067" w14:textId="008C6F52">
      <w:pPr>
        <w:widowControl/>
        <w:ind w:firstLine="720"/>
        <w:rPr>
          <w:rFonts w:ascii="Times New Roman" w:hAnsi="Times New Roman" w:cs="Times New Roman"/>
          <w:sz w:val="24"/>
          <w:szCs w:val="24"/>
        </w:rPr>
      </w:pPr>
      <w:r w:rsidRPr="006075A8">
        <w:rPr>
          <w:rFonts w:ascii="Times New Roman" w:hAnsi="Times New Roman" w:cs="Times New Roman"/>
          <w:sz w:val="24"/>
          <w:szCs w:val="24"/>
        </w:rPr>
        <w:t>Labor costs are derived by applying estimated hourly cost figures to the burden hours described above. FTC staff anticipates that an attorney will prepare required disclosure documents at an estimated hourly attorney rate of $450.</w:t>
      </w:r>
      <w:r>
        <w:rPr>
          <w:rStyle w:val="FootnoteReference"/>
          <w:rFonts w:ascii="Times New Roman" w:hAnsi="Times New Roman"/>
          <w:sz w:val="24"/>
          <w:szCs w:val="24"/>
        </w:rPr>
        <w:footnoteReference w:id="9"/>
      </w:r>
      <w:r w:rsidRPr="006075A8">
        <w:rPr>
          <w:rFonts w:ascii="Times New Roman" w:hAnsi="Times New Roman" w:cs="Times New Roman"/>
          <w:sz w:val="24"/>
          <w:szCs w:val="24"/>
        </w:rPr>
        <w:t xml:space="preserve"> For established franchisors, FTC staff estimates the following annual labor costs:  $1,350 per established franchisor (3 hours × $450) for a total annual cost burden of $5,076,000 ($1,350 × 3,760 established franchisors). For new franchisors, this yields an annual cost of $13,500 per new franchisor (30 hours × $450) for a total annual cost burden of $3,240,000 for new franchisors ($13,500 × 240 new franchisors).</w:t>
      </w:r>
    </w:p>
    <w:p w:rsidR="0071210A" w:rsidRPr="006075A8" w:rsidP="0071210A" w14:paraId="0061947A" w14:textId="77777777">
      <w:pPr>
        <w:widowControl/>
        <w:ind w:firstLine="720"/>
        <w:rPr>
          <w:rFonts w:ascii="Times New Roman" w:hAnsi="Times New Roman" w:cs="Times New Roman"/>
          <w:sz w:val="24"/>
          <w:szCs w:val="24"/>
        </w:rPr>
      </w:pPr>
    </w:p>
    <w:p w:rsidR="00B95FF7" w:rsidP="0071210A" w14:paraId="09D8B7CD" w14:textId="6B831F19">
      <w:pPr>
        <w:widowControl/>
        <w:ind w:firstLine="720"/>
        <w:rPr>
          <w:rFonts w:ascii="Times New Roman" w:hAnsi="Times New Roman" w:cs="Times New Roman"/>
          <w:sz w:val="24"/>
          <w:szCs w:val="24"/>
        </w:rPr>
      </w:pPr>
      <w:r w:rsidRPr="006075A8">
        <w:rPr>
          <w:rFonts w:ascii="Times New Roman" w:hAnsi="Times New Roman" w:cs="Times New Roman"/>
          <w:sz w:val="24"/>
          <w:szCs w:val="24"/>
        </w:rPr>
        <w:t>Additionally, FTC staff anticipates that recordkeeping under the Rule will be performed by clerical staff at approximately $21.</w:t>
      </w:r>
      <w:r w:rsidRPr="006075A8" w:rsidR="0047144D">
        <w:rPr>
          <w:rFonts w:ascii="Times New Roman" w:hAnsi="Times New Roman" w:cs="Times New Roman"/>
          <w:sz w:val="24"/>
          <w:szCs w:val="24"/>
        </w:rPr>
        <w:t>92</w:t>
      </w:r>
      <w:r w:rsidRPr="006075A8">
        <w:rPr>
          <w:rFonts w:ascii="Times New Roman" w:hAnsi="Times New Roman" w:cs="Times New Roman"/>
          <w:sz w:val="24"/>
          <w:szCs w:val="24"/>
        </w:rPr>
        <w:t xml:space="preserve"> per hour.</w:t>
      </w:r>
      <w:r>
        <w:rPr>
          <w:rStyle w:val="FootnoteReference"/>
          <w:rFonts w:ascii="Times New Roman" w:hAnsi="Times New Roman"/>
          <w:sz w:val="24"/>
          <w:szCs w:val="24"/>
        </w:rPr>
        <w:footnoteReference w:id="10"/>
      </w:r>
      <w:r w:rsidRPr="006075A8">
        <w:rPr>
          <w:rFonts w:ascii="Times New Roman" w:hAnsi="Times New Roman" w:cs="Times New Roman"/>
          <w:sz w:val="24"/>
          <w:szCs w:val="24"/>
        </w:rPr>
        <w:t xml:space="preserve"> Thus, based on the 4,000 hours of recordkeeping burden per year for all covered franchisors, this will amount to a total annual labor cost of $8</w:t>
      </w:r>
      <w:r w:rsidRPr="006075A8" w:rsidR="000D516C">
        <w:rPr>
          <w:rFonts w:ascii="Times New Roman" w:hAnsi="Times New Roman" w:cs="Times New Roman"/>
          <w:sz w:val="24"/>
          <w:szCs w:val="24"/>
        </w:rPr>
        <w:t>7</w:t>
      </w:r>
      <w:r w:rsidRPr="006075A8">
        <w:rPr>
          <w:rFonts w:ascii="Times New Roman" w:hAnsi="Times New Roman" w:cs="Times New Roman"/>
          <w:sz w:val="24"/>
          <w:szCs w:val="24"/>
        </w:rPr>
        <w:t>,</w:t>
      </w:r>
      <w:r w:rsidRPr="006075A8" w:rsidR="000D516C">
        <w:rPr>
          <w:rFonts w:ascii="Times New Roman" w:hAnsi="Times New Roman" w:cs="Times New Roman"/>
          <w:sz w:val="24"/>
          <w:szCs w:val="24"/>
        </w:rPr>
        <w:t>680</w:t>
      </w:r>
      <w:r w:rsidRPr="006075A8">
        <w:rPr>
          <w:rFonts w:ascii="Times New Roman" w:hAnsi="Times New Roman" w:cs="Times New Roman"/>
          <w:sz w:val="24"/>
          <w:szCs w:val="24"/>
        </w:rPr>
        <w:t xml:space="preserve"> ($21.</w:t>
      </w:r>
      <w:r w:rsidRPr="006075A8" w:rsidR="0047144D">
        <w:rPr>
          <w:rFonts w:ascii="Times New Roman" w:hAnsi="Times New Roman" w:cs="Times New Roman"/>
          <w:sz w:val="24"/>
          <w:szCs w:val="24"/>
        </w:rPr>
        <w:t>92</w:t>
      </w:r>
      <w:r w:rsidRPr="006075A8">
        <w:rPr>
          <w:rFonts w:ascii="Times New Roman" w:hAnsi="Times New Roman" w:cs="Times New Roman"/>
          <w:sz w:val="24"/>
          <w:szCs w:val="24"/>
        </w:rPr>
        <w:t xml:space="preserve"> × 4,000 hours). </w:t>
      </w:r>
    </w:p>
    <w:p w:rsidR="0071210A" w:rsidRPr="006075A8" w:rsidP="0071210A" w14:paraId="2596637B" w14:textId="77777777">
      <w:pPr>
        <w:widowControl/>
        <w:ind w:firstLine="720"/>
        <w:rPr>
          <w:rFonts w:ascii="Times New Roman" w:hAnsi="Times New Roman" w:cs="Times New Roman"/>
          <w:sz w:val="24"/>
          <w:szCs w:val="24"/>
        </w:rPr>
      </w:pPr>
    </w:p>
    <w:p w:rsidR="00EA5CE3" w:rsidRPr="006075A8" w:rsidP="00960973" w14:paraId="76011EC0" w14:textId="39938C7B">
      <w:pPr>
        <w:rPr>
          <w:rFonts w:ascii="Times New Roman" w:hAnsi="Times New Roman" w:cs="Times New Roman"/>
          <w:b/>
          <w:sz w:val="24"/>
          <w:szCs w:val="24"/>
        </w:rPr>
      </w:pPr>
      <w:r w:rsidRPr="006075A8">
        <w:rPr>
          <w:rFonts w:ascii="Times New Roman" w:hAnsi="Times New Roman" w:cs="Times New Roman"/>
          <w:b/>
          <w:sz w:val="24"/>
          <w:szCs w:val="24"/>
        </w:rPr>
        <w:t>13.</w:t>
      </w:r>
      <w:r w:rsidRPr="006075A8">
        <w:rPr>
          <w:rFonts w:ascii="Times New Roman" w:hAnsi="Times New Roman" w:cs="Times New Roman"/>
          <w:b/>
          <w:sz w:val="24"/>
          <w:szCs w:val="24"/>
        </w:rPr>
        <w:tab/>
      </w:r>
      <w:r w:rsidRPr="006075A8" w:rsidR="001556C2">
        <w:rPr>
          <w:rFonts w:ascii="Times New Roman" w:hAnsi="Times New Roman" w:cs="Times New Roman"/>
          <w:b/>
          <w:sz w:val="24"/>
          <w:szCs w:val="24"/>
        </w:rPr>
        <w:t>Estimated Capital/Other Non-Labor Costs Burden</w:t>
      </w:r>
    </w:p>
    <w:p w:rsidR="00EA5CE3" w:rsidRPr="006075A8" w:rsidP="00960973" w14:paraId="2405AC2E" w14:textId="77777777">
      <w:pPr>
        <w:rPr>
          <w:rFonts w:ascii="Times New Roman" w:hAnsi="Times New Roman" w:cs="Times New Roman"/>
          <w:sz w:val="24"/>
          <w:szCs w:val="24"/>
        </w:rPr>
      </w:pPr>
    </w:p>
    <w:p w:rsidR="000F63F1" w:rsidRPr="006075A8" w:rsidP="000F63F1" w14:paraId="252FEC35" w14:textId="5D67D0E6">
      <w:pPr>
        <w:rPr>
          <w:rFonts w:ascii="Times New Roman" w:hAnsi="Times New Roman" w:cs="Times New Roman"/>
          <w:bCs/>
          <w:color w:val="000000" w:themeColor="text1"/>
          <w:sz w:val="24"/>
          <w:szCs w:val="24"/>
        </w:rPr>
      </w:pPr>
      <w:r w:rsidRPr="006075A8">
        <w:rPr>
          <w:rFonts w:ascii="Times New Roman" w:hAnsi="Times New Roman" w:cs="Times New Roman"/>
          <w:bCs/>
          <w:color w:val="000000" w:themeColor="text1"/>
          <w:sz w:val="24"/>
          <w:szCs w:val="24"/>
        </w:rPr>
        <w:t xml:space="preserve">Estimated Annual Non-Labor Costs:  </w:t>
      </w:r>
      <w:r w:rsidRPr="006075A8">
        <w:rPr>
          <w:rFonts w:ascii="Times New Roman" w:hAnsi="Times New Roman" w:cs="Times New Roman"/>
          <w:sz w:val="24"/>
          <w:szCs w:val="24"/>
        </w:rPr>
        <w:t>$</w:t>
      </w:r>
      <w:r w:rsidRPr="006075A8" w:rsidR="0060484A">
        <w:rPr>
          <w:rFonts w:ascii="Times New Roman" w:hAnsi="Times New Roman" w:cs="Times New Roman"/>
          <w:sz w:val="24"/>
          <w:szCs w:val="24"/>
        </w:rPr>
        <w:t>4</w:t>
      </w:r>
      <w:r w:rsidRPr="006075A8">
        <w:rPr>
          <w:rFonts w:ascii="Times New Roman" w:hAnsi="Times New Roman" w:cs="Times New Roman"/>
          <w:sz w:val="24"/>
          <w:szCs w:val="24"/>
        </w:rPr>
        <w:t>,</w:t>
      </w:r>
      <w:r w:rsidRPr="006075A8" w:rsidR="0060484A">
        <w:rPr>
          <w:rFonts w:ascii="Times New Roman" w:hAnsi="Times New Roman" w:cs="Times New Roman"/>
          <w:sz w:val="24"/>
          <w:szCs w:val="24"/>
        </w:rPr>
        <w:t>8</w:t>
      </w:r>
      <w:r w:rsidRPr="006075A8">
        <w:rPr>
          <w:rFonts w:ascii="Times New Roman" w:hAnsi="Times New Roman" w:cs="Times New Roman"/>
          <w:sz w:val="24"/>
          <w:szCs w:val="24"/>
        </w:rPr>
        <w:t>00,0</w:t>
      </w:r>
      <w:r w:rsidR="0057765B">
        <w:rPr>
          <w:rFonts w:ascii="Times New Roman" w:hAnsi="Times New Roman" w:cs="Times New Roman"/>
          <w:sz w:val="24"/>
          <w:szCs w:val="24"/>
        </w:rPr>
        <w:t>0</w:t>
      </w:r>
      <w:r w:rsidRPr="006075A8">
        <w:rPr>
          <w:rFonts w:ascii="Times New Roman" w:hAnsi="Times New Roman" w:cs="Times New Roman"/>
          <w:sz w:val="24"/>
          <w:szCs w:val="24"/>
        </w:rPr>
        <w:t>0.</w:t>
      </w:r>
    </w:p>
    <w:p w:rsidR="000F63F1" w:rsidP="000F63F1" w14:paraId="3A8576C2" w14:textId="22BA7DE9">
      <w:pPr>
        <w:rPr>
          <w:rFonts w:ascii="Times New Roman" w:hAnsi="Times New Roman" w:cs="Times New Roman"/>
          <w:bCs/>
          <w:color w:val="000000" w:themeColor="text1"/>
          <w:sz w:val="24"/>
          <w:szCs w:val="24"/>
        </w:rPr>
      </w:pPr>
      <w:r w:rsidRPr="006075A8">
        <w:rPr>
          <w:rFonts w:ascii="Times New Roman" w:hAnsi="Times New Roman" w:cs="Times New Roman"/>
          <w:bCs/>
          <w:color w:val="000000" w:themeColor="text1"/>
          <w:sz w:val="24"/>
          <w:szCs w:val="24"/>
        </w:rPr>
        <w:tab/>
        <w:t>($1</w:t>
      </w:r>
      <w:r w:rsidRPr="006075A8">
        <w:rPr>
          <w:rFonts w:ascii="Times New Roman" w:hAnsi="Times New Roman" w:cs="Times New Roman"/>
          <w:sz w:val="24"/>
          <w:szCs w:val="24"/>
        </w:rPr>
        <w:t xml:space="preserve">,600,000 </w:t>
      </w:r>
      <w:r w:rsidRPr="006075A8">
        <w:rPr>
          <w:rFonts w:ascii="Times New Roman" w:hAnsi="Times New Roman" w:cs="Times New Roman"/>
          <w:bCs/>
          <w:color w:val="000000" w:themeColor="text1"/>
          <w:sz w:val="24"/>
          <w:szCs w:val="24"/>
        </w:rPr>
        <w:t>+ $</w:t>
      </w:r>
      <w:r w:rsidRPr="006075A8">
        <w:rPr>
          <w:rFonts w:ascii="Times New Roman" w:hAnsi="Times New Roman" w:cs="Times New Roman"/>
          <w:sz w:val="24"/>
          <w:szCs w:val="24"/>
        </w:rPr>
        <w:t>3,200,000</w:t>
      </w:r>
      <w:r w:rsidRPr="006075A8">
        <w:rPr>
          <w:rFonts w:ascii="Times New Roman" w:hAnsi="Times New Roman" w:cs="Times New Roman"/>
          <w:bCs/>
          <w:color w:val="000000" w:themeColor="text1"/>
          <w:sz w:val="24"/>
          <w:szCs w:val="24"/>
        </w:rPr>
        <w:t>)</w:t>
      </w:r>
    </w:p>
    <w:p w:rsidR="0071210A" w:rsidRPr="006075A8" w:rsidP="000F63F1" w14:paraId="586CE81A" w14:textId="77777777">
      <w:pPr>
        <w:rPr>
          <w:rFonts w:ascii="Times New Roman" w:hAnsi="Times New Roman" w:cs="Times New Roman"/>
          <w:bCs/>
          <w:color w:val="000000" w:themeColor="text1"/>
          <w:sz w:val="24"/>
          <w:szCs w:val="24"/>
        </w:rPr>
      </w:pPr>
    </w:p>
    <w:p w:rsidR="00CE5B6A" w:rsidP="0071210A" w14:paraId="52FF86A2" w14:textId="0C25FA0F">
      <w:pPr>
        <w:widowControl/>
        <w:ind w:firstLine="720"/>
        <w:rPr>
          <w:rFonts w:ascii="Times New Roman" w:hAnsi="Times New Roman" w:cs="Times New Roman"/>
          <w:sz w:val="24"/>
          <w:szCs w:val="24"/>
        </w:rPr>
      </w:pPr>
      <w:r w:rsidRPr="006075A8">
        <w:rPr>
          <w:rFonts w:ascii="Times New Roman" w:hAnsi="Times New Roman" w:cs="Times New Roman"/>
          <w:sz w:val="24"/>
          <w:szCs w:val="24"/>
        </w:rPr>
        <w:t xml:space="preserve">FTC staff estimates that the non-labor burden incurred by franchisors differs based on the length of the disclosure document, the number produced, and the method of distribution employed by franchisors. FTC staff estimates that the estimated 4,000 sellers of franchise opportunities distribute approximately 100 disclosure documents each annually for a total of 400,000 disclosure documents. FTC staff estimates that 80% of these disclosure documents (320,000) are distributed electronically at a cost of $5 per electronic disclosure. This results in a total estimated $1,600,000 (320,000 × $5) in non-labor costs for electronic disclosure. FTC staff estimates that the remaining 20% of disclosure documents (80,000) are distributed in hard copy at a cost of $40 each for printing and mailing costs. This results in a total estimated non-labor cost burden associated with printing and mailing disclosure documents of $3,200,000 (80,000 × $40). </w:t>
      </w:r>
    </w:p>
    <w:p w:rsidR="0071210A" w:rsidRPr="006075A8" w:rsidP="0071210A" w14:paraId="072C2D88" w14:textId="77777777">
      <w:pPr>
        <w:widowControl/>
        <w:ind w:firstLine="720"/>
        <w:rPr>
          <w:rFonts w:ascii="Times New Roman" w:hAnsi="Times New Roman" w:cs="Times New Roman"/>
          <w:sz w:val="24"/>
          <w:szCs w:val="24"/>
        </w:rPr>
      </w:pPr>
    </w:p>
    <w:p w:rsidR="00EA5CE3" w:rsidRPr="006075A8" w:rsidP="00960973" w14:paraId="0DEE1E9E" w14:textId="77777777">
      <w:pPr>
        <w:pStyle w:val="Heading2"/>
        <w:rPr>
          <w:rFonts w:cs="Times New Roman"/>
          <w:sz w:val="24"/>
          <w:szCs w:val="24"/>
        </w:rPr>
      </w:pPr>
      <w:r w:rsidRPr="006075A8">
        <w:rPr>
          <w:rFonts w:cs="Times New Roman"/>
          <w:sz w:val="24"/>
          <w:szCs w:val="24"/>
        </w:rPr>
        <w:t>14.</w:t>
      </w:r>
      <w:r w:rsidRPr="006075A8">
        <w:rPr>
          <w:rFonts w:cs="Times New Roman"/>
          <w:sz w:val="24"/>
          <w:szCs w:val="24"/>
        </w:rPr>
        <w:tab/>
      </w:r>
      <w:r w:rsidRPr="006075A8" w:rsidR="001556C2">
        <w:rPr>
          <w:rFonts w:cs="Times New Roman"/>
          <w:sz w:val="24"/>
          <w:szCs w:val="24"/>
        </w:rPr>
        <w:t>Estimated Cost to the Federal Government</w:t>
      </w:r>
    </w:p>
    <w:p w:rsidR="00EA5CE3" w:rsidRPr="006075A8" w:rsidP="00960973" w14:paraId="0319538B" w14:textId="77777777">
      <w:pPr>
        <w:rPr>
          <w:rFonts w:ascii="Times New Roman" w:hAnsi="Times New Roman" w:cs="Times New Roman"/>
          <w:sz w:val="24"/>
          <w:szCs w:val="24"/>
        </w:rPr>
      </w:pPr>
    </w:p>
    <w:p w:rsidR="00BC5118" w:rsidRPr="00560053" w:rsidP="00BC5118" w14:paraId="659446C0" w14:textId="60233D94">
      <w:pPr>
        <w:rPr>
          <w:rFonts w:ascii="Times New Roman" w:hAnsi="Times New Roman"/>
          <w:sz w:val="24"/>
          <w:szCs w:val="24"/>
        </w:rPr>
      </w:pPr>
      <w:r w:rsidRPr="006075A8">
        <w:rPr>
          <w:rFonts w:ascii="Times New Roman" w:hAnsi="Times New Roman" w:cs="Times New Roman"/>
          <w:sz w:val="24"/>
          <w:szCs w:val="24"/>
        </w:rPr>
        <w:tab/>
      </w:r>
      <w:r w:rsidRPr="006075A8" w:rsidR="0060484A">
        <w:rPr>
          <w:rFonts w:ascii="Times New Roman" w:hAnsi="Times New Roman" w:cs="Times New Roman"/>
          <w:sz w:val="24"/>
          <w:szCs w:val="24"/>
        </w:rPr>
        <w:t>FTC staff estimates that the annualized cost to the Commission (per year over the 3-year clearance renewal being sought) to administer and enforce the amended Rule will be approximately $</w:t>
      </w:r>
      <w:r w:rsidR="007E48E7">
        <w:rPr>
          <w:rFonts w:ascii="Times New Roman" w:hAnsi="Times New Roman" w:cs="Times New Roman"/>
          <w:sz w:val="24"/>
          <w:szCs w:val="24"/>
        </w:rPr>
        <w:t>536,</w:t>
      </w:r>
      <w:r w:rsidR="0021104E">
        <w:rPr>
          <w:rFonts w:ascii="Times New Roman" w:hAnsi="Times New Roman" w:cs="Times New Roman"/>
          <w:sz w:val="24"/>
          <w:szCs w:val="24"/>
        </w:rPr>
        <w:t>384</w:t>
      </w:r>
      <w:r w:rsidRPr="006075A8" w:rsidR="0060484A">
        <w:rPr>
          <w:rFonts w:ascii="Times New Roman" w:hAnsi="Times New Roman" w:cs="Times New Roman"/>
          <w:sz w:val="24"/>
          <w:szCs w:val="24"/>
        </w:rPr>
        <w:t xml:space="preserve">. </w:t>
      </w:r>
      <w:r w:rsidR="000E6A30">
        <w:rPr>
          <w:rFonts w:ascii="Times New Roman" w:hAnsi="Times New Roman" w:cs="Times New Roman"/>
          <w:sz w:val="24"/>
          <w:szCs w:val="24"/>
        </w:rPr>
        <w:t xml:space="preserve">This represents </w:t>
      </w:r>
      <w:r w:rsidR="00446E8A">
        <w:rPr>
          <w:rFonts w:ascii="Times New Roman" w:hAnsi="Times New Roman" w:cs="Times New Roman"/>
          <w:sz w:val="24"/>
          <w:szCs w:val="24"/>
        </w:rPr>
        <w:t>half</w:t>
      </w:r>
      <w:r w:rsidR="00550B7B">
        <w:rPr>
          <w:rFonts w:ascii="Times New Roman" w:hAnsi="Times New Roman" w:cs="Times New Roman"/>
          <w:sz w:val="24"/>
          <w:szCs w:val="24"/>
        </w:rPr>
        <w:t xml:space="preserve"> of </w:t>
      </w:r>
      <w:r w:rsidR="003148C2">
        <w:rPr>
          <w:rFonts w:ascii="Times New Roman" w:hAnsi="Times New Roman" w:cs="Times New Roman"/>
          <w:sz w:val="24"/>
          <w:szCs w:val="24"/>
        </w:rPr>
        <w:t xml:space="preserve">a work year for </w:t>
      </w:r>
      <w:r w:rsidR="00EB4953">
        <w:rPr>
          <w:rFonts w:ascii="Times New Roman" w:hAnsi="Times New Roman" w:cs="Times New Roman"/>
          <w:sz w:val="24"/>
          <w:szCs w:val="24"/>
        </w:rPr>
        <w:t>four</w:t>
      </w:r>
      <w:r w:rsidR="000E6A30">
        <w:rPr>
          <w:rFonts w:ascii="Times New Roman" w:hAnsi="Times New Roman" w:cs="Times New Roman"/>
          <w:sz w:val="24"/>
          <w:szCs w:val="24"/>
        </w:rPr>
        <w:t xml:space="preserve"> attorneys at GS-15, step</w:t>
      </w:r>
      <w:r w:rsidR="00E4166F">
        <w:rPr>
          <w:rFonts w:ascii="Times New Roman" w:hAnsi="Times New Roman" w:cs="Times New Roman"/>
          <w:sz w:val="24"/>
          <w:szCs w:val="24"/>
        </w:rPr>
        <w:t>-</w:t>
      </w:r>
      <w:r w:rsidR="000E6A30">
        <w:rPr>
          <w:rFonts w:ascii="Times New Roman" w:hAnsi="Times New Roman" w:cs="Times New Roman"/>
          <w:sz w:val="24"/>
          <w:szCs w:val="24"/>
        </w:rPr>
        <w:t>10</w:t>
      </w:r>
      <w:r w:rsidR="00E4166F">
        <w:rPr>
          <w:rFonts w:ascii="Times New Roman" w:hAnsi="Times New Roman" w:cs="Times New Roman"/>
          <w:sz w:val="24"/>
          <w:szCs w:val="24"/>
        </w:rPr>
        <w:t>, under the locality pay scale for Washington, DC</w:t>
      </w:r>
      <w:r w:rsidR="00FC36F0">
        <w:rPr>
          <w:rFonts w:ascii="Times New Roman" w:hAnsi="Times New Roman" w:cs="Times New Roman"/>
          <w:sz w:val="24"/>
          <w:szCs w:val="24"/>
        </w:rPr>
        <w:t xml:space="preserve">, and includes employee benefits. </w:t>
      </w:r>
      <w:r w:rsidRPr="00C22C74">
        <w:rPr>
          <w:rFonts w:ascii="Times New Roman" w:hAnsi="Times New Roman"/>
          <w:sz w:val="24"/>
          <w:szCs w:val="24"/>
        </w:rPr>
        <w:t xml:space="preserve">The wage rate </w:t>
      </w:r>
      <w:r w:rsidR="00C4383B">
        <w:rPr>
          <w:rFonts w:ascii="Times New Roman" w:hAnsi="Times New Roman"/>
          <w:sz w:val="24"/>
          <w:szCs w:val="24"/>
        </w:rPr>
        <w:t>is</w:t>
      </w:r>
      <w:r w:rsidRPr="00C22C74">
        <w:rPr>
          <w:rFonts w:ascii="Times New Roman" w:hAnsi="Times New Roman"/>
          <w:sz w:val="24"/>
          <w:szCs w:val="24"/>
        </w:rPr>
        <w:t xml:space="preserve"> multiplied by 1.36 based on the FTC’s average benefits rate.</w:t>
      </w:r>
    </w:p>
    <w:p w:rsidR="00CF45AF" w:rsidRPr="006075A8" w:rsidP="00960973" w14:paraId="3EACE75D" w14:textId="77777777">
      <w:pPr>
        <w:rPr>
          <w:rFonts w:ascii="Times New Roman" w:hAnsi="Times New Roman" w:cs="Times New Roman"/>
          <w:sz w:val="24"/>
          <w:szCs w:val="24"/>
        </w:rPr>
      </w:pPr>
    </w:p>
    <w:p w:rsidR="00EA5CE3" w:rsidRPr="006075A8" w:rsidP="00960973" w14:paraId="3D0BA72C" w14:textId="77777777">
      <w:pPr>
        <w:pStyle w:val="Heading2"/>
        <w:rPr>
          <w:rFonts w:cs="Times New Roman"/>
          <w:sz w:val="24"/>
          <w:szCs w:val="24"/>
        </w:rPr>
      </w:pPr>
      <w:r w:rsidRPr="006075A8">
        <w:rPr>
          <w:rFonts w:cs="Times New Roman"/>
          <w:sz w:val="24"/>
          <w:szCs w:val="24"/>
        </w:rPr>
        <w:t>15.</w:t>
      </w:r>
      <w:r w:rsidRPr="006075A8">
        <w:rPr>
          <w:rFonts w:cs="Times New Roman"/>
          <w:sz w:val="24"/>
          <w:szCs w:val="24"/>
        </w:rPr>
        <w:tab/>
      </w:r>
      <w:r w:rsidRPr="006075A8" w:rsidR="001556C2">
        <w:rPr>
          <w:rFonts w:cs="Times New Roman"/>
          <w:sz w:val="24"/>
          <w:szCs w:val="24"/>
        </w:rPr>
        <w:t>Program Changes or Adjustments</w:t>
      </w:r>
    </w:p>
    <w:p w:rsidR="00EA5CE3" w:rsidRPr="006075A8" w:rsidP="00960973" w14:paraId="03191170" w14:textId="77777777">
      <w:pPr>
        <w:rPr>
          <w:rFonts w:ascii="Times New Roman" w:hAnsi="Times New Roman" w:cs="Times New Roman"/>
          <w:sz w:val="24"/>
          <w:szCs w:val="24"/>
        </w:rPr>
      </w:pPr>
    </w:p>
    <w:p w:rsidR="00CF45AF" w:rsidRPr="006075A8" w:rsidP="00960973" w14:paraId="21786184" w14:textId="097C7667">
      <w:pPr>
        <w:rPr>
          <w:rFonts w:ascii="Times New Roman" w:hAnsi="Times New Roman" w:cs="Times New Roman"/>
          <w:sz w:val="24"/>
          <w:szCs w:val="24"/>
        </w:rPr>
      </w:pPr>
      <w:r w:rsidRPr="006075A8">
        <w:rPr>
          <w:rFonts w:ascii="Times New Roman" w:hAnsi="Times New Roman" w:cs="Times New Roman"/>
          <w:sz w:val="24"/>
          <w:szCs w:val="24"/>
        </w:rPr>
        <w:tab/>
      </w:r>
      <w:r w:rsidRPr="006075A8" w:rsidR="00804F34">
        <w:rPr>
          <w:rFonts w:ascii="Times New Roman" w:hAnsi="Times New Roman" w:cs="Times New Roman"/>
          <w:sz w:val="24"/>
          <w:szCs w:val="24"/>
        </w:rPr>
        <w:t xml:space="preserve">There are no program changes. The differences in </w:t>
      </w:r>
      <w:r w:rsidRPr="006075A8" w:rsidR="00AF26AB">
        <w:rPr>
          <w:rFonts w:ascii="Times New Roman" w:hAnsi="Times New Roman" w:cs="Times New Roman"/>
          <w:sz w:val="24"/>
          <w:szCs w:val="24"/>
        </w:rPr>
        <w:t xml:space="preserve">labor cost </w:t>
      </w:r>
      <w:r w:rsidRPr="006075A8" w:rsidR="00804F34">
        <w:rPr>
          <w:rFonts w:ascii="Times New Roman" w:hAnsi="Times New Roman" w:cs="Times New Roman"/>
          <w:sz w:val="24"/>
          <w:szCs w:val="24"/>
        </w:rPr>
        <w:t>estimates from the prior clearance reflect updates in the hourly costs associated with compliance with the Rules.</w:t>
      </w:r>
    </w:p>
    <w:p w:rsidR="00AD7F02" w:rsidRPr="006075A8" w:rsidP="00960973" w14:paraId="732CD11C" w14:textId="77777777">
      <w:pPr>
        <w:rPr>
          <w:rFonts w:ascii="Times New Roman" w:hAnsi="Times New Roman" w:cs="Times New Roman"/>
          <w:sz w:val="24"/>
          <w:szCs w:val="24"/>
        </w:rPr>
      </w:pPr>
    </w:p>
    <w:p w:rsidR="00A56D39" w:rsidRPr="006075A8" w:rsidP="00A56D39" w14:paraId="319BE94B" w14:textId="77777777">
      <w:pPr>
        <w:rPr>
          <w:rFonts w:ascii="Times New Roman" w:hAnsi="Times New Roman" w:cs="Times New Roman"/>
          <w:b/>
          <w:sz w:val="24"/>
          <w:szCs w:val="24"/>
        </w:rPr>
      </w:pPr>
      <w:r w:rsidRPr="006075A8">
        <w:rPr>
          <w:rFonts w:ascii="Times New Roman" w:hAnsi="Times New Roman" w:cs="Times New Roman"/>
          <w:b/>
          <w:sz w:val="24"/>
          <w:szCs w:val="24"/>
        </w:rPr>
        <w:t>16.</w:t>
      </w:r>
      <w:r w:rsidRPr="006075A8">
        <w:rPr>
          <w:rFonts w:ascii="Times New Roman" w:hAnsi="Times New Roman" w:cs="Times New Roman"/>
          <w:b/>
          <w:sz w:val="24"/>
          <w:szCs w:val="24"/>
        </w:rPr>
        <w:tab/>
      </w:r>
      <w:r w:rsidRPr="006075A8" w:rsidR="001556C2">
        <w:rPr>
          <w:rFonts w:ascii="Times New Roman" w:hAnsi="Times New Roman" w:cs="Times New Roman"/>
          <w:b/>
          <w:sz w:val="24"/>
          <w:szCs w:val="24"/>
        </w:rPr>
        <w:t>Plans for Tabulation and Publication</w:t>
      </w:r>
    </w:p>
    <w:p w:rsidR="00A56D39" w:rsidRPr="006075A8" w:rsidP="00A56D39" w14:paraId="6956646F" w14:textId="77777777">
      <w:pPr>
        <w:rPr>
          <w:rFonts w:ascii="Times New Roman" w:hAnsi="Times New Roman" w:cs="Times New Roman"/>
          <w:b/>
          <w:sz w:val="24"/>
          <w:szCs w:val="24"/>
        </w:rPr>
      </w:pPr>
    </w:p>
    <w:p w:rsidR="00A56D39" w:rsidRPr="006075A8" w:rsidP="00A56D39" w14:paraId="726B23BC" w14:textId="77777777">
      <w:pPr>
        <w:rPr>
          <w:rFonts w:ascii="Times New Roman" w:hAnsi="Times New Roman" w:cs="Times New Roman"/>
          <w:sz w:val="24"/>
          <w:szCs w:val="24"/>
        </w:rPr>
      </w:pPr>
      <w:r w:rsidRPr="006075A8">
        <w:rPr>
          <w:rFonts w:ascii="Times New Roman" w:hAnsi="Times New Roman" w:cs="Times New Roman"/>
          <w:sz w:val="24"/>
          <w:szCs w:val="24"/>
        </w:rPr>
        <w:tab/>
        <w:t>There are no plans to publish any information.</w:t>
      </w:r>
    </w:p>
    <w:p w:rsidR="00A56D39" w:rsidRPr="006075A8" w:rsidP="00A56D39" w14:paraId="6F243E0E" w14:textId="77777777">
      <w:pPr>
        <w:rPr>
          <w:rFonts w:ascii="Times New Roman" w:hAnsi="Times New Roman" w:cs="Times New Roman"/>
          <w:b/>
          <w:sz w:val="24"/>
          <w:szCs w:val="24"/>
        </w:rPr>
      </w:pPr>
    </w:p>
    <w:p w:rsidR="000B2D02" w:rsidRPr="006075A8" w:rsidP="00A56D39" w14:paraId="1B2E406F" w14:textId="3257D8C8">
      <w:pPr>
        <w:rPr>
          <w:rFonts w:ascii="Times New Roman" w:hAnsi="Times New Roman" w:cs="Times New Roman"/>
          <w:b/>
          <w:bCs/>
          <w:sz w:val="24"/>
          <w:szCs w:val="24"/>
        </w:rPr>
      </w:pPr>
      <w:r w:rsidRPr="006075A8">
        <w:rPr>
          <w:rFonts w:ascii="Times New Roman" w:hAnsi="Times New Roman" w:cs="Times New Roman"/>
          <w:b/>
          <w:bCs/>
          <w:sz w:val="24"/>
          <w:szCs w:val="24"/>
        </w:rPr>
        <w:t xml:space="preserve">17. </w:t>
      </w:r>
      <w:r w:rsidRPr="006075A8">
        <w:rPr>
          <w:rFonts w:ascii="Times New Roman" w:hAnsi="Times New Roman" w:cs="Times New Roman"/>
          <w:b/>
          <w:bCs/>
          <w:sz w:val="24"/>
          <w:szCs w:val="24"/>
        </w:rPr>
        <w:tab/>
        <w:t xml:space="preserve">Requested Permission Not to Display the Expiration Date for OMB Approval </w:t>
      </w:r>
    </w:p>
    <w:p w:rsidR="000B2D02" w:rsidRPr="006075A8" w:rsidP="00960973" w14:paraId="4985B05C" w14:textId="77777777">
      <w:pPr>
        <w:pStyle w:val="Default"/>
      </w:pPr>
    </w:p>
    <w:p w:rsidR="008B72B4" w:rsidP="00C4383B" w14:paraId="6D1D3FC7" w14:textId="5B972C19">
      <w:pPr>
        <w:pStyle w:val="Default"/>
        <w:ind w:firstLine="720"/>
      </w:pPr>
      <w:r w:rsidRPr="00C22C74">
        <w:t>The OMB control number and expiration date associated with this PRA submission will be displayed on the Federal government’s electronic PRA docket at www.reginfo.gov. The OMB control numbers for current information collections is also found at 16 C.F.R. § 1.101. There are no required forms or other documents upon which display of the control number and expiration date would be appropriate.</w:t>
      </w:r>
    </w:p>
    <w:p w:rsidR="00CF45AF" w:rsidRPr="006075A8" w:rsidP="00960973" w14:paraId="2AD2DEF3" w14:textId="77777777">
      <w:pPr>
        <w:pStyle w:val="Default"/>
      </w:pPr>
    </w:p>
    <w:p w:rsidR="000B2D02" w:rsidRPr="006075A8" w:rsidP="00960973" w14:paraId="0BAE4EE6" w14:textId="6CC8AA1F">
      <w:pPr>
        <w:pStyle w:val="Default"/>
      </w:pPr>
      <w:r w:rsidRPr="006075A8">
        <w:rPr>
          <w:b/>
          <w:bCs/>
        </w:rPr>
        <w:t>18.</w:t>
      </w:r>
      <w:r w:rsidRPr="006075A8">
        <w:rPr>
          <w:b/>
          <w:bCs/>
        </w:rPr>
        <w:tab/>
        <w:t xml:space="preserve">Exceptions to the “Certification for Paperwork Reduction Act Submissions” </w:t>
      </w:r>
    </w:p>
    <w:p w:rsidR="000B2D02" w:rsidRPr="006075A8" w:rsidP="00960973" w14:paraId="1E242166" w14:textId="77777777">
      <w:pPr>
        <w:rPr>
          <w:rFonts w:ascii="Times New Roman" w:hAnsi="Times New Roman" w:cs="Times New Roman"/>
          <w:sz w:val="24"/>
          <w:szCs w:val="24"/>
        </w:rPr>
      </w:pPr>
    </w:p>
    <w:p w:rsidR="008213C8" w:rsidRPr="00560053" w:rsidP="008213C8" w14:paraId="34D9E340" w14:textId="5E723F96">
      <w:pPr>
        <w:ind w:firstLine="720"/>
        <w:rPr>
          <w:rFonts w:ascii="Times New Roman" w:hAnsi="Times New Roman"/>
          <w:sz w:val="24"/>
          <w:szCs w:val="24"/>
        </w:rPr>
      </w:pPr>
      <w:r w:rsidRPr="00C22C74">
        <w:rPr>
          <w:rFonts w:ascii="Times New Roman" w:hAnsi="Times New Roman" w:cs="Times New Roman"/>
          <w:sz w:val="24"/>
          <w:szCs w:val="24"/>
        </w:rPr>
        <w:t>The Commission certifies that the collection of information encompassed by this request complies with 5 C.F.R. § 1320.9 and the related provisions of 5 C.F.R. § 1320.8(b)(3). There is no certification for the use of effective and efficient statistical survey methodology pursuant to 5 C.F.R. § 1320.9(i) because that is not applicable to this collection.</w:t>
      </w:r>
    </w:p>
    <w:p w:rsidR="00964B14" w:rsidRPr="006075A8" w:rsidP="008213C8" w14:paraId="059D8F81" w14:textId="11797462">
      <w:pPr>
        <w:ind w:firstLine="720"/>
        <w:rPr>
          <w:rFonts w:ascii="Times New Roman" w:hAnsi="Times New Roman" w:cs="Times New Roman"/>
          <w:sz w:val="24"/>
          <w:szCs w:val="24"/>
        </w:rPr>
      </w:pPr>
    </w:p>
    <w:sectPr w:rsidSect="00B70863">
      <w:footerReference w:type="default" r:id="rId6"/>
      <w:pgSz w:w="12240" w:h="15840" w:code="1"/>
      <w:pgMar w:top="1440" w:right="1440" w:bottom="1440" w:left="1440" w:header="0" w:footer="720"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Times New Roman" w:hAnsi="Times New Roman"/>
        <w:sz w:val="24"/>
        <w:szCs w:val="24"/>
      </w:rPr>
      <w:id w:val="-519248768"/>
      <w:docPartObj>
        <w:docPartGallery w:val="Page Numbers (Bottom of Page)"/>
        <w:docPartUnique/>
      </w:docPartObj>
    </w:sdtPr>
    <w:sdtEndPr>
      <w:rPr>
        <w:noProof/>
      </w:rPr>
    </w:sdtEndPr>
    <w:sdtContent>
      <w:p w:rsidR="00964B14" w:rsidRPr="00964B14" w14:paraId="516F8BF8" w14:textId="3354CDB0">
        <w:pPr>
          <w:pStyle w:val="Footer"/>
          <w:jc w:val="center"/>
          <w:rPr>
            <w:rFonts w:ascii="Times New Roman" w:hAnsi="Times New Roman"/>
            <w:sz w:val="24"/>
          </w:rPr>
        </w:pPr>
        <w:r w:rsidRPr="00964B14">
          <w:rPr>
            <w:rFonts w:ascii="Times New Roman" w:hAnsi="Times New Roman"/>
            <w:sz w:val="24"/>
          </w:rPr>
          <w:fldChar w:fldCharType="begin"/>
        </w:r>
        <w:r w:rsidRPr="00964B14">
          <w:rPr>
            <w:rFonts w:ascii="Times New Roman" w:hAnsi="Times New Roman"/>
            <w:sz w:val="24"/>
          </w:rPr>
          <w:instrText xml:space="preserve"> PAGE   \* MERGEFORMAT </w:instrText>
        </w:r>
        <w:r w:rsidRPr="00964B14">
          <w:rPr>
            <w:rFonts w:ascii="Times New Roman" w:hAnsi="Times New Roman"/>
            <w:sz w:val="24"/>
          </w:rPr>
          <w:fldChar w:fldCharType="separate"/>
        </w:r>
        <w:r w:rsidR="004A4A04">
          <w:rPr>
            <w:rFonts w:ascii="Times New Roman" w:hAnsi="Times New Roman"/>
            <w:noProof/>
            <w:sz w:val="24"/>
          </w:rPr>
          <w:t>5</w:t>
        </w:r>
        <w:r w:rsidRPr="00964B14">
          <w:rPr>
            <w:rFonts w:ascii="Times New Roman" w:hAnsi="Times New Roman"/>
            <w:noProof/>
            <w:sz w:val="24"/>
          </w:rPr>
          <w:fldChar w:fldCharType="end"/>
        </w:r>
      </w:p>
    </w:sdtContent>
  </w:sdt>
  <w:p w:rsidR="00EA5CE3" w:rsidRPr="00964B14" w14:paraId="3F599A76" w14:textId="77777777">
    <w:pPr>
      <w:spacing w:line="14" w:lineRule="auto"/>
      <w:rPr>
        <w:rFonts w:ascii="Times New Roman" w:hAnsi="Times New Roman"/>
        <w:sz w:val="24"/>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CB5963" w14:paraId="7428F950" w14:textId="77777777">
      <w:r>
        <w:separator/>
      </w:r>
    </w:p>
  </w:footnote>
  <w:footnote w:type="continuationSeparator" w:id="1">
    <w:p w:rsidR="00CB5963" w14:paraId="64D5FFB8" w14:textId="77777777">
      <w:r>
        <w:continuationSeparator/>
      </w:r>
    </w:p>
  </w:footnote>
  <w:footnote w:type="continuationNotice" w:id="2">
    <w:p w:rsidR="00CB5963" w14:paraId="67456EC8" w14:textId="77777777"/>
  </w:footnote>
  <w:footnote w:id="3">
    <w:p w:rsidR="001D350C" w14:paraId="35AFA60F" w14:textId="7106A007">
      <w:pPr>
        <w:pStyle w:val="FootnoteText"/>
      </w:pPr>
      <w:r>
        <w:rPr>
          <w:rStyle w:val="FootnoteReference"/>
        </w:rPr>
        <w:footnoteRef/>
      </w:r>
      <w:r>
        <w:t xml:space="preserve"> </w:t>
      </w:r>
      <w:r w:rsidRPr="008E194C" w:rsidR="008E194C">
        <w:t>72 Fed. Reg. 15,444 (Mar. 30, 2007).</w:t>
      </w:r>
    </w:p>
  </w:footnote>
  <w:footnote w:id="4">
    <w:p w:rsidR="008E194C" w14:paraId="1D0BA49C" w14:textId="0064999D">
      <w:pPr>
        <w:pStyle w:val="FootnoteText"/>
      </w:pPr>
      <w:r>
        <w:rPr>
          <w:rStyle w:val="FootnoteReference"/>
        </w:rPr>
        <w:footnoteRef/>
      </w:r>
      <w:r>
        <w:t xml:space="preserve"> </w:t>
      </w:r>
      <w:r w:rsidRPr="008E194C">
        <w:t>The disclosure and recordkeeping requirements applicable to business opportunity ventures, which were covered by the Franchise Rule prior to July 1, 2008, are separately set forth in 16 C.F.R. Part 437, and are covered under OMB Control Number 3084-0142.</w:t>
      </w:r>
    </w:p>
  </w:footnote>
  <w:footnote w:id="5">
    <w:p w:rsidR="008E194C" w14:paraId="6C5A0A08" w14:textId="3DDCCEF4">
      <w:pPr>
        <w:pStyle w:val="FootnoteText"/>
      </w:pPr>
      <w:r>
        <w:rPr>
          <w:rStyle w:val="FootnoteReference"/>
        </w:rPr>
        <w:footnoteRef/>
      </w:r>
      <w:r>
        <w:t xml:space="preserve"> </w:t>
      </w:r>
      <w:r w:rsidRPr="00420E27" w:rsidR="00420E27">
        <w:t>Before July 1, 2008, when the amended Rule took effect, approximately 95 percent of all franchisors used the UFOC disclosure format. As required by the amended Rule, and permitted by all state franchise laws, franchisors must now use the Franchise Disclosure Document (“FDD”) format, which, in turn, has incorporated UFOC’s requirements</w:t>
      </w:r>
      <w:r w:rsidR="00A457BE">
        <w:t>.</w:t>
      </w:r>
    </w:p>
  </w:footnote>
  <w:footnote w:id="6">
    <w:p w:rsidR="009C58C1" w14:paraId="1AA8AC13" w14:textId="023C1082">
      <w:pPr>
        <w:pStyle w:val="FootnoteText"/>
      </w:pPr>
      <w:r>
        <w:rPr>
          <w:rStyle w:val="FootnoteReference"/>
        </w:rPr>
        <w:footnoteRef/>
      </w:r>
      <w:r>
        <w:t xml:space="preserve"> </w:t>
      </w:r>
      <w:r w:rsidRPr="009C58C1">
        <w:t xml:space="preserve">The states with franchise disclosure laws </w:t>
      </w:r>
      <w:r w:rsidRPr="009C58C1">
        <w:t>similar to</w:t>
      </w:r>
      <w:r w:rsidRPr="009C58C1">
        <w:t xml:space="preserve"> the Rule previously required the use of the UFOC disclosure </w:t>
      </w:r>
      <w:r w:rsidRPr="009C58C1">
        <w:t>format, and</w:t>
      </w:r>
      <w:r w:rsidRPr="009C58C1">
        <w:t xml:space="preserve"> would not accept disclosures in the format prescribed by the original Franchise Rule. The Commission permitted the use of the UFOC while the original Franchise Rule remained in effect, in lieu of the Rule’s disclosure format. Consequently, there was never any requirement that franchisors prepare one disclosure document for federal use, and another for use in franchise registration states.</w:t>
      </w:r>
    </w:p>
    <w:p w:rsidR="009C58C1" w14:paraId="090D9A32" w14:textId="77777777">
      <w:pPr>
        <w:pStyle w:val="FootnoteText"/>
      </w:pPr>
    </w:p>
  </w:footnote>
  <w:footnote w:id="7">
    <w:p w:rsidR="00F24BF4" w14:paraId="248B8DBB" w14:textId="77D3A234">
      <w:pPr>
        <w:pStyle w:val="FootnoteText"/>
      </w:pPr>
      <w:r>
        <w:rPr>
          <w:rStyle w:val="FootnoteReference"/>
        </w:rPr>
        <w:footnoteRef/>
      </w:r>
      <w:r>
        <w:t xml:space="preserve"> </w:t>
      </w:r>
      <w:r w:rsidRPr="004E226F">
        <w:t>This estimate is updated from the prior estimate of $</w:t>
      </w:r>
      <w:r w:rsidR="00F239A0">
        <w:t>8,400,040</w:t>
      </w:r>
      <w:r w:rsidRPr="004E226F">
        <w:t xml:space="preserve"> that was included in the 60-</w:t>
      </w:r>
      <w:r>
        <w:t>d</w:t>
      </w:r>
      <w:r w:rsidRPr="004E226F">
        <w:t>ay Federal Register notice</w:t>
      </w:r>
      <w:r>
        <w:t>.</w:t>
      </w:r>
      <w:r w:rsidR="00F239A0">
        <w:t xml:space="preserve"> </w:t>
      </w:r>
      <w:r>
        <w:t>The updated estimate</w:t>
      </w:r>
      <w:r w:rsidRPr="004E226F">
        <w:t xml:space="preserve"> is based on more current information released on May 15, 2026 from the Bureau of Labor Statistics, Occupational Employment and Wages – May 2025, Table 1: National Employment and Wage Data from the Occupational Employment and Wage Statistics Survey by Occupation, May 2025, </w:t>
      </w:r>
      <w:r w:rsidRPr="00A543B7">
        <w:t>https://www.bls.gov/news.release/ocwage.htm</w:t>
      </w:r>
      <w:r w:rsidRPr="004E226F">
        <w:t>.</w:t>
      </w:r>
    </w:p>
  </w:footnote>
  <w:footnote w:id="8">
    <w:p w:rsidR="007E3E11" w:rsidRPr="00E450D6" w:rsidP="007E3E11" w14:paraId="109D4305" w14:textId="6992856C">
      <w:pPr>
        <w:pStyle w:val="FootnoteText"/>
        <w:rPr>
          <w:color w:val="000000" w:themeColor="text1"/>
        </w:rPr>
      </w:pPr>
      <w:r w:rsidRPr="00E450D6">
        <w:rPr>
          <w:rStyle w:val="FootnoteReference"/>
          <w:color w:val="000000" w:themeColor="text1"/>
        </w:rPr>
        <w:footnoteRef/>
      </w:r>
      <w:r w:rsidRPr="00E450D6">
        <w:rPr>
          <w:color w:val="000000" w:themeColor="text1"/>
        </w:rPr>
        <w:t xml:space="preserve">  Some franchise offerings may qualify for the exemptions listed in 16 CFR 436.8. Thus, this estimate may overestimate the number of franchisors subject </w:t>
      </w:r>
      <w:r>
        <w:rPr>
          <w:color w:val="000000" w:themeColor="text1"/>
        </w:rPr>
        <w:t>to t</w:t>
      </w:r>
      <w:r w:rsidRPr="00E450D6">
        <w:rPr>
          <w:color w:val="000000" w:themeColor="text1"/>
        </w:rPr>
        <w:t xml:space="preserve">he Rule. </w:t>
      </w:r>
    </w:p>
  </w:footnote>
  <w:footnote w:id="9">
    <w:p w:rsidR="00B95FF7" w:rsidRPr="00E450D6" w:rsidP="00B95FF7" w14:paraId="5A0FF8C8" w14:textId="77777777">
      <w:pPr>
        <w:pStyle w:val="FootnoteText"/>
        <w:rPr>
          <w:color w:val="000000" w:themeColor="text1"/>
        </w:rPr>
      </w:pPr>
      <w:r w:rsidRPr="00E450D6">
        <w:rPr>
          <w:rStyle w:val="FootnoteReference"/>
          <w:color w:val="000000" w:themeColor="text1"/>
        </w:rPr>
        <w:footnoteRef/>
      </w:r>
      <w:r w:rsidRPr="00E450D6">
        <w:rPr>
          <w:color w:val="000000" w:themeColor="text1"/>
        </w:rPr>
        <w:t xml:space="preserve"> It is staff’s understanding that franchisors often hire outside counsel to prepare the required disclosures, and outside counsel is typically compensated at a higher rate than in-house attorneys.</w:t>
      </w:r>
    </w:p>
  </w:footnote>
  <w:footnote w:id="10">
    <w:p w:rsidR="00B95FF7" w:rsidRPr="00E450D6" w:rsidP="00B95FF7" w14:paraId="31C7EB2C" w14:textId="4AEF3A31">
      <w:pPr>
        <w:pStyle w:val="FootnoteText"/>
        <w:rPr>
          <w:color w:val="000000" w:themeColor="text1"/>
        </w:rPr>
      </w:pPr>
      <w:r w:rsidRPr="00E450D6">
        <w:rPr>
          <w:rStyle w:val="FootnoteReference"/>
          <w:color w:val="000000" w:themeColor="text1"/>
        </w:rPr>
        <w:footnoteRef/>
      </w:r>
      <w:r w:rsidRPr="00E450D6">
        <w:rPr>
          <w:color w:val="000000" w:themeColor="text1"/>
        </w:rPr>
        <w:t xml:space="preserve">  </w:t>
      </w:r>
      <w:r>
        <w:rPr>
          <w:color w:val="000000" w:themeColor="text1"/>
        </w:rPr>
        <w:t>Bureau of Labor Statistics</w:t>
      </w:r>
      <w:r w:rsidRPr="00E450D6">
        <w:rPr>
          <w:color w:val="000000" w:themeColor="text1"/>
        </w:rPr>
        <w:t xml:space="preserve">, </w:t>
      </w:r>
      <w:r w:rsidRPr="00F01544">
        <w:rPr>
          <w:color w:val="000000" w:themeColor="text1"/>
        </w:rPr>
        <w:t>Occupational Employment and Wages</w:t>
      </w:r>
      <w:r>
        <w:rPr>
          <w:color w:val="000000" w:themeColor="text1"/>
        </w:rPr>
        <w:t xml:space="preserve"> </w:t>
      </w:r>
      <w:r w:rsidRPr="00F01544">
        <w:rPr>
          <w:color w:val="000000" w:themeColor="text1"/>
        </w:rPr>
        <w:t>–</w:t>
      </w:r>
      <w:r>
        <w:rPr>
          <w:color w:val="000000" w:themeColor="text1"/>
        </w:rPr>
        <w:t xml:space="preserve"> </w:t>
      </w:r>
      <w:r w:rsidRPr="00F01544">
        <w:rPr>
          <w:color w:val="000000" w:themeColor="text1"/>
        </w:rPr>
        <w:t>May 202</w:t>
      </w:r>
      <w:r w:rsidR="00E119E6">
        <w:rPr>
          <w:color w:val="000000" w:themeColor="text1"/>
        </w:rPr>
        <w:t>5</w:t>
      </w:r>
      <w:r w:rsidRPr="00F01544">
        <w:rPr>
          <w:color w:val="000000" w:themeColor="text1"/>
        </w:rPr>
        <w:t>,</w:t>
      </w:r>
      <w:r>
        <w:rPr>
          <w:color w:val="000000" w:themeColor="text1"/>
        </w:rPr>
        <w:t xml:space="preserve"> </w:t>
      </w:r>
      <w:r w:rsidRPr="00F01544">
        <w:rPr>
          <w:color w:val="000000" w:themeColor="text1"/>
        </w:rPr>
        <w:t>Table 1</w:t>
      </w:r>
      <w:r>
        <w:rPr>
          <w:color w:val="000000" w:themeColor="text1"/>
        </w:rPr>
        <w:t>:</w:t>
      </w:r>
      <w:r w:rsidRPr="00F01544">
        <w:rPr>
          <w:color w:val="000000" w:themeColor="text1"/>
        </w:rPr>
        <w:t xml:space="preserve"> National </w:t>
      </w:r>
      <w:r>
        <w:rPr>
          <w:color w:val="000000" w:themeColor="text1"/>
        </w:rPr>
        <w:t>E</w:t>
      </w:r>
      <w:r w:rsidRPr="00F01544">
        <w:rPr>
          <w:color w:val="000000" w:themeColor="text1"/>
        </w:rPr>
        <w:t xml:space="preserve">mployment and </w:t>
      </w:r>
      <w:r>
        <w:rPr>
          <w:color w:val="000000" w:themeColor="text1"/>
        </w:rPr>
        <w:t>W</w:t>
      </w:r>
      <w:r w:rsidRPr="00F01544">
        <w:rPr>
          <w:color w:val="000000" w:themeColor="text1"/>
        </w:rPr>
        <w:t xml:space="preserve">age </w:t>
      </w:r>
      <w:r>
        <w:rPr>
          <w:color w:val="000000" w:themeColor="text1"/>
        </w:rPr>
        <w:t>D</w:t>
      </w:r>
      <w:r w:rsidRPr="00F01544">
        <w:rPr>
          <w:color w:val="000000" w:themeColor="text1"/>
        </w:rPr>
        <w:t xml:space="preserve">ata from the Occupational Employment Statistics </w:t>
      </w:r>
      <w:r>
        <w:rPr>
          <w:color w:val="000000" w:themeColor="text1"/>
        </w:rPr>
        <w:t>S</w:t>
      </w:r>
      <w:r w:rsidRPr="00F01544">
        <w:rPr>
          <w:color w:val="000000" w:themeColor="text1"/>
        </w:rPr>
        <w:t xml:space="preserve">urvey by </w:t>
      </w:r>
      <w:r>
        <w:rPr>
          <w:color w:val="000000" w:themeColor="text1"/>
        </w:rPr>
        <w:t>O</w:t>
      </w:r>
      <w:r w:rsidRPr="00F01544">
        <w:rPr>
          <w:color w:val="000000" w:themeColor="text1"/>
        </w:rPr>
        <w:t>ccupation, May 202</w:t>
      </w:r>
      <w:r w:rsidR="00E119E6">
        <w:rPr>
          <w:color w:val="000000" w:themeColor="text1"/>
        </w:rPr>
        <w:t>5</w:t>
      </w:r>
      <w:r>
        <w:rPr>
          <w:color w:val="000000" w:themeColor="text1"/>
        </w:rPr>
        <w:t xml:space="preserve">, </w:t>
      </w:r>
      <w:r w:rsidRPr="00F01544">
        <w:rPr>
          <w:color w:val="000000" w:themeColor="text1"/>
        </w:rPr>
        <w:t>https://www.bls.gov/news.release/ocwage.htm</w:t>
      </w:r>
      <w:r>
        <w:rPr>
          <w:color w:val="000000" w:themeColor="text1"/>
        </w:rPr>
        <w:t xml:space="preserve"> (b</w:t>
      </w:r>
      <w:r w:rsidRPr="00E450D6">
        <w:rPr>
          <w:color w:val="000000" w:themeColor="text1"/>
        </w:rPr>
        <w:t xml:space="preserve">ased on </w:t>
      </w:r>
      <w:r>
        <w:rPr>
          <w:color w:val="000000" w:themeColor="text1"/>
        </w:rPr>
        <w:t xml:space="preserve">hourly mean wage </w:t>
      </w:r>
      <w:r w:rsidRPr="00E450D6">
        <w:rPr>
          <w:color w:val="000000" w:themeColor="text1"/>
        </w:rPr>
        <w:t xml:space="preserve">for </w:t>
      </w:r>
      <w:r>
        <w:rPr>
          <w:color w:val="000000" w:themeColor="text1"/>
        </w:rPr>
        <w:t>f</w:t>
      </w:r>
      <w:r w:rsidRPr="00E450D6">
        <w:rPr>
          <w:color w:val="000000" w:themeColor="text1"/>
        </w:rPr>
        <w:t xml:space="preserve">ile </w:t>
      </w:r>
      <w:r>
        <w:rPr>
          <w:color w:val="000000" w:themeColor="text1"/>
        </w:rPr>
        <w:t>c</w:t>
      </w:r>
      <w:r w:rsidRPr="00E450D6">
        <w:rPr>
          <w:color w:val="000000" w:themeColor="text1"/>
        </w:rPr>
        <w:t>lerks</w:t>
      </w:r>
      <w:r>
        <w:rPr>
          <w:color w:val="000000" w:themeColor="text1"/>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717E94"/>
    <w:multiLevelType w:val="hybridMultilevel"/>
    <w:tmpl w:val="49162A56"/>
    <w:lvl w:ilvl="0">
      <w:start w:val="12"/>
      <w:numFmt w:val="decimal"/>
      <w:lvlText w:val="%1."/>
      <w:lvlJc w:val="left"/>
      <w:pPr>
        <w:ind w:left="840" w:hanging="720"/>
        <w:jc w:val="right"/>
      </w:pPr>
      <w:rPr>
        <w:rFonts w:ascii="Times New Roman" w:eastAsia="Times New Roman" w:hAnsi="Times New Roman" w:hint="default"/>
        <w:b/>
        <w:bCs/>
        <w:sz w:val="24"/>
        <w:szCs w:val="24"/>
      </w:rPr>
    </w:lvl>
    <w:lvl w:ilvl="1">
      <w:start w:val="1"/>
      <w:numFmt w:val="lowerLetter"/>
      <w:lvlText w:val="(%2)"/>
      <w:lvlJc w:val="left"/>
      <w:pPr>
        <w:ind w:left="239" w:hanging="399"/>
        <w:jc w:val="right"/>
      </w:pPr>
      <w:rPr>
        <w:rFonts w:ascii="Times New Roman" w:eastAsia="Times New Roman" w:hAnsi="Times New Roman" w:hint="default"/>
        <w:b/>
        <w:bCs/>
        <w:spacing w:val="-1"/>
        <w:sz w:val="24"/>
        <w:szCs w:val="24"/>
      </w:rPr>
    </w:lvl>
    <w:lvl w:ilvl="2">
      <w:start w:val="1"/>
      <w:numFmt w:val="bullet"/>
      <w:lvlText w:val="•"/>
      <w:lvlJc w:val="left"/>
      <w:pPr>
        <w:ind w:left="1780" w:hanging="399"/>
      </w:pPr>
      <w:rPr>
        <w:rFonts w:hint="default"/>
      </w:rPr>
    </w:lvl>
    <w:lvl w:ilvl="3">
      <w:start w:val="1"/>
      <w:numFmt w:val="bullet"/>
      <w:lvlText w:val="•"/>
      <w:lvlJc w:val="left"/>
      <w:pPr>
        <w:ind w:left="2720" w:hanging="399"/>
      </w:pPr>
      <w:rPr>
        <w:rFonts w:hint="default"/>
      </w:rPr>
    </w:lvl>
    <w:lvl w:ilvl="4">
      <w:start w:val="1"/>
      <w:numFmt w:val="bullet"/>
      <w:lvlText w:val="•"/>
      <w:lvlJc w:val="left"/>
      <w:pPr>
        <w:ind w:left="3660" w:hanging="399"/>
      </w:pPr>
      <w:rPr>
        <w:rFonts w:hint="default"/>
      </w:rPr>
    </w:lvl>
    <w:lvl w:ilvl="5">
      <w:start w:val="1"/>
      <w:numFmt w:val="bullet"/>
      <w:lvlText w:val="•"/>
      <w:lvlJc w:val="left"/>
      <w:pPr>
        <w:ind w:left="4600" w:hanging="399"/>
      </w:pPr>
      <w:rPr>
        <w:rFonts w:hint="default"/>
      </w:rPr>
    </w:lvl>
    <w:lvl w:ilvl="6">
      <w:start w:val="1"/>
      <w:numFmt w:val="bullet"/>
      <w:lvlText w:val="•"/>
      <w:lvlJc w:val="left"/>
      <w:pPr>
        <w:ind w:left="5540" w:hanging="399"/>
      </w:pPr>
      <w:rPr>
        <w:rFonts w:hint="default"/>
      </w:rPr>
    </w:lvl>
    <w:lvl w:ilvl="7">
      <w:start w:val="1"/>
      <w:numFmt w:val="bullet"/>
      <w:lvlText w:val="•"/>
      <w:lvlJc w:val="left"/>
      <w:pPr>
        <w:ind w:left="6480" w:hanging="399"/>
      </w:pPr>
      <w:rPr>
        <w:rFonts w:hint="default"/>
      </w:rPr>
    </w:lvl>
    <w:lvl w:ilvl="8">
      <w:start w:val="1"/>
      <w:numFmt w:val="bullet"/>
      <w:lvlText w:val="•"/>
      <w:lvlJc w:val="left"/>
      <w:pPr>
        <w:ind w:left="7420" w:hanging="399"/>
      </w:pPr>
      <w:rPr>
        <w:rFonts w:hint="default"/>
      </w:rPr>
    </w:lvl>
  </w:abstractNum>
  <w:abstractNum w:abstractNumId="1">
    <w:nsid w:val="5BDD7572"/>
    <w:multiLevelType w:val="hybridMultilevel"/>
    <w:tmpl w:val="790C314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7E5F5B77"/>
    <w:multiLevelType w:val="hybridMultilevel"/>
    <w:tmpl w:val="3A007C22"/>
    <w:lvl w:ilvl="0">
      <w:start w:val="1"/>
      <w:numFmt w:val="decimal"/>
      <w:lvlText w:val="%1."/>
      <w:lvlJc w:val="left"/>
      <w:pPr>
        <w:ind w:left="840" w:hanging="720"/>
        <w:jc w:val="right"/>
      </w:pPr>
      <w:rPr>
        <w:rFonts w:ascii="Times New Roman" w:eastAsia="Times New Roman" w:hAnsi="Times New Roman" w:hint="default"/>
        <w:b/>
        <w:bCs/>
        <w:sz w:val="24"/>
        <w:szCs w:val="24"/>
      </w:rPr>
    </w:lvl>
    <w:lvl w:ilvl="1">
      <w:start w:val="1"/>
      <w:numFmt w:val="lowerLetter"/>
      <w:lvlText w:val="(%2)"/>
      <w:lvlJc w:val="left"/>
      <w:pPr>
        <w:ind w:left="220" w:hanging="341"/>
      </w:pPr>
      <w:rPr>
        <w:rFonts w:ascii="Times New Roman" w:eastAsia="Times New Roman" w:hAnsi="Times New Roman" w:hint="default"/>
        <w:b/>
        <w:bCs/>
        <w:spacing w:val="-1"/>
        <w:sz w:val="24"/>
        <w:szCs w:val="24"/>
      </w:rPr>
    </w:lvl>
    <w:lvl w:ilvl="2">
      <w:start w:val="1"/>
      <w:numFmt w:val="bullet"/>
      <w:lvlText w:val="•"/>
      <w:lvlJc w:val="left"/>
      <w:pPr>
        <w:ind w:left="1786" w:hanging="341"/>
      </w:pPr>
      <w:rPr>
        <w:rFonts w:hint="default"/>
      </w:rPr>
    </w:lvl>
    <w:lvl w:ilvl="3">
      <w:start w:val="1"/>
      <w:numFmt w:val="bullet"/>
      <w:lvlText w:val="•"/>
      <w:lvlJc w:val="left"/>
      <w:pPr>
        <w:ind w:left="2733" w:hanging="341"/>
      </w:pPr>
      <w:rPr>
        <w:rFonts w:hint="default"/>
      </w:rPr>
    </w:lvl>
    <w:lvl w:ilvl="4">
      <w:start w:val="1"/>
      <w:numFmt w:val="bullet"/>
      <w:lvlText w:val="•"/>
      <w:lvlJc w:val="left"/>
      <w:pPr>
        <w:ind w:left="3680" w:hanging="341"/>
      </w:pPr>
      <w:rPr>
        <w:rFonts w:hint="default"/>
      </w:rPr>
    </w:lvl>
    <w:lvl w:ilvl="5">
      <w:start w:val="1"/>
      <w:numFmt w:val="bullet"/>
      <w:lvlText w:val="•"/>
      <w:lvlJc w:val="left"/>
      <w:pPr>
        <w:ind w:left="4626" w:hanging="341"/>
      </w:pPr>
      <w:rPr>
        <w:rFonts w:hint="default"/>
      </w:rPr>
    </w:lvl>
    <w:lvl w:ilvl="6">
      <w:start w:val="1"/>
      <w:numFmt w:val="bullet"/>
      <w:lvlText w:val="•"/>
      <w:lvlJc w:val="left"/>
      <w:pPr>
        <w:ind w:left="5573" w:hanging="341"/>
      </w:pPr>
      <w:rPr>
        <w:rFonts w:hint="default"/>
      </w:rPr>
    </w:lvl>
    <w:lvl w:ilvl="7">
      <w:start w:val="1"/>
      <w:numFmt w:val="bullet"/>
      <w:lvlText w:val="•"/>
      <w:lvlJc w:val="left"/>
      <w:pPr>
        <w:ind w:left="6520" w:hanging="341"/>
      </w:pPr>
      <w:rPr>
        <w:rFonts w:hint="default"/>
      </w:rPr>
    </w:lvl>
    <w:lvl w:ilvl="8">
      <w:start w:val="1"/>
      <w:numFmt w:val="bullet"/>
      <w:lvlText w:val="•"/>
      <w:lvlJc w:val="left"/>
      <w:pPr>
        <w:ind w:left="7466" w:hanging="341"/>
      </w:pPr>
      <w:rPr>
        <w:rFonts w:hint="default"/>
      </w:rPr>
    </w:lvl>
  </w:abstractNum>
  <w:num w:numId="1" w16cid:durableId="2073306062">
    <w:abstractNumId w:val="0"/>
  </w:num>
  <w:num w:numId="2" w16cid:durableId="1352954988">
    <w:abstractNumId w:val="2"/>
  </w:num>
  <w:num w:numId="3" w16cid:durableId="1434746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proofState w:spelling="clean" w:grammar="clean"/>
  <w:defaultTabStop w:val="720"/>
  <w:drawingGridHorizontalSpacing w:val="110"/>
  <w:displayHorizontalDrawingGridEvery w:val="2"/>
  <w:characterSpacingControl w:val="doNotCompress"/>
  <w:footnotePr>
    <w:footnote w:id="0"/>
    <w:footnote w:id="1"/>
    <w:footnote w:id="2"/>
  </w:foot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CE3"/>
    <w:rsid w:val="00003787"/>
    <w:rsid w:val="0000395B"/>
    <w:rsid w:val="00007AD6"/>
    <w:rsid w:val="000130FF"/>
    <w:rsid w:val="00015530"/>
    <w:rsid w:val="00021D7A"/>
    <w:rsid w:val="00024D3A"/>
    <w:rsid w:val="0002594C"/>
    <w:rsid w:val="00026845"/>
    <w:rsid w:val="000336CC"/>
    <w:rsid w:val="00033B5C"/>
    <w:rsid w:val="00037C47"/>
    <w:rsid w:val="000553D8"/>
    <w:rsid w:val="00063D53"/>
    <w:rsid w:val="00072C1E"/>
    <w:rsid w:val="0008210C"/>
    <w:rsid w:val="00086A07"/>
    <w:rsid w:val="00093173"/>
    <w:rsid w:val="00094956"/>
    <w:rsid w:val="00097DBE"/>
    <w:rsid w:val="000A290E"/>
    <w:rsid w:val="000A31B0"/>
    <w:rsid w:val="000B2D02"/>
    <w:rsid w:val="000C4A20"/>
    <w:rsid w:val="000D516C"/>
    <w:rsid w:val="000E4DB4"/>
    <w:rsid w:val="000E69F2"/>
    <w:rsid w:val="000E6A30"/>
    <w:rsid w:val="000E7C05"/>
    <w:rsid w:val="000F3269"/>
    <w:rsid w:val="000F3772"/>
    <w:rsid w:val="000F4B7E"/>
    <w:rsid w:val="000F5F7F"/>
    <w:rsid w:val="000F63F1"/>
    <w:rsid w:val="000F77D1"/>
    <w:rsid w:val="0010243C"/>
    <w:rsid w:val="001046C1"/>
    <w:rsid w:val="00106F21"/>
    <w:rsid w:val="00107455"/>
    <w:rsid w:val="00107B83"/>
    <w:rsid w:val="00111B69"/>
    <w:rsid w:val="0012402A"/>
    <w:rsid w:val="00124A6B"/>
    <w:rsid w:val="0012607D"/>
    <w:rsid w:val="001428FC"/>
    <w:rsid w:val="00144E01"/>
    <w:rsid w:val="00151589"/>
    <w:rsid w:val="00154D59"/>
    <w:rsid w:val="001556C2"/>
    <w:rsid w:val="00155FCE"/>
    <w:rsid w:val="00157546"/>
    <w:rsid w:val="0016183D"/>
    <w:rsid w:val="00164CAD"/>
    <w:rsid w:val="00165086"/>
    <w:rsid w:val="001817A5"/>
    <w:rsid w:val="001818E2"/>
    <w:rsid w:val="001844B7"/>
    <w:rsid w:val="00192DD1"/>
    <w:rsid w:val="0019319A"/>
    <w:rsid w:val="001A0266"/>
    <w:rsid w:val="001A0CE3"/>
    <w:rsid w:val="001A25FE"/>
    <w:rsid w:val="001A5490"/>
    <w:rsid w:val="001A6326"/>
    <w:rsid w:val="001B369D"/>
    <w:rsid w:val="001C2CA3"/>
    <w:rsid w:val="001C3B92"/>
    <w:rsid w:val="001C7021"/>
    <w:rsid w:val="001D068A"/>
    <w:rsid w:val="001D350C"/>
    <w:rsid w:val="001D3913"/>
    <w:rsid w:val="001E22D8"/>
    <w:rsid w:val="001F061C"/>
    <w:rsid w:val="001F5B08"/>
    <w:rsid w:val="001F714A"/>
    <w:rsid w:val="00202827"/>
    <w:rsid w:val="00204D23"/>
    <w:rsid w:val="00207FB3"/>
    <w:rsid w:val="0021104E"/>
    <w:rsid w:val="002167D2"/>
    <w:rsid w:val="00220A55"/>
    <w:rsid w:val="002247E7"/>
    <w:rsid w:val="002317AA"/>
    <w:rsid w:val="002326C4"/>
    <w:rsid w:val="00232F80"/>
    <w:rsid w:val="00236E8F"/>
    <w:rsid w:val="00241BAC"/>
    <w:rsid w:val="00243AC1"/>
    <w:rsid w:val="0024434B"/>
    <w:rsid w:val="00260C4E"/>
    <w:rsid w:val="0026313E"/>
    <w:rsid w:val="00273053"/>
    <w:rsid w:val="002A1671"/>
    <w:rsid w:val="002A4C4A"/>
    <w:rsid w:val="002A5B8B"/>
    <w:rsid w:val="002B3217"/>
    <w:rsid w:val="002B740A"/>
    <w:rsid w:val="002C3CB1"/>
    <w:rsid w:val="002C7151"/>
    <w:rsid w:val="002D0270"/>
    <w:rsid w:val="002D518C"/>
    <w:rsid w:val="002E0102"/>
    <w:rsid w:val="002E0A45"/>
    <w:rsid w:val="002E2262"/>
    <w:rsid w:val="002F2EA8"/>
    <w:rsid w:val="002F52D2"/>
    <w:rsid w:val="002F76D0"/>
    <w:rsid w:val="00300563"/>
    <w:rsid w:val="00311FA7"/>
    <w:rsid w:val="003148C2"/>
    <w:rsid w:val="00316A90"/>
    <w:rsid w:val="00320A76"/>
    <w:rsid w:val="00322E6D"/>
    <w:rsid w:val="00337186"/>
    <w:rsid w:val="00352030"/>
    <w:rsid w:val="00356650"/>
    <w:rsid w:val="0035734C"/>
    <w:rsid w:val="003605CD"/>
    <w:rsid w:val="00367A48"/>
    <w:rsid w:val="0037224B"/>
    <w:rsid w:val="003730CD"/>
    <w:rsid w:val="00380166"/>
    <w:rsid w:val="00391B52"/>
    <w:rsid w:val="003926F5"/>
    <w:rsid w:val="003937C9"/>
    <w:rsid w:val="00394F63"/>
    <w:rsid w:val="003A2E88"/>
    <w:rsid w:val="003A71A5"/>
    <w:rsid w:val="003B4FA1"/>
    <w:rsid w:val="003B7F7C"/>
    <w:rsid w:val="003C1091"/>
    <w:rsid w:val="003C5143"/>
    <w:rsid w:val="003C5C50"/>
    <w:rsid w:val="003D0FB1"/>
    <w:rsid w:val="003D1990"/>
    <w:rsid w:val="003D2FB2"/>
    <w:rsid w:val="003D33BA"/>
    <w:rsid w:val="003D4661"/>
    <w:rsid w:val="003E286B"/>
    <w:rsid w:val="003E400E"/>
    <w:rsid w:val="003E5897"/>
    <w:rsid w:val="003E595F"/>
    <w:rsid w:val="003F55FB"/>
    <w:rsid w:val="00405A3F"/>
    <w:rsid w:val="00420E27"/>
    <w:rsid w:val="0042754F"/>
    <w:rsid w:val="00431D4D"/>
    <w:rsid w:val="004328C4"/>
    <w:rsid w:val="004336E7"/>
    <w:rsid w:val="004363C9"/>
    <w:rsid w:val="00436C00"/>
    <w:rsid w:val="00440A21"/>
    <w:rsid w:val="00441CB2"/>
    <w:rsid w:val="004430F6"/>
    <w:rsid w:val="00446E8A"/>
    <w:rsid w:val="00450FC3"/>
    <w:rsid w:val="004513E4"/>
    <w:rsid w:val="00460490"/>
    <w:rsid w:val="004645C1"/>
    <w:rsid w:val="0047144D"/>
    <w:rsid w:val="004727FB"/>
    <w:rsid w:val="00475DBD"/>
    <w:rsid w:val="00482326"/>
    <w:rsid w:val="00485BF4"/>
    <w:rsid w:val="004908DC"/>
    <w:rsid w:val="00495AB8"/>
    <w:rsid w:val="004A4A04"/>
    <w:rsid w:val="004A61DD"/>
    <w:rsid w:val="004B4076"/>
    <w:rsid w:val="004C24D7"/>
    <w:rsid w:val="004D2477"/>
    <w:rsid w:val="004E0E92"/>
    <w:rsid w:val="004E0FEC"/>
    <w:rsid w:val="004E226F"/>
    <w:rsid w:val="004E71F9"/>
    <w:rsid w:val="004F088F"/>
    <w:rsid w:val="004F2CAD"/>
    <w:rsid w:val="004F3573"/>
    <w:rsid w:val="004F6878"/>
    <w:rsid w:val="00506283"/>
    <w:rsid w:val="0051678B"/>
    <w:rsid w:val="00550B7B"/>
    <w:rsid w:val="00551459"/>
    <w:rsid w:val="00554A53"/>
    <w:rsid w:val="005570F5"/>
    <w:rsid w:val="00560053"/>
    <w:rsid w:val="0056720F"/>
    <w:rsid w:val="00570DD5"/>
    <w:rsid w:val="00571254"/>
    <w:rsid w:val="00573308"/>
    <w:rsid w:val="00574942"/>
    <w:rsid w:val="0057765B"/>
    <w:rsid w:val="00591FE8"/>
    <w:rsid w:val="005960EB"/>
    <w:rsid w:val="005A5FCF"/>
    <w:rsid w:val="005B25B2"/>
    <w:rsid w:val="005B7FC9"/>
    <w:rsid w:val="005C15FC"/>
    <w:rsid w:val="005C354D"/>
    <w:rsid w:val="005D3B2E"/>
    <w:rsid w:val="005D67E6"/>
    <w:rsid w:val="005E78D0"/>
    <w:rsid w:val="005F1377"/>
    <w:rsid w:val="005F1858"/>
    <w:rsid w:val="005F3521"/>
    <w:rsid w:val="005F5D8F"/>
    <w:rsid w:val="005F76BE"/>
    <w:rsid w:val="0060484A"/>
    <w:rsid w:val="00605B4F"/>
    <w:rsid w:val="006075A8"/>
    <w:rsid w:val="006121C1"/>
    <w:rsid w:val="00613598"/>
    <w:rsid w:val="00614CD0"/>
    <w:rsid w:val="00624EEF"/>
    <w:rsid w:val="0063025F"/>
    <w:rsid w:val="006313DB"/>
    <w:rsid w:val="00633227"/>
    <w:rsid w:val="006349FC"/>
    <w:rsid w:val="00640C14"/>
    <w:rsid w:val="006511F5"/>
    <w:rsid w:val="006519B5"/>
    <w:rsid w:val="0065306C"/>
    <w:rsid w:val="00656284"/>
    <w:rsid w:val="00656E13"/>
    <w:rsid w:val="0066502D"/>
    <w:rsid w:val="006663A6"/>
    <w:rsid w:val="00670036"/>
    <w:rsid w:val="0067162A"/>
    <w:rsid w:val="00672463"/>
    <w:rsid w:val="0067520D"/>
    <w:rsid w:val="00680042"/>
    <w:rsid w:val="00682F78"/>
    <w:rsid w:val="006840C5"/>
    <w:rsid w:val="006A2581"/>
    <w:rsid w:val="006A6CD2"/>
    <w:rsid w:val="006B2745"/>
    <w:rsid w:val="006B3942"/>
    <w:rsid w:val="006B3BBA"/>
    <w:rsid w:val="006C3115"/>
    <w:rsid w:val="006C3614"/>
    <w:rsid w:val="006D43C7"/>
    <w:rsid w:val="006E4152"/>
    <w:rsid w:val="006F704A"/>
    <w:rsid w:val="0071210A"/>
    <w:rsid w:val="00714844"/>
    <w:rsid w:val="00720A6F"/>
    <w:rsid w:val="00733E36"/>
    <w:rsid w:val="00741397"/>
    <w:rsid w:val="00744169"/>
    <w:rsid w:val="0074694F"/>
    <w:rsid w:val="0075333F"/>
    <w:rsid w:val="00755495"/>
    <w:rsid w:val="0075561D"/>
    <w:rsid w:val="0076020F"/>
    <w:rsid w:val="00764CBC"/>
    <w:rsid w:val="00767F43"/>
    <w:rsid w:val="00781A58"/>
    <w:rsid w:val="00785771"/>
    <w:rsid w:val="007859B0"/>
    <w:rsid w:val="0078603D"/>
    <w:rsid w:val="00787A56"/>
    <w:rsid w:val="00797281"/>
    <w:rsid w:val="007A6122"/>
    <w:rsid w:val="007B2BA9"/>
    <w:rsid w:val="007B340A"/>
    <w:rsid w:val="007C1C9B"/>
    <w:rsid w:val="007C1D33"/>
    <w:rsid w:val="007C24B6"/>
    <w:rsid w:val="007C2A4E"/>
    <w:rsid w:val="007C4140"/>
    <w:rsid w:val="007C4F62"/>
    <w:rsid w:val="007C73D0"/>
    <w:rsid w:val="007D104F"/>
    <w:rsid w:val="007D567A"/>
    <w:rsid w:val="007D62D5"/>
    <w:rsid w:val="007E3E11"/>
    <w:rsid w:val="007E48E7"/>
    <w:rsid w:val="007F1A37"/>
    <w:rsid w:val="007F5BFD"/>
    <w:rsid w:val="00802E45"/>
    <w:rsid w:val="00804F34"/>
    <w:rsid w:val="0081605A"/>
    <w:rsid w:val="008168DD"/>
    <w:rsid w:val="008213C8"/>
    <w:rsid w:val="00825409"/>
    <w:rsid w:val="00840BB0"/>
    <w:rsid w:val="008425AF"/>
    <w:rsid w:val="00842902"/>
    <w:rsid w:val="00843166"/>
    <w:rsid w:val="0085156B"/>
    <w:rsid w:val="00855E30"/>
    <w:rsid w:val="0086118F"/>
    <w:rsid w:val="0086327C"/>
    <w:rsid w:val="00863F0D"/>
    <w:rsid w:val="00872FAC"/>
    <w:rsid w:val="00873823"/>
    <w:rsid w:val="00880115"/>
    <w:rsid w:val="008801FD"/>
    <w:rsid w:val="008834F6"/>
    <w:rsid w:val="00894422"/>
    <w:rsid w:val="00895578"/>
    <w:rsid w:val="00897341"/>
    <w:rsid w:val="008A312E"/>
    <w:rsid w:val="008A4BBA"/>
    <w:rsid w:val="008A4ECF"/>
    <w:rsid w:val="008B0C27"/>
    <w:rsid w:val="008B5475"/>
    <w:rsid w:val="008B6F32"/>
    <w:rsid w:val="008B72B4"/>
    <w:rsid w:val="008C7251"/>
    <w:rsid w:val="008D0452"/>
    <w:rsid w:val="008D170F"/>
    <w:rsid w:val="008D1954"/>
    <w:rsid w:val="008D6416"/>
    <w:rsid w:val="008D6C16"/>
    <w:rsid w:val="008E194C"/>
    <w:rsid w:val="008E3AE8"/>
    <w:rsid w:val="008F0167"/>
    <w:rsid w:val="008F2D6F"/>
    <w:rsid w:val="008F5F1F"/>
    <w:rsid w:val="00904ECE"/>
    <w:rsid w:val="00911202"/>
    <w:rsid w:val="009154F0"/>
    <w:rsid w:val="00916D2C"/>
    <w:rsid w:val="009223E1"/>
    <w:rsid w:val="009277DD"/>
    <w:rsid w:val="00934472"/>
    <w:rsid w:val="009400D9"/>
    <w:rsid w:val="00941EE1"/>
    <w:rsid w:val="00942825"/>
    <w:rsid w:val="00951776"/>
    <w:rsid w:val="00953450"/>
    <w:rsid w:val="00957926"/>
    <w:rsid w:val="00960973"/>
    <w:rsid w:val="00964B14"/>
    <w:rsid w:val="0096713F"/>
    <w:rsid w:val="0097032A"/>
    <w:rsid w:val="00971BC3"/>
    <w:rsid w:val="00972EDA"/>
    <w:rsid w:val="00982D77"/>
    <w:rsid w:val="00983FD0"/>
    <w:rsid w:val="00984D7C"/>
    <w:rsid w:val="00996B14"/>
    <w:rsid w:val="009A0399"/>
    <w:rsid w:val="009A0C3E"/>
    <w:rsid w:val="009A20B4"/>
    <w:rsid w:val="009A2275"/>
    <w:rsid w:val="009A29B2"/>
    <w:rsid w:val="009A3480"/>
    <w:rsid w:val="009A446C"/>
    <w:rsid w:val="009A7763"/>
    <w:rsid w:val="009B3093"/>
    <w:rsid w:val="009C084D"/>
    <w:rsid w:val="009C1598"/>
    <w:rsid w:val="009C49E3"/>
    <w:rsid w:val="009C5118"/>
    <w:rsid w:val="009C58C1"/>
    <w:rsid w:val="009C7304"/>
    <w:rsid w:val="009D18F3"/>
    <w:rsid w:val="009D3CB7"/>
    <w:rsid w:val="009D4253"/>
    <w:rsid w:val="009D6D38"/>
    <w:rsid w:val="009F0F04"/>
    <w:rsid w:val="00A00FFE"/>
    <w:rsid w:val="00A019FA"/>
    <w:rsid w:val="00A06C2E"/>
    <w:rsid w:val="00A11C52"/>
    <w:rsid w:val="00A13E3F"/>
    <w:rsid w:val="00A24672"/>
    <w:rsid w:val="00A30CAA"/>
    <w:rsid w:val="00A331A2"/>
    <w:rsid w:val="00A35813"/>
    <w:rsid w:val="00A360E8"/>
    <w:rsid w:val="00A3702D"/>
    <w:rsid w:val="00A42770"/>
    <w:rsid w:val="00A457BE"/>
    <w:rsid w:val="00A46550"/>
    <w:rsid w:val="00A46675"/>
    <w:rsid w:val="00A543B7"/>
    <w:rsid w:val="00A569AF"/>
    <w:rsid w:val="00A56D39"/>
    <w:rsid w:val="00A57F1B"/>
    <w:rsid w:val="00A63727"/>
    <w:rsid w:val="00A710FC"/>
    <w:rsid w:val="00A7230A"/>
    <w:rsid w:val="00A73AAD"/>
    <w:rsid w:val="00A75712"/>
    <w:rsid w:val="00A81A13"/>
    <w:rsid w:val="00A81D3E"/>
    <w:rsid w:val="00A84221"/>
    <w:rsid w:val="00A92B00"/>
    <w:rsid w:val="00A9524A"/>
    <w:rsid w:val="00A95AFC"/>
    <w:rsid w:val="00AA613E"/>
    <w:rsid w:val="00AB0467"/>
    <w:rsid w:val="00AB609B"/>
    <w:rsid w:val="00AB6374"/>
    <w:rsid w:val="00AC3525"/>
    <w:rsid w:val="00AC5195"/>
    <w:rsid w:val="00AC6EF7"/>
    <w:rsid w:val="00AC7473"/>
    <w:rsid w:val="00AD7F02"/>
    <w:rsid w:val="00AE720A"/>
    <w:rsid w:val="00AF0263"/>
    <w:rsid w:val="00AF26AB"/>
    <w:rsid w:val="00AF38C9"/>
    <w:rsid w:val="00B00AFF"/>
    <w:rsid w:val="00B03AE2"/>
    <w:rsid w:val="00B076C6"/>
    <w:rsid w:val="00B122C2"/>
    <w:rsid w:val="00B14A16"/>
    <w:rsid w:val="00B24FA1"/>
    <w:rsid w:val="00B256E8"/>
    <w:rsid w:val="00B31ED3"/>
    <w:rsid w:val="00B4322E"/>
    <w:rsid w:val="00B45A68"/>
    <w:rsid w:val="00B52AE0"/>
    <w:rsid w:val="00B54754"/>
    <w:rsid w:val="00B62ABE"/>
    <w:rsid w:val="00B647AB"/>
    <w:rsid w:val="00B650A4"/>
    <w:rsid w:val="00B671E6"/>
    <w:rsid w:val="00B70863"/>
    <w:rsid w:val="00B7132D"/>
    <w:rsid w:val="00B7630D"/>
    <w:rsid w:val="00B80FBE"/>
    <w:rsid w:val="00B82918"/>
    <w:rsid w:val="00B82ADC"/>
    <w:rsid w:val="00B900FD"/>
    <w:rsid w:val="00B95FF7"/>
    <w:rsid w:val="00BA175F"/>
    <w:rsid w:val="00BA2CB0"/>
    <w:rsid w:val="00BB1E42"/>
    <w:rsid w:val="00BB434B"/>
    <w:rsid w:val="00BB4EC1"/>
    <w:rsid w:val="00BC5118"/>
    <w:rsid w:val="00BC7C7D"/>
    <w:rsid w:val="00BD6F04"/>
    <w:rsid w:val="00BE2F08"/>
    <w:rsid w:val="00BE4DBB"/>
    <w:rsid w:val="00BF28D4"/>
    <w:rsid w:val="00C0232D"/>
    <w:rsid w:val="00C04F54"/>
    <w:rsid w:val="00C0626C"/>
    <w:rsid w:val="00C070F0"/>
    <w:rsid w:val="00C1029D"/>
    <w:rsid w:val="00C11995"/>
    <w:rsid w:val="00C175F1"/>
    <w:rsid w:val="00C2225D"/>
    <w:rsid w:val="00C22C74"/>
    <w:rsid w:val="00C22F8A"/>
    <w:rsid w:val="00C32E16"/>
    <w:rsid w:val="00C37EB0"/>
    <w:rsid w:val="00C4383B"/>
    <w:rsid w:val="00C5573D"/>
    <w:rsid w:val="00C57483"/>
    <w:rsid w:val="00C61EE5"/>
    <w:rsid w:val="00C73892"/>
    <w:rsid w:val="00C754F7"/>
    <w:rsid w:val="00C7719D"/>
    <w:rsid w:val="00C77615"/>
    <w:rsid w:val="00C855B8"/>
    <w:rsid w:val="00C91E8C"/>
    <w:rsid w:val="00C94101"/>
    <w:rsid w:val="00CA16C6"/>
    <w:rsid w:val="00CB21DA"/>
    <w:rsid w:val="00CB5963"/>
    <w:rsid w:val="00CC2295"/>
    <w:rsid w:val="00CD19DB"/>
    <w:rsid w:val="00CD54B1"/>
    <w:rsid w:val="00CE0C9E"/>
    <w:rsid w:val="00CE3C42"/>
    <w:rsid w:val="00CE5B6A"/>
    <w:rsid w:val="00CF3F66"/>
    <w:rsid w:val="00CF45AF"/>
    <w:rsid w:val="00D00875"/>
    <w:rsid w:val="00D315D1"/>
    <w:rsid w:val="00D41BC2"/>
    <w:rsid w:val="00D42740"/>
    <w:rsid w:val="00D52219"/>
    <w:rsid w:val="00D706A9"/>
    <w:rsid w:val="00D70A8F"/>
    <w:rsid w:val="00D72ADE"/>
    <w:rsid w:val="00D81232"/>
    <w:rsid w:val="00D908D0"/>
    <w:rsid w:val="00D91BAB"/>
    <w:rsid w:val="00DA7282"/>
    <w:rsid w:val="00DA72C7"/>
    <w:rsid w:val="00DB42EF"/>
    <w:rsid w:val="00DB69C0"/>
    <w:rsid w:val="00DB70AB"/>
    <w:rsid w:val="00DC2201"/>
    <w:rsid w:val="00DD020A"/>
    <w:rsid w:val="00DD5BAA"/>
    <w:rsid w:val="00DF0CA0"/>
    <w:rsid w:val="00DF5763"/>
    <w:rsid w:val="00E01A2B"/>
    <w:rsid w:val="00E06497"/>
    <w:rsid w:val="00E119E6"/>
    <w:rsid w:val="00E11A26"/>
    <w:rsid w:val="00E12843"/>
    <w:rsid w:val="00E17760"/>
    <w:rsid w:val="00E25450"/>
    <w:rsid w:val="00E27969"/>
    <w:rsid w:val="00E33C03"/>
    <w:rsid w:val="00E35613"/>
    <w:rsid w:val="00E367E9"/>
    <w:rsid w:val="00E37774"/>
    <w:rsid w:val="00E4166F"/>
    <w:rsid w:val="00E450D6"/>
    <w:rsid w:val="00E51A0E"/>
    <w:rsid w:val="00E559B6"/>
    <w:rsid w:val="00E606BE"/>
    <w:rsid w:val="00E60C68"/>
    <w:rsid w:val="00E71FAF"/>
    <w:rsid w:val="00E74B04"/>
    <w:rsid w:val="00E74BAD"/>
    <w:rsid w:val="00E758CB"/>
    <w:rsid w:val="00E770D3"/>
    <w:rsid w:val="00E80CDD"/>
    <w:rsid w:val="00E877FB"/>
    <w:rsid w:val="00EA2069"/>
    <w:rsid w:val="00EA210D"/>
    <w:rsid w:val="00EA422D"/>
    <w:rsid w:val="00EA5CE3"/>
    <w:rsid w:val="00EB0440"/>
    <w:rsid w:val="00EB4953"/>
    <w:rsid w:val="00EC4CFD"/>
    <w:rsid w:val="00EC759D"/>
    <w:rsid w:val="00EC783C"/>
    <w:rsid w:val="00ED4072"/>
    <w:rsid w:val="00ED61FB"/>
    <w:rsid w:val="00ED6D2E"/>
    <w:rsid w:val="00EE1BE9"/>
    <w:rsid w:val="00EE3198"/>
    <w:rsid w:val="00EF0A48"/>
    <w:rsid w:val="00EF2B9B"/>
    <w:rsid w:val="00EF4E91"/>
    <w:rsid w:val="00EF6DFE"/>
    <w:rsid w:val="00F01544"/>
    <w:rsid w:val="00F02D66"/>
    <w:rsid w:val="00F030D2"/>
    <w:rsid w:val="00F112DF"/>
    <w:rsid w:val="00F11470"/>
    <w:rsid w:val="00F119A1"/>
    <w:rsid w:val="00F130E9"/>
    <w:rsid w:val="00F17409"/>
    <w:rsid w:val="00F212C1"/>
    <w:rsid w:val="00F239A0"/>
    <w:rsid w:val="00F24BF4"/>
    <w:rsid w:val="00F31C36"/>
    <w:rsid w:val="00F37BD4"/>
    <w:rsid w:val="00F43BB8"/>
    <w:rsid w:val="00F4569F"/>
    <w:rsid w:val="00F458DE"/>
    <w:rsid w:val="00F54401"/>
    <w:rsid w:val="00F5504C"/>
    <w:rsid w:val="00F82ADF"/>
    <w:rsid w:val="00F8439F"/>
    <w:rsid w:val="00F8548F"/>
    <w:rsid w:val="00F939BB"/>
    <w:rsid w:val="00F95A6B"/>
    <w:rsid w:val="00FB054C"/>
    <w:rsid w:val="00FB1F3D"/>
    <w:rsid w:val="00FB33E6"/>
    <w:rsid w:val="00FB7AD4"/>
    <w:rsid w:val="00FC233B"/>
    <w:rsid w:val="00FC36F0"/>
    <w:rsid w:val="00FD1ECF"/>
    <w:rsid w:val="00FD40BE"/>
    <w:rsid w:val="00FD50EA"/>
    <w:rsid w:val="00FE171E"/>
    <w:rsid w:val="00FE225E"/>
    <w:rsid w:val="00FF1C3E"/>
    <w:rsid w:val="00FF227C"/>
    <w:rsid w:val="00FF274D"/>
    <w:rsid w:val="00FF766F"/>
    <w:rsid w:val="00FF7A7E"/>
    <w:rsid w:val="3102A3F2"/>
    <w:rsid w:val="3A3E627A"/>
    <w:rsid w:val="3A76372E"/>
    <w:rsid w:val="44E3250E"/>
    <w:rsid w:val="45FC7483"/>
    <w:rsid w:val="5422AA4C"/>
    <w:rsid w:val="7CE900E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0690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style>
  <w:style w:type="paragraph" w:styleId="Heading1">
    <w:name w:val="heading 1"/>
    <w:basedOn w:val="Normal"/>
    <w:uiPriority w:val="1"/>
    <w:qFormat/>
    <w:pPr>
      <w:ind w:left="940" w:hanging="720"/>
      <w:outlineLvl w:val="0"/>
    </w:pPr>
    <w:rPr>
      <w:rFonts w:ascii="Times New Roman" w:eastAsia="Times New Roman" w:hAnsi="Times New Roman"/>
      <w:b/>
      <w:bCs/>
      <w:sz w:val="24"/>
      <w:szCs w:val="24"/>
      <w:u w:val="single"/>
    </w:rPr>
  </w:style>
  <w:style w:type="paragraph" w:styleId="Heading2">
    <w:name w:val="heading 2"/>
    <w:basedOn w:val="Normal"/>
    <w:next w:val="Normal"/>
    <w:link w:val="Heading2Char"/>
    <w:uiPriority w:val="9"/>
    <w:unhideWhenUsed/>
    <w:qFormat/>
    <w:rsid w:val="0075561D"/>
    <w:pPr>
      <w:keepNext/>
      <w:outlineLvl w:val="1"/>
    </w:pPr>
    <w:rPr>
      <w:rFonts w:ascii="Times New Roman" w:hAnsi="Times New Roman"/>
      <w:b/>
    </w:rPr>
  </w:style>
  <w:style w:type="paragraph" w:styleId="Heading3">
    <w:name w:val="heading 3"/>
    <w:basedOn w:val="Normal"/>
    <w:next w:val="Normal"/>
    <w:link w:val="Heading3Char"/>
    <w:uiPriority w:val="9"/>
    <w:unhideWhenUsed/>
    <w:qFormat/>
    <w:rsid w:val="009A446C"/>
    <w:pPr>
      <w:keepNext/>
      <w:jc w:val="center"/>
      <w:outlineLvl w:val="2"/>
    </w:pPr>
    <w:rPr>
      <w:rFonts w:ascii="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0" w:firstLine="720"/>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FootnoteText">
    <w:name w:val="footnote text"/>
    <w:aliases w:val="Brief_Footnote_Text"/>
    <w:basedOn w:val="Normal"/>
    <w:link w:val="FootnoteTextChar"/>
    <w:unhideWhenUsed/>
    <w:qFormat/>
    <w:rsid w:val="00B650A4"/>
    <w:pPr>
      <w:autoSpaceDE w:val="0"/>
      <w:autoSpaceDN w:val="0"/>
      <w:adjustRightInd w:val="0"/>
    </w:pPr>
    <w:rPr>
      <w:rFonts w:ascii="Times New Roman" w:eastAsia="Times New Roman" w:hAnsi="Times New Roman" w:cs="Times New Roman"/>
      <w:sz w:val="20"/>
      <w:szCs w:val="20"/>
    </w:rPr>
  </w:style>
  <w:style w:type="character" w:customStyle="1" w:styleId="FootnoteTextChar">
    <w:name w:val="Footnote Text Char"/>
    <w:aliases w:val="Brief_Footnote_Text Char"/>
    <w:basedOn w:val="DefaultParagraphFont"/>
    <w:link w:val="FootnoteText"/>
    <w:rsid w:val="00B650A4"/>
    <w:rPr>
      <w:rFonts w:ascii="Times New Roman" w:eastAsia="Times New Roman" w:hAnsi="Times New Roman" w:cs="Times New Roman"/>
      <w:sz w:val="20"/>
      <w:szCs w:val="20"/>
    </w:rPr>
  </w:style>
  <w:style w:type="character" w:styleId="FootnoteReference">
    <w:name w:val="footnote reference"/>
    <w:basedOn w:val="DefaultParagraphFont"/>
    <w:uiPriority w:val="99"/>
    <w:unhideWhenUsed/>
    <w:rsid w:val="00B650A4"/>
    <w:rPr>
      <w:rFonts w:cs="Times New Roman"/>
      <w:vertAlign w:val="superscript"/>
    </w:rPr>
  </w:style>
  <w:style w:type="paragraph" w:styleId="Header">
    <w:name w:val="header"/>
    <w:basedOn w:val="Normal"/>
    <w:link w:val="HeaderChar"/>
    <w:uiPriority w:val="99"/>
    <w:unhideWhenUsed/>
    <w:rsid w:val="005C15FC"/>
    <w:pPr>
      <w:tabs>
        <w:tab w:val="center" w:pos="4680"/>
        <w:tab w:val="right" w:pos="9360"/>
      </w:tabs>
    </w:pPr>
  </w:style>
  <w:style w:type="character" w:customStyle="1" w:styleId="HeaderChar">
    <w:name w:val="Header Char"/>
    <w:basedOn w:val="DefaultParagraphFont"/>
    <w:link w:val="Header"/>
    <w:uiPriority w:val="99"/>
    <w:rsid w:val="005C15FC"/>
  </w:style>
  <w:style w:type="paragraph" w:styleId="Footer">
    <w:name w:val="footer"/>
    <w:basedOn w:val="Normal"/>
    <w:link w:val="FooterChar"/>
    <w:uiPriority w:val="99"/>
    <w:unhideWhenUsed/>
    <w:rsid w:val="005C15FC"/>
    <w:pPr>
      <w:tabs>
        <w:tab w:val="center" w:pos="4680"/>
        <w:tab w:val="right" w:pos="9360"/>
      </w:tabs>
    </w:pPr>
  </w:style>
  <w:style w:type="character" w:customStyle="1" w:styleId="FooterChar">
    <w:name w:val="Footer Char"/>
    <w:basedOn w:val="DefaultParagraphFont"/>
    <w:link w:val="Footer"/>
    <w:uiPriority w:val="99"/>
    <w:rsid w:val="005C15FC"/>
  </w:style>
  <w:style w:type="character" w:customStyle="1" w:styleId="entry-content">
    <w:name w:val="entry-content"/>
    <w:basedOn w:val="DefaultParagraphFont"/>
    <w:rsid w:val="00787A56"/>
  </w:style>
  <w:style w:type="paragraph" w:styleId="BodyTextIndent">
    <w:name w:val="Body Text Indent"/>
    <w:basedOn w:val="Normal"/>
    <w:link w:val="BodyTextIndentChar"/>
    <w:uiPriority w:val="99"/>
    <w:unhideWhenUsed/>
    <w:rsid w:val="00E877FB"/>
    <w:pPr>
      <w:autoSpaceDE w:val="0"/>
      <w:autoSpaceDN w:val="0"/>
      <w:adjustRightInd w:val="0"/>
      <w:ind w:left="270" w:firstLine="60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rsid w:val="00E877FB"/>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75561D"/>
    <w:rPr>
      <w:rFonts w:ascii="Times New Roman" w:hAnsi="Times New Roman"/>
      <w:b/>
    </w:rPr>
  </w:style>
  <w:style w:type="character" w:customStyle="1" w:styleId="Heading3Char">
    <w:name w:val="Heading 3 Char"/>
    <w:basedOn w:val="DefaultParagraphFont"/>
    <w:link w:val="Heading3"/>
    <w:uiPriority w:val="9"/>
    <w:rsid w:val="009A446C"/>
    <w:rPr>
      <w:rFonts w:ascii="Times New Roman" w:hAnsi="Times New Roman"/>
      <w:b/>
    </w:rPr>
  </w:style>
  <w:style w:type="character" w:styleId="Hyperlink">
    <w:name w:val="Hyperlink"/>
    <w:basedOn w:val="DefaultParagraphFont"/>
    <w:uiPriority w:val="99"/>
    <w:unhideWhenUsed/>
    <w:rsid w:val="00EC759D"/>
    <w:rPr>
      <w:color w:val="0000FF" w:themeColor="hyperlink"/>
      <w:u w:val="single"/>
    </w:rPr>
  </w:style>
  <w:style w:type="character" w:styleId="FollowedHyperlink">
    <w:name w:val="FollowedHyperlink"/>
    <w:basedOn w:val="DefaultParagraphFont"/>
    <w:uiPriority w:val="99"/>
    <w:semiHidden/>
    <w:unhideWhenUsed/>
    <w:rsid w:val="00EC759D"/>
    <w:rPr>
      <w:color w:val="800080" w:themeColor="followedHyperlink"/>
      <w:u w:val="single"/>
    </w:rPr>
  </w:style>
  <w:style w:type="paragraph" w:styleId="BalloonText">
    <w:name w:val="Balloon Text"/>
    <w:basedOn w:val="Normal"/>
    <w:link w:val="BalloonTextChar"/>
    <w:uiPriority w:val="99"/>
    <w:semiHidden/>
    <w:unhideWhenUsed/>
    <w:rsid w:val="00EC759D"/>
    <w:rPr>
      <w:rFonts w:ascii="Tahoma" w:hAnsi="Tahoma" w:cs="Tahoma"/>
      <w:sz w:val="16"/>
      <w:szCs w:val="16"/>
    </w:rPr>
  </w:style>
  <w:style w:type="character" w:customStyle="1" w:styleId="BalloonTextChar">
    <w:name w:val="Balloon Text Char"/>
    <w:basedOn w:val="DefaultParagraphFont"/>
    <w:link w:val="BalloonText"/>
    <w:uiPriority w:val="99"/>
    <w:semiHidden/>
    <w:rsid w:val="00EC759D"/>
    <w:rPr>
      <w:rFonts w:ascii="Tahoma" w:hAnsi="Tahoma" w:cs="Tahoma"/>
      <w:sz w:val="16"/>
      <w:szCs w:val="16"/>
    </w:rPr>
  </w:style>
  <w:style w:type="character" w:styleId="CommentReference">
    <w:name w:val="annotation reference"/>
    <w:basedOn w:val="DefaultParagraphFont"/>
    <w:uiPriority w:val="99"/>
    <w:semiHidden/>
    <w:unhideWhenUsed/>
    <w:rsid w:val="00352030"/>
    <w:rPr>
      <w:sz w:val="16"/>
      <w:szCs w:val="16"/>
    </w:rPr>
  </w:style>
  <w:style w:type="paragraph" w:styleId="CommentText">
    <w:name w:val="annotation text"/>
    <w:basedOn w:val="Normal"/>
    <w:link w:val="CommentTextChar"/>
    <w:uiPriority w:val="99"/>
    <w:unhideWhenUsed/>
    <w:rsid w:val="00352030"/>
    <w:rPr>
      <w:sz w:val="20"/>
      <w:szCs w:val="20"/>
    </w:rPr>
  </w:style>
  <w:style w:type="character" w:customStyle="1" w:styleId="CommentTextChar">
    <w:name w:val="Comment Text Char"/>
    <w:basedOn w:val="DefaultParagraphFont"/>
    <w:link w:val="CommentText"/>
    <w:uiPriority w:val="99"/>
    <w:rsid w:val="00352030"/>
    <w:rPr>
      <w:sz w:val="20"/>
      <w:szCs w:val="20"/>
    </w:rPr>
  </w:style>
  <w:style w:type="paragraph" w:styleId="CommentSubject">
    <w:name w:val="annotation subject"/>
    <w:basedOn w:val="CommentText"/>
    <w:next w:val="CommentText"/>
    <w:link w:val="CommentSubjectChar"/>
    <w:uiPriority w:val="99"/>
    <w:semiHidden/>
    <w:unhideWhenUsed/>
    <w:rsid w:val="00352030"/>
    <w:rPr>
      <w:b/>
      <w:bCs/>
    </w:rPr>
  </w:style>
  <w:style w:type="character" w:customStyle="1" w:styleId="CommentSubjectChar">
    <w:name w:val="Comment Subject Char"/>
    <w:basedOn w:val="CommentTextChar"/>
    <w:link w:val="CommentSubject"/>
    <w:uiPriority w:val="99"/>
    <w:semiHidden/>
    <w:rsid w:val="00352030"/>
    <w:rPr>
      <w:b/>
      <w:bCs/>
      <w:sz w:val="20"/>
      <w:szCs w:val="20"/>
    </w:rPr>
  </w:style>
  <w:style w:type="paragraph" w:customStyle="1" w:styleId="Default">
    <w:name w:val="Default"/>
    <w:rsid w:val="000B2D02"/>
    <w:pPr>
      <w:widowControl/>
      <w:autoSpaceDE w:val="0"/>
      <w:autoSpaceDN w:val="0"/>
      <w:adjustRightInd w:val="0"/>
    </w:pPr>
    <w:rPr>
      <w:rFonts w:ascii="Times New Roman" w:hAnsi="Times New Roman" w:cs="Times New Roman"/>
      <w:color w:val="000000"/>
      <w:sz w:val="24"/>
      <w:szCs w:val="24"/>
    </w:rPr>
  </w:style>
  <w:style w:type="paragraph" w:styleId="BodyText2">
    <w:name w:val="Body Text 2"/>
    <w:basedOn w:val="Normal"/>
    <w:link w:val="BodyText2Char"/>
    <w:uiPriority w:val="99"/>
    <w:unhideWhenUsed/>
    <w:rsid w:val="00AC5195"/>
    <w:pPr>
      <w:autoSpaceDE w:val="0"/>
      <w:autoSpaceDN w:val="0"/>
      <w:adjustRightInd w:val="0"/>
      <w:spacing w:line="480" w:lineRule="auto"/>
    </w:pPr>
    <w:rPr>
      <w:rFonts w:ascii="Times New Roman" w:hAnsi="Times New Roman" w:cs="Times New Roman"/>
      <w:sz w:val="24"/>
      <w:szCs w:val="24"/>
    </w:rPr>
  </w:style>
  <w:style w:type="character" w:customStyle="1" w:styleId="BodyText2Char">
    <w:name w:val="Body Text 2 Char"/>
    <w:basedOn w:val="DefaultParagraphFont"/>
    <w:link w:val="BodyText2"/>
    <w:uiPriority w:val="99"/>
    <w:rsid w:val="00AC5195"/>
    <w:rPr>
      <w:rFonts w:ascii="Times New Roman" w:hAnsi="Times New Roman" w:cs="Times New Roman"/>
      <w:sz w:val="24"/>
      <w:szCs w:val="24"/>
    </w:rPr>
  </w:style>
  <w:style w:type="paragraph" w:styleId="Title">
    <w:name w:val="Title"/>
    <w:basedOn w:val="Normal"/>
    <w:next w:val="Normal"/>
    <w:link w:val="TitleChar"/>
    <w:uiPriority w:val="10"/>
    <w:qFormat/>
    <w:rsid w:val="009277DD"/>
    <w:pPr>
      <w:jc w:val="center"/>
    </w:pPr>
    <w:rPr>
      <w:rFonts w:ascii="Times New Roman" w:hAnsi="Times New Roman"/>
      <w:b/>
    </w:rPr>
  </w:style>
  <w:style w:type="character" w:customStyle="1" w:styleId="TitleChar">
    <w:name w:val="Title Char"/>
    <w:basedOn w:val="DefaultParagraphFont"/>
    <w:link w:val="Title"/>
    <w:uiPriority w:val="10"/>
    <w:rsid w:val="009277DD"/>
    <w:rPr>
      <w:rFonts w:ascii="Times New Roman" w:hAnsi="Times New Roman"/>
      <w:b/>
    </w:rPr>
  </w:style>
  <w:style w:type="paragraph" w:styleId="Revision">
    <w:name w:val="Revision"/>
    <w:hidden/>
    <w:uiPriority w:val="99"/>
    <w:semiHidden/>
    <w:rsid w:val="00E367E9"/>
    <w:pPr>
      <w:widowControl/>
    </w:pPr>
  </w:style>
  <w:style w:type="paragraph" w:styleId="EndnoteText">
    <w:name w:val="endnote text"/>
    <w:basedOn w:val="Normal"/>
    <w:link w:val="EndnoteTextChar"/>
    <w:uiPriority w:val="99"/>
    <w:semiHidden/>
    <w:unhideWhenUsed/>
    <w:rsid w:val="001D350C"/>
    <w:rPr>
      <w:sz w:val="20"/>
      <w:szCs w:val="20"/>
    </w:rPr>
  </w:style>
  <w:style w:type="character" w:customStyle="1" w:styleId="EndnoteTextChar">
    <w:name w:val="Endnote Text Char"/>
    <w:basedOn w:val="DefaultParagraphFont"/>
    <w:link w:val="EndnoteText"/>
    <w:uiPriority w:val="99"/>
    <w:semiHidden/>
    <w:rsid w:val="001D350C"/>
    <w:rPr>
      <w:sz w:val="20"/>
      <w:szCs w:val="20"/>
    </w:rPr>
  </w:style>
  <w:style w:type="character" w:styleId="EndnoteReference">
    <w:name w:val="endnote reference"/>
    <w:basedOn w:val="DefaultParagraphFont"/>
    <w:uiPriority w:val="99"/>
    <w:semiHidden/>
    <w:unhideWhenUsed/>
    <w:rsid w:val="001D350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790C15-9FC5-4027-A4A0-7A7396D53D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2067</Words>
  <Characters>11785</Characters>
  <Application>Microsoft Office Word</Application>
  <DocSecurity>0</DocSecurity>
  <Lines>98</Lines>
  <Paragraphs>27</Paragraphs>
  <ScaleCrop>false</ScaleCrop>
  <Company/>
  <LinksUpToDate>false</LinksUpToDate>
  <CharactersWithSpaces>13825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2026-08-20T18:14:00Z</dcterms:created>
  <dcterms:modified xsi:type="dcterms:W3CDTF">2026-08-20T18:15:00Z</dcterms:modified>
</cp:coreProperties>
</file>