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31C43" w14:paraId="2F2B2C40" w14:textId="77777777">
      <w:pPr>
        <w:widowControl w:val="0"/>
        <w:jc w:val="center"/>
        <w:rPr>
          <w:rFonts w:ascii="Courier New" w:eastAsia="Courier New" w:hAnsi="Courier New" w:cs="Courier New"/>
          <w:b/>
          <w:bCs/>
        </w:rPr>
      </w:pPr>
      <w:r>
        <w:rPr>
          <w:rFonts w:ascii="Courier New" w:eastAsia="Courier New" w:hAnsi="Courier New" w:cs="Courier New"/>
          <w:b/>
          <w:bCs/>
        </w:rPr>
        <w:t>Federal Acquisition Regulation (FAR)</w:t>
      </w:r>
    </w:p>
    <w:p w:rsidR="00331C43" w14:paraId="264D6825" w14:textId="77777777">
      <w:pPr>
        <w:jc w:val="center"/>
        <w:rPr>
          <w:rFonts w:ascii="Courier New" w:eastAsia="Courier New" w:hAnsi="Courier New" w:cs="Courier New"/>
          <w:b/>
          <w:bCs/>
        </w:rPr>
      </w:pPr>
      <w:r>
        <w:rPr>
          <w:rFonts w:ascii="Courier New" w:eastAsia="Courier New" w:hAnsi="Courier New" w:cs="Courier New"/>
          <w:b/>
          <w:bCs/>
        </w:rPr>
        <w:t>Privacy Training</w:t>
      </w:r>
    </w:p>
    <w:p w:rsidR="00331C43" w14:paraId="02A12591" w14:textId="77777777">
      <w:pPr>
        <w:jc w:val="center"/>
        <w:rPr>
          <w:rFonts w:ascii="Courier New" w:eastAsia="Courier New" w:hAnsi="Courier New" w:cs="Courier New"/>
          <w:b/>
          <w:bCs/>
          <w:u w:val="single"/>
        </w:rPr>
      </w:pPr>
      <w:r>
        <w:rPr>
          <w:rFonts w:ascii="Courier New" w:eastAsia="Courier New" w:hAnsi="Courier New" w:cs="Courier New"/>
          <w:b/>
          <w:bCs/>
        </w:rPr>
        <w:t>OMB Control No. 9000-0182</w:t>
      </w:r>
    </w:p>
    <w:p w:rsidR="00331C43" w14:paraId="7B2AE225" w14:textId="77777777">
      <w:pPr>
        <w:jc w:val="center"/>
        <w:rPr>
          <w:rFonts w:ascii="Courier New" w:eastAsia="Courier New" w:hAnsi="Courier New" w:cs="Courier New"/>
        </w:rPr>
      </w:pPr>
      <w:r>
        <w:rPr>
          <w:rFonts w:ascii="Courier New" w:eastAsia="Courier New" w:hAnsi="Courier New" w:cs="Courier New"/>
          <w:b/>
          <w:bCs/>
        </w:rPr>
        <w:t>Justification – Part A Supporting Statement</w:t>
      </w:r>
    </w:p>
    <w:p w:rsidR="00331C43" w14:paraId="3732A7AC" w14:textId="77777777">
      <w:pPr>
        <w:rPr>
          <w:rFonts w:ascii="Courier New" w:eastAsia="Courier New" w:hAnsi="Courier New" w:cs="Courier New"/>
        </w:rPr>
      </w:pPr>
    </w:p>
    <w:p w:rsidR="00331C43" w14:paraId="2D573033" w14:textId="77777777">
      <w:pPr>
        <w:rPr>
          <w:rFonts w:ascii="Courier New" w:eastAsia="Courier New" w:hAnsi="Courier New" w:cs="Courier New"/>
        </w:rPr>
      </w:pPr>
      <w:r>
        <w:rPr>
          <w:rFonts w:ascii="Courier New" w:eastAsia="Courier New" w:hAnsi="Courier New" w:cs="Courier New"/>
          <w:b/>
          <w:bCs/>
        </w:rPr>
        <w:t xml:space="preserve">FAR section affected: </w:t>
      </w:r>
      <w:r>
        <w:rPr>
          <w:rFonts w:ascii="Courier New" w:eastAsia="Courier New" w:hAnsi="Courier New" w:cs="Courier New"/>
        </w:rPr>
        <w:t>52.224-3</w:t>
      </w:r>
    </w:p>
    <w:p w:rsidR="00331C43" w14:paraId="04E0EFA5" w14:textId="77777777">
      <w:pPr>
        <w:widowControl w:val="0"/>
        <w:rPr>
          <w:rFonts w:ascii="Courier New" w:eastAsia="Courier New" w:hAnsi="Courier New" w:cs="Courier New"/>
          <w:u w:val="single"/>
        </w:rPr>
      </w:pPr>
    </w:p>
    <w:p w:rsidR="00331C43" w14:paraId="44563B9F" w14:textId="77777777">
      <w:pPr>
        <w:widowControl w:val="0"/>
        <w:rPr>
          <w:rFonts w:ascii="Courier New" w:eastAsia="Courier New" w:hAnsi="Courier New" w:cs="Courier New"/>
        </w:rPr>
      </w:pPr>
      <w:r>
        <w:rPr>
          <w:rFonts w:ascii="Courier New" w:eastAsia="Courier New" w:hAnsi="Courier New" w:cs="Courier New"/>
          <w:u w:val="single"/>
        </w:rPr>
        <w:t>Overview of Information Collection:</w:t>
      </w:r>
    </w:p>
    <w:p w:rsidR="00331C43" w14:paraId="3B3A22D2" w14:textId="77777777">
      <w:pPr>
        <w:widowControl w:val="0"/>
        <w:numPr>
          <w:ilvl w:val="0"/>
          <w:numId w:val="2"/>
        </w:numPr>
        <w:tabs>
          <w:tab w:val="left" w:pos="820"/>
          <w:tab w:val="left" w:pos="821"/>
        </w:tabs>
        <w:ind w:right="195"/>
        <w:rPr>
          <w:rFonts w:ascii="Courier New" w:eastAsia="Courier New" w:hAnsi="Courier New" w:cs="Courier New"/>
        </w:rPr>
      </w:pPr>
      <w:r>
        <w:rPr>
          <w:rFonts w:ascii="Courier New" w:eastAsia="Courier New" w:hAnsi="Courier New" w:cs="Courier New"/>
        </w:rPr>
        <w:t>This justification supports clearance of an extension of the collection.</w:t>
      </w:r>
    </w:p>
    <w:p w:rsidR="00331C43" w14:paraId="4056A6E2" w14:textId="77777777">
      <w:pPr>
        <w:widowControl w:val="0"/>
        <w:tabs>
          <w:tab w:val="left" w:pos="820"/>
          <w:tab w:val="left" w:pos="821"/>
        </w:tabs>
        <w:ind w:left="720" w:right="195"/>
        <w:rPr>
          <w:rFonts w:ascii="Courier New" w:eastAsia="Courier New" w:hAnsi="Courier New" w:cs="Courier New"/>
        </w:rPr>
      </w:pPr>
    </w:p>
    <w:p w:rsidR="00331C43" w14:paraId="574D08B6" w14:textId="18769F9D">
      <w:pPr>
        <w:widowControl w:val="0"/>
        <w:tabs>
          <w:tab w:val="left" w:pos="820"/>
          <w:tab w:val="left" w:pos="821"/>
        </w:tabs>
        <w:ind w:left="720" w:right="195"/>
        <w:rPr>
          <w:rFonts w:ascii="Courier New" w:eastAsia="Courier New" w:hAnsi="Courier New" w:cs="Courier New"/>
        </w:rPr>
      </w:pPr>
      <w:r>
        <w:rPr>
          <w:rFonts w:ascii="Courier New" w:eastAsia="Courier New" w:hAnsi="Courier New" w:cs="Courier New"/>
        </w:rPr>
        <w:t>There are no program changes. The FAR requirements remain the same. This extension includes adjustments to the burden due to use of the latest procurement data available in the System for Award Management (SAM) at SAM.gov (former</w:t>
      </w:r>
      <w:r w:rsidR="00517F29">
        <w:rPr>
          <w:rFonts w:ascii="Courier New" w:eastAsia="Courier New" w:hAnsi="Courier New" w:cs="Courier New"/>
        </w:rPr>
        <w:t>ly</w:t>
      </w:r>
      <w:r>
        <w:rPr>
          <w:rFonts w:ascii="Courier New" w:eastAsia="Courier New" w:hAnsi="Courier New" w:cs="Courier New"/>
        </w:rPr>
        <w:t xml:space="preserve"> FPDS.gov), the calendar year 2026 Office of Personnel Management (OPM) General Schedule (GS) wage rates for the rest of the United States, and a different set of assumptions as explained in item 15 of this supporting statement.</w:t>
      </w:r>
    </w:p>
    <w:p w:rsidR="00331C43" w14:paraId="41541B70" w14:textId="77777777">
      <w:pPr>
        <w:widowControl w:val="0"/>
        <w:tabs>
          <w:tab w:val="left" w:pos="820"/>
          <w:tab w:val="left" w:pos="821"/>
        </w:tabs>
        <w:ind w:right="195"/>
        <w:rPr>
          <w:rFonts w:ascii="Courier New" w:eastAsia="Courier New" w:hAnsi="Courier New" w:cs="Courier New"/>
        </w:rPr>
      </w:pPr>
    </w:p>
    <w:p w:rsidR="00331C43" w14:paraId="52AD720D" w14:textId="77777777">
      <w:pPr>
        <w:widowControl w:val="0"/>
        <w:numPr>
          <w:ilvl w:val="0"/>
          <w:numId w:val="1"/>
        </w:numPr>
        <w:tabs>
          <w:tab w:val="left" w:pos="360"/>
          <w:tab w:val="left" w:pos="630"/>
          <w:tab w:val="left" w:pos="720"/>
          <w:tab w:val="left" w:pos="1080"/>
        </w:tabs>
        <w:rPr>
          <w:rFonts w:ascii="Courier New" w:eastAsia="Courier New" w:hAnsi="Courier New" w:cs="Courier New"/>
        </w:rPr>
      </w:pPr>
      <w:r>
        <w:rPr>
          <w:rFonts w:ascii="Courier New" w:eastAsia="Courier New" w:hAnsi="Courier New" w:cs="Courier New"/>
          <w:u w:val="single"/>
        </w:rPr>
        <w:t>Need &amp; Method for the Information Collection.</w:t>
      </w:r>
      <w:r>
        <w:rPr>
          <w:rFonts w:ascii="Courier New" w:eastAsia="Courier New" w:hAnsi="Courier New" w:cs="Courier New"/>
        </w:rPr>
        <w:t xml:space="preserve"> This clearance covers the information that contractors must submit to comply with the following FAR requirements:</w:t>
      </w:r>
    </w:p>
    <w:p w:rsidR="00331C43" w14:paraId="62FD38CF" w14:textId="77777777">
      <w:pPr>
        <w:widowControl w:val="0"/>
        <w:tabs>
          <w:tab w:val="left" w:pos="360"/>
          <w:tab w:val="left" w:pos="630"/>
          <w:tab w:val="left" w:pos="720"/>
          <w:tab w:val="left" w:pos="1080"/>
        </w:tabs>
        <w:ind w:left="360"/>
        <w:rPr>
          <w:rFonts w:ascii="Courier New" w:eastAsia="Courier New" w:hAnsi="Courier New" w:cs="Courier New"/>
        </w:rPr>
      </w:pPr>
    </w:p>
    <w:p w:rsidR="00331C43" w14:paraId="2779401B" w14:textId="77777777">
      <w:pPr>
        <w:widowControl w:val="0"/>
        <w:tabs>
          <w:tab w:val="left" w:pos="360"/>
          <w:tab w:val="left" w:pos="630"/>
          <w:tab w:val="left" w:pos="720"/>
          <w:tab w:val="left" w:pos="1080"/>
        </w:tabs>
        <w:ind w:left="360"/>
        <w:rPr>
          <w:rFonts w:ascii="Courier New" w:eastAsia="Courier New" w:hAnsi="Courier New" w:cs="Courier New"/>
        </w:rPr>
      </w:pPr>
      <w:r>
        <w:rPr>
          <w:rFonts w:ascii="Courier New" w:eastAsia="Courier New" w:hAnsi="Courier New" w:cs="Courier New"/>
        </w:rPr>
        <w:t>●   FAR 52.224-3(d).  This clause requires contractors to:</w:t>
      </w:r>
    </w:p>
    <w:p w:rsidR="00331C43" w14:paraId="719D1CA7" w14:textId="77777777">
      <w:pPr>
        <w:widowControl w:val="0"/>
        <w:tabs>
          <w:tab w:val="left" w:pos="360"/>
          <w:tab w:val="left" w:pos="630"/>
          <w:tab w:val="left" w:pos="720"/>
          <w:tab w:val="left" w:pos="1080"/>
        </w:tabs>
        <w:ind w:left="360"/>
        <w:rPr>
          <w:rFonts w:ascii="Courier New" w:eastAsia="Courier New" w:hAnsi="Courier New" w:cs="Courier New"/>
        </w:rPr>
      </w:pPr>
    </w:p>
    <w:p w:rsidR="00331C43" w14:paraId="3361327F" w14:textId="77777777">
      <w:pPr>
        <w:widowControl w:val="0"/>
        <w:tabs>
          <w:tab w:val="left" w:pos="360"/>
          <w:tab w:val="left" w:pos="630"/>
          <w:tab w:val="left" w:pos="720"/>
          <w:tab w:val="left" w:pos="1080"/>
        </w:tabs>
        <w:ind w:left="360"/>
        <w:rPr>
          <w:rFonts w:ascii="Courier New" w:eastAsia="Courier New" w:hAnsi="Courier New" w:cs="Courier New"/>
        </w:rPr>
      </w:pPr>
      <w:r>
        <w:rPr>
          <w:rFonts w:ascii="Courier New" w:eastAsia="Courier New" w:hAnsi="Courier New" w:cs="Courier New"/>
        </w:rPr>
        <w:t xml:space="preserve"> (a) Maintain a record of initial and annual privacy training, for the contractor’s employees that: (</w:t>
      </w:r>
      <w:r>
        <w:rPr>
          <w:rFonts w:ascii="Courier New" w:eastAsia="Courier New" w:hAnsi="Courier New" w:cs="Courier New"/>
        </w:rPr>
        <w:t>i</w:t>
      </w:r>
      <w:r>
        <w:rPr>
          <w:rFonts w:ascii="Courier New" w:eastAsia="Courier New" w:hAnsi="Courier New" w:cs="Courier New"/>
        </w:rPr>
        <w:t>) have access to a system of records; (ii) create, collect, use, process, store, maintain, disseminate, disclose, dispose, or otherwise handle personally identifiable information (PII) on behalf of an agency; or (iii) design, develop, maintain, or operate a system of records; and</w:t>
      </w:r>
    </w:p>
    <w:p w:rsidR="00331C43" w14:paraId="32DB077B" w14:textId="77777777">
      <w:pPr>
        <w:widowControl w:val="0"/>
        <w:tabs>
          <w:tab w:val="left" w:pos="360"/>
          <w:tab w:val="left" w:pos="630"/>
          <w:tab w:val="left" w:pos="720"/>
          <w:tab w:val="left" w:pos="1080"/>
        </w:tabs>
        <w:ind w:left="360"/>
        <w:rPr>
          <w:rFonts w:ascii="Courier New" w:eastAsia="Courier New" w:hAnsi="Courier New" w:cs="Courier New"/>
        </w:rPr>
      </w:pPr>
    </w:p>
    <w:p w:rsidR="00331C43" w14:paraId="17BACF41" w14:textId="77777777">
      <w:pPr>
        <w:widowControl w:val="0"/>
        <w:tabs>
          <w:tab w:val="left" w:pos="360"/>
          <w:tab w:val="left" w:pos="630"/>
          <w:tab w:val="left" w:pos="720"/>
          <w:tab w:val="left" w:pos="1080"/>
        </w:tabs>
        <w:ind w:left="360"/>
        <w:rPr>
          <w:rFonts w:ascii="Courier New" w:eastAsia="Courier New" w:hAnsi="Courier New" w:cs="Courier New"/>
        </w:rPr>
      </w:pPr>
      <w:r>
        <w:rPr>
          <w:rFonts w:ascii="Courier New" w:eastAsia="Courier New" w:hAnsi="Courier New" w:cs="Courier New"/>
        </w:rPr>
        <w:t>(b) Provide documentation of completion of such privacy training to the contracting officer if requested.</w:t>
      </w:r>
    </w:p>
    <w:p w:rsidR="00331C43" w14:paraId="74ADB4B8" w14:textId="77777777">
      <w:pPr>
        <w:rPr>
          <w:rFonts w:ascii="Courier New" w:eastAsia="Courier New" w:hAnsi="Courier New" w:cs="Courier New"/>
          <w:u w:val="single"/>
        </w:rPr>
      </w:pPr>
    </w:p>
    <w:p w:rsidR="00331C43" w14:paraId="46FAFB51" w14:textId="77777777">
      <w:pPr>
        <w:widowControl w:val="0"/>
        <w:numPr>
          <w:ilvl w:val="0"/>
          <w:numId w:val="1"/>
        </w:numPr>
        <w:tabs>
          <w:tab w:val="left" w:pos="360"/>
          <w:tab w:val="left" w:pos="630"/>
          <w:tab w:val="left" w:pos="720"/>
          <w:tab w:val="left" w:pos="1080"/>
        </w:tabs>
        <w:rPr>
          <w:rFonts w:ascii="Courier New" w:eastAsia="Courier New" w:hAnsi="Courier New" w:cs="Courier New"/>
        </w:rPr>
      </w:pPr>
      <w:r>
        <w:rPr>
          <w:rFonts w:ascii="Courier New" w:eastAsia="Courier New" w:hAnsi="Courier New" w:cs="Courier New"/>
          <w:u w:val="single"/>
        </w:rPr>
        <w:t>Use of the Information.</w:t>
      </w:r>
      <w:r>
        <w:rPr>
          <w:rFonts w:ascii="Courier New" w:eastAsia="Courier New" w:hAnsi="Courier New" w:cs="Courier New"/>
        </w:rPr>
        <w:t xml:space="preserve"> The contracting officer will use the information in contract administration and to establish that all applicable contractor and subcontractor employees comply with the privacy training requirements.</w:t>
      </w:r>
    </w:p>
    <w:p w:rsidR="00331C43" w14:paraId="258831A9" w14:textId="77777777">
      <w:pPr>
        <w:rPr>
          <w:rFonts w:ascii="Courier New" w:eastAsia="Courier New" w:hAnsi="Courier New" w:cs="Courier New"/>
          <w:u w:val="single"/>
        </w:rPr>
      </w:pPr>
      <w:r>
        <w:rPr>
          <w:rFonts w:ascii="Courier New" w:eastAsia="Courier New" w:hAnsi="Courier New" w:cs="Courier New"/>
        </w:rPr>
        <w:t> </w:t>
      </w:r>
    </w:p>
    <w:p w:rsidR="00331C43" w14:paraId="74E5F510" w14:textId="77777777">
      <w:pPr>
        <w:widowControl w:val="0"/>
        <w:numPr>
          <w:ilvl w:val="0"/>
          <w:numId w:val="1"/>
        </w:numP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Use of Information Technology.</w:t>
      </w:r>
      <w:r>
        <w:rPr>
          <w:rFonts w:ascii="Courier New" w:eastAsia="Courier New" w:hAnsi="Courier New" w:cs="Courier New"/>
        </w:rPr>
        <w:t xml:space="preserve"> Federal agencies use information technology to the maximum extent practicable. Where both the Government agency and contractors are capable of electronic interchange, the contractors may submit this </w:t>
      </w:r>
      <w:r>
        <w:rPr>
          <w:rFonts w:ascii="Courier New" w:eastAsia="Courier New" w:hAnsi="Courier New" w:cs="Courier New"/>
        </w:rPr>
        <w:t>information collection requirement electronically.</w:t>
      </w:r>
    </w:p>
    <w:p w:rsidR="00331C43" w14:paraId="34F74A65" w14:textId="77777777">
      <w:pPr>
        <w:widowControl w:val="0"/>
        <w:tabs>
          <w:tab w:val="left" w:pos="360"/>
          <w:tab w:val="left" w:pos="720"/>
          <w:tab w:val="left" w:pos="1080"/>
        </w:tabs>
        <w:rPr>
          <w:rFonts w:ascii="Courier New" w:eastAsia="Courier New" w:hAnsi="Courier New" w:cs="Courier New"/>
        </w:rPr>
      </w:pPr>
    </w:p>
    <w:p w:rsidR="00331C43" w14:paraId="0DEDC79B" w14:textId="77777777">
      <w:pPr>
        <w:widowControl w:val="0"/>
        <w:numPr>
          <w:ilvl w:val="0"/>
          <w:numId w:val="1"/>
        </w:numP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Non-duplication.</w:t>
      </w:r>
      <w:r>
        <w:rPr>
          <w:rFonts w:ascii="Courier New" w:eastAsia="Courier New" w:hAnsi="Courier New" w:cs="Courier New"/>
        </w:rPr>
        <w:t xml:space="preserve"> These requirements are issued under the FAR, which has been developed to standardize Federal procurement practices and eliminate unnecessary duplication.</w:t>
      </w:r>
    </w:p>
    <w:p w:rsidR="00331C43" w14:paraId="760F40A6" w14:textId="77777777">
      <w:pPr>
        <w:widowControl w:val="0"/>
        <w:tabs>
          <w:tab w:val="left" w:pos="360"/>
          <w:tab w:val="left" w:pos="720"/>
          <w:tab w:val="left" w:pos="1080"/>
          <w:tab w:val="left" w:pos="1440"/>
        </w:tabs>
        <w:rPr>
          <w:rFonts w:ascii="Courier New" w:eastAsia="Courier New" w:hAnsi="Courier New" w:cs="Courier New"/>
        </w:rPr>
      </w:pPr>
    </w:p>
    <w:p w:rsidR="00331C43" w14:paraId="42301B1D" w14:textId="77777777">
      <w:pPr>
        <w:widowControl w:val="0"/>
        <w:numPr>
          <w:ilvl w:val="0"/>
          <w:numId w:val="1"/>
        </w:numP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Burden on Small Business.</w:t>
      </w:r>
      <w:r>
        <w:rPr>
          <w:rFonts w:ascii="Courier New" w:eastAsia="Courier New" w:hAnsi="Courier New" w:cs="Courier New"/>
        </w:rPr>
        <w:t xml:space="preserve"> The burden applied to small businesses is the minimum consistent with applicable laws, Executive orders, regulations, and prudent business practices.</w:t>
      </w:r>
    </w:p>
    <w:p w:rsidR="00331C43" w14:paraId="4A8CF649" w14:textId="77777777">
      <w:pPr>
        <w:widowControl w:val="0"/>
        <w:tabs>
          <w:tab w:val="left" w:pos="360"/>
          <w:tab w:val="left" w:pos="720"/>
          <w:tab w:val="left" w:pos="1080"/>
        </w:tabs>
        <w:ind w:left="360"/>
        <w:rPr>
          <w:rFonts w:ascii="Courier New" w:eastAsia="Courier New" w:hAnsi="Courier New" w:cs="Courier New"/>
        </w:rPr>
      </w:pPr>
    </w:p>
    <w:p w:rsidR="00331C43" w14:paraId="1CD124B1" w14:textId="77777777">
      <w:pPr>
        <w:widowControl w:val="0"/>
        <w:numPr>
          <w:ilvl w:val="0"/>
          <w:numId w:val="1"/>
        </w:numP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Less Frequent Collection.</w:t>
      </w:r>
      <w:r>
        <w:rPr>
          <w:rFonts w:ascii="Courier New" w:eastAsia="Courier New" w:hAnsi="Courier New" w:cs="Courier New"/>
        </w:rPr>
        <w:t xml:space="preserve"> Collection of information on a basis other than contract-by-contract is not practical.</w:t>
      </w:r>
    </w:p>
    <w:p w:rsidR="00331C43" w14:paraId="1E79496F" w14:textId="77777777">
      <w:pPr>
        <w:rPr>
          <w:rFonts w:ascii="Courier New" w:eastAsia="Courier New" w:hAnsi="Courier New" w:cs="Courier New"/>
        </w:rPr>
      </w:pPr>
    </w:p>
    <w:p w:rsidR="00331C43" w14:paraId="2E02E478" w14:textId="77777777">
      <w:pPr>
        <w:widowControl w:val="0"/>
        <w:numPr>
          <w:ilvl w:val="0"/>
          <w:numId w:val="1"/>
        </w:numP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Paperwork Reduction Act Guidelines.</w:t>
      </w:r>
      <w:r>
        <w:rPr>
          <w:rFonts w:ascii="Courier New" w:eastAsia="Courier New" w:hAnsi="Courier New" w:cs="Courier New"/>
        </w:rPr>
        <w:t xml:space="preserve"> Collection is consistent with guidelines in 5 CFR 1320.5(d)(2).</w:t>
      </w:r>
    </w:p>
    <w:p w:rsidR="00331C43" w14:paraId="40038B76" w14:textId="77777777">
      <w:pPr>
        <w:widowControl w:val="0"/>
        <w:tabs>
          <w:tab w:val="left" w:pos="360"/>
          <w:tab w:val="left" w:pos="720"/>
          <w:tab w:val="left" w:pos="1080"/>
          <w:tab w:val="left" w:pos="1440"/>
        </w:tabs>
        <w:ind w:left="360"/>
        <w:rPr>
          <w:rFonts w:ascii="Courier New" w:eastAsia="Courier New" w:hAnsi="Courier New" w:cs="Courier New"/>
        </w:rPr>
      </w:pPr>
    </w:p>
    <w:p w:rsidR="00331C43" w14:paraId="630A0CB9" w14:textId="77777777">
      <w:pPr>
        <w:widowControl w:val="0"/>
        <w:numPr>
          <w:ilvl w:val="0"/>
          <w:numId w:val="1"/>
        </w:numP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Consultation and Public Comments.</w:t>
      </w:r>
    </w:p>
    <w:p w:rsidR="00331C43" w:rsidRPr="00C40343" w:rsidP="00C40343" w14:paraId="25DDF1AA" w14:textId="7D1E7D1F">
      <w:pPr>
        <w:pStyle w:val="NormalWeb"/>
        <w:numPr>
          <w:ilvl w:val="0"/>
          <w:numId w:val="6"/>
        </w:numPr>
        <w:spacing w:before="0" w:beforeAutospacing="0" w:after="0" w:afterAutospacing="0"/>
        <w:rPr>
          <w:rFonts w:ascii="Courier New" w:eastAsia="Courier New" w:hAnsi="Courier New" w:cs="Courier New"/>
        </w:rPr>
      </w:pPr>
      <w:r>
        <w:rPr>
          <w:rFonts w:ascii="Courier New" w:eastAsia="Courier New" w:hAnsi="Courier New" w:cs="Courier New"/>
        </w:rPr>
        <w:t xml:space="preserve">A 60-day notice was published in the </w:t>
      </w:r>
      <w:r>
        <w:rPr>
          <w:rFonts w:ascii="Courier New" w:eastAsia="Courier New" w:hAnsi="Courier New" w:cs="Courier New"/>
          <w:i/>
          <w:iCs/>
        </w:rPr>
        <w:t>Federal Register</w:t>
      </w:r>
      <w:r>
        <w:rPr>
          <w:rFonts w:ascii="Courier New" w:eastAsia="Courier New" w:hAnsi="Courier New" w:cs="Courier New"/>
        </w:rPr>
        <w:t xml:space="preserve"> at </w:t>
      </w:r>
      <w:r w:rsidRPr="00517F29" w:rsidR="00517F29">
        <w:rPr>
          <w:rFonts w:ascii="Courier New" w:eastAsia="Courier New" w:hAnsi="Courier New" w:cs="Courier New"/>
        </w:rPr>
        <w:t>91 FR 3030</w:t>
      </w:r>
      <w:r w:rsidR="00517F29">
        <w:rPr>
          <w:rFonts w:ascii="Courier New" w:eastAsia="Courier New" w:hAnsi="Courier New" w:cs="Courier New"/>
        </w:rPr>
        <w:t>5</w:t>
      </w:r>
      <w:r w:rsidRPr="00517F29" w:rsidR="00517F29">
        <w:rPr>
          <w:rFonts w:ascii="Courier New" w:eastAsia="Courier New" w:hAnsi="Courier New" w:cs="Courier New"/>
        </w:rPr>
        <w:t>, on May 22, 2026</w:t>
      </w:r>
      <w:r>
        <w:rPr>
          <w:rFonts w:ascii="Courier New" w:eastAsia="Courier New" w:hAnsi="Courier New" w:cs="Courier New"/>
        </w:rPr>
        <w:t>.</w:t>
      </w:r>
      <w:r w:rsidRPr="00517F29" w:rsidR="00517F29">
        <w:rPr>
          <w:rFonts w:ascii="Courier New" w:hAnsi="Courier New" w:cs="Courier New"/>
          <w:color w:val="0000FF"/>
        </w:rPr>
        <w:t xml:space="preserve"> </w:t>
      </w:r>
    </w:p>
    <w:p w:rsidR="00C40343" w:rsidP="00C40343" w14:paraId="4743B188" w14:textId="77777777">
      <w:pPr>
        <w:pStyle w:val="NormalWeb"/>
        <w:spacing w:before="0" w:beforeAutospacing="0" w:after="0" w:afterAutospacing="0"/>
        <w:ind w:left="720"/>
        <w:rPr>
          <w:rFonts w:ascii="Courier New" w:eastAsia="Courier New" w:hAnsi="Courier New" w:cs="Courier New"/>
        </w:rPr>
      </w:pPr>
    </w:p>
    <w:p w:rsidR="00331C43" w:rsidRPr="00517F29" w:rsidP="00517F29" w14:paraId="4E8CC7B8" w14:textId="75D7E224">
      <w:pPr>
        <w:pStyle w:val="ListParagraph"/>
        <w:widowControl w:val="0"/>
        <w:numPr>
          <w:ilvl w:val="0"/>
          <w:numId w:val="6"/>
        </w:numPr>
        <w:tabs>
          <w:tab w:val="left" w:pos="360"/>
          <w:tab w:val="left" w:pos="720"/>
          <w:tab w:val="left" w:pos="1080"/>
          <w:tab w:val="left" w:pos="1440"/>
        </w:tabs>
        <w:ind w:right="183"/>
        <w:rPr>
          <w:rFonts w:ascii="Courier New" w:eastAsia="Courier New" w:hAnsi="Courier New" w:cs="Courier New"/>
        </w:rPr>
      </w:pPr>
      <w:r w:rsidRPr="00517F29">
        <w:rPr>
          <w:rFonts w:ascii="Courier New" w:eastAsia="Courier New" w:hAnsi="Courier New" w:cs="Courier New"/>
        </w:rPr>
        <w:t>A</w:t>
      </w:r>
      <w:r w:rsidRPr="00517F29">
        <w:rPr>
          <w:rFonts w:ascii="Courier New" w:eastAsia="Courier New" w:hAnsi="Courier New" w:cs="Courier New"/>
        </w:rPr>
        <w:t xml:space="preserve"> 30-day notice was published in the </w:t>
      </w:r>
      <w:r w:rsidRPr="00517F29">
        <w:rPr>
          <w:rFonts w:ascii="Courier New" w:eastAsia="Courier New" w:hAnsi="Courier New" w:cs="Courier New"/>
          <w:i/>
          <w:iCs/>
        </w:rPr>
        <w:t>Federal Register</w:t>
      </w:r>
      <w:r w:rsidRPr="00517F29">
        <w:rPr>
          <w:rFonts w:ascii="Courier New" w:eastAsia="Courier New" w:hAnsi="Courier New" w:cs="Courier New"/>
        </w:rPr>
        <w:t xml:space="preserve"> at </w:t>
      </w:r>
      <w:r w:rsidR="00C40343">
        <w:rPr>
          <w:rFonts w:ascii="Courier New" w:eastAsia="Courier New" w:hAnsi="Courier New" w:cs="Courier New"/>
          <w:color w:val="0000FF"/>
        </w:rPr>
        <w:t>91</w:t>
      </w:r>
      <w:r w:rsidRPr="00517F29">
        <w:rPr>
          <w:rFonts w:ascii="Courier New" w:eastAsia="Courier New" w:hAnsi="Courier New" w:cs="Courier New"/>
        </w:rPr>
        <w:t xml:space="preserve"> FR </w:t>
      </w:r>
      <w:r w:rsidR="00C40343">
        <w:rPr>
          <w:rFonts w:ascii="Courier New" w:eastAsia="Courier New" w:hAnsi="Courier New" w:cs="Courier New"/>
          <w:color w:val="0000FF"/>
        </w:rPr>
        <w:t>52694</w:t>
      </w:r>
      <w:r w:rsidRPr="00517F29">
        <w:rPr>
          <w:rFonts w:ascii="Courier New" w:eastAsia="Courier New" w:hAnsi="Courier New" w:cs="Courier New"/>
        </w:rPr>
        <w:t xml:space="preserve">, on </w:t>
      </w:r>
      <w:r w:rsidR="00C40343">
        <w:rPr>
          <w:rFonts w:ascii="Courier New" w:eastAsia="Courier New" w:hAnsi="Courier New" w:cs="Courier New"/>
          <w:color w:val="0000FF"/>
        </w:rPr>
        <w:t>August 14, 2026</w:t>
      </w:r>
      <w:r w:rsidRPr="00517F29">
        <w:rPr>
          <w:rFonts w:ascii="Courier New" w:eastAsia="Courier New" w:hAnsi="Courier New" w:cs="Courier New"/>
        </w:rPr>
        <w:t>.</w:t>
      </w:r>
    </w:p>
    <w:p w:rsidR="00331C43" w14:paraId="09D6CA32" w14:textId="77777777">
      <w:pPr>
        <w:widowControl w:val="0"/>
        <w:tabs>
          <w:tab w:val="left" w:pos="360"/>
          <w:tab w:val="left" w:pos="720"/>
          <w:tab w:val="left" w:pos="1080"/>
          <w:tab w:val="left" w:pos="1440"/>
        </w:tabs>
        <w:rPr>
          <w:rFonts w:ascii="Courier New" w:eastAsia="Courier New" w:hAnsi="Courier New" w:cs="Courier New"/>
        </w:rPr>
      </w:pPr>
    </w:p>
    <w:p w:rsidR="00331C43" w14:paraId="1017864E" w14:textId="77777777">
      <w:pPr>
        <w:widowControl w:val="0"/>
        <w:numPr>
          <w:ilvl w:val="0"/>
          <w:numId w:val="1"/>
        </w:numP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Gifts or Payment.</w:t>
      </w:r>
      <w:r>
        <w:rPr>
          <w:rFonts w:ascii="Courier New" w:eastAsia="Courier New" w:hAnsi="Courier New" w:cs="Courier New"/>
        </w:rPr>
        <w:t xml:space="preserve"> This collection does not provide any payment or gift to respondents, other than remuneration of contractors.</w:t>
      </w:r>
    </w:p>
    <w:p w:rsidR="00331C43" w14:paraId="71882344" w14:textId="77777777">
      <w:pPr>
        <w:widowControl w:val="0"/>
        <w:tabs>
          <w:tab w:val="left" w:pos="360"/>
          <w:tab w:val="left" w:pos="720"/>
          <w:tab w:val="left" w:pos="820"/>
          <w:tab w:val="left" w:pos="821"/>
          <w:tab w:val="left" w:pos="1080"/>
          <w:tab w:val="left" w:pos="1440"/>
        </w:tabs>
        <w:ind w:left="720" w:right="183"/>
        <w:rPr>
          <w:rFonts w:ascii="Courier New" w:eastAsia="Courier New" w:hAnsi="Courier New" w:cs="Courier New"/>
        </w:rPr>
      </w:pPr>
    </w:p>
    <w:p w:rsidR="00331C43" w14:paraId="0EBDEC1B" w14:textId="77777777">
      <w:pPr>
        <w:widowControl w:val="0"/>
        <w:numPr>
          <w:ilvl w:val="0"/>
          <w:numId w:val="1"/>
        </w:numP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Privacy &amp; Confidentiality.</w:t>
      </w:r>
      <w:r>
        <w:rPr>
          <w:rFonts w:ascii="Courier New" w:eastAsia="Courier New" w:hAnsi="Courier New" w:cs="Courier New"/>
        </w:rPr>
        <w:t xml:space="preserve">  This information is disclosed only to the extent consistent with prudent business practices, current regulations, and statutory requirements.</w:t>
      </w:r>
    </w:p>
    <w:p w:rsidR="00331C43" w14:paraId="271779CA" w14:textId="77777777">
      <w:pPr>
        <w:rPr>
          <w:rFonts w:ascii="Courier New" w:eastAsia="Courier New" w:hAnsi="Courier New" w:cs="Courier New"/>
        </w:rPr>
      </w:pPr>
    </w:p>
    <w:p w:rsidR="00331C43" w14:paraId="4AA7F3C7" w14:textId="77777777">
      <w:pPr>
        <w:widowControl w:val="0"/>
        <w:numPr>
          <w:ilvl w:val="0"/>
          <w:numId w:val="1"/>
        </w:numP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Sensitive Questions.</w:t>
      </w:r>
      <w:r>
        <w:rPr>
          <w:rFonts w:ascii="Courier New" w:eastAsia="Courier New" w:hAnsi="Courier New" w:cs="Courier New"/>
        </w:rPr>
        <w:t xml:space="preserve">  No sensitive questions are involved.</w:t>
      </w:r>
    </w:p>
    <w:p w:rsidR="00331C43" w14:paraId="283FF861" w14:textId="77777777">
      <w:pPr>
        <w:rPr>
          <w:rFonts w:ascii="Courier New" w:eastAsia="Courier New" w:hAnsi="Courier New" w:cs="Courier New"/>
        </w:rPr>
      </w:pPr>
    </w:p>
    <w:p w:rsidR="00331C43" w14:paraId="392867F9" w14:textId="77777777">
      <w:pPr>
        <w:widowControl w:val="0"/>
        <w:numPr>
          <w:ilvl w:val="0"/>
          <w:numId w:val="1"/>
        </w:numPr>
        <w:tabs>
          <w:tab w:val="left" w:pos="360"/>
          <w:tab w:val="left" w:pos="720"/>
          <w:tab w:val="left" w:pos="1080"/>
          <w:tab w:val="left" w:pos="1440"/>
        </w:tabs>
        <w:rPr>
          <w:rFonts w:ascii="Courier New" w:eastAsia="Courier New" w:hAnsi="Courier New" w:cs="Courier New"/>
        </w:rPr>
      </w:pPr>
      <w:r>
        <w:rPr>
          <w:rFonts w:ascii="Courier New" w:eastAsia="Courier New" w:hAnsi="Courier New" w:cs="Courier New"/>
          <w:u w:val="single"/>
        </w:rPr>
        <w:t>Burden Estimate.</w:t>
      </w:r>
    </w:p>
    <w:p w:rsidR="00331C43" w14:paraId="5E2980EA" w14:textId="77777777">
      <w:pPr>
        <w:widowControl w:val="0"/>
        <w:tabs>
          <w:tab w:val="left" w:pos="360"/>
          <w:tab w:val="left" w:pos="720"/>
          <w:tab w:val="left" w:pos="1080"/>
          <w:tab w:val="left" w:pos="1440"/>
        </w:tabs>
        <w:rPr>
          <w:rFonts w:ascii="Courier New" w:eastAsia="Courier New" w:hAnsi="Courier New" w:cs="Courier New"/>
          <w:u w:val="single"/>
        </w:rPr>
      </w:pPr>
    </w:p>
    <w:tbl>
      <w:tblPr>
        <w:tblStyle w:val="a"/>
        <w:tblW w:w="9360" w:type="dxa"/>
        <w:tblInd w:w="0" w:type="dxa"/>
        <w:tblBorders>
          <w:top w:val="nil"/>
          <w:left w:val="nil"/>
          <w:bottom w:val="nil"/>
          <w:right w:val="nil"/>
          <w:insideH w:val="nil"/>
          <w:insideV w:val="nil"/>
        </w:tblBorders>
        <w:tblLayout w:type="fixed"/>
        <w:tblLook w:val="0600"/>
      </w:tblPr>
      <w:tblGrid>
        <w:gridCol w:w="2336"/>
        <w:gridCol w:w="1112"/>
        <w:gridCol w:w="889"/>
        <w:gridCol w:w="900"/>
        <w:gridCol w:w="967"/>
        <w:gridCol w:w="1111"/>
        <w:gridCol w:w="833"/>
        <w:gridCol w:w="1212"/>
      </w:tblGrid>
      <w:tr w14:paraId="09E0D9A2" w14:textId="77777777">
        <w:tblPrEx>
          <w:tblW w:w="9360" w:type="dxa"/>
          <w:tblInd w:w="0" w:type="dxa"/>
          <w:tblBorders>
            <w:top w:val="nil"/>
            <w:left w:val="nil"/>
            <w:bottom w:val="nil"/>
            <w:right w:val="nil"/>
            <w:insideH w:val="nil"/>
            <w:insideV w:val="nil"/>
          </w:tblBorders>
          <w:tblLayout w:type="fixed"/>
          <w:tblLook w:val="0600"/>
        </w:tblPrEx>
        <w:trPr>
          <w:trHeight w:val="510"/>
        </w:trPr>
        <w:tc>
          <w:tcPr>
            <w:tcW w:w="2334"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center"/>
          </w:tcPr>
          <w:p w:rsidR="00331C43" w14:paraId="79437974" w14:textId="77777777">
            <w:pPr>
              <w:widowControl w:val="0"/>
              <w:spacing w:line="276" w:lineRule="auto"/>
              <w:jc w:val="center"/>
              <w:rPr>
                <w:rFonts w:ascii="Arial" w:eastAsia="Arial" w:hAnsi="Arial" w:cs="Arial"/>
                <w:sz w:val="20"/>
                <w:szCs w:val="20"/>
              </w:rPr>
            </w:pPr>
            <w:r>
              <w:rPr>
                <w:rFonts w:ascii="Arial" w:eastAsia="Arial" w:hAnsi="Arial" w:cs="Arial"/>
                <w:sz w:val="18"/>
                <w:szCs w:val="18"/>
              </w:rPr>
              <w:t>Summary of Annual Cost to the Public</w:t>
            </w:r>
          </w:p>
        </w:tc>
        <w:tc>
          <w:tcPr>
            <w:tcW w:w="1111"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2C975F49" w14:textId="77777777">
            <w:pPr>
              <w:widowControl w:val="0"/>
              <w:spacing w:line="276" w:lineRule="auto"/>
              <w:rPr>
                <w:rFonts w:ascii="Arial" w:eastAsia="Arial" w:hAnsi="Arial" w:cs="Arial"/>
                <w:sz w:val="20"/>
                <w:szCs w:val="20"/>
              </w:rPr>
            </w:pPr>
            <w:r>
              <w:rPr>
                <w:rFonts w:ascii="Arial" w:eastAsia="Arial" w:hAnsi="Arial" w:cs="Arial"/>
                <w:sz w:val="18"/>
                <w:szCs w:val="18"/>
              </w:rPr>
              <w:t>Estimated respondents/yr</w:t>
            </w:r>
          </w:p>
        </w:tc>
        <w:tc>
          <w:tcPr>
            <w:tcW w:w="889"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462F4F02" w14:textId="77777777">
            <w:pPr>
              <w:widowControl w:val="0"/>
              <w:spacing w:line="276" w:lineRule="auto"/>
              <w:rPr>
                <w:rFonts w:ascii="Arial" w:eastAsia="Arial" w:hAnsi="Arial" w:cs="Arial"/>
                <w:sz w:val="20"/>
                <w:szCs w:val="20"/>
              </w:rPr>
            </w:pPr>
            <w:r>
              <w:rPr>
                <w:rFonts w:ascii="Arial" w:eastAsia="Arial" w:hAnsi="Arial" w:cs="Arial"/>
                <w:sz w:val="18"/>
                <w:szCs w:val="18"/>
              </w:rPr>
              <w:t>Responses/respondent</w:t>
            </w:r>
          </w:p>
        </w:tc>
        <w:tc>
          <w:tcPr>
            <w:tcW w:w="900"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1FF6D140" w14:textId="77777777">
            <w:pPr>
              <w:widowControl w:val="0"/>
              <w:spacing w:line="276" w:lineRule="auto"/>
              <w:rPr>
                <w:rFonts w:ascii="Arial" w:eastAsia="Arial" w:hAnsi="Arial" w:cs="Arial"/>
                <w:sz w:val="20"/>
                <w:szCs w:val="20"/>
              </w:rPr>
            </w:pPr>
            <w:r>
              <w:rPr>
                <w:rFonts w:ascii="Arial" w:eastAsia="Arial" w:hAnsi="Arial" w:cs="Arial"/>
                <w:sz w:val="18"/>
                <w:szCs w:val="18"/>
              </w:rPr>
              <w:t>Total annual responses</w:t>
            </w:r>
          </w:p>
        </w:tc>
        <w:tc>
          <w:tcPr>
            <w:tcW w:w="967"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5AC64FB4" w14:textId="77777777">
            <w:pPr>
              <w:widowControl w:val="0"/>
              <w:spacing w:line="276" w:lineRule="auto"/>
              <w:rPr>
                <w:rFonts w:ascii="Arial" w:eastAsia="Arial" w:hAnsi="Arial" w:cs="Arial"/>
                <w:sz w:val="20"/>
                <w:szCs w:val="20"/>
              </w:rPr>
            </w:pPr>
            <w:r>
              <w:rPr>
                <w:rFonts w:ascii="Arial" w:eastAsia="Arial" w:hAnsi="Arial" w:cs="Arial"/>
                <w:sz w:val="18"/>
                <w:szCs w:val="18"/>
              </w:rPr>
              <w:t xml:space="preserve">Estimated </w:t>
            </w:r>
            <w:r>
              <w:rPr>
                <w:rFonts w:ascii="Arial" w:eastAsia="Arial" w:hAnsi="Arial" w:cs="Arial"/>
                <w:sz w:val="18"/>
                <w:szCs w:val="18"/>
              </w:rPr>
              <w:t>hrs</w:t>
            </w:r>
            <w:r>
              <w:rPr>
                <w:rFonts w:ascii="Arial" w:eastAsia="Arial" w:hAnsi="Arial" w:cs="Arial"/>
                <w:sz w:val="18"/>
                <w:szCs w:val="18"/>
              </w:rPr>
              <w:t>/response</w:t>
            </w:r>
          </w:p>
        </w:tc>
        <w:tc>
          <w:tcPr>
            <w:tcW w:w="1111"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04EC82DD" w14:textId="77777777">
            <w:pPr>
              <w:widowControl w:val="0"/>
              <w:spacing w:line="276" w:lineRule="auto"/>
              <w:rPr>
                <w:rFonts w:ascii="Arial" w:eastAsia="Arial" w:hAnsi="Arial" w:cs="Arial"/>
                <w:sz w:val="20"/>
                <w:szCs w:val="20"/>
              </w:rPr>
            </w:pPr>
            <w:r>
              <w:rPr>
                <w:rFonts w:ascii="Arial" w:eastAsia="Arial" w:hAnsi="Arial" w:cs="Arial"/>
                <w:sz w:val="18"/>
                <w:szCs w:val="18"/>
              </w:rPr>
              <w:t xml:space="preserve">Estimated total burden </w:t>
            </w:r>
            <w:r>
              <w:rPr>
                <w:rFonts w:ascii="Arial" w:eastAsia="Arial" w:hAnsi="Arial" w:cs="Arial"/>
                <w:sz w:val="18"/>
                <w:szCs w:val="18"/>
              </w:rPr>
              <w:t>hrs</w:t>
            </w:r>
          </w:p>
        </w:tc>
        <w:tc>
          <w:tcPr>
            <w:tcW w:w="833"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0064FCEE" w14:textId="77777777">
            <w:pPr>
              <w:widowControl w:val="0"/>
              <w:spacing w:line="276" w:lineRule="auto"/>
              <w:rPr>
                <w:rFonts w:ascii="Arial" w:eastAsia="Arial" w:hAnsi="Arial" w:cs="Arial"/>
                <w:sz w:val="20"/>
                <w:szCs w:val="20"/>
              </w:rPr>
            </w:pPr>
            <w:r>
              <w:rPr>
                <w:rFonts w:ascii="Arial" w:eastAsia="Arial" w:hAnsi="Arial" w:cs="Arial"/>
                <w:sz w:val="18"/>
                <w:szCs w:val="18"/>
              </w:rPr>
              <w:t>Hourly rate</w:t>
            </w:r>
          </w:p>
        </w:tc>
        <w:tc>
          <w:tcPr>
            <w:tcW w:w="1211"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3D47E31E" w14:textId="77777777">
            <w:pPr>
              <w:widowControl w:val="0"/>
              <w:spacing w:line="276" w:lineRule="auto"/>
              <w:rPr>
                <w:rFonts w:ascii="Arial" w:eastAsia="Arial" w:hAnsi="Arial" w:cs="Arial"/>
                <w:sz w:val="20"/>
                <w:szCs w:val="20"/>
              </w:rPr>
            </w:pPr>
            <w:r>
              <w:rPr>
                <w:rFonts w:ascii="Arial" w:eastAsia="Arial" w:hAnsi="Arial" w:cs="Arial"/>
                <w:sz w:val="18"/>
                <w:szCs w:val="18"/>
              </w:rPr>
              <w:t>Estimated annual cost to the public</w:t>
            </w:r>
          </w:p>
        </w:tc>
      </w:tr>
      <w:tr w14:paraId="0F1CC3E7" w14:textId="77777777">
        <w:tblPrEx>
          <w:tblW w:w="9360" w:type="dxa"/>
          <w:tblInd w:w="0" w:type="dxa"/>
          <w:tblLayout w:type="fixed"/>
          <w:tblLook w:val="0600"/>
        </w:tblPrEx>
        <w:trPr>
          <w:trHeight w:val="315"/>
        </w:trPr>
        <w:tc>
          <w:tcPr>
            <w:tcW w:w="2334"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331C43" w14:paraId="1209D4A6" w14:textId="77777777">
            <w:pPr>
              <w:widowControl w:val="0"/>
              <w:spacing w:line="276" w:lineRule="auto"/>
              <w:jc w:val="right"/>
              <w:rPr>
                <w:rFonts w:ascii="Arial" w:eastAsia="Arial" w:hAnsi="Arial" w:cs="Arial"/>
                <w:sz w:val="20"/>
                <w:szCs w:val="20"/>
              </w:rPr>
            </w:pPr>
            <w:r>
              <w:rPr>
                <w:rFonts w:ascii="Arial" w:eastAsia="Arial" w:hAnsi="Arial" w:cs="Arial"/>
                <w:b/>
                <w:bCs/>
                <w:sz w:val="18"/>
                <w:szCs w:val="18"/>
              </w:rPr>
              <w:t>Reporting Burden</w:t>
            </w:r>
          </w:p>
        </w:tc>
        <w:tc>
          <w:tcPr>
            <w:tcW w:w="1111"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1E2FB202" w14:textId="733E4DFD">
            <w:pPr>
              <w:widowControl w:val="0"/>
              <w:spacing w:line="276" w:lineRule="auto"/>
              <w:jc w:val="right"/>
              <w:rPr>
                <w:rFonts w:ascii="Arial" w:eastAsia="Arial" w:hAnsi="Arial" w:cs="Arial"/>
                <w:sz w:val="20"/>
                <w:szCs w:val="20"/>
              </w:rPr>
            </w:pPr>
            <w:r>
              <w:rPr>
                <w:rFonts w:ascii="Arial" w:eastAsia="Arial" w:hAnsi="Arial" w:cs="Arial"/>
                <w:sz w:val="18"/>
                <w:szCs w:val="18"/>
              </w:rPr>
              <w:t>107</w:t>
            </w:r>
            <w:r w:rsidR="00BF3945">
              <w:rPr>
                <w:rFonts w:ascii="Arial" w:eastAsia="Arial" w:hAnsi="Arial" w:cs="Arial"/>
                <w:sz w:val="18"/>
                <w:szCs w:val="18"/>
              </w:rPr>
              <w:t>+</w:t>
            </w:r>
          </w:p>
        </w:tc>
        <w:tc>
          <w:tcPr>
            <w:tcW w:w="889"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26CCB811"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1</w:t>
            </w:r>
          </w:p>
        </w:tc>
        <w:tc>
          <w:tcPr>
            <w:tcW w:w="90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16BE26A4"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107</w:t>
            </w:r>
          </w:p>
        </w:tc>
        <w:tc>
          <w:tcPr>
            <w:tcW w:w="967"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17DD197A"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0.25</w:t>
            </w:r>
          </w:p>
        </w:tc>
        <w:tc>
          <w:tcPr>
            <w:tcW w:w="1111"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18272421"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27</w:t>
            </w:r>
          </w:p>
        </w:tc>
        <w:tc>
          <w:tcPr>
            <w:tcW w:w="833"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30A1D26B"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$50</w:t>
            </w:r>
          </w:p>
        </w:tc>
        <w:tc>
          <w:tcPr>
            <w:tcW w:w="1211"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4B1210D6"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$1,338</w:t>
            </w:r>
          </w:p>
        </w:tc>
      </w:tr>
      <w:tr w14:paraId="16FB0D34" w14:textId="77777777">
        <w:tblPrEx>
          <w:tblW w:w="9360" w:type="dxa"/>
          <w:tblInd w:w="0" w:type="dxa"/>
          <w:tblLayout w:type="fixed"/>
          <w:tblLook w:val="0600"/>
        </w:tblPrEx>
        <w:trPr>
          <w:trHeight w:val="315"/>
        </w:trPr>
        <w:tc>
          <w:tcPr>
            <w:tcW w:w="2334"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331C43" w14:paraId="5D942672" w14:textId="77777777">
            <w:pPr>
              <w:widowControl w:val="0"/>
              <w:spacing w:line="276" w:lineRule="auto"/>
              <w:jc w:val="right"/>
              <w:rPr>
                <w:rFonts w:ascii="Arial" w:eastAsia="Arial" w:hAnsi="Arial" w:cs="Arial"/>
                <w:sz w:val="20"/>
                <w:szCs w:val="20"/>
              </w:rPr>
            </w:pPr>
            <w:r>
              <w:rPr>
                <w:rFonts w:ascii="Arial" w:eastAsia="Arial" w:hAnsi="Arial" w:cs="Arial"/>
                <w:b/>
                <w:bCs/>
                <w:sz w:val="18"/>
                <w:szCs w:val="18"/>
              </w:rPr>
              <w:t>Recordkeeping Burden</w:t>
            </w:r>
          </w:p>
        </w:tc>
        <w:tc>
          <w:tcPr>
            <w:tcW w:w="1111"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1793BFBA"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4,282</w:t>
            </w:r>
          </w:p>
        </w:tc>
        <w:tc>
          <w:tcPr>
            <w:tcW w:w="889"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1A2F1405"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6</w:t>
            </w:r>
          </w:p>
        </w:tc>
        <w:tc>
          <w:tcPr>
            <w:tcW w:w="90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1B1FC84E"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25,692</w:t>
            </w:r>
          </w:p>
        </w:tc>
        <w:tc>
          <w:tcPr>
            <w:tcW w:w="967"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2D540C90"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0.50</w:t>
            </w:r>
          </w:p>
        </w:tc>
        <w:tc>
          <w:tcPr>
            <w:tcW w:w="1111"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0C72BAF2"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12,846</w:t>
            </w:r>
          </w:p>
        </w:tc>
        <w:tc>
          <w:tcPr>
            <w:tcW w:w="833"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287A8618"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$50</w:t>
            </w:r>
          </w:p>
        </w:tc>
        <w:tc>
          <w:tcPr>
            <w:tcW w:w="1211"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7F7718B0" w14:textId="77777777">
            <w:pPr>
              <w:widowControl w:val="0"/>
              <w:spacing w:line="276" w:lineRule="auto"/>
              <w:jc w:val="right"/>
              <w:rPr>
                <w:rFonts w:ascii="Arial" w:eastAsia="Arial" w:hAnsi="Arial" w:cs="Arial"/>
                <w:sz w:val="20"/>
                <w:szCs w:val="20"/>
              </w:rPr>
            </w:pPr>
            <w:r>
              <w:rPr>
                <w:rFonts w:ascii="Arial" w:eastAsia="Arial" w:hAnsi="Arial" w:cs="Arial"/>
                <w:sz w:val="18"/>
                <w:szCs w:val="18"/>
              </w:rPr>
              <w:t>$642,300</w:t>
            </w:r>
          </w:p>
        </w:tc>
      </w:tr>
      <w:tr w14:paraId="4A9CC6A4" w14:textId="77777777">
        <w:tblPrEx>
          <w:tblW w:w="9360" w:type="dxa"/>
          <w:tblInd w:w="0" w:type="dxa"/>
          <w:tblLayout w:type="fixed"/>
          <w:tblLook w:val="0600"/>
        </w:tblPrEx>
        <w:trPr>
          <w:trHeight w:val="315"/>
        </w:trPr>
        <w:tc>
          <w:tcPr>
            <w:tcW w:w="2334"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331C43" w14:paraId="383641B5" w14:textId="77777777">
            <w:pPr>
              <w:widowControl w:val="0"/>
              <w:spacing w:line="276" w:lineRule="auto"/>
              <w:rPr>
                <w:rFonts w:ascii="Arial" w:eastAsia="Arial" w:hAnsi="Arial" w:cs="Arial"/>
                <w:sz w:val="20"/>
                <w:szCs w:val="20"/>
              </w:rPr>
            </w:pPr>
            <w:r>
              <w:rPr>
                <w:rFonts w:ascii="Arial" w:eastAsia="Arial" w:hAnsi="Arial" w:cs="Arial"/>
                <w:b/>
                <w:bCs/>
                <w:sz w:val="18"/>
                <w:szCs w:val="18"/>
              </w:rPr>
              <w:t>Total annual cost to the public</w:t>
            </w:r>
          </w:p>
        </w:tc>
        <w:tc>
          <w:tcPr>
            <w:tcW w:w="1111"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148390FA" w14:textId="77777777">
            <w:pPr>
              <w:widowControl w:val="0"/>
              <w:spacing w:line="276" w:lineRule="auto"/>
              <w:jc w:val="center"/>
              <w:rPr>
                <w:rFonts w:ascii="Arial" w:eastAsia="Arial" w:hAnsi="Arial" w:cs="Arial"/>
                <w:sz w:val="20"/>
                <w:szCs w:val="20"/>
              </w:rPr>
            </w:pPr>
            <w:r>
              <w:rPr>
                <w:rFonts w:ascii="Arial" w:eastAsia="Arial" w:hAnsi="Arial" w:cs="Arial"/>
                <w:b/>
                <w:bCs/>
                <w:sz w:val="18"/>
                <w:szCs w:val="18"/>
              </w:rPr>
              <w:t>4,282</w:t>
            </w:r>
          </w:p>
        </w:tc>
        <w:tc>
          <w:tcPr>
            <w:tcW w:w="889"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165D8098" w14:textId="77777777">
            <w:pPr>
              <w:widowControl w:val="0"/>
              <w:spacing w:line="276" w:lineRule="auto"/>
              <w:rPr>
                <w:rFonts w:ascii="Arial" w:eastAsia="Arial" w:hAnsi="Arial" w:cs="Arial"/>
                <w:sz w:val="20"/>
                <w:szCs w:val="20"/>
              </w:rPr>
            </w:pPr>
          </w:p>
        </w:tc>
        <w:tc>
          <w:tcPr>
            <w:tcW w:w="90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1C1AFC6C" w14:textId="77777777">
            <w:pPr>
              <w:widowControl w:val="0"/>
              <w:spacing w:line="276" w:lineRule="auto"/>
              <w:jc w:val="center"/>
              <w:rPr>
                <w:rFonts w:ascii="Arial" w:eastAsia="Arial" w:hAnsi="Arial" w:cs="Arial"/>
                <w:sz w:val="20"/>
                <w:szCs w:val="20"/>
              </w:rPr>
            </w:pPr>
            <w:r>
              <w:rPr>
                <w:rFonts w:ascii="Arial" w:eastAsia="Arial" w:hAnsi="Arial" w:cs="Arial"/>
                <w:b/>
                <w:bCs/>
                <w:sz w:val="18"/>
                <w:szCs w:val="18"/>
              </w:rPr>
              <w:t>25,799</w:t>
            </w:r>
          </w:p>
        </w:tc>
        <w:tc>
          <w:tcPr>
            <w:tcW w:w="967"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52526D5C" w14:textId="77777777">
            <w:pPr>
              <w:widowControl w:val="0"/>
              <w:spacing w:line="276" w:lineRule="auto"/>
              <w:rPr>
                <w:rFonts w:ascii="Arial" w:eastAsia="Arial" w:hAnsi="Arial" w:cs="Arial"/>
                <w:sz w:val="20"/>
                <w:szCs w:val="20"/>
              </w:rPr>
            </w:pPr>
          </w:p>
        </w:tc>
        <w:tc>
          <w:tcPr>
            <w:tcW w:w="1111"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3F3A501E" w14:textId="77777777">
            <w:pPr>
              <w:widowControl w:val="0"/>
              <w:spacing w:line="276" w:lineRule="auto"/>
              <w:jc w:val="center"/>
              <w:rPr>
                <w:rFonts w:ascii="Arial" w:eastAsia="Arial" w:hAnsi="Arial" w:cs="Arial"/>
                <w:sz w:val="20"/>
                <w:szCs w:val="20"/>
              </w:rPr>
            </w:pPr>
            <w:r>
              <w:rPr>
                <w:rFonts w:ascii="Arial" w:eastAsia="Arial" w:hAnsi="Arial" w:cs="Arial"/>
                <w:b/>
                <w:bCs/>
                <w:sz w:val="18"/>
                <w:szCs w:val="18"/>
              </w:rPr>
              <w:t>12,873</w:t>
            </w:r>
          </w:p>
        </w:tc>
        <w:tc>
          <w:tcPr>
            <w:tcW w:w="833"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3B2065BE" w14:textId="77777777">
            <w:pPr>
              <w:widowControl w:val="0"/>
              <w:spacing w:line="276" w:lineRule="auto"/>
              <w:rPr>
                <w:rFonts w:ascii="Arial" w:eastAsia="Arial" w:hAnsi="Arial" w:cs="Arial"/>
                <w:sz w:val="20"/>
                <w:szCs w:val="20"/>
              </w:rPr>
            </w:pPr>
          </w:p>
        </w:tc>
        <w:tc>
          <w:tcPr>
            <w:tcW w:w="1211"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64EBF181" w14:textId="77777777">
            <w:pPr>
              <w:widowControl w:val="0"/>
              <w:spacing w:line="276" w:lineRule="auto"/>
              <w:jc w:val="center"/>
              <w:rPr>
                <w:rFonts w:ascii="Arial" w:eastAsia="Arial" w:hAnsi="Arial" w:cs="Arial"/>
                <w:sz w:val="20"/>
                <w:szCs w:val="20"/>
              </w:rPr>
            </w:pPr>
            <w:r>
              <w:rPr>
                <w:rFonts w:ascii="Arial" w:eastAsia="Arial" w:hAnsi="Arial" w:cs="Arial"/>
                <w:b/>
                <w:bCs/>
                <w:sz w:val="18"/>
                <w:szCs w:val="18"/>
              </w:rPr>
              <w:t>$643,638</w:t>
            </w:r>
          </w:p>
        </w:tc>
      </w:tr>
    </w:tbl>
    <w:p w:rsidR="00331C43" w14:paraId="7B7D672D" w14:textId="77777777">
      <w:pPr>
        <w:widowControl w:val="0"/>
        <w:tabs>
          <w:tab w:val="left" w:pos="360"/>
          <w:tab w:val="left" w:pos="720"/>
          <w:tab w:val="left" w:pos="1080"/>
        </w:tabs>
        <w:spacing w:before="240" w:after="240"/>
        <w:rPr>
          <w:rFonts w:ascii="Courier New" w:eastAsia="Courier New" w:hAnsi="Courier New" w:cs="Courier New"/>
        </w:rPr>
      </w:pPr>
      <w:r>
        <w:rPr>
          <w:rFonts w:ascii="Courier New" w:eastAsia="Courier New" w:hAnsi="Courier New" w:cs="Courier New"/>
        </w:rPr>
        <w:t>+ This is a subset of the recordkeepers.</w:t>
      </w:r>
    </w:p>
    <w:p w:rsidR="00331C43" w14:paraId="14EC353E" w14:textId="77777777">
      <w:pPr>
        <w:widowControl w:val="0"/>
        <w:tabs>
          <w:tab w:val="left" w:pos="360"/>
          <w:tab w:val="left" w:pos="720"/>
          <w:tab w:val="left" w:pos="1080"/>
        </w:tabs>
        <w:spacing w:before="240" w:after="240"/>
        <w:rPr>
          <w:rFonts w:ascii="Courier New" w:eastAsia="Courier New" w:hAnsi="Courier New" w:cs="Courier New"/>
        </w:rPr>
      </w:pPr>
      <w:r>
        <w:rPr>
          <w:rFonts w:ascii="Courier New" w:eastAsia="Courier New" w:hAnsi="Courier New" w:cs="Courier New"/>
        </w:rPr>
        <w:t xml:space="preserve">For purposes of this information collection, it is assumed that only the Product Service Codes (PSCs) referenced below, would potentially be affected by the clause at FAR 52.224-3. These PSCs are non-product-based PSCs that have access to a system of records; create, collect, use, process, store, maintain, disseminate, </w:t>
      </w:r>
      <w:r>
        <w:rPr>
          <w:rFonts w:ascii="Courier New" w:eastAsia="Courier New" w:hAnsi="Courier New" w:cs="Courier New"/>
        </w:rPr>
        <w:t>disclose, dispose</w:t>
      </w:r>
      <w:r>
        <w:rPr>
          <w:rFonts w:ascii="Courier New" w:eastAsia="Courier New" w:hAnsi="Courier New" w:cs="Courier New"/>
        </w:rPr>
        <w:t xml:space="preserve">, or otherwise handle PII; or design, develop, maintain, or operate a system of records. It is further assumed that only a certain number of potentially affected contractors will </w:t>
      </w:r>
      <w:r>
        <w:rPr>
          <w:rFonts w:ascii="Courier New" w:eastAsia="Courier New" w:hAnsi="Courier New" w:cs="Courier New"/>
        </w:rPr>
        <w:t>actually be</w:t>
      </w:r>
      <w:r>
        <w:rPr>
          <w:rFonts w:ascii="Courier New" w:eastAsia="Courier New" w:hAnsi="Courier New" w:cs="Courier New"/>
        </w:rPr>
        <w:t xml:space="preserve"> affected, in this case 10 percent. When creating the pool of potentially affected contractors, it is a generally accepted convention that there are two subcontractors for every prime contractor (2:1 ratio); that convention is utilized herein.</w:t>
      </w:r>
    </w:p>
    <w:p w:rsidR="00331C43" w14:paraId="44C343CB" w14:textId="77777777">
      <w:pPr>
        <w:widowControl w:val="0"/>
        <w:tabs>
          <w:tab w:val="left" w:pos="360"/>
          <w:tab w:val="left" w:pos="720"/>
          <w:tab w:val="left" w:pos="1080"/>
        </w:tabs>
        <w:spacing w:before="240" w:after="240"/>
        <w:rPr>
          <w:rFonts w:ascii="Courier New" w:eastAsia="Courier New" w:hAnsi="Courier New" w:cs="Courier New"/>
        </w:rPr>
      </w:pPr>
      <w:r>
        <w:rPr>
          <w:rFonts w:ascii="Courier New" w:eastAsia="Courier New" w:hAnsi="Courier New" w:cs="Courier New"/>
        </w:rPr>
        <w:t>The following estimates are based on averages of historical award data available in SAM.gov for fiscal years 2023 through 2025 for the following PSCs:</w:t>
      </w:r>
    </w:p>
    <w:tbl>
      <w:tblPr>
        <w:tblStyle w:val="a0"/>
        <w:tblW w:w="5880" w:type="dxa"/>
        <w:tblInd w:w="0" w:type="dxa"/>
        <w:tblBorders>
          <w:top w:val="nil"/>
          <w:left w:val="nil"/>
          <w:bottom w:val="nil"/>
          <w:right w:val="nil"/>
          <w:insideH w:val="nil"/>
          <w:insideV w:val="nil"/>
        </w:tblBorders>
        <w:tblLayout w:type="fixed"/>
        <w:tblLook w:val="0600"/>
      </w:tblPr>
      <w:tblGrid>
        <w:gridCol w:w="960"/>
        <w:gridCol w:w="4920"/>
      </w:tblGrid>
      <w:tr w14:paraId="0B3E7CE1" w14:textId="77777777">
        <w:tblPrEx>
          <w:tblW w:w="5880" w:type="dxa"/>
          <w:tblInd w:w="0" w:type="dxa"/>
          <w:tblBorders>
            <w:top w:val="nil"/>
            <w:left w:val="nil"/>
            <w:bottom w:val="nil"/>
            <w:right w:val="nil"/>
            <w:insideH w:val="nil"/>
            <w:insideV w:val="nil"/>
          </w:tblBorders>
          <w:tblLayout w:type="fixed"/>
          <w:tblLook w:val="0600"/>
        </w:tblPrEx>
        <w:trPr>
          <w:trHeight w:val="315"/>
        </w:trPr>
        <w:tc>
          <w:tcPr>
            <w:tcW w:w="5880" w:type="dxa"/>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331C43" w14:paraId="120CAC66" w14:textId="77777777">
            <w:pPr>
              <w:widowControl w:val="0"/>
              <w:spacing w:line="276" w:lineRule="auto"/>
              <w:jc w:val="center"/>
              <w:rPr>
                <w:rFonts w:ascii="Arial" w:eastAsia="Arial" w:hAnsi="Arial" w:cs="Arial"/>
                <w:sz w:val="20"/>
                <w:szCs w:val="20"/>
              </w:rPr>
            </w:pPr>
            <w:r>
              <w:rPr>
                <w:rFonts w:ascii="Arial" w:eastAsia="Arial" w:hAnsi="Arial" w:cs="Arial"/>
                <w:sz w:val="20"/>
                <w:szCs w:val="20"/>
              </w:rPr>
              <w:t>Product Service Codes (PSCs)</w:t>
            </w:r>
          </w:p>
        </w:tc>
      </w:tr>
      <w:tr w14:paraId="53F20217" w14:textId="77777777">
        <w:tblPrEx>
          <w:tblW w:w="5880" w:type="dxa"/>
          <w:tblInd w:w="0" w:type="dxa"/>
          <w:tblLayout w:type="fixed"/>
          <w:tblLook w:val="0600"/>
        </w:tblPrEx>
        <w:trPr>
          <w:trHeight w:val="315"/>
        </w:trPr>
        <w:tc>
          <w:tcPr>
            <w:tcW w:w="96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331C43" w14:paraId="77498393" w14:textId="77777777">
            <w:pPr>
              <w:widowControl w:val="0"/>
              <w:spacing w:line="276" w:lineRule="auto"/>
              <w:jc w:val="center"/>
              <w:rPr>
                <w:rFonts w:ascii="Arial" w:eastAsia="Arial" w:hAnsi="Arial" w:cs="Arial"/>
                <w:sz w:val="20"/>
                <w:szCs w:val="20"/>
              </w:rPr>
            </w:pPr>
            <w:r>
              <w:rPr>
                <w:rFonts w:ascii="Arial" w:eastAsia="Arial" w:hAnsi="Arial" w:cs="Arial"/>
                <w:sz w:val="20"/>
                <w:szCs w:val="20"/>
              </w:rPr>
              <w:t>Category</w:t>
            </w:r>
          </w:p>
        </w:tc>
        <w:tc>
          <w:tcPr>
            <w:tcW w:w="49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331C43" w14:paraId="5A499550" w14:textId="77777777">
            <w:pPr>
              <w:widowControl w:val="0"/>
              <w:spacing w:line="276" w:lineRule="auto"/>
              <w:jc w:val="center"/>
              <w:rPr>
                <w:rFonts w:ascii="Arial" w:eastAsia="Arial" w:hAnsi="Arial" w:cs="Arial"/>
                <w:sz w:val="20"/>
                <w:szCs w:val="20"/>
              </w:rPr>
            </w:pPr>
            <w:r>
              <w:rPr>
                <w:rFonts w:ascii="Arial" w:eastAsia="Arial" w:hAnsi="Arial" w:cs="Arial"/>
                <w:sz w:val="20"/>
                <w:szCs w:val="20"/>
              </w:rPr>
              <w:t>Description</w:t>
            </w:r>
          </w:p>
        </w:tc>
      </w:tr>
      <w:tr w14:paraId="6B8326B0" w14:textId="77777777">
        <w:tblPrEx>
          <w:tblW w:w="5880" w:type="dxa"/>
          <w:tblInd w:w="0" w:type="dxa"/>
          <w:tblLayout w:type="fixed"/>
          <w:tblLook w:val="0600"/>
        </w:tblPrEx>
        <w:trPr>
          <w:trHeight w:val="315"/>
        </w:trPr>
        <w:tc>
          <w:tcPr>
            <w:tcW w:w="96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31C43" w14:paraId="06471901" w14:textId="77777777">
            <w:pPr>
              <w:widowControl w:val="0"/>
              <w:spacing w:line="276" w:lineRule="auto"/>
              <w:jc w:val="center"/>
              <w:rPr>
                <w:rFonts w:ascii="Arial" w:eastAsia="Arial" w:hAnsi="Arial" w:cs="Arial"/>
                <w:sz w:val="20"/>
                <w:szCs w:val="20"/>
              </w:rPr>
            </w:pPr>
            <w:r>
              <w:rPr>
                <w:rFonts w:ascii="Arial" w:eastAsia="Arial" w:hAnsi="Arial" w:cs="Arial"/>
                <w:sz w:val="20"/>
                <w:szCs w:val="20"/>
              </w:rPr>
              <w:t>B</w:t>
            </w:r>
          </w:p>
        </w:tc>
        <w:tc>
          <w:tcPr>
            <w:tcW w:w="49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7096FD5F" w14:textId="77777777">
            <w:pPr>
              <w:widowControl w:val="0"/>
              <w:spacing w:line="276" w:lineRule="auto"/>
              <w:rPr>
                <w:rFonts w:ascii="Arial" w:eastAsia="Arial" w:hAnsi="Arial" w:cs="Arial"/>
                <w:sz w:val="20"/>
                <w:szCs w:val="20"/>
              </w:rPr>
            </w:pPr>
            <w:r>
              <w:rPr>
                <w:rFonts w:ascii="Arial" w:eastAsia="Arial" w:hAnsi="Arial" w:cs="Arial"/>
                <w:sz w:val="20"/>
                <w:szCs w:val="20"/>
              </w:rPr>
              <w:t>Special Studies/Analysis, Not R&amp;D</w:t>
            </w:r>
          </w:p>
        </w:tc>
      </w:tr>
      <w:tr w14:paraId="39EBE2AF" w14:textId="77777777">
        <w:tblPrEx>
          <w:tblW w:w="5880" w:type="dxa"/>
          <w:tblInd w:w="0" w:type="dxa"/>
          <w:tblLayout w:type="fixed"/>
          <w:tblLook w:val="0600"/>
        </w:tblPrEx>
        <w:trPr>
          <w:trHeight w:val="315"/>
        </w:trPr>
        <w:tc>
          <w:tcPr>
            <w:tcW w:w="96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31C43" w14:paraId="21700D79" w14:textId="77777777">
            <w:pPr>
              <w:widowControl w:val="0"/>
              <w:spacing w:line="276" w:lineRule="auto"/>
              <w:jc w:val="center"/>
              <w:rPr>
                <w:rFonts w:ascii="Arial" w:eastAsia="Arial" w:hAnsi="Arial" w:cs="Arial"/>
                <w:sz w:val="20"/>
                <w:szCs w:val="20"/>
              </w:rPr>
            </w:pPr>
            <w:r>
              <w:rPr>
                <w:rFonts w:ascii="Arial" w:eastAsia="Arial" w:hAnsi="Arial" w:cs="Arial"/>
                <w:sz w:val="20"/>
                <w:szCs w:val="20"/>
              </w:rPr>
              <w:t>D</w:t>
            </w:r>
          </w:p>
        </w:tc>
        <w:tc>
          <w:tcPr>
            <w:tcW w:w="49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62C1A536" w14:textId="77777777">
            <w:pPr>
              <w:widowControl w:val="0"/>
              <w:spacing w:line="276" w:lineRule="auto"/>
              <w:rPr>
                <w:rFonts w:ascii="Arial" w:eastAsia="Arial" w:hAnsi="Arial" w:cs="Arial"/>
                <w:sz w:val="20"/>
                <w:szCs w:val="20"/>
              </w:rPr>
            </w:pPr>
            <w:r>
              <w:rPr>
                <w:rFonts w:ascii="Arial" w:eastAsia="Arial" w:hAnsi="Arial" w:cs="Arial"/>
                <w:sz w:val="20"/>
                <w:szCs w:val="20"/>
              </w:rPr>
              <w:t>Information Technology and Telecommunications</w:t>
            </w:r>
          </w:p>
        </w:tc>
      </w:tr>
      <w:tr w14:paraId="6D08007E" w14:textId="77777777">
        <w:tblPrEx>
          <w:tblW w:w="5880" w:type="dxa"/>
          <w:tblInd w:w="0" w:type="dxa"/>
          <w:tblLayout w:type="fixed"/>
          <w:tblLook w:val="0600"/>
        </w:tblPrEx>
        <w:trPr>
          <w:trHeight w:val="315"/>
        </w:trPr>
        <w:tc>
          <w:tcPr>
            <w:tcW w:w="96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31C43" w14:paraId="296413CA" w14:textId="77777777">
            <w:pPr>
              <w:widowControl w:val="0"/>
              <w:spacing w:line="276" w:lineRule="auto"/>
              <w:jc w:val="center"/>
              <w:rPr>
                <w:rFonts w:ascii="Arial" w:eastAsia="Arial" w:hAnsi="Arial" w:cs="Arial"/>
                <w:sz w:val="20"/>
                <w:szCs w:val="20"/>
              </w:rPr>
            </w:pPr>
            <w:r>
              <w:rPr>
                <w:rFonts w:ascii="Arial" w:eastAsia="Arial" w:hAnsi="Arial" w:cs="Arial"/>
                <w:sz w:val="20"/>
                <w:szCs w:val="20"/>
              </w:rPr>
              <w:t>G</w:t>
            </w:r>
          </w:p>
        </w:tc>
        <w:tc>
          <w:tcPr>
            <w:tcW w:w="49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7F57F968" w14:textId="77777777">
            <w:pPr>
              <w:widowControl w:val="0"/>
              <w:spacing w:line="276" w:lineRule="auto"/>
              <w:rPr>
                <w:rFonts w:ascii="Arial" w:eastAsia="Arial" w:hAnsi="Arial" w:cs="Arial"/>
                <w:sz w:val="20"/>
                <w:szCs w:val="20"/>
              </w:rPr>
            </w:pPr>
            <w:r>
              <w:rPr>
                <w:rFonts w:ascii="Arial" w:eastAsia="Arial" w:hAnsi="Arial" w:cs="Arial"/>
                <w:sz w:val="20"/>
                <w:szCs w:val="20"/>
              </w:rPr>
              <w:t>Social</w:t>
            </w:r>
          </w:p>
        </w:tc>
      </w:tr>
      <w:tr w14:paraId="3E2BBFE6" w14:textId="77777777">
        <w:tblPrEx>
          <w:tblW w:w="5880" w:type="dxa"/>
          <w:tblInd w:w="0" w:type="dxa"/>
          <w:tblLayout w:type="fixed"/>
          <w:tblLook w:val="0600"/>
        </w:tblPrEx>
        <w:trPr>
          <w:trHeight w:val="315"/>
        </w:trPr>
        <w:tc>
          <w:tcPr>
            <w:tcW w:w="96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31C43" w14:paraId="6707C966" w14:textId="77777777">
            <w:pPr>
              <w:widowControl w:val="0"/>
              <w:spacing w:line="276" w:lineRule="auto"/>
              <w:jc w:val="center"/>
              <w:rPr>
                <w:rFonts w:ascii="Arial" w:eastAsia="Arial" w:hAnsi="Arial" w:cs="Arial"/>
                <w:sz w:val="20"/>
                <w:szCs w:val="20"/>
              </w:rPr>
            </w:pPr>
            <w:r>
              <w:rPr>
                <w:rFonts w:ascii="Arial" w:eastAsia="Arial" w:hAnsi="Arial" w:cs="Arial"/>
                <w:sz w:val="20"/>
                <w:szCs w:val="20"/>
              </w:rPr>
              <w:t>Q</w:t>
            </w:r>
          </w:p>
        </w:tc>
        <w:tc>
          <w:tcPr>
            <w:tcW w:w="49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30C62FFD" w14:textId="77777777">
            <w:pPr>
              <w:widowControl w:val="0"/>
              <w:spacing w:line="276" w:lineRule="auto"/>
              <w:rPr>
                <w:rFonts w:ascii="Arial" w:eastAsia="Arial" w:hAnsi="Arial" w:cs="Arial"/>
                <w:sz w:val="20"/>
                <w:szCs w:val="20"/>
              </w:rPr>
            </w:pPr>
            <w:r>
              <w:rPr>
                <w:rFonts w:ascii="Arial" w:eastAsia="Arial" w:hAnsi="Arial" w:cs="Arial"/>
                <w:sz w:val="20"/>
                <w:szCs w:val="20"/>
              </w:rPr>
              <w:t>Medical</w:t>
            </w:r>
          </w:p>
        </w:tc>
      </w:tr>
      <w:tr w14:paraId="5F22DF81" w14:textId="77777777">
        <w:tblPrEx>
          <w:tblW w:w="5880" w:type="dxa"/>
          <w:tblInd w:w="0" w:type="dxa"/>
          <w:tblLayout w:type="fixed"/>
          <w:tblLook w:val="0600"/>
        </w:tblPrEx>
        <w:trPr>
          <w:trHeight w:val="315"/>
        </w:trPr>
        <w:tc>
          <w:tcPr>
            <w:tcW w:w="96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31C43" w14:paraId="2F6D9CDE" w14:textId="77777777">
            <w:pPr>
              <w:widowControl w:val="0"/>
              <w:spacing w:line="276" w:lineRule="auto"/>
              <w:jc w:val="center"/>
              <w:rPr>
                <w:rFonts w:ascii="Arial" w:eastAsia="Arial" w:hAnsi="Arial" w:cs="Arial"/>
                <w:sz w:val="20"/>
                <w:szCs w:val="20"/>
              </w:rPr>
            </w:pPr>
            <w:r>
              <w:rPr>
                <w:rFonts w:ascii="Arial" w:eastAsia="Arial" w:hAnsi="Arial" w:cs="Arial"/>
                <w:sz w:val="20"/>
                <w:szCs w:val="20"/>
              </w:rPr>
              <w:t>R</w:t>
            </w:r>
          </w:p>
        </w:tc>
        <w:tc>
          <w:tcPr>
            <w:tcW w:w="49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1B27C0F9" w14:textId="77777777">
            <w:pPr>
              <w:widowControl w:val="0"/>
              <w:spacing w:line="276" w:lineRule="auto"/>
              <w:rPr>
                <w:rFonts w:ascii="Arial" w:eastAsia="Arial" w:hAnsi="Arial" w:cs="Arial"/>
                <w:sz w:val="20"/>
                <w:szCs w:val="20"/>
              </w:rPr>
            </w:pPr>
            <w:r>
              <w:rPr>
                <w:rFonts w:ascii="Arial" w:eastAsia="Arial" w:hAnsi="Arial" w:cs="Arial"/>
                <w:sz w:val="20"/>
                <w:szCs w:val="20"/>
              </w:rPr>
              <w:t>Support (Professional/Administrative/Management)</w:t>
            </w:r>
          </w:p>
        </w:tc>
      </w:tr>
      <w:tr w14:paraId="4A9E11E3" w14:textId="77777777">
        <w:tblPrEx>
          <w:tblW w:w="5880" w:type="dxa"/>
          <w:tblInd w:w="0" w:type="dxa"/>
          <w:tblLayout w:type="fixed"/>
          <w:tblLook w:val="0600"/>
        </w:tblPrEx>
        <w:trPr>
          <w:trHeight w:val="315"/>
        </w:trPr>
        <w:tc>
          <w:tcPr>
            <w:tcW w:w="96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31C43" w14:paraId="57E549E7" w14:textId="77777777">
            <w:pPr>
              <w:widowControl w:val="0"/>
              <w:spacing w:line="276" w:lineRule="auto"/>
              <w:jc w:val="center"/>
              <w:rPr>
                <w:rFonts w:ascii="Arial" w:eastAsia="Arial" w:hAnsi="Arial" w:cs="Arial"/>
                <w:sz w:val="20"/>
                <w:szCs w:val="20"/>
              </w:rPr>
            </w:pPr>
            <w:r>
              <w:rPr>
                <w:rFonts w:ascii="Arial" w:eastAsia="Arial" w:hAnsi="Arial" w:cs="Arial"/>
                <w:sz w:val="20"/>
                <w:szCs w:val="20"/>
              </w:rPr>
              <w:t>U</w:t>
            </w:r>
          </w:p>
        </w:tc>
        <w:tc>
          <w:tcPr>
            <w:tcW w:w="49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12510E4B" w14:textId="77777777">
            <w:pPr>
              <w:widowControl w:val="0"/>
              <w:spacing w:line="276" w:lineRule="auto"/>
              <w:rPr>
                <w:rFonts w:ascii="Arial" w:eastAsia="Arial" w:hAnsi="Arial" w:cs="Arial"/>
                <w:sz w:val="20"/>
                <w:szCs w:val="20"/>
              </w:rPr>
            </w:pPr>
            <w:r>
              <w:rPr>
                <w:rFonts w:ascii="Arial" w:eastAsia="Arial" w:hAnsi="Arial" w:cs="Arial"/>
                <w:sz w:val="20"/>
                <w:szCs w:val="20"/>
              </w:rPr>
              <w:t>Education/Training</w:t>
            </w:r>
          </w:p>
        </w:tc>
      </w:tr>
    </w:tbl>
    <w:p w:rsidR="00331C43" w14:paraId="66E10AD6" w14:textId="77777777">
      <w:pPr>
        <w:widowControl w:val="0"/>
        <w:tabs>
          <w:tab w:val="left" w:pos="360"/>
          <w:tab w:val="left" w:pos="720"/>
          <w:tab w:val="left" w:pos="1080"/>
        </w:tabs>
        <w:spacing w:before="240" w:after="240"/>
        <w:jc w:val="center"/>
        <w:rPr>
          <w:rFonts w:ascii="Courier New" w:eastAsia="Courier New" w:hAnsi="Courier New" w:cs="Courier New"/>
          <w:u w:val="single"/>
        </w:rPr>
      </w:pPr>
      <w:r>
        <w:rPr>
          <w:rFonts w:ascii="Courier New" w:eastAsia="Courier New" w:hAnsi="Courier New" w:cs="Courier New"/>
          <w:u w:val="single"/>
        </w:rPr>
        <w:t>Total Public Recordkeeping Burden</w:t>
      </w:r>
    </w:p>
    <w:p w:rsidR="00331C43" w14:paraId="6269936D" w14:textId="77777777">
      <w:pPr>
        <w:widowControl w:val="0"/>
        <w:tabs>
          <w:tab w:val="left" w:pos="360"/>
          <w:tab w:val="left" w:pos="720"/>
          <w:tab w:val="left" w:pos="1080"/>
        </w:tabs>
        <w:spacing w:before="240" w:after="240"/>
        <w:rPr>
          <w:rFonts w:ascii="Courier New" w:eastAsia="Courier New" w:hAnsi="Courier New" w:cs="Courier New"/>
        </w:rPr>
      </w:pPr>
      <w:r>
        <w:rPr>
          <w:rFonts w:ascii="Courier New" w:eastAsia="Courier New" w:hAnsi="Courier New" w:cs="Courier New"/>
        </w:rPr>
        <w:t>Examination of this data reveals that the number of unique entities that received new contract awards in the targeted PSCs is 14,274 (annual average for fiscal years 2023 through 2025).</w:t>
      </w:r>
      <w:r>
        <w:rPr>
          <w:rFonts w:ascii="Courier New" w:eastAsia="Courier New" w:hAnsi="Courier New" w:cs="Courier New"/>
          <w:vertAlign w:val="superscript"/>
        </w:rPr>
        <w:footnoteReference w:id="2"/>
      </w:r>
      <w:r>
        <w:rPr>
          <w:rFonts w:ascii="Courier New" w:eastAsia="Courier New" w:hAnsi="Courier New" w:cs="Courier New"/>
        </w:rPr>
        <w:t xml:space="preserve"> The number of potential subcontractors is 28,548 (14,274 unique entities x 2). Therefore, the total pool of affected contractors is 42,822 (14,274 prime contractors plus 28,548 subcontractors). The recordkeeping requirements associated with the clause will apply to a limited number (10 percent) of contractors. The estimated number of contractors (recordkeepers) that will be impacted by this rule is approximately 4,282 (42,822 X .10). The estimated hourly burden expended per recordkeeper per contract </w:t>
      </w:r>
      <w:r>
        <w:rPr>
          <w:rFonts w:ascii="Courier New" w:eastAsia="Courier New" w:hAnsi="Courier New" w:cs="Courier New"/>
        </w:rPr>
        <w:t xml:space="preserve">award </w:t>
      </w:r>
      <w:r>
        <w:rPr>
          <w:rFonts w:ascii="Courier New" w:eastAsia="Courier New" w:hAnsi="Courier New" w:cs="Courier New"/>
        </w:rPr>
        <w:t xml:space="preserve">is 3 hours (6 records per record keeper X .50 (30 minutes) per record). The estimated annual recordkeeping burden is calculated as follows: </w:t>
      </w:r>
    </w:p>
    <w:p w:rsidR="00331C43" w14:paraId="074994B8" w14:textId="77777777">
      <w:pPr>
        <w:rPr>
          <w:rFonts w:ascii="Courier New" w:eastAsia="Courier New" w:hAnsi="Courier New" w:cs="Courier New"/>
          <w:b/>
          <w:bCs/>
        </w:rPr>
      </w:pPr>
      <w:r>
        <w:rPr>
          <w:rFonts w:ascii="Courier New" w:eastAsia="Courier New" w:hAnsi="Courier New" w:cs="Courier New"/>
          <w:b/>
          <w:bCs/>
        </w:rPr>
        <w:t>Recordkeeping</w:t>
      </w:r>
    </w:p>
    <w:p w:rsidR="00331C43" w14:paraId="2CDAFB56" w14:textId="77777777">
      <w:pPr>
        <w:rPr>
          <w:rFonts w:ascii="Courier New" w:eastAsia="Courier New" w:hAnsi="Courier New" w:cs="Courier New"/>
          <w:b/>
          <w:bCs/>
        </w:rPr>
      </w:pPr>
    </w:p>
    <w:p w:rsidR="00331C43" w14:paraId="67E8D753" w14:textId="77777777">
      <w:pPr>
        <w:rPr>
          <w:rFonts w:ascii="Courier New" w:eastAsia="Courier New" w:hAnsi="Courier New" w:cs="Courier New"/>
        </w:rPr>
      </w:pPr>
      <w:r>
        <w:rPr>
          <w:rFonts w:ascii="Courier New" w:eastAsia="Courier New" w:hAnsi="Courier New" w:cs="Courier New"/>
        </w:rPr>
        <w:t>Recordkeepers/yr............................... 4,282</w:t>
      </w:r>
    </w:p>
    <w:p w:rsidR="00331C43" w14:paraId="6A99771F" w14:textId="77777777">
      <w:pPr>
        <w:rPr>
          <w:rFonts w:ascii="Courier New" w:eastAsia="Courier New" w:hAnsi="Courier New" w:cs="Courier New"/>
        </w:rPr>
      </w:pPr>
      <w:r>
        <w:rPr>
          <w:rFonts w:ascii="Courier New" w:eastAsia="Courier New" w:hAnsi="Courier New" w:cs="Courier New"/>
        </w:rPr>
        <w:t>Records per recordkeeper...................... x    6</w:t>
      </w:r>
    </w:p>
    <w:p w:rsidR="00331C43" w14:paraId="1C7BD6A7" w14:textId="77777777">
      <w:pPr>
        <w:rPr>
          <w:rFonts w:ascii="Courier New" w:eastAsia="Courier New" w:hAnsi="Courier New" w:cs="Courier New"/>
        </w:rPr>
      </w:pPr>
      <w:r>
        <w:rPr>
          <w:rFonts w:ascii="Courier New" w:eastAsia="Courier New" w:hAnsi="Courier New" w:cs="Courier New"/>
        </w:rPr>
        <w:t xml:space="preserve">Total annual </w:t>
      </w:r>
      <w:r>
        <w:rPr>
          <w:rFonts w:ascii="Courier New" w:eastAsia="Courier New" w:hAnsi="Courier New" w:cs="Courier New"/>
        </w:rPr>
        <w:t>records  ........................</w:t>
      </w:r>
      <w:r>
        <w:rPr>
          <w:rFonts w:ascii="Courier New" w:eastAsia="Courier New" w:hAnsi="Courier New" w:cs="Courier New"/>
        </w:rPr>
        <w:t xml:space="preserve"> 25,692</w:t>
      </w:r>
    </w:p>
    <w:p w:rsidR="00331C43" w14:paraId="55E677D8" w14:textId="77777777">
      <w:pPr>
        <w:rPr>
          <w:rFonts w:ascii="Courier New" w:eastAsia="Courier New" w:hAnsi="Courier New" w:cs="Courier New"/>
          <w:u w:val="single"/>
        </w:rPr>
      </w:pPr>
      <w:r>
        <w:rPr>
          <w:rFonts w:ascii="Courier New" w:eastAsia="Courier New" w:hAnsi="Courier New" w:cs="Courier New"/>
        </w:rPr>
        <w:t>Review hours/record............................</w:t>
      </w:r>
      <w:r>
        <w:rPr>
          <w:rFonts w:ascii="Courier New" w:eastAsia="Courier New" w:hAnsi="Courier New" w:cs="Courier New"/>
          <w:u w:val="single"/>
        </w:rPr>
        <w:t>x  0.5</w:t>
      </w:r>
    </w:p>
    <w:p w:rsidR="00331C43" w14:paraId="059075A2" w14:textId="77777777">
      <w:pPr>
        <w:rPr>
          <w:rFonts w:ascii="Courier New" w:eastAsia="Courier New" w:hAnsi="Courier New" w:cs="Courier New"/>
        </w:rPr>
      </w:pPr>
      <w:r>
        <w:rPr>
          <w:rFonts w:ascii="Courier New" w:eastAsia="Courier New" w:hAnsi="Courier New" w:cs="Courier New"/>
        </w:rPr>
        <w:t>Annual recordkeeping burden hours............. 12,846</w:t>
      </w:r>
    </w:p>
    <w:p w:rsidR="00331C43" w14:paraId="11FD8B5D" w14:textId="77777777">
      <w:pPr>
        <w:rPr>
          <w:rFonts w:ascii="Courier New" w:eastAsia="Courier New" w:hAnsi="Courier New" w:cs="Courier New"/>
          <w:u w:val="single"/>
        </w:rPr>
      </w:pPr>
      <w:r>
        <w:rPr>
          <w:rFonts w:ascii="Courier New" w:eastAsia="Courier New" w:hAnsi="Courier New" w:cs="Courier New"/>
        </w:rPr>
        <w:t>Hourly rate</w:t>
      </w:r>
      <w:r>
        <w:rPr>
          <w:rFonts w:ascii="Courier New" w:eastAsia="Courier New" w:hAnsi="Courier New" w:cs="Courier New"/>
          <w:b/>
          <w:bCs/>
        </w:rPr>
        <w:t>*</w:t>
      </w:r>
      <w:r>
        <w:rPr>
          <w:rFonts w:ascii="Courier New" w:eastAsia="Courier New" w:hAnsi="Courier New" w:cs="Courier New"/>
        </w:rPr>
        <w:t>...................................</w:t>
      </w:r>
      <w:r>
        <w:rPr>
          <w:rFonts w:ascii="Courier New" w:eastAsia="Courier New" w:hAnsi="Courier New" w:cs="Courier New"/>
          <w:u w:val="single"/>
        </w:rPr>
        <w:t>x  $</w:t>
      </w:r>
      <w:r>
        <w:rPr>
          <w:rFonts w:ascii="Courier New" w:eastAsia="Courier New" w:hAnsi="Courier New" w:cs="Courier New"/>
          <w:u w:val="single"/>
        </w:rPr>
        <w:t>50</w:t>
      </w:r>
    </w:p>
    <w:p w:rsidR="00331C43" w14:paraId="46D83B83" w14:textId="77777777">
      <w:pPr>
        <w:rPr>
          <w:rFonts w:ascii="Courier New" w:eastAsia="Courier New" w:hAnsi="Courier New" w:cs="Courier New"/>
        </w:rPr>
      </w:pPr>
      <w:r>
        <w:rPr>
          <w:rFonts w:ascii="Courier New" w:eastAsia="Courier New" w:hAnsi="Courier New" w:cs="Courier New"/>
        </w:rPr>
        <w:t xml:space="preserve">Annual recordkeeping burden </w:t>
      </w:r>
      <w:r>
        <w:rPr>
          <w:rFonts w:ascii="Courier New" w:eastAsia="Courier New" w:hAnsi="Courier New" w:cs="Courier New"/>
        </w:rPr>
        <w:t>cost to</w:t>
      </w:r>
      <w:r>
        <w:rPr>
          <w:rFonts w:ascii="Courier New" w:eastAsia="Courier New" w:hAnsi="Courier New" w:cs="Courier New"/>
        </w:rPr>
        <w:t xml:space="preserve"> the </w:t>
      </w:r>
      <w:r>
        <w:rPr>
          <w:rFonts w:ascii="Courier New" w:eastAsia="Courier New" w:hAnsi="Courier New" w:cs="Courier New"/>
        </w:rPr>
        <w:t>public..</w:t>
      </w:r>
      <w:r>
        <w:rPr>
          <w:rFonts w:ascii="Courier New" w:eastAsia="Courier New" w:hAnsi="Courier New" w:cs="Courier New"/>
        </w:rPr>
        <w:t>$642,300</w:t>
      </w:r>
    </w:p>
    <w:p w:rsidR="00331C43" w14:paraId="706FEA6D" w14:textId="77777777">
      <w:pPr>
        <w:widowControl w:val="0"/>
        <w:tabs>
          <w:tab w:val="left" w:pos="360"/>
          <w:tab w:val="left" w:pos="720"/>
          <w:tab w:val="left" w:pos="1080"/>
        </w:tabs>
        <w:spacing w:before="240" w:after="240"/>
        <w:jc w:val="center"/>
        <w:rPr>
          <w:rFonts w:ascii="Courier New" w:eastAsia="Courier New" w:hAnsi="Courier New" w:cs="Courier New"/>
          <w:u w:val="single"/>
        </w:rPr>
      </w:pPr>
      <w:r>
        <w:rPr>
          <w:rFonts w:ascii="Courier New" w:eastAsia="Courier New" w:hAnsi="Courier New" w:cs="Courier New"/>
          <w:u w:val="single"/>
        </w:rPr>
        <w:t>Total Public Reporting Burden</w:t>
      </w:r>
    </w:p>
    <w:p w:rsidR="00331C43" w14:paraId="10814FA3" w14:textId="77777777">
      <w:pPr>
        <w:widowControl w:val="0"/>
        <w:tabs>
          <w:tab w:val="left" w:pos="360"/>
          <w:tab w:val="left" w:pos="720"/>
          <w:tab w:val="left" w:pos="1080"/>
        </w:tabs>
        <w:spacing w:before="240" w:after="240"/>
        <w:rPr>
          <w:rFonts w:ascii="Courier New" w:eastAsia="Courier New" w:hAnsi="Courier New" w:cs="Courier New"/>
        </w:rPr>
      </w:pPr>
      <w:r>
        <w:rPr>
          <w:rFonts w:ascii="Courier New" w:eastAsia="Courier New" w:hAnsi="Courier New" w:cs="Courier New"/>
        </w:rPr>
        <w:t xml:space="preserve">The public reporting burden is associated with the occasional request by the contracting officer for the contractor to provide documentation of completion of privacy training by the contractor’s staff. </w:t>
      </w:r>
      <w:r>
        <w:rPr>
          <w:rFonts w:ascii="Courier New" w:eastAsia="Courier New" w:hAnsi="Courier New" w:cs="Courier New"/>
        </w:rPr>
        <w:t>Referring back</w:t>
      </w:r>
      <w:r>
        <w:rPr>
          <w:rFonts w:ascii="Courier New" w:eastAsia="Courier New" w:hAnsi="Courier New" w:cs="Courier New"/>
        </w:rPr>
        <w:t xml:space="preserve"> to the total number of recordkeepers, 4,282, it is estimated that approximately 2.5 percent (2.5%) will be required to submit completion documentation. The total number of respondents that annually will be</w:t>
      </w:r>
      <w:r>
        <w:rPr>
          <w:rFonts w:ascii="Courier New" w:eastAsia="Courier New" w:hAnsi="Courier New" w:cs="Courier New"/>
        </w:rPr>
        <w:t xml:space="preserve"> required to submit training completion documentation is 107 (4,282 X .025). The preparation time associated with this effort is 0.25 hours (15 minutes) per submission (report). The calculation for annualized public reporting cost is as follows:</w:t>
      </w:r>
    </w:p>
    <w:p w:rsidR="00331C43" w14:paraId="4BD8D364" w14:textId="77777777">
      <w:pPr>
        <w:rPr>
          <w:rFonts w:ascii="Courier New" w:eastAsia="Courier New" w:hAnsi="Courier New" w:cs="Courier New"/>
        </w:rPr>
      </w:pPr>
      <w:r>
        <w:rPr>
          <w:rFonts w:ascii="Courier New" w:eastAsia="Courier New" w:hAnsi="Courier New" w:cs="Courier New"/>
          <w:b/>
          <w:bCs/>
        </w:rPr>
        <w:t>Reporting</w:t>
      </w:r>
    </w:p>
    <w:p w:rsidR="00331C43" w14:paraId="58327F7D" w14:textId="77777777">
      <w:pPr>
        <w:rPr>
          <w:rFonts w:ascii="Courier New" w:eastAsia="Courier New" w:hAnsi="Courier New" w:cs="Courier New"/>
        </w:rPr>
      </w:pPr>
    </w:p>
    <w:p w:rsidR="00331C43" w14:paraId="2451C849" w14:textId="77777777">
      <w:pPr>
        <w:rPr>
          <w:rFonts w:ascii="Courier New" w:eastAsia="Courier New" w:hAnsi="Courier New" w:cs="Courier New"/>
        </w:rPr>
      </w:pPr>
      <w:r>
        <w:rPr>
          <w:rFonts w:ascii="Courier New" w:eastAsia="Courier New" w:hAnsi="Courier New" w:cs="Courier New"/>
        </w:rPr>
        <w:t>Estimated number of respondents/yr...........  107</w:t>
      </w:r>
    </w:p>
    <w:p w:rsidR="00331C43" w14:paraId="707D653E" w14:textId="77777777">
      <w:pPr>
        <w:ind w:right="-80"/>
        <w:rPr>
          <w:rFonts w:ascii="Courier New" w:eastAsia="Courier New" w:hAnsi="Courier New" w:cs="Courier New"/>
        </w:rPr>
      </w:pPr>
      <w:r>
        <w:rPr>
          <w:rFonts w:ascii="Courier New" w:eastAsia="Courier New" w:hAnsi="Courier New" w:cs="Courier New"/>
        </w:rPr>
        <w:t xml:space="preserve">Responses per respondent..................     </w:t>
      </w:r>
      <w:r>
        <w:rPr>
          <w:rFonts w:ascii="Courier New" w:eastAsia="Courier New" w:hAnsi="Courier New" w:cs="Courier New"/>
          <w:u w:val="single"/>
        </w:rPr>
        <w:t>x 1</w:t>
      </w:r>
    </w:p>
    <w:p w:rsidR="00331C43" w14:paraId="15A1FBBB" w14:textId="77777777">
      <w:pPr>
        <w:ind w:right="-80"/>
        <w:rPr>
          <w:rFonts w:ascii="Courier New" w:eastAsia="Courier New" w:hAnsi="Courier New" w:cs="Courier New"/>
        </w:rPr>
      </w:pPr>
      <w:r>
        <w:rPr>
          <w:rFonts w:ascii="Courier New" w:eastAsia="Courier New" w:hAnsi="Courier New" w:cs="Courier New"/>
        </w:rPr>
        <w:t>Total annual responses....................     107</w:t>
      </w:r>
    </w:p>
    <w:p w:rsidR="00331C43" w14:paraId="0242E052" w14:textId="77777777">
      <w:pPr>
        <w:rPr>
          <w:rFonts w:ascii="Courier New" w:eastAsia="Courier New" w:hAnsi="Courier New" w:cs="Courier New"/>
        </w:rPr>
      </w:pPr>
      <w:r>
        <w:rPr>
          <w:rFonts w:ascii="Courier New" w:eastAsia="Courier New" w:hAnsi="Courier New" w:cs="Courier New"/>
        </w:rPr>
        <w:t xml:space="preserve">Estimated </w:t>
      </w:r>
      <w:r>
        <w:rPr>
          <w:rFonts w:ascii="Courier New" w:eastAsia="Courier New" w:hAnsi="Courier New" w:cs="Courier New"/>
        </w:rPr>
        <w:t>hrs</w:t>
      </w:r>
      <w:r>
        <w:rPr>
          <w:rFonts w:ascii="Courier New" w:eastAsia="Courier New" w:hAnsi="Courier New" w:cs="Courier New"/>
        </w:rPr>
        <w:t xml:space="preserve">/response....................  </w:t>
      </w:r>
      <w:r>
        <w:rPr>
          <w:rFonts w:ascii="Courier New" w:eastAsia="Courier New" w:hAnsi="Courier New" w:cs="Courier New"/>
          <w:u w:val="single"/>
        </w:rPr>
        <w:t>x 0.25</w:t>
      </w:r>
    </w:p>
    <w:p w:rsidR="00331C43" w14:paraId="5AA463C8" w14:textId="77777777">
      <w:pPr>
        <w:rPr>
          <w:rFonts w:ascii="Courier New" w:eastAsia="Courier New" w:hAnsi="Courier New" w:cs="Courier New"/>
        </w:rPr>
      </w:pPr>
      <w:r>
        <w:rPr>
          <w:rFonts w:ascii="Courier New" w:eastAsia="Courier New" w:hAnsi="Courier New" w:cs="Courier New"/>
        </w:rPr>
        <w:t>Estimated annual burden hours................   27</w:t>
      </w:r>
    </w:p>
    <w:p w:rsidR="00331C43" w14:paraId="6F94E020" w14:textId="77777777">
      <w:pPr>
        <w:rPr>
          <w:rFonts w:ascii="Courier New" w:eastAsia="Courier New" w:hAnsi="Courier New" w:cs="Courier New"/>
          <w:u w:val="single"/>
        </w:rPr>
      </w:pPr>
      <w:r>
        <w:rPr>
          <w:rFonts w:ascii="Courier New" w:eastAsia="Courier New" w:hAnsi="Courier New" w:cs="Courier New"/>
        </w:rPr>
        <w:t>Hourly rate</w:t>
      </w:r>
      <w:r>
        <w:rPr>
          <w:rFonts w:ascii="Courier New" w:eastAsia="Courier New" w:hAnsi="Courier New" w:cs="Courier New"/>
          <w:b/>
          <w:bCs/>
        </w:rPr>
        <w:t>*</w:t>
      </w:r>
      <w:r>
        <w:rPr>
          <w:rFonts w:ascii="Courier New" w:eastAsia="Courier New" w:hAnsi="Courier New" w:cs="Courier New"/>
        </w:rPr>
        <w:t xml:space="preserve">..............................   </w:t>
      </w:r>
      <w:r>
        <w:rPr>
          <w:rFonts w:ascii="Courier New" w:eastAsia="Courier New" w:hAnsi="Courier New" w:cs="Courier New"/>
          <w:u w:val="single"/>
        </w:rPr>
        <w:t>x $50</w:t>
      </w:r>
    </w:p>
    <w:p w:rsidR="00331C43" w14:paraId="3D670EC1" w14:textId="77777777">
      <w:pPr>
        <w:rPr>
          <w:rFonts w:ascii="Courier New" w:eastAsia="Courier New" w:hAnsi="Courier New" w:cs="Courier New"/>
        </w:rPr>
      </w:pPr>
      <w:r>
        <w:rPr>
          <w:rFonts w:ascii="Courier New" w:eastAsia="Courier New" w:hAnsi="Courier New" w:cs="Courier New"/>
        </w:rPr>
        <w:t>Estimated annual cost to the public....... $ 1,338</w:t>
      </w:r>
    </w:p>
    <w:p w:rsidR="00331C43" w14:paraId="35ADE7F1" w14:textId="77777777">
      <w:pPr>
        <w:spacing w:before="240" w:after="240"/>
        <w:rPr>
          <w:rFonts w:ascii="Courier New" w:eastAsia="Courier New" w:hAnsi="Courier New" w:cs="Courier New"/>
          <w:b/>
          <w:bCs/>
        </w:rPr>
      </w:pPr>
      <w:r>
        <w:rPr>
          <w:rFonts w:ascii="Courier New" w:eastAsia="Courier New" w:hAnsi="Courier New" w:cs="Courier New"/>
          <w:b/>
          <w:bCs/>
          <w:u w:val="single"/>
        </w:rPr>
        <w:t>Note</w:t>
      </w:r>
      <w:r>
        <w:rPr>
          <w:rFonts w:ascii="Courier New" w:eastAsia="Courier New" w:hAnsi="Courier New" w:cs="Courier New"/>
          <w:b/>
          <w:bCs/>
        </w:rPr>
        <w:t>:</w:t>
      </w:r>
    </w:p>
    <w:p w:rsidR="00331C43" w14:paraId="6BA7DC9E" w14:textId="77777777">
      <w:pPr>
        <w:spacing w:before="240" w:after="240"/>
        <w:rPr>
          <w:rFonts w:ascii="Courier New" w:eastAsia="Courier New" w:hAnsi="Courier New" w:cs="Courier New"/>
        </w:rPr>
      </w:pPr>
      <w:r>
        <w:rPr>
          <w:rFonts w:ascii="Courier New" w:eastAsia="Courier New" w:hAnsi="Courier New" w:cs="Courier New"/>
        </w:rPr>
        <w:t>The hourly rate is calculated by applying a 36.25 percent fringe factor and a 12 percent overhead factor to a base hourly rate and then rounding to the nearest whole dollar. The base hourly rate is derived from the OPM 2026 GS Locality Pay Table for the rest of the U.S. (“Salary Table 2026-RUS”). The fringe factor is derived from OMB memorandum M-08-13. The overhead factor is derived from the OMB Circular No. A-76 Revised Supplemental Handbook.</w:t>
      </w:r>
    </w:p>
    <w:p w:rsidR="00331C43" w14:paraId="21C791F6" w14:textId="77777777">
      <w:pPr>
        <w:spacing w:before="240" w:after="240"/>
        <w:rPr>
          <w:rFonts w:ascii="Courier New" w:eastAsia="Courier New" w:hAnsi="Courier New" w:cs="Courier New"/>
          <w:u w:val="single"/>
        </w:rPr>
      </w:pPr>
      <w:r>
        <w:rPr>
          <w:rFonts w:ascii="Courier New" w:eastAsia="Courier New" w:hAnsi="Courier New" w:cs="Courier New"/>
          <w:b/>
          <w:bCs/>
        </w:rPr>
        <w:t xml:space="preserve">* </w:t>
      </w:r>
      <w:r>
        <w:rPr>
          <w:rFonts w:ascii="Courier New" w:eastAsia="Courier New" w:hAnsi="Courier New" w:cs="Courier New"/>
        </w:rPr>
        <w:t>For a GS-9/step 5, the base hourly rate is $33.52 and loaded rounding to the nearest whole dollar is $50.</w:t>
      </w:r>
    </w:p>
    <w:p w:rsidR="00331C43" w14:paraId="003747E3" w14:textId="77777777">
      <w:pPr>
        <w:widowControl w:val="0"/>
        <w:numPr>
          <w:ilvl w:val="0"/>
          <w:numId w:val="1"/>
        </w:numP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 xml:space="preserve">Estimated </w:t>
      </w:r>
      <w:r>
        <w:rPr>
          <w:rFonts w:ascii="Courier New" w:eastAsia="Courier New" w:hAnsi="Courier New" w:cs="Courier New"/>
          <w:u w:val="single"/>
        </w:rPr>
        <w:t>nonrecurring</w:t>
      </w:r>
      <w:r>
        <w:rPr>
          <w:rFonts w:ascii="Courier New" w:eastAsia="Courier New" w:hAnsi="Courier New" w:cs="Courier New"/>
          <w:u w:val="single"/>
        </w:rPr>
        <w:t xml:space="preserve"> costs</w:t>
      </w:r>
      <w:r>
        <w:rPr>
          <w:rFonts w:ascii="Courier New" w:eastAsia="Courier New" w:hAnsi="Courier New" w:cs="Courier New"/>
        </w:rPr>
        <w:t>. Not applicable.</w:t>
      </w:r>
    </w:p>
    <w:p w:rsidR="00331C43" w14:paraId="63CD87CF" w14:textId="77777777">
      <w:pPr>
        <w:widowControl w:val="0"/>
        <w:tabs>
          <w:tab w:val="left" w:pos="360"/>
          <w:tab w:val="left" w:pos="720"/>
          <w:tab w:val="left" w:pos="1080"/>
        </w:tabs>
        <w:rPr>
          <w:rFonts w:ascii="Courier New" w:eastAsia="Courier New" w:hAnsi="Courier New" w:cs="Courier New"/>
        </w:rPr>
      </w:pPr>
    </w:p>
    <w:p w:rsidR="00331C43" w14:paraId="5EE000D1" w14:textId="77777777">
      <w:pPr>
        <w:widowControl w:val="0"/>
        <w:numPr>
          <w:ilvl w:val="0"/>
          <w:numId w:val="1"/>
        </w:numP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Estimated cost to the Government</w:t>
      </w:r>
      <w:r>
        <w:rPr>
          <w:rFonts w:ascii="Courier New" w:eastAsia="Courier New" w:hAnsi="Courier New" w:cs="Courier New"/>
        </w:rPr>
        <w:t>.</w:t>
      </w:r>
    </w:p>
    <w:p w:rsidR="00331C43" w14:paraId="528C3A60" w14:textId="77777777">
      <w:pPr>
        <w:rPr>
          <w:rFonts w:ascii="Courier New" w:eastAsia="Courier New" w:hAnsi="Courier New" w:cs="Courier New"/>
        </w:rPr>
      </w:pPr>
    </w:p>
    <w:p w:rsidR="00331C43" w14:paraId="68A856A7" w14:textId="77777777">
      <w:pPr>
        <w:rPr>
          <w:rFonts w:ascii="Courier New" w:eastAsia="Courier New" w:hAnsi="Courier New" w:cs="Courier New"/>
        </w:rPr>
      </w:pPr>
      <w:r>
        <w:rPr>
          <w:rFonts w:ascii="Courier New" w:eastAsia="Courier New" w:hAnsi="Courier New" w:cs="Courier New"/>
        </w:rPr>
        <w:t>Estimated responses/yr.......................  107</w:t>
      </w:r>
    </w:p>
    <w:p w:rsidR="00331C43" w14:paraId="1D114672" w14:textId="77777777">
      <w:pPr>
        <w:ind w:right="-80"/>
        <w:rPr>
          <w:rFonts w:ascii="Courier New" w:eastAsia="Courier New" w:hAnsi="Courier New" w:cs="Courier New"/>
        </w:rPr>
      </w:pPr>
      <w:r>
        <w:rPr>
          <w:rFonts w:ascii="Courier New" w:eastAsia="Courier New" w:hAnsi="Courier New" w:cs="Courier New"/>
        </w:rPr>
        <w:t>Reviewing time (</w:t>
      </w:r>
      <w:r>
        <w:rPr>
          <w:rFonts w:ascii="Courier New" w:eastAsia="Courier New" w:hAnsi="Courier New" w:cs="Courier New"/>
        </w:rPr>
        <w:t>hr</w:t>
      </w:r>
      <w:r>
        <w:rPr>
          <w:rFonts w:ascii="Courier New" w:eastAsia="Courier New" w:hAnsi="Courier New" w:cs="Courier New"/>
        </w:rPr>
        <w:t xml:space="preserve">)/response...............    </w:t>
      </w:r>
      <w:r>
        <w:rPr>
          <w:rFonts w:ascii="Courier New" w:eastAsia="Courier New" w:hAnsi="Courier New" w:cs="Courier New"/>
          <w:u w:val="single"/>
        </w:rPr>
        <w:t>x 1</w:t>
      </w:r>
    </w:p>
    <w:p w:rsidR="00331C43" w14:paraId="3AC84DF8" w14:textId="77777777">
      <w:pPr>
        <w:ind w:right="-80"/>
        <w:rPr>
          <w:rFonts w:ascii="Courier New" w:eastAsia="Courier New" w:hAnsi="Courier New" w:cs="Courier New"/>
        </w:rPr>
      </w:pPr>
      <w:r>
        <w:rPr>
          <w:rFonts w:ascii="Courier New" w:eastAsia="Courier New" w:hAnsi="Courier New" w:cs="Courier New"/>
        </w:rPr>
        <w:t>Review time /yr............................    107</w:t>
      </w:r>
    </w:p>
    <w:p w:rsidR="00331C43" w14:paraId="3163F2AB" w14:textId="77777777">
      <w:pPr>
        <w:rPr>
          <w:rFonts w:ascii="Courier New" w:eastAsia="Courier New" w:hAnsi="Courier New" w:cs="Courier New"/>
        </w:rPr>
      </w:pPr>
      <w:r>
        <w:rPr>
          <w:rFonts w:ascii="Courier New" w:eastAsia="Courier New" w:hAnsi="Courier New" w:cs="Courier New"/>
        </w:rPr>
        <w:t>Hourly rate</w:t>
      </w:r>
      <w:r>
        <w:rPr>
          <w:rFonts w:ascii="Courier New" w:eastAsia="Courier New" w:hAnsi="Courier New" w:cs="Courier New"/>
          <w:b/>
          <w:bCs/>
        </w:rPr>
        <w:t>*</w:t>
      </w:r>
      <w:r>
        <w:rPr>
          <w:rFonts w:ascii="Courier New" w:eastAsia="Courier New" w:hAnsi="Courier New" w:cs="Courier New"/>
        </w:rPr>
        <w:t xml:space="preserve">...............................  </w:t>
      </w:r>
      <w:r>
        <w:rPr>
          <w:rFonts w:ascii="Courier New" w:eastAsia="Courier New" w:hAnsi="Courier New" w:cs="Courier New"/>
          <w:u w:val="single"/>
        </w:rPr>
        <w:t>x $50</w:t>
      </w:r>
    </w:p>
    <w:p w:rsidR="00331C43" w14:paraId="62616036" w14:textId="77777777">
      <w:pPr>
        <w:rPr>
          <w:rFonts w:ascii="Courier New" w:eastAsia="Courier New" w:hAnsi="Courier New" w:cs="Courier New"/>
        </w:rPr>
      </w:pPr>
      <w:r>
        <w:rPr>
          <w:rFonts w:ascii="Courier New" w:eastAsia="Courier New" w:hAnsi="Courier New" w:cs="Courier New"/>
        </w:rPr>
        <w:t>Estimated annual cost to the Government</w:t>
      </w:r>
      <w:r>
        <w:rPr>
          <w:rFonts w:ascii="Courier New" w:eastAsia="Courier New" w:hAnsi="Courier New" w:cs="Courier New"/>
        </w:rPr>
        <w:t>.....</w:t>
      </w:r>
      <w:r>
        <w:rPr>
          <w:rFonts w:ascii="Courier New" w:eastAsia="Courier New" w:hAnsi="Courier New" w:cs="Courier New"/>
        </w:rPr>
        <w:t>$5,350</w:t>
      </w:r>
    </w:p>
    <w:p w:rsidR="00331C43" w14:paraId="4CB4EC81" w14:textId="77777777">
      <w:pPr>
        <w:rPr>
          <w:rFonts w:ascii="Courier New" w:eastAsia="Courier New" w:hAnsi="Courier New" w:cs="Courier New"/>
        </w:rPr>
      </w:pPr>
    </w:p>
    <w:p w:rsidR="00331C43" w14:paraId="53E1F87D" w14:textId="77777777">
      <w:pPr>
        <w:widowControl w:val="0"/>
        <w:numPr>
          <w:ilvl w:val="0"/>
          <w:numId w:val="1"/>
        </w:numP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Reasons for changes</w:t>
      </w:r>
      <w:r>
        <w:rPr>
          <w:rFonts w:ascii="Courier New" w:eastAsia="Courier New" w:hAnsi="Courier New" w:cs="Courier New"/>
        </w:rPr>
        <w:t xml:space="preserve">. </w:t>
      </w:r>
      <w:r>
        <w:rPr>
          <w:rFonts w:ascii="Courier New" w:eastAsia="Courier New" w:hAnsi="Courier New" w:cs="Courier New"/>
          <w:highlight w:val="white"/>
        </w:rPr>
        <w:t>There are no program changes. The FAR requirements remain the same. This extension includes adjustments to the public and Government burden estimates based on the following:</w:t>
      </w:r>
    </w:p>
    <w:p w:rsidR="00331C43" w14:paraId="1F06B545" w14:textId="77777777">
      <w:pPr>
        <w:widowControl w:val="0"/>
        <w:numPr>
          <w:ilvl w:val="0"/>
          <w:numId w:val="4"/>
        </w:numPr>
        <w:ind w:right="-40"/>
        <w:rPr>
          <w:rFonts w:ascii="Courier New" w:eastAsia="Courier New" w:hAnsi="Courier New" w:cs="Courier New"/>
          <w:highlight w:val="white"/>
        </w:rPr>
      </w:pPr>
      <w:r>
        <w:rPr>
          <w:rFonts w:ascii="Courier New" w:eastAsia="Courier New" w:hAnsi="Courier New" w:cs="Courier New"/>
          <w:highlight w:val="white"/>
        </w:rPr>
        <w:t>The estimated number of respondents and responses per year is based on the historical average award data available in SAM.gov for fiscal years 2023 through 2025.</w:t>
      </w:r>
    </w:p>
    <w:p w:rsidR="00331C43" w14:paraId="5F64D415" w14:textId="77777777">
      <w:pPr>
        <w:widowControl w:val="0"/>
        <w:numPr>
          <w:ilvl w:val="0"/>
          <w:numId w:val="4"/>
        </w:numPr>
        <w:ind w:right="-40"/>
        <w:rPr>
          <w:rFonts w:ascii="Courier New" w:eastAsia="Courier New" w:hAnsi="Courier New" w:cs="Courier New"/>
          <w:highlight w:val="white"/>
        </w:rPr>
      </w:pPr>
      <w:r>
        <w:rPr>
          <w:rFonts w:ascii="Courier New" w:eastAsia="Courier New" w:hAnsi="Courier New" w:cs="Courier New"/>
          <w:highlight w:val="white"/>
        </w:rPr>
        <w:t>The estimated cost per hour is based on use of the calendar year 2026 OPM GS wage rate for the rest of the United States.</w:t>
      </w:r>
    </w:p>
    <w:p w:rsidR="00331C43" w14:paraId="3A29166D" w14:textId="77777777">
      <w:pPr>
        <w:widowControl w:val="0"/>
        <w:numPr>
          <w:ilvl w:val="0"/>
          <w:numId w:val="4"/>
        </w:numPr>
        <w:ind w:right="-40"/>
        <w:rPr>
          <w:rFonts w:ascii="Courier New" w:eastAsia="Courier New" w:hAnsi="Courier New" w:cs="Courier New"/>
          <w:highlight w:val="white"/>
        </w:rPr>
      </w:pPr>
      <w:r>
        <w:rPr>
          <w:rFonts w:ascii="Courier New" w:eastAsia="Courier New" w:hAnsi="Courier New" w:cs="Courier New"/>
          <w:highlight w:val="white"/>
        </w:rPr>
        <w:t>Subject matter experts (SMEs) examined previous assumptions used to calculate the burden and agreed that access to PII or system of records impacts a much more limited set of contractors. As such the burden estimate was adjusted by reducing:</w:t>
      </w:r>
    </w:p>
    <w:p w:rsidR="00331C43" w14:paraId="554E238C" w14:textId="77777777">
      <w:pPr>
        <w:widowControl w:val="0"/>
        <w:numPr>
          <w:ilvl w:val="1"/>
          <w:numId w:val="4"/>
        </w:numPr>
        <w:ind w:right="-40"/>
        <w:rPr>
          <w:rFonts w:ascii="Courier New" w:eastAsia="Courier New" w:hAnsi="Courier New" w:cs="Courier New"/>
          <w:highlight w:val="white"/>
        </w:rPr>
      </w:pPr>
      <w:r>
        <w:rPr>
          <w:rFonts w:ascii="Courier New" w:eastAsia="Courier New" w:hAnsi="Courier New" w:cs="Courier New"/>
          <w:highlight w:val="white"/>
        </w:rPr>
        <w:t xml:space="preserve">The percentage of the target population (contracts in the PSC categories) </w:t>
      </w:r>
      <w:r>
        <w:rPr>
          <w:rFonts w:ascii="Courier New" w:eastAsia="Courier New" w:hAnsi="Courier New" w:cs="Courier New"/>
          <w:highlight w:val="white"/>
        </w:rPr>
        <w:t>from</w:t>
      </w:r>
      <w:r>
        <w:rPr>
          <w:rFonts w:ascii="Courier New" w:eastAsia="Courier New" w:hAnsi="Courier New" w:cs="Courier New"/>
          <w:highlight w:val="white"/>
        </w:rPr>
        <w:t xml:space="preserve"> 33.25% to 10%.</w:t>
      </w:r>
    </w:p>
    <w:p w:rsidR="00331C43" w14:paraId="31B6846E" w14:textId="77777777">
      <w:pPr>
        <w:widowControl w:val="0"/>
        <w:numPr>
          <w:ilvl w:val="1"/>
          <w:numId w:val="4"/>
        </w:numPr>
        <w:spacing w:after="240"/>
        <w:ind w:right="-40"/>
        <w:rPr>
          <w:rFonts w:ascii="Courier New" w:eastAsia="Courier New" w:hAnsi="Courier New" w:cs="Courier New"/>
          <w:highlight w:val="white"/>
        </w:rPr>
      </w:pPr>
      <w:r>
        <w:rPr>
          <w:rFonts w:ascii="Courier New" w:eastAsia="Courier New" w:hAnsi="Courier New" w:cs="Courier New"/>
          <w:highlight w:val="white"/>
        </w:rPr>
        <w:t xml:space="preserve">The PSC categories used for calculating the burden estimate from 14 to 6. The following PSC categories were removed from the data set: A-Research and Development; C-Architect and Engineering Services; H-Quality Control, Testing, and Inspection; J-Maintenance, Repair, and Rebuilding of Equipment; K-Modification of Equipment; L-Technical Representative; M-Operation of Structures/Facilities; and N-Installation of Equipment. SMEs concluded that the previously used categories "wildly exceed the range of vendors </w:t>
      </w:r>
      <w:r>
        <w:rPr>
          <w:rFonts w:ascii="Courier New" w:eastAsia="Courier New" w:hAnsi="Courier New" w:cs="Courier New"/>
          <w:highlight w:val="white"/>
        </w:rPr>
        <w:t>impacted by the Privacy Training clause (e.g., those that might have access to PII)".</w:t>
      </w:r>
    </w:p>
    <w:tbl>
      <w:tblPr>
        <w:tblStyle w:val="a1"/>
        <w:tblW w:w="6375" w:type="dxa"/>
        <w:tblInd w:w="690" w:type="dxa"/>
        <w:tblBorders>
          <w:top w:val="nil"/>
          <w:left w:val="nil"/>
          <w:bottom w:val="nil"/>
          <w:right w:val="nil"/>
          <w:insideH w:val="nil"/>
          <w:insideV w:val="nil"/>
        </w:tblBorders>
        <w:tblLayout w:type="fixed"/>
        <w:tblLook w:val="0600"/>
      </w:tblPr>
      <w:tblGrid>
        <w:gridCol w:w="1770"/>
        <w:gridCol w:w="1575"/>
        <w:gridCol w:w="1395"/>
        <w:gridCol w:w="1635"/>
      </w:tblGrid>
      <w:tr w14:paraId="69DD63CB" w14:textId="77777777">
        <w:tblPrEx>
          <w:tblW w:w="6375" w:type="dxa"/>
          <w:tblInd w:w="690" w:type="dxa"/>
          <w:tblBorders>
            <w:top w:val="nil"/>
            <w:left w:val="nil"/>
            <w:bottom w:val="nil"/>
            <w:right w:val="nil"/>
            <w:insideH w:val="nil"/>
            <w:insideV w:val="nil"/>
          </w:tblBorders>
          <w:tblLayout w:type="fixed"/>
          <w:tblLook w:val="0600"/>
        </w:tblPrEx>
        <w:trPr>
          <w:trHeight w:val="570"/>
        </w:trPr>
        <w:tc>
          <w:tcPr>
            <w:tcW w:w="1770"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rsidR="00331C43" w14:paraId="4203503E" w14:textId="77777777">
            <w:pPr>
              <w:widowControl w:val="0"/>
              <w:spacing w:line="276" w:lineRule="auto"/>
              <w:rPr>
                <w:rFonts w:ascii="Arial" w:eastAsia="Arial" w:hAnsi="Arial" w:cs="Arial"/>
                <w:sz w:val="20"/>
                <w:szCs w:val="20"/>
              </w:rPr>
            </w:pPr>
          </w:p>
        </w:tc>
        <w:tc>
          <w:tcPr>
            <w:tcW w:w="1575"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142A4407" w14:textId="77777777">
            <w:pPr>
              <w:widowControl w:val="0"/>
              <w:spacing w:line="276" w:lineRule="auto"/>
              <w:jc w:val="right"/>
              <w:rPr>
                <w:rFonts w:ascii="Arial" w:eastAsia="Arial" w:hAnsi="Arial" w:cs="Arial"/>
                <w:sz w:val="20"/>
                <w:szCs w:val="20"/>
              </w:rPr>
            </w:pPr>
            <w:r>
              <w:rPr>
                <w:rFonts w:ascii="Courier New" w:eastAsia="Courier New" w:hAnsi="Courier New" w:cs="Courier New"/>
                <w:color w:val="222222"/>
                <w:sz w:val="22"/>
                <w:szCs w:val="22"/>
              </w:rPr>
              <w:t>2023 Estimate</w:t>
            </w:r>
          </w:p>
        </w:tc>
        <w:tc>
          <w:tcPr>
            <w:tcW w:w="1395"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34806A6E" w14:textId="77777777">
            <w:pPr>
              <w:widowControl w:val="0"/>
              <w:spacing w:line="276" w:lineRule="auto"/>
              <w:jc w:val="right"/>
              <w:rPr>
                <w:rFonts w:ascii="Arial" w:eastAsia="Arial" w:hAnsi="Arial" w:cs="Arial"/>
                <w:sz w:val="20"/>
                <w:szCs w:val="20"/>
              </w:rPr>
            </w:pPr>
            <w:r>
              <w:rPr>
                <w:rFonts w:ascii="Courier New" w:eastAsia="Courier New" w:hAnsi="Courier New" w:cs="Courier New"/>
                <w:color w:val="222222"/>
                <w:sz w:val="22"/>
                <w:szCs w:val="22"/>
              </w:rPr>
              <w:t>2026 Estimate</w:t>
            </w:r>
          </w:p>
        </w:tc>
        <w:tc>
          <w:tcPr>
            <w:tcW w:w="1635"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3D7FC60B" w14:textId="77777777">
            <w:pPr>
              <w:widowControl w:val="0"/>
              <w:spacing w:line="276" w:lineRule="auto"/>
              <w:jc w:val="right"/>
              <w:rPr>
                <w:rFonts w:ascii="Arial" w:eastAsia="Arial" w:hAnsi="Arial" w:cs="Arial"/>
                <w:sz w:val="20"/>
                <w:szCs w:val="20"/>
              </w:rPr>
            </w:pPr>
            <w:r>
              <w:rPr>
                <w:rFonts w:ascii="Courier New" w:eastAsia="Courier New" w:hAnsi="Courier New" w:cs="Courier New"/>
                <w:color w:val="222222"/>
                <w:sz w:val="22"/>
                <w:szCs w:val="22"/>
              </w:rPr>
              <w:t>Change in Burden</w:t>
            </w:r>
          </w:p>
        </w:tc>
      </w:tr>
      <w:tr w14:paraId="0237308E" w14:textId="77777777">
        <w:tblPrEx>
          <w:tblW w:w="6375" w:type="dxa"/>
          <w:tblInd w:w="690" w:type="dxa"/>
          <w:tblLayout w:type="fixed"/>
          <w:tblLook w:val="0600"/>
        </w:tblPrEx>
        <w:trPr>
          <w:trHeight w:val="570"/>
        </w:trPr>
        <w:tc>
          <w:tcPr>
            <w:tcW w:w="1770"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331C43" w14:paraId="6D4A4DBE" w14:textId="77777777">
            <w:pPr>
              <w:widowControl w:val="0"/>
              <w:spacing w:line="276" w:lineRule="auto"/>
              <w:rPr>
                <w:rFonts w:ascii="Arial" w:eastAsia="Arial" w:hAnsi="Arial" w:cs="Arial"/>
                <w:sz w:val="20"/>
                <w:szCs w:val="20"/>
              </w:rPr>
            </w:pPr>
            <w:r>
              <w:rPr>
                <w:rFonts w:ascii="Courier New" w:eastAsia="Courier New" w:hAnsi="Courier New" w:cs="Courier New"/>
                <w:color w:val="222222"/>
                <w:sz w:val="22"/>
                <w:szCs w:val="22"/>
              </w:rPr>
              <w:t>Number of respondents</w:t>
            </w:r>
          </w:p>
        </w:tc>
        <w:tc>
          <w:tcPr>
            <w:tcW w:w="157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56955A8C" w14:textId="77777777">
            <w:pPr>
              <w:widowControl w:val="0"/>
              <w:spacing w:line="276" w:lineRule="auto"/>
              <w:jc w:val="right"/>
              <w:rPr>
                <w:rFonts w:ascii="Arial" w:eastAsia="Arial" w:hAnsi="Arial" w:cs="Arial"/>
                <w:sz w:val="20"/>
                <w:szCs w:val="20"/>
              </w:rPr>
            </w:pPr>
            <w:r>
              <w:rPr>
                <w:rFonts w:ascii="Courier New" w:eastAsia="Courier New" w:hAnsi="Courier New" w:cs="Courier New"/>
                <w:color w:val="222222"/>
                <w:sz w:val="22"/>
                <w:szCs w:val="22"/>
              </w:rPr>
              <w:t>49,097</w:t>
            </w:r>
          </w:p>
        </w:tc>
        <w:tc>
          <w:tcPr>
            <w:tcW w:w="139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3ABF95AF" w14:textId="77777777">
            <w:pPr>
              <w:widowControl w:val="0"/>
              <w:spacing w:line="276" w:lineRule="auto"/>
              <w:jc w:val="right"/>
              <w:rPr>
                <w:rFonts w:ascii="Arial" w:eastAsia="Arial" w:hAnsi="Arial" w:cs="Arial"/>
                <w:sz w:val="20"/>
                <w:szCs w:val="20"/>
              </w:rPr>
            </w:pPr>
            <w:r>
              <w:rPr>
                <w:rFonts w:ascii="Courier New" w:eastAsia="Courier New" w:hAnsi="Courier New" w:cs="Courier New"/>
                <w:color w:val="222222"/>
                <w:sz w:val="22"/>
                <w:szCs w:val="22"/>
              </w:rPr>
              <w:t>4,282</w:t>
            </w:r>
          </w:p>
        </w:tc>
        <w:tc>
          <w:tcPr>
            <w:tcW w:w="163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62DE38D5" w14:textId="77777777">
            <w:pPr>
              <w:widowControl w:val="0"/>
              <w:spacing w:line="276" w:lineRule="auto"/>
              <w:jc w:val="right"/>
              <w:rPr>
                <w:rFonts w:ascii="Arial" w:eastAsia="Arial" w:hAnsi="Arial" w:cs="Arial"/>
                <w:sz w:val="20"/>
                <w:szCs w:val="20"/>
              </w:rPr>
            </w:pPr>
            <w:r>
              <w:rPr>
                <w:rFonts w:ascii="Courier New" w:eastAsia="Courier New" w:hAnsi="Courier New" w:cs="Courier New"/>
                <w:color w:val="222222"/>
                <w:sz w:val="22"/>
                <w:szCs w:val="22"/>
              </w:rPr>
              <w:t>-44,815</w:t>
            </w:r>
          </w:p>
        </w:tc>
      </w:tr>
      <w:tr w14:paraId="2D678C25" w14:textId="77777777">
        <w:tblPrEx>
          <w:tblW w:w="6375" w:type="dxa"/>
          <w:tblInd w:w="690" w:type="dxa"/>
          <w:tblLayout w:type="fixed"/>
          <w:tblLook w:val="0600"/>
        </w:tblPrEx>
        <w:trPr>
          <w:trHeight w:val="810"/>
        </w:trPr>
        <w:tc>
          <w:tcPr>
            <w:tcW w:w="1770"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331C43" w14:paraId="1A4E5DA7" w14:textId="77777777">
            <w:pPr>
              <w:widowControl w:val="0"/>
              <w:spacing w:line="276" w:lineRule="auto"/>
              <w:rPr>
                <w:rFonts w:ascii="Arial" w:eastAsia="Arial" w:hAnsi="Arial" w:cs="Arial"/>
                <w:sz w:val="20"/>
                <w:szCs w:val="20"/>
              </w:rPr>
            </w:pPr>
            <w:r>
              <w:rPr>
                <w:rFonts w:ascii="Courier New" w:eastAsia="Courier New" w:hAnsi="Courier New" w:cs="Courier New"/>
                <w:color w:val="222222"/>
                <w:sz w:val="22"/>
                <w:szCs w:val="22"/>
              </w:rPr>
              <w:t>Total annual responses</w:t>
            </w:r>
          </w:p>
        </w:tc>
        <w:tc>
          <w:tcPr>
            <w:tcW w:w="157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4B6B8DA3" w14:textId="77777777">
            <w:pPr>
              <w:widowControl w:val="0"/>
              <w:spacing w:line="276" w:lineRule="auto"/>
              <w:jc w:val="right"/>
              <w:rPr>
                <w:rFonts w:ascii="Arial" w:eastAsia="Arial" w:hAnsi="Arial" w:cs="Arial"/>
                <w:sz w:val="20"/>
                <w:szCs w:val="20"/>
              </w:rPr>
            </w:pPr>
            <w:r>
              <w:rPr>
                <w:rFonts w:ascii="Courier New" w:eastAsia="Courier New" w:hAnsi="Courier New" w:cs="Courier New"/>
                <w:color w:val="222222"/>
                <w:sz w:val="22"/>
                <w:szCs w:val="22"/>
              </w:rPr>
              <w:t>295,809</w:t>
            </w:r>
          </w:p>
        </w:tc>
        <w:tc>
          <w:tcPr>
            <w:tcW w:w="139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78257902" w14:textId="77777777">
            <w:pPr>
              <w:widowControl w:val="0"/>
              <w:spacing w:line="276" w:lineRule="auto"/>
              <w:jc w:val="right"/>
              <w:rPr>
                <w:rFonts w:ascii="Arial" w:eastAsia="Arial" w:hAnsi="Arial" w:cs="Arial"/>
                <w:sz w:val="20"/>
                <w:szCs w:val="20"/>
              </w:rPr>
            </w:pPr>
            <w:r>
              <w:rPr>
                <w:rFonts w:ascii="Courier New" w:eastAsia="Courier New" w:hAnsi="Courier New" w:cs="Courier New"/>
                <w:color w:val="222222"/>
                <w:sz w:val="22"/>
                <w:szCs w:val="22"/>
              </w:rPr>
              <w:t>25,799</w:t>
            </w:r>
          </w:p>
        </w:tc>
        <w:tc>
          <w:tcPr>
            <w:tcW w:w="163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50A036EA" w14:textId="77777777">
            <w:pPr>
              <w:widowControl w:val="0"/>
              <w:spacing w:line="276" w:lineRule="auto"/>
              <w:jc w:val="right"/>
              <w:rPr>
                <w:rFonts w:ascii="Arial" w:eastAsia="Arial" w:hAnsi="Arial" w:cs="Arial"/>
                <w:sz w:val="20"/>
                <w:szCs w:val="20"/>
              </w:rPr>
            </w:pPr>
            <w:r>
              <w:rPr>
                <w:rFonts w:ascii="Courier New" w:eastAsia="Courier New" w:hAnsi="Courier New" w:cs="Courier New"/>
                <w:color w:val="222222"/>
                <w:sz w:val="22"/>
                <w:szCs w:val="22"/>
              </w:rPr>
              <w:t>-270,010</w:t>
            </w:r>
          </w:p>
        </w:tc>
      </w:tr>
      <w:tr w14:paraId="6B0CEBAC" w14:textId="77777777">
        <w:tblPrEx>
          <w:tblW w:w="6375" w:type="dxa"/>
          <w:tblInd w:w="690" w:type="dxa"/>
          <w:tblLayout w:type="fixed"/>
          <w:tblLook w:val="0600"/>
        </w:tblPrEx>
        <w:trPr>
          <w:trHeight w:val="810"/>
        </w:trPr>
        <w:tc>
          <w:tcPr>
            <w:tcW w:w="1770"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331C43" w14:paraId="787838CF" w14:textId="77777777">
            <w:pPr>
              <w:widowControl w:val="0"/>
              <w:spacing w:line="276" w:lineRule="auto"/>
              <w:rPr>
                <w:rFonts w:ascii="Arial" w:eastAsia="Arial" w:hAnsi="Arial" w:cs="Arial"/>
                <w:sz w:val="20"/>
                <w:szCs w:val="20"/>
              </w:rPr>
            </w:pPr>
            <w:r>
              <w:rPr>
                <w:rFonts w:ascii="Courier New" w:eastAsia="Courier New" w:hAnsi="Courier New" w:cs="Courier New"/>
                <w:color w:val="222222"/>
                <w:sz w:val="22"/>
                <w:szCs w:val="22"/>
              </w:rPr>
              <w:t>Total burden hours</w:t>
            </w:r>
          </w:p>
        </w:tc>
        <w:tc>
          <w:tcPr>
            <w:tcW w:w="157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37286771" w14:textId="77777777">
            <w:pPr>
              <w:widowControl w:val="0"/>
              <w:spacing w:line="276" w:lineRule="auto"/>
              <w:jc w:val="right"/>
              <w:rPr>
                <w:rFonts w:ascii="Arial" w:eastAsia="Arial" w:hAnsi="Arial" w:cs="Arial"/>
                <w:sz w:val="20"/>
                <w:szCs w:val="20"/>
              </w:rPr>
            </w:pPr>
            <w:r>
              <w:rPr>
                <w:rFonts w:ascii="Courier New" w:eastAsia="Courier New" w:hAnsi="Courier New" w:cs="Courier New"/>
                <w:color w:val="222222"/>
                <w:sz w:val="22"/>
                <w:szCs w:val="22"/>
              </w:rPr>
              <w:t>147,598</w:t>
            </w:r>
          </w:p>
        </w:tc>
        <w:tc>
          <w:tcPr>
            <w:tcW w:w="139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241538D6" w14:textId="77777777">
            <w:pPr>
              <w:widowControl w:val="0"/>
              <w:spacing w:line="276" w:lineRule="auto"/>
              <w:jc w:val="right"/>
              <w:rPr>
                <w:rFonts w:ascii="Arial" w:eastAsia="Arial" w:hAnsi="Arial" w:cs="Arial"/>
                <w:sz w:val="20"/>
                <w:szCs w:val="20"/>
              </w:rPr>
            </w:pPr>
            <w:r>
              <w:rPr>
                <w:rFonts w:ascii="Courier New" w:eastAsia="Courier New" w:hAnsi="Courier New" w:cs="Courier New"/>
                <w:color w:val="222222"/>
                <w:sz w:val="22"/>
                <w:szCs w:val="22"/>
              </w:rPr>
              <w:t>12,873</w:t>
            </w:r>
          </w:p>
        </w:tc>
        <w:tc>
          <w:tcPr>
            <w:tcW w:w="163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5D323AF7" w14:textId="77777777">
            <w:pPr>
              <w:widowControl w:val="0"/>
              <w:spacing w:line="276" w:lineRule="auto"/>
              <w:jc w:val="right"/>
              <w:rPr>
                <w:rFonts w:ascii="Arial" w:eastAsia="Arial" w:hAnsi="Arial" w:cs="Arial"/>
                <w:sz w:val="20"/>
                <w:szCs w:val="20"/>
              </w:rPr>
            </w:pPr>
            <w:r>
              <w:rPr>
                <w:rFonts w:ascii="Courier New" w:eastAsia="Courier New" w:hAnsi="Courier New" w:cs="Courier New"/>
                <w:color w:val="222222"/>
                <w:sz w:val="22"/>
                <w:szCs w:val="22"/>
              </w:rPr>
              <w:t>-134,725</w:t>
            </w:r>
          </w:p>
        </w:tc>
      </w:tr>
      <w:tr w14:paraId="31540071" w14:textId="77777777">
        <w:tblPrEx>
          <w:tblW w:w="6375" w:type="dxa"/>
          <w:tblInd w:w="690" w:type="dxa"/>
          <w:tblLayout w:type="fixed"/>
          <w:tblLook w:val="0600"/>
        </w:tblPrEx>
        <w:trPr>
          <w:trHeight w:val="810"/>
        </w:trPr>
        <w:tc>
          <w:tcPr>
            <w:tcW w:w="1770"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331C43" w14:paraId="69BA0C6F" w14:textId="77777777">
            <w:pPr>
              <w:widowControl w:val="0"/>
              <w:spacing w:line="276" w:lineRule="auto"/>
              <w:rPr>
                <w:rFonts w:ascii="Arial" w:eastAsia="Arial" w:hAnsi="Arial" w:cs="Arial"/>
                <w:sz w:val="20"/>
                <w:szCs w:val="20"/>
              </w:rPr>
            </w:pPr>
            <w:r>
              <w:rPr>
                <w:rFonts w:ascii="Courier New" w:eastAsia="Courier New" w:hAnsi="Courier New" w:cs="Courier New"/>
                <w:color w:val="222222"/>
                <w:sz w:val="22"/>
                <w:szCs w:val="22"/>
              </w:rPr>
              <w:t>Total annual cost to public</w:t>
            </w:r>
          </w:p>
        </w:tc>
        <w:tc>
          <w:tcPr>
            <w:tcW w:w="157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217BEE58" w14:textId="77777777">
            <w:pPr>
              <w:widowControl w:val="0"/>
              <w:spacing w:line="276" w:lineRule="auto"/>
              <w:jc w:val="right"/>
              <w:rPr>
                <w:rFonts w:ascii="Arial" w:eastAsia="Arial" w:hAnsi="Arial" w:cs="Arial"/>
                <w:sz w:val="20"/>
                <w:szCs w:val="20"/>
              </w:rPr>
            </w:pPr>
            <w:r>
              <w:rPr>
                <w:rFonts w:ascii="Courier New" w:eastAsia="Courier New" w:hAnsi="Courier New" w:cs="Courier New"/>
                <w:color w:val="222222"/>
                <w:sz w:val="22"/>
                <w:szCs w:val="22"/>
              </w:rPr>
              <w:t>$6,789,497</w:t>
            </w:r>
          </w:p>
        </w:tc>
        <w:tc>
          <w:tcPr>
            <w:tcW w:w="139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2A736EA7" w14:textId="77777777">
            <w:pPr>
              <w:widowControl w:val="0"/>
              <w:spacing w:line="276" w:lineRule="auto"/>
              <w:jc w:val="right"/>
              <w:rPr>
                <w:rFonts w:ascii="Arial" w:eastAsia="Arial" w:hAnsi="Arial" w:cs="Arial"/>
                <w:sz w:val="20"/>
                <w:szCs w:val="20"/>
              </w:rPr>
            </w:pPr>
            <w:r>
              <w:rPr>
                <w:rFonts w:ascii="Courier New" w:eastAsia="Courier New" w:hAnsi="Courier New" w:cs="Courier New"/>
                <w:color w:val="222222"/>
                <w:sz w:val="22"/>
                <w:szCs w:val="22"/>
              </w:rPr>
              <w:t>$643,638</w:t>
            </w:r>
          </w:p>
        </w:tc>
        <w:tc>
          <w:tcPr>
            <w:tcW w:w="1635"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331C43" w14:paraId="2968B77D" w14:textId="77777777">
            <w:pPr>
              <w:widowControl w:val="0"/>
              <w:spacing w:line="276" w:lineRule="auto"/>
              <w:jc w:val="right"/>
              <w:rPr>
                <w:rFonts w:ascii="Arial" w:eastAsia="Arial" w:hAnsi="Arial" w:cs="Arial"/>
                <w:sz w:val="20"/>
                <w:szCs w:val="20"/>
              </w:rPr>
            </w:pPr>
            <w:r>
              <w:rPr>
                <w:rFonts w:ascii="Courier New" w:eastAsia="Courier New" w:hAnsi="Courier New" w:cs="Courier New"/>
                <w:color w:val="222222"/>
                <w:sz w:val="22"/>
                <w:szCs w:val="22"/>
              </w:rPr>
              <w:t>-$6,145,859</w:t>
            </w:r>
          </w:p>
        </w:tc>
      </w:tr>
    </w:tbl>
    <w:p w:rsidR="00331C43" w14:paraId="7EA1B435" w14:textId="77777777">
      <w:pPr>
        <w:widowControl w:val="0"/>
        <w:spacing w:after="240"/>
        <w:ind w:right="-40"/>
        <w:rPr>
          <w:rFonts w:ascii="Courier New" w:eastAsia="Courier New" w:hAnsi="Courier New" w:cs="Courier New"/>
          <w:highlight w:val="white"/>
        </w:rPr>
      </w:pPr>
    </w:p>
    <w:p w:rsidR="00331C43" w14:paraId="1C8B4832" w14:textId="77777777">
      <w:pPr>
        <w:widowControl w:val="0"/>
        <w:numPr>
          <w:ilvl w:val="0"/>
          <w:numId w:val="1"/>
        </w:numP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Publicizing Results.</w:t>
      </w:r>
      <w:r>
        <w:rPr>
          <w:rFonts w:ascii="Courier New" w:eastAsia="Courier New" w:hAnsi="Courier New" w:cs="Courier New"/>
        </w:rPr>
        <w:t xml:space="preserve"> Results will not be tabulated or published.</w:t>
      </w:r>
    </w:p>
    <w:p w:rsidR="00331C43" w14:paraId="265D7238" w14:textId="77777777">
      <w:pPr>
        <w:widowControl w:val="0"/>
        <w:tabs>
          <w:tab w:val="left" w:pos="360"/>
          <w:tab w:val="left" w:pos="720"/>
          <w:tab w:val="left" w:pos="1080"/>
        </w:tabs>
        <w:rPr>
          <w:rFonts w:ascii="Courier New" w:eastAsia="Courier New" w:hAnsi="Courier New" w:cs="Courier New"/>
        </w:rPr>
      </w:pPr>
    </w:p>
    <w:p w:rsidR="00331C43" w14:paraId="69F38FD4" w14:textId="77777777">
      <w:pPr>
        <w:widowControl w:val="0"/>
        <w:numPr>
          <w:ilvl w:val="0"/>
          <w:numId w:val="1"/>
        </w:numP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OMB Not to Display Approval.</w:t>
      </w:r>
      <w:r>
        <w:rPr>
          <w:rFonts w:ascii="Courier New" w:eastAsia="Courier New" w:hAnsi="Courier New" w:cs="Courier New"/>
        </w:rPr>
        <w:t xml:space="preserve"> Approval to </w:t>
      </w:r>
      <w:r>
        <w:rPr>
          <w:rFonts w:ascii="Courier New" w:eastAsia="Courier New" w:hAnsi="Courier New" w:cs="Courier New"/>
          <w:i/>
          <w:iCs/>
        </w:rPr>
        <w:t>not</w:t>
      </w:r>
      <w:r>
        <w:rPr>
          <w:rFonts w:ascii="Courier New" w:eastAsia="Courier New" w:hAnsi="Courier New" w:cs="Courier New"/>
        </w:rPr>
        <w:t xml:space="preserve"> display the expiration date for OMB approval of the information collection is not sought.</w:t>
      </w:r>
    </w:p>
    <w:p w:rsidR="00331C43" w14:paraId="3FE1AEC7" w14:textId="77777777">
      <w:pPr>
        <w:widowControl w:val="0"/>
        <w:tabs>
          <w:tab w:val="left" w:pos="360"/>
          <w:tab w:val="left" w:pos="720"/>
          <w:tab w:val="left" w:pos="1080"/>
        </w:tabs>
        <w:rPr>
          <w:rFonts w:ascii="Courier New" w:eastAsia="Courier New" w:hAnsi="Courier New" w:cs="Courier New"/>
        </w:rPr>
      </w:pPr>
    </w:p>
    <w:p w:rsidR="00331C43" w14:paraId="4FFADE4F" w14:textId="77777777">
      <w:pPr>
        <w:widowControl w:val="0"/>
        <w:numPr>
          <w:ilvl w:val="0"/>
          <w:numId w:val="1"/>
        </w:numPr>
        <w:tabs>
          <w:tab w:val="left" w:pos="360"/>
          <w:tab w:val="left" w:pos="720"/>
          <w:tab w:val="left" w:pos="1080"/>
        </w:tabs>
        <w:rPr>
          <w:rFonts w:ascii="Courier New" w:eastAsia="Courier New" w:hAnsi="Courier New" w:cs="Courier New"/>
        </w:rPr>
      </w:pPr>
      <w:r>
        <w:rPr>
          <w:rFonts w:ascii="Courier New" w:eastAsia="Courier New" w:hAnsi="Courier New" w:cs="Courier New"/>
        </w:rPr>
        <w:t xml:space="preserve"> </w:t>
      </w:r>
      <w:r>
        <w:rPr>
          <w:rFonts w:ascii="Courier New" w:eastAsia="Courier New" w:hAnsi="Courier New" w:cs="Courier New"/>
          <w:u w:val="single"/>
        </w:rPr>
        <w:t>Exceptions to "Certification for Paperwork Reduction Submissions."</w:t>
      </w:r>
      <w:r>
        <w:rPr>
          <w:rFonts w:ascii="Courier New" w:eastAsia="Courier New" w:hAnsi="Courier New" w:cs="Courier New"/>
        </w:rPr>
        <w:t xml:space="preserve"> There is no exception to the certification statement.</w:t>
      </w:r>
    </w:p>
    <w:p w:rsidR="00331C43" w14:paraId="662F6A9E" w14:textId="77777777">
      <w:pPr>
        <w:widowControl w:val="0"/>
        <w:tabs>
          <w:tab w:val="left" w:pos="360"/>
          <w:tab w:val="left" w:pos="720"/>
          <w:tab w:val="left" w:pos="1080"/>
        </w:tabs>
        <w:rPr>
          <w:rFonts w:ascii="Courier New" w:eastAsia="Courier New" w:hAnsi="Courier New" w:cs="Courier New"/>
        </w:rPr>
      </w:pPr>
    </w:p>
    <w:p w:rsidR="00331C43" w14:paraId="441A1B25" w14:textId="77777777">
      <w:pPr>
        <w:widowControl w:val="0"/>
        <w:numPr>
          <w:ilvl w:val="0"/>
          <w:numId w:val="1"/>
        </w:numPr>
        <w:tabs>
          <w:tab w:val="left" w:pos="360"/>
          <w:tab w:val="left" w:pos="720"/>
          <w:tab w:val="left" w:pos="1080"/>
        </w:tabs>
        <w:rPr>
          <w:rFonts w:ascii="Courier New" w:eastAsia="Courier New" w:hAnsi="Courier New" w:cs="Courier New"/>
        </w:rPr>
      </w:pPr>
      <w:r>
        <w:rPr>
          <w:rFonts w:ascii="Courier New" w:eastAsia="Courier New" w:hAnsi="Courier New" w:cs="Courier New"/>
          <w:u w:val="single"/>
        </w:rPr>
        <w:t>Surveys, Censuses, and Other Collections that Employ Statistical Methods.</w:t>
      </w:r>
      <w:r>
        <w:rPr>
          <w:rFonts w:ascii="Courier New" w:eastAsia="Courier New" w:hAnsi="Courier New" w:cs="Courier New"/>
        </w:rPr>
        <w:t xml:space="preserve">  Statistical methods are not used in this information collection. </w:t>
      </w:r>
      <w:r>
        <w:rPr>
          <w:rFonts w:ascii="Courier New" w:eastAsia="Courier New" w:hAnsi="Courier New" w:cs="Courier New"/>
        </w:rPr>
        <w:t>A Part</w:t>
      </w:r>
      <w:r>
        <w:rPr>
          <w:rFonts w:ascii="Courier New" w:eastAsia="Courier New" w:hAnsi="Courier New" w:cs="Courier New"/>
        </w:rPr>
        <w:t xml:space="preserve"> B supporting statement is not needed, or required, and therefore was not completed.</w:t>
      </w:r>
    </w:p>
    <w:p w:rsidR="00331C43" w14:paraId="38903BED" w14:textId="77777777">
      <w:pPr>
        <w:widowControl w:val="0"/>
        <w:tabs>
          <w:tab w:val="left" w:pos="360"/>
          <w:tab w:val="left" w:pos="720"/>
          <w:tab w:val="left" w:pos="1080"/>
        </w:tabs>
        <w:rPr>
          <w:rFonts w:ascii="Courier New" w:eastAsia="Courier New" w:hAnsi="Courier New" w:cs="Courier New"/>
        </w:rPr>
      </w:pPr>
    </w:p>
    <w:p w:rsidR="00331C43" w14:paraId="1057B2A4" w14:textId="77777777">
      <w:pPr>
        <w:widowControl w:val="0"/>
        <w:tabs>
          <w:tab w:val="left" w:pos="360"/>
          <w:tab w:val="left" w:pos="720"/>
          <w:tab w:val="left" w:pos="1080"/>
        </w:tabs>
        <w:rPr>
          <w:rFonts w:ascii="Courier New" w:eastAsia="Courier New" w:hAnsi="Courier New" w:cs="Courier New"/>
        </w:rPr>
      </w:pPr>
    </w:p>
    <w:tbl>
      <w:tblPr>
        <w:tblStyle w:val="a2"/>
        <w:tblW w:w="4500" w:type="dxa"/>
        <w:tblInd w:w="0" w:type="dxa"/>
        <w:tblBorders>
          <w:top w:val="nil"/>
          <w:left w:val="nil"/>
          <w:bottom w:val="nil"/>
          <w:right w:val="nil"/>
          <w:insideH w:val="nil"/>
          <w:insideV w:val="nil"/>
        </w:tblBorders>
        <w:tblLayout w:type="fixed"/>
        <w:tblLook w:val="0600"/>
      </w:tblPr>
      <w:tblGrid>
        <w:gridCol w:w="1500"/>
        <w:gridCol w:w="1500"/>
        <w:gridCol w:w="1500"/>
      </w:tblGrid>
      <w:tr w14:paraId="642DC51D" w14:textId="77777777">
        <w:tblPrEx>
          <w:tblW w:w="4500" w:type="dxa"/>
          <w:tblInd w:w="0" w:type="dxa"/>
          <w:tblBorders>
            <w:top w:val="nil"/>
            <w:left w:val="nil"/>
            <w:bottom w:val="nil"/>
            <w:right w:val="nil"/>
            <w:insideH w:val="nil"/>
            <w:insideV w:val="nil"/>
          </w:tblBorders>
          <w:tblLayout w:type="fixed"/>
          <w:tblLook w:val="0600"/>
        </w:tblPrEx>
        <w:trPr>
          <w:trHeight w:val="315"/>
        </w:trPr>
        <w:tc>
          <w:tcPr>
            <w:tcW w:w="1500"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331C43" w14:paraId="0F6CF242" w14:textId="77777777">
            <w:pPr>
              <w:widowControl w:val="0"/>
              <w:spacing w:line="276" w:lineRule="auto"/>
              <w:jc w:val="center"/>
              <w:rPr>
                <w:rFonts w:ascii="Arial" w:eastAsia="Arial" w:hAnsi="Arial" w:cs="Arial"/>
                <w:b/>
                <w:bCs/>
                <w:sz w:val="20"/>
                <w:szCs w:val="20"/>
                <w:u w:val="single"/>
              </w:rPr>
            </w:pPr>
            <w:r>
              <w:rPr>
                <w:rFonts w:ascii="Arial" w:eastAsia="Arial" w:hAnsi="Arial" w:cs="Arial"/>
                <w:b/>
                <w:bCs/>
                <w:sz w:val="20"/>
                <w:szCs w:val="20"/>
                <w:u w:val="single"/>
              </w:rPr>
              <w:t>FY</w:t>
            </w:r>
          </w:p>
        </w:tc>
        <w:tc>
          <w:tcPr>
            <w:tcW w:w="3000" w:type="dxa"/>
            <w:gridSpan w:val="2"/>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619675B0" w14:textId="77777777">
            <w:pPr>
              <w:widowControl w:val="0"/>
              <w:spacing w:line="276" w:lineRule="auto"/>
              <w:jc w:val="center"/>
              <w:rPr>
                <w:rFonts w:ascii="Arial" w:eastAsia="Arial" w:hAnsi="Arial" w:cs="Arial"/>
                <w:sz w:val="20"/>
                <w:szCs w:val="20"/>
              </w:rPr>
            </w:pPr>
            <w:r>
              <w:rPr>
                <w:rFonts w:ascii="Arial" w:eastAsia="Arial" w:hAnsi="Arial" w:cs="Arial"/>
                <w:b/>
                <w:bCs/>
                <w:sz w:val="20"/>
                <w:szCs w:val="20"/>
                <w:u w:val="single"/>
              </w:rPr>
              <w:t>SAM.gov award data</w:t>
            </w:r>
          </w:p>
        </w:tc>
      </w:tr>
      <w:tr w14:paraId="46E3F53C" w14:textId="77777777">
        <w:tblPrEx>
          <w:tblW w:w="4500" w:type="dxa"/>
          <w:tblInd w:w="0" w:type="dxa"/>
          <w:tblLayout w:type="fixed"/>
          <w:tblLook w:val="0600"/>
        </w:tblPrEx>
        <w:trPr>
          <w:trHeight w:val="525"/>
        </w:trPr>
        <w:tc>
          <w:tcPr>
            <w:tcW w:w="150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331C43" w14:paraId="4AEFE41E" w14:textId="77777777">
            <w:pPr>
              <w:widowControl w:val="0"/>
              <w:spacing w:line="276" w:lineRule="auto"/>
              <w:rPr>
                <w:rFonts w:ascii="Arial" w:eastAsia="Arial" w:hAnsi="Arial" w:cs="Arial"/>
                <w:sz w:val="20"/>
                <w:szCs w:val="20"/>
              </w:rPr>
            </w:pP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700F3307" w14:textId="77777777">
            <w:pPr>
              <w:widowControl w:val="0"/>
              <w:spacing w:line="276" w:lineRule="auto"/>
              <w:jc w:val="center"/>
              <w:rPr>
                <w:rFonts w:ascii="Arial" w:eastAsia="Arial" w:hAnsi="Arial" w:cs="Arial"/>
                <w:sz w:val="20"/>
                <w:szCs w:val="20"/>
              </w:rPr>
            </w:pPr>
            <w:r>
              <w:rPr>
                <w:rFonts w:ascii="Arial" w:eastAsia="Arial" w:hAnsi="Arial" w:cs="Arial"/>
                <w:b/>
                <w:bCs/>
                <w:sz w:val="20"/>
                <w:szCs w:val="20"/>
                <w:u w:val="single"/>
              </w:rPr>
              <w:t>Awards</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12259579" w14:textId="77777777">
            <w:pPr>
              <w:widowControl w:val="0"/>
              <w:spacing w:line="276" w:lineRule="auto"/>
              <w:jc w:val="center"/>
              <w:rPr>
                <w:rFonts w:ascii="Arial" w:eastAsia="Arial" w:hAnsi="Arial" w:cs="Arial"/>
                <w:sz w:val="20"/>
                <w:szCs w:val="20"/>
              </w:rPr>
            </w:pPr>
            <w:r>
              <w:rPr>
                <w:rFonts w:ascii="Arial" w:eastAsia="Arial" w:hAnsi="Arial" w:cs="Arial"/>
                <w:b/>
                <w:bCs/>
                <w:sz w:val="20"/>
                <w:szCs w:val="20"/>
                <w:u w:val="single"/>
              </w:rPr>
              <w:t>Unique entities</w:t>
            </w:r>
          </w:p>
        </w:tc>
      </w:tr>
      <w:tr w14:paraId="3BE9B26A" w14:textId="77777777">
        <w:tblPrEx>
          <w:tblW w:w="4500" w:type="dxa"/>
          <w:tblInd w:w="0" w:type="dxa"/>
          <w:tblLayout w:type="fixed"/>
          <w:tblLook w:val="0600"/>
        </w:tblPrEx>
        <w:trPr>
          <w:trHeight w:val="315"/>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31C43" w14:paraId="3243D411" w14:textId="77777777">
            <w:pPr>
              <w:widowControl w:val="0"/>
              <w:spacing w:line="276" w:lineRule="auto"/>
              <w:jc w:val="right"/>
              <w:rPr>
                <w:rFonts w:ascii="Arial" w:eastAsia="Arial" w:hAnsi="Arial" w:cs="Arial"/>
                <w:sz w:val="20"/>
                <w:szCs w:val="20"/>
              </w:rPr>
            </w:pPr>
            <w:r>
              <w:rPr>
                <w:rFonts w:ascii="Arial" w:eastAsia="Arial" w:hAnsi="Arial" w:cs="Arial"/>
                <w:sz w:val="20"/>
                <w:szCs w:val="20"/>
              </w:rPr>
              <w:t>2023</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6F2B5EC6" w14:textId="77777777">
            <w:pPr>
              <w:widowControl w:val="0"/>
              <w:spacing w:line="276" w:lineRule="auto"/>
              <w:jc w:val="right"/>
              <w:rPr>
                <w:rFonts w:ascii="Arial" w:eastAsia="Arial" w:hAnsi="Arial" w:cs="Arial"/>
                <w:sz w:val="20"/>
                <w:szCs w:val="20"/>
              </w:rPr>
            </w:pPr>
            <w:r>
              <w:rPr>
                <w:rFonts w:ascii="Arial" w:eastAsia="Arial" w:hAnsi="Arial" w:cs="Arial"/>
                <w:sz w:val="20"/>
                <w:szCs w:val="20"/>
              </w:rPr>
              <w:t>26706</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6DDFC085" w14:textId="77777777">
            <w:pPr>
              <w:widowControl w:val="0"/>
              <w:spacing w:line="276" w:lineRule="auto"/>
              <w:jc w:val="right"/>
              <w:rPr>
                <w:rFonts w:ascii="Arial" w:eastAsia="Arial" w:hAnsi="Arial" w:cs="Arial"/>
                <w:sz w:val="20"/>
                <w:szCs w:val="20"/>
              </w:rPr>
            </w:pPr>
            <w:r>
              <w:rPr>
                <w:rFonts w:ascii="Arial" w:eastAsia="Arial" w:hAnsi="Arial" w:cs="Arial"/>
                <w:sz w:val="20"/>
                <w:szCs w:val="20"/>
              </w:rPr>
              <w:t>14345</w:t>
            </w:r>
          </w:p>
        </w:tc>
      </w:tr>
      <w:tr w14:paraId="766B5BAB" w14:textId="77777777">
        <w:tblPrEx>
          <w:tblW w:w="4500" w:type="dxa"/>
          <w:tblInd w:w="0" w:type="dxa"/>
          <w:tblLayout w:type="fixed"/>
          <w:tblLook w:val="0600"/>
        </w:tblPrEx>
        <w:trPr>
          <w:trHeight w:val="315"/>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31C43" w14:paraId="0F6E6F57" w14:textId="77777777">
            <w:pPr>
              <w:widowControl w:val="0"/>
              <w:spacing w:line="276" w:lineRule="auto"/>
              <w:jc w:val="right"/>
              <w:rPr>
                <w:rFonts w:ascii="Arial" w:eastAsia="Arial" w:hAnsi="Arial" w:cs="Arial"/>
                <w:sz w:val="20"/>
                <w:szCs w:val="20"/>
              </w:rPr>
            </w:pPr>
            <w:r>
              <w:rPr>
                <w:rFonts w:ascii="Arial" w:eastAsia="Arial" w:hAnsi="Arial" w:cs="Arial"/>
                <w:sz w:val="20"/>
                <w:szCs w:val="20"/>
              </w:rPr>
              <w:t>2024</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1AB2267D" w14:textId="77777777">
            <w:pPr>
              <w:widowControl w:val="0"/>
              <w:spacing w:line="276" w:lineRule="auto"/>
              <w:jc w:val="right"/>
              <w:rPr>
                <w:rFonts w:ascii="Arial" w:eastAsia="Arial" w:hAnsi="Arial" w:cs="Arial"/>
                <w:sz w:val="20"/>
                <w:szCs w:val="20"/>
              </w:rPr>
            </w:pPr>
            <w:r>
              <w:rPr>
                <w:rFonts w:ascii="Arial" w:eastAsia="Arial" w:hAnsi="Arial" w:cs="Arial"/>
                <w:sz w:val="20"/>
                <w:szCs w:val="20"/>
              </w:rPr>
              <w:t>26130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3F7B40A2" w14:textId="77777777">
            <w:pPr>
              <w:widowControl w:val="0"/>
              <w:spacing w:line="276" w:lineRule="auto"/>
              <w:jc w:val="right"/>
              <w:rPr>
                <w:rFonts w:ascii="Arial" w:eastAsia="Arial" w:hAnsi="Arial" w:cs="Arial"/>
                <w:sz w:val="20"/>
                <w:szCs w:val="20"/>
              </w:rPr>
            </w:pPr>
            <w:r>
              <w:rPr>
                <w:rFonts w:ascii="Arial" w:eastAsia="Arial" w:hAnsi="Arial" w:cs="Arial"/>
                <w:sz w:val="20"/>
                <w:szCs w:val="20"/>
              </w:rPr>
              <w:t>14265</w:t>
            </w:r>
          </w:p>
        </w:tc>
      </w:tr>
      <w:tr w14:paraId="3AB3825F" w14:textId="77777777">
        <w:tblPrEx>
          <w:tblW w:w="4500" w:type="dxa"/>
          <w:tblInd w:w="0" w:type="dxa"/>
          <w:tblLayout w:type="fixed"/>
          <w:tblLook w:val="0600"/>
        </w:tblPrEx>
        <w:trPr>
          <w:trHeight w:val="315"/>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31C43" w14:paraId="0FA8A0A4" w14:textId="77777777">
            <w:pPr>
              <w:widowControl w:val="0"/>
              <w:spacing w:line="276" w:lineRule="auto"/>
              <w:jc w:val="right"/>
              <w:rPr>
                <w:rFonts w:ascii="Arial" w:eastAsia="Arial" w:hAnsi="Arial" w:cs="Arial"/>
                <w:sz w:val="20"/>
                <w:szCs w:val="20"/>
              </w:rPr>
            </w:pPr>
            <w:r>
              <w:rPr>
                <w:rFonts w:ascii="Arial" w:eastAsia="Arial" w:hAnsi="Arial" w:cs="Arial"/>
                <w:sz w:val="20"/>
                <w:szCs w:val="20"/>
              </w:rPr>
              <w:t>2025</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53276E3F" w14:textId="77777777">
            <w:pPr>
              <w:widowControl w:val="0"/>
              <w:spacing w:line="276" w:lineRule="auto"/>
              <w:jc w:val="right"/>
              <w:rPr>
                <w:rFonts w:ascii="Arial" w:eastAsia="Arial" w:hAnsi="Arial" w:cs="Arial"/>
                <w:sz w:val="20"/>
                <w:szCs w:val="20"/>
              </w:rPr>
            </w:pPr>
            <w:r>
              <w:rPr>
                <w:rFonts w:ascii="Arial" w:eastAsia="Arial" w:hAnsi="Arial" w:cs="Arial"/>
                <w:sz w:val="20"/>
                <w:szCs w:val="20"/>
              </w:rPr>
              <w:t>25316</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2ABD4958" w14:textId="77777777">
            <w:pPr>
              <w:widowControl w:val="0"/>
              <w:spacing w:line="276" w:lineRule="auto"/>
              <w:jc w:val="right"/>
              <w:rPr>
                <w:rFonts w:ascii="Arial" w:eastAsia="Arial" w:hAnsi="Arial" w:cs="Arial"/>
                <w:sz w:val="20"/>
                <w:szCs w:val="20"/>
              </w:rPr>
            </w:pPr>
            <w:r>
              <w:rPr>
                <w:rFonts w:ascii="Arial" w:eastAsia="Arial" w:hAnsi="Arial" w:cs="Arial"/>
                <w:sz w:val="20"/>
                <w:szCs w:val="20"/>
              </w:rPr>
              <w:t>14212</w:t>
            </w:r>
          </w:p>
        </w:tc>
      </w:tr>
      <w:tr w14:paraId="28758771" w14:textId="77777777">
        <w:tblPrEx>
          <w:tblW w:w="4500" w:type="dxa"/>
          <w:tblInd w:w="0" w:type="dxa"/>
          <w:tblLayout w:type="fixed"/>
          <w:tblLook w:val="0600"/>
        </w:tblPrEx>
        <w:trPr>
          <w:trHeight w:val="315"/>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331C43" w14:paraId="139D4258" w14:textId="77777777">
            <w:pPr>
              <w:widowControl w:val="0"/>
              <w:spacing w:line="276" w:lineRule="auto"/>
              <w:rPr>
                <w:rFonts w:ascii="Arial" w:eastAsia="Arial" w:hAnsi="Arial" w:cs="Arial"/>
                <w:sz w:val="20"/>
                <w:szCs w:val="20"/>
              </w:rPr>
            </w:pPr>
            <w:r>
              <w:rPr>
                <w:rFonts w:ascii="Arial" w:eastAsia="Arial" w:hAnsi="Arial" w:cs="Arial"/>
                <w:b/>
                <w:bCs/>
                <w:sz w:val="20"/>
                <w:szCs w:val="20"/>
              </w:rPr>
              <w:t>Average</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1306D68E" w14:textId="77777777">
            <w:pPr>
              <w:widowControl w:val="0"/>
              <w:spacing w:line="276" w:lineRule="auto"/>
              <w:jc w:val="right"/>
              <w:rPr>
                <w:rFonts w:ascii="Arial" w:eastAsia="Arial" w:hAnsi="Arial" w:cs="Arial"/>
                <w:sz w:val="20"/>
                <w:szCs w:val="20"/>
              </w:rPr>
            </w:pPr>
            <w:r>
              <w:rPr>
                <w:rFonts w:ascii="Arial" w:eastAsia="Arial" w:hAnsi="Arial" w:cs="Arial"/>
                <w:b/>
                <w:bCs/>
                <w:sz w:val="20"/>
                <w:szCs w:val="20"/>
              </w:rPr>
              <w:t>26051</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331C43" w14:paraId="0861BBFD" w14:textId="77777777">
            <w:pPr>
              <w:widowControl w:val="0"/>
              <w:spacing w:line="276" w:lineRule="auto"/>
              <w:jc w:val="right"/>
              <w:rPr>
                <w:rFonts w:ascii="Arial" w:eastAsia="Arial" w:hAnsi="Arial" w:cs="Arial"/>
                <w:sz w:val="20"/>
                <w:szCs w:val="20"/>
              </w:rPr>
            </w:pPr>
            <w:r>
              <w:rPr>
                <w:rFonts w:ascii="Arial" w:eastAsia="Arial" w:hAnsi="Arial" w:cs="Arial"/>
                <w:b/>
                <w:bCs/>
                <w:sz w:val="20"/>
                <w:szCs w:val="20"/>
              </w:rPr>
              <w:t>14274</w:t>
            </w:r>
          </w:p>
        </w:tc>
      </w:tr>
    </w:tbl>
    <w:p w:rsidR="00331C43" w14:paraId="3FD9CC2C" w14:textId="77777777">
      <w:pPr>
        <w:widowControl w:val="0"/>
        <w:tabs>
          <w:tab w:val="left" w:pos="360"/>
          <w:tab w:val="left" w:pos="720"/>
          <w:tab w:val="left" w:pos="1080"/>
        </w:tabs>
        <w:rPr>
          <w:rFonts w:ascii="Courier New" w:eastAsia="Courier New" w:hAnsi="Courier New" w:cs="Courier New"/>
        </w:rPr>
      </w:pPr>
    </w:p>
    <w:p w:rsidR="00331C43" w14:paraId="217A90D3" w14:textId="77777777">
      <w:pPr>
        <w:widowControl w:val="0"/>
        <w:tabs>
          <w:tab w:val="left" w:pos="360"/>
          <w:tab w:val="left" w:pos="720"/>
          <w:tab w:val="left" w:pos="1080"/>
        </w:tabs>
        <w:rPr>
          <w:rFonts w:ascii="Courier New" w:eastAsia="Courier New" w:hAnsi="Courier New" w:cs="Courier New"/>
        </w:rPr>
      </w:pPr>
    </w:p>
    <w:p w:rsidR="00331C43" w14:paraId="7612A426" w14:textId="77777777">
      <w:pPr>
        <w:widowControl w:val="0"/>
        <w:tabs>
          <w:tab w:val="left" w:pos="360"/>
          <w:tab w:val="left" w:pos="720"/>
          <w:tab w:val="left" w:pos="1080"/>
        </w:tabs>
        <w:rPr>
          <w:rFonts w:ascii="Courier New" w:eastAsia="Courier New" w:hAnsi="Courier New" w:cs="Courier New"/>
          <w:strike/>
        </w:rPr>
      </w:pP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C2E75B8-A5FD-413B-953F-116B3A3DAB0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014CA00-54B8-4038-9DE0-8880D1CB925B}"/>
  </w:font>
  <w:font w:name="Cambria">
    <w:panose1 w:val="02040503050406030204"/>
    <w:charset w:val="00"/>
    <w:family w:val="roman"/>
    <w:pitch w:val="variable"/>
    <w:sig w:usb0="E00006FF" w:usb1="420024FF" w:usb2="02000000" w:usb3="00000000" w:csb0="0000019F" w:csb1="00000000"/>
    <w:embedRegular r:id="rId3" w:fontKey="{A08BC3D1-A8D2-4287-8180-480F17B633E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01129" w14:paraId="76F9D31E" w14:textId="77777777">
      <w:r>
        <w:separator/>
      </w:r>
    </w:p>
  </w:footnote>
  <w:footnote w:type="continuationSeparator" w:id="1">
    <w:p w:rsidR="00701129" w14:paraId="4DC6CCB6" w14:textId="77777777">
      <w:r>
        <w:continuationSeparator/>
      </w:r>
    </w:p>
  </w:footnote>
  <w:footnote w:id="2">
    <w:p w:rsidR="00331C43" w14:paraId="183EC52A" w14:textId="279DAF1F">
      <w:pPr>
        <w:rPr>
          <w:sz w:val="18"/>
          <w:szCs w:val="18"/>
        </w:rPr>
      </w:pPr>
      <w:r>
        <w:rPr>
          <w:vertAlign w:val="superscript"/>
        </w:rPr>
        <w:footnoteRef/>
      </w:r>
      <w:r>
        <w:rPr>
          <w:sz w:val="18"/>
          <w:szCs w:val="18"/>
        </w:rPr>
        <w:t xml:space="preserve"> </w:t>
      </w:r>
      <w:r w:rsidR="00BF3945">
        <w:rPr>
          <w:sz w:val="18"/>
          <w:szCs w:val="18"/>
        </w:rPr>
        <w:t xml:space="preserve">SAM filters used </w:t>
      </w:r>
      <w:r>
        <w:rPr>
          <w:sz w:val="18"/>
          <w:szCs w:val="18"/>
        </w:rPr>
        <w:t>{Date Signed} (ID) Between 10/1/2022 and 9/30/2025 And {Modification Number} (ID) = "0" And {Product or Service Code} (ID) Not Between "1000" and "9999" And {Product or Service Code} (ID) Begins with "B, D, G, Q, R, U" And {Award or IDV Type} &lt;&gt; BPA CALL, DELIVERY ORDER And {Base and All Options Value (Total Contract Value)} &gt; 15000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C73331"/>
    <w:multiLevelType w:val="multilevel"/>
    <w:tmpl w:val="2984226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B003E2C"/>
    <w:multiLevelType w:val="multilevel"/>
    <w:tmpl w:val="A85AEEFC"/>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40151F59"/>
    <w:multiLevelType w:val="multilevel"/>
    <w:tmpl w:val="9FF0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2FA3171"/>
    <w:multiLevelType w:val="multilevel"/>
    <w:tmpl w:val="EE747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5844CED"/>
    <w:multiLevelType w:val="multilevel"/>
    <w:tmpl w:val="DAF22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9C1F9F"/>
    <w:multiLevelType w:val="hybridMultilevel"/>
    <w:tmpl w:val="51D6F584"/>
    <w:lvl w:ilvl="0">
      <w:start w:val="1"/>
      <w:numFmt w:val="upperLetter"/>
      <w:lvlText w:val="%1."/>
      <w:lvlJc w:val="left"/>
      <w:pPr>
        <w:ind w:left="720" w:hanging="360"/>
      </w:pPr>
      <w:rPr>
        <w:rFonts w:ascii="Courier New" w:eastAsia="Courier New" w:hAnsi="Courier New" w:cs="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88216951">
    <w:abstractNumId w:val="1"/>
  </w:num>
  <w:num w:numId="2" w16cid:durableId="1463033544">
    <w:abstractNumId w:val="2"/>
  </w:num>
  <w:num w:numId="3" w16cid:durableId="1871605841">
    <w:abstractNumId w:val="0"/>
  </w:num>
  <w:num w:numId="4" w16cid:durableId="911963184">
    <w:abstractNumId w:val="3"/>
  </w:num>
  <w:num w:numId="5" w16cid:durableId="1142116224">
    <w:abstractNumId w:val="4"/>
  </w:num>
  <w:num w:numId="6" w16cid:durableId="14104251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C43"/>
    <w:rsid w:val="00331C43"/>
    <w:rsid w:val="00396B0C"/>
    <w:rsid w:val="00517F29"/>
    <w:rsid w:val="00701129"/>
    <w:rsid w:val="007A7057"/>
    <w:rsid w:val="008A000E"/>
    <w:rsid w:val="00975EA3"/>
    <w:rsid w:val="00B3060B"/>
    <w:rsid w:val="00BF3945"/>
    <w:rsid w:val="00C40343"/>
    <w:rsid w:val="00C727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D1DAFE"/>
  <w15:docId w15:val="{80F72CA2-8E8A-4E96-8627-0A783493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name w:val="a"/>
    <w:basedOn w:val="TableNormal0"/>
    <w:tblPr>
      <w:tblStyleRowBandSize w:val="1"/>
      <w:tblStyleColBandSize w:val="1"/>
    </w:tblPr>
  </w:style>
  <w:style w:type="table" w:customStyle="1" w:styleId="a0">
    <w:name w:val="a0"/>
    <w:basedOn w:val="TableNormal0"/>
    <w:tblPr>
      <w:tblStyleRowBandSize w:val="1"/>
      <w:tblStyleColBandSize w:val="1"/>
    </w:tblPr>
  </w:style>
  <w:style w:type="table" w:customStyle="1" w:styleId="a1">
    <w:name w:val="a1"/>
    <w:basedOn w:val="TableNormal0"/>
    <w:tblPr>
      <w:tblStyleRowBandSize w:val="1"/>
      <w:tblStyleColBandSize w:val="1"/>
    </w:tblPr>
  </w:style>
  <w:style w:type="table" w:customStyle="1" w:styleId="a2">
    <w:name w:val="a2"/>
    <w:basedOn w:val="TableNormal0"/>
    <w:tblPr>
      <w:tblStyleRowBandSize w:val="1"/>
      <w:tblStyleColBandSize w:val="1"/>
    </w:tblPr>
  </w:style>
  <w:style w:type="paragraph" w:styleId="NormalWeb">
    <w:name w:val="Normal (Web)"/>
    <w:basedOn w:val="Normal"/>
    <w:uiPriority w:val="99"/>
    <w:unhideWhenUsed/>
    <w:rsid w:val="00517F29"/>
    <w:pPr>
      <w:spacing w:before="100" w:beforeAutospacing="1" w:after="100" w:afterAutospacing="1"/>
    </w:pPr>
  </w:style>
  <w:style w:type="paragraph" w:styleId="ListParagraph">
    <w:name w:val="List Paragraph"/>
    <w:basedOn w:val="Normal"/>
    <w:uiPriority w:val="34"/>
    <w:qFormat/>
    <w:rsid w:val="00517F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1530</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D. Bynum</cp:lastModifiedBy>
  <cp:revision>4</cp:revision>
  <dcterms:created xsi:type="dcterms:W3CDTF">2026-04-29T23:36:00Z</dcterms:created>
  <dcterms:modified xsi:type="dcterms:W3CDTF">2026-08-14T15:15:00Z</dcterms:modified>
</cp:coreProperties>
</file>