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B70FA" w14:paraId="57DF7937" w14:textId="77777777">
      <w:pPr>
        <w:pStyle w:val="Heading1"/>
        <w:ind w:left="0"/>
        <w:jc w:val="center"/>
      </w:pPr>
      <w:r>
        <w:t>SUPPORTING STATEMENT</w:t>
      </w:r>
    </w:p>
    <w:p w:rsidR="00BB70FA" w14:paraId="333A113E" w14:textId="77777777">
      <w:pPr>
        <w:spacing w:before="22" w:line="259" w:lineRule="auto"/>
        <w:ind w:firstLine="14"/>
        <w:jc w:val="center"/>
        <w:rPr>
          <w:b/>
          <w:bCs/>
        </w:rPr>
      </w:pPr>
      <w:r>
        <w:rPr>
          <w:b/>
          <w:bCs/>
        </w:rPr>
        <w:t>U.S. Department of Commerce</w:t>
      </w:r>
    </w:p>
    <w:p w:rsidR="00BB70FA" w14:paraId="55B43E54" w14:textId="77777777">
      <w:pPr>
        <w:spacing w:before="22" w:line="259" w:lineRule="auto"/>
        <w:ind w:firstLine="14"/>
        <w:jc w:val="center"/>
        <w:rPr>
          <w:b/>
          <w:bCs/>
        </w:rPr>
      </w:pPr>
      <w:r>
        <w:rPr>
          <w:b/>
          <w:bCs/>
        </w:rPr>
        <w:t>National Oceanic &amp; Atmospheric Administration</w:t>
      </w:r>
    </w:p>
    <w:p w:rsidR="00E53F12" w14:paraId="283C90A5" w14:textId="77777777">
      <w:pPr>
        <w:spacing w:line="259" w:lineRule="auto"/>
        <w:ind w:hanging="6"/>
        <w:jc w:val="center"/>
        <w:rPr>
          <w:b/>
          <w:bCs/>
        </w:rPr>
      </w:pPr>
      <w:r>
        <w:rPr>
          <w:b/>
        </w:rPr>
        <w:t>Reporting Requirements for Commercial Fisheries Authorization under Section 118 of the Marine Mammal Protection Act</w:t>
      </w:r>
      <w:r>
        <w:rPr>
          <w:b/>
          <w:bCs/>
        </w:rPr>
        <w:t xml:space="preserve"> </w:t>
      </w:r>
    </w:p>
    <w:p w:rsidR="00BB70FA" w14:paraId="5C0007AA" w14:textId="1A9E86A7">
      <w:pPr>
        <w:spacing w:line="259" w:lineRule="auto"/>
        <w:ind w:hanging="6"/>
        <w:jc w:val="center"/>
        <w:rPr>
          <w:b/>
          <w:bCs/>
        </w:rPr>
      </w:pPr>
      <w:r>
        <w:rPr>
          <w:b/>
          <w:bCs/>
        </w:rPr>
        <w:t>OMB Control No. 0648-</w:t>
      </w:r>
      <w:r w:rsidR="00E53F12">
        <w:rPr>
          <w:b/>
          <w:bCs/>
        </w:rPr>
        <w:t>0292</w:t>
      </w:r>
    </w:p>
    <w:p w:rsidR="00BB70FA" w14:paraId="0832E6FE" w14:textId="77777777">
      <w:pPr>
        <w:pBdr>
          <w:top w:val="nil"/>
          <w:left w:val="nil"/>
          <w:bottom w:val="nil"/>
          <w:right w:val="nil"/>
          <w:between w:val="nil"/>
        </w:pBdr>
        <w:spacing w:before="1"/>
        <w:jc w:val="center"/>
        <w:rPr>
          <w:b/>
          <w:bCs/>
          <w:color w:val="000000"/>
        </w:rPr>
      </w:pPr>
    </w:p>
    <w:p w:rsidR="00BB70FA" w:rsidP="003C2E3B" w14:paraId="5291334C" w14:textId="77777777">
      <w:pPr>
        <w:pStyle w:val="Heading1"/>
        <w:spacing w:before="240"/>
        <w:ind w:left="0"/>
      </w:pPr>
      <w:r>
        <w:t>Abstract</w:t>
      </w:r>
    </w:p>
    <w:p w:rsidR="00BB70FA" w:rsidP="003C2E3B" w14:paraId="21A7AA2C" w14:textId="161ECE84">
      <w:pPr>
        <w:spacing w:before="240"/>
        <w:rPr>
          <w:b/>
          <w:bCs/>
        </w:rPr>
      </w:pPr>
      <w:r>
        <w:t>This review is a</w:t>
      </w:r>
      <w:r w:rsidR="00045B04">
        <w:t xml:space="preserve"> renewal of a current information collection</w:t>
      </w:r>
      <w:r>
        <w:t xml:space="preserve">. </w:t>
      </w:r>
      <w:r w:rsidRPr="000B64C2">
        <w:t>Reporting injur</w:t>
      </w:r>
      <w:r>
        <w:t>ies</w:t>
      </w:r>
      <w:r w:rsidRPr="000B64C2">
        <w:t xml:space="preserve"> and/or mortalities of marine mammals is mandated under Section 118 of the</w:t>
      </w:r>
      <w:r>
        <w:t xml:space="preserve"> Marine Mammal Protection Act (MMPA). T</w:t>
      </w:r>
      <w:r w:rsidRPr="000B64C2">
        <w:t>his information is required to determine the impacts of commercial fishing on marine mammal populations</w:t>
      </w:r>
      <w:r>
        <w:t xml:space="preserve"> and is used to classify commercial fisheries into</w:t>
      </w:r>
      <w:r w:rsidRPr="000B64C2">
        <w:t xml:space="preserve"> Category I, II or III</w:t>
      </w:r>
      <w:r>
        <w:t xml:space="preserve"> on the MMPA List of Fisheries</w:t>
      </w:r>
      <w:r w:rsidRPr="000B64C2">
        <w:t xml:space="preserve">. All </w:t>
      </w:r>
      <w:r>
        <w:t xml:space="preserve">Category I, II and III fisheries </w:t>
      </w:r>
      <w:r w:rsidRPr="000B64C2">
        <w:t>must report injuries or mortalities</w:t>
      </w:r>
      <w:r>
        <w:t xml:space="preserve"> using</w:t>
      </w:r>
      <w:r w:rsidRPr="000B64C2">
        <w:t xml:space="preserve"> the NMFS Marine Mammal Authorization Program </w:t>
      </w:r>
      <w:r>
        <w:t>(MMA</w:t>
      </w:r>
      <w:r>
        <w:t xml:space="preserve">P) </w:t>
      </w:r>
      <w:r w:rsidRPr="000B64C2">
        <w:t>marine mammal mortality/injury form</w:t>
      </w:r>
      <w:r>
        <w:t xml:space="preserve"> (OMB control No. </w:t>
      </w:r>
      <w:r w:rsidRPr="00273CDD">
        <w:t>0648-0292</w:t>
      </w:r>
      <w:r>
        <w:t>)</w:t>
      </w:r>
      <w:r w:rsidRPr="000B64C2">
        <w:t>.</w:t>
      </w:r>
      <w:r>
        <w:t xml:space="preserve"> </w:t>
      </w:r>
    </w:p>
    <w:p w:rsidR="00BB70FA" w:rsidP="003C2E3B" w14:paraId="3838267D" w14:textId="77777777">
      <w:pPr>
        <w:pStyle w:val="Heading1"/>
        <w:spacing w:before="240"/>
        <w:ind w:left="0"/>
      </w:pPr>
      <w:r>
        <w:t>Justification</w:t>
      </w:r>
    </w:p>
    <w:p w:rsidR="00BB70FA" w:rsidP="003C2E3B" w14:paraId="5D294E58"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Explain the circumstances that make the collection of information necessary. Identify any legal or </w:t>
      </w:r>
      <w:r>
        <w:rPr>
          <w:b/>
          <w:bCs/>
          <w:color w:val="000000"/>
        </w:rPr>
        <w:t>administrative requirements that necessitate the collection. Attach a copy of the appropriate section of each statute and regulation mandating or authorizing the collection of information.</w:t>
      </w:r>
    </w:p>
    <w:p w:rsidR="002C14CA" w:rsidRPr="002C14CA" w:rsidP="002C14CA" w14:paraId="1AA752B7" w14:textId="77777777">
      <w:pPr>
        <w:widowControl/>
        <w:spacing w:before="240"/>
      </w:pPr>
      <w:r w:rsidRPr="002C14CA">
        <w:t xml:space="preserve">The </w:t>
      </w:r>
      <w:hyperlink r:id="rId7" w:anchor="marine-mammal-protection-act" w:history="1">
        <w:r w:rsidRPr="002C14CA">
          <w:rPr>
            <w:rStyle w:val="Hyperlink"/>
          </w:rPr>
          <w:t>Marine Mammal Protection Act</w:t>
        </w:r>
      </w:hyperlink>
      <w:r w:rsidRPr="002C14CA">
        <w:t xml:space="preserve"> (MMPA or the Act; 16 U.S.C. 1361 et seq.) mandates the conservation and protection of marine mammals, prohibiting their taking unless specific exceptions apply. Under Section 118 of the MMPA, an exception is granted for the incidental taking of marine mammals during commercial fishing activities, provided statutory conditions are met.</w:t>
      </w:r>
    </w:p>
    <w:p w:rsidR="002C14CA" w:rsidRPr="002C14CA" w:rsidP="002C14CA" w14:paraId="201CEFA7" w14:textId="77777777">
      <w:pPr>
        <w:widowControl/>
        <w:spacing w:before="240"/>
      </w:pPr>
      <w:r w:rsidRPr="002C14CA">
        <w:t>Registration Requirements for Vessel Owners:</w:t>
      </w:r>
    </w:p>
    <w:p w:rsidR="002C14CA" w:rsidRPr="002C14CA" w:rsidP="002C14CA" w14:paraId="1122A3DA" w14:textId="77777777">
      <w:pPr>
        <w:widowControl/>
        <w:numPr>
          <w:ilvl w:val="0"/>
          <w:numId w:val="15"/>
        </w:numPr>
        <w:spacing w:before="240"/>
      </w:pPr>
      <w:r w:rsidRPr="002C14CA">
        <w:rPr>
          <w:b/>
          <w:bCs/>
        </w:rPr>
        <w:t xml:space="preserve">Category I &amp; II Fisheries: </w:t>
      </w:r>
      <w:r w:rsidRPr="002C14CA">
        <w:t>Vessel owners operating in fisheries designated by the National Marine Fisheries Service (NMFS) as having frequent (Category I) or occasional (Category II) incidental takes must register with the Secretary of Commerce to receive authorization for lawful incidental takes. Information collection for vessel owner registration is approved under OMB Control No. 0648-0293.</w:t>
      </w:r>
    </w:p>
    <w:p w:rsidR="002C14CA" w:rsidRPr="002C14CA" w:rsidP="002C14CA" w14:paraId="78F48EED" w14:textId="77777777">
      <w:pPr>
        <w:widowControl/>
        <w:numPr>
          <w:ilvl w:val="0"/>
          <w:numId w:val="15"/>
        </w:numPr>
        <w:spacing w:before="240"/>
      </w:pPr>
      <w:r w:rsidRPr="002C14CA">
        <w:rPr>
          <w:b/>
          <w:bCs/>
        </w:rPr>
        <w:t xml:space="preserve">Category III Fisheries: </w:t>
      </w:r>
      <w:r w:rsidRPr="002C14CA">
        <w:t>Vessel owners participating in fisheries with only a remote likelihood of taking marine mammals (Category III) are exempt from registration.</w:t>
      </w:r>
    </w:p>
    <w:p w:rsidR="002C14CA" w:rsidRPr="002C14CA" w:rsidP="002C14CA" w14:paraId="591C04CB" w14:textId="77777777">
      <w:pPr>
        <w:widowControl/>
        <w:spacing w:before="240"/>
      </w:pPr>
      <w:r w:rsidRPr="002C14CA">
        <w:t>Incidental Mortality and Injury Reporting:</w:t>
      </w:r>
    </w:p>
    <w:p w:rsidR="002C14CA" w:rsidRPr="002C14CA" w:rsidP="002C14CA" w14:paraId="22F0D2C3" w14:textId="77777777">
      <w:pPr>
        <w:widowControl/>
        <w:spacing w:before="240"/>
      </w:pPr>
      <w:r w:rsidRPr="002C14CA">
        <w:t>Commercial fishing vessel owners and operators across all fishery classifications must report every instance of incidental marine mammal mortality or injury occurring during operations. Pursuant to MMPA Section 118(e), reports must be submitted within 48 hours of a trip's completion. NMFS utilizes these reports, as mandated by Section 118(c), to reevaluate and maintain appropriate fishery classifications on the List of Fisheries.</w:t>
      </w:r>
    </w:p>
    <w:p w:rsidR="00B3371C" w:rsidRPr="00B3371C" w:rsidP="003C2E3B" w14:paraId="7056A87A" w14:textId="225D9EB0">
      <w:pPr>
        <w:widowControl/>
        <w:spacing w:before="240"/>
      </w:pPr>
    </w:p>
    <w:p w:rsidR="00BB70FA" w:rsidP="003C2E3B" w14:paraId="279C52A1" w14:textId="77777777">
      <w:pPr>
        <w:pStyle w:val="Heading1"/>
        <w:numPr>
          <w:ilvl w:val="0"/>
          <w:numId w:val="9"/>
        </w:numPr>
        <w:tabs>
          <w:tab w:val="left" w:pos="360"/>
        </w:tabs>
        <w:spacing w:before="240"/>
        <w:ind w:left="0" w:firstLine="0"/>
      </w:pPr>
      <w:r>
        <w:t>I</w:t>
      </w:r>
      <w:r>
        <w:t>ndicate how, by whom, and for what purpose the information is to be used. Except for a new collection, indicate the actual use the agency has made of the information received from the current collection.</w:t>
      </w:r>
    </w:p>
    <w:p w:rsidR="00203007" w:rsidRPr="000B64C2" w:rsidP="003C2E3B" w14:paraId="5F8ACC11" w14:textId="77777777">
      <w:pPr>
        <w:pStyle w:val="Heading1"/>
        <w:tabs>
          <w:tab w:val="left" w:pos="360"/>
        </w:tabs>
        <w:spacing w:before="240"/>
        <w:ind w:left="0"/>
        <w:rPr>
          <w:b w:val="0"/>
        </w:rPr>
      </w:pPr>
      <w:r w:rsidRPr="000B64C2">
        <w:rPr>
          <w:b w:val="0"/>
        </w:rPr>
        <w:t xml:space="preserve">The information supplied by the owner or operator of a commercial fishing vessel is mandated by Section 118(e) of the MMPA and is needed by the agency to determine the correct category </w:t>
      </w:r>
      <w:r>
        <w:rPr>
          <w:b w:val="0"/>
        </w:rPr>
        <w:t>classification</w:t>
      </w:r>
      <w:r w:rsidRPr="000B64C2">
        <w:rPr>
          <w:b w:val="0"/>
        </w:rPr>
        <w:t xml:space="preserve"> of fisheries</w:t>
      </w:r>
      <w:r>
        <w:rPr>
          <w:b w:val="0"/>
        </w:rPr>
        <w:t xml:space="preserve"> on the List of Fisheries</w:t>
      </w:r>
      <w:r w:rsidRPr="000B64C2">
        <w:rPr>
          <w:b w:val="0"/>
        </w:rPr>
        <w:t>.  The MMPA states:</w:t>
      </w:r>
    </w:p>
    <w:p w:rsidR="00203007" w:rsidRPr="000B64C2" w:rsidP="003C2E3B" w14:paraId="6AC38383" w14:textId="77777777">
      <w:pPr>
        <w:pStyle w:val="Heading1"/>
        <w:tabs>
          <w:tab w:val="left" w:pos="360"/>
        </w:tabs>
        <w:spacing w:before="240"/>
        <w:rPr>
          <w:b w:val="0"/>
        </w:rPr>
      </w:pPr>
      <w:r w:rsidRPr="000B64C2">
        <w:rPr>
          <w:b w:val="0"/>
        </w:rPr>
        <w:t>“The owner or operator of a commercial fishing vessel subject to the Act shall report all incidental mortality and serious injury of marine mammals in the course of commercial fishing operations to the Secretary by mail or other means acceptable to the Secretary within 48 hours after the end of each fishing trip on a standard postage-paid form to be developed by the Secretary under this section.  Such form shall be capable of being readily entered into and usable by an automated or computerized data process</w:t>
      </w:r>
      <w:r w:rsidRPr="000B64C2">
        <w:rPr>
          <w:b w:val="0"/>
        </w:rPr>
        <w:t>ing system and shall require the vessel owner or operator to provide the following:</w:t>
      </w:r>
    </w:p>
    <w:p w:rsidR="00203007" w:rsidRPr="000B64C2" w:rsidP="003C2E3B" w14:paraId="69992289" w14:textId="77777777">
      <w:pPr>
        <w:pStyle w:val="Heading1"/>
        <w:tabs>
          <w:tab w:val="left" w:pos="360"/>
        </w:tabs>
        <w:spacing w:before="240"/>
        <w:rPr>
          <w:b w:val="0"/>
        </w:rPr>
      </w:pPr>
      <w:r w:rsidRPr="000B64C2">
        <w:rPr>
          <w:b w:val="0"/>
        </w:rPr>
        <w:t>a.</w:t>
      </w:r>
      <w:r w:rsidRPr="000B64C2">
        <w:rPr>
          <w:b w:val="0"/>
        </w:rPr>
        <w:tab/>
        <w:t>The vessel name, and Federal, states, or tribal registration numbers of the registered vessel.</w:t>
      </w:r>
    </w:p>
    <w:p w:rsidR="00203007" w:rsidRPr="000B64C2" w:rsidP="003C2E3B" w14:paraId="32CEDBD4" w14:textId="77777777">
      <w:pPr>
        <w:pStyle w:val="Heading1"/>
        <w:tabs>
          <w:tab w:val="left" w:pos="360"/>
        </w:tabs>
        <w:spacing w:before="240"/>
        <w:rPr>
          <w:b w:val="0"/>
        </w:rPr>
      </w:pPr>
      <w:r w:rsidRPr="000B64C2">
        <w:rPr>
          <w:b w:val="0"/>
        </w:rPr>
        <w:t>b.</w:t>
      </w:r>
      <w:r w:rsidRPr="000B64C2">
        <w:rPr>
          <w:b w:val="0"/>
        </w:rPr>
        <w:tab/>
        <w:t>The name and address of the vessel owner or operator.</w:t>
      </w:r>
    </w:p>
    <w:p w:rsidR="00203007" w:rsidRPr="000B64C2" w:rsidP="003C2E3B" w14:paraId="44D429BC" w14:textId="77777777">
      <w:pPr>
        <w:pStyle w:val="Heading1"/>
        <w:tabs>
          <w:tab w:val="left" w:pos="360"/>
        </w:tabs>
        <w:spacing w:before="240"/>
        <w:rPr>
          <w:b w:val="0"/>
        </w:rPr>
      </w:pPr>
      <w:r w:rsidRPr="000B64C2">
        <w:rPr>
          <w:b w:val="0"/>
        </w:rPr>
        <w:t>c.</w:t>
      </w:r>
      <w:r w:rsidRPr="000B64C2">
        <w:rPr>
          <w:b w:val="0"/>
        </w:rPr>
        <w:tab/>
        <w:t>The name and description of the fishery.</w:t>
      </w:r>
    </w:p>
    <w:p w:rsidR="00203007" w:rsidRPr="000B64C2" w:rsidP="003C2E3B" w14:paraId="1A51E359" w14:textId="77777777">
      <w:pPr>
        <w:pStyle w:val="Heading1"/>
        <w:tabs>
          <w:tab w:val="left" w:pos="360"/>
        </w:tabs>
        <w:spacing w:before="240"/>
        <w:rPr>
          <w:b w:val="0"/>
        </w:rPr>
      </w:pPr>
      <w:r w:rsidRPr="000B64C2">
        <w:rPr>
          <w:b w:val="0"/>
        </w:rPr>
        <w:t>d.</w:t>
      </w:r>
      <w:r w:rsidRPr="000B64C2">
        <w:rPr>
          <w:b w:val="0"/>
        </w:rPr>
        <w:tab/>
        <w:t>The species of each marine mammal incidentally killed or injured, and the date, time, and geographic location of such occurrence.”</w:t>
      </w:r>
    </w:p>
    <w:p w:rsidR="00203007" w:rsidP="003C2E3B" w14:paraId="528B7CD6" w14:textId="3CBD768F">
      <w:pPr>
        <w:pStyle w:val="Heading1"/>
        <w:tabs>
          <w:tab w:val="left" w:pos="360"/>
        </w:tabs>
        <w:spacing w:before="240"/>
        <w:ind w:left="0"/>
        <w:rPr>
          <w:b w:val="0"/>
        </w:rPr>
      </w:pPr>
      <w:r w:rsidRPr="002C14CA">
        <w:rPr>
          <w:b w:val="0"/>
        </w:rPr>
        <w:t>Commercial fishing operations are required to report all incidental marine mammal injuries and mortalities to NMFS, regardless of how the fishery is classified. NMFS has collected these reports and related scientific data since 1996 to evaluate and categorize commercial fisheries into Category I, II, or III, and will continue updating these classifications as needed</w:t>
      </w:r>
      <w:r w:rsidR="00F31F7F">
        <w:rPr>
          <w:b w:val="0"/>
        </w:rPr>
        <w:t>.</w:t>
      </w:r>
    </w:p>
    <w:p w:rsidR="00BB70FA" w14:paraId="5365C94B" w14:textId="77777777">
      <w:pPr>
        <w:pBdr>
          <w:top w:val="nil"/>
          <w:left w:val="nil"/>
          <w:bottom w:val="nil"/>
          <w:right w:val="nil"/>
          <w:between w:val="nil"/>
        </w:pBdr>
        <w:spacing w:before="7"/>
        <w:rPr>
          <w:b/>
          <w:bCs/>
          <w:color w:val="000000"/>
        </w:rPr>
      </w:pPr>
    </w:p>
    <w:tbl>
      <w:tblPr>
        <w:tblStyle w:val="a"/>
        <w:tblW w:w="10802"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0"/>
        <w:gridCol w:w="1970"/>
        <w:gridCol w:w="1322"/>
        <w:gridCol w:w="2157"/>
        <w:gridCol w:w="1363"/>
        <w:gridCol w:w="3000"/>
      </w:tblGrid>
      <w:tr w14:paraId="65D3A08D" w14:textId="77777777" w:rsidTr="00F31F7F">
        <w:tblPrEx>
          <w:tblW w:w="10802"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729"/>
        </w:trPr>
        <w:tc>
          <w:tcPr>
            <w:tcW w:w="990" w:type="dxa"/>
            <w:shd w:val="clear" w:color="auto" w:fill="DEEAF6"/>
          </w:tcPr>
          <w:p w:rsidR="00BB70FA" w14:paraId="02E825D4" w14:textId="77777777">
            <w:pPr>
              <w:pBdr>
                <w:top w:val="nil"/>
                <w:left w:val="nil"/>
                <w:bottom w:val="nil"/>
                <w:right w:val="nil"/>
                <w:between w:val="nil"/>
              </w:pBdr>
              <w:spacing w:before="11"/>
              <w:rPr>
                <w:b/>
                <w:bCs/>
                <w:color w:val="000000"/>
                <w:sz w:val="20"/>
                <w:szCs w:val="20"/>
              </w:rPr>
            </w:pPr>
          </w:p>
          <w:p w:rsidR="00BB70FA" w14:paraId="1EFFF8DB" w14:textId="77777777">
            <w:pPr>
              <w:pBdr>
                <w:top w:val="nil"/>
                <w:left w:val="nil"/>
                <w:bottom w:val="nil"/>
                <w:right w:val="nil"/>
                <w:between w:val="nil"/>
              </w:pBdr>
              <w:jc w:val="center"/>
              <w:rPr>
                <w:b/>
                <w:bCs/>
                <w:color w:val="000000"/>
                <w:sz w:val="20"/>
                <w:szCs w:val="20"/>
              </w:rPr>
            </w:pPr>
            <w:r>
              <w:rPr>
                <w:b/>
                <w:bCs/>
                <w:color w:val="2F5496"/>
                <w:sz w:val="20"/>
                <w:szCs w:val="20"/>
              </w:rPr>
              <w:t>Item #</w:t>
            </w:r>
          </w:p>
        </w:tc>
        <w:tc>
          <w:tcPr>
            <w:tcW w:w="1970" w:type="dxa"/>
            <w:shd w:val="clear" w:color="auto" w:fill="DEEAF6"/>
          </w:tcPr>
          <w:p w:rsidR="00BB70FA" w14:paraId="5CFA9DEF" w14:textId="77777777">
            <w:pPr>
              <w:pBdr>
                <w:top w:val="nil"/>
                <w:left w:val="nil"/>
                <w:bottom w:val="nil"/>
                <w:right w:val="nil"/>
                <w:between w:val="nil"/>
              </w:pBdr>
              <w:spacing w:before="11"/>
              <w:rPr>
                <w:b/>
                <w:bCs/>
                <w:color w:val="000000"/>
                <w:sz w:val="20"/>
                <w:szCs w:val="20"/>
              </w:rPr>
            </w:pPr>
          </w:p>
          <w:p w:rsidR="00BB70FA" w14:paraId="1589C965" w14:textId="77777777">
            <w:pPr>
              <w:pBdr>
                <w:top w:val="nil"/>
                <w:left w:val="nil"/>
                <w:bottom w:val="nil"/>
                <w:right w:val="nil"/>
                <w:between w:val="nil"/>
              </w:pBdr>
              <w:jc w:val="center"/>
              <w:rPr>
                <w:b/>
                <w:bCs/>
                <w:color w:val="000000"/>
                <w:sz w:val="20"/>
                <w:szCs w:val="20"/>
              </w:rPr>
            </w:pPr>
            <w:r>
              <w:rPr>
                <w:b/>
                <w:bCs/>
                <w:color w:val="2F5496"/>
                <w:sz w:val="20"/>
                <w:szCs w:val="20"/>
              </w:rPr>
              <w:t>Requirement</w:t>
            </w:r>
          </w:p>
        </w:tc>
        <w:tc>
          <w:tcPr>
            <w:tcW w:w="1322" w:type="dxa"/>
            <w:shd w:val="clear" w:color="auto" w:fill="DEEAF6"/>
          </w:tcPr>
          <w:p w:rsidR="00BB70FA" w14:paraId="61FFECEC" w14:textId="77777777">
            <w:pPr>
              <w:pBdr>
                <w:top w:val="nil"/>
                <w:left w:val="nil"/>
                <w:bottom w:val="nil"/>
                <w:right w:val="nil"/>
                <w:between w:val="nil"/>
              </w:pBdr>
              <w:spacing w:before="11"/>
              <w:rPr>
                <w:b/>
                <w:bCs/>
                <w:color w:val="000000"/>
                <w:sz w:val="20"/>
                <w:szCs w:val="20"/>
              </w:rPr>
            </w:pPr>
          </w:p>
          <w:p w:rsidR="00BB70FA" w14:paraId="323113A5" w14:textId="77777777">
            <w:pPr>
              <w:pBdr>
                <w:top w:val="nil"/>
                <w:left w:val="nil"/>
                <w:bottom w:val="nil"/>
                <w:right w:val="nil"/>
                <w:between w:val="nil"/>
              </w:pBdr>
              <w:jc w:val="center"/>
              <w:rPr>
                <w:b/>
                <w:bCs/>
                <w:color w:val="000000"/>
                <w:sz w:val="20"/>
                <w:szCs w:val="20"/>
              </w:rPr>
            </w:pPr>
            <w:r>
              <w:rPr>
                <w:b/>
                <w:bCs/>
                <w:color w:val="2F5496"/>
                <w:sz w:val="20"/>
                <w:szCs w:val="20"/>
              </w:rPr>
              <w:t>Statute</w:t>
            </w:r>
          </w:p>
        </w:tc>
        <w:tc>
          <w:tcPr>
            <w:tcW w:w="2157" w:type="dxa"/>
            <w:shd w:val="clear" w:color="auto" w:fill="DEEAF6"/>
          </w:tcPr>
          <w:p w:rsidR="00BB70FA" w14:paraId="1FCB68BA" w14:textId="77777777">
            <w:pPr>
              <w:pBdr>
                <w:top w:val="nil"/>
                <w:left w:val="nil"/>
                <w:bottom w:val="nil"/>
                <w:right w:val="nil"/>
                <w:between w:val="nil"/>
              </w:pBdr>
              <w:spacing w:before="11"/>
              <w:rPr>
                <w:b/>
                <w:bCs/>
                <w:color w:val="000000"/>
                <w:sz w:val="20"/>
                <w:szCs w:val="20"/>
              </w:rPr>
            </w:pPr>
          </w:p>
          <w:p w:rsidR="00BB70FA" w14:paraId="597D5B7F" w14:textId="77777777">
            <w:pPr>
              <w:pBdr>
                <w:top w:val="nil"/>
                <w:left w:val="nil"/>
                <w:bottom w:val="nil"/>
                <w:right w:val="nil"/>
                <w:between w:val="nil"/>
              </w:pBdr>
              <w:jc w:val="center"/>
              <w:rPr>
                <w:b/>
                <w:bCs/>
                <w:color w:val="000000"/>
                <w:sz w:val="20"/>
                <w:szCs w:val="20"/>
              </w:rPr>
            </w:pPr>
            <w:r>
              <w:rPr>
                <w:b/>
                <w:bCs/>
                <w:color w:val="2F5496"/>
                <w:sz w:val="20"/>
                <w:szCs w:val="20"/>
              </w:rPr>
              <w:t>Regulation</w:t>
            </w:r>
          </w:p>
        </w:tc>
        <w:tc>
          <w:tcPr>
            <w:tcW w:w="1363" w:type="dxa"/>
            <w:shd w:val="clear" w:color="auto" w:fill="DEEAF6"/>
          </w:tcPr>
          <w:p w:rsidR="00BB70FA" w14:paraId="392BEC42" w14:textId="77777777">
            <w:pPr>
              <w:pBdr>
                <w:top w:val="nil"/>
                <w:left w:val="nil"/>
                <w:bottom w:val="nil"/>
                <w:right w:val="nil"/>
                <w:between w:val="nil"/>
              </w:pBdr>
              <w:spacing w:before="11"/>
              <w:rPr>
                <w:b/>
                <w:bCs/>
                <w:color w:val="000000"/>
                <w:sz w:val="20"/>
                <w:szCs w:val="20"/>
              </w:rPr>
            </w:pPr>
          </w:p>
          <w:p w:rsidR="00BB70FA" w14:paraId="651360A3" w14:textId="77777777">
            <w:pPr>
              <w:pBdr>
                <w:top w:val="nil"/>
                <w:left w:val="nil"/>
                <w:bottom w:val="nil"/>
                <w:right w:val="nil"/>
                <w:between w:val="nil"/>
              </w:pBdr>
              <w:jc w:val="center"/>
              <w:rPr>
                <w:b/>
                <w:bCs/>
                <w:color w:val="000000"/>
                <w:sz w:val="20"/>
                <w:szCs w:val="20"/>
              </w:rPr>
            </w:pPr>
            <w:r>
              <w:rPr>
                <w:b/>
                <w:bCs/>
                <w:color w:val="2F5496"/>
                <w:sz w:val="20"/>
                <w:szCs w:val="20"/>
              </w:rPr>
              <w:t>Form #</w:t>
            </w:r>
          </w:p>
        </w:tc>
        <w:tc>
          <w:tcPr>
            <w:tcW w:w="3000" w:type="dxa"/>
            <w:shd w:val="clear" w:color="auto" w:fill="DEEAF6"/>
          </w:tcPr>
          <w:p w:rsidR="00BB70FA" w14:paraId="336F440D" w14:textId="77777777">
            <w:pPr>
              <w:pBdr>
                <w:top w:val="nil"/>
                <w:left w:val="nil"/>
                <w:bottom w:val="nil"/>
                <w:right w:val="nil"/>
                <w:between w:val="nil"/>
              </w:pBdr>
              <w:spacing w:before="11"/>
              <w:rPr>
                <w:b/>
                <w:bCs/>
                <w:color w:val="000000"/>
                <w:sz w:val="20"/>
                <w:szCs w:val="20"/>
              </w:rPr>
            </w:pPr>
          </w:p>
          <w:p w:rsidR="00BB70FA" w14:paraId="4E9283B5" w14:textId="77777777">
            <w:pPr>
              <w:pBdr>
                <w:top w:val="nil"/>
                <w:left w:val="nil"/>
                <w:bottom w:val="nil"/>
                <w:right w:val="nil"/>
                <w:between w:val="nil"/>
              </w:pBdr>
              <w:rPr>
                <w:b/>
                <w:bCs/>
                <w:color w:val="000000"/>
                <w:sz w:val="20"/>
                <w:szCs w:val="20"/>
              </w:rPr>
            </w:pPr>
            <w:r>
              <w:rPr>
                <w:b/>
                <w:bCs/>
                <w:color w:val="2F5496"/>
                <w:sz w:val="20"/>
                <w:szCs w:val="20"/>
              </w:rPr>
              <w:t>Needs and Uses</w:t>
            </w:r>
          </w:p>
        </w:tc>
      </w:tr>
      <w:tr w14:paraId="7E75E631" w14:textId="77777777" w:rsidTr="00F31F7F">
        <w:tblPrEx>
          <w:tblW w:w="10802" w:type="dxa"/>
          <w:tblInd w:w="-733" w:type="dxa"/>
          <w:tblLayout w:type="fixed"/>
          <w:tblLook w:val="0000"/>
        </w:tblPrEx>
        <w:trPr>
          <w:trHeight w:val="726"/>
        </w:trPr>
        <w:tc>
          <w:tcPr>
            <w:tcW w:w="990" w:type="dxa"/>
          </w:tcPr>
          <w:p w:rsidR="00BB70FA" w14:paraId="02C32D59" w14:textId="77777777">
            <w:pPr>
              <w:pBdr>
                <w:top w:val="nil"/>
                <w:left w:val="nil"/>
                <w:bottom w:val="nil"/>
                <w:right w:val="nil"/>
                <w:between w:val="nil"/>
              </w:pBdr>
              <w:spacing w:before="9"/>
              <w:rPr>
                <w:b/>
                <w:bCs/>
                <w:color w:val="000000"/>
                <w:sz w:val="20"/>
                <w:szCs w:val="20"/>
              </w:rPr>
            </w:pPr>
          </w:p>
          <w:p w:rsidR="00BB70FA" w14:paraId="14AF66EF" w14:textId="77777777">
            <w:pPr>
              <w:pBdr>
                <w:top w:val="nil"/>
                <w:left w:val="nil"/>
                <w:bottom w:val="nil"/>
                <w:right w:val="nil"/>
                <w:between w:val="nil"/>
              </w:pBdr>
              <w:jc w:val="center"/>
              <w:rPr>
                <w:color w:val="000000"/>
                <w:sz w:val="20"/>
                <w:szCs w:val="20"/>
              </w:rPr>
            </w:pPr>
            <w:r>
              <w:rPr>
                <w:color w:val="2F5496"/>
                <w:sz w:val="20"/>
                <w:szCs w:val="20"/>
              </w:rPr>
              <w:t>1</w:t>
            </w:r>
          </w:p>
        </w:tc>
        <w:tc>
          <w:tcPr>
            <w:tcW w:w="1970" w:type="dxa"/>
          </w:tcPr>
          <w:p w:rsidR="00BB70FA" w14:paraId="280C89C3" w14:textId="77777777">
            <w:pPr>
              <w:pBdr>
                <w:top w:val="nil"/>
                <w:left w:val="nil"/>
                <w:bottom w:val="nil"/>
                <w:right w:val="nil"/>
                <w:between w:val="nil"/>
              </w:pBdr>
              <w:spacing w:before="9"/>
              <w:rPr>
                <w:b/>
                <w:bCs/>
                <w:color w:val="000000"/>
                <w:sz w:val="20"/>
                <w:szCs w:val="20"/>
              </w:rPr>
            </w:pPr>
          </w:p>
          <w:p w:rsidR="00BB70FA" w:rsidP="00720290" w14:paraId="040DCB65" w14:textId="388BE6C3">
            <w:pPr>
              <w:pBdr>
                <w:top w:val="nil"/>
                <w:left w:val="nil"/>
                <w:bottom w:val="nil"/>
                <w:right w:val="nil"/>
                <w:between w:val="nil"/>
              </w:pBdr>
              <w:rPr>
                <w:color w:val="000000"/>
                <w:sz w:val="20"/>
                <w:szCs w:val="20"/>
              </w:rPr>
            </w:pPr>
            <w:r>
              <w:rPr>
                <w:color w:val="2F5496"/>
                <w:sz w:val="20"/>
                <w:szCs w:val="20"/>
              </w:rPr>
              <w:t xml:space="preserve">Marine mammal mortality and injury </w:t>
            </w:r>
            <w:r>
              <w:rPr>
                <w:color w:val="2F5496"/>
                <w:sz w:val="20"/>
                <w:szCs w:val="20"/>
              </w:rPr>
              <w:t>reporting requirement</w:t>
            </w:r>
          </w:p>
        </w:tc>
        <w:tc>
          <w:tcPr>
            <w:tcW w:w="1322" w:type="dxa"/>
          </w:tcPr>
          <w:p w:rsidR="00BB70FA" w14:paraId="20409518" w14:textId="77777777">
            <w:pPr>
              <w:pBdr>
                <w:top w:val="nil"/>
                <w:left w:val="nil"/>
                <w:bottom w:val="nil"/>
                <w:right w:val="nil"/>
                <w:between w:val="nil"/>
              </w:pBdr>
              <w:spacing w:before="9"/>
              <w:rPr>
                <w:b/>
                <w:bCs/>
                <w:color w:val="000000"/>
                <w:sz w:val="20"/>
                <w:szCs w:val="20"/>
              </w:rPr>
            </w:pPr>
          </w:p>
          <w:p w:rsidR="00BB70FA" w14:paraId="68A4846C" w14:textId="3519063E">
            <w:pPr>
              <w:pBdr>
                <w:top w:val="nil"/>
                <w:left w:val="nil"/>
                <w:bottom w:val="nil"/>
                <w:right w:val="nil"/>
                <w:between w:val="nil"/>
              </w:pBdr>
              <w:ind w:hanging="84"/>
              <w:rPr>
                <w:color w:val="000000"/>
                <w:sz w:val="20"/>
                <w:szCs w:val="20"/>
              </w:rPr>
            </w:pPr>
            <w:r>
              <w:rPr>
                <w:color w:val="2F5496"/>
                <w:sz w:val="20"/>
                <w:szCs w:val="20"/>
              </w:rPr>
              <w:t>3</w:t>
            </w:r>
            <w:r w:rsidR="00720290">
              <w:rPr>
                <w:color w:val="2F5496"/>
                <w:sz w:val="20"/>
                <w:szCs w:val="20"/>
              </w:rPr>
              <w:t>1</w:t>
            </w:r>
            <w:r w:rsidRPr="00B41253" w:rsidR="00720290">
              <w:rPr>
                <w:color w:val="2F5496"/>
                <w:sz w:val="20"/>
                <w:szCs w:val="20"/>
              </w:rPr>
              <w:t>6 U.S.C. 1387 Sec. 118</w:t>
            </w:r>
          </w:p>
        </w:tc>
        <w:tc>
          <w:tcPr>
            <w:tcW w:w="2157" w:type="dxa"/>
          </w:tcPr>
          <w:p w:rsidR="00BB70FA" w14:paraId="0A7900C0" w14:textId="77777777">
            <w:pPr>
              <w:pBdr>
                <w:top w:val="nil"/>
                <w:left w:val="nil"/>
                <w:bottom w:val="nil"/>
                <w:right w:val="nil"/>
                <w:between w:val="nil"/>
              </w:pBdr>
              <w:spacing w:before="9"/>
              <w:rPr>
                <w:b/>
                <w:bCs/>
                <w:color w:val="000000"/>
                <w:sz w:val="20"/>
                <w:szCs w:val="20"/>
              </w:rPr>
            </w:pPr>
          </w:p>
          <w:p w:rsidR="00BB70FA" w14:paraId="5F1E6D3C" w14:textId="267401F3">
            <w:pPr>
              <w:pBdr>
                <w:top w:val="nil"/>
                <w:left w:val="nil"/>
                <w:bottom w:val="nil"/>
                <w:right w:val="nil"/>
                <w:between w:val="nil"/>
              </w:pBdr>
              <w:jc w:val="center"/>
              <w:rPr>
                <w:color w:val="000000"/>
                <w:sz w:val="20"/>
                <w:szCs w:val="20"/>
              </w:rPr>
            </w:pPr>
            <w:r w:rsidRPr="00A70D2D">
              <w:rPr>
                <w:color w:val="2F5496"/>
                <w:sz w:val="20"/>
                <w:szCs w:val="20"/>
              </w:rPr>
              <w:t>50 CFR 229.</w:t>
            </w:r>
            <w:r>
              <w:rPr>
                <w:color w:val="2F5496"/>
                <w:sz w:val="20"/>
                <w:szCs w:val="20"/>
              </w:rPr>
              <w:t>6</w:t>
            </w:r>
          </w:p>
        </w:tc>
        <w:tc>
          <w:tcPr>
            <w:tcW w:w="1363" w:type="dxa"/>
          </w:tcPr>
          <w:p w:rsidR="00BB70FA" w14:paraId="2D518C70" w14:textId="77777777">
            <w:pPr>
              <w:pBdr>
                <w:top w:val="nil"/>
                <w:left w:val="nil"/>
                <w:bottom w:val="nil"/>
                <w:right w:val="nil"/>
                <w:between w:val="nil"/>
              </w:pBdr>
              <w:spacing w:before="9"/>
              <w:rPr>
                <w:b/>
                <w:bCs/>
                <w:color w:val="000000"/>
                <w:sz w:val="20"/>
                <w:szCs w:val="20"/>
              </w:rPr>
            </w:pPr>
          </w:p>
          <w:p w:rsidR="00BB70FA" w14:paraId="2C855EE9" w14:textId="4B31CA62">
            <w:pPr>
              <w:pBdr>
                <w:top w:val="nil"/>
                <w:left w:val="nil"/>
                <w:bottom w:val="nil"/>
                <w:right w:val="nil"/>
                <w:between w:val="nil"/>
              </w:pBdr>
              <w:jc w:val="center"/>
              <w:rPr>
                <w:color w:val="000000"/>
                <w:sz w:val="20"/>
                <w:szCs w:val="20"/>
              </w:rPr>
            </w:pPr>
            <w:r>
              <w:rPr>
                <w:color w:val="2F5496"/>
                <w:sz w:val="20"/>
                <w:szCs w:val="20"/>
              </w:rPr>
              <w:t>0648-0292</w:t>
            </w:r>
          </w:p>
        </w:tc>
        <w:tc>
          <w:tcPr>
            <w:tcW w:w="3000" w:type="dxa"/>
          </w:tcPr>
          <w:p w:rsidR="00BB70FA" w14:paraId="1396C94B" w14:textId="77777777">
            <w:pPr>
              <w:pBdr>
                <w:top w:val="nil"/>
                <w:left w:val="nil"/>
                <w:bottom w:val="nil"/>
                <w:right w:val="nil"/>
                <w:between w:val="nil"/>
              </w:pBdr>
              <w:spacing w:before="7"/>
              <w:rPr>
                <w:b/>
                <w:bCs/>
                <w:color w:val="000000"/>
                <w:sz w:val="20"/>
                <w:szCs w:val="20"/>
              </w:rPr>
            </w:pPr>
          </w:p>
          <w:p w:rsidR="00BB70FA" w14:paraId="1AB50203" w14:textId="16B8AA19">
            <w:pPr>
              <w:numPr>
                <w:ilvl w:val="0"/>
                <w:numId w:val="8"/>
              </w:numPr>
              <w:pBdr>
                <w:top w:val="nil"/>
                <w:left w:val="nil"/>
                <w:bottom w:val="nil"/>
                <w:right w:val="nil"/>
                <w:between w:val="nil"/>
              </w:pBdr>
              <w:tabs>
                <w:tab w:val="left" w:pos="469"/>
                <w:tab w:val="left" w:pos="470"/>
              </w:tabs>
              <w:spacing w:before="1"/>
              <w:ind w:left="0" w:hanging="361"/>
              <w:rPr>
                <w:color w:val="000000"/>
                <w:sz w:val="20"/>
                <w:szCs w:val="20"/>
              </w:rPr>
            </w:pPr>
            <w:r>
              <w:rPr>
                <w:color w:val="2F5496"/>
                <w:sz w:val="20"/>
                <w:szCs w:val="20"/>
              </w:rPr>
              <w:t xml:space="preserve">Used by the public </w:t>
            </w:r>
            <w:r w:rsidR="00101FB2">
              <w:rPr>
                <w:color w:val="2F5496"/>
                <w:sz w:val="20"/>
                <w:szCs w:val="20"/>
              </w:rPr>
              <w:t>report marine mammal mortalities and injuries as required by the MMPA</w:t>
            </w:r>
            <w:r>
              <w:rPr>
                <w:color w:val="2F5496"/>
                <w:sz w:val="20"/>
                <w:szCs w:val="20"/>
              </w:rPr>
              <w:t>.</w:t>
            </w:r>
          </w:p>
          <w:p w:rsidR="00BB70FA" w14:paraId="2D1AF6AC" w14:textId="2A46D776">
            <w:pPr>
              <w:numPr>
                <w:ilvl w:val="0"/>
                <w:numId w:val="8"/>
              </w:numPr>
              <w:pBdr>
                <w:top w:val="nil"/>
                <w:left w:val="nil"/>
                <w:bottom w:val="nil"/>
                <w:right w:val="nil"/>
                <w:between w:val="nil"/>
              </w:pBdr>
              <w:tabs>
                <w:tab w:val="left" w:pos="469"/>
                <w:tab w:val="left" w:pos="470"/>
              </w:tabs>
              <w:spacing w:before="2" w:line="222" w:lineRule="auto"/>
              <w:ind w:left="0" w:hanging="361"/>
              <w:rPr>
                <w:color w:val="000000"/>
                <w:sz w:val="20"/>
                <w:szCs w:val="20"/>
              </w:rPr>
            </w:pPr>
            <w:r>
              <w:rPr>
                <w:color w:val="2F5496"/>
                <w:sz w:val="20"/>
                <w:szCs w:val="20"/>
              </w:rPr>
              <w:t>Used by the</w:t>
            </w:r>
            <w:r w:rsidR="00101FB2">
              <w:rPr>
                <w:color w:val="2F5496"/>
                <w:sz w:val="20"/>
                <w:szCs w:val="20"/>
              </w:rPr>
              <w:t xml:space="preserve"> NMFS to collect information on marine mammal mortality and injuries incidental to commercial fishing operations</w:t>
            </w:r>
            <w:r>
              <w:rPr>
                <w:color w:val="2F5496"/>
                <w:sz w:val="20"/>
                <w:szCs w:val="20"/>
              </w:rPr>
              <w:t>.</w:t>
            </w:r>
          </w:p>
        </w:tc>
      </w:tr>
    </w:tbl>
    <w:p w:rsidR="00F31F7F" w:rsidP="00F31F7F" w14:paraId="73D8FE0A" w14:textId="77777777">
      <w:pPr>
        <w:pBdr>
          <w:top w:val="nil"/>
          <w:left w:val="nil"/>
          <w:bottom w:val="nil"/>
          <w:right w:val="nil"/>
          <w:between w:val="nil"/>
        </w:pBdr>
        <w:tabs>
          <w:tab w:val="left" w:pos="360"/>
        </w:tabs>
        <w:spacing w:before="240"/>
        <w:rPr>
          <w:b/>
          <w:bCs/>
          <w:color w:val="000000"/>
        </w:rPr>
      </w:pPr>
    </w:p>
    <w:p w:rsidR="00BB70FA" w:rsidP="003C2E3B" w14:paraId="1117AEE9" w14:textId="5BBCC4DB">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Describe whether, and to what extent, the collection of information involves the use of automated, electronic, mechanical, or other </w:t>
      </w:r>
      <w:r>
        <w:rPr>
          <w:b/>
          <w:bCs/>
          <w:color w:val="000000"/>
        </w:rPr>
        <w:t>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2C14CA" w:rsidP="003C2E3B" w14:paraId="3E6774DD" w14:textId="77777777">
      <w:pPr>
        <w:pStyle w:val="ListParagraph"/>
        <w:tabs>
          <w:tab w:val="left" w:pos="360"/>
        </w:tabs>
        <w:spacing w:before="240"/>
        <w:ind w:left="0" w:firstLine="0"/>
      </w:pPr>
      <w:r w:rsidRPr="002C14CA">
        <w:t xml:space="preserve">Under the MMPA, reports of incidental mortality and serious injury must be submitted to the Secretary within 48 hours of completing a fishing trip. Submissions may be made via the postage-paid form or through another acceptable method. These forms are designed for direct entry into an automated or computerized data processing system, reflecting congressional intent for machine-readable reporting. Access online electronic forms and fillable PDFs at </w:t>
      </w:r>
      <w:hyperlink r:id="rId8" w:anchor="reporting-a-death-or-injury-of-a-marine-mammal-during-commercial-fishing-operations" w:history="1">
        <w:r w:rsidRPr="002C14CA">
          <w:rPr>
            <w:rStyle w:val="Hyperlink"/>
          </w:rPr>
          <w:t>https://www.fisheries.noaa.gov/national/marine-mammal-protection/marine-mammal-authorization-program#reporting-a-death-or-injury-of-a-marine-mammal-during-commercial-fishing-operations</w:t>
        </w:r>
      </w:hyperlink>
      <w:r w:rsidRPr="002C14CA">
        <w:t>.</w:t>
      </w:r>
    </w:p>
    <w:p w:rsidR="00E4405C" w:rsidP="003C2E3B" w14:paraId="3789F9F8" w14:textId="51FBA7F6">
      <w:pPr>
        <w:pStyle w:val="ListParagraph"/>
        <w:tabs>
          <w:tab w:val="left" w:pos="360"/>
        </w:tabs>
        <w:spacing w:before="240"/>
        <w:ind w:left="0" w:firstLine="0"/>
      </w:pPr>
      <w:r w:rsidRPr="00A92B2F">
        <w:t xml:space="preserve">Forms may be submitted via any of the following means: (1) online using the </w:t>
      </w:r>
      <w:r w:rsidRPr="00574B36">
        <w:t>online google</w:t>
      </w:r>
      <w:r>
        <w:rPr>
          <w:b/>
        </w:rPr>
        <w:t xml:space="preserve"> </w:t>
      </w:r>
      <w:r w:rsidRPr="00A92B2F">
        <w:t xml:space="preserve">form; (2) emailed </w:t>
      </w:r>
      <w:r w:rsidRPr="00AD0FA9">
        <w:t>as an attachment to nmfs.mireport@noaa.gov; (3) faxed to the NMFS Office of Protected Resources at 301-713-0376; or (4) mailed to the NMFS Office of Protected Resources using the postage-paid form.</w:t>
      </w:r>
    </w:p>
    <w:p w:rsidR="000E34AD" w:rsidRPr="00DC1653" w:rsidP="003C2E3B" w14:paraId="7EE0CCC3" w14:textId="7AE2A18A">
      <w:pPr>
        <w:pStyle w:val="ListParagraph"/>
        <w:tabs>
          <w:tab w:val="left" w:pos="360"/>
        </w:tabs>
        <w:spacing w:before="240"/>
        <w:ind w:left="0" w:firstLine="0"/>
      </w:pPr>
      <w:r>
        <w:t>Approximately 15% of submissions are mailed to NMFS and not submitted electronically. This is at the discretion/preference of the submitter.</w:t>
      </w:r>
    </w:p>
    <w:p w:rsidR="00E4405C" w:rsidP="003C2E3B" w14:paraId="19182A2D" w14:textId="77777777">
      <w:pPr>
        <w:spacing w:before="240"/>
        <w:rPr>
          <w:b/>
          <w:bCs/>
        </w:rPr>
      </w:pPr>
    </w:p>
    <w:p w:rsidR="00BB70FA" w:rsidP="003C2E3B" w14:paraId="131BEFBB"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Describe efforts to identify duplication. Show specifically why any similar information already available cannot be used or modified for use for the </w:t>
      </w:r>
      <w:r>
        <w:rPr>
          <w:b/>
          <w:bCs/>
          <w:color w:val="000000"/>
        </w:rPr>
        <w:t>purposes described in Question 2</w:t>
      </w:r>
    </w:p>
    <w:p w:rsidR="00E233A2" w:rsidP="003C2E3B" w14:paraId="7CD1FBA2" w14:textId="0AC0CD49">
      <w:pPr>
        <w:pBdr>
          <w:top w:val="nil"/>
          <w:left w:val="nil"/>
          <w:bottom w:val="nil"/>
          <w:right w:val="nil"/>
          <w:between w:val="nil"/>
        </w:pBdr>
        <w:spacing w:before="240"/>
      </w:pPr>
      <w:r w:rsidRPr="00F31F7F">
        <w:t>The National Marine Fisheries Service (NMFS) shares authority with the U.S. Fish and Wildlife Service (USFWS) within the Department of the Interior to manage marine mammals. Because USFWS lacks statutory authorization to issue separate regulations for this matter, it works with NMFS to maintain a unified registration and reporting system. NMFS handles the information collection process, issues authorizations, and manages the marine mammal reporting system for all covered species.</w:t>
      </w:r>
    </w:p>
    <w:p w:rsidR="00F31F7F" w:rsidP="003C2E3B" w14:paraId="15F54FC9" w14:textId="77777777">
      <w:pPr>
        <w:pBdr>
          <w:top w:val="nil"/>
          <w:left w:val="nil"/>
          <w:bottom w:val="nil"/>
          <w:right w:val="nil"/>
          <w:between w:val="nil"/>
        </w:pBdr>
        <w:spacing w:before="240"/>
        <w:rPr>
          <w:color w:val="1F497D"/>
        </w:rPr>
      </w:pPr>
    </w:p>
    <w:p w:rsidR="00BB70FA" w:rsidP="003C2E3B" w14:paraId="75A86AD9"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the collection of information impacts small businesses or other small entities, describe any methods used to minimize burden.</w:t>
      </w:r>
    </w:p>
    <w:p w:rsidR="00190E19" w:rsidP="003C2E3B" w14:paraId="51C03793" w14:textId="77777777">
      <w:pPr>
        <w:pStyle w:val="BodyText"/>
        <w:spacing w:before="240"/>
        <w:ind w:left="0"/>
      </w:pPr>
      <w:r w:rsidRPr="00D65EAB">
        <w:t>This collection will not have a signifi</w:t>
      </w:r>
      <w:r>
        <w:t xml:space="preserve">cant impact on small entities. </w:t>
      </w:r>
      <w:r w:rsidRPr="00D65EAB">
        <w:t>The MMPA instructs the Secretary to develop a standard postage-paid reporting form capable of being readily entered into and usable by an automated or comput</w:t>
      </w:r>
      <w:r>
        <w:t xml:space="preserve">erized data processing system. </w:t>
      </w:r>
      <w:r w:rsidRPr="00D65EAB">
        <w:t>This postage-paid form requires less than 15 minutes to complete and can be dropped in any mailbox, faxed, emailed, or completed online within 48 hours o</w:t>
      </w:r>
      <w:r>
        <w:t xml:space="preserve">f the vessel’s return to port. </w:t>
      </w:r>
      <w:r w:rsidRPr="00D65EAB">
        <w:t>There is no cost or significant investment of time required to fulfill the reporting requirement.</w:t>
      </w:r>
    </w:p>
    <w:p w:rsidR="00190E19" w:rsidP="003C2E3B" w14:paraId="07E20F37" w14:textId="568BF198">
      <w:pPr>
        <w:pBdr>
          <w:top w:val="nil"/>
          <w:left w:val="nil"/>
          <w:bottom w:val="nil"/>
          <w:right w:val="nil"/>
          <w:between w:val="nil"/>
        </w:pBdr>
        <w:spacing w:before="240"/>
        <w:rPr>
          <w:color w:val="000000"/>
        </w:rPr>
      </w:pPr>
    </w:p>
    <w:p w:rsidR="00BB70FA" w:rsidP="003C2E3B" w14:paraId="08F2801B"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the consequence to Federal program or policy activities if the collection is not conducted or is conducted less frequently, as well as any technical or legal obstacles to reducing burden.</w:t>
      </w:r>
    </w:p>
    <w:p w:rsidR="00C32214" w:rsidP="003C2E3B" w14:paraId="3904DDF2" w14:textId="4E34A446">
      <w:pPr>
        <w:pBdr>
          <w:top w:val="nil"/>
          <w:left w:val="nil"/>
          <w:bottom w:val="nil"/>
          <w:right w:val="nil"/>
          <w:between w:val="nil"/>
        </w:pBdr>
        <w:spacing w:before="240"/>
      </w:pPr>
      <w:r w:rsidRPr="00F31F7F">
        <w:t>Without the collection of incidental marine mammal mortality and injury reports, NMFS would be unable to execute its statutory mandate under Section 118 of the Marine Mammal Protection Act (MMPA) to assess the impact of U.S. commercial fisheries on marine mammal populations and stocks. These reports, which must be submitted by commercial fishing vessel owners and operators within 48 hours of completing a trip, provide vital empirical data that NMFS relies upon to maintain and update fishery categorizations (Category I, II, or III) on the annual List of Fisheries. Consequently, reducing the frequency of this collection or failing to conduct it would create significant legal obstacles to fulfilling congressional mandates and compromise federal marine conservation policies.</w:t>
      </w:r>
    </w:p>
    <w:p w:rsidR="00F31F7F" w:rsidP="003C2E3B" w14:paraId="0E4387EF" w14:textId="77777777">
      <w:pPr>
        <w:pBdr>
          <w:top w:val="nil"/>
          <w:left w:val="nil"/>
          <w:bottom w:val="nil"/>
          <w:right w:val="nil"/>
          <w:between w:val="nil"/>
        </w:pBdr>
        <w:spacing w:before="240"/>
        <w:rPr>
          <w:color w:val="000000"/>
        </w:rPr>
      </w:pPr>
    </w:p>
    <w:p w:rsidR="00BB70FA" w:rsidP="003C2E3B" w14:paraId="7E9560D9"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Explain any special circumstances that would cause an </w:t>
      </w:r>
      <w:r>
        <w:rPr>
          <w:b/>
          <w:bCs/>
          <w:color w:val="000000"/>
        </w:rPr>
        <w:t>information collection to be conducted in a manner inconsistent with OMB guidelines.</w:t>
      </w:r>
    </w:p>
    <w:p w:rsidR="002C14CA" w:rsidRPr="002C14CA" w:rsidP="002C14CA" w14:paraId="161974AC" w14:textId="77777777">
      <w:pPr>
        <w:pBdr>
          <w:top w:val="nil"/>
          <w:left w:val="nil"/>
          <w:bottom w:val="nil"/>
          <w:right w:val="nil"/>
          <w:between w:val="nil"/>
        </w:pBdr>
        <w:spacing w:before="240"/>
      </w:pPr>
      <w:r w:rsidRPr="002C14CA">
        <w:rPr>
          <w:b/>
          <w:bCs/>
        </w:rPr>
        <w:t>Reporting Frequency Exceeding Quarterly Requirements</w:t>
      </w:r>
    </w:p>
    <w:p w:rsidR="002C14CA" w:rsidRPr="002C14CA" w:rsidP="002C14CA" w14:paraId="699D96C4" w14:textId="77777777">
      <w:pPr>
        <w:pBdr>
          <w:top w:val="nil"/>
          <w:left w:val="nil"/>
          <w:bottom w:val="nil"/>
          <w:right w:val="nil"/>
          <w:between w:val="nil"/>
        </w:pBdr>
        <w:spacing w:before="240"/>
      </w:pPr>
      <w:r w:rsidRPr="002C14CA">
        <w:t>Pursuant to Section 118(e) of the Marine Mammal Protection Act (MMPA), owners or operators of commercial fishing vessels are required to file a report following any incidental injury or mortality of a marine mammal during commercial fishing operations. Using a standardized postage-paid form, reports must be transmitted to the Secretary by mail or an alternative authorized method within 48 hours after the conclusion of the fishing trip.</w:t>
      </w:r>
    </w:p>
    <w:p w:rsidR="002C14CA" w:rsidRPr="002C14CA" w:rsidP="002C14CA" w14:paraId="5DADC474" w14:textId="77777777">
      <w:pPr>
        <w:pBdr>
          <w:top w:val="nil"/>
          <w:left w:val="nil"/>
          <w:bottom w:val="nil"/>
          <w:right w:val="nil"/>
          <w:between w:val="nil"/>
        </w:pBdr>
        <w:spacing w:before="240"/>
      </w:pPr>
      <w:r w:rsidRPr="002C14CA">
        <w:rPr>
          <w:b/>
          <w:bCs/>
        </w:rPr>
        <w:t>Written Response Required in Fewer Than 30 Days After Receipt</w:t>
      </w:r>
    </w:p>
    <w:p w:rsidR="002C14CA" w:rsidRPr="002C14CA" w:rsidP="002C14CA" w14:paraId="6E567B84" w14:textId="77777777">
      <w:pPr>
        <w:pBdr>
          <w:top w:val="nil"/>
          <w:left w:val="nil"/>
          <w:bottom w:val="nil"/>
          <w:right w:val="nil"/>
          <w:between w:val="nil"/>
        </w:pBdr>
        <w:spacing w:before="240"/>
      </w:pPr>
      <w:r w:rsidRPr="002C14CA">
        <w:t>In the event of an incidental injury or death of a marine mammal, respondents are mandated to submit a report. As noted above, this submission must occur within a 48-hour timeframe following the incident.</w:t>
      </w:r>
    </w:p>
    <w:p w:rsidR="00C32214" w:rsidP="003C2E3B" w14:paraId="64300134" w14:textId="230AF94A">
      <w:pPr>
        <w:pBdr>
          <w:top w:val="nil"/>
          <w:left w:val="nil"/>
          <w:bottom w:val="nil"/>
          <w:right w:val="nil"/>
          <w:between w:val="nil"/>
        </w:pBdr>
        <w:spacing w:before="240"/>
        <w:rPr>
          <w:color w:val="000000"/>
        </w:rPr>
      </w:pPr>
      <w:r>
        <w:rPr>
          <w:color w:val="000000"/>
        </w:rPr>
        <w:t>This collection will be conducted in a manner consistent with all other OMB guidelines.</w:t>
      </w:r>
    </w:p>
    <w:p w:rsidR="002C14CA" w:rsidP="003C2E3B" w14:paraId="5FC12B9F" w14:textId="77777777">
      <w:pPr>
        <w:pBdr>
          <w:top w:val="nil"/>
          <w:left w:val="nil"/>
          <w:bottom w:val="nil"/>
          <w:right w:val="nil"/>
          <w:between w:val="nil"/>
        </w:pBdr>
        <w:spacing w:before="240"/>
        <w:rPr>
          <w:color w:val="000000"/>
        </w:rPr>
      </w:pPr>
    </w:p>
    <w:p w:rsidR="00BB70FA" w:rsidP="003C2E3B" w14:paraId="782FC1D0"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1E7833" w:rsidP="003C2E3B" w14:paraId="6EE7F4F1" w14:textId="198FBF13">
      <w:pPr>
        <w:pBdr>
          <w:top w:val="nil"/>
          <w:left w:val="nil"/>
          <w:bottom w:val="nil"/>
          <w:right w:val="nil"/>
          <w:between w:val="nil"/>
        </w:pBdr>
        <w:spacing w:before="240"/>
      </w:pPr>
      <w:r w:rsidRPr="001E7833">
        <w:t xml:space="preserve">A </w:t>
      </w:r>
      <w:r w:rsidRPr="00192247">
        <w:rPr>
          <w:i/>
          <w:iCs/>
        </w:rPr>
        <w:t>Federal Register</w:t>
      </w:r>
      <w:r w:rsidRPr="001E7833">
        <w:t xml:space="preserve"> Notice published on </w:t>
      </w:r>
      <w:r w:rsidRPr="001E7833" w:rsidR="00B9583F">
        <w:t>May 4, 2026</w:t>
      </w:r>
      <w:r w:rsidR="003C2E3B">
        <w:t xml:space="preserve"> (</w:t>
      </w:r>
      <w:r w:rsidRPr="001E7833" w:rsidR="00B9583F">
        <w:t>91 FR 23972</w:t>
      </w:r>
      <w:r w:rsidRPr="001E7833">
        <w:t>) solicited public comment</w:t>
      </w:r>
      <w:r w:rsidRPr="001E7833" w:rsidR="00B9583F">
        <w:t xml:space="preserve"> on this submission</w:t>
      </w:r>
      <w:r w:rsidRPr="001E7833">
        <w:t>.</w:t>
      </w:r>
      <w:r w:rsidRPr="001E7833" w:rsidR="00B9583F">
        <w:t xml:space="preserve"> One comment submission was received</w:t>
      </w:r>
      <w:r w:rsidR="00B73B05">
        <w:t xml:space="preserve"> – a joint letter from Whale and Dolphin Conservation and Conservation Law Foundation</w:t>
      </w:r>
      <w:r w:rsidR="00164601">
        <w:t>.</w:t>
      </w:r>
    </w:p>
    <w:p w:rsidR="00164601" w:rsidP="003C2E3B" w14:paraId="719ECB64" w14:textId="3AA1F094">
      <w:pPr>
        <w:pBdr>
          <w:top w:val="nil"/>
          <w:left w:val="nil"/>
          <w:bottom w:val="nil"/>
          <w:right w:val="nil"/>
          <w:between w:val="nil"/>
        </w:pBdr>
        <w:spacing w:before="240"/>
      </w:pPr>
      <w:r w:rsidRPr="00C01972">
        <w:rPr>
          <w:i/>
          <w:iCs/>
        </w:rPr>
        <w:t>Comment 1</w:t>
      </w:r>
      <w:r>
        <w:t>:</w:t>
      </w:r>
      <w:r w:rsidR="00C01972">
        <w:t xml:space="preserve"> The commenters recommend </w:t>
      </w:r>
      <w:r w:rsidR="00E81A77">
        <w:t>NMFS</w:t>
      </w:r>
      <w:r w:rsidR="00C01972">
        <w:t xml:space="preserve"> develop an easy-to-use app for use on both Android and iOS systems to enhance data collection and reduce reporting burdens. The</w:t>
      </w:r>
      <w:r w:rsidR="003C2E3B">
        <w:t>y</w:t>
      </w:r>
      <w:r w:rsidR="00C01972">
        <w:t xml:space="preserve"> note the app could store and pre-fill the reporting </w:t>
      </w:r>
      <w:r w:rsidR="008A0A71">
        <w:t>party’s</w:t>
      </w:r>
      <w:r w:rsidR="00C01972">
        <w:t xml:space="preserve"> basic information making it easier to complete a report. Commenters also suggest that the app could connect to the cell phone’s camera allowing the reporting party to submit an image of the marine mammal. </w:t>
      </w:r>
    </w:p>
    <w:p w:rsidR="00C01972" w:rsidP="003C2E3B" w14:paraId="0CF3E322" w14:textId="65C479DA">
      <w:pPr>
        <w:pBdr>
          <w:top w:val="nil"/>
          <w:left w:val="nil"/>
          <w:bottom w:val="nil"/>
          <w:right w:val="nil"/>
          <w:between w:val="nil"/>
        </w:pBdr>
        <w:spacing w:before="240"/>
      </w:pPr>
      <w:r w:rsidRPr="00C01972">
        <w:rPr>
          <w:i/>
          <w:iCs/>
        </w:rPr>
        <w:t>Response</w:t>
      </w:r>
      <w:r>
        <w:t xml:space="preserve">: </w:t>
      </w:r>
      <w:r w:rsidR="00E81A77">
        <w:t>NMFS is investigating the potential options and resources available within the agency to develop a reporting app for the marine mammal mortality and injury reporting form.</w:t>
      </w:r>
    </w:p>
    <w:p w:rsidR="00C01972" w:rsidP="003C2E3B" w14:paraId="2F042C38" w14:textId="4E8ECF17">
      <w:pPr>
        <w:pBdr>
          <w:top w:val="nil"/>
          <w:left w:val="nil"/>
          <w:bottom w:val="nil"/>
          <w:right w:val="nil"/>
          <w:between w:val="nil"/>
        </w:pBdr>
        <w:spacing w:before="240"/>
      </w:pPr>
      <w:r w:rsidRPr="00C01972">
        <w:rPr>
          <w:i/>
          <w:iCs/>
        </w:rPr>
        <w:t xml:space="preserve">Comment </w:t>
      </w:r>
      <w:r>
        <w:rPr>
          <w:i/>
          <w:iCs/>
        </w:rPr>
        <w:t>2</w:t>
      </w:r>
      <w:r>
        <w:t>:</w:t>
      </w:r>
      <w:r w:rsidR="006027F1">
        <w:t xml:space="preserve"> The commenters recommend NMFS collect more data to evaluate the impacts on the marine mammal from fishing gear. They suggest reporting parties provide information on whether animals were seen prior to setting or retrieving gear. They also state that there is no way to provide information on </w:t>
      </w:r>
      <w:r w:rsidR="008A0A71">
        <w:t>whether</w:t>
      </w:r>
      <w:r w:rsidR="006027F1">
        <w:t xml:space="preserve"> gear was cut from the animal or if the animal was released entangled in gear. </w:t>
      </w:r>
    </w:p>
    <w:p w:rsidR="001C3520" w:rsidP="003C2E3B" w14:paraId="3DB27A95" w14:textId="5624C9A4">
      <w:pPr>
        <w:pBdr>
          <w:top w:val="nil"/>
          <w:left w:val="nil"/>
          <w:bottom w:val="nil"/>
          <w:right w:val="nil"/>
          <w:between w:val="nil"/>
        </w:pBdr>
        <w:spacing w:before="240"/>
      </w:pPr>
      <w:r w:rsidRPr="00C01972">
        <w:rPr>
          <w:i/>
          <w:iCs/>
        </w:rPr>
        <w:t>Response</w:t>
      </w:r>
      <w:r>
        <w:t>: NMFS added text to the directions for completing the “Description of the unknown species or circumstances of the M/I incident</w:t>
      </w:r>
      <w:r w:rsidR="00A83667">
        <w:t>”</w:t>
      </w:r>
      <w:r>
        <w:t xml:space="preserve"> section to provide information </w:t>
      </w:r>
      <w:r w:rsidR="003C2E3B">
        <w:t>whether</w:t>
      </w:r>
      <w:r>
        <w:t xml:space="preserve"> animals were seen prior to setting or retrieving gear. In addition, the current OMB-approved version of the form includes </w:t>
      </w:r>
      <w:r w:rsidR="003C2E3B">
        <w:t>a</w:t>
      </w:r>
      <w:r>
        <w:t>n injury code indicating the animal was “r</w:t>
      </w:r>
      <w:r w:rsidRPr="001C3520">
        <w:t>eleased trailing gear/gear perforating body</w:t>
      </w:r>
      <w:r>
        <w:t>”.</w:t>
      </w:r>
    </w:p>
    <w:p w:rsidR="006F6501" w:rsidP="003C2E3B" w14:paraId="3180FC9D" w14:textId="1B52E1F7">
      <w:pPr>
        <w:pBdr>
          <w:top w:val="nil"/>
          <w:left w:val="nil"/>
          <w:bottom w:val="nil"/>
          <w:right w:val="nil"/>
          <w:between w:val="nil"/>
        </w:pBdr>
        <w:spacing w:before="240"/>
      </w:pPr>
      <w:r w:rsidRPr="006F6501">
        <w:rPr>
          <w:i/>
          <w:iCs/>
        </w:rPr>
        <w:t>Comment 3</w:t>
      </w:r>
      <w:r>
        <w:t xml:space="preserve">: The commenter notes it would be helpful for the reporting party to include information on how the animal was released and the behavior upon release to improve survivability of animals release alive. </w:t>
      </w:r>
    </w:p>
    <w:p w:rsidR="006F6501" w:rsidP="003C2E3B" w14:paraId="15954AA6" w14:textId="17CAFF79">
      <w:pPr>
        <w:pBdr>
          <w:top w:val="nil"/>
          <w:left w:val="nil"/>
          <w:bottom w:val="nil"/>
          <w:right w:val="nil"/>
          <w:between w:val="nil"/>
        </w:pBdr>
        <w:spacing w:before="240"/>
      </w:pPr>
      <w:r w:rsidRPr="00C01972">
        <w:rPr>
          <w:i/>
          <w:iCs/>
        </w:rPr>
        <w:t>Response</w:t>
      </w:r>
      <w:r>
        <w:t xml:space="preserve">: </w:t>
      </w:r>
      <w:r w:rsidR="008A0A71">
        <w:t>The current OMB-approved version of the form</w:t>
      </w:r>
      <w:r>
        <w:t xml:space="preserve"> includes directions for the box where additional information can be provided. It </w:t>
      </w:r>
      <w:r w:rsidR="008A0A71">
        <w:t>states,</w:t>
      </w:r>
      <w:r>
        <w:t xml:space="preserve"> “</w:t>
      </w:r>
      <w:r w:rsidRPr="006F6501">
        <w:t>You may also use this space for other comments regarding this incident, including length of interaction and behavior of animal after release.</w:t>
      </w:r>
      <w:r>
        <w:t>”</w:t>
      </w:r>
    </w:p>
    <w:p w:rsidR="00BB70FA" w:rsidP="003C2E3B" w14:paraId="201AF406" w14:textId="0F1CB3F8">
      <w:pPr>
        <w:pBdr>
          <w:top w:val="nil"/>
          <w:left w:val="nil"/>
          <w:bottom w:val="nil"/>
          <w:right w:val="nil"/>
          <w:between w:val="nil"/>
        </w:pBdr>
        <w:spacing w:before="240"/>
      </w:pPr>
      <w:r w:rsidRPr="00B9583F">
        <w:t xml:space="preserve">NOAA </w:t>
      </w:r>
      <w:r w:rsidR="00B73B05">
        <w:t xml:space="preserve">also </w:t>
      </w:r>
      <w:r w:rsidRPr="00B9583F">
        <w:t xml:space="preserve">consulted with </w:t>
      </w:r>
      <w:r w:rsidRPr="00B9583F" w:rsidR="00B9583F">
        <w:t xml:space="preserve">four constituents from the fishing industry </w:t>
      </w:r>
      <w:r w:rsidRPr="00B9583F">
        <w:t xml:space="preserve">to obtain their views </w:t>
      </w:r>
      <w:r w:rsidRPr="00B9583F" w:rsidR="00B9583F">
        <w:t xml:space="preserve">on the </w:t>
      </w:r>
      <w:r w:rsidRPr="00B9583F">
        <w:t xml:space="preserve">practical utility of the data collected, the accuracy of the burden and frequency of collection, suggestions to minimize the burden, and ways to improve the clarity of instructions and forms. </w:t>
      </w:r>
      <w:r w:rsidRPr="00B9583F" w:rsidR="00B9583F">
        <w:t xml:space="preserve">NOAA received </w:t>
      </w:r>
      <w:r w:rsidR="00A83667">
        <w:t>one</w:t>
      </w:r>
      <w:r w:rsidRPr="00B9583F" w:rsidR="00B9583F">
        <w:t xml:space="preserve"> response.</w:t>
      </w:r>
    </w:p>
    <w:p w:rsidR="00A83667" w:rsidP="003C2E3B" w14:paraId="6781E067" w14:textId="627165CA">
      <w:pPr>
        <w:pBdr>
          <w:top w:val="nil"/>
          <w:left w:val="nil"/>
          <w:bottom w:val="nil"/>
          <w:right w:val="nil"/>
          <w:between w:val="nil"/>
        </w:pBdr>
        <w:spacing w:before="240"/>
      </w:pPr>
      <w:r w:rsidRPr="00A83667">
        <w:rPr>
          <w:i/>
          <w:iCs/>
        </w:rPr>
        <w:t>Comment 4</w:t>
      </w:r>
      <w:r>
        <w:t>: The commenter recommended that form submissions should include a picture of the marine mammal.</w:t>
      </w:r>
    </w:p>
    <w:p w:rsidR="00A83667" w:rsidRPr="00B9583F" w:rsidP="003C2E3B" w14:paraId="41E99EBA" w14:textId="588B155D">
      <w:pPr>
        <w:pBdr>
          <w:top w:val="nil"/>
          <w:left w:val="nil"/>
          <w:bottom w:val="nil"/>
          <w:right w:val="nil"/>
          <w:between w:val="nil"/>
        </w:pBdr>
        <w:spacing w:before="240"/>
      </w:pPr>
      <w:r w:rsidRPr="00A83667">
        <w:rPr>
          <w:i/>
          <w:iCs/>
        </w:rPr>
        <w:t>Response</w:t>
      </w:r>
      <w:r>
        <w:t xml:space="preserve">: </w:t>
      </w:r>
      <w:r w:rsidR="008A0A71">
        <w:t>The current OMB-approved version of the form</w:t>
      </w:r>
      <w:r>
        <w:t xml:space="preserve"> includes directions that a drawing of the marine mammal may be included in the “Description of the unknown species or circumstances of the M/I incident” section. Pictures can also be mailed to the email address provided on the form.</w:t>
      </w:r>
    </w:p>
    <w:p w:rsidR="00BB70FA" w:rsidP="003C2E3B" w14:paraId="1C171C53" w14:textId="77777777">
      <w:pPr>
        <w:pBdr>
          <w:top w:val="nil"/>
          <w:left w:val="nil"/>
          <w:bottom w:val="nil"/>
          <w:right w:val="nil"/>
          <w:between w:val="nil"/>
        </w:pBdr>
        <w:spacing w:before="240"/>
        <w:rPr>
          <w:color w:val="000000"/>
        </w:rPr>
      </w:pPr>
    </w:p>
    <w:p w:rsidR="00BB70FA" w:rsidP="003C2E3B" w14:paraId="3DA66429"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Explain any </w:t>
      </w:r>
      <w:r>
        <w:rPr>
          <w:b/>
          <w:bCs/>
          <w:color w:val="000000"/>
        </w:rPr>
        <w:t>decision to provide any payment or gift to respondents, other than remuneration of contractors or grantees.</w:t>
      </w:r>
    </w:p>
    <w:p w:rsidR="001E7833" w:rsidP="003C2E3B" w14:paraId="39AF1FBD" w14:textId="77777777">
      <w:pPr>
        <w:pStyle w:val="BodyText"/>
        <w:spacing w:before="240"/>
        <w:ind w:left="0"/>
      </w:pPr>
      <w:r w:rsidRPr="000F0F10">
        <w:t>There is no provision to provide any payment or gift to respondents.</w:t>
      </w:r>
    </w:p>
    <w:p w:rsidR="001E7833" w:rsidP="003C2E3B" w14:paraId="7B79B79D" w14:textId="77777777">
      <w:pPr>
        <w:pBdr>
          <w:top w:val="nil"/>
          <w:left w:val="nil"/>
          <w:bottom w:val="nil"/>
          <w:right w:val="nil"/>
          <w:between w:val="nil"/>
        </w:pBdr>
        <w:tabs>
          <w:tab w:val="left" w:pos="360"/>
        </w:tabs>
        <w:spacing w:before="240"/>
        <w:rPr>
          <w:b/>
          <w:bCs/>
          <w:color w:val="000000"/>
        </w:rPr>
      </w:pPr>
    </w:p>
    <w:p w:rsidR="00BB70FA" w:rsidP="003C2E3B" w14:paraId="1A302181" w14:textId="7772C2C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any assurance of confidentiality provided to respondents and the basis for the assurance in statute, regulation, or agency policy. If the collection requires a system</w:t>
      </w:r>
      <w:r>
        <w:rPr>
          <w:b/>
          <w:bCs/>
          <w:color w:val="000000"/>
        </w:rPr>
        <w:t xml:space="preserve"> of records notice (SORN) or privacy impact assessment (PIA), those should be cited and described here.</w:t>
      </w:r>
    </w:p>
    <w:p w:rsidR="00300B6E" w:rsidP="003C2E3B" w14:paraId="3E7EAA87" w14:textId="76710A79">
      <w:pPr>
        <w:pStyle w:val="BodyText"/>
        <w:spacing w:before="240"/>
        <w:ind w:left="0"/>
      </w:pPr>
      <w:r w:rsidRPr="000F0F10">
        <w:t xml:space="preserve">NMFS regulations at 50 CFR 229.11 (a): Proprietary information collected under this part is confidential and includes information, the unauthorized disclosure of which could be prejudicial or harmful, such as information or data that are identifiable with an individual fisher. This information is covered by the Privacy Act System of Record Notice </w:t>
      </w:r>
      <w:hyperlink r:id="rId9" w:history="1">
        <w:r w:rsidRPr="003C2E3B">
          <w:rPr>
            <w:rStyle w:val="Hyperlink"/>
          </w:rPr>
          <w:t>COMMERCE/NOAA-12</w:t>
        </w:r>
      </w:hyperlink>
      <w:r>
        <w:rPr>
          <w:rStyle w:val="FootnoteReference"/>
        </w:rPr>
        <w:footnoteReference w:id="2"/>
      </w:r>
      <w:r w:rsidRPr="000F0F10">
        <w:t>, Marine Mammals, Endangered and Threatened Species, Permits and Authorizations, Applicants.</w:t>
      </w:r>
      <w:r w:rsidR="003C2E3B">
        <w:t xml:space="preserve">  The privacy impact assessment for </w:t>
      </w:r>
      <w:hyperlink r:id="rId10" w:history="1">
        <w:r w:rsidRPr="003C2E3B" w:rsidR="003C2E3B">
          <w:rPr>
            <w:rStyle w:val="Hyperlink"/>
          </w:rPr>
          <w:t>NOAA4000</w:t>
        </w:r>
      </w:hyperlink>
      <w:r>
        <w:rPr>
          <w:rStyle w:val="FootnoteReference"/>
        </w:rPr>
        <w:footnoteReference w:id="3"/>
      </w:r>
      <w:r w:rsidR="003C2E3B">
        <w:t xml:space="preserve"> identifies the security and privacy controls for this collection of information.</w:t>
      </w:r>
    </w:p>
    <w:p w:rsidR="00300B6E" w:rsidP="003C2E3B" w14:paraId="38AC211A" w14:textId="77777777">
      <w:pPr>
        <w:pBdr>
          <w:top w:val="nil"/>
          <w:left w:val="nil"/>
          <w:bottom w:val="nil"/>
          <w:right w:val="nil"/>
          <w:between w:val="nil"/>
        </w:pBdr>
        <w:spacing w:before="240"/>
        <w:rPr>
          <w:color w:val="2F5496"/>
        </w:rPr>
      </w:pPr>
    </w:p>
    <w:p w:rsidR="00BB70FA" w:rsidP="003C2E3B" w14:paraId="2DB66294"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C8178F" w:rsidRPr="002A1B23" w:rsidP="003C2E3B" w14:paraId="6B7F7FE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pPr>
      <w:r w:rsidRPr="002A1B23">
        <w:t>No sensitive questions are asked.</w:t>
      </w:r>
    </w:p>
    <w:p w:rsidR="00C8178F" w14:paraId="3CEC463B" w14:textId="77777777">
      <w:pPr>
        <w:spacing w:line="259" w:lineRule="auto"/>
        <w:rPr>
          <w:color w:val="2F5496"/>
        </w:rPr>
        <w:sectPr w:rsidSect="00F31F7F">
          <w:footerReference w:type="default" r:id="rId11"/>
          <w:pgSz w:w="12240" w:h="15840"/>
          <w:pgMar w:top="990" w:right="1440" w:bottom="1440" w:left="1440" w:header="0" w:footer="714" w:gutter="0"/>
          <w:pgNumType w:start="1"/>
          <w:cols w:space="720"/>
          <w:docGrid w:linePitch="326"/>
        </w:sectPr>
      </w:pPr>
    </w:p>
    <w:p w:rsidR="00BB70FA" w14:paraId="294D13A8" w14:textId="77777777">
      <w:pPr>
        <w:numPr>
          <w:ilvl w:val="0"/>
          <w:numId w:val="9"/>
        </w:numPr>
        <w:pBdr>
          <w:top w:val="nil"/>
          <w:left w:val="nil"/>
          <w:bottom w:val="nil"/>
          <w:right w:val="nil"/>
          <w:between w:val="nil"/>
        </w:pBdr>
        <w:tabs>
          <w:tab w:val="left" w:pos="360"/>
        </w:tabs>
        <w:spacing w:before="80"/>
        <w:ind w:left="0" w:firstLine="0"/>
        <w:rPr>
          <w:b/>
          <w:bCs/>
          <w:color w:val="000000"/>
        </w:rPr>
      </w:pPr>
      <w:r>
        <w:rPr>
          <w:b/>
          <w:bCs/>
          <w:color w:val="000000"/>
        </w:rPr>
        <w:t>Provide estimates of the hour burden of the collection of information.</w:t>
      </w:r>
    </w:p>
    <w:p w:rsidR="00BB70FA" w14:paraId="1009DE8D" w14:textId="77777777">
      <w:pPr>
        <w:spacing w:line="259" w:lineRule="auto"/>
        <w:ind w:hanging="43"/>
        <w:jc w:val="center"/>
        <w:rPr>
          <w:b/>
          <w:bCs/>
          <w:color w:val="FF0000"/>
        </w:rPr>
      </w:pPr>
    </w:p>
    <w:tbl>
      <w:tblPr>
        <w:tblStyle w:val="a0"/>
        <w:tblW w:w="14415" w:type="dxa"/>
        <w:tblInd w:w="-140" w:type="dxa"/>
        <w:tblLayout w:type="fixed"/>
        <w:tblLook w:val="0400"/>
      </w:tblPr>
      <w:tblGrid>
        <w:gridCol w:w="3510"/>
        <w:gridCol w:w="1890"/>
        <w:gridCol w:w="1185"/>
        <w:gridCol w:w="1320"/>
        <w:gridCol w:w="1215"/>
        <w:gridCol w:w="1080"/>
        <w:gridCol w:w="1185"/>
        <w:gridCol w:w="1440"/>
        <w:gridCol w:w="1590"/>
      </w:tblGrid>
      <w:tr w14:paraId="4C39A0DB" w14:textId="77777777">
        <w:tblPrEx>
          <w:tblW w:w="14415" w:type="dxa"/>
          <w:tblInd w:w="-140" w:type="dxa"/>
          <w:tblLayout w:type="fixed"/>
          <w:tblLook w:val="0400"/>
        </w:tblPrEx>
        <w:trPr>
          <w:trHeight w:val="1365"/>
        </w:trPr>
        <w:tc>
          <w:tcPr>
            <w:tcW w:w="351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BB70FA" w14:paraId="65AB8B68"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Information Collection</w:t>
            </w:r>
          </w:p>
        </w:tc>
        <w:tc>
          <w:tcPr>
            <w:tcW w:w="1890" w:type="dxa"/>
            <w:tcBorders>
              <w:top w:val="single" w:sz="8" w:space="0" w:color="000000"/>
              <w:left w:val="nil"/>
              <w:bottom w:val="single" w:sz="8" w:space="0" w:color="000000"/>
              <w:right w:val="single" w:sz="8" w:space="0" w:color="000000"/>
            </w:tcBorders>
            <w:shd w:val="clear" w:color="auto" w:fill="BDD7EE"/>
            <w:vAlign w:val="center"/>
          </w:tcPr>
          <w:p w:rsidR="00BB70FA" w14:paraId="010FF9DD"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Type of Respondent (e.g., Occupational Title)</w:t>
            </w:r>
          </w:p>
        </w:tc>
        <w:tc>
          <w:tcPr>
            <w:tcW w:w="1185" w:type="dxa"/>
            <w:tcBorders>
              <w:top w:val="single" w:sz="8" w:space="0" w:color="000000"/>
              <w:left w:val="nil"/>
              <w:bottom w:val="single" w:sz="8" w:space="0" w:color="000000"/>
              <w:right w:val="single" w:sz="8" w:space="0" w:color="000000"/>
            </w:tcBorders>
            <w:shd w:val="clear" w:color="auto" w:fill="BDD7EE"/>
            <w:vAlign w:val="center"/>
          </w:tcPr>
          <w:p w:rsidR="00BB70FA" w14:paraId="5CF14809"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of Respondents/year</w:t>
            </w:r>
            <w:r>
              <w:rPr>
                <w:rFonts w:ascii="Calibri" w:eastAsia="Calibri" w:hAnsi="Calibri" w:cs="Calibri"/>
                <w:b/>
                <w:bCs/>
                <w:color w:val="000000"/>
                <w:sz w:val="16"/>
                <w:szCs w:val="16"/>
              </w:rPr>
              <w:br/>
              <w:t>(a)</w:t>
            </w:r>
          </w:p>
        </w:tc>
        <w:tc>
          <w:tcPr>
            <w:tcW w:w="1320" w:type="dxa"/>
            <w:tcBorders>
              <w:top w:val="single" w:sz="8" w:space="0" w:color="000000"/>
              <w:left w:val="nil"/>
              <w:bottom w:val="single" w:sz="8" w:space="0" w:color="000000"/>
              <w:right w:val="single" w:sz="8" w:space="0" w:color="000000"/>
            </w:tcBorders>
            <w:shd w:val="clear" w:color="auto" w:fill="BDD7EE"/>
            <w:vAlign w:val="center"/>
          </w:tcPr>
          <w:p w:rsidR="00BB70FA" w14:paraId="2F655651"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Annual # of Responses / Respondent</w:t>
            </w:r>
            <w:r>
              <w:rPr>
                <w:rFonts w:ascii="Calibri" w:eastAsia="Calibri" w:hAnsi="Calibri" w:cs="Calibri"/>
                <w:b/>
                <w:bCs/>
                <w:color w:val="000000"/>
                <w:sz w:val="16"/>
                <w:szCs w:val="16"/>
              </w:rPr>
              <w:br/>
              <w:t>(b)</w:t>
            </w:r>
          </w:p>
        </w:tc>
        <w:tc>
          <w:tcPr>
            <w:tcW w:w="1215" w:type="dxa"/>
            <w:tcBorders>
              <w:top w:val="single" w:sz="8" w:space="0" w:color="000000"/>
              <w:left w:val="nil"/>
              <w:bottom w:val="single" w:sz="8" w:space="0" w:color="000000"/>
              <w:right w:val="single" w:sz="8" w:space="0" w:color="000000"/>
            </w:tcBorders>
            <w:shd w:val="clear" w:color="auto" w:fill="BDD7EE"/>
            <w:vAlign w:val="center"/>
          </w:tcPr>
          <w:p w:rsidR="00BB70FA" w14:paraId="5DAD2695"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 Total # of Annual Responses</w:t>
            </w:r>
            <w:r>
              <w:rPr>
                <w:rFonts w:ascii="Calibri" w:eastAsia="Calibri" w:hAnsi="Calibri" w:cs="Calibri"/>
                <w:b/>
                <w:bCs/>
                <w:color w:val="000000"/>
                <w:sz w:val="16"/>
                <w:szCs w:val="16"/>
              </w:rPr>
              <w:br/>
              <w:t>(c) = (a) x (b)</w:t>
            </w:r>
          </w:p>
        </w:tc>
        <w:tc>
          <w:tcPr>
            <w:tcW w:w="1080" w:type="dxa"/>
            <w:tcBorders>
              <w:top w:val="single" w:sz="8" w:space="0" w:color="000000"/>
              <w:left w:val="nil"/>
              <w:bottom w:val="single" w:sz="8" w:space="0" w:color="000000"/>
              <w:right w:val="single" w:sz="8" w:space="0" w:color="000000"/>
            </w:tcBorders>
            <w:shd w:val="clear" w:color="auto" w:fill="BDD7EE"/>
            <w:vAlign w:val="center"/>
          </w:tcPr>
          <w:p w:rsidR="00BB70FA" w14:paraId="56AE1511" w14:textId="77777777">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Burden Hrs / Response</w:t>
            </w:r>
            <w:r>
              <w:rPr>
                <w:rFonts w:ascii="Calibri" w:eastAsia="Calibri" w:hAnsi="Calibri" w:cs="Calibri"/>
                <w:b/>
                <w:bCs/>
                <w:color w:val="000000"/>
                <w:sz w:val="16"/>
                <w:szCs w:val="16"/>
              </w:rPr>
              <w:br/>
              <w:t>(d)</w:t>
            </w:r>
          </w:p>
        </w:tc>
        <w:tc>
          <w:tcPr>
            <w:tcW w:w="1185" w:type="dxa"/>
            <w:tcBorders>
              <w:top w:val="single" w:sz="8" w:space="0" w:color="000000"/>
              <w:left w:val="nil"/>
              <w:bottom w:val="single" w:sz="8" w:space="0" w:color="000000"/>
              <w:right w:val="single" w:sz="8" w:space="0" w:color="000000"/>
            </w:tcBorders>
            <w:shd w:val="clear" w:color="auto" w:fill="BDD7EE"/>
            <w:vAlign w:val="center"/>
          </w:tcPr>
          <w:p w:rsidR="00BB70FA" w14:paraId="6F6B1F70" w14:textId="4A223D6A">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Annual Burden Hrs</w:t>
            </w:r>
            <w:r>
              <w:rPr>
                <w:rFonts w:ascii="Calibri" w:eastAsia="Calibri" w:hAnsi="Calibri" w:cs="Calibri"/>
                <w:b/>
                <w:bCs/>
                <w:color w:val="000000"/>
                <w:sz w:val="16"/>
                <w:szCs w:val="16"/>
              </w:rPr>
              <w:br/>
              <w:t>(</w:t>
            </w:r>
            <w:r w:rsidR="000A68B4">
              <w:rPr>
                <w:rFonts w:ascii="Calibri" w:eastAsia="Calibri" w:hAnsi="Calibri" w:cs="Calibri"/>
                <w:b/>
                <w:bCs/>
                <w:color w:val="000000"/>
                <w:sz w:val="16"/>
                <w:szCs w:val="16"/>
              </w:rPr>
              <w:t>e) =</w:t>
            </w:r>
            <w:r>
              <w:rPr>
                <w:rFonts w:ascii="Calibri" w:eastAsia="Calibri" w:hAnsi="Calibri" w:cs="Calibri"/>
                <w:b/>
                <w:bCs/>
                <w:color w:val="000000"/>
                <w:sz w:val="16"/>
                <w:szCs w:val="16"/>
              </w:rPr>
              <w:t xml:space="preserve"> (c) x (d)</w:t>
            </w:r>
          </w:p>
        </w:tc>
        <w:tc>
          <w:tcPr>
            <w:tcW w:w="1440" w:type="dxa"/>
            <w:tcBorders>
              <w:top w:val="single" w:sz="8" w:space="0" w:color="000000"/>
              <w:left w:val="nil"/>
              <w:bottom w:val="single" w:sz="8" w:space="0" w:color="000000"/>
              <w:right w:val="single" w:sz="8" w:space="0" w:color="000000"/>
            </w:tcBorders>
            <w:shd w:val="clear" w:color="auto" w:fill="BDD7EE"/>
            <w:vAlign w:val="center"/>
          </w:tcPr>
          <w:p w:rsidR="00BB70FA" w14:paraId="7BA20BF6" w14:textId="38CA6895">
            <w:pPr>
              <w:widowControl/>
              <w:jc w:val="center"/>
              <w:rPr>
                <w:rFonts w:ascii="Calibri" w:eastAsia="Calibri" w:hAnsi="Calibri" w:cs="Calibri"/>
                <w:b/>
                <w:bCs/>
                <w:color w:val="000000"/>
                <w:sz w:val="16"/>
                <w:szCs w:val="16"/>
              </w:rPr>
            </w:pPr>
            <w:r>
              <w:rPr>
                <w:rFonts w:ascii="Calibri" w:eastAsia="Calibri" w:hAnsi="Calibri" w:cs="Calibri"/>
                <w:b/>
                <w:bCs/>
                <w:color w:val="000000"/>
                <w:sz w:val="16"/>
                <w:szCs w:val="16"/>
              </w:rPr>
              <w:t xml:space="preserve">Hourly Wage </w:t>
            </w:r>
            <w:r w:rsidR="000A68B4">
              <w:rPr>
                <w:rFonts w:ascii="Calibri" w:eastAsia="Calibri" w:hAnsi="Calibri" w:cs="Calibri"/>
                <w:b/>
                <w:bCs/>
                <w:color w:val="000000"/>
                <w:sz w:val="16"/>
                <w:szCs w:val="16"/>
              </w:rPr>
              <w:t>Rate (</w:t>
            </w:r>
            <w:r>
              <w:rPr>
                <w:rFonts w:ascii="Calibri" w:eastAsia="Calibri" w:hAnsi="Calibri" w:cs="Calibri"/>
                <w:b/>
                <w:bCs/>
                <w:color w:val="000000"/>
                <w:sz w:val="16"/>
                <w:szCs w:val="16"/>
              </w:rPr>
              <w:t>for Type of Respondent)</w:t>
            </w:r>
            <w:r>
              <w:rPr>
                <w:rFonts w:ascii="Calibri" w:eastAsia="Calibri" w:hAnsi="Calibri" w:cs="Calibri"/>
                <w:b/>
                <w:bCs/>
                <w:color w:val="000000"/>
                <w:sz w:val="16"/>
                <w:szCs w:val="16"/>
              </w:rPr>
              <w:br/>
              <w:t>(f)</w:t>
            </w:r>
          </w:p>
        </w:tc>
        <w:tc>
          <w:tcPr>
            <w:tcW w:w="1590" w:type="dxa"/>
            <w:tcBorders>
              <w:top w:val="single" w:sz="8" w:space="0" w:color="000000"/>
              <w:left w:val="nil"/>
              <w:bottom w:val="single" w:sz="8" w:space="0" w:color="000000"/>
              <w:right w:val="single" w:sz="8" w:space="0" w:color="000000"/>
            </w:tcBorders>
            <w:shd w:val="clear" w:color="auto" w:fill="BDD7EE"/>
            <w:vAlign w:val="center"/>
          </w:tcPr>
          <w:p w:rsidR="00BB70FA" w14:paraId="12B1DB60" w14:textId="77777777">
            <w:pPr>
              <w:widowControl/>
              <w:ind w:right="-30"/>
              <w:jc w:val="center"/>
              <w:rPr>
                <w:rFonts w:ascii="Calibri" w:eastAsia="Calibri" w:hAnsi="Calibri" w:cs="Calibri"/>
                <w:b/>
                <w:bCs/>
                <w:color w:val="000000"/>
                <w:sz w:val="16"/>
                <w:szCs w:val="16"/>
              </w:rPr>
            </w:pPr>
            <w:r>
              <w:rPr>
                <w:rFonts w:ascii="Calibri" w:eastAsia="Calibri" w:hAnsi="Calibri" w:cs="Calibri"/>
                <w:b/>
                <w:bCs/>
                <w:color w:val="000000"/>
                <w:sz w:val="16"/>
                <w:szCs w:val="16"/>
              </w:rPr>
              <w:t>Total Annual Wage Burden Costs</w:t>
            </w:r>
            <w:r>
              <w:rPr>
                <w:rFonts w:ascii="Calibri" w:eastAsia="Calibri" w:hAnsi="Calibri" w:cs="Calibri"/>
                <w:b/>
                <w:bCs/>
                <w:color w:val="000000"/>
                <w:sz w:val="16"/>
                <w:szCs w:val="16"/>
              </w:rPr>
              <w:br/>
              <w:t>(g) = (e) x (f)</w:t>
            </w:r>
          </w:p>
        </w:tc>
      </w:tr>
      <w:tr w14:paraId="2BA3AE62" w14:textId="77777777" w:rsidTr="0097742D">
        <w:tblPrEx>
          <w:tblW w:w="14415" w:type="dxa"/>
          <w:tblInd w:w="-140" w:type="dxa"/>
          <w:tblLayout w:type="fixed"/>
          <w:tblLook w:val="0400"/>
        </w:tblPrEx>
        <w:trPr>
          <w:trHeight w:val="300"/>
        </w:trPr>
        <w:tc>
          <w:tcPr>
            <w:tcW w:w="3510" w:type="dxa"/>
            <w:tcBorders>
              <w:top w:val="nil"/>
              <w:left w:val="single" w:sz="8" w:space="0" w:color="000000"/>
              <w:bottom w:val="single" w:sz="4" w:space="0" w:color="000000"/>
              <w:right w:val="single" w:sz="4" w:space="0" w:color="000000"/>
            </w:tcBorders>
            <w:vAlign w:val="center"/>
          </w:tcPr>
          <w:p w:rsidR="00BB70FA" w:rsidRPr="00DB5A4E" w:rsidP="0097742D" w14:paraId="59DCC720" w14:textId="36FE921B">
            <w:pPr>
              <w:widowControl/>
              <w:rPr>
                <w:rFonts w:ascii="Calibri" w:eastAsia="Calibri" w:hAnsi="Calibri" w:cs="Calibri"/>
                <w:color w:val="000000"/>
                <w:sz w:val="20"/>
                <w:szCs w:val="20"/>
              </w:rPr>
            </w:pPr>
            <w:r w:rsidRPr="00DB5A4E">
              <w:rPr>
                <w:rFonts w:ascii="Calibri" w:hAnsi="Calibri" w:cs="Calibri"/>
                <w:color w:val="000000"/>
                <w:sz w:val="20"/>
                <w:szCs w:val="20"/>
              </w:rPr>
              <w:t>Reporting Requirements for Commercial Fisheries Authorization Under Section 118 of the Marine Mammal Protection Act</w:t>
            </w:r>
          </w:p>
        </w:tc>
        <w:tc>
          <w:tcPr>
            <w:tcW w:w="1890" w:type="dxa"/>
            <w:tcBorders>
              <w:top w:val="nil"/>
              <w:left w:val="nil"/>
              <w:bottom w:val="single" w:sz="4" w:space="0" w:color="000000"/>
              <w:right w:val="single" w:sz="4" w:space="0" w:color="000000"/>
            </w:tcBorders>
            <w:vAlign w:val="center"/>
          </w:tcPr>
          <w:p w:rsidR="00BB70FA" w:rsidRPr="00DB5A4E" w:rsidP="0097742D" w14:paraId="5968D584" w14:textId="77777777">
            <w:pPr>
              <w:widowControl/>
              <w:rPr>
                <w:rFonts w:ascii="Calibri" w:eastAsia="Calibri" w:hAnsi="Calibri" w:cs="Calibri"/>
                <w:color w:val="000000"/>
                <w:sz w:val="20"/>
                <w:szCs w:val="20"/>
              </w:rPr>
            </w:pPr>
            <w:r w:rsidRPr="00DB5A4E">
              <w:rPr>
                <w:rFonts w:ascii="Calibri" w:eastAsia="Calibri" w:hAnsi="Calibri" w:cs="Calibri"/>
                <w:color w:val="000000"/>
                <w:sz w:val="20"/>
                <w:szCs w:val="20"/>
              </w:rPr>
              <w:t> </w:t>
            </w:r>
            <w:r w:rsidRPr="00DB5A4E" w:rsidR="00B12713">
              <w:rPr>
                <w:rFonts w:ascii="Calibri" w:eastAsia="Calibri" w:hAnsi="Calibri" w:cs="Calibri"/>
                <w:color w:val="000000"/>
                <w:sz w:val="20"/>
                <w:szCs w:val="20"/>
              </w:rPr>
              <w:t>Commercial fishermen</w:t>
            </w:r>
          </w:p>
          <w:p w:rsidR="000A68B4" w:rsidRPr="00DB5A4E" w:rsidP="0097742D" w14:paraId="05D0011A" w14:textId="7D1241CD">
            <w:pPr>
              <w:widowControl/>
              <w:rPr>
                <w:rFonts w:ascii="Calibri" w:eastAsia="Calibri" w:hAnsi="Calibri" w:cs="Calibri"/>
                <w:color w:val="000000"/>
                <w:sz w:val="20"/>
                <w:szCs w:val="20"/>
              </w:rPr>
            </w:pPr>
            <w:r w:rsidRPr="00DB5A4E">
              <w:rPr>
                <w:rFonts w:ascii="Calibri" w:eastAsia="Calibri" w:hAnsi="Calibri" w:cs="Calibri"/>
                <w:color w:val="000000"/>
                <w:sz w:val="20"/>
                <w:szCs w:val="20"/>
              </w:rPr>
              <w:t>(Occ Code: 45-1011)</w:t>
            </w:r>
          </w:p>
        </w:tc>
        <w:tc>
          <w:tcPr>
            <w:tcW w:w="1185" w:type="dxa"/>
            <w:tcBorders>
              <w:top w:val="nil"/>
              <w:left w:val="nil"/>
              <w:bottom w:val="single" w:sz="4" w:space="0" w:color="000000"/>
              <w:right w:val="single" w:sz="4" w:space="0" w:color="000000"/>
            </w:tcBorders>
            <w:vAlign w:val="center"/>
          </w:tcPr>
          <w:p w:rsidR="00BB70FA" w:rsidRPr="00DB5A4E" w:rsidP="0097742D" w14:paraId="17C6FA32" w14:textId="35778943">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200</w:t>
            </w:r>
          </w:p>
        </w:tc>
        <w:tc>
          <w:tcPr>
            <w:tcW w:w="1320" w:type="dxa"/>
            <w:tcBorders>
              <w:top w:val="nil"/>
              <w:left w:val="nil"/>
              <w:bottom w:val="single" w:sz="4" w:space="0" w:color="000000"/>
              <w:right w:val="single" w:sz="4" w:space="0" w:color="000000"/>
            </w:tcBorders>
            <w:vAlign w:val="center"/>
          </w:tcPr>
          <w:p w:rsidR="00BB70FA" w:rsidRPr="00DB5A4E" w:rsidP="0097742D" w14:paraId="47790909" w14:textId="45D98D15">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1</w:t>
            </w:r>
          </w:p>
        </w:tc>
        <w:tc>
          <w:tcPr>
            <w:tcW w:w="1215" w:type="dxa"/>
            <w:tcBorders>
              <w:top w:val="nil"/>
              <w:left w:val="nil"/>
              <w:bottom w:val="single" w:sz="4" w:space="0" w:color="000000"/>
              <w:right w:val="single" w:sz="4" w:space="0" w:color="000000"/>
            </w:tcBorders>
            <w:vAlign w:val="center"/>
          </w:tcPr>
          <w:p w:rsidR="00BB70FA" w:rsidRPr="00DB5A4E" w:rsidP="0097742D" w14:paraId="095C72F1" w14:textId="46062BE1">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200</w:t>
            </w:r>
          </w:p>
        </w:tc>
        <w:tc>
          <w:tcPr>
            <w:tcW w:w="1080" w:type="dxa"/>
            <w:tcBorders>
              <w:top w:val="nil"/>
              <w:left w:val="nil"/>
              <w:bottom w:val="single" w:sz="4" w:space="0" w:color="000000"/>
              <w:right w:val="single" w:sz="4" w:space="0" w:color="000000"/>
            </w:tcBorders>
            <w:vAlign w:val="center"/>
          </w:tcPr>
          <w:p w:rsidR="00BB70FA" w:rsidRPr="00DB5A4E" w:rsidP="0097742D" w14:paraId="3AB244C5" w14:textId="75CE3AFD">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.25</w:t>
            </w:r>
          </w:p>
        </w:tc>
        <w:tc>
          <w:tcPr>
            <w:tcW w:w="1185" w:type="dxa"/>
            <w:tcBorders>
              <w:top w:val="nil"/>
              <w:left w:val="nil"/>
              <w:bottom w:val="single" w:sz="4" w:space="0" w:color="000000"/>
              <w:right w:val="single" w:sz="4" w:space="0" w:color="000000"/>
            </w:tcBorders>
            <w:vAlign w:val="center"/>
          </w:tcPr>
          <w:p w:rsidR="00BB70FA" w:rsidRPr="00DB5A4E" w:rsidP="0097742D" w14:paraId="6404FC67" w14:textId="03B9FD77">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50</w:t>
            </w:r>
          </w:p>
        </w:tc>
        <w:tc>
          <w:tcPr>
            <w:tcW w:w="1440" w:type="dxa"/>
            <w:tcBorders>
              <w:top w:val="nil"/>
              <w:left w:val="nil"/>
              <w:bottom w:val="single" w:sz="4" w:space="0" w:color="000000"/>
              <w:right w:val="single" w:sz="4" w:space="0" w:color="000000"/>
            </w:tcBorders>
            <w:vAlign w:val="center"/>
          </w:tcPr>
          <w:p w:rsidR="00BB70FA" w:rsidRPr="00DB5A4E" w:rsidP="0097742D" w14:paraId="2E53D628" w14:textId="113D73F5">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$30.16</w:t>
            </w:r>
          </w:p>
        </w:tc>
        <w:tc>
          <w:tcPr>
            <w:tcW w:w="1590" w:type="dxa"/>
            <w:tcBorders>
              <w:top w:val="nil"/>
              <w:left w:val="nil"/>
              <w:bottom w:val="single" w:sz="4" w:space="0" w:color="000000"/>
              <w:right w:val="single" w:sz="8" w:space="0" w:color="000000"/>
            </w:tcBorders>
            <w:vAlign w:val="center"/>
          </w:tcPr>
          <w:p w:rsidR="00BB70FA" w:rsidRPr="00DB5A4E" w:rsidP="0097742D" w14:paraId="614B9518" w14:textId="7D963A8B">
            <w:pPr>
              <w:widowControl/>
              <w:jc w:val="center"/>
              <w:rPr>
                <w:rFonts w:ascii="Calibri" w:eastAsia="Calibri" w:hAnsi="Calibri" w:cs="Calibri"/>
                <w:color w:val="000000"/>
                <w:sz w:val="20"/>
                <w:szCs w:val="20"/>
              </w:rPr>
            </w:pPr>
            <w:r w:rsidRPr="00DB5A4E">
              <w:rPr>
                <w:rFonts w:ascii="Calibri" w:eastAsia="Calibri" w:hAnsi="Calibri" w:cs="Calibri"/>
                <w:color w:val="000000"/>
                <w:sz w:val="20"/>
                <w:szCs w:val="20"/>
              </w:rPr>
              <w:t>$1,508</w:t>
            </w:r>
          </w:p>
        </w:tc>
      </w:tr>
      <w:tr w14:paraId="4971D093" w14:textId="77777777" w:rsidTr="0097742D">
        <w:tblPrEx>
          <w:tblW w:w="14415" w:type="dxa"/>
          <w:tblInd w:w="-140" w:type="dxa"/>
          <w:tblLayout w:type="fixed"/>
          <w:tblLook w:val="0400"/>
        </w:tblPrEx>
        <w:trPr>
          <w:trHeight w:val="615"/>
        </w:trPr>
        <w:tc>
          <w:tcPr>
            <w:tcW w:w="3510" w:type="dxa"/>
            <w:tcBorders>
              <w:top w:val="nil"/>
              <w:left w:val="single" w:sz="8" w:space="0" w:color="000000"/>
              <w:bottom w:val="single" w:sz="8" w:space="0" w:color="000000"/>
              <w:right w:val="single" w:sz="8" w:space="0" w:color="000000"/>
            </w:tcBorders>
            <w:shd w:val="clear" w:color="auto" w:fill="DDEBF7"/>
            <w:vAlign w:val="bottom"/>
          </w:tcPr>
          <w:p w:rsidR="00BB70FA" w14:paraId="51CDECF9" w14:textId="77777777">
            <w:pPr>
              <w:widowControl/>
              <w:rPr>
                <w:rFonts w:ascii="Calibri" w:eastAsia="Calibri" w:hAnsi="Calibri" w:cs="Calibri"/>
                <w:b/>
                <w:bCs/>
                <w:color w:val="000000"/>
              </w:rPr>
            </w:pPr>
            <w:r>
              <w:rPr>
                <w:rFonts w:ascii="Calibri" w:eastAsia="Calibri" w:hAnsi="Calibri" w:cs="Calibri"/>
                <w:b/>
                <w:bCs/>
                <w:color w:val="000000"/>
              </w:rPr>
              <w:t>Totals</w:t>
            </w:r>
          </w:p>
        </w:tc>
        <w:tc>
          <w:tcPr>
            <w:tcW w:w="1890" w:type="dxa"/>
            <w:tcBorders>
              <w:top w:val="nil"/>
              <w:left w:val="nil"/>
              <w:bottom w:val="single" w:sz="8" w:space="0" w:color="000000"/>
              <w:right w:val="single" w:sz="8" w:space="0" w:color="000000"/>
            </w:tcBorders>
            <w:shd w:val="clear" w:color="auto" w:fill="000000"/>
            <w:vAlign w:val="bottom"/>
          </w:tcPr>
          <w:p w:rsidR="00BB70FA" w14:paraId="6408E7A5" w14:textId="77777777">
            <w:pPr>
              <w:widowControl/>
              <w:rPr>
                <w:rFonts w:ascii="Calibri" w:eastAsia="Calibri" w:hAnsi="Calibri" w:cs="Calibri"/>
                <w:b/>
                <w:bCs/>
                <w:color w:val="000000"/>
              </w:rPr>
            </w:pPr>
            <w:r>
              <w:rPr>
                <w:rFonts w:ascii="Calibri" w:eastAsia="Calibri" w:hAnsi="Calibri" w:cs="Calibri"/>
                <w:b/>
                <w:bCs/>
                <w:color w:val="000000"/>
              </w:rPr>
              <w:t> </w:t>
            </w:r>
          </w:p>
        </w:tc>
        <w:tc>
          <w:tcPr>
            <w:tcW w:w="1185" w:type="dxa"/>
            <w:tcBorders>
              <w:top w:val="nil"/>
              <w:left w:val="nil"/>
              <w:bottom w:val="single" w:sz="8" w:space="0" w:color="000000"/>
              <w:right w:val="single" w:sz="8" w:space="0" w:color="000000"/>
            </w:tcBorders>
            <w:shd w:val="clear" w:color="auto" w:fill="000000"/>
            <w:vAlign w:val="center"/>
          </w:tcPr>
          <w:p w:rsidR="00BB70FA" w:rsidP="0097742D" w14:paraId="44AB80F4" w14:textId="0750DDB6">
            <w:pPr>
              <w:widowControl/>
              <w:jc w:val="center"/>
              <w:rPr>
                <w:rFonts w:ascii="Calibri" w:eastAsia="Calibri" w:hAnsi="Calibri" w:cs="Calibri"/>
                <w:b/>
                <w:bCs/>
                <w:color w:val="000000"/>
              </w:rPr>
            </w:pPr>
          </w:p>
        </w:tc>
        <w:tc>
          <w:tcPr>
            <w:tcW w:w="1320" w:type="dxa"/>
            <w:tcBorders>
              <w:top w:val="nil"/>
              <w:left w:val="nil"/>
              <w:bottom w:val="single" w:sz="8" w:space="0" w:color="000000"/>
              <w:right w:val="single" w:sz="8" w:space="0" w:color="000000"/>
            </w:tcBorders>
            <w:shd w:val="clear" w:color="auto" w:fill="000000"/>
            <w:vAlign w:val="center"/>
          </w:tcPr>
          <w:p w:rsidR="00BB70FA" w:rsidP="0097742D" w14:paraId="027EEC95" w14:textId="4456424B">
            <w:pPr>
              <w:widowControl/>
              <w:jc w:val="center"/>
              <w:rPr>
                <w:rFonts w:ascii="Calibri" w:eastAsia="Calibri" w:hAnsi="Calibri" w:cs="Calibri"/>
                <w:b/>
                <w:bCs/>
                <w:color w:val="000000"/>
              </w:rPr>
            </w:pPr>
          </w:p>
        </w:tc>
        <w:tc>
          <w:tcPr>
            <w:tcW w:w="1215" w:type="dxa"/>
            <w:tcBorders>
              <w:top w:val="nil"/>
              <w:left w:val="nil"/>
              <w:bottom w:val="single" w:sz="8" w:space="0" w:color="000000"/>
              <w:right w:val="single" w:sz="8" w:space="0" w:color="000000"/>
            </w:tcBorders>
            <w:shd w:val="clear" w:color="auto" w:fill="DDEBF7"/>
            <w:vAlign w:val="center"/>
          </w:tcPr>
          <w:p w:rsidR="00BB70FA" w:rsidP="0097742D" w14:paraId="5A46BEBC" w14:textId="3C3A1369">
            <w:pPr>
              <w:widowControl/>
              <w:jc w:val="center"/>
              <w:rPr>
                <w:rFonts w:ascii="Calibri" w:eastAsia="Calibri" w:hAnsi="Calibri" w:cs="Calibri"/>
                <w:b/>
                <w:bCs/>
                <w:color w:val="000000"/>
              </w:rPr>
            </w:pPr>
            <w:r>
              <w:rPr>
                <w:rFonts w:ascii="Calibri" w:eastAsia="Calibri" w:hAnsi="Calibri" w:cs="Calibri"/>
                <w:b/>
                <w:bCs/>
                <w:color w:val="000000"/>
              </w:rPr>
              <w:t>200</w:t>
            </w:r>
          </w:p>
        </w:tc>
        <w:tc>
          <w:tcPr>
            <w:tcW w:w="1080" w:type="dxa"/>
            <w:tcBorders>
              <w:top w:val="nil"/>
              <w:left w:val="nil"/>
              <w:bottom w:val="single" w:sz="8" w:space="0" w:color="000000"/>
              <w:right w:val="single" w:sz="8" w:space="0" w:color="000000"/>
            </w:tcBorders>
            <w:shd w:val="clear" w:color="auto" w:fill="000000"/>
            <w:vAlign w:val="center"/>
          </w:tcPr>
          <w:p w:rsidR="00BB70FA" w:rsidP="0097742D" w14:paraId="67100B63" w14:textId="1B0766A8">
            <w:pPr>
              <w:widowControl/>
              <w:jc w:val="center"/>
              <w:rPr>
                <w:rFonts w:ascii="Calibri" w:eastAsia="Calibri" w:hAnsi="Calibri" w:cs="Calibri"/>
                <w:b/>
                <w:bCs/>
                <w:color w:val="000000"/>
              </w:rPr>
            </w:pPr>
          </w:p>
        </w:tc>
        <w:tc>
          <w:tcPr>
            <w:tcW w:w="1185" w:type="dxa"/>
            <w:tcBorders>
              <w:top w:val="nil"/>
              <w:left w:val="nil"/>
              <w:bottom w:val="single" w:sz="8" w:space="0" w:color="000000"/>
              <w:right w:val="single" w:sz="8" w:space="0" w:color="000000"/>
            </w:tcBorders>
            <w:shd w:val="clear" w:color="auto" w:fill="DDEBF7"/>
            <w:vAlign w:val="center"/>
          </w:tcPr>
          <w:p w:rsidR="00BB70FA" w:rsidP="0097742D" w14:paraId="6D91C4AE" w14:textId="3D04CF16">
            <w:pPr>
              <w:widowControl/>
              <w:jc w:val="center"/>
              <w:rPr>
                <w:rFonts w:ascii="Calibri" w:eastAsia="Calibri" w:hAnsi="Calibri" w:cs="Calibri"/>
                <w:b/>
                <w:bCs/>
                <w:color w:val="000000"/>
              </w:rPr>
            </w:pPr>
            <w:r>
              <w:rPr>
                <w:rFonts w:ascii="Calibri" w:eastAsia="Calibri" w:hAnsi="Calibri" w:cs="Calibri"/>
                <w:b/>
                <w:bCs/>
                <w:color w:val="000000"/>
              </w:rPr>
              <w:t>50</w:t>
            </w:r>
          </w:p>
        </w:tc>
        <w:tc>
          <w:tcPr>
            <w:tcW w:w="1440" w:type="dxa"/>
            <w:tcBorders>
              <w:top w:val="nil"/>
              <w:left w:val="nil"/>
              <w:bottom w:val="single" w:sz="8" w:space="0" w:color="000000"/>
              <w:right w:val="single" w:sz="8" w:space="0" w:color="000000"/>
            </w:tcBorders>
            <w:shd w:val="clear" w:color="auto" w:fill="000000"/>
            <w:vAlign w:val="center"/>
          </w:tcPr>
          <w:p w:rsidR="00BB70FA" w:rsidP="0097742D" w14:paraId="0C3340C0" w14:textId="05FA07C3">
            <w:pPr>
              <w:widowControl/>
              <w:jc w:val="center"/>
              <w:rPr>
                <w:rFonts w:ascii="Calibri" w:eastAsia="Calibri" w:hAnsi="Calibri" w:cs="Calibri"/>
                <w:b/>
                <w:bCs/>
                <w:color w:val="000000"/>
              </w:rPr>
            </w:pPr>
          </w:p>
        </w:tc>
        <w:tc>
          <w:tcPr>
            <w:tcW w:w="1590" w:type="dxa"/>
            <w:tcBorders>
              <w:top w:val="nil"/>
              <w:left w:val="nil"/>
              <w:bottom w:val="single" w:sz="8" w:space="0" w:color="000000"/>
              <w:right w:val="single" w:sz="8" w:space="0" w:color="000000"/>
            </w:tcBorders>
            <w:shd w:val="clear" w:color="auto" w:fill="DDEBF7"/>
            <w:vAlign w:val="center"/>
          </w:tcPr>
          <w:p w:rsidR="00BB70FA" w:rsidP="0097742D" w14:paraId="2547AAD7" w14:textId="7640F794">
            <w:pPr>
              <w:widowControl/>
              <w:jc w:val="center"/>
              <w:rPr>
                <w:rFonts w:ascii="Calibri" w:eastAsia="Calibri" w:hAnsi="Calibri" w:cs="Calibri"/>
                <w:b/>
                <w:bCs/>
                <w:color w:val="000000"/>
              </w:rPr>
            </w:pPr>
            <w:r>
              <w:rPr>
                <w:rFonts w:ascii="Calibri" w:eastAsia="Calibri" w:hAnsi="Calibri" w:cs="Calibri"/>
                <w:b/>
                <w:bCs/>
                <w:color w:val="000000"/>
              </w:rPr>
              <w:t>$1,508</w:t>
            </w:r>
          </w:p>
        </w:tc>
      </w:tr>
    </w:tbl>
    <w:p w:rsidR="00BB70FA" w:rsidRPr="009F044A" w:rsidP="000636CA" w14:paraId="02DB02CE" w14:textId="21027C78">
      <w:pPr>
        <w:spacing w:before="240"/>
      </w:pPr>
      <w:r w:rsidRPr="009F044A">
        <w:t>Occupational Code 45-1011, First-Line Supervisors of Farming, Fishi</w:t>
      </w:r>
      <w:r w:rsidR="00DB5A4E">
        <w:t>n</w:t>
      </w:r>
      <w:r w:rsidRPr="009F044A">
        <w:t xml:space="preserve">g, and Forestry Workers, was used to determine the hourly wage rate.  </w:t>
      </w:r>
      <w:hyperlink r:id="rId12" w:history="1">
        <w:r w:rsidRPr="009F044A">
          <w:rPr>
            <w:rStyle w:val="Hyperlink"/>
          </w:rPr>
          <w:t>https://data.bls.gov/oes/#/area/0000000/2025</w:t>
        </w:r>
      </w:hyperlink>
    </w:p>
    <w:p w:rsidR="00BB70FA" w:rsidP="000636CA" w14:paraId="27075634" w14:textId="77777777">
      <w:pPr>
        <w:spacing w:before="240"/>
        <w:ind w:hanging="43"/>
        <w:rPr>
          <w:b/>
          <w:bCs/>
          <w:highlight w:val="yellow"/>
        </w:rPr>
        <w:sectPr w:rsidSect="000636CA">
          <w:pgSz w:w="15840" w:h="12240" w:orient="landscape"/>
          <w:pgMar w:top="1440" w:right="1440" w:bottom="1440" w:left="900" w:header="0" w:footer="714" w:gutter="0"/>
          <w:cols w:space="720"/>
          <w:docGrid w:linePitch="326"/>
        </w:sectPr>
      </w:pPr>
    </w:p>
    <w:p w:rsidR="00BB70FA" w:rsidP="0097742D" w14:paraId="39E53842"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p w:rsidR="00E73FCF" w:rsidRPr="002557E0" w:rsidP="0097742D" w14:paraId="169BE69D" w14:textId="4C352AAB">
      <w:pPr>
        <w:tabs>
          <w:tab w:val="left" w:pos="360"/>
        </w:tabs>
        <w:spacing w:before="240"/>
      </w:pPr>
      <w:r w:rsidRPr="002557E0">
        <w:t xml:space="preserve">There are no expected costs </w:t>
      </w:r>
      <w:r w:rsidRPr="002557E0" w:rsidR="00BD63A5">
        <w:t>for</w:t>
      </w:r>
      <w:r w:rsidRPr="002557E0">
        <w:t xml:space="preserve"> respondents to complete the postage-paid reporting form.</w:t>
      </w:r>
      <w:r>
        <w:t xml:space="preserve"> Respondents print the fillable pdf and mail the form postage paid to NMFS. Respondents can also email the completed form or complete the form online. Respondents are not required to keep a record of the form. The original is provided to NMFS.</w:t>
      </w:r>
    </w:p>
    <w:p w:rsidR="00E73FCF" w:rsidP="0097742D" w14:paraId="25FA83B8" w14:textId="77777777">
      <w:pPr>
        <w:pBdr>
          <w:top w:val="nil"/>
          <w:left w:val="nil"/>
          <w:bottom w:val="nil"/>
          <w:right w:val="nil"/>
          <w:between w:val="nil"/>
        </w:pBdr>
        <w:tabs>
          <w:tab w:val="left" w:pos="360"/>
        </w:tabs>
        <w:spacing w:before="240"/>
        <w:rPr>
          <w:b/>
          <w:bCs/>
          <w:color w:val="000000"/>
        </w:rPr>
      </w:pPr>
    </w:p>
    <w:p w:rsidR="0018263A" w:rsidRPr="00633B71" w:rsidP="0097742D" w14:paraId="68880ADB" w14:textId="2F43D630">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Provide estimates of annualized cost to the Federal </w:t>
      </w:r>
      <w:r>
        <w:rPr>
          <w:b/>
          <w:bCs/>
          <w:color w:val="000000"/>
        </w:rPr>
        <w:t>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B73477" w:rsidP="0097742D" w14:paraId="027F5B23" w14:textId="77777777">
      <w:pPr>
        <w:pStyle w:val="BodyText"/>
        <w:spacing w:before="240"/>
        <w:ind w:left="0"/>
        <w:rPr>
          <w:color w:val="000000" w:themeColor="text1"/>
        </w:rPr>
      </w:pPr>
      <w:r w:rsidRPr="00C4699B">
        <w:rPr>
          <w:color w:val="000000" w:themeColor="text1"/>
        </w:rPr>
        <w:t xml:space="preserve">Estimated costs to the Federal government include federal employee time to collect form and collate responses and paid postage for the forms. </w:t>
      </w:r>
      <w:r>
        <w:rPr>
          <w:color w:val="000000" w:themeColor="text1"/>
        </w:rPr>
        <w:t xml:space="preserve">Estimating </w:t>
      </w:r>
      <w:r w:rsidR="007B4893">
        <w:rPr>
          <w:color w:val="000000" w:themeColor="text1"/>
        </w:rPr>
        <w:t>85</w:t>
      </w:r>
      <w:r>
        <w:rPr>
          <w:color w:val="000000" w:themeColor="text1"/>
        </w:rPr>
        <w:t xml:space="preserve">% </w:t>
      </w:r>
      <w:r w:rsidR="008A0A71">
        <w:rPr>
          <w:color w:val="000000" w:themeColor="text1"/>
        </w:rPr>
        <w:t>of the</w:t>
      </w:r>
      <w:r>
        <w:rPr>
          <w:color w:val="000000" w:themeColor="text1"/>
        </w:rPr>
        <w:t xml:space="preserve"> forms</w:t>
      </w:r>
      <w:r w:rsidRPr="00C4699B">
        <w:rPr>
          <w:color w:val="000000" w:themeColor="text1"/>
        </w:rPr>
        <w:t xml:space="preserve"> are emailed or completed online, therefore, estimates below for postage are for </w:t>
      </w:r>
      <w:r>
        <w:rPr>
          <w:color w:val="000000" w:themeColor="text1"/>
        </w:rPr>
        <w:t>50</w:t>
      </w:r>
      <w:r w:rsidRPr="00C4699B">
        <w:rPr>
          <w:color w:val="000000" w:themeColor="text1"/>
        </w:rPr>
        <w:t xml:space="preserve"> mailed forms</w:t>
      </w:r>
      <w:r>
        <w:rPr>
          <w:color w:val="000000" w:themeColor="text1"/>
        </w:rPr>
        <w:t xml:space="preserve"> (under other costs)</w:t>
      </w:r>
      <w:r w:rsidRPr="00C4699B">
        <w:rPr>
          <w:color w:val="000000" w:themeColor="text1"/>
        </w:rPr>
        <w:t>.</w:t>
      </w:r>
      <w:r w:rsidR="00F04FD7">
        <w:rPr>
          <w:color w:val="000000" w:themeColor="text1"/>
        </w:rPr>
        <w:t xml:space="preserve"> </w:t>
      </w:r>
    </w:p>
    <w:p w:rsidR="00BB70FA" w:rsidP="0097742D" w14:paraId="3EFDDF0C" w14:textId="6BA96AD3">
      <w:pPr>
        <w:pStyle w:val="BodyText"/>
        <w:spacing w:before="240"/>
        <w:ind w:left="0"/>
        <w:rPr>
          <w:color w:val="000000" w:themeColor="text1"/>
        </w:rPr>
      </w:pPr>
      <w:r>
        <w:rPr>
          <w:color w:val="000000" w:themeColor="text1"/>
        </w:rPr>
        <w:t>The Commerce Alternative Personnel System (CAPS) pay tables for the Rest of U.S. locality was used to determine the base salary.  The Rest of U.S. locality was used since NOAA employees are geographically dispersed.  The upper bound for Interval 3 of the Pay Band was used as the base salary and a</w:t>
      </w:r>
      <w:r w:rsidRPr="00F04FD7" w:rsidR="00F04FD7">
        <w:rPr>
          <w:color w:val="000000" w:themeColor="text1"/>
        </w:rPr>
        <w:t xml:space="preserve"> multiplier of 1.5 was used to calculate the loaded salary.</w:t>
      </w:r>
    </w:p>
    <w:p w:rsidR="00F04FD7" w:rsidP="00B73477" w14:paraId="13F89C07" w14:textId="61B65F06">
      <w:pPr>
        <w:pStyle w:val="BodyText"/>
        <w:spacing w:before="240"/>
        <w:ind w:left="0"/>
        <w:rPr>
          <w:color w:val="000000" w:themeColor="text1"/>
        </w:rPr>
      </w:pPr>
      <w:hyperlink r:id="rId13" w:history="1">
        <w:r w:rsidRPr="00B73477">
          <w:rPr>
            <w:rStyle w:val="Hyperlink"/>
          </w:rPr>
          <w:t>https://www.commerce.gov/sites/default/files/2026-01/CAPS%20Standard%20Pay%20Tables%202026.pdf</w:t>
        </w:r>
      </w:hyperlink>
    </w:p>
    <w:p w:rsidR="00BB70FA" w14:paraId="2C62A022" w14:textId="77777777">
      <w:pPr>
        <w:spacing w:before="9" w:after="1"/>
        <w:rPr>
          <w:b/>
          <w:bCs/>
        </w:rPr>
      </w:pPr>
    </w:p>
    <w:tbl>
      <w:tblPr>
        <w:tblStyle w:val="a2"/>
        <w:tblW w:w="8240" w:type="dxa"/>
        <w:tblLayout w:type="fixed"/>
        <w:tblLook w:val="0400"/>
      </w:tblPr>
      <w:tblGrid>
        <w:gridCol w:w="2280"/>
        <w:gridCol w:w="1220"/>
        <w:gridCol w:w="1170"/>
        <w:gridCol w:w="990"/>
        <w:gridCol w:w="1280"/>
        <w:gridCol w:w="1300"/>
      </w:tblGrid>
      <w:tr w14:paraId="3A58EFC4" w14:textId="77777777" w:rsidTr="00B73477">
        <w:tblPrEx>
          <w:tblW w:w="8240" w:type="dxa"/>
          <w:tblLayout w:type="fixed"/>
          <w:tblLook w:val="0400"/>
        </w:tblPrEx>
        <w:trPr>
          <w:trHeight w:val="450"/>
        </w:trPr>
        <w:tc>
          <w:tcPr>
            <w:tcW w:w="228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BB70FA" w:rsidRPr="00B73477" w:rsidP="00B73477" w14:paraId="5EA60AD9" w14:textId="77777777">
            <w:pPr>
              <w:widowControl/>
              <w:jc w:val="center"/>
              <w:rPr>
                <w:rFonts w:ascii="Calibri" w:eastAsia="Calibri" w:hAnsi="Calibri" w:cs="Calibri"/>
                <w:b/>
                <w:bCs/>
                <w:sz w:val="20"/>
                <w:szCs w:val="20"/>
              </w:rPr>
            </w:pPr>
            <w:r w:rsidRPr="00B73477">
              <w:rPr>
                <w:rFonts w:ascii="Calibri" w:eastAsia="Calibri" w:hAnsi="Calibri" w:cs="Calibri"/>
                <w:b/>
                <w:bCs/>
                <w:sz w:val="20"/>
                <w:szCs w:val="20"/>
              </w:rPr>
              <w:t>Cost Descriptions</w:t>
            </w:r>
          </w:p>
        </w:tc>
        <w:tc>
          <w:tcPr>
            <w:tcW w:w="122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BB70FA" w:rsidRPr="00B73477" w:rsidP="00B73477" w14:paraId="22FB0026" w14:textId="77777777">
            <w:pPr>
              <w:widowControl/>
              <w:jc w:val="center"/>
              <w:rPr>
                <w:rFonts w:ascii="Calibri" w:eastAsia="Calibri" w:hAnsi="Calibri" w:cs="Calibri"/>
                <w:b/>
                <w:bCs/>
                <w:sz w:val="20"/>
                <w:szCs w:val="20"/>
              </w:rPr>
            </w:pPr>
            <w:r w:rsidRPr="00B73477">
              <w:rPr>
                <w:rFonts w:ascii="Calibri" w:eastAsia="Calibri" w:hAnsi="Calibri" w:cs="Calibri"/>
                <w:b/>
                <w:bCs/>
                <w:sz w:val="20"/>
                <w:szCs w:val="20"/>
              </w:rPr>
              <w:t>Grade/Step</w:t>
            </w:r>
          </w:p>
        </w:tc>
        <w:tc>
          <w:tcPr>
            <w:tcW w:w="117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BB70FA" w:rsidRPr="00B73477" w:rsidP="00B73477" w14:paraId="12417911" w14:textId="77777777">
            <w:pPr>
              <w:widowControl/>
              <w:jc w:val="center"/>
              <w:rPr>
                <w:rFonts w:ascii="Calibri" w:eastAsia="Calibri" w:hAnsi="Calibri" w:cs="Calibri"/>
                <w:b/>
                <w:bCs/>
                <w:sz w:val="20"/>
                <w:szCs w:val="20"/>
              </w:rPr>
            </w:pPr>
            <w:r w:rsidRPr="00B73477">
              <w:rPr>
                <w:rFonts w:ascii="Calibri" w:eastAsia="Calibri" w:hAnsi="Calibri" w:cs="Calibri"/>
                <w:b/>
                <w:bCs/>
                <w:sz w:val="20"/>
                <w:szCs w:val="20"/>
              </w:rPr>
              <w:t>Loaded Salary /Cost</w:t>
            </w:r>
          </w:p>
        </w:tc>
        <w:tc>
          <w:tcPr>
            <w:tcW w:w="99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BB70FA" w:rsidRPr="00B73477" w:rsidP="00B73477" w14:paraId="74CE2AAF" w14:textId="77777777">
            <w:pPr>
              <w:widowControl/>
              <w:jc w:val="center"/>
              <w:rPr>
                <w:rFonts w:ascii="Calibri" w:eastAsia="Calibri" w:hAnsi="Calibri" w:cs="Calibri"/>
                <w:b/>
                <w:bCs/>
                <w:sz w:val="20"/>
                <w:szCs w:val="20"/>
              </w:rPr>
            </w:pPr>
            <w:r w:rsidRPr="00B73477">
              <w:rPr>
                <w:rFonts w:ascii="Calibri" w:eastAsia="Calibri" w:hAnsi="Calibri" w:cs="Calibri"/>
                <w:b/>
                <w:bCs/>
                <w:sz w:val="20"/>
                <w:szCs w:val="20"/>
              </w:rPr>
              <w:t>% of Effort</w:t>
            </w:r>
          </w:p>
        </w:tc>
        <w:tc>
          <w:tcPr>
            <w:tcW w:w="128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BB70FA" w:rsidRPr="00B73477" w:rsidP="00B73477" w14:paraId="24486D8B" w14:textId="77777777">
            <w:pPr>
              <w:widowControl/>
              <w:jc w:val="center"/>
              <w:rPr>
                <w:rFonts w:ascii="Calibri" w:eastAsia="Calibri" w:hAnsi="Calibri" w:cs="Calibri"/>
                <w:b/>
                <w:bCs/>
                <w:sz w:val="20"/>
                <w:szCs w:val="20"/>
              </w:rPr>
            </w:pPr>
            <w:r w:rsidRPr="00B73477">
              <w:rPr>
                <w:rFonts w:ascii="Calibri" w:eastAsia="Calibri" w:hAnsi="Calibri" w:cs="Calibri"/>
                <w:b/>
                <w:bCs/>
                <w:sz w:val="20"/>
                <w:szCs w:val="20"/>
              </w:rPr>
              <w:t>Fringe (if Applicable)</w:t>
            </w:r>
          </w:p>
        </w:tc>
        <w:tc>
          <w:tcPr>
            <w:tcW w:w="1300" w:type="dxa"/>
            <w:tcBorders>
              <w:top w:val="single" w:sz="8" w:space="0" w:color="000000"/>
              <w:left w:val="single" w:sz="8" w:space="0" w:color="000000"/>
              <w:bottom w:val="single" w:sz="4" w:space="0" w:color="000000"/>
              <w:right w:val="single" w:sz="8" w:space="0" w:color="000000"/>
            </w:tcBorders>
            <w:shd w:val="clear" w:color="auto" w:fill="BDD7EE"/>
            <w:vAlign w:val="center"/>
          </w:tcPr>
          <w:p w:rsidR="00BB70FA" w:rsidRPr="00B73477" w:rsidP="00B73477" w14:paraId="099F2B9E" w14:textId="77777777">
            <w:pPr>
              <w:widowControl/>
              <w:jc w:val="center"/>
              <w:rPr>
                <w:rFonts w:ascii="Calibri" w:eastAsia="Calibri" w:hAnsi="Calibri" w:cs="Calibri"/>
                <w:b/>
                <w:bCs/>
                <w:sz w:val="20"/>
                <w:szCs w:val="20"/>
              </w:rPr>
            </w:pPr>
            <w:r w:rsidRPr="00B73477">
              <w:rPr>
                <w:rFonts w:ascii="Calibri" w:eastAsia="Calibri" w:hAnsi="Calibri" w:cs="Calibri"/>
                <w:b/>
                <w:bCs/>
                <w:sz w:val="20"/>
                <w:szCs w:val="20"/>
              </w:rPr>
              <w:t>Total Cost to Government</w:t>
            </w:r>
          </w:p>
        </w:tc>
      </w:tr>
      <w:tr w14:paraId="1D6D7E61" w14:textId="77777777" w:rsidTr="00B73477">
        <w:tblPrEx>
          <w:tblW w:w="8240" w:type="dxa"/>
          <w:tblLayout w:type="fixed"/>
          <w:tblLook w:val="0400"/>
        </w:tblPrEx>
        <w:trPr>
          <w:trHeight w:val="395"/>
        </w:trPr>
        <w:tc>
          <w:tcPr>
            <w:tcW w:w="2280" w:type="dxa"/>
            <w:tcBorders>
              <w:top w:val="single" w:sz="4" w:space="0" w:color="000000"/>
              <w:left w:val="single" w:sz="8" w:space="0" w:color="000000"/>
              <w:bottom w:val="single" w:sz="4" w:space="0" w:color="000000"/>
              <w:right w:val="single" w:sz="8" w:space="0" w:color="000000"/>
            </w:tcBorders>
            <w:vAlign w:val="bottom"/>
          </w:tcPr>
          <w:p w:rsidR="00BB70FA" w:rsidRPr="00B73477" w:rsidP="00B73477" w14:paraId="00F301DB" w14:textId="77777777">
            <w:pPr>
              <w:widowControl/>
              <w:rPr>
                <w:rFonts w:ascii="Calibri" w:eastAsia="Calibri" w:hAnsi="Calibri" w:cs="Calibri"/>
                <w:b/>
                <w:bCs/>
                <w:sz w:val="20"/>
                <w:szCs w:val="20"/>
              </w:rPr>
            </w:pPr>
            <w:r w:rsidRPr="00B73477">
              <w:rPr>
                <w:rFonts w:ascii="Calibri" w:eastAsia="Calibri" w:hAnsi="Calibri" w:cs="Calibri"/>
                <w:b/>
                <w:bCs/>
                <w:sz w:val="20"/>
                <w:szCs w:val="20"/>
              </w:rPr>
              <w:t>Federal Oversight</w:t>
            </w:r>
          </w:p>
        </w:tc>
        <w:tc>
          <w:tcPr>
            <w:tcW w:w="1220" w:type="dxa"/>
            <w:tcBorders>
              <w:top w:val="single" w:sz="4" w:space="0" w:color="000000"/>
              <w:left w:val="single" w:sz="8" w:space="0" w:color="000000"/>
              <w:bottom w:val="single" w:sz="4" w:space="0" w:color="000000"/>
              <w:right w:val="single" w:sz="4" w:space="0" w:color="000000"/>
            </w:tcBorders>
            <w:vAlign w:val="bottom"/>
          </w:tcPr>
          <w:p w:rsidR="00BB70FA" w:rsidRPr="00B73477" w:rsidP="00B73477" w14:paraId="059AE543" w14:textId="0CBCCDD0">
            <w:pPr>
              <w:widowControl/>
              <w:rPr>
                <w:rFonts w:ascii="Calibri" w:eastAsia="Calibri" w:hAnsi="Calibri" w:cs="Calibri"/>
                <w:sz w:val="20"/>
                <w:szCs w:val="20"/>
              </w:rPr>
            </w:pPr>
            <w:r w:rsidRPr="00B73477">
              <w:rPr>
                <w:rFonts w:ascii="Calibri" w:eastAsia="Calibri" w:hAnsi="Calibri" w:cs="Calibri"/>
                <w:sz w:val="20"/>
                <w:szCs w:val="20"/>
              </w:rPr>
              <w:t> </w:t>
            </w:r>
            <w:r w:rsidRPr="00B73477" w:rsidR="0018263A">
              <w:rPr>
                <w:rFonts w:ascii="Calibri" w:eastAsia="Calibri" w:hAnsi="Calibri" w:cs="Calibri"/>
                <w:sz w:val="20"/>
                <w:szCs w:val="20"/>
              </w:rPr>
              <w:t>ZP3</w:t>
            </w:r>
          </w:p>
        </w:tc>
        <w:tc>
          <w:tcPr>
            <w:tcW w:w="1170" w:type="dxa"/>
            <w:tcBorders>
              <w:top w:val="single" w:sz="4" w:space="0" w:color="000000"/>
              <w:left w:val="single" w:sz="4" w:space="0" w:color="000000"/>
              <w:bottom w:val="single" w:sz="4" w:space="0" w:color="000000"/>
              <w:right w:val="single" w:sz="4" w:space="0" w:color="000000"/>
            </w:tcBorders>
            <w:vAlign w:val="bottom"/>
          </w:tcPr>
          <w:p w:rsidR="00BB70FA" w:rsidRPr="00B73477" w:rsidP="00B73477" w14:paraId="2259DF62" w14:textId="22CC5102">
            <w:pPr>
              <w:widowControl/>
              <w:rPr>
                <w:rFonts w:ascii="Calibri" w:eastAsia="Calibri" w:hAnsi="Calibri" w:cs="Calibri"/>
                <w:sz w:val="20"/>
                <w:szCs w:val="20"/>
              </w:rPr>
            </w:pPr>
            <w:r w:rsidRPr="00B73477">
              <w:rPr>
                <w:rFonts w:ascii="Calibri" w:eastAsia="Calibri" w:hAnsi="Calibri" w:cs="Calibri"/>
                <w:sz w:val="20"/>
                <w:szCs w:val="20"/>
              </w:rPr>
              <w:t> </w:t>
            </w:r>
            <w:r w:rsidRPr="00B73477" w:rsidR="002A7663">
              <w:rPr>
                <w:rFonts w:ascii="Calibri" w:hAnsi="Calibri" w:cs="Calibri"/>
                <w:color w:val="000000"/>
                <w:sz w:val="20"/>
                <w:szCs w:val="20"/>
              </w:rPr>
              <w:t>$</w:t>
            </w:r>
            <w:r w:rsidRPr="00B73477" w:rsidR="00B73477">
              <w:rPr>
                <w:rFonts w:ascii="Calibri" w:hAnsi="Calibri" w:cs="Calibri"/>
                <w:color w:val="000000"/>
                <w:sz w:val="20"/>
                <w:szCs w:val="20"/>
              </w:rPr>
              <w:t>174,543</w:t>
            </w:r>
          </w:p>
        </w:tc>
        <w:tc>
          <w:tcPr>
            <w:tcW w:w="990" w:type="dxa"/>
            <w:tcBorders>
              <w:top w:val="single" w:sz="4" w:space="0" w:color="000000"/>
              <w:left w:val="single" w:sz="4" w:space="0" w:color="000000"/>
              <w:bottom w:val="single" w:sz="4" w:space="0" w:color="000000"/>
              <w:right w:val="single" w:sz="4" w:space="0" w:color="000000"/>
            </w:tcBorders>
            <w:vAlign w:val="bottom"/>
          </w:tcPr>
          <w:p w:rsidR="00BB70FA" w:rsidRPr="00B73477" w:rsidP="00B73477" w14:paraId="6CDB7FBC" w14:textId="518719B6">
            <w:pPr>
              <w:widowControl/>
              <w:rPr>
                <w:rFonts w:ascii="Calibri" w:eastAsia="Calibri" w:hAnsi="Calibri" w:cs="Calibri"/>
                <w:sz w:val="20"/>
                <w:szCs w:val="20"/>
              </w:rPr>
            </w:pPr>
            <w:r w:rsidRPr="00B73477">
              <w:rPr>
                <w:rFonts w:ascii="Calibri" w:eastAsia="Calibri" w:hAnsi="Calibri" w:cs="Calibri"/>
                <w:sz w:val="20"/>
                <w:szCs w:val="20"/>
              </w:rPr>
              <w:t> </w:t>
            </w:r>
            <w:r w:rsidRPr="00B73477" w:rsidR="0018263A">
              <w:rPr>
                <w:rFonts w:ascii="Calibri" w:eastAsia="Calibri" w:hAnsi="Calibri" w:cs="Calibri"/>
                <w:sz w:val="20"/>
                <w:szCs w:val="20"/>
              </w:rPr>
              <w:t>10%</w:t>
            </w:r>
          </w:p>
        </w:tc>
        <w:tc>
          <w:tcPr>
            <w:tcW w:w="1280" w:type="dxa"/>
            <w:tcBorders>
              <w:top w:val="single" w:sz="4" w:space="0" w:color="000000"/>
              <w:left w:val="single" w:sz="4" w:space="0" w:color="000000"/>
              <w:bottom w:val="single" w:sz="4" w:space="0" w:color="000000"/>
              <w:right w:val="single" w:sz="4" w:space="0" w:color="000000"/>
            </w:tcBorders>
            <w:shd w:val="clear" w:color="auto" w:fill="808080"/>
            <w:vAlign w:val="bottom"/>
          </w:tcPr>
          <w:p w:rsidR="00BB70FA" w:rsidRPr="00B73477" w:rsidP="00B73477" w14:paraId="3BC034A3"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300" w:type="dxa"/>
            <w:tcBorders>
              <w:top w:val="single" w:sz="4" w:space="0" w:color="000000"/>
              <w:left w:val="single" w:sz="4" w:space="0" w:color="000000"/>
              <w:bottom w:val="single" w:sz="4" w:space="0" w:color="000000"/>
              <w:right w:val="single" w:sz="8" w:space="0" w:color="000000"/>
            </w:tcBorders>
            <w:vAlign w:val="bottom"/>
          </w:tcPr>
          <w:p w:rsidR="00BB70FA" w:rsidRPr="00B73477" w:rsidP="00B73477" w14:paraId="57B031A5" w14:textId="3DC4F7AA">
            <w:pPr>
              <w:widowControl/>
              <w:jc w:val="right"/>
              <w:rPr>
                <w:rFonts w:ascii="Calibri" w:eastAsia="Calibri" w:hAnsi="Calibri" w:cs="Calibri"/>
                <w:sz w:val="20"/>
                <w:szCs w:val="20"/>
              </w:rPr>
            </w:pPr>
            <w:r w:rsidRPr="00B73477">
              <w:rPr>
                <w:rFonts w:ascii="Calibri" w:eastAsia="Calibri" w:hAnsi="Calibri" w:cs="Calibri"/>
                <w:sz w:val="20"/>
                <w:szCs w:val="20"/>
              </w:rPr>
              <w:t> </w:t>
            </w:r>
            <w:r w:rsidRPr="00B73477" w:rsidR="002A7663">
              <w:rPr>
                <w:rFonts w:ascii="Calibri" w:eastAsia="Calibri" w:hAnsi="Calibri" w:cs="Calibri"/>
                <w:sz w:val="20"/>
                <w:szCs w:val="20"/>
              </w:rPr>
              <w:t>$</w:t>
            </w:r>
            <w:r w:rsidRPr="00B73477" w:rsidR="00B73477">
              <w:rPr>
                <w:rFonts w:ascii="Calibri" w:eastAsia="Calibri" w:hAnsi="Calibri" w:cs="Calibri"/>
                <w:sz w:val="20"/>
                <w:szCs w:val="20"/>
              </w:rPr>
              <w:t xml:space="preserve"> 17,454</w:t>
            </w:r>
          </w:p>
        </w:tc>
      </w:tr>
      <w:tr w14:paraId="5BE50AF6" w14:textId="77777777" w:rsidTr="00B73477">
        <w:tblPrEx>
          <w:tblW w:w="8240" w:type="dxa"/>
          <w:tblLayout w:type="fixed"/>
          <w:tblLook w:val="0400"/>
        </w:tblPrEx>
        <w:trPr>
          <w:trHeight w:val="368"/>
        </w:trPr>
        <w:tc>
          <w:tcPr>
            <w:tcW w:w="2280" w:type="dxa"/>
            <w:tcBorders>
              <w:top w:val="single" w:sz="4" w:space="0" w:color="000000"/>
              <w:left w:val="single" w:sz="8" w:space="0" w:color="000000"/>
              <w:bottom w:val="single" w:sz="4" w:space="0" w:color="000000"/>
              <w:right w:val="single" w:sz="8" w:space="0" w:color="000000"/>
            </w:tcBorders>
            <w:vAlign w:val="bottom"/>
          </w:tcPr>
          <w:p w:rsidR="00BB70FA" w:rsidRPr="00B73477" w:rsidP="00B73477" w14:paraId="2F40755B" w14:textId="77777777">
            <w:pPr>
              <w:widowControl/>
              <w:rPr>
                <w:rFonts w:ascii="Calibri" w:eastAsia="Calibri" w:hAnsi="Calibri" w:cs="Calibri"/>
                <w:b/>
                <w:bCs/>
                <w:sz w:val="20"/>
                <w:szCs w:val="20"/>
              </w:rPr>
            </w:pPr>
            <w:r w:rsidRPr="00B73477">
              <w:rPr>
                <w:rFonts w:ascii="Calibri" w:eastAsia="Calibri" w:hAnsi="Calibri" w:cs="Calibri"/>
                <w:b/>
                <w:bCs/>
                <w:sz w:val="20"/>
                <w:szCs w:val="20"/>
              </w:rPr>
              <w:t>Contractor Cost</w:t>
            </w:r>
          </w:p>
        </w:tc>
        <w:tc>
          <w:tcPr>
            <w:tcW w:w="1220" w:type="dxa"/>
            <w:tcBorders>
              <w:top w:val="single" w:sz="4" w:space="0" w:color="000000"/>
              <w:left w:val="single" w:sz="8" w:space="0" w:color="000000"/>
              <w:bottom w:val="single" w:sz="4" w:space="0" w:color="000000"/>
              <w:right w:val="single" w:sz="4" w:space="0" w:color="000000"/>
            </w:tcBorders>
            <w:shd w:val="clear" w:color="auto" w:fill="808080"/>
            <w:vAlign w:val="bottom"/>
          </w:tcPr>
          <w:p w:rsidR="00BB70FA" w:rsidRPr="00B73477" w:rsidP="00B73477" w14:paraId="56E2FD13"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170" w:type="dxa"/>
            <w:tcBorders>
              <w:top w:val="single" w:sz="4" w:space="0" w:color="000000"/>
              <w:left w:val="single" w:sz="4" w:space="0" w:color="000000"/>
              <w:bottom w:val="single" w:sz="4" w:space="0" w:color="000000"/>
              <w:right w:val="single" w:sz="4" w:space="0" w:color="000000"/>
            </w:tcBorders>
            <w:vAlign w:val="bottom"/>
          </w:tcPr>
          <w:p w:rsidR="00BB70FA" w:rsidRPr="00B73477" w:rsidP="00B73477" w14:paraId="5D1393A6"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990" w:type="dxa"/>
            <w:tcBorders>
              <w:top w:val="single" w:sz="4" w:space="0" w:color="000000"/>
              <w:left w:val="single" w:sz="4" w:space="0" w:color="000000"/>
              <w:bottom w:val="single" w:sz="4" w:space="0" w:color="000000"/>
              <w:right w:val="single" w:sz="4" w:space="0" w:color="000000"/>
            </w:tcBorders>
            <w:vAlign w:val="bottom"/>
          </w:tcPr>
          <w:p w:rsidR="00BB70FA" w:rsidRPr="00B73477" w:rsidP="00B73477" w14:paraId="531427A9"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280" w:type="dxa"/>
            <w:tcBorders>
              <w:top w:val="single" w:sz="4" w:space="0" w:color="000000"/>
              <w:left w:val="single" w:sz="4" w:space="0" w:color="000000"/>
              <w:bottom w:val="single" w:sz="4" w:space="0" w:color="000000"/>
              <w:right w:val="single" w:sz="4" w:space="0" w:color="000000"/>
            </w:tcBorders>
            <w:vAlign w:val="bottom"/>
          </w:tcPr>
          <w:p w:rsidR="00BB70FA" w:rsidRPr="00B73477" w:rsidP="00B73477" w14:paraId="47426EDD"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300" w:type="dxa"/>
            <w:tcBorders>
              <w:top w:val="single" w:sz="4" w:space="0" w:color="000000"/>
              <w:left w:val="single" w:sz="4" w:space="0" w:color="000000"/>
              <w:bottom w:val="single" w:sz="4" w:space="0" w:color="000000"/>
              <w:right w:val="single" w:sz="8" w:space="0" w:color="000000"/>
            </w:tcBorders>
            <w:vAlign w:val="bottom"/>
          </w:tcPr>
          <w:p w:rsidR="00BB70FA" w:rsidRPr="00B73477" w:rsidP="00B73477" w14:paraId="5AA3E069" w14:textId="77777777">
            <w:pPr>
              <w:widowControl/>
              <w:jc w:val="right"/>
              <w:rPr>
                <w:rFonts w:ascii="Calibri" w:eastAsia="Calibri" w:hAnsi="Calibri" w:cs="Calibri"/>
                <w:sz w:val="20"/>
                <w:szCs w:val="20"/>
              </w:rPr>
            </w:pPr>
            <w:r w:rsidRPr="00B73477">
              <w:rPr>
                <w:rFonts w:ascii="Calibri" w:eastAsia="Calibri" w:hAnsi="Calibri" w:cs="Calibri"/>
                <w:sz w:val="20"/>
                <w:szCs w:val="20"/>
              </w:rPr>
              <w:t> </w:t>
            </w:r>
          </w:p>
        </w:tc>
      </w:tr>
      <w:tr w14:paraId="067CB932" w14:textId="77777777" w:rsidTr="00B73477">
        <w:tblPrEx>
          <w:tblW w:w="8240" w:type="dxa"/>
          <w:tblLayout w:type="fixed"/>
          <w:tblLook w:val="0400"/>
        </w:tblPrEx>
        <w:trPr>
          <w:trHeight w:val="300"/>
        </w:trPr>
        <w:tc>
          <w:tcPr>
            <w:tcW w:w="2280" w:type="dxa"/>
            <w:tcBorders>
              <w:top w:val="single" w:sz="4" w:space="0" w:color="000000"/>
              <w:left w:val="single" w:sz="8" w:space="0" w:color="000000"/>
              <w:bottom w:val="single" w:sz="4" w:space="0" w:color="000000"/>
              <w:right w:val="single" w:sz="8" w:space="0" w:color="000000"/>
            </w:tcBorders>
            <w:vAlign w:val="bottom"/>
          </w:tcPr>
          <w:p w:rsidR="00BB70FA" w:rsidRPr="00B73477" w:rsidP="00B73477" w14:paraId="2C8AA671" w14:textId="77777777">
            <w:pPr>
              <w:widowControl/>
              <w:rPr>
                <w:rFonts w:ascii="Calibri" w:eastAsia="Calibri" w:hAnsi="Calibri" w:cs="Calibri"/>
                <w:b/>
                <w:bCs/>
                <w:sz w:val="20"/>
                <w:szCs w:val="20"/>
              </w:rPr>
            </w:pPr>
            <w:r w:rsidRPr="00B73477">
              <w:rPr>
                <w:rFonts w:ascii="Calibri" w:eastAsia="Calibri" w:hAnsi="Calibri" w:cs="Calibri"/>
                <w:b/>
                <w:bCs/>
                <w:sz w:val="20"/>
                <w:szCs w:val="20"/>
              </w:rPr>
              <w:t>Travel</w:t>
            </w:r>
          </w:p>
        </w:tc>
        <w:tc>
          <w:tcPr>
            <w:tcW w:w="1220" w:type="dxa"/>
            <w:tcBorders>
              <w:top w:val="single" w:sz="4" w:space="0" w:color="000000"/>
              <w:left w:val="single" w:sz="8" w:space="0" w:color="000000"/>
              <w:bottom w:val="single" w:sz="4" w:space="0" w:color="000000"/>
              <w:right w:val="single" w:sz="4" w:space="0" w:color="000000"/>
            </w:tcBorders>
            <w:shd w:val="clear" w:color="auto" w:fill="808080"/>
            <w:vAlign w:val="bottom"/>
          </w:tcPr>
          <w:p w:rsidR="00BB70FA" w:rsidRPr="00B73477" w:rsidP="00B73477" w14:paraId="5E201132"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170" w:type="dxa"/>
            <w:tcBorders>
              <w:top w:val="single" w:sz="4" w:space="0" w:color="000000"/>
              <w:left w:val="single" w:sz="4" w:space="0" w:color="000000"/>
              <w:bottom w:val="single" w:sz="4" w:space="0" w:color="000000"/>
              <w:right w:val="single" w:sz="4" w:space="0" w:color="000000"/>
            </w:tcBorders>
            <w:shd w:val="clear" w:color="auto" w:fill="808080"/>
            <w:vAlign w:val="bottom"/>
          </w:tcPr>
          <w:p w:rsidR="00BB70FA" w:rsidRPr="00B73477" w:rsidP="00B73477" w14:paraId="0F408455"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990" w:type="dxa"/>
            <w:tcBorders>
              <w:top w:val="single" w:sz="4" w:space="0" w:color="000000"/>
              <w:left w:val="single" w:sz="4" w:space="0" w:color="000000"/>
              <w:bottom w:val="single" w:sz="4" w:space="0" w:color="000000"/>
              <w:right w:val="single" w:sz="4" w:space="0" w:color="000000"/>
            </w:tcBorders>
            <w:shd w:val="clear" w:color="auto" w:fill="808080"/>
            <w:vAlign w:val="bottom"/>
          </w:tcPr>
          <w:p w:rsidR="00BB70FA" w:rsidRPr="00B73477" w:rsidP="00B73477" w14:paraId="39216A33"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280" w:type="dxa"/>
            <w:tcBorders>
              <w:top w:val="single" w:sz="4" w:space="0" w:color="000000"/>
              <w:left w:val="single" w:sz="4" w:space="0" w:color="000000"/>
              <w:bottom w:val="single" w:sz="4" w:space="0" w:color="000000"/>
              <w:right w:val="single" w:sz="4" w:space="0" w:color="000000"/>
            </w:tcBorders>
            <w:shd w:val="clear" w:color="auto" w:fill="808080"/>
            <w:vAlign w:val="bottom"/>
          </w:tcPr>
          <w:p w:rsidR="00BB70FA" w:rsidRPr="00B73477" w:rsidP="00B73477" w14:paraId="51F3FEA4"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300" w:type="dxa"/>
            <w:tcBorders>
              <w:top w:val="single" w:sz="4" w:space="0" w:color="000000"/>
              <w:left w:val="single" w:sz="4" w:space="0" w:color="000000"/>
              <w:bottom w:val="single" w:sz="4" w:space="0" w:color="000000"/>
              <w:right w:val="single" w:sz="8" w:space="0" w:color="000000"/>
            </w:tcBorders>
            <w:vAlign w:val="bottom"/>
          </w:tcPr>
          <w:p w:rsidR="00BB70FA" w:rsidRPr="00B73477" w:rsidP="00B73477" w14:paraId="187CCACC" w14:textId="77777777">
            <w:pPr>
              <w:widowControl/>
              <w:jc w:val="right"/>
              <w:rPr>
                <w:rFonts w:ascii="Calibri" w:eastAsia="Calibri" w:hAnsi="Calibri" w:cs="Calibri"/>
                <w:sz w:val="20"/>
                <w:szCs w:val="20"/>
              </w:rPr>
            </w:pPr>
            <w:r w:rsidRPr="00B73477">
              <w:rPr>
                <w:rFonts w:ascii="Calibri" w:eastAsia="Calibri" w:hAnsi="Calibri" w:cs="Calibri"/>
                <w:sz w:val="20"/>
                <w:szCs w:val="20"/>
              </w:rPr>
              <w:t> </w:t>
            </w:r>
          </w:p>
        </w:tc>
      </w:tr>
      <w:tr w14:paraId="1247D383" w14:textId="77777777" w:rsidTr="00B73477">
        <w:tblPrEx>
          <w:tblW w:w="8240" w:type="dxa"/>
          <w:tblLayout w:type="fixed"/>
          <w:tblLook w:val="0400"/>
        </w:tblPrEx>
        <w:trPr>
          <w:trHeight w:val="525"/>
        </w:trPr>
        <w:tc>
          <w:tcPr>
            <w:tcW w:w="2280" w:type="dxa"/>
            <w:tcBorders>
              <w:top w:val="single" w:sz="4" w:space="0" w:color="000000"/>
              <w:left w:val="single" w:sz="8" w:space="0" w:color="000000"/>
              <w:bottom w:val="single" w:sz="8" w:space="0" w:color="000000"/>
              <w:right w:val="single" w:sz="8" w:space="0" w:color="000000"/>
            </w:tcBorders>
            <w:vAlign w:val="center"/>
          </w:tcPr>
          <w:p w:rsidR="00BB70FA" w:rsidRPr="00B73477" w:rsidP="00B73477" w14:paraId="79D978C5" w14:textId="42B0BCE4">
            <w:pPr>
              <w:widowControl/>
              <w:rPr>
                <w:rFonts w:ascii="Calibri" w:eastAsia="Calibri" w:hAnsi="Calibri" w:cs="Calibri"/>
                <w:b/>
                <w:bCs/>
                <w:sz w:val="20"/>
                <w:szCs w:val="20"/>
              </w:rPr>
            </w:pPr>
            <w:r w:rsidRPr="00B73477">
              <w:rPr>
                <w:rFonts w:ascii="Calibri" w:eastAsia="Calibri" w:hAnsi="Calibri" w:cs="Calibri"/>
                <w:b/>
                <w:bCs/>
                <w:sz w:val="20"/>
                <w:szCs w:val="20"/>
              </w:rPr>
              <w:t xml:space="preserve">Other Costs: </w:t>
            </w:r>
            <w:r w:rsidR="00B73477">
              <w:rPr>
                <w:rFonts w:ascii="Calibri" w:eastAsia="Calibri" w:hAnsi="Calibri" w:cs="Calibri"/>
                <w:b/>
                <w:bCs/>
                <w:sz w:val="20"/>
                <w:szCs w:val="20"/>
              </w:rPr>
              <w:t xml:space="preserve"> Paid Postage</w:t>
            </w:r>
          </w:p>
        </w:tc>
        <w:tc>
          <w:tcPr>
            <w:tcW w:w="1220" w:type="dxa"/>
            <w:tcBorders>
              <w:top w:val="single" w:sz="4" w:space="0" w:color="000000"/>
              <w:left w:val="single" w:sz="8" w:space="0" w:color="000000"/>
              <w:bottom w:val="single" w:sz="8" w:space="0" w:color="000000"/>
              <w:right w:val="single" w:sz="4" w:space="0" w:color="000000"/>
            </w:tcBorders>
            <w:shd w:val="clear" w:color="auto" w:fill="808080"/>
            <w:vAlign w:val="bottom"/>
          </w:tcPr>
          <w:p w:rsidR="00BB70FA" w:rsidRPr="00B73477" w:rsidP="00B73477" w14:paraId="26FB13F4"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170" w:type="dxa"/>
            <w:tcBorders>
              <w:top w:val="single" w:sz="4" w:space="0" w:color="000000"/>
              <w:left w:val="single" w:sz="4" w:space="0" w:color="000000"/>
              <w:bottom w:val="single" w:sz="8" w:space="0" w:color="000000"/>
              <w:right w:val="single" w:sz="4" w:space="0" w:color="000000"/>
            </w:tcBorders>
            <w:shd w:val="clear" w:color="auto" w:fill="808080"/>
            <w:vAlign w:val="bottom"/>
          </w:tcPr>
          <w:p w:rsidR="00BB70FA" w:rsidRPr="00B73477" w:rsidP="00B73477" w14:paraId="0939512F"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990" w:type="dxa"/>
            <w:tcBorders>
              <w:top w:val="single" w:sz="4" w:space="0" w:color="000000"/>
              <w:left w:val="single" w:sz="4" w:space="0" w:color="000000"/>
              <w:bottom w:val="single" w:sz="8" w:space="0" w:color="000000"/>
              <w:right w:val="single" w:sz="4" w:space="0" w:color="000000"/>
            </w:tcBorders>
            <w:shd w:val="clear" w:color="auto" w:fill="808080"/>
            <w:vAlign w:val="bottom"/>
          </w:tcPr>
          <w:p w:rsidR="00BB70FA" w:rsidRPr="00B73477" w:rsidP="00B73477" w14:paraId="76EC2DDF"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280" w:type="dxa"/>
            <w:tcBorders>
              <w:top w:val="single" w:sz="4" w:space="0" w:color="000000"/>
              <w:left w:val="single" w:sz="4" w:space="0" w:color="000000"/>
              <w:bottom w:val="single" w:sz="8" w:space="0" w:color="000000"/>
              <w:right w:val="single" w:sz="4" w:space="0" w:color="000000"/>
            </w:tcBorders>
            <w:shd w:val="clear" w:color="auto" w:fill="808080"/>
            <w:vAlign w:val="bottom"/>
          </w:tcPr>
          <w:p w:rsidR="00BB70FA" w:rsidRPr="00B73477" w:rsidP="00B73477" w14:paraId="5DA8ADE2"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300" w:type="dxa"/>
            <w:tcBorders>
              <w:top w:val="single" w:sz="4" w:space="0" w:color="000000"/>
              <w:left w:val="single" w:sz="4" w:space="0" w:color="000000"/>
              <w:bottom w:val="single" w:sz="8" w:space="0" w:color="000000"/>
              <w:right w:val="single" w:sz="8" w:space="0" w:color="000000"/>
            </w:tcBorders>
            <w:vAlign w:val="bottom"/>
          </w:tcPr>
          <w:p w:rsidR="00BB70FA" w:rsidRPr="00B73477" w:rsidP="00B73477" w14:paraId="2B23AA45" w14:textId="114B5F5B">
            <w:pPr>
              <w:widowControl/>
              <w:jc w:val="right"/>
              <w:rPr>
                <w:rFonts w:ascii="Calibri" w:eastAsia="Calibri" w:hAnsi="Calibri" w:cs="Calibri"/>
                <w:sz w:val="20"/>
                <w:szCs w:val="20"/>
              </w:rPr>
            </w:pPr>
            <w:r w:rsidRPr="00B73477">
              <w:rPr>
                <w:rFonts w:ascii="Calibri" w:eastAsia="Calibri" w:hAnsi="Calibri" w:cs="Calibri"/>
                <w:sz w:val="20"/>
                <w:szCs w:val="20"/>
              </w:rPr>
              <w:t> </w:t>
            </w:r>
            <w:r w:rsidRPr="00B73477" w:rsidR="0018263A">
              <w:rPr>
                <w:rFonts w:ascii="Calibri" w:eastAsia="Calibri" w:hAnsi="Calibri" w:cs="Calibri"/>
                <w:sz w:val="20"/>
                <w:szCs w:val="20"/>
              </w:rPr>
              <w:t>$</w:t>
            </w:r>
            <w:r w:rsidR="00B73477">
              <w:rPr>
                <w:rFonts w:ascii="Calibri" w:eastAsia="Calibri" w:hAnsi="Calibri" w:cs="Calibri"/>
                <w:sz w:val="20"/>
                <w:szCs w:val="20"/>
              </w:rPr>
              <w:t xml:space="preserve"> </w:t>
            </w:r>
            <w:r w:rsidRPr="00B73477" w:rsidR="0018263A">
              <w:rPr>
                <w:rFonts w:ascii="Calibri" w:eastAsia="Calibri" w:hAnsi="Calibri" w:cs="Calibri"/>
                <w:sz w:val="20"/>
                <w:szCs w:val="20"/>
              </w:rPr>
              <w:t>41</w:t>
            </w:r>
          </w:p>
        </w:tc>
      </w:tr>
      <w:tr w14:paraId="4F24ABA8" w14:textId="77777777" w:rsidTr="00B73477">
        <w:tblPrEx>
          <w:tblW w:w="8240" w:type="dxa"/>
          <w:tblLayout w:type="fixed"/>
          <w:tblLook w:val="0400"/>
        </w:tblPrEx>
        <w:trPr>
          <w:trHeight w:val="315"/>
        </w:trPr>
        <w:tc>
          <w:tcPr>
            <w:tcW w:w="228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BB70FA" w:rsidRPr="00B73477" w:rsidP="00B73477" w14:paraId="688A1623" w14:textId="77777777">
            <w:pPr>
              <w:widowControl/>
              <w:rPr>
                <w:rFonts w:ascii="Calibri" w:eastAsia="Calibri" w:hAnsi="Calibri" w:cs="Calibri"/>
                <w:b/>
                <w:bCs/>
                <w:sz w:val="20"/>
                <w:szCs w:val="20"/>
              </w:rPr>
            </w:pPr>
            <w:r w:rsidRPr="00B73477">
              <w:rPr>
                <w:rFonts w:ascii="Calibri" w:eastAsia="Calibri" w:hAnsi="Calibri" w:cs="Calibri"/>
                <w:b/>
                <w:bCs/>
                <w:sz w:val="20"/>
                <w:szCs w:val="20"/>
              </w:rPr>
              <w:t>TOTAL</w:t>
            </w:r>
          </w:p>
        </w:tc>
        <w:tc>
          <w:tcPr>
            <w:tcW w:w="1220" w:type="dxa"/>
            <w:tcBorders>
              <w:top w:val="single" w:sz="8" w:space="0" w:color="000000"/>
              <w:left w:val="single" w:sz="8" w:space="0" w:color="000000"/>
              <w:bottom w:val="single" w:sz="8" w:space="0" w:color="000000"/>
              <w:right w:val="single" w:sz="8" w:space="0" w:color="000000"/>
            </w:tcBorders>
            <w:shd w:val="clear" w:color="auto" w:fill="808080"/>
            <w:vAlign w:val="bottom"/>
          </w:tcPr>
          <w:p w:rsidR="00BB70FA" w:rsidRPr="00B73477" w:rsidP="00B73477" w14:paraId="14803CD8"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170" w:type="dxa"/>
            <w:tcBorders>
              <w:top w:val="single" w:sz="8" w:space="0" w:color="000000"/>
              <w:left w:val="single" w:sz="8" w:space="0" w:color="000000"/>
              <w:bottom w:val="single" w:sz="8" w:space="0" w:color="000000"/>
              <w:right w:val="single" w:sz="8" w:space="0" w:color="000000"/>
            </w:tcBorders>
            <w:shd w:val="clear" w:color="auto" w:fill="808080"/>
            <w:vAlign w:val="bottom"/>
          </w:tcPr>
          <w:p w:rsidR="00BB70FA" w:rsidRPr="00B73477" w:rsidP="00B73477" w14:paraId="16AAF52D"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990" w:type="dxa"/>
            <w:tcBorders>
              <w:top w:val="single" w:sz="8" w:space="0" w:color="000000"/>
              <w:left w:val="single" w:sz="8" w:space="0" w:color="000000"/>
              <w:bottom w:val="single" w:sz="8" w:space="0" w:color="000000"/>
              <w:right w:val="single" w:sz="8" w:space="0" w:color="000000"/>
            </w:tcBorders>
            <w:shd w:val="clear" w:color="auto" w:fill="757171"/>
            <w:vAlign w:val="bottom"/>
          </w:tcPr>
          <w:p w:rsidR="00BB70FA" w:rsidRPr="00B73477" w:rsidP="00B73477" w14:paraId="378C767F"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28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BB70FA" w:rsidRPr="00B73477" w:rsidP="00B73477" w14:paraId="22AAB3FD" w14:textId="77777777">
            <w:pPr>
              <w:widowControl/>
              <w:rPr>
                <w:rFonts w:ascii="Calibri" w:eastAsia="Calibri" w:hAnsi="Calibri" w:cs="Calibri"/>
                <w:sz w:val="20"/>
                <w:szCs w:val="20"/>
              </w:rPr>
            </w:pPr>
            <w:r w:rsidRPr="00B73477">
              <w:rPr>
                <w:rFonts w:ascii="Calibri" w:eastAsia="Calibri" w:hAnsi="Calibri" w:cs="Calibri"/>
                <w:sz w:val="20"/>
                <w:szCs w:val="20"/>
              </w:rPr>
              <w:t> </w:t>
            </w:r>
          </w:p>
        </w:tc>
        <w:tc>
          <w:tcPr>
            <w:tcW w:w="130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BB70FA" w:rsidRPr="00B73477" w:rsidP="00B73477" w14:paraId="09C7C030" w14:textId="0B09CEB0">
            <w:pPr>
              <w:widowControl/>
              <w:jc w:val="right"/>
              <w:rPr>
                <w:rFonts w:ascii="Calibri" w:eastAsia="Calibri" w:hAnsi="Calibri" w:cs="Calibri"/>
                <w:b/>
                <w:bCs/>
                <w:sz w:val="20"/>
                <w:szCs w:val="20"/>
              </w:rPr>
            </w:pPr>
            <w:r w:rsidRPr="00B73477">
              <w:rPr>
                <w:rFonts w:ascii="Calibri" w:eastAsia="Calibri" w:hAnsi="Calibri" w:cs="Calibri"/>
                <w:b/>
                <w:bCs/>
                <w:sz w:val="20"/>
                <w:szCs w:val="20"/>
              </w:rPr>
              <w:t>$ 17,495</w:t>
            </w:r>
          </w:p>
        </w:tc>
      </w:tr>
    </w:tbl>
    <w:p w:rsidR="00BB70FA" w:rsidP="00B73477" w14:paraId="4CDA2B0A" w14:textId="18789A37">
      <w:pPr>
        <w:spacing w:before="240"/>
        <w:rPr>
          <w:b/>
          <w:bCs/>
        </w:rPr>
      </w:pPr>
    </w:p>
    <w:p w:rsidR="009C4C70" w:rsidRPr="009C4C70" w:rsidP="00B73477" w14:paraId="176AFA0F" w14:textId="50100F95">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the reasons for any program changes or adjustments reported in ROCIS.</w:t>
      </w:r>
    </w:p>
    <w:p w:rsidR="00BB70FA" w:rsidRPr="009C4C70" w:rsidP="00B73477" w14:paraId="5B3EC3C2" w14:textId="52DD1276">
      <w:pPr>
        <w:pStyle w:val="BodyText"/>
        <w:spacing w:before="240"/>
        <w:ind w:left="0"/>
        <w:rPr>
          <w:color w:val="000000" w:themeColor="text1"/>
        </w:rPr>
      </w:pPr>
      <w:r>
        <w:rPr>
          <w:color w:val="000000" w:themeColor="text1"/>
        </w:rPr>
        <w:t>The</w:t>
      </w:r>
      <w:r w:rsidR="00C413CC">
        <w:rPr>
          <w:color w:val="000000" w:themeColor="text1"/>
        </w:rPr>
        <w:t>re</w:t>
      </w:r>
      <w:r>
        <w:rPr>
          <w:color w:val="000000" w:themeColor="text1"/>
        </w:rPr>
        <w:t xml:space="preserve"> </w:t>
      </w:r>
      <w:r w:rsidR="002A76DF">
        <w:rPr>
          <w:color w:val="000000" w:themeColor="text1"/>
        </w:rPr>
        <w:t>are no changes that have taken place during this renewal request.</w:t>
      </w:r>
    </w:p>
    <w:p w:rsidR="00C413CC" w:rsidP="00B73477" w14:paraId="4F2C034D" w14:textId="77777777">
      <w:pPr>
        <w:pBdr>
          <w:top w:val="nil"/>
          <w:left w:val="nil"/>
          <w:bottom w:val="nil"/>
          <w:right w:val="nil"/>
          <w:between w:val="nil"/>
        </w:pBdr>
        <w:spacing w:before="240"/>
        <w:rPr>
          <w:b/>
          <w:bCs/>
          <w:color w:val="000000"/>
        </w:rPr>
      </w:pPr>
    </w:p>
    <w:p w:rsidR="00BB70FA" w:rsidP="00B73477" w14:paraId="6060DA78"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For collections of information whose </w:t>
      </w:r>
      <w:r>
        <w:rPr>
          <w:b/>
          <w:bCs/>
          <w:color w:val="000000"/>
        </w:rPr>
        <w:t>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B70FA" w:rsidRPr="00FA29E0" w:rsidP="00B73477" w14:paraId="42C744AF" w14:textId="2D75A4DD">
      <w:pPr>
        <w:widowControl/>
        <w:spacing w:before="240"/>
      </w:pPr>
      <w:r w:rsidRPr="00FA29E0">
        <w:t>NOAA NMFS Office of Protected Resources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Although the information collected is not expected t</w:t>
      </w:r>
      <w:r w:rsidRPr="00FA29E0">
        <w:t xml:space="preserve">o be disseminated directly to the public, results may be used in scientific, management, technical or general informational publications. Should </w:t>
      </w:r>
      <w:r w:rsidRPr="00FA29E0" w:rsidR="007B4893">
        <w:t>NOAA decide</w:t>
      </w:r>
      <w:r w:rsidRPr="00FA29E0">
        <w:t xml:space="preserve"> to disseminate the information, it will be subject to the quality control measures and pre-dissemination review pursuant to Section 515 of Public Law 106-554.</w:t>
      </w:r>
    </w:p>
    <w:p w:rsidR="00BB70FA" w:rsidP="00B73477" w14:paraId="71A2B61A"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seeking approval to not display the expiration date for OMB approval of the information collection, explain the reasons that display would be inappropriate.</w:t>
      </w:r>
    </w:p>
    <w:p w:rsidR="00CF5FD5" w:rsidRPr="00CF5FD5" w:rsidP="00B73477" w14:paraId="010F88C4" w14:textId="3B1ED1C2">
      <w:pPr>
        <w:spacing w:before="240"/>
      </w:pPr>
      <w:r w:rsidRPr="00CF5FD5">
        <w:t>The agency plans to display the expiration date for OMB approval of the information collection on all instruments.</w:t>
      </w:r>
    </w:p>
    <w:p w:rsidR="00CF5FD5" w:rsidP="00B73477" w14:paraId="0FEC8DFB" w14:textId="77777777">
      <w:pPr>
        <w:pBdr>
          <w:top w:val="nil"/>
          <w:left w:val="nil"/>
          <w:bottom w:val="nil"/>
          <w:right w:val="nil"/>
          <w:between w:val="nil"/>
        </w:pBdr>
        <w:spacing w:before="240"/>
        <w:rPr>
          <w:color w:val="2F5496"/>
        </w:rPr>
      </w:pPr>
    </w:p>
    <w:p w:rsidR="00BB70FA" w:rsidP="00B73477" w14:paraId="241578C6"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 xml:space="preserve">Explain each exception to the certification statement identified in “Certification for Paperwork Reduction Act </w:t>
      </w:r>
      <w:r>
        <w:rPr>
          <w:b/>
          <w:bCs/>
          <w:color w:val="000000"/>
        </w:rPr>
        <w:t>Submissions."</w:t>
      </w:r>
    </w:p>
    <w:p w:rsidR="005C6580" w:rsidP="00B73477" w14:paraId="77F3E14C" w14:textId="77777777">
      <w:pPr>
        <w:spacing w:before="240"/>
      </w:pPr>
      <w:r>
        <w:t xml:space="preserve">The agency certifies compliance with </w:t>
      </w:r>
      <w:hyperlink r:id="rId14">
        <w:r w:rsidRPr="005C6580">
          <w:rPr>
            <w:color w:val="0563C1"/>
            <w:u w:val="single"/>
          </w:rPr>
          <w:t>5 CFR 1320.9</w:t>
        </w:r>
      </w:hyperlink>
      <w:hyperlink r:id="rId14">
        <w:r w:rsidRPr="005C6580">
          <w:rPr>
            <w:color w:val="0563C1"/>
          </w:rPr>
          <w:t xml:space="preserve"> </w:t>
        </w:r>
      </w:hyperlink>
      <w:r>
        <w:t xml:space="preserve">and the related provisions of </w:t>
      </w:r>
      <w:hyperlink r:id="rId15">
        <w:r w:rsidRPr="005C6580">
          <w:rPr>
            <w:color w:val="0563C1"/>
            <w:u w:val="single"/>
          </w:rPr>
          <w:t>5 CFR</w:t>
        </w:r>
      </w:hyperlink>
      <w:r w:rsidRPr="005C6580">
        <w:rPr>
          <w:color w:val="0563C1"/>
        </w:rPr>
        <w:t xml:space="preserve"> </w:t>
      </w:r>
      <w:hyperlink r:id="rId15">
        <w:r w:rsidRPr="005C6580">
          <w:rPr>
            <w:color w:val="0563C1"/>
            <w:u w:val="single"/>
          </w:rPr>
          <w:t>1320.8(b)(3)</w:t>
        </w:r>
      </w:hyperlink>
      <w:r>
        <w:t>.</w:t>
      </w:r>
    </w:p>
    <w:sectPr w:rsidSect="0097742D">
      <w:pgSz w:w="12240" w:h="15840"/>
      <w:pgMar w:top="1440" w:right="1440" w:bottom="1440" w:left="1440" w:header="0" w:footer="71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1" w:fontKey="{82F92C9B-3EC2-42C5-BE28-6EF50D874B8D}"/>
  </w:font>
  <w:font w:name="Georgia">
    <w:panose1 w:val="02040502050405020303"/>
    <w:charset w:val="00"/>
    <w:family w:val="roman"/>
    <w:pitch w:val="variable"/>
    <w:sig w:usb0="00000287" w:usb1="00000000" w:usb2="00000000" w:usb3="00000000" w:csb0="0000009F" w:csb1="00000000"/>
    <w:embedItalic r:id="rId2" w:fontKey="{D71B885A-9865-433B-BB33-DA9DAB8215BB}"/>
  </w:font>
  <w:font w:name="Calibri">
    <w:panose1 w:val="020F0502020204030204"/>
    <w:charset w:val="00"/>
    <w:family w:val="swiss"/>
    <w:pitch w:val="variable"/>
    <w:sig w:usb0="E4002EFF" w:usb1="C200247B" w:usb2="00000009" w:usb3="00000000" w:csb0="000001FF" w:csb1="00000000"/>
    <w:embedRegular r:id="rId3" w:fontKey="{F7B1E6B2-FDA4-42D9-B421-1A8257C58B83}"/>
    <w:embedBold r:id="rId4" w:fontKey="{91E783EB-621B-4B05-B813-C9AED895CBA9}"/>
  </w:font>
  <w:font w:name="Cambria">
    <w:panose1 w:val="02040503050406030204"/>
    <w:charset w:val="00"/>
    <w:family w:val="roman"/>
    <w:pitch w:val="variable"/>
    <w:sig w:usb0="E00006FF" w:usb1="420024FF" w:usb2="02000000" w:usb3="00000000" w:csb0="0000019F" w:csb1="00000000"/>
    <w:embedRegular r:id="rId5" w:fontKey="{6C34C989-99E1-42B0-9FBF-850001F6F4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70FA" w14:paraId="2F149E05" w14:textId="77777777">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1F7F" w14:paraId="765C9B5E" w14:textId="77777777">
      <w:r>
        <w:separator/>
      </w:r>
    </w:p>
  </w:footnote>
  <w:footnote w:type="continuationSeparator" w:id="1">
    <w:p w:rsidR="00F31F7F" w14:paraId="267C460A" w14:textId="77777777">
      <w:r>
        <w:continuationSeparator/>
      </w:r>
    </w:p>
  </w:footnote>
  <w:footnote w:id="2">
    <w:p w:rsidR="003C2E3B" w14:paraId="01BFAE50" w14:textId="246A4CEC">
      <w:pPr>
        <w:pStyle w:val="FootnoteText"/>
      </w:pPr>
      <w:r>
        <w:rPr>
          <w:rStyle w:val="FootnoteReference"/>
        </w:rPr>
        <w:footnoteRef/>
      </w:r>
      <w:r>
        <w:t xml:space="preserve"> </w:t>
      </w:r>
      <w:r w:rsidRPr="003C2E3B">
        <w:t>https://www.commerce.gov/node/4986</w:t>
      </w:r>
    </w:p>
  </w:footnote>
  <w:footnote w:id="3">
    <w:p w:rsidR="003C2E3B" w14:paraId="69ABC475" w14:textId="1716419C">
      <w:pPr>
        <w:pStyle w:val="FootnoteText"/>
      </w:pPr>
      <w:r>
        <w:rPr>
          <w:rStyle w:val="FootnoteReference"/>
        </w:rPr>
        <w:footnoteRef/>
      </w:r>
      <w:r>
        <w:t xml:space="preserve"> </w:t>
      </w:r>
      <w:r w:rsidRPr="003C2E3B">
        <w:t>https://www.commerce.gov/sites/default/files/2025-10/NOAA4000%20PIA%20FY25%20SAOP%20Approved.pdf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C55E49"/>
    <w:multiLevelType w:val="multilevel"/>
    <w:tmpl w:val="65E68F78"/>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
    <w:nsid w:val="0ACC77AF"/>
    <w:multiLevelType w:val="multilevel"/>
    <w:tmpl w:val="9D80AF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0E2B3ACB"/>
    <w:multiLevelType w:val="multilevel"/>
    <w:tmpl w:val="7DC08CAE"/>
    <w:lvl w:ilvl="0">
      <w:start w:val="1"/>
      <w:numFmt w:val="lowerLetter"/>
      <w:lvlText w:val="(%1)"/>
      <w:lvlJc w:val="left"/>
      <w:pPr>
        <w:ind w:left="1839" w:hanging="720"/>
      </w:pPr>
      <w:rPr>
        <w:rFonts w:ascii="Arial" w:eastAsia="Arial" w:hAnsi="Arial" w:cs="Arial"/>
        <w:color w:val="2F5496"/>
        <w:sz w:val="22"/>
        <w:szCs w:val="22"/>
      </w:rPr>
    </w:lvl>
    <w:lvl w:ilvl="1">
      <w:start w:val="1"/>
      <w:numFmt w:val="bullet"/>
      <w:lvlText w:val="•"/>
      <w:lvlJc w:val="left"/>
      <w:pPr>
        <w:ind w:left="2806" w:hanging="720"/>
      </w:pPr>
    </w:lvl>
    <w:lvl w:ilvl="2">
      <w:start w:val="1"/>
      <w:numFmt w:val="bullet"/>
      <w:lvlText w:val="•"/>
      <w:lvlJc w:val="left"/>
      <w:pPr>
        <w:ind w:left="3772" w:hanging="720"/>
      </w:pPr>
    </w:lvl>
    <w:lvl w:ilvl="3">
      <w:start w:val="1"/>
      <w:numFmt w:val="bullet"/>
      <w:lvlText w:val="•"/>
      <w:lvlJc w:val="left"/>
      <w:pPr>
        <w:ind w:left="4738" w:hanging="720"/>
      </w:pPr>
    </w:lvl>
    <w:lvl w:ilvl="4">
      <w:start w:val="1"/>
      <w:numFmt w:val="bullet"/>
      <w:lvlText w:val="•"/>
      <w:lvlJc w:val="left"/>
      <w:pPr>
        <w:ind w:left="5704" w:hanging="720"/>
      </w:pPr>
    </w:lvl>
    <w:lvl w:ilvl="5">
      <w:start w:val="1"/>
      <w:numFmt w:val="bullet"/>
      <w:lvlText w:val="•"/>
      <w:lvlJc w:val="left"/>
      <w:pPr>
        <w:ind w:left="6670" w:hanging="720"/>
      </w:pPr>
    </w:lvl>
    <w:lvl w:ilvl="6">
      <w:start w:val="1"/>
      <w:numFmt w:val="bullet"/>
      <w:lvlText w:val="•"/>
      <w:lvlJc w:val="left"/>
      <w:pPr>
        <w:ind w:left="7636" w:hanging="720"/>
      </w:pPr>
    </w:lvl>
    <w:lvl w:ilvl="7">
      <w:start w:val="1"/>
      <w:numFmt w:val="bullet"/>
      <w:lvlText w:val="•"/>
      <w:lvlJc w:val="left"/>
      <w:pPr>
        <w:ind w:left="8602" w:hanging="720"/>
      </w:pPr>
    </w:lvl>
    <w:lvl w:ilvl="8">
      <w:start w:val="1"/>
      <w:numFmt w:val="bullet"/>
      <w:lvlText w:val="•"/>
      <w:lvlJc w:val="left"/>
      <w:pPr>
        <w:ind w:left="9568" w:hanging="720"/>
      </w:pPr>
    </w:lvl>
  </w:abstractNum>
  <w:abstractNum w:abstractNumId="3">
    <w:nsid w:val="0F3A480F"/>
    <w:multiLevelType w:val="multilevel"/>
    <w:tmpl w:val="42983C5C"/>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4">
    <w:nsid w:val="15E644FD"/>
    <w:multiLevelType w:val="multilevel"/>
    <w:tmpl w:val="A34C3632"/>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5">
    <w:nsid w:val="19E87F0A"/>
    <w:multiLevelType w:val="multilevel"/>
    <w:tmpl w:val="CF64E394"/>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6">
    <w:nsid w:val="29CE0812"/>
    <w:multiLevelType w:val="multilevel"/>
    <w:tmpl w:val="AB4ACC08"/>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7">
    <w:nsid w:val="3F1C5C11"/>
    <w:multiLevelType w:val="multilevel"/>
    <w:tmpl w:val="67E43124"/>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8">
    <w:nsid w:val="42B73208"/>
    <w:multiLevelType w:val="multilevel"/>
    <w:tmpl w:val="1CC05970"/>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9">
    <w:nsid w:val="43B546BE"/>
    <w:multiLevelType w:val="multilevel"/>
    <w:tmpl w:val="73CA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69184F"/>
    <w:multiLevelType w:val="hybridMultilevel"/>
    <w:tmpl w:val="61AA208E"/>
    <w:lvl w:ilvl="0">
      <w:start w:val="1"/>
      <w:numFmt w:val="bullet"/>
      <w:lvlText w:val=""/>
      <w:lvlJc w:val="left"/>
      <w:pPr>
        <w:ind w:left="760" w:hanging="360"/>
      </w:pPr>
      <w:rPr>
        <w:rFonts w:ascii="Symbol" w:hAnsi="Symbol" w:hint="default"/>
        <w:w w:val="99"/>
        <w:lang w:val="en-US" w:eastAsia="en-US" w:bidi="en-US"/>
      </w:rPr>
    </w:lvl>
    <w:lvl w:ilvl="1">
      <w:start w:val="0"/>
      <w:numFmt w:val="bullet"/>
      <w:lvlText w:val=""/>
      <w:lvlJc w:val="left"/>
      <w:pPr>
        <w:ind w:left="1120" w:hanging="360"/>
      </w:pPr>
      <w:rPr>
        <w:rFonts w:ascii="Symbol" w:eastAsia="Symbol" w:hAnsi="Symbol" w:cs="Symbol" w:hint="default"/>
        <w:color w:val="auto"/>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1">
    <w:nsid w:val="4D4F23D4"/>
    <w:multiLevelType w:val="multilevel"/>
    <w:tmpl w:val="8FB0CFFA"/>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12">
    <w:nsid w:val="50D77FD1"/>
    <w:multiLevelType w:val="multilevel"/>
    <w:tmpl w:val="A282DBBE"/>
    <w:lvl w:ilvl="0">
      <w:start w:val="1"/>
      <w:numFmt w:val="bullet"/>
      <w:lvlText w:val="●"/>
      <w:lvlJc w:val="left"/>
      <w:pPr>
        <w:ind w:left="1120" w:hanging="360"/>
      </w:pPr>
      <w:rPr>
        <w:rFonts w:ascii="Noto Sans Symbols" w:eastAsia="Noto Sans Symbols" w:hAnsi="Noto Sans Symbols" w:cs="Noto Sans Symbols"/>
        <w:color w:val="2F5496"/>
        <w:sz w:val="20"/>
        <w:szCs w:val="20"/>
      </w:rPr>
    </w:lvl>
    <w:lvl w:ilvl="1">
      <w:start w:val="1"/>
      <w:numFmt w:val="bullet"/>
      <w:lvlText w:val="•"/>
      <w:lvlJc w:val="left"/>
      <w:pPr>
        <w:ind w:left="2158" w:hanging="360"/>
      </w:pPr>
    </w:lvl>
    <w:lvl w:ilvl="2">
      <w:start w:val="1"/>
      <w:numFmt w:val="bullet"/>
      <w:lvlText w:val="•"/>
      <w:lvlJc w:val="left"/>
      <w:pPr>
        <w:ind w:left="3196" w:hanging="360"/>
      </w:pPr>
    </w:lvl>
    <w:lvl w:ilvl="3">
      <w:start w:val="1"/>
      <w:numFmt w:val="bullet"/>
      <w:lvlText w:val="•"/>
      <w:lvlJc w:val="left"/>
      <w:pPr>
        <w:ind w:left="4234" w:hanging="360"/>
      </w:pPr>
    </w:lvl>
    <w:lvl w:ilvl="4">
      <w:start w:val="1"/>
      <w:numFmt w:val="bullet"/>
      <w:lvlText w:val="•"/>
      <w:lvlJc w:val="left"/>
      <w:pPr>
        <w:ind w:left="5272" w:hanging="360"/>
      </w:pPr>
    </w:lvl>
    <w:lvl w:ilvl="5">
      <w:start w:val="1"/>
      <w:numFmt w:val="bullet"/>
      <w:lvlText w:val="•"/>
      <w:lvlJc w:val="left"/>
      <w:pPr>
        <w:ind w:left="6310" w:hanging="360"/>
      </w:pPr>
    </w:lvl>
    <w:lvl w:ilvl="6">
      <w:start w:val="1"/>
      <w:numFmt w:val="bullet"/>
      <w:lvlText w:val="•"/>
      <w:lvlJc w:val="left"/>
      <w:pPr>
        <w:ind w:left="7348" w:hanging="360"/>
      </w:pPr>
    </w:lvl>
    <w:lvl w:ilvl="7">
      <w:start w:val="1"/>
      <w:numFmt w:val="bullet"/>
      <w:lvlText w:val="•"/>
      <w:lvlJc w:val="left"/>
      <w:pPr>
        <w:ind w:left="8386" w:hanging="360"/>
      </w:pPr>
    </w:lvl>
    <w:lvl w:ilvl="8">
      <w:start w:val="1"/>
      <w:numFmt w:val="bullet"/>
      <w:lvlText w:val="•"/>
      <w:lvlJc w:val="left"/>
      <w:pPr>
        <w:ind w:left="9424" w:hanging="360"/>
      </w:pPr>
    </w:lvl>
  </w:abstractNum>
  <w:abstractNum w:abstractNumId="13">
    <w:nsid w:val="56C511CF"/>
    <w:multiLevelType w:val="multilevel"/>
    <w:tmpl w:val="DBF4C6A6"/>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4">
    <w:nsid w:val="706E6C4A"/>
    <w:multiLevelType w:val="multilevel"/>
    <w:tmpl w:val="292602B6"/>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889922038">
    <w:abstractNumId w:val="0"/>
  </w:num>
  <w:num w:numId="2" w16cid:durableId="189148013">
    <w:abstractNumId w:val="4"/>
  </w:num>
  <w:num w:numId="3" w16cid:durableId="1582593776">
    <w:abstractNumId w:val="7"/>
  </w:num>
  <w:num w:numId="4" w16cid:durableId="580600622">
    <w:abstractNumId w:val="12"/>
  </w:num>
  <w:num w:numId="5" w16cid:durableId="756907146">
    <w:abstractNumId w:val="3"/>
  </w:num>
  <w:num w:numId="6" w16cid:durableId="1743916598">
    <w:abstractNumId w:val="2"/>
  </w:num>
  <w:num w:numId="7" w16cid:durableId="601571617">
    <w:abstractNumId w:val="5"/>
  </w:num>
  <w:num w:numId="8" w16cid:durableId="1209755300">
    <w:abstractNumId w:val="11"/>
  </w:num>
  <w:num w:numId="9" w16cid:durableId="275411013">
    <w:abstractNumId w:val="8"/>
  </w:num>
  <w:num w:numId="10" w16cid:durableId="821853172">
    <w:abstractNumId w:val="6"/>
  </w:num>
  <w:num w:numId="11" w16cid:durableId="525599883">
    <w:abstractNumId w:val="13"/>
  </w:num>
  <w:num w:numId="12" w16cid:durableId="635917278">
    <w:abstractNumId w:val="14"/>
  </w:num>
  <w:num w:numId="13" w16cid:durableId="401174424">
    <w:abstractNumId w:val="1"/>
  </w:num>
  <w:num w:numId="14" w16cid:durableId="384138503">
    <w:abstractNumId w:val="10"/>
  </w:num>
  <w:num w:numId="15" w16cid:durableId="4666289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0FA"/>
    <w:rsid w:val="00045B04"/>
    <w:rsid w:val="000636CA"/>
    <w:rsid w:val="000706CE"/>
    <w:rsid w:val="000A66D4"/>
    <w:rsid w:val="000A68B4"/>
    <w:rsid w:val="000B64C2"/>
    <w:rsid w:val="000E34AD"/>
    <w:rsid w:val="000F0F10"/>
    <w:rsid w:val="00101FB2"/>
    <w:rsid w:val="001049EF"/>
    <w:rsid w:val="00142440"/>
    <w:rsid w:val="00164601"/>
    <w:rsid w:val="0018263A"/>
    <w:rsid w:val="00190E19"/>
    <w:rsid w:val="00192247"/>
    <w:rsid w:val="001C3520"/>
    <w:rsid w:val="001D7575"/>
    <w:rsid w:val="001E7833"/>
    <w:rsid w:val="00203007"/>
    <w:rsid w:val="00244EDE"/>
    <w:rsid w:val="00254FEA"/>
    <w:rsid w:val="002557E0"/>
    <w:rsid w:val="00273CDD"/>
    <w:rsid w:val="002A1B23"/>
    <w:rsid w:val="002A7663"/>
    <w:rsid w:val="002A76DF"/>
    <w:rsid w:val="002C14CA"/>
    <w:rsid w:val="002D5F4E"/>
    <w:rsid w:val="002D5FA6"/>
    <w:rsid w:val="00300B6E"/>
    <w:rsid w:val="003C2E3B"/>
    <w:rsid w:val="00454A27"/>
    <w:rsid w:val="00533E65"/>
    <w:rsid w:val="00574B36"/>
    <w:rsid w:val="005A37A2"/>
    <w:rsid w:val="005C6580"/>
    <w:rsid w:val="006027F1"/>
    <w:rsid w:val="00633B71"/>
    <w:rsid w:val="006F0C59"/>
    <w:rsid w:val="006F6501"/>
    <w:rsid w:val="00720290"/>
    <w:rsid w:val="007B4893"/>
    <w:rsid w:val="0082262E"/>
    <w:rsid w:val="0085121C"/>
    <w:rsid w:val="008A0A71"/>
    <w:rsid w:val="008D75F7"/>
    <w:rsid w:val="0090532B"/>
    <w:rsid w:val="0096354B"/>
    <w:rsid w:val="0097742D"/>
    <w:rsid w:val="0099347A"/>
    <w:rsid w:val="009B66B9"/>
    <w:rsid w:val="009C4C70"/>
    <w:rsid w:val="009F044A"/>
    <w:rsid w:val="009F5312"/>
    <w:rsid w:val="00A06FE1"/>
    <w:rsid w:val="00A70D2D"/>
    <w:rsid w:val="00A83667"/>
    <w:rsid w:val="00A92B2F"/>
    <w:rsid w:val="00AD0FA9"/>
    <w:rsid w:val="00AD70B5"/>
    <w:rsid w:val="00AE5970"/>
    <w:rsid w:val="00B04FA7"/>
    <w:rsid w:val="00B12713"/>
    <w:rsid w:val="00B3371C"/>
    <w:rsid w:val="00B41253"/>
    <w:rsid w:val="00B73477"/>
    <w:rsid w:val="00B73B05"/>
    <w:rsid w:val="00B9583F"/>
    <w:rsid w:val="00BB70FA"/>
    <w:rsid w:val="00BD63A5"/>
    <w:rsid w:val="00C01972"/>
    <w:rsid w:val="00C32214"/>
    <w:rsid w:val="00C413CC"/>
    <w:rsid w:val="00C4699B"/>
    <w:rsid w:val="00C8178F"/>
    <w:rsid w:val="00CF5FD5"/>
    <w:rsid w:val="00D32A3F"/>
    <w:rsid w:val="00D46577"/>
    <w:rsid w:val="00D65EAB"/>
    <w:rsid w:val="00D741FB"/>
    <w:rsid w:val="00DB5A4E"/>
    <w:rsid w:val="00DC1653"/>
    <w:rsid w:val="00E1273F"/>
    <w:rsid w:val="00E233A2"/>
    <w:rsid w:val="00E4405C"/>
    <w:rsid w:val="00E53F12"/>
    <w:rsid w:val="00E73FCF"/>
    <w:rsid w:val="00E776F4"/>
    <w:rsid w:val="00E81A77"/>
    <w:rsid w:val="00E87EAE"/>
    <w:rsid w:val="00F04FD7"/>
    <w:rsid w:val="00F31F7F"/>
    <w:rsid w:val="00F51FB2"/>
    <w:rsid w:val="00F904A8"/>
    <w:rsid w:val="00FA29E0"/>
    <w:rsid w:val="00FA45B0"/>
    <w:rsid w:val="00FE5494"/>
    <w:rsid w:val="00FE6D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344C82"/>
  <w15:docId w15:val="{9E9EC306-2EA0-44AC-9EF1-F12D9780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Pr>
  </w:style>
  <w:style w:type="table" w:customStyle="1" w:styleId="a5">
    <w:name w:val="a5"/>
    <w:basedOn w:val="TableNormal"/>
    <w:tblPr>
      <w:tblStyleRowBandSize w:val="1"/>
      <w:tblStyleColBandSize w:val="1"/>
      <w:tblCellMar>
        <w:left w:w="0" w:type="dxa"/>
        <w:right w:w="0" w:type="dxa"/>
      </w:tblCellMar>
    </w:tblPr>
  </w:style>
  <w:style w:type="paragraph" w:styleId="CommentSubject">
    <w:name w:val="annotation subject"/>
    <w:basedOn w:val="CommentText"/>
    <w:next w:val="CommentText"/>
    <w:link w:val="CommentSubjectChar"/>
    <w:uiPriority w:val="99"/>
    <w:semiHidden/>
    <w:unhideWhenUsed/>
    <w:rsid w:val="00E87EAE"/>
    <w:pPr>
      <w:widowControl w:val="0"/>
      <w:spacing w:after="0"/>
      <w:ind w:left="0" w:firstLine="0"/>
    </w:pPr>
    <w:rPr>
      <w:b/>
      <w:bCs/>
      <w:color w:val="auto"/>
    </w:rPr>
  </w:style>
  <w:style w:type="character" w:customStyle="1" w:styleId="CommentSubjectChar">
    <w:name w:val="Comment Subject Char"/>
    <w:basedOn w:val="CommentTextChar"/>
    <w:link w:val="CommentSubject"/>
    <w:uiPriority w:val="99"/>
    <w:semiHidden/>
    <w:rsid w:val="00E87EAE"/>
    <w:rPr>
      <w:rFonts w:ascii="Arial" w:eastAsia="Arial" w:hAnsi="Arial" w:cs="Arial"/>
      <w:b/>
      <w:bCs/>
      <w:color w:val="2E5395"/>
      <w:sz w:val="20"/>
      <w:szCs w:val="20"/>
    </w:rPr>
  </w:style>
  <w:style w:type="character" w:styleId="UnresolvedMention">
    <w:name w:val="Unresolved Mention"/>
    <w:basedOn w:val="DefaultParagraphFont"/>
    <w:uiPriority w:val="99"/>
    <w:semiHidden/>
    <w:unhideWhenUsed/>
    <w:rsid w:val="00F04FD7"/>
    <w:rPr>
      <w:color w:val="605E5C"/>
      <w:shd w:val="clear" w:color="auto" w:fill="E1DFDD"/>
    </w:rPr>
  </w:style>
  <w:style w:type="paragraph" w:styleId="FootnoteText">
    <w:name w:val="footnote text"/>
    <w:basedOn w:val="Normal"/>
    <w:link w:val="FootnoteTextChar"/>
    <w:uiPriority w:val="99"/>
    <w:semiHidden/>
    <w:unhideWhenUsed/>
    <w:rsid w:val="003C2E3B"/>
    <w:rPr>
      <w:sz w:val="20"/>
      <w:szCs w:val="20"/>
    </w:rPr>
  </w:style>
  <w:style w:type="character" w:customStyle="1" w:styleId="FootnoteTextChar">
    <w:name w:val="Footnote Text Char"/>
    <w:basedOn w:val="DefaultParagraphFont"/>
    <w:link w:val="FootnoteText"/>
    <w:uiPriority w:val="99"/>
    <w:semiHidden/>
    <w:rsid w:val="003C2E3B"/>
    <w:rPr>
      <w:sz w:val="20"/>
      <w:szCs w:val="20"/>
    </w:rPr>
  </w:style>
  <w:style w:type="character" w:styleId="FootnoteReference">
    <w:name w:val="footnote reference"/>
    <w:basedOn w:val="DefaultParagraphFont"/>
    <w:uiPriority w:val="99"/>
    <w:semiHidden/>
    <w:unhideWhenUsed/>
    <w:rsid w:val="003C2E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ommerce.gov/sites/default/files/2025-10/NOAA4000%20PIA%20FY25%20SAOP%20Approved.pdf" TargetMode="External" /><Relationship Id="rId11" Type="http://schemas.openxmlformats.org/officeDocument/2006/relationships/footer" Target="footer1.xml" /><Relationship Id="rId12" Type="http://schemas.openxmlformats.org/officeDocument/2006/relationships/hyperlink" Target="https://data.bls.gov/oes/%23/area/0000000/2025" TargetMode="External" /><Relationship Id="rId13" Type="http://schemas.openxmlformats.org/officeDocument/2006/relationships/hyperlink" Target="https://www.commerce.gov/sites/default/files/2026-01/CAPS%20Standard%20Pay%20Tables%202026.pdf" TargetMode="External" /><Relationship Id="rId14" Type="http://schemas.openxmlformats.org/officeDocument/2006/relationships/hyperlink" Target="http://www.gpo.gov/fdsys/pkg/CFR-2014-title5-vol3/pdf/CFR-2014-title5-vol3-sec1320-9.pdf" TargetMode="External" /><Relationship Id="rId15" Type="http://schemas.openxmlformats.org/officeDocument/2006/relationships/hyperlink" Target="http://www.gpo.gov/fdsys/pkg/CFR-2014-title5-vol3/pdf/CFR-2014-title5-vol3-sec1320-8.pdf"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fisheries.noaa.gov/topic/laws-policies" TargetMode="External" /><Relationship Id="rId8" Type="http://schemas.openxmlformats.org/officeDocument/2006/relationships/hyperlink" Target="https://www.fisheries.noaa.gov/national/marine-mammal-protection/marine-mammal-authorization-program" TargetMode="External" /><Relationship Id="rId9" Type="http://schemas.openxmlformats.org/officeDocument/2006/relationships/hyperlink" Target="https://www.commerce.gov/node/4986"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0X+Rgwo6KWsEiVmTPx4tTOz3gw==">CgMxLjAyCGguZ2pkZ3hzOAByITF2d0x5V2xXM0pkNTI3MGcxN0tHcGVUQzVyZlZhMjZnZw==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661DD2-4B1D-4047-9F48-BC85B2E90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9</Pages>
  <Words>2989</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NOAA Fisheries</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6</cp:revision>
  <dcterms:created xsi:type="dcterms:W3CDTF">2026-09-15T17:53:00Z</dcterms:created>
  <dcterms:modified xsi:type="dcterms:W3CDTF">2026-09-15T22:03:00Z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