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DC3FDB" w:rsidP="005E0D0C" w14:paraId="0F99D2B8" w14:textId="77777777">
      <w:pPr>
        <w:pStyle w:val="Heading1"/>
        <w:spacing w:before="0"/>
        <w:ind w:left="0"/>
        <w:jc w:val="center"/>
      </w:pPr>
      <w:r>
        <w:t>SUPPORTING STATEMENT</w:t>
      </w:r>
    </w:p>
    <w:p w:rsidR="00DC3FDB" w:rsidP="005E0D0C" w14:paraId="1B35A394" w14:textId="77777777">
      <w:pPr>
        <w:ind w:firstLine="14"/>
        <w:jc w:val="center"/>
        <w:rPr>
          <w:b/>
          <w:bCs/>
        </w:rPr>
      </w:pPr>
      <w:r>
        <w:rPr>
          <w:b/>
          <w:bCs/>
        </w:rPr>
        <w:t>U.S. Department of Commerce</w:t>
      </w:r>
    </w:p>
    <w:p w:rsidR="00DC3FDB" w:rsidP="005E0D0C" w14:paraId="73D12A39" w14:textId="77777777">
      <w:pPr>
        <w:ind w:firstLine="14"/>
        <w:jc w:val="center"/>
        <w:rPr>
          <w:b/>
          <w:bCs/>
        </w:rPr>
      </w:pPr>
      <w:r>
        <w:rPr>
          <w:b/>
          <w:bCs/>
        </w:rPr>
        <w:t>National Oceanic &amp; Atmospheric Administration</w:t>
      </w:r>
    </w:p>
    <w:p w:rsidR="00F11866" w:rsidP="005E0D0C" w14:paraId="70C14A60" w14:textId="73D4E81C">
      <w:pPr>
        <w:ind w:hanging="6"/>
        <w:jc w:val="center"/>
        <w:rPr>
          <w:b/>
          <w:bCs/>
        </w:rPr>
      </w:pPr>
      <w:r w:rsidRPr="00F11866">
        <w:rPr>
          <w:b/>
          <w:bCs/>
        </w:rPr>
        <w:t xml:space="preserve">Permit and Reporting Requirements for Non-commercial Fishing in the Rose Atoll, Marianas Trench, and Pacific Remote Islands Marine National Monuments </w:t>
      </w:r>
    </w:p>
    <w:p w:rsidR="00DC3FDB" w:rsidP="005E0D0C" w14:paraId="522BA176" w14:textId="58D14E9A">
      <w:pPr>
        <w:ind w:hanging="6"/>
        <w:jc w:val="center"/>
        <w:rPr>
          <w:b/>
          <w:bCs/>
        </w:rPr>
      </w:pPr>
      <w:r>
        <w:rPr>
          <w:b/>
          <w:bCs/>
        </w:rPr>
        <w:t>OMB Control No. 0648-</w:t>
      </w:r>
      <w:r w:rsidRPr="001A1201" w:rsidR="001A1201">
        <w:rPr>
          <w:b/>
          <w:bCs/>
        </w:rPr>
        <w:t>0664</w:t>
      </w:r>
    </w:p>
    <w:p w:rsidR="00DC3FDB" w:rsidP="005E0D0C" w14:paraId="6EDE1537" w14:textId="77777777">
      <w:pPr>
        <w:pBdr>
          <w:top w:val="nil"/>
          <w:left w:val="nil"/>
          <w:bottom w:val="nil"/>
          <w:right w:val="nil"/>
          <w:between w:val="nil"/>
        </w:pBdr>
        <w:spacing w:before="240"/>
        <w:jc w:val="center"/>
        <w:rPr>
          <w:b/>
          <w:bCs/>
          <w:color w:val="000000"/>
        </w:rPr>
      </w:pPr>
    </w:p>
    <w:p w:rsidR="004B34DE" w:rsidP="005E0D0C" w14:paraId="2CC19242" w14:textId="44B45FBE">
      <w:pPr>
        <w:spacing w:before="240"/>
        <w:rPr>
          <w:b/>
          <w:bCs/>
          <w:color w:val="2F5496"/>
          <w:u w:val="single"/>
        </w:rPr>
      </w:pPr>
      <w:r>
        <w:rPr>
          <w:b/>
          <w:bCs/>
          <w:color w:val="000000"/>
        </w:rPr>
        <w:t>Abstract</w:t>
      </w:r>
    </w:p>
    <w:p w:rsidR="002024F4" w:rsidRPr="002024F4" w:rsidP="005E0D0C" w14:paraId="1A6C5B55" w14:textId="00D950B5">
      <w:pPr>
        <w:spacing w:before="240"/>
      </w:pPr>
      <w:r>
        <w:t>This is a request for</w:t>
      </w:r>
      <w:r w:rsidR="004B34DE">
        <w:t xml:space="preserve"> an extension </w:t>
      </w:r>
      <w:r w:rsidR="00E416F9">
        <w:t xml:space="preserve">of a current information collection. There are no changes or revisions to the collection. </w:t>
      </w:r>
      <w:r w:rsidRPr="00F11866" w:rsidR="00E416F9">
        <w:t xml:space="preserve">NMFS manages non-commercial fishing activities in the Rose Atoll, Marianas Trench, and Pacific Remote Islands Marine National Monuments. Regulations </w:t>
      </w:r>
      <w:r w:rsidR="00E416F9">
        <w:rPr>
          <w:color w:val="000000"/>
        </w:rPr>
        <w:t xml:space="preserve">at </w:t>
      </w:r>
      <w:hyperlink r:id="rId7" w:history="1">
        <w:r w:rsidRPr="00263DAF" w:rsidR="00E416F9">
          <w:rPr>
            <w:rStyle w:val="Hyperlink"/>
          </w:rPr>
          <w:t>50 CFR Part 665</w:t>
        </w:r>
      </w:hyperlink>
      <w:r>
        <w:rPr>
          <w:rStyle w:val="FootnoteReference"/>
          <w:color w:val="0000FF" w:themeColor="hyperlink"/>
          <w:u w:val="single"/>
        </w:rPr>
        <w:footnoteReference w:id="2"/>
      </w:r>
      <w:r w:rsidR="00E416F9">
        <w:rPr>
          <w:rStyle w:val="Hyperlink"/>
        </w:rPr>
        <w:t xml:space="preserve"> </w:t>
      </w:r>
      <w:r w:rsidRPr="00F11866" w:rsidR="00E416F9">
        <w:t>require the owner and operator of a vessel used to non-commercially fish for, take, retain, or possess any management unit species in these monuments to hold a valid permit issued by N</w:t>
      </w:r>
      <w:r>
        <w:t xml:space="preserve">ational </w:t>
      </w:r>
      <w:r w:rsidRPr="00F11866" w:rsidR="00E416F9">
        <w:t>M</w:t>
      </w:r>
      <w:r>
        <w:t xml:space="preserve">arine </w:t>
      </w:r>
      <w:r w:rsidRPr="00F11866" w:rsidR="00E416F9">
        <w:t>F</w:t>
      </w:r>
      <w:r>
        <w:t xml:space="preserve">isheries </w:t>
      </w:r>
      <w:r w:rsidRPr="00F11866" w:rsidR="00E416F9">
        <w:t>S</w:t>
      </w:r>
      <w:r>
        <w:t>ervice (NMFS)</w:t>
      </w:r>
      <w:r w:rsidRPr="00F11866" w:rsidR="00E416F9">
        <w:t xml:space="preserve">. </w:t>
      </w:r>
      <w:r w:rsidRPr="002024F4" w:rsidR="00E416F9">
        <w:t>The permit application collects basic information about the permit applicant, type of operation, vessel, and permit area</w:t>
      </w:r>
      <w:r w:rsidR="00E416F9">
        <w:t xml:space="preserve"> to </w:t>
      </w:r>
      <w:r w:rsidRPr="002024F4" w:rsidR="00E416F9">
        <w:rPr>
          <w:color w:val="222222"/>
        </w:rPr>
        <w:t>confirm the identity of the applicant</w:t>
      </w:r>
      <w:r w:rsidR="00E416F9">
        <w:rPr>
          <w:color w:val="222222"/>
        </w:rPr>
        <w:t xml:space="preserve"> and</w:t>
      </w:r>
      <w:r w:rsidRPr="002024F4" w:rsidR="00E416F9">
        <w:rPr>
          <w:color w:val="222222"/>
        </w:rPr>
        <w:t xml:space="preserve"> determine permit eligibility</w:t>
      </w:r>
      <w:r w:rsidR="00E416F9">
        <w:rPr>
          <w:color w:val="222222"/>
        </w:rPr>
        <w:t xml:space="preserve">. </w:t>
      </w:r>
      <w:r w:rsidRPr="000167A1" w:rsidR="00E416F9">
        <w:t>Regulations also require the vessel operator to report a complete record of catch, effort, and other data on a NMFS</w:t>
      </w:r>
      <w:r w:rsidR="00E416F9">
        <w:t xml:space="preserve"> log sheet</w:t>
      </w:r>
      <w:r w:rsidRPr="000167A1" w:rsidR="00E416F9">
        <w:t>.</w:t>
      </w:r>
      <w:r w:rsidR="00E416F9">
        <w:t xml:space="preserve"> </w:t>
      </w:r>
      <w:r w:rsidR="00E416F9">
        <w:rPr>
          <w:color w:val="222222"/>
        </w:rPr>
        <w:t xml:space="preserve">This information collection is required </w:t>
      </w:r>
      <w:r w:rsidRPr="002024F4" w:rsidR="00E416F9">
        <w:rPr>
          <w:color w:val="222222"/>
        </w:rPr>
        <w:t>to monitor fishing to determine whether changes in management are</w:t>
      </w:r>
      <w:r w:rsidRPr="002024F4" w:rsidR="00E416F9">
        <w:t xml:space="preserve"> </w:t>
      </w:r>
      <w:r w:rsidRPr="002024F4" w:rsidR="00E416F9">
        <w:rPr>
          <w:color w:val="222222"/>
        </w:rPr>
        <w:t>needed to sustain the productivity of the stocks or to address economic issues.</w:t>
      </w:r>
      <w:r w:rsidR="00E416F9">
        <w:rPr>
          <w:color w:val="222222"/>
        </w:rPr>
        <w:t xml:space="preserve"> </w:t>
      </w:r>
    </w:p>
    <w:p w:rsidR="00DC3FDB" w:rsidP="005E0D0C" w14:paraId="2395DE44" w14:textId="77777777">
      <w:pPr>
        <w:pStyle w:val="Heading1"/>
        <w:spacing w:before="240"/>
        <w:ind w:left="0"/>
      </w:pPr>
      <w:r>
        <w:t>Justification</w:t>
      </w:r>
    </w:p>
    <w:p w:rsidR="00DC3FDB" w:rsidP="005E0D0C" w14:paraId="477C9651" w14:textId="77777777">
      <w:pPr>
        <w:numPr>
          <w:ilvl w:val="0"/>
          <w:numId w:val="9"/>
        </w:numPr>
        <w:pBdr>
          <w:top w:val="nil"/>
          <w:left w:val="nil"/>
          <w:bottom w:val="nil"/>
          <w:right w:val="nil"/>
          <w:between w:val="nil"/>
        </w:pBdr>
        <w:tabs>
          <w:tab w:val="left" w:pos="360"/>
        </w:tabs>
        <w:spacing w:before="240"/>
        <w:ind w:left="0" w:firstLine="0"/>
        <w:rPr>
          <w:b/>
          <w:bCs/>
          <w:color w:val="000000"/>
        </w:rPr>
      </w:pPr>
      <w:r>
        <w:rPr>
          <w:b/>
          <w:bCs/>
          <w:color w:val="000000"/>
        </w:rPr>
        <w:t>Explain the circumstances that make the collection of information necessary. Identify any legal or administrative requirements that necessitate the collection. Attach a copy of the appropriate section of each statute and regulation mandating or authorizing the collection of information.</w:t>
      </w:r>
    </w:p>
    <w:p w:rsidR="00E416F9" w:rsidRPr="00E416F9" w:rsidP="00E416F9" w14:paraId="45968AAA" w14:textId="77777777">
      <w:pPr>
        <w:pBdr>
          <w:top w:val="nil"/>
          <w:left w:val="nil"/>
          <w:bottom w:val="nil"/>
          <w:right w:val="nil"/>
          <w:between w:val="nil"/>
        </w:pBdr>
        <w:spacing w:before="240"/>
        <w:rPr>
          <w:color w:val="000000"/>
        </w:rPr>
      </w:pPr>
      <w:r w:rsidRPr="00E416F9">
        <w:rPr>
          <w:color w:val="000000"/>
        </w:rPr>
        <w:t xml:space="preserve">Under </w:t>
      </w:r>
      <w:hyperlink r:id="rId7" w:history="1">
        <w:r w:rsidRPr="00E416F9">
          <w:rPr>
            <w:rStyle w:val="Hyperlink"/>
          </w:rPr>
          <w:t>50 CFR Part 665</w:t>
        </w:r>
      </w:hyperlink>
      <w:r w:rsidRPr="00E416F9">
        <w:rPr>
          <w:color w:val="000000"/>
        </w:rPr>
        <w:t>, NOAA’s National Marine Fisheries Service (NMFS) oversees non-commercial fishing operations within the Rose Atoll, Marianas Trench, and Pacific Remote Islands Marine National Monuments. These regulatory frameworks are detailed in 50 CFR §§ 665.905 (Marianas Trench), 665.935 (Pacific Remote Islands), and 665.965 (Rose Atoll), alongside general permitting and reporting criteria in §§ 665.13 and 665.14.</w:t>
      </w:r>
    </w:p>
    <w:p w:rsidR="00E416F9" w:rsidRPr="00E416F9" w:rsidP="00E416F9" w14:paraId="3B528628" w14:textId="77777777">
      <w:pPr>
        <w:pBdr>
          <w:top w:val="nil"/>
          <w:left w:val="nil"/>
          <w:bottom w:val="nil"/>
          <w:right w:val="nil"/>
          <w:between w:val="nil"/>
        </w:pBdr>
        <w:spacing w:before="240"/>
        <w:rPr>
          <w:b/>
          <w:bCs/>
          <w:i/>
          <w:iCs/>
          <w:color w:val="000000"/>
        </w:rPr>
      </w:pPr>
      <w:r w:rsidRPr="00E416F9">
        <w:rPr>
          <w:i/>
          <w:iCs/>
          <w:color w:val="000000"/>
        </w:rPr>
        <w:t>Permitting Requirements</w:t>
      </w:r>
    </w:p>
    <w:p w:rsidR="00E416F9" w:rsidRPr="00E416F9" w:rsidP="00E416F9" w14:paraId="67F183AC" w14:textId="77777777">
      <w:pPr>
        <w:pBdr>
          <w:top w:val="nil"/>
          <w:left w:val="nil"/>
          <w:bottom w:val="nil"/>
          <w:right w:val="nil"/>
          <w:between w:val="nil"/>
        </w:pBdr>
        <w:spacing w:before="240"/>
        <w:rPr>
          <w:color w:val="000000"/>
        </w:rPr>
      </w:pPr>
      <w:r w:rsidRPr="00E416F9">
        <w:rPr>
          <w:color w:val="000000"/>
        </w:rPr>
        <w:t>A valid NMFS-issued permit is required for any vessel owner and operator engaging in non-commercial fishing to catch, keep, or possess management unit species in these protected areas. Similarly, owners and operators of charter vessels conducting recreational fishing for these species must maintain a valid NMFS permit. Key requirements include:</w:t>
      </w:r>
    </w:p>
    <w:p w:rsidR="00E416F9" w:rsidRPr="00E416F9" w:rsidP="00E416F9" w14:paraId="375540D7" w14:textId="77777777">
      <w:pPr>
        <w:numPr>
          <w:ilvl w:val="0"/>
          <w:numId w:val="17"/>
        </w:numPr>
        <w:pBdr>
          <w:top w:val="nil"/>
          <w:left w:val="nil"/>
          <w:bottom w:val="nil"/>
          <w:right w:val="nil"/>
          <w:between w:val="nil"/>
        </w:pBdr>
        <w:spacing w:before="60" w:after="60"/>
        <w:rPr>
          <w:color w:val="000000"/>
        </w:rPr>
      </w:pPr>
      <w:r w:rsidRPr="00E416F9">
        <w:rPr>
          <w:color w:val="000000"/>
        </w:rPr>
        <w:t>The fishing vessel must be formally registered under the permit.</w:t>
      </w:r>
    </w:p>
    <w:p w:rsidR="00E416F9" w:rsidRPr="00E416F9" w:rsidP="00E416F9" w14:paraId="5CA54C66" w14:textId="77777777">
      <w:pPr>
        <w:numPr>
          <w:ilvl w:val="0"/>
          <w:numId w:val="17"/>
        </w:numPr>
        <w:pBdr>
          <w:top w:val="nil"/>
          <w:left w:val="nil"/>
          <w:bottom w:val="nil"/>
          <w:right w:val="nil"/>
          <w:between w:val="nil"/>
        </w:pBdr>
        <w:spacing w:before="60" w:after="60"/>
        <w:rPr>
          <w:color w:val="000000"/>
        </w:rPr>
      </w:pPr>
      <w:r w:rsidRPr="00E416F9">
        <w:rPr>
          <w:color w:val="000000"/>
        </w:rPr>
        <w:t>Charter businesses must maintain legal establishment within their operational permit area.</w:t>
      </w:r>
    </w:p>
    <w:p w:rsidR="00E416F9" w:rsidRPr="00E416F9" w:rsidP="00E416F9" w14:paraId="4C70CC28" w14:textId="77777777">
      <w:pPr>
        <w:numPr>
          <w:ilvl w:val="0"/>
          <w:numId w:val="17"/>
        </w:numPr>
        <w:pBdr>
          <w:top w:val="nil"/>
          <w:left w:val="nil"/>
          <w:bottom w:val="nil"/>
          <w:right w:val="nil"/>
          <w:between w:val="nil"/>
        </w:pBdr>
        <w:spacing w:before="60" w:after="60"/>
        <w:rPr>
          <w:color w:val="000000"/>
        </w:rPr>
      </w:pPr>
      <w:r w:rsidRPr="00E416F9">
        <w:rPr>
          <w:color w:val="000000"/>
        </w:rPr>
        <w:t>Individual clients on charter vessels are exempt from permit requirements.</w:t>
      </w:r>
    </w:p>
    <w:p w:rsidR="00E416F9" w:rsidRPr="00E416F9" w:rsidP="00E416F9" w14:paraId="1E54F1FA" w14:textId="77777777">
      <w:pPr>
        <w:pBdr>
          <w:top w:val="nil"/>
          <w:left w:val="nil"/>
          <w:bottom w:val="nil"/>
          <w:right w:val="nil"/>
          <w:between w:val="nil"/>
        </w:pBdr>
        <w:spacing w:before="240"/>
        <w:rPr>
          <w:b/>
          <w:bCs/>
          <w:i/>
          <w:iCs/>
          <w:color w:val="000000"/>
        </w:rPr>
      </w:pPr>
      <w:r w:rsidRPr="00E416F9">
        <w:rPr>
          <w:i/>
          <w:iCs/>
          <w:color w:val="000000"/>
        </w:rPr>
        <w:t>Permit Application &amp; Purpose</w:t>
      </w:r>
    </w:p>
    <w:p w:rsidR="00E416F9" w:rsidRPr="00E416F9" w:rsidP="00E416F9" w14:paraId="3BD3B653" w14:textId="77777777">
      <w:pPr>
        <w:pBdr>
          <w:top w:val="nil"/>
          <w:left w:val="nil"/>
          <w:bottom w:val="nil"/>
          <w:right w:val="nil"/>
          <w:between w:val="nil"/>
        </w:pBdr>
        <w:spacing w:before="240"/>
        <w:rPr>
          <w:color w:val="000000"/>
        </w:rPr>
      </w:pPr>
      <w:r w:rsidRPr="00E416F9">
        <w:rPr>
          <w:color w:val="000000"/>
        </w:rPr>
        <w:t>Applicants must supply basic details regarding the operator, vessel, operational type, and designated permit area. NMFS utilizes these submissions to verify applicant identity and assess eligibility. Beyond qualification, this data offers crucial insights into fishery dynamics and participant demographics while reinforcing enforcement of monument fishing regulations.</w:t>
      </w:r>
    </w:p>
    <w:p w:rsidR="00E416F9" w:rsidRPr="00E416F9" w:rsidP="00E416F9" w14:paraId="440651F6" w14:textId="77777777">
      <w:pPr>
        <w:pBdr>
          <w:top w:val="nil"/>
          <w:left w:val="nil"/>
          <w:bottom w:val="nil"/>
          <w:right w:val="nil"/>
          <w:between w:val="nil"/>
        </w:pBdr>
        <w:spacing w:before="240"/>
        <w:rPr>
          <w:b/>
          <w:bCs/>
          <w:i/>
          <w:iCs/>
          <w:color w:val="000000"/>
        </w:rPr>
      </w:pPr>
      <w:r w:rsidRPr="00E416F9">
        <w:rPr>
          <w:i/>
          <w:iCs/>
          <w:color w:val="000000"/>
        </w:rPr>
        <w:t>Log Sheet Reporting Mandatory Rules</w:t>
      </w:r>
    </w:p>
    <w:p w:rsidR="00E416F9" w:rsidRPr="00E416F9" w:rsidP="00E416F9" w14:paraId="418332F8" w14:textId="77777777">
      <w:pPr>
        <w:pBdr>
          <w:top w:val="nil"/>
          <w:left w:val="nil"/>
          <w:bottom w:val="nil"/>
          <w:right w:val="nil"/>
          <w:between w:val="nil"/>
        </w:pBdr>
        <w:spacing w:before="240"/>
        <w:rPr>
          <w:color w:val="000000"/>
        </w:rPr>
      </w:pPr>
      <w:r w:rsidRPr="00E416F9">
        <w:rPr>
          <w:color w:val="000000"/>
        </w:rPr>
        <w:t>Vessel operators are mandated to document comprehensive catch, effort, and associated data using official NMFS log sheets. Reporting obligations include:</w:t>
      </w:r>
    </w:p>
    <w:p w:rsidR="00E416F9" w:rsidRPr="00E416F9" w:rsidP="00E416F9" w14:paraId="61471D72" w14:textId="77777777">
      <w:pPr>
        <w:numPr>
          <w:ilvl w:val="0"/>
          <w:numId w:val="18"/>
        </w:numPr>
        <w:pBdr>
          <w:top w:val="nil"/>
          <w:left w:val="nil"/>
          <w:bottom w:val="nil"/>
          <w:right w:val="nil"/>
          <w:between w:val="nil"/>
        </w:pBdr>
        <w:spacing w:before="60" w:after="60"/>
        <w:rPr>
          <w:color w:val="000000"/>
        </w:rPr>
      </w:pPr>
      <w:r w:rsidRPr="00E416F9">
        <w:rPr>
          <w:color w:val="000000"/>
        </w:rPr>
        <w:t>Recording all mandatory information on log sheets within 24 hours of completing each fishing day.</w:t>
      </w:r>
    </w:p>
    <w:p w:rsidR="00E416F9" w:rsidRPr="00E416F9" w:rsidP="00E416F9" w14:paraId="004197F4" w14:textId="77777777">
      <w:pPr>
        <w:numPr>
          <w:ilvl w:val="0"/>
          <w:numId w:val="18"/>
        </w:numPr>
        <w:pBdr>
          <w:top w:val="nil"/>
          <w:left w:val="nil"/>
          <w:bottom w:val="nil"/>
          <w:right w:val="nil"/>
          <w:between w:val="nil"/>
        </w:pBdr>
        <w:spacing w:before="60" w:after="60"/>
        <w:rPr>
          <w:color w:val="000000"/>
        </w:rPr>
      </w:pPr>
      <w:r w:rsidRPr="00E416F9">
        <w:rPr>
          <w:color w:val="000000"/>
        </w:rPr>
        <w:t>Signing, dating, and submitting the completed log sheets to NMFS within 30 days after a fishing trip concludes.</w:t>
      </w:r>
    </w:p>
    <w:p w:rsidR="00E416F9" w:rsidRPr="00E416F9" w:rsidP="00E416F9" w14:paraId="6F6F1094" w14:textId="77777777">
      <w:pPr>
        <w:pBdr>
          <w:top w:val="nil"/>
          <w:left w:val="nil"/>
          <w:bottom w:val="nil"/>
          <w:right w:val="nil"/>
          <w:between w:val="nil"/>
        </w:pBdr>
        <w:spacing w:before="240"/>
        <w:rPr>
          <w:color w:val="000000"/>
        </w:rPr>
      </w:pPr>
      <w:r w:rsidRPr="00E416F9">
        <w:rPr>
          <w:color w:val="000000"/>
        </w:rPr>
        <w:t>Log sheet data allows NMFS to track fishing activity, evaluate fish stock health, and implement necessary management updates to safeguard marine resources and ensure long-term fishery productivity.</w:t>
      </w:r>
    </w:p>
    <w:p w:rsidR="006F328C" w:rsidRPr="00263DAF" w:rsidP="005E0D0C" w14:paraId="6EB76A6D" w14:textId="77777777">
      <w:pPr>
        <w:pBdr>
          <w:top w:val="nil"/>
          <w:left w:val="nil"/>
          <w:bottom w:val="nil"/>
          <w:right w:val="nil"/>
          <w:between w:val="nil"/>
        </w:pBdr>
        <w:spacing w:before="240"/>
        <w:rPr>
          <w:color w:val="000000"/>
        </w:rPr>
      </w:pPr>
    </w:p>
    <w:p w:rsidR="00DC3FDB" w:rsidP="005E0D0C" w14:paraId="6BA00C2B" w14:textId="60DEDEFA">
      <w:pPr>
        <w:pStyle w:val="Heading1"/>
        <w:numPr>
          <w:ilvl w:val="0"/>
          <w:numId w:val="9"/>
        </w:numPr>
        <w:tabs>
          <w:tab w:val="left" w:pos="360"/>
        </w:tabs>
        <w:spacing w:before="240"/>
        <w:ind w:left="0" w:firstLine="0"/>
      </w:pPr>
      <w:r>
        <w:t>Indicate how, by whom, and for what purpose the information is to be used. Except for a new collection, indicate the actual use the agency has made of the information received from the current collection.</w:t>
      </w:r>
    </w:p>
    <w:p w:rsidR="00E416F9" w:rsidRPr="00E416F9" w:rsidP="00E416F9" w14:paraId="7436F0B8" w14:textId="77777777">
      <w:pPr>
        <w:pStyle w:val="NormalWeb"/>
        <w:spacing w:before="240" w:beforeAutospacing="0" w:after="0" w:afterAutospacing="0"/>
      </w:pPr>
      <w:r w:rsidRPr="00E416F9">
        <w:rPr>
          <w:i/>
          <w:iCs/>
          <w:color w:val="000000"/>
        </w:rPr>
        <w:t>Permits</w:t>
      </w:r>
    </w:p>
    <w:p w:rsidR="00E416F9" w:rsidRPr="00E416F9" w:rsidP="00E416F9" w14:paraId="7ABDB914" w14:textId="6A0A8003">
      <w:pPr>
        <w:pStyle w:val="NormalWeb"/>
        <w:spacing w:before="240" w:beforeAutospacing="0" w:after="0" w:afterAutospacing="0"/>
      </w:pPr>
      <w:r w:rsidRPr="00E416F9">
        <w:rPr>
          <w:color w:val="000000"/>
        </w:rPr>
        <w:t xml:space="preserve">NMFS collects applicant and vessel information on permit applications under the authority of the </w:t>
      </w:r>
      <w:hyperlink r:id="rId8" w:history="1">
        <w:r w:rsidRPr="008C2376">
          <w:rPr>
            <w:rStyle w:val="Hyperlink"/>
          </w:rPr>
          <w:t>Magnuson-Stevens Fishery Conservation and Management Act</w:t>
        </w:r>
      </w:hyperlink>
      <w:r>
        <w:rPr>
          <w:rStyle w:val="FootnoteReference"/>
          <w:color w:val="000000"/>
        </w:rPr>
        <w:footnoteReference w:id="3"/>
      </w:r>
      <w:r w:rsidRPr="00E416F9">
        <w:rPr>
          <w:color w:val="000000"/>
        </w:rPr>
        <w:t xml:space="preserve"> (16 U.S.C. 1801 et seq.). Applicable regulations for each Monument are detailed under 50 CFR § 665.905. Issued permits are valid for one year. Application details allow NMFS to verify an applicant's identity and eligibility, while vessel documentation and registration details confirm U.S. vessel ownership. NMFS may share this information with the NOAA Office of Law Enforcement (OLE), the U.S. Coast Guard (USCG), and the Western Pacific Fishery Management Council. Private information is kept confidential and only released in aggregate or non-confidential formats.</w:t>
      </w:r>
    </w:p>
    <w:p w:rsidR="00E416F9" w:rsidRPr="00E416F9" w:rsidP="00E416F9" w14:paraId="5B722661" w14:textId="77777777">
      <w:pPr>
        <w:pStyle w:val="NormalWeb"/>
        <w:spacing w:before="240" w:beforeAutospacing="0" w:after="0" w:afterAutospacing="0"/>
      </w:pPr>
      <w:r w:rsidRPr="00E416F9">
        <w:rPr>
          <w:i/>
          <w:iCs/>
          <w:color w:val="000000"/>
        </w:rPr>
        <w:t>Daily Fishing Log</w:t>
      </w:r>
    </w:p>
    <w:p w:rsidR="00E416F9" w:rsidRPr="00E416F9" w:rsidP="00E416F9" w14:paraId="453749A7" w14:textId="77777777">
      <w:pPr>
        <w:pStyle w:val="NormalWeb"/>
        <w:spacing w:before="240" w:beforeAutospacing="0" w:after="0" w:afterAutospacing="0"/>
      </w:pPr>
      <w:r w:rsidRPr="00E416F9">
        <w:rPr>
          <w:color w:val="000000"/>
        </w:rPr>
        <w:t xml:space="preserve">Vessel operators conducting non-commercial fishing in the Monuments must submit a completed Marine National Monument Daily Fishing Log to NMFS within 30 days of completing each trip. These log sheets provide essential data for NMFS and the Council to monitor fishing activities, evaluate stock health, and assess dependent fisheries. This information helps determine if management updates are necessary to maintain stock productivity or address economic concerns. </w:t>
      </w:r>
      <w:r w:rsidRPr="00E416F9">
        <w:rPr>
          <w:color w:val="000000"/>
        </w:rPr>
        <w:t>Without these reports, NMFS and the Council cannot evaluate whether the Monument management program meets the goals of the Magnuson-Stevens Act and Fishery Ecosystem Plans (FEP). Catch report data is also used by fishery and enforcement officials from NMFS, USCG, American Samoa, Guam, and the Commonwealth of the Northern Mariana Islands (CNMI) to ensure regulatory compliance.</w:t>
      </w:r>
    </w:p>
    <w:p w:rsidR="00DC3FDB" w:rsidP="005E0D0C" w14:paraId="75FFB7DE" w14:textId="77777777">
      <w:pPr>
        <w:pBdr>
          <w:top w:val="nil"/>
          <w:left w:val="nil"/>
          <w:bottom w:val="nil"/>
          <w:right w:val="nil"/>
          <w:between w:val="nil"/>
        </w:pBdr>
        <w:tabs>
          <w:tab w:val="left" w:pos="360"/>
        </w:tabs>
        <w:spacing w:before="240"/>
        <w:ind w:left="400"/>
        <w:rPr>
          <w:b/>
          <w:bCs/>
        </w:rPr>
      </w:pPr>
    </w:p>
    <w:p w:rsidR="00B44E2C" w:rsidRPr="00D74C90" w:rsidP="005E0D0C" w14:paraId="60D47F7E" w14:textId="3E1AD42C">
      <w:pPr>
        <w:numPr>
          <w:ilvl w:val="0"/>
          <w:numId w:val="9"/>
        </w:numPr>
        <w:pBdr>
          <w:top w:val="nil"/>
          <w:left w:val="nil"/>
          <w:bottom w:val="nil"/>
          <w:right w:val="nil"/>
          <w:between w:val="nil"/>
        </w:pBdr>
        <w:tabs>
          <w:tab w:val="left" w:pos="360"/>
        </w:tabs>
        <w:spacing w:before="240"/>
        <w:ind w:left="0" w:firstLine="0"/>
        <w:rPr>
          <w:b/>
          <w:bCs/>
          <w:color w:val="000000"/>
        </w:rPr>
      </w:pPr>
      <w:r>
        <w:rPr>
          <w:b/>
          <w:bCs/>
          <w:color w:val="000000"/>
        </w:rPr>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w:t>
      </w:r>
    </w:p>
    <w:p w:rsidR="00A61DCC" w:rsidP="005E0D0C" w14:paraId="07B4ABF5" w14:textId="52CD86FF">
      <w:pPr>
        <w:spacing w:before="240"/>
      </w:pPr>
      <w:r w:rsidRPr="007F058F">
        <w:t>Permit information will be gathered using fillable PDF application forms, accessible online at</w:t>
      </w:r>
      <w:hyperlink r:id="rId9" w:history="1">
        <w:r w:rsidRPr="007F058F">
          <w:rPr>
            <w:rStyle w:val="Hyperlink"/>
          </w:rPr>
          <w:t xml:space="preserve"> https://www.fisheries.noaa.gov/pacific-islands/resources-fishing/pacific-islands-fishing-permits</w:t>
        </w:r>
      </w:hyperlink>
      <w:r w:rsidRPr="007F058F">
        <w:t>. Completed applications must be transmitted electronically through a secure email portal (</w:t>
      </w:r>
      <w:hyperlink r:id="rId10" w:history="1">
        <w:r w:rsidRPr="007F058F">
          <w:rPr>
            <w:rStyle w:val="Hyperlink"/>
          </w:rPr>
          <w:t>https://www.fisheries.noaa.gov/pacific-islands/commercial-fishing/apply-pacific-islands-fishing-permit</w:t>
        </w:r>
      </w:hyperlink>
      <w:r w:rsidRPr="007F058F">
        <w:t>) to the Pacific Islands Regional Office. Daily fishing logbooks will be collected on paper forms mailed directly to the Pacific Islands Fisheries Science Center. To date, NMFS has not issued any permits under this information collection; as a result, no fishing logbooks have been submitted, and an electronic reporting system has not been established.</w:t>
      </w:r>
    </w:p>
    <w:p w:rsidR="007F058F" w:rsidRPr="00B44E2C" w:rsidP="005E0D0C" w14:paraId="24669651" w14:textId="77777777">
      <w:pPr>
        <w:spacing w:before="240"/>
      </w:pPr>
    </w:p>
    <w:p w:rsidR="00B44E2C" w:rsidRPr="00D74C90" w:rsidP="005E0D0C" w14:paraId="623E891D" w14:textId="1BDB4037">
      <w:pPr>
        <w:numPr>
          <w:ilvl w:val="0"/>
          <w:numId w:val="9"/>
        </w:numPr>
        <w:pBdr>
          <w:top w:val="nil"/>
          <w:left w:val="nil"/>
          <w:bottom w:val="nil"/>
          <w:right w:val="nil"/>
          <w:between w:val="nil"/>
        </w:pBdr>
        <w:tabs>
          <w:tab w:val="left" w:pos="360"/>
        </w:tabs>
        <w:spacing w:before="240"/>
        <w:ind w:left="0" w:firstLine="0"/>
        <w:rPr>
          <w:b/>
          <w:bCs/>
          <w:color w:val="000000"/>
        </w:rPr>
      </w:pPr>
      <w:r>
        <w:rPr>
          <w:b/>
          <w:bCs/>
          <w:color w:val="000000"/>
        </w:rPr>
        <w:t>Describe efforts to identify duplication. Show specifically why any similar information already available cannot be used or modified for use for the purposes described in Question 2</w:t>
      </w:r>
    </w:p>
    <w:p w:rsidR="007F058F" w:rsidRPr="007F058F" w:rsidP="007F058F" w14:paraId="70187BBF" w14:textId="77777777">
      <w:pPr>
        <w:pStyle w:val="NormalWeb"/>
        <w:spacing w:before="240" w:beforeAutospacing="0" w:after="0" w:afterAutospacing="0"/>
      </w:pPr>
      <w:r w:rsidRPr="007F058F">
        <w:rPr>
          <w:color w:val="000000"/>
        </w:rPr>
        <w:t>The proposed data collection activities do not duplicate existing efforts. Currently, no unified permit or catch reporting requirement exists for non-commercial fishing in American Samoa (Rose Atoll) or Guam and the Commonwealth of the Northern Mariana Islands (Marianas Trench). Existing NMFS requirements in these regions cover only specific species (e.g., lobsters), gear types (e.g., longline), or sectors (e.g., commercial). To prevent overlapping reporting burdens, this collection establishes a streamlined permit and reporting process for non-commercial fishing within the Federal waters of the Rose Atoll Monument and the Islands Unit of the Marianas Trench Monument, replacing standard regional requirements in those areas.</w:t>
      </w:r>
    </w:p>
    <w:p w:rsidR="007F058F" w:rsidRPr="007F058F" w:rsidP="007F058F" w14:paraId="76504B97" w14:textId="77777777">
      <w:pPr>
        <w:pStyle w:val="NormalWeb"/>
        <w:spacing w:before="240" w:beforeAutospacing="0" w:after="0" w:afterAutospacing="0"/>
      </w:pPr>
      <w:r w:rsidRPr="007F058F">
        <w:rPr>
          <w:color w:val="000000"/>
        </w:rPr>
        <w:t>In the Pacific Remote Islands Area (PRIA), NMFS avoids duplication by continuing to rely on existing permits and catch reporting previously approved under OMB Control Nos. 0648-0490 and 0648-0214. However, Presidential Proclamation 8336 authorized recreational fishing—including passenger-for-hire charter fishing—which was not covered under the original PRIA Fishery Ecosystem Plan or existing collections. Presidential Proclamation 11035 (June 11, 2026) pertains strictly to commercial fishing in Pacific Islands Region monuments and does not alter these non-commercial data collection activities. Consequently, this non-commercial permit and catch reporting process was specifically created to cover these previously unaddressed non-commercial charter and individual vessel activities without duplicating existing mechanisms.</w:t>
      </w:r>
    </w:p>
    <w:p w:rsidR="00A61DCC" w:rsidRPr="009303C0" w:rsidP="005E0D0C" w14:paraId="35AA4B6A" w14:textId="77777777">
      <w:pPr>
        <w:widowControl/>
        <w:spacing w:before="240"/>
      </w:pPr>
    </w:p>
    <w:p w:rsidR="009303C0" w:rsidRPr="00D236A6" w:rsidP="005E0D0C" w14:paraId="1CEFE9BB" w14:textId="00E4F8E1">
      <w:pPr>
        <w:numPr>
          <w:ilvl w:val="0"/>
          <w:numId w:val="9"/>
        </w:numPr>
        <w:pBdr>
          <w:top w:val="nil"/>
          <w:left w:val="nil"/>
          <w:bottom w:val="nil"/>
          <w:right w:val="nil"/>
          <w:between w:val="nil"/>
        </w:pBdr>
        <w:tabs>
          <w:tab w:val="left" w:pos="360"/>
        </w:tabs>
        <w:spacing w:before="240"/>
        <w:ind w:left="0" w:firstLine="0"/>
        <w:rPr>
          <w:b/>
          <w:bCs/>
          <w:color w:val="000000"/>
        </w:rPr>
      </w:pPr>
      <w:r>
        <w:rPr>
          <w:b/>
          <w:bCs/>
          <w:color w:val="000000"/>
        </w:rPr>
        <w:t>If the collection of information impacts small businesses or other small entities, describe any methods used to minimize burden.</w:t>
      </w:r>
    </w:p>
    <w:p w:rsidR="007F058F" w:rsidP="005E0D0C" w14:paraId="27E08059" w14:textId="77777777">
      <w:pPr>
        <w:widowControl/>
        <w:spacing w:before="240"/>
      </w:pPr>
      <w:r w:rsidRPr="007F058F">
        <w:t>Most charter boat vessels meet Small Business Administration criteria as small businesses with annual gross revenue under $11 million, only the absolute minimum required data is collected to fulfill statutory mandates. Furthermore, flexible reporting methods are provided to keep administrative burden to a minimum.</w:t>
      </w:r>
    </w:p>
    <w:p w:rsidR="009303C0" w:rsidRPr="00F34C1B" w:rsidP="005E0D0C" w14:paraId="7DF58E33" w14:textId="33C857E3">
      <w:pPr>
        <w:widowControl/>
        <w:spacing w:before="240"/>
        <w:rPr>
          <w:i/>
        </w:rPr>
      </w:pPr>
      <w:r w:rsidRPr="00F34C1B">
        <w:rPr>
          <w:i/>
        </w:rPr>
        <w:t>Permits</w:t>
      </w:r>
    </w:p>
    <w:p w:rsidR="009303C0" w:rsidRPr="00F34C1B" w:rsidP="005E0D0C" w14:paraId="505D47C4" w14:textId="77777777">
      <w:pPr>
        <w:widowControl/>
        <w:tabs>
          <w:tab w:val="left" w:pos="2160"/>
        </w:tabs>
        <w:spacing w:before="240"/>
        <w:rPr>
          <w:bCs/>
        </w:rPr>
      </w:pPr>
      <w:r w:rsidRPr="00F34C1B">
        <w:t xml:space="preserve">Federal Monument fishing permit applications </w:t>
      </w:r>
      <w:r>
        <w:t>are available online</w:t>
      </w:r>
      <w:r w:rsidRPr="00F34C1B">
        <w:t xml:space="preserve"> at </w:t>
      </w:r>
      <w:hyperlink r:id="rId9" w:history="1">
        <w:r>
          <w:rPr>
            <w:rStyle w:val="Hyperlink"/>
          </w:rPr>
          <w:t>https://www.fisheries.noaa.gov/pacific-islands/resources-fishing/pacific-islands-fishing-permits</w:t>
        </w:r>
      </w:hyperlink>
      <w:r w:rsidRPr="00F34C1B">
        <w:rPr>
          <w:bCs/>
        </w:rPr>
        <w:t xml:space="preserve">. Applications may be downloaded, printed, </w:t>
      </w:r>
      <w:r>
        <w:rPr>
          <w:bCs/>
        </w:rPr>
        <w:t xml:space="preserve">signed, </w:t>
      </w:r>
      <w:r w:rsidRPr="00F34C1B">
        <w:rPr>
          <w:bCs/>
        </w:rPr>
        <w:t xml:space="preserve">and then </w:t>
      </w:r>
      <w:r>
        <w:rPr>
          <w:bCs/>
        </w:rPr>
        <w:t>securely e</w:t>
      </w:r>
      <w:r w:rsidRPr="00F34C1B">
        <w:rPr>
          <w:bCs/>
        </w:rPr>
        <w:t>mailed to NMFS. Permits will be issued by N</w:t>
      </w:r>
      <w:r>
        <w:rPr>
          <w:bCs/>
        </w:rPr>
        <w:t>MFS and delivered via email as PDFs.</w:t>
      </w:r>
    </w:p>
    <w:p w:rsidR="009303C0" w:rsidRPr="00F34C1B" w:rsidP="005E0D0C" w14:paraId="2FC7918C" w14:textId="77777777">
      <w:pPr>
        <w:widowControl/>
        <w:spacing w:before="240"/>
        <w:rPr>
          <w:i/>
        </w:rPr>
      </w:pPr>
      <w:r>
        <w:rPr>
          <w:rFonts w:ascii="TimesNewRoman" w:hAnsi="TimesNewRoman" w:cs="TimesNewRoman"/>
          <w:i/>
        </w:rPr>
        <w:t>Daily Fishing Logs</w:t>
      </w:r>
    </w:p>
    <w:p w:rsidR="009303C0" w:rsidP="005E0D0C" w14:paraId="7B529C87" w14:textId="7F4A5B76">
      <w:pPr>
        <w:widowControl/>
        <w:spacing w:before="240"/>
      </w:pPr>
      <w:r>
        <w:rPr>
          <w:bCs/>
        </w:rPr>
        <w:t>NMFS will provide blank logbook</w:t>
      </w:r>
      <w:r w:rsidRPr="00F34C1B">
        <w:rPr>
          <w:bCs/>
        </w:rPr>
        <w:t xml:space="preserve"> report forms and instructions via U.S. mail </w:t>
      </w:r>
      <w:r>
        <w:rPr>
          <w:bCs/>
        </w:rPr>
        <w:t>or at Honolulu Service Center, whichever is more convenient for permit holders</w:t>
      </w:r>
      <w:r w:rsidRPr="00F34C1B">
        <w:rPr>
          <w:bCs/>
        </w:rPr>
        <w:t>. Fishermen may contact the Pacific Islands Fisheries Science Center</w:t>
      </w:r>
      <w:r>
        <w:t xml:space="preserve"> in Honolulu by email or phone</w:t>
      </w:r>
      <w:r w:rsidRPr="00F34C1B">
        <w:t xml:space="preserve"> for help in compl</w:t>
      </w:r>
      <w:r>
        <w:t>eting the monument log sheets</w:t>
      </w:r>
      <w:r w:rsidRPr="00F34C1B">
        <w:t>.</w:t>
      </w:r>
    </w:p>
    <w:p w:rsidR="00A61DCC" w:rsidRPr="00B922BD" w:rsidP="005E0D0C" w14:paraId="4CF968FE" w14:textId="77777777">
      <w:pPr>
        <w:widowControl/>
        <w:spacing w:before="240"/>
        <w:rPr>
          <w:bCs/>
        </w:rPr>
      </w:pPr>
    </w:p>
    <w:p w:rsidR="00DC3FDB" w:rsidP="005E0D0C" w14:paraId="4BD94E15" w14:textId="77777777">
      <w:pPr>
        <w:numPr>
          <w:ilvl w:val="0"/>
          <w:numId w:val="9"/>
        </w:numPr>
        <w:pBdr>
          <w:top w:val="nil"/>
          <w:left w:val="nil"/>
          <w:bottom w:val="nil"/>
          <w:right w:val="nil"/>
          <w:between w:val="nil"/>
        </w:pBdr>
        <w:tabs>
          <w:tab w:val="left" w:pos="360"/>
        </w:tabs>
        <w:spacing w:before="240"/>
        <w:ind w:left="0" w:firstLine="0"/>
        <w:rPr>
          <w:b/>
          <w:bCs/>
          <w:color w:val="000000"/>
        </w:rPr>
      </w:pPr>
      <w:r>
        <w:rPr>
          <w:b/>
          <w:bCs/>
          <w:color w:val="000000"/>
        </w:rPr>
        <w:t>Describe the consequence to Federal program or policy activities if the collection is not conducted or is conducted less frequently, as well as any technical or legal obstacles to reducing burden.</w:t>
      </w:r>
    </w:p>
    <w:p w:rsidR="009303C0" w:rsidRPr="00F34C1B" w:rsidP="005E0D0C" w14:paraId="7A11E55B" w14:textId="77777777">
      <w:pPr>
        <w:widowControl/>
        <w:spacing w:before="240"/>
        <w:rPr>
          <w:i/>
        </w:rPr>
      </w:pPr>
      <w:r w:rsidRPr="00F34C1B">
        <w:rPr>
          <w:i/>
        </w:rPr>
        <w:t>Permits</w:t>
      </w:r>
    </w:p>
    <w:p w:rsidR="007F058F" w:rsidP="005E0D0C" w14:paraId="502E03A8" w14:textId="77777777">
      <w:pPr>
        <w:widowControl/>
        <w:spacing w:before="240"/>
      </w:pPr>
      <w:r w:rsidRPr="007F058F">
        <w:t>Omitting or reducing the frequency of this data collection would compromise NMFS’s ability to ensure sustainable fishery management under the Magnuson-Stevens Act. Specifically, NMFS would lack the data required to assess eligibility for non-commercial fishing within the Monuments. Reduced collection frequency would also hinder efforts to monitor fishery operations, track participant entry and exit trends, oversight compliance, and conduct accurate impact assessments for management policies. Additionally, enforcement personnel would struggle to verify participating fishermen, and NMFS would lose a reliable channel to communicate regulatory updates to permit holders.</w:t>
      </w:r>
    </w:p>
    <w:p w:rsidR="009303C0" w:rsidRPr="00F34C1B" w:rsidP="005E0D0C" w14:paraId="00C3A545" w14:textId="5E6E7FE9">
      <w:pPr>
        <w:widowControl/>
        <w:spacing w:before="240"/>
        <w:rPr>
          <w:i/>
        </w:rPr>
      </w:pPr>
      <w:r>
        <w:rPr>
          <w:i/>
        </w:rPr>
        <w:t>Daily Fishing Logs</w:t>
      </w:r>
    </w:p>
    <w:p w:rsidR="001921DD" w:rsidP="005E0D0C" w14:paraId="50FF3C0D" w14:textId="47849070">
      <w:pPr>
        <w:widowControl/>
        <w:spacing w:before="240"/>
        <w:rPr>
          <w:rFonts w:ascii="TimesNewRoman" w:hAnsi="TimesNewRoman" w:cs="TimesNewRoman"/>
        </w:rPr>
      </w:pPr>
      <w:r w:rsidRPr="007F058F">
        <w:rPr>
          <w:rFonts w:ascii="TimesNewRoman" w:hAnsi="TimesNewRoman" w:cs="TimesNewRoman"/>
        </w:rPr>
        <w:t>Mandatory catch reporting delivers critical metrics on fishing effort and total harvest within Monument waters. This data is essential to maintaining long-term sustainability as mandated by the Magnuson-Stevens Act and the Presidential Proclamations governing the Monuments.</w:t>
      </w:r>
    </w:p>
    <w:p w:rsidR="007F058F" w:rsidRPr="00D74C90" w:rsidP="005E0D0C" w14:paraId="228542FF" w14:textId="77777777">
      <w:pPr>
        <w:widowControl/>
        <w:spacing w:before="240"/>
        <w:rPr>
          <w:rFonts w:ascii="TimesNewRoman" w:hAnsi="TimesNewRoman" w:cs="TimesNewRoman"/>
        </w:rPr>
      </w:pPr>
    </w:p>
    <w:p w:rsidR="00DC3FDB" w:rsidP="005E0D0C" w14:paraId="7C9B1E2B" w14:textId="77777777">
      <w:pPr>
        <w:numPr>
          <w:ilvl w:val="0"/>
          <w:numId w:val="9"/>
        </w:numPr>
        <w:pBdr>
          <w:top w:val="nil"/>
          <w:left w:val="nil"/>
          <w:bottom w:val="nil"/>
          <w:right w:val="nil"/>
          <w:between w:val="nil"/>
        </w:pBdr>
        <w:tabs>
          <w:tab w:val="left" w:pos="360"/>
        </w:tabs>
        <w:spacing w:before="240"/>
        <w:ind w:left="0" w:firstLine="0"/>
        <w:rPr>
          <w:b/>
          <w:bCs/>
          <w:color w:val="000000"/>
        </w:rPr>
      </w:pPr>
      <w:r>
        <w:rPr>
          <w:b/>
          <w:bCs/>
          <w:color w:val="000000"/>
        </w:rPr>
        <w:t>Explain any special circumstances that would cause an information collection to be conducted in a manner inconsistent with OMB guidelines.</w:t>
      </w:r>
    </w:p>
    <w:p w:rsidR="009303C0" w:rsidRPr="00D74C90" w:rsidP="005E0D0C" w14:paraId="04DE88BE" w14:textId="44DC77AC">
      <w:pPr>
        <w:pBdr>
          <w:top w:val="nil"/>
          <w:left w:val="nil"/>
          <w:bottom w:val="nil"/>
          <w:right w:val="nil"/>
          <w:between w:val="nil"/>
        </w:pBdr>
        <w:spacing w:before="240"/>
      </w:pPr>
      <w:r w:rsidRPr="00D74C90">
        <w:t>There are no special circumstances that would cause an information collection to be conducted in a manner inconsistent with OMB guidelines. Specifically:</w:t>
      </w:r>
    </w:p>
    <w:p w:rsidR="009303C0" w:rsidRPr="008E0828" w:rsidP="005E0D0C" w14:paraId="33438F78" w14:textId="45A50F1F">
      <w:pPr>
        <w:pStyle w:val="ListParagraph"/>
        <w:numPr>
          <w:ilvl w:val="0"/>
          <w:numId w:val="14"/>
        </w:numPr>
        <w:spacing w:before="240"/>
      </w:pPr>
      <w:r w:rsidRPr="008E0828">
        <w:t xml:space="preserve">This collection does not </w:t>
      </w:r>
      <w:r w:rsidRPr="00D74C90">
        <w:t>require respondents to report information to the agency more often than quarterly;</w:t>
      </w:r>
    </w:p>
    <w:p w:rsidR="009303C0" w:rsidRPr="00D74C90" w:rsidP="005E0D0C" w14:paraId="41E3C7FC" w14:textId="3BE59402">
      <w:pPr>
        <w:numPr>
          <w:ilvl w:val="0"/>
          <w:numId w:val="11"/>
        </w:numPr>
        <w:pBdr>
          <w:top w:val="nil"/>
          <w:left w:val="nil"/>
          <w:bottom w:val="nil"/>
          <w:right w:val="nil"/>
          <w:between w:val="nil"/>
        </w:pBdr>
        <w:spacing w:before="240"/>
        <w:ind w:left="720"/>
      </w:pPr>
      <w:r w:rsidRPr="008E0828">
        <w:t xml:space="preserve">This collection does not </w:t>
      </w:r>
      <w:r w:rsidRPr="00D74C90">
        <w:t>require respondents to prepare a written response to a collection of information in fewer than 30 days after receipt of it;</w:t>
      </w:r>
    </w:p>
    <w:p w:rsidR="009303C0" w:rsidRPr="00D74C90" w:rsidP="005E0D0C" w14:paraId="5A7BDCC5" w14:textId="279D0065">
      <w:pPr>
        <w:numPr>
          <w:ilvl w:val="0"/>
          <w:numId w:val="11"/>
        </w:numPr>
        <w:pBdr>
          <w:top w:val="nil"/>
          <w:left w:val="nil"/>
          <w:bottom w:val="nil"/>
          <w:right w:val="nil"/>
          <w:between w:val="nil"/>
        </w:pBdr>
        <w:spacing w:before="240"/>
        <w:ind w:left="720"/>
      </w:pPr>
      <w:r w:rsidRPr="008E0828">
        <w:t xml:space="preserve">This collection does not </w:t>
      </w:r>
      <w:r w:rsidRPr="00D74C90">
        <w:t>require respondents to submit more than an original and two copies of any document;</w:t>
      </w:r>
    </w:p>
    <w:p w:rsidR="009303C0" w:rsidRPr="00D74C90" w:rsidP="005E0D0C" w14:paraId="5CD163AE" w14:textId="780CFBDC">
      <w:pPr>
        <w:numPr>
          <w:ilvl w:val="0"/>
          <w:numId w:val="11"/>
        </w:numPr>
        <w:pBdr>
          <w:top w:val="nil"/>
          <w:left w:val="nil"/>
          <w:bottom w:val="nil"/>
          <w:right w:val="nil"/>
          <w:between w:val="nil"/>
        </w:pBdr>
        <w:spacing w:before="240"/>
        <w:ind w:left="720"/>
      </w:pPr>
      <w:r w:rsidRPr="008E0828">
        <w:t xml:space="preserve">This collection does not </w:t>
      </w:r>
      <w:r w:rsidRPr="00D74C90">
        <w:t>require respondents to retain records, other than health, medical, government contract, grant-in- aid, or tax records for more than three years;</w:t>
      </w:r>
    </w:p>
    <w:p w:rsidR="009303C0" w:rsidRPr="00D74C90" w:rsidP="005E0D0C" w14:paraId="67E9FC8D" w14:textId="2A9116E7">
      <w:pPr>
        <w:numPr>
          <w:ilvl w:val="0"/>
          <w:numId w:val="11"/>
        </w:numPr>
        <w:pBdr>
          <w:top w:val="nil"/>
          <w:left w:val="nil"/>
          <w:bottom w:val="nil"/>
          <w:right w:val="nil"/>
          <w:between w:val="nil"/>
        </w:pBdr>
        <w:spacing w:before="240"/>
        <w:ind w:left="720"/>
      </w:pPr>
      <w:r w:rsidRPr="008E0828">
        <w:t>This collection is not connected to a</w:t>
      </w:r>
      <w:r w:rsidRPr="00D74C90">
        <w:t xml:space="preserve"> statistical survey, and is not designed to produce valid and reliable results that can be generalized to the universe of study;</w:t>
      </w:r>
    </w:p>
    <w:p w:rsidR="009303C0" w:rsidRPr="00D74C90" w:rsidP="005E0D0C" w14:paraId="168A8E1C" w14:textId="6DF0D406">
      <w:pPr>
        <w:numPr>
          <w:ilvl w:val="0"/>
          <w:numId w:val="11"/>
        </w:numPr>
        <w:pBdr>
          <w:top w:val="nil"/>
          <w:left w:val="nil"/>
          <w:bottom w:val="nil"/>
          <w:right w:val="nil"/>
          <w:between w:val="nil"/>
        </w:pBdr>
        <w:spacing w:before="240"/>
        <w:ind w:left="720"/>
      </w:pPr>
      <w:r w:rsidRPr="008E0828">
        <w:t xml:space="preserve">This collection does not </w:t>
      </w:r>
      <w:r w:rsidRPr="00D74C90">
        <w:t>require the use of a statistical data classification that has not been reviewed and approved by OMB;</w:t>
      </w:r>
    </w:p>
    <w:p w:rsidR="009303C0" w:rsidRPr="00D74C90" w:rsidP="005E0D0C" w14:paraId="1305F20C" w14:textId="4564F70C">
      <w:pPr>
        <w:numPr>
          <w:ilvl w:val="0"/>
          <w:numId w:val="11"/>
        </w:numPr>
        <w:pBdr>
          <w:top w:val="nil"/>
          <w:left w:val="nil"/>
          <w:bottom w:val="nil"/>
          <w:right w:val="nil"/>
          <w:between w:val="nil"/>
        </w:pBdr>
        <w:spacing w:before="240"/>
        <w:ind w:left="720"/>
      </w:pPr>
      <w:r w:rsidRPr="008E0828">
        <w:t xml:space="preserve">This collection does not </w:t>
      </w:r>
      <w:r w:rsidRPr="00D74C90">
        <w:t>include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and</w:t>
      </w:r>
    </w:p>
    <w:p w:rsidR="009303C0" w:rsidRPr="00A61DCC" w:rsidP="005E0D0C" w14:paraId="6918149A" w14:textId="5826EB7D">
      <w:pPr>
        <w:numPr>
          <w:ilvl w:val="0"/>
          <w:numId w:val="11"/>
        </w:numPr>
        <w:pBdr>
          <w:top w:val="nil"/>
          <w:left w:val="nil"/>
          <w:bottom w:val="nil"/>
          <w:right w:val="nil"/>
          <w:between w:val="nil"/>
        </w:pBdr>
        <w:spacing w:before="240"/>
        <w:ind w:left="720"/>
        <w:rPr>
          <w:color w:val="1F497D"/>
        </w:rPr>
      </w:pPr>
      <w:r w:rsidRPr="008E0828">
        <w:t xml:space="preserve">This collection does not </w:t>
      </w:r>
      <w:r w:rsidRPr="00D74C90">
        <w:t xml:space="preserve">require respondents to submit proprietary trade </w:t>
      </w:r>
      <w:r w:rsidRPr="00D74C90" w:rsidR="00A61DCC">
        <w:t>secrets</w:t>
      </w:r>
      <w:r w:rsidRPr="00D74C90">
        <w:t xml:space="preserve"> or other confidential information unless the agency can demonstrate that it has instituted procedures to protect the information's confidentiality to the extent permitted by law.</w:t>
      </w:r>
    </w:p>
    <w:p w:rsidR="00A61DCC" w:rsidRPr="00984148" w:rsidP="005E0D0C" w14:paraId="6FA0AB8E" w14:textId="77777777">
      <w:pPr>
        <w:pBdr>
          <w:top w:val="nil"/>
          <w:left w:val="nil"/>
          <w:bottom w:val="nil"/>
          <w:right w:val="nil"/>
          <w:between w:val="nil"/>
        </w:pBdr>
        <w:spacing w:before="240"/>
        <w:rPr>
          <w:color w:val="1F497D"/>
        </w:rPr>
      </w:pPr>
    </w:p>
    <w:p w:rsidR="009303C0" w:rsidRPr="00957605" w:rsidP="005E0D0C" w14:paraId="24CCE3C3" w14:textId="5EA5DCA5">
      <w:pPr>
        <w:numPr>
          <w:ilvl w:val="0"/>
          <w:numId w:val="9"/>
        </w:numPr>
        <w:pBdr>
          <w:top w:val="nil"/>
          <w:left w:val="nil"/>
          <w:bottom w:val="nil"/>
          <w:right w:val="nil"/>
          <w:between w:val="nil"/>
        </w:pBdr>
        <w:tabs>
          <w:tab w:val="left" w:pos="360"/>
        </w:tabs>
        <w:spacing w:before="240"/>
        <w:ind w:left="0" w:firstLine="0"/>
        <w:rPr>
          <w:b/>
          <w:bCs/>
          <w:color w:val="000000"/>
        </w:rPr>
      </w:pPr>
      <w:r>
        <w:rPr>
          <w:b/>
          <w:bCs/>
          <w:color w:val="000000"/>
        </w:rPr>
        <w:t>If applicable, provide a copy and identify the date and page number of publications in the Federal Register of the agency's notice, required by 5 CFR 1320.8 (d), soliciting comments on the information collection prior to submission to OMB. Summarize public comments received in response to that notice and describe actions taken by the agency in response to these comments. Specifically address comments received on cost and hour burden.</w:t>
      </w:r>
    </w:p>
    <w:p w:rsidR="001921DD" w:rsidP="005E0D0C" w14:paraId="137511FA" w14:textId="77777777">
      <w:pPr>
        <w:pBdr>
          <w:top w:val="nil"/>
          <w:left w:val="nil"/>
          <w:bottom w:val="nil"/>
          <w:right w:val="nil"/>
          <w:between w:val="nil"/>
        </w:pBdr>
        <w:spacing w:before="240"/>
      </w:pPr>
      <w:r>
        <w:t xml:space="preserve">A </w:t>
      </w:r>
      <w:r w:rsidRPr="00957605">
        <w:t>Federal Register</w:t>
      </w:r>
      <w:r>
        <w:t xml:space="preserve"> Notice published on </w:t>
      </w:r>
      <w:r w:rsidRPr="00CC248C">
        <w:t>Ma</w:t>
      </w:r>
      <w:r w:rsidRPr="00CC248C" w:rsidR="00CC248C">
        <w:t>y 4, 2026</w:t>
      </w:r>
      <w:r w:rsidRPr="00CC248C">
        <w:t xml:space="preserve"> (</w:t>
      </w:r>
      <w:r w:rsidRPr="00CC248C" w:rsidR="00CC248C">
        <w:t>91</w:t>
      </w:r>
      <w:r w:rsidRPr="00CC248C">
        <w:t xml:space="preserve"> FR </w:t>
      </w:r>
      <w:r w:rsidRPr="00CC248C" w:rsidR="00CC248C">
        <w:t>23976</w:t>
      </w:r>
      <w:r w:rsidRPr="00CC248C">
        <w:t>) solicited public comments. No public comments were received.</w:t>
      </w:r>
      <w:r>
        <w:t xml:space="preserve"> </w:t>
      </w:r>
    </w:p>
    <w:p w:rsidR="00984148" w:rsidP="005E0D0C" w14:paraId="578B4A23" w14:textId="09080359">
      <w:pPr>
        <w:pBdr>
          <w:top w:val="nil"/>
          <w:left w:val="nil"/>
          <w:bottom w:val="nil"/>
          <w:right w:val="nil"/>
          <w:between w:val="nil"/>
        </w:pBdr>
        <w:spacing w:before="240"/>
        <w:rPr>
          <w:color w:val="CC0000"/>
        </w:rPr>
      </w:pPr>
      <w:r w:rsidRPr="00984148">
        <w:t xml:space="preserve">NOAA consulted with </w:t>
      </w:r>
      <w:r>
        <w:t xml:space="preserve">the Western Pacific Fishery Management Council </w:t>
      </w:r>
      <w:r w:rsidRPr="00984148">
        <w:t xml:space="preserve">to obtain their views on the need for and practical utility of the data collected, the accuracy of the burden and frequency of collection, suggestions to minimize the burden, </w:t>
      </w:r>
      <w:r w:rsidR="00690E82">
        <w:t xml:space="preserve">whether other stakeholders may have specific </w:t>
      </w:r>
      <w:r w:rsidR="00690E82">
        <w:t xml:space="preserve">concerns, </w:t>
      </w:r>
      <w:r w:rsidRPr="00984148">
        <w:t>and ways to improve the clarity of instructions and forms.</w:t>
      </w:r>
      <w:r>
        <w:t xml:space="preserve"> The Council had no comments.</w:t>
      </w:r>
    </w:p>
    <w:p w:rsidR="009303C0" w:rsidP="005E0D0C" w14:paraId="4549F852" w14:textId="77777777">
      <w:pPr>
        <w:spacing w:before="240"/>
      </w:pPr>
    </w:p>
    <w:p w:rsidR="00DC3FDB" w:rsidRPr="00D236A6" w:rsidP="005E0D0C" w14:paraId="4FD9426D" w14:textId="10A0AC4C">
      <w:pPr>
        <w:numPr>
          <w:ilvl w:val="0"/>
          <w:numId w:val="9"/>
        </w:numPr>
        <w:pBdr>
          <w:top w:val="nil"/>
          <w:left w:val="nil"/>
          <w:bottom w:val="nil"/>
          <w:right w:val="nil"/>
          <w:between w:val="nil"/>
        </w:pBdr>
        <w:tabs>
          <w:tab w:val="left" w:pos="360"/>
        </w:tabs>
        <w:spacing w:before="240"/>
        <w:ind w:left="0" w:firstLine="0"/>
        <w:rPr>
          <w:b/>
          <w:bCs/>
          <w:color w:val="000000"/>
        </w:rPr>
      </w:pPr>
      <w:r>
        <w:rPr>
          <w:b/>
          <w:bCs/>
          <w:color w:val="000000"/>
        </w:rPr>
        <w:t>Explain any decision to provide any payment or gift to respondents, other than remuneration of contractors or grantees.</w:t>
      </w:r>
    </w:p>
    <w:p w:rsidR="00D236A6" w:rsidP="005E0D0C" w14:paraId="710424B9" w14:textId="3DBD7B59">
      <w:pPr>
        <w:spacing w:before="240"/>
        <w:rPr>
          <w:rFonts w:ascii="TimesNewRoman" w:hAnsi="TimesNewRoman" w:cs="TimesNewRoman"/>
        </w:rPr>
      </w:pPr>
      <w:r w:rsidRPr="00F34C1B">
        <w:rPr>
          <w:rFonts w:ascii="TimesNewRoman" w:hAnsi="TimesNewRoman" w:cs="TimesNewRoman"/>
        </w:rPr>
        <w:t>No payments or gifts are provided.</w:t>
      </w:r>
    </w:p>
    <w:p w:rsidR="001921DD" w:rsidRPr="00D236A6" w:rsidP="005E0D0C" w14:paraId="27FF5260" w14:textId="77777777">
      <w:pPr>
        <w:spacing w:before="240"/>
      </w:pPr>
    </w:p>
    <w:p w:rsidR="00DC3FDB" w:rsidP="005E0D0C" w14:paraId="5CD62ED5" w14:textId="4E10224E">
      <w:pPr>
        <w:numPr>
          <w:ilvl w:val="0"/>
          <w:numId w:val="9"/>
        </w:numPr>
        <w:pBdr>
          <w:top w:val="nil"/>
          <w:left w:val="nil"/>
          <w:bottom w:val="nil"/>
          <w:right w:val="nil"/>
          <w:between w:val="nil"/>
        </w:pBdr>
        <w:tabs>
          <w:tab w:val="left" w:pos="360"/>
        </w:tabs>
        <w:spacing w:before="240"/>
        <w:ind w:left="0" w:firstLine="0"/>
        <w:rPr>
          <w:b/>
          <w:bCs/>
          <w:color w:val="000000"/>
        </w:rPr>
      </w:pPr>
      <w:r>
        <w:rPr>
          <w:b/>
          <w:bCs/>
          <w:color w:val="000000"/>
        </w:rPr>
        <w:t>Describe any assurance of confidentiality provided to respondents and the basis for the assurance in statute, regulation, or agency policy. If the collection requires a system of records notice (SORN) or privacy impact assessment (PIA), those should be cited and described here.</w:t>
      </w:r>
    </w:p>
    <w:p w:rsidR="00D236A6" w:rsidP="005E0D0C" w14:paraId="2D57B550" w14:textId="4A0B3444">
      <w:pPr>
        <w:widowControl/>
        <w:spacing w:before="240"/>
      </w:pPr>
      <w:r w:rsidRPr="00F34C1B">
        <w:t xml:space="preserve">As stated on the forms, under Section 402(b) of the Magnuson-Stevens Act and </w:t>
      </w:r>
      <w:hyperlink r:id="rId11" w:history="1">
        <w:r w:rsidRPr="00F34C1B">
          <w:rPr>
            <w:rStyle w:val="Hyperlink"/>
          </w:rPr>
          <w:t>NOAA Administrative O</w:t>
        </w:r>
        <w:r w:rsidRPr="00F34C1B">
          <w:rPr>
            <w:rStyle w:val="Hyperlink"/>
          </w:rPr>
          <w:t>r</w:t>
        </w:r>
        <w:r w:rsidRPr="00F34C1B">
          <w:rPr>
            <w:rStyle w:val="Hyperlink"/>
          </w:rPr>
          <w:t>der 216-100</w:t>
        </w:r>
      </w:hyperlink>
      <w:r>
        <w:rPr>
          <w:rStyle w:val="FootnoteReference"/>
          <w:color w:val="0000FF" w:themeColor="hyperlink"/>
          <w:u w:val="single"/>
        </w:rPr>
        <w:footnoteReference w:id="4"/>
      </w:r>
      <w:r w:rsidRPr="00F34C1B">
        <w:t xml:space="preserve">, information submitted in accordance with regulatory requirements under the Act is confidential. This includes personal and proprietary information contained in the permits and catch reports. </w:t>
      </w:r>
    </w:p>
    <w:p w:rsidR="00D236A6" w:rsidP="005E0D0C" w14:paraId="799931EF" w14:textId="6DB79B18">
      <w:pPr>
        <w:tabs>
          <w:tab w:val="left" w:pos="0"/>
        </w:tabs>
        <w:spacing w:before="240"/>
        <w:rPr>
          <w:bCs/>
        </w:rPr>
      </w:pPr>
      <w:r w:rsidRPr="00892E40">
        <w:t>This information collection is included in a comprehensive NMFS Permits and Registrations</w:t>
      </w:r>
      <w:r>
        <w:t xml:space="preserve"> </w:t>
      </w:r>
      <w:r w:rsidRPr="00892E40">
        <w:t xml:space="preserve">System of Records Notice (SORN), </w:t>
      </w:r>
      <w:hyperlink r:id="rId12" w:history="1">
        <w:r w:rsidRPr="00023D88">
          <w:rPr>
            <w:rStyle w:val="Hyperlink"/>
          </w:rPr>
          <w:t>COMMERCE/NOA</w:t>
        </w:r>
        <w:r w:rsidRPr="00023D88">
          <w:rPr>
            <w:rStyle w:val="Hyperlink"/>
          </w:rPr>
          <w:t>A</w:t>
        </w:r>
        <w:r w:rsidR="008C2376">
          <w:rPr>
            <w:rStyle w:val="Hyperlink"/>
          </w:rPr>
          <w:t>-</w:t>
        </w:r>
        <w:r w:rsidRPr="00023D88">
          <w:rPr>
            <w:rStyle w:val="Hyperlink"/>
          </w:rPr>
          <w:t>19</w:t>
        </w:r>
      </w:hyperlink>
      <w:r>
        <w:rPr>
          <w:rStyle w:val="FootnoteReference"/>
          <w:color w:val="0000FF" w:themeColor="hyperlink"/>
          <w:u w:val="single"/>
        </w:rPr>
        <w:footnoteReference w:id="5"/>
      </w:r>
      <w:r w:rsidRPr="00892E40">
        <w:t>, Pe</w:t>
      </w:r>
      <w:r>
        <w:t>rmits and Registrations for United States</w:t>
      </w:r>
      <w:r w:rsidRPr="00892E40">
        <w:t xml:space="preserve"> Federa</w:t>
      </w:r>
      <w:r>
        <w:t>lly Regulated Fisheries</w:t>
      </w:r>
      <w:r w:rsidRPr="007753C3">
        <w:rPr>
          <w:bCs/>
        </w:rPr>
        <w:t>.</w:t>
      </w:r>
      <w:r w:rsidR="008C2376">
        <w:rPr>
          <w:bCs/>
        </w:rPr>
        <w:t xml:space="preserve">  The privacy act statements for </w:t>
      </w:r>
      <w:hyperlink r:id="rId13" w:history="1">
        <w:r w:rsidRPr="008C2376" w:rsidR="008C2376">
          <w:rPr>
            <w:rStyle w:val="Hyperlink"/>
            <w:bCs/>
          </w:rPr>
          <w:t>NOAA4920</w:t>
        </w:r>
      </w:hyperlink>
      <w:r>
        <w:rPr>
          <w:rStyle w:val="FootnoteReference"/>
          <w:bCs/>
        </w:rPr>
        <w:footnoteReference w:id="6"/>
      </w:r>
      <w:r w:rsidR="008C2376">
        <w:rPr>
          <w:bCs/>
        </w:rPr>
        <w:t xml:space="preserve">, NMFS Pacific Islands Regional Office (PIRO) Local Area, and </w:t>
      </w:r>
      <w:hyperlink r:id="rId14" w:history="1">
        <w:r w:rsidRPr="008C2376" w:rsidR="008C2376">
          <w:rPr>
            <w:rStyle w:val="Hyperlink"/>
            <w:bCs/>
          </w:rPr>
          <w:t>NOAA4960</w:t>
        </w:r>
      </w:hyperlink>
      <w:r>
        <w:rPr>
          <w:rStyle w:val="FootnoteReference"/>
          <w:bCs/>
        </w:rPr>
        <w:footnoteReference w:id="7"/>
      </w:r>
      <w:r w:rsidR="008C2376">
        <w:rPr>
          <w:bCs/>
        </w:rPr>
        <w:t>, Pacific Islands Fisheries Science Center, identify the security and privacy controls for this collection.</w:t>
      </w:r>
    </w:p>
    <w:p w:rsidR="001921DD" w:rsidRPr="00D236A6" w:rsidP="005E0D0C" w14:paraId="26F63306" w14:textId="77777777">
      <w:pPr>
        <w:tabs>
          <w:tab w:val="left" w:pos="0"/>
        </w:tabs>
        <w:spacing w:before="240"/>
        <w:rPr>
          <w:b/>
          <w:bCs/>
        </w:rPr>
      </w:pPr>
    </w:p>
    <w:p w:rsidR="00DC3FDB" w:rsidP="005E0D0C" w14:paraId="6AC0A237" w14:textId="77777777">
      <w:pPr>
        <w:numPr>
          <w:ilvl w:val="0"/>
          <w:numId w:val="9"/>
        </w:numPr>
        <w:pBdr>
          <w:top w:val="nil"/>
          <w:left w:val="nil"/>
          <w:bottom w:val="nil"/>
          <w:right w:val="nil"/>
          <w:between w:val="nil"/>
        </w:pBdr>
        <w:tabs>
          <w:tab w:val="left" w:pos="360"/>
        </w:tabs>
        <w:spacing w:before="240"/>
        <w:ind w:left="0" w:firstLine="0"/>
        <w:rPr>
          <w:b/>
          <w:bCs/>
          <w:color w:val="000000"/>
        </w:rPr>
      </w:pPr>
      <w:r>
        <w:rPr>
          <w:b/>
          <w:bCs/>
          <w:color w:val="000000"/>
        </w:rPr>
        <w:t>Provide additional justification for any questions of a sensitive nature, such as sexual behavior or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w:t>
      </w:r>
    </w:p>
    <w:p w:rsidR="00DC3FDB" w:rsidRPr="00AA79B6" w:rsidP="005E0D0C" w14:paraId="7C211F8D" w14:textId="72BA20F5">
      <w:pPr>
        <w:pBdr>
          <w:top w:val="nil"/>
          <w:left w:val="nil"/>
          <w:bottom w:val="nil"/>
          <w:right w:val="nil"/>
          <w:between w:val="nil"/>
        </w:pBdr>
        <w:spacing w:before="240"/>
      </w:pPr>
      <w:r w:rsidRPr="00AA79B6">
        <w:t xml:space="preserve">NMFS does not ask questions of a sensitive nature. </w:t>
      </w:r>
    </w:p>
    <w:p w:rsidR="00AA79B6" w:rsidP="005E0D0C" w14:paraId="1DC4530B" w14:textId="5C662D23">
      <w:pPr>
        <w:spacing w:before="240"/>
        <w:rPr>
          <w:color w:val="2F5496"/>
        </w:rPr>
        <w:sectPr w:rsidSect="005E0D0C">
          <w:footerReference w:type="default" r:id="rId15"/>
          <w:type w:val="continuous"/>
          <w:pgSz w:w="12240" w:h="15840"/>
          <w:pgMar w:top="1440" w:right="1440" w:bottom="1440" w:left="1440" w:header="0" w:footer="714" w:gutter="0"/>
          <w:pgNumType w:start="1"/>
          <w:cols w:space="720"/>
          <w:docGrid w:linePitch="326"/>
        </w:sectPr>
      </w:pPr>
    </w:p>
    <w:p w:rsidR="00DC3FDB" w:rsidP="005E0D0C" w14:paraId="51B1C8B1" w14:textId="77777777">
      <w:pPr>
        <w:numPr>
          <w:ilvl w:val="0"/>
          <w:numId w:val="9"/>
        </w:numPr>
        <w:pBdr>
          <w:top w:val="nil"/>
          <w:left w:val="nil"/>
          <w:bottom w:val="nil"/>
          <w:right w:val="nil"/>
          <w:between w:val="nil"/>
        </w:pBdr>
        <w:tabs>
          <w:tab w:val="left" w:pos="360"/>
        </w:tabs>
        <w:spacing w:before="240"/>
        <w:ind w:left="0" w:firstLine="0"/>
        <w:rPr>
          <w:b/>
          <w:bCs/>
          <w:color w:val="000000"/>
        </w:rPr>
      </w:pPr>
      <w:r>
        <w:rPr>
          <w:b/>
          <w:bCs/>
          <w:color w:val="000000"/>
        </w:rPr>
        <w:t>Provide estimates of the hour burden of the collection of information.</w:t>
      </w:r>
    </w:p>
    <w:p w:rsidR="004F6A98" w:rsidRPr="00F34C1B" w:rsidP="005E0D0C" w14:paraId="5C19A9F6" w14:textId="77777777">
      <w:pPr>
        <w:widowControl/>
        <w:spacing w:before="240"/>
        <w:rPr>
          <w:i/>
        </w:rPr>
      </w:pPr>
      <w:r w:rsidRPr="00F34C1B">
        <w:rPr>
          <w:i/>
        </w:rPr>
        <w:t>Permits</w:t>
      </w:r>
    </w:p>
    <w:p w:rsidR="00E13152" w:rsidP="005E0D0C" w14:paraId="529AF385" w14:textId="519A45CC">
      <w:pPr>
        <w:widowControl/>
        <w:spacing w:before="240"/>
      </w:pPr>
      <w:r>
        <w:t>NMFS estimates up to 1</w:t>
      </w:r>
      <w:r w:rsidRPr="00F34C1B">
        <w:t>5</w:t>
      </w:r>
      <w:r>
        <w:t xml:space="preserve"> permits annually, with 5</w:t>
      </w:r>
      <w:r w:rsidRPr="00F34C1B">
        <w:t xml:space="preserve"> fishing permit applications </w:t>
      </w:r>
      <w:r>
        <w:t xml:space="preserve">each for the Rose Atoll, </w:t>
      </w:r>
      <w:r w:rsidRPr="00F34C1B">
        <w:t>Ma</w:t>
      </w:r>
      <w:r>
        <w:t xml:space="preserve">rianas Islands Unit, and </w:t>
      </w:r>
      <w:r w:rsidRPr="00F34C1B">
        <w:t xml:space="preserve">the Pacific Remote Islands Monument. At this time, NMFS cannot estimate what portion of applications will </w:t>
      </w:r>
      <w:r w:rsidRPr="00F34C1B" w:rsidR="00E4649E">
        <w:t>be in</w:t>
      </w:r>
      <w:r w:rsidRPr="00F34C1B">
        <w:t xml:space="preserve"> businesses, including small businesses v</w:t>
      </w:r>
      <w:r>
        <w:t>ersus</w:t>
      </w:r>
      <w:r w:rsidRPr="00F34C1B">
        <w:t xml:space="preserve"> individual</w:t>
      </w:r>
      <w:r>
        <w:t>s</w:t>
      </w:r>
      <w:r w:rsidRPr="00F34C1B">
        <w:t>/households. N</w:t>
      </w:r>
      <w:r>
        <w:t xml:space="preserve">MFS estimates that each of the </w:t>
      </w:r>
      <w:r w:rsidRPr="00F34C1B">
        <w:t>applicants are expected to spend 15 minutes completing the application for a maximum info</w:t>
      </w:r>
      <w:r>
        <w:t xml:space="preserve">rmation collection burden of 3.75 </w:t>
      </w:r>
      <w:r w:rsidRPr="00F34C1B">
        <w:t>hours per year.</w:t>
      </w:r>
    </w:p>
    <w:p w:rsidR="004F6A98" w:rsidRPr="00F34C1B" w:rsidP="005E0D0C" w14:paraId="35A93565" w14:textId="14CF2B32">
      <w:pPr>
        <w:widowControl/>
        <w:spacing w:before="240"/>
      </w:pPr>
      <w:r>
        <w:t xml:space="preserve">Mean hourly wage for </w:t>
      </w:r>
      <w:r w:rsidRPr="00E13152">
        <w:t>First-Line Supervisors of Farming, Fishing, and Forestry Workers</w:t>
      </w:r>
      <w:r>
        <w:t xml:space="preserve"> (occupational code 45-1011) was used to estimate the hourly wage of vessel owners. </w:t>
      </w:r>
      <w:r>
        <w:rPr>
          <w:bCs/>
        </w:rPr>
        <w:t xml:space="preserve">Salary rates were derived from </w:t>
      </w:r>
      <w:hyperlink r:id="rId16" w:anchor="45-0000" w:history="1">
        <w:r w:rsidRPr="00B675F5">
          <w:rPr>
            <w:rStyle w:val="Hyperlink"/>
            <w:bCs/>
          </w:rPr>
          <w:t>https://www.bls.gov/oes/current/oes_hi.htm#45-0000</w:t>
        </w:r>
      </w:hyperlink>
      <w:r>
        <w:rPr>
          <w:bCs/>
        </w:rPr>
        <w:t xml:space="preserve"> for Hawaii.</w:t>
      </w:r>
    </w:p>
    <w:p w:rsidR="004F6A98" w:rsidRPr="00F34C1B" w:rsidP="005E0D0C" w14:paraId="377224F4" w14:textId="77777777">
      <w:pPr>
        <w:widowControl/>
        <w:spacing w:before="240"/>
        <w:rPr>
          <w:i/>
        </w:rPr>
      </w:pPr>
      <w:r>
        <w:rPr>
          <w:i/>
        </w:rPr>
        <w:t>Daily Fishing Logs</w:t>
      </w:r>
    </w:p>
    <w:p w:rsidR="004F6A98" w:rsidP="005E0D0C" w14:paraId="17381FC6" w14:textId="5D5D6E49">
      <w:pPr>
        <w:widowControl/>
        <w:spacing w:before="240"/>
      </w:pPr>
      <w:r w:rsidRPr="00F34C1B">
        <w:t>NMFS estimates the time requ</w:t>
      </w:r>
      <w:r>
        <w:t>irement for completing Federal log sheets</w:t>
      </w:r>
      <w:r w:rsidRPr="00F34C1B">
        <w:t xml:space="preserve"> to be</w:t>
      </w:r>
      <w:r>
        <w:t xml:space="preserve"> approximately 20 minutes per daily log. Assuming 15 permit holders</w:t>
      </w:r>
      <w:r w:rsidRPr="00F34C1B">
        <w:t xml:space="preserve"> take one trip per year to the Monument, and each fishing trip lasts three days, the </w:t>
      </w:r>
      <w:r>
        <w:t xml:space="preserve">program </w:t>
      </w:r>
      <w:r w:rsidR="00E4649E">
        <w:t>generates</w:t>
      </w:r>
      <w:r>
        <w:t xml:space="preserve"> up to 45 reports (15</w:t>
      </w:r>
      <w:r w:rsidRPr="00F34C1B">
        <w:t xml:space="preserve"> trips x 3 days) annually. Thus, the total collection of information burden estimate f</w:t>
      </w:r>
      <w:r>
        <w:t>or catch reporting (based on 45</w:t>
      </w:r>
      <w:r w:rsidRPr="00F34C1B">
        <w:t xml:space="preserve"> r</w:t>
      </w:r>
      <w:r>
        <w:t xml:space="preserve">eports at 20 minutes each) is </w:t>
      </w:r>
      <w:r w:rsidR="00441D92">
        <w:t>1</w:t>
      </w:r>
      <w:r>
        <w:t>4.85</w:t>
      </w:r>
      <w:r w:rsidRPr="00F34C1B">
        <w:t xml:space="preserve"> hours per year.</w:t>
      </w:r>
    </w:p>
    <w:p w:rsidR="00E13152" w:rsidRPr="004F6A98" w:rsidP="005E0D0C" w14:paraId="568A6DBA" w14:textId="39806FB4">
      <w:pPr>
        <w:widowControl/>
        <w:spacing w:before="240"/>
      </w:pPr>
      <w:r>
        <w:t xml:space="preserve">Mean hourly wage for </w:t>
      </w:r>
      <w:r w:rsidRPr="00E50EB8" w:rsidR="00E50EB8">
        <w:t>Farming, Fishing,</w:t>
      </w:r>
      <w:r w:rsidR="00E50EB8">
        <w:t xml:space="preserve"> </w:t>
      </w:r>
      <w:r w:rsidRPr="00E50EB8" w:rsidR="00E50EB8">
        <w:t xml:space="preserve">and Forestry Occupations </w:t>
      </w:r>
      <w:r>
        <w:t>(occupational code 45-</w:t>
      </w:r>
      <w:r w:rsidR="00E50EB8">
        <w:t>0000</w:t>
      </w:r>
      <w:r>
        <w:t xml:space="preserve">) was used to estimate the hourly wage of vessel </w:t>
      </w:r>
      <w:r w:rsidR="00E50EB8">
        <w:t>operators</w:t>
      </w:r>
      <w:r>
        <w:t xml:space="preserve">. </w:t>
      </w:r>
      <w:r>
        <w:rPr>
          <w:bCs/>
        </w:rPr>
        <w:t xml:space="preserve">Salary rates were derived from </w:t>
      </w:r>
      <w:hyperlink r:id="rId16" w:anchor="45-0000" w:history="1">
        <w:r w:rsidRPr="00E13152">
          <w:rPr>
            <w:rStyle w:val="Hyperlink"/>
            <w:bCs/>
          </w:rPr>
          <w:t>https://www.bls.gov/oes/current/oes_hi.htm#45-0000 for Hawaii</w:t>
        </w:r>
      </w:hyperlink>
      <w:r>
        <w:rPr>
          <w:bCs/>
        </w:rPr>
        <w:t>.</w:t>
      </w:r>
    </w:p>
    <w:p w:rsidR="00DC3FDB" w:rsidP="005E0D0C" w14:paraId="1F4C349C" w14:textId="77777777">
      <w:pPr>
        <w:spacing w:before="240"/>
        <w:ind w:hanging="43"/>
        <w:jc w:val="center"/>
        <w:rPr>
          <w:b/>
          <w:bCs/>
          <w:color w:val="FF0000"/>
        </w:rPr>
      </w:pPr>
    </w:p>
    <w:tbl>
      <w:tblPr>
        <w:tblStyle w:val="a0"/>
        <w:tblW w:w="13900" w:type="dxa"/>
        <w:tblInd w:w="-140" w:type="dxa"/>
        <w:tblLayout w:type="fixed"/>
        <w:tblLook w:val="0400"/>
      </w:tblPr>
      <w:tblGrid>
        <w:gridCol w:w="2560"/>
        <w:gridCol w:w="1890"/>
        <w:gridCol w:w="1350"/>
        <w:gridCol w:w="1260"/>
        <w:gridCol w:w="1350"/>
        <w:gridCol w:w="1260"/>
        <w:gridCol w:w="1350"/>
        <w:gridCol w:w="1530"/>
        <w:gridCol w:w="1350"/>
      </w:tblGrid>
      <w:tr w14:paraId="031E226F" w14:textId="77777777" w:rsidTr="00CB3598">
        <w:tblPrEx>
          <w:tblW w:w="13900" w:type="dxa"/>
          <w:tblInd w:w="-140" w:type="dxa"/>
          <w:tblLayout w:type="fixed"/>
          <w:tblLook w:val="0400"/>
        </w:tblPrEx>
        <w:trPr>
          <w:trHeight w:val="1365"/>
        </w:trPr>
        <w:tc>
          <w:tcPr>
            <w:tcW w:w="2560" w:type="dxa"/>
            <w:tcBorders>
              <w:top w:val="single" w:sz="8" w:space="0" w:color="000000"/>
              <w:left w:val="single" w:sz="8" w:space="0" w:color="000000"/>
              <w:bottom w:val="single" w:sz="8" w:space="0" w:color="000000"/>
              <w:right w:val="single" w:sz="8" w:space="0" w:color="000000"/>
            </w:tcBorders>
            <w:shd w:val="clear" w:color="auto" w:fill="BDD7EE"/>
            <w:vAlign w:val="center"/>
          </w:tcPr>
          <w:p w:rsidR="00DC3FDB" w:rsidRPr="00957605" w:rsidP="00CB3598" w14:paraId="498AFA18" w14:textId="77777777">
            <w:pPr>
              <w:widowControl/>
              <w:spacing w:before="60" w:after="60"/>
              <w:jc w:val="center"/>
              <w:rPr>
                <w:rFonts w:ascii="Calibri" w:eastAsia="Calibri" w:hAnsi="Calibri" w:cs="Calibri"/>
                <w:b/>
                <w:bCs/>
                <w:color w:val="000000"/>
                <w:sz w:val="20"/>
                <w:szCs w:val="20"/>
              </w:rPr>
            </w:pPr>
            <w:r w:rsidRPr="00957605">
              <w:rPr>
                <w:rFonts w:ascii="Calibri" w:eastAsia="Calibri" w:hAnsi="Calibri" w:cs="Calibri"/>
                <w:b/>
                <w:bCs/>
                <w:color w:val="000000"/>
                <w:sz w:val="20"/>
                <w:szCs w:val="20"/>
              </w:rPr>
              <w:t>Information Collection</w:t>
            </w:r>
          </w:p>
        </w:tc>
        <w:tc>
          <w:tcPr>
            <w:tcW w:w="1890" w:type="dxa"/>
            <w:tcBorders>
              <w:top w:val="single" w:sz="8" w:space="0" w:color="000000"/>
              <w:left w:val="nil"/>
              <w:bottom w:val="single" w:sz="8" w:space="0" w:color="000000"/>
              <w:right w:val="single" w:sz="8" w:space="0" w:color="000000"/>
            </w:tcBorders>
            <w:shd w:val="clear" w:color="auto" w:fill="BDD7EE"/>
            <w:vAlign w:val="center"/>
          </w:tcPr>
          <w:p w:rsidR="00DC3FDB" w:rsidRPr="00957605" w:rsidP="00CB3598" w14:paraId="73A9581C" w14:textId="77777777">
            <w:pPr>
              <w:widowControl/>
              <w:spacing w:before="60" w:after="60"/>
              <w:jc w:val="center"/>
              <w:rPr>
                <w:rFonts w:ascii="Calibri" w:eastAsia="Calibri" w:hAnsi="Calibri" w:cs="Calibri"/>
                <w:b/>
                <w:bCs/>
                <w:color w:val="000000"/>
                <w:sz w:val="20"/>
                <w:szCs w:val="20"/>
              </w:rPr>
            </w:pPr>
            <w:r w:rsidRPr="00957605">
              <w:rPr>
                <w:rFonts w:ascii="Calibri" w:eastAsia="Calibri" w:hAnsi="Calibri" w:cs="Calibri"/>
                <w:b/>
                <w:bCs/>
                <w:color w:val="000000"/>
                <w:sz w:val="20"/>
                <w:szCs w:val="20"/>
              </w:rPr>
              <w:t>Type of Respondent (e.g., Occupational Title)</w:t>
            </w:r>
          </w:p>
        </w:tc>
        <w:tc>
          <w:tcPr>
            <w:tcW w:w="1350" w:type="dxa"/>
            <w:tcBorders>
              <w:top w:val="single" w:sz="8" w:space="0" w:color="000000"/>
              <w:left w:val="nil"/>
              <w:bottom w:val="single" w:sz="8" w:space="0" w:color="000000"/>
              <w:right w:val="single" w:sz="8" w:space="0" w:color="000000"/>
            </w:tcBorders>
            <w:shd w:val="clear" w:color="auto" w:fill="BDD7EE"/>
            <w:vAlign w:val="center"/>
          </w:tcPr>
          <w:p w:rsidR="00DC3FDB" w:rsidRPr="00957605" w:rsidP="00CB3598" w14:paraId="42A631DE" w14:textId="77777777">
            <w:pPr>
              <w:widowControl/>
              <w:spacing w:before="60" w:after="60"/>
              <w:jc w:val="center"/>
              <w:rPr>
                <w:rFonts w:ascii="Calibri" w:eastAsia="Calibri" w:hAnsi="Calibri" w:cs="Calibri"/>
                <w:b/>
                <w:bCs/>
                <w:color w:val="000000"/>
                <w:sz w:val="20"/>
                <w:szCs w:val="20"/>
              </w:rPr>
            </w:pPr>
            <w:r w:rsidRPr="00957605">
              <w:rPr>
                <w:rFonts w:ascii="Calibri" w:eastAsia="Calibri" w:hAnsi="Calibri" w:cs="Calibri"/>
                <w:b/>
                <w:bCs/>
                <w:color w:val="000000"/>
                <w:sz w:val="20"/>
                <w:szCs w:val="20"/>
              </w:rPr>
              <w:t># of Respondents/year</w:t>
            </w:r>
            <w:r w:rsidRPr="00957605">
              <w:rPr>
                <w:rFonts w:ascii="Calibri" w:eastAsia="Calibri" w:hAnsi="Calibri" w:cs="Calibri"/>
                <w:b/>
                <w:bCs/>
                <w:color w:val="000000"/>
                <w:sz w:val="20"/>
                <w:szCs w:val="20"/>
              </w:rPr>
              <w:br/>
              <w:t>(a)</w:t>
            </w:r>
          </w:p>
        </w:tc>
        <w:tc>
          <w:tcPr>
            <w:tcW w:w="1260" w:type="dxa"/>
            <w:tcBorders>
              <w:top w:val="single" w:sz="8" w:space="0" w:color="000000"/>
              <w:left w:val="nil"/>
              <w:bottom w:val="single" w:sz="8" w:space="0" w:color="000000"/>
              <w:right w:val="single" w:sz="8" w:space="0" w:color="000000"/>
            </w:tcBorders>
            <w:shd w:val="clear" w:color="auto" w:fill="BDD7EE"/>
            <w:vAlign w:val="center"/>
          </w:tcPr>
          <w:p w:rsidR="00DC3FDB" w:rsidRPr="00957605" w:rsidP="00CB3598" w14:paraId="7CD3E9B0" w14:textId="77777777">
            <w:pPr>
              <w:widowControl/>
              <w:spacing w:before="60" w:after="60"/>
              <w:jc w:val="center"/>
              <w:rPr>
                <w:rFonts w:ascii="Calibri" w:eastAsia="Calibri" w:hAnsi="Calibri" w:cs="Calibri"/>
                <w:b/>
                <w:bCs/>
                <w:color w:val="000000"/>
                <w:sz w:val="20"/>
                <w:szCs w:val="20"/>
              </w:rPr>
            </w:pPr>
            <w:r w:rsidRPr="00957605">
              <w:rPr>
                <w:rFonts w:ascii="Calibri" w:eastAsia="Calibri" w:hAnsi="Calibri" w:cs="Calibri"/>
                <w:b/>
                <w:bCs/>
                <w:color w:val="000000"/>
                <w:sz w:val="20"/>
                <w:szCs w:val="20"/>
              </w:rPr>
              <w:t>Annual # of Responses / Respondent</w:t>
            </w:r>
            <w:r w:rsidRPr="00957605">
              <w:rPr>
                <w:rFonts w:ascii="Calibri" w:eastAsia="Calibri" w:hAnsi="Calibri" w:cs="Calibri"/>
                <w:b/>
                <w:bCs/>
                <w:color w:val="000000"/>
                <w:sz w:val="20"/>
                <w:szCs w:val="20"/>
              </w:rPr>
              <w:br/>
              <w:t>(b)</w:t>
            </w:r>
          </w:p>
        </w:tc>
        <w:tc>
          <w:tcPr>
            <w:tcW w:w="1350" w:type="dxa"/>
            <w:tcBorders>
              <w:top w:val="single" w:sz="8" w:space="0" w:color="000000"/>
              <w:left w:val="nil"/>
              <w:bottom w:val="single" w:sz="8" w:space="0" w:color="000000"/>
              <w:right w:val="single" w:sz="8" w:space="0" w:color="000000"/>
            </w:tcBorders>
            <w:shd w:val="clear" w:color="auto" w:fill="BDD7EE"/>
            <w:vAlign w:val="center"/>
          </w:tcPr>
          <w:p w:rsidR="00DC3FDB" w:rsidRPr="00957605" w:rsidP="00CB3598" w14:paraId="68B8EF2F" w14:textId="21D13807">
            <w:pPr>
              <w:widowControl/>
              <w:spacing w:before="60" w:after="60"/>
              <w:jc w:val="center"/>
              <w:rPr>
                <w:rFonts w:ascii="Calibri" w:eastAsia="Calibri" w:hAnsi="Calibri" w:cs="Calibri"/>
                <w:b/>
                <w:bCs/>
                <w:color w:val="000000"/>
                <w:sz w:val="20"/>
                <w:szCs w:val="20"/>
              </w:rPr>
            </w:pPr>
            <w:r w:rsidRPr="00957605">
              <w:rPr>
                <w:rFonts w:ascii="Calibri" w:eastAsia="Calibri" w:hAnsi="Calibri" w:cs="Calibri"/>
                <w:b/>
                <w:bCs/>
                <w:color w:val="000000"/>
                <w:sz w:val="20"/>
                <w:szCs w:val="20"/>
              </w:rPr>
              <w:t>Total # of Annual Responses</w:t>
            </w:r>
            <w:r w:rsidRPr="00957605">
              <w:rPr>
                <w:rFonts w:ascii="Calibri" w:eastAsia="Calibri" w:hAnsi="Calibri" w:cs="Calibri"/>
                <w:b/>
                <w:bCs/>
                <w:color w:val="000000"/>
                <w:sz w:val="20"/>
                <w:szCs w:val="20"/>
              </w:rPr>
              <w:br/>
              <w:t>(c) = (a) x (b)</w:t>
            </w:r>
          </w:p>
        </w:tc>
        <w:tc>
          <w:tcPr>
            <w:tcW w:w="1260" w:type="dxa"/>
            <w:tcBorders>
              <w:top w:val="single" w:sz="8" w:space="0" w:color="000000"/>
              <w:left w:val="nil"/>
              <w:bottom w:val="single" w:sz="8" w:space="0" w:color="000000"/>
              <w:right w:val="single" w:sz="8" w:space="0" w:color="000000"/>
            </w:tcBorders>
            <w:shd w:val="clear" w:color="auto" w:fill="BDD7EE"/>
            <w:vAlign w:val="center"/>
          </w:tcPr>
          <w:p w:rsidR="00DC3FDB" w:rsidRPr="00957605" w:rsidP="00CB3598" w14:paraId="19BCCDCC" w14:textId="77777777">
            <w:pPr>
              <w:widowControl/>
              <w:spacing w:before="60" w:after="60"/>
              <w:jc w:val="center"/>
              <w:rPr>
                <w:rFonts w:ascii="Calibri" w:eastAsia="Calibri" w:hAnsi="Calibri" w:cs="Calibri"/>
                <w:b/>
                <w:bCs/>
                <w:color w:val="000000"/>
                <w:sz w:val="20"/>
                <w:szCs w:val="20"/>
              </w:rPr>
            </w:pPr>
            <w:r w:rsidRPr="00957605">
              <w:rPr>
                <w:rFonts w:ascii="Calibri" w:eastAsia="Calibri" w:hAnsi="Calibri" w:cs="Calibri"/>
                <w:b/>
                <w:bCs/>
                <w:color w:val="000000"/>
                <w:sz w:val="20"/>
                <w:szCs w:val="20"/>
              </w:rPr>
              <w:t xml:space="preserve">Burden </w:t>
            </w:r>
            <w:r w:rsidRPr="00957605">
              <w:rPr>
                <w:rFonts w:ascii="Calibri" w:eastAsia="Calibri" w:hAnsi="Calibri" w:cs="Calibri"/>
                <w:b/>
                <w:bCs/>
                <w:color w:val="000000"/>
                <w:sz w:val="20"/>
                <w:szCs w:val="20"/>
              </w:rPr>
              <w:t>Hrs</w:t>
            </w:r>
            <w:r w:rsidRPr="00957605">
              <w:rPr>
                <w:rFonts w:ascii="Calibri" w:eastAsia="Calibri" w:hAnsi="Calibri" w:cs="Calibri"/>
                <w:b/>
                <w:bCs/>
                <w:color w:val="000000"/>
                <w:sz w:val="20"/>
                <w:szCs w:val="20"/>
              </w:rPr>
              <w:t xml:space="preserve"> / Response</w:t>
            </w:r>
            <w:r w:rsidRPr="00957605">
              <w:rPr>
                <w:rFonts w:ascii="Calibri" w:eastAsia="Calibri" w:hAnsi="Calibri" w:cs="Calibri"/>
                <w:b/>
                <w:bCs/>
                <w:color w:val="000000"/>
                <w:sz w:val="20"/>
                <w:szCs w:val="20"/>
              </w:rPr>
              <w:br/>
              <w:t>(d)</w:t>
            </w:r>
          </w:p>
        </w:tc>
        <w:tc>
          <w:tcPr>
            <w:tcW w:w="1350" w:type="dxa"/>
            <w:tcBorders>
              <w:top w:val="single" w:sz="8" w:space="0" w:color="000000"/>
              <w:left w:val="nil"/>
              <w:bottom w:val="single" w:sz="8" w:space="0" w:color="000000"/>
              <w:right w:val="single" w:sz="8" w:space="0" w:color="000000"/>
            </w:tcBorders>
            <w:shd w:val="clear" w:color="auto" w:fill="BDD7EE"/>
            <w:vAlign w:val="center"/>
          </w:tcPr>
          <w:p w:rsidR="00DC3FDB" w:rsidRPr="00957605" w:rsidP="00CB3598" w14:paraId="7B2FB7EA" w14:textId="02AD6075">
            <w:pPr>
              <w:widowControl/>
              <w:spacing w:before="60" w:after="60"/>
              <w:jc w:val="center"/>
              <w:rPr>
                <w:rFonts w:ascii="Calibri" w:eastAsia="Calibri" w:hAnsi="Calibri" w:cs="Calibri"/>
                <w:b/>
                <w:bCs/>
                <w:color w:val="000000"/>
                <w:sz w:val="20"/>
                <w:szCs w:val="20"/>
              </w:rPr>
            </w:pPr>
            <w:r w:rsidRPr="00957605">
              <w:rPr>
                <w:rFonts w:ascii="Calibri" w:eastAsia="Calibri" w:hAnsi="Calibri" w:cs="Calibri"/>
                <w:b/>
                <w:bCs/>
                <w:color w:val="000000"/>
                <w:sz w:val="20"/>
                <w:szCs w:val="20"/>
              </w:rPr>
              <w:t xml:space="preserve">Total Annual Burden </w:t>
            </w:r>
            <w:r w:rsidRPr="00957605">
              <w:rPr>
                <w:rFonts w:ascii="Calibri" w:eastAsia="Calibri" w:hAnsi="Calibri" w:cs="Calibri"/>
                <w:b/>
                <w:bCs/>
                <w:color w:val="000000"/>
                <w:sz w:val="20"/>
                <w:szCs w:val="20"/>
              </w:rPr>
              <w:t>Hrs</w:t>
            </w:r>
            <w:r w:rsidRPr="00957605">
              <w:rPr>
                <w:rFonts w:ascii="Calibri" w:eastAsia="Calibri" w:hAnsi="Calibri" w:cs="Calibri"/>
                <w:b/>
                <w:bCs/>
                <w:color w:val="000000"/>
                <w:sz w:val="20"/>
                <w:szCs w:val="20"/>
              </w:rPr>
              <w:br/>
              <w:t>(</w:t>
            </w:r>
            <w:r w:rsidRPr="00957605" w:rsidR="00E4649E">
              <w:rPr>
                <w:rFonts w:ascii="Calibri" w:eastAsia="Calibri" w:hAnsi="Calibri" w:cs="Calibri"/>
                <w:b/>
                <w:bCs/>
                <w:color w:val="000000"/>
                <w:sz w:val="20"/>
                <w:szCs w:val="20"/>
              </w:rPr>
              <w:t>e) =</w:t>
            </w:r>
            <w:r w:rsidRPr="00957605">
              <w:rPr>
                <w:rFonts w:ascii="Calibri" w:eastAsia="Calibri" w:hAnsi="Calibri" w:cs="Calibri"/>
                <w:b/>
                <w:bCs/>
                <w:color w:val="000000"/>
                <w:sz w:val="20"/>
                <w:szCs w:val="20"/>
              </w:rPr>
              <w:t xml:space="preserve"> (c) x (d)</w:t>
            </w:r>
          </w:p>
        </w:tc>
        <w:tc>
          <w:tcPr>
            <w:tcW w:w="1530" w:type="dxa"/>
            <w:tcBorders>
              <w:top w:val="single" w:sz="8" w:space="0" w:color="000000"/>
              <w:left w:val="nil"/>
              <w:bottom w:val="single" w:sz="8" w:space="0" w:color="000000"/>
              <w:right w:val="single" w:sz="8" w:space="0" w:color="000000"/>
            </w:tcBorders>
            <w:shd w:val="clear" w:color="auto" w:fill="BDD7EE"/>
            <w:vAlign w:val="center"/>
          </w:tcPr>
          <w:p w:rsidR="00DC3FDB" w:rsidRPr="00957605" w:rsidP="00CB3598" w14:paraId="70AF7DAC" w14:textId="42BB4266">
            <w:pPr>
              <w:widowControl/>
              <w:spacing w:before="60" w:after="60"/>
              <w:jc w:val="center"/>
              <w:rPr>
                <w:rFonts w:ascii="Calibri" w:eastAsia="Calibri" w:hAnsi="Calibri" w:cs="Calibri"/>
                <w:b/>
                <w:bCs/>
                <w:color w:val="000000"/>
                <w:sz w:val="20"/>
                <w:szCs w:val="20"/>
              </w:rPr>
            </w:pPr>
            <w:r w:rsidRPr="00957605">
              <w:rPr>
                <w:rFonts w:ascii="Calibri" w:eastAsia="Calibri" w:hAnsi="Calibri" w:cs="Calibri"/>
                <w:b/>
                <w:bCs/>
                <w:color w:val="000000"/>
                <w:sz w:val="20"/>
                <w:szCs w:val="20"/>
              </w:rPr>
              <w:t xml:space="preserve">Hourly Wage </w:t>
            </w:r>
            <w:r w:rsidRPr="00957605" w:rsidR="00E4649E">
              <w:rPr>
                <w:rFonts w:ascii="Calibri" w:eastAsia="Calibri" w:hAnsi="Calibri" w:cs="Calibri"/>
                <w:b/>
                <w:bCs/>
                <w:color w:val="000000"/>
                <w:sz w:val="20"/>
                <w:szCs w:val="20"/>
              </w:rPr>
              <w:t>Rate (</w:t>
            </w:r>
            <w:r w:rsidRPr="00957605">
              <w:rPr>
                <w:rFonts w:ascii="Calibri" w:eastAsia="Calibri" w:hAnsi="Calibri" w:cs="Calibri"/>
                <w:b/>
                <w:bCs/>
                <w:color w:val="000000"/>
                <w:sz w:val="20"/>
                <w:szCs w:val="20"/>
              </w:rPr>
              <w:t>for Type of Respondent)</w:t>
            </w:r>
            <w:r w:rsidRPr="00957605">
              <w:rPr>
                <w:rFonts w:ascii="Calibri" w:eastAsia="Calibri" w:hAnsi="Calibri" w:cs="Calibri"/>
                <w:b/>
                <w:bCs/>
                <w:color w:val="000000"/>
                <w:sz w:val="20"/>
                <w:szCs w:val="20"/>
              </w:rPr>
              <w:br/>
              <w:t>(f)</w:t>
            </w:r>
          </w:p>
        </w:tc>
        <w:tc>
          <w:tcPr>
            <w:tcW w:w="1350" w:type="dxa"/>
            <w:tcBorders>
              <w:top w:val="single" w:sz="8" w:space="0" w:color="000000"/>
              <w:left w:val="nil"/>
              <w:bottom w:val="single" w:sz="8" w:space="0" w:color="000000"/>
              <w:right w:val="single" w:sz="8" w:space="0" w:color="000000"/>
            </w:tcBorders>
            <w:shd w:val="clear" w:color="auto" w:fill="BDD7EE"/>
            <w:vAlign w:val="center"/>
          </w:tcPr>
          <w:p w:rsidR="00DC3FDB" w:rsidRPr="00957605" w:rsidP="00CB3598" w14:paraId="17751E75" w14:textId="77777777">
            <w:pPr>
              <w:widowControl/>
              <w:spacing w:before="60" w:after="60"/>
              <w:ind w:right="-30"/>
              <w:jc w:val="center"/>
              <w:rPr>
                <w:rFonts w:ascii="Calibri" w:eastAsia="Calibri" w:hAnsi="Calibri" w:cs="Calibri"/>
                <w:b/>
                <w:bCs/>
                <w:color w:val="000000"/>
                <w:sz w:val="20"/>
                <w:szCs w:val="20"/>
              </w:rPr>
            </w:pPr>
            <w:r w:rsidRPr="00957605">
              <w:rPr>
                <w:rFonts w:ascii="Calibri" w:eastAsia="Calibri" w:hAnsi="Calibri" w:cs="Calibri"/>
                <w:b/>
                <w:bCs/>
                <w:color w:val="000000"/>
                <w:sz w:val="20"/>
                <w:szCs w:val="20"/>
              </w:rPr>
              <w:t>Total Annual Wage Burden Costs</w:t>
            </w:r>
            <w:r w:rsidRPr="00957605">
              <w:rPr>
                <w:rFonts w:ascii="Calibri" w:eastAsia="Calibri" w:hAnsi="Calibri" w:cs="Calibri"/>
                <w:b/>
                <w:bCs/>
                <w:color w:val="000000"/>
                <w:sz w:val="20"/>
                <w:szCs w:val="20"/>
              </w:rPr>
              <w:br/>
              <w:t>(g) = (e) x (f)</w:t>
            </w:r>
          </w:p>
        </w:tc>
      </w:tr>
      <w:tr w14:paraId="358F5B1B" w14:textId="77777777" w:rsidTr="00CB3598">
        <w:tblPrEx>
          <w:tblW w:w="13900" w:type="dxa"/>
          <w:tblInd w:w="-140" w:type="dxa"/>
          <w:tblLayout w:type="fixed"/>
          <w:tblLook w:val="0400"/>
        </w:tblPrEx>
        <w:trPr>
          <w:trHeight w:val="300"/>
        </w:trPr>
        <w:tc>
          <w:tcPr>
            <w:tcW w:w="2560" w:type="dxa"/>
            <w:tcBorders>
              <w:top w:val="nil"/>
              <w:left w:val="single" w:sz="8" w:space="0" w:color="000000"/>
              <w:bottom w:val="single" w:sz="4" w:space="0" w:color="000000"/>
              <w:right w:val="single" w:sz="4" w:space="0" w:color="000000"/>
            </w:tcBorders>
            <w:vAlign w:val="center"/>
          </w:tcPr>
          <w:p w:rsidR="00ED7C7A" w:rsidRPr="00957605" w:rsidP="00CB3598" w14:paraId="361BAB15" w14:textId="421A805B">
            <w:pPr>
              <w:widowControl/>
              <w:spacing w:before="60" w:after="60"/>
              <w:rPr>
                <w:rFonts w:ascii="Calibri" w:eastAsia="Calibri" w:hAnsi="Calibri" w:cs="Calibri"/>
                <w:color w:val="000000"/>
                <w:sz w:val="20"/>
                <w:szCs w:val="20"/>
              </w:rPr>
            </w:pPr>
            <w:r w:rsidRPr="00957605">
              <w:rPr>
                <w:rFonts w:ascii="Calibri" w:hAnsi="Calibri" w:cs="Calibri"/>
                <w:color w:val="000000"/>
                <w:sz w:val="20"/>
                <w:szCs w:val="20"/>
              </w:rPr>
              <w:t>Marine National Monument Fishing Permit application</w:t>
            </w:r>
          </w:p>
        </w:tc>
        <w:tc>
          <w:tcPr>
            <w:tcW w:w="1890" w:type="dxa"/>
            <w:tcBorders>
              <w:top w:val="nil"/>
              <w:left w:val="nil"/>
              <w:bottom w:val="single" w:sz="4" w:space="0" w:color="000000"/>
              <w:right w:val="single" w:sz="4" w:space="0" w:color="000000"/>
            </w:tcBorders>
            <w:vAlign w:val="center"/>
          </w:tcPr>
          <w:p w:rsidR="00ED7C7A" w:rsidRPr="00957605" w:rsidP="00CB3598" w14:paraId="5E7F054B" w14:textId="56CA54A7">
            <w:pPr>
              <w:widowControl/>
              <w:spacing w:before="60" w:after="60"/>
              <w:jc w:val="center"/>
              <w:rPr>
                <w:rFonts w:ascii="Calibri" w:eastAsia="Calibri" w:hAnsi="Calibri" w:cs="Calibri"/>
                <w:color w:val="000000"/>
                <w:sz w:val="20"/>
                <w:szCs w:val="20"/>
              </w:rPr>
            </w:pPr>
            <w:r w:rsidRPr="00957605">
              <w:rPr>
                <w:rFonts w:ascii="Calibri" w:hAnsi="Calibri" w:cs="Calibri"/>
                <w:color w:val="000000"/>
                <w:sz w:val="20"/>
                <w:szCs w:val="20"/>
              </w:rPr>
              <w:t>Vessel owner</w:t>
            </w:r>
          </w:p>
        </w:tc>
        <w:tc>
          <w:tcPr>
            <w:tcW w:w="1350" w:type="dxa"/>
            <w:tcBorders>
              <w:top w:val="nil"/>
              <w:left w:val="nil"/>
              <w:bottom w:val="single" w:sz="4" w:space="0" w:color="000000"/>
              <w:right w:val="single" w:sz="4" w:space="0" w:color="000000"/>
            </w:tcBorders>
            <w:vAlign w:val="center"/>
          </w:tcPr>
          <w:p w:rsidR="00ED7C7A" w:rsidRPr="00957605" w:rsidP="00CB3598" w14:paraId="49FAF5B9" w14:textId="4889BAD2">
            <w:pPr>
              <w:widowControl/>
              <w:spacing w:before="60" w:after="60"/>
              <w:jc w:val="center"/>
              <w:rPr>
                <w:rFonts w:ascii="Calibri" w:eastAsia="Calibri" w:hAnsi="Calibri" w:cs="Calibri"/>
                <w:color w:val="000000"/>
                <w:sz w:val="20"/>
                <w:szCs w:val="20"/>
              </w:rPr>
            </w:pPr>
            <w:r w:rsidRPr="00957605">
              <w:rPr>
                <w:rFonts w:ascii="Calibri" w:hAnsi="Calibri" w:cs="Calibri"/>
                <w:color w:val="000000"/>
                <w:sz w:val="20"/>
                <w:szCs w:val="20"/>
              </w:rPr>
              <w:t>15</w:t>
            </w:r>
          </w:p>
        </w:tc>
        <w:tc>
          <w:tcPr>
            <w:tcW w:w="1260" w:type="dxa"/>
            <w:tcBorders>
              <w:top w:val="nil"/>
              <w:left w:val="nil"/>
              <w:bottom w:val="single" w:sz="4" w:space="0" w:color="000000"/>
              <w:right w:val="single" w:sz="4" w:space="0" w:color="000000"/>
            </w:tcBorders>
            <w:vAlign w:val="center"/>
          </w:tcPr>
          <w:p w:rsidR="00ED7C7A" w:rsidRPr="00957605" w:rsidP="00CB3598" w14:paraId="3BB18E21" w14:textId="76737BAB">
            <w:pPr>
              <w:widowControl/>
              <w:spacing w:before="60" w:after="60"/>
              <w:jc w:val="center"/>
              <w:rPr>
                <w:rFonts w:ascii="Calibri" w:eastAsia="Calibri" w:hAnsi="Calibri" w:cs="Calibri"/>
                <w:color w:val="000000"/>
                <w:sz w:val="20"/>
                <w:szCs w:val="20"/>
              </w:rPr>
            </w:pPr>
            <w:r w:rsidRPr="00957605">
              <w:rPr>
                <w:rFonts w:ascii="Calibri" w:hAnsi="Calibri" w:cs="Calibri"/>
                <w:color w:val="000000"/>
                <w:sz w:val="20"/>
                <w:szCs w:val="20"/>
              </w:rPr>
              <w:t>1</w:t>
            </w:r>
          </w:p>
        </w:tc>
        <w:tc>
          <w:tcPr>
            <w:tcW w:w="1350" w:type="dxa"/>
            <w:tcBorders>
              <w:top w:val="nil"/>
              <w:left w:val="nil"/>
              <w:bottom w:val="single" w:sz="4" w:space="0" w:color="000000"/>
              <w:right w:val="single" w:sz="4" w:space="0" w:color="000000"/>
            </w:tcBorders>
            <w:vAlign w:val="center"/>
          </w:tcPr>
          <w:p w:rsidR="00ED7C7A" w:rsidRPr="00957605" w:rsidP="00CB3598" w14:paraId="25A64C40" w14:textId="725F2D12">
            <w:pPr>
              <w:widowControl/>
              <w:spacing w:before="60" w:after="60"/>
              <w:jc w:val="center"/>
              <w:rPr>
                <w:rFonts w:ascii="Calibri" w:eastAsia="Calibri" w:hAnsi="Calibri" w:cs="Calibri"/>
                <w:color w:val="000000"/>
                <w:sz w:val="20"/>
                <w:szCs w:val="20"/>
              </w:rPr>
            </w:pPr>
            <w:r w:rsidRPr="00957605">
              <w:rPr>
                <w:rFonts w:ascii="Calibri" w:hAnsi="Calibri" w:cs="Calibri"/>
                <w:color w:val="000000"/>
                <w:sz w:val="20"/>
                <w:szCs w:val="20"/>
              </w:rPr>
              <w:t>15</w:t>
            </w:r>
          </w:p>
        </w:tc>
        <w:tc>
          <w:tcPr>
            <w:tcW w:w="1260" w:type="dxa"/>
            <w:tcBorders>
              <w:top w:val="nil"/>
              <w:left w:val="nil"/>
              <w:bottom w:val="single" w:sz="4" w:space="0" w:color="000000"/>
              <w:right w:val="single" w:sz="4" w:space="0" w:color="000000"/>
            </w:tcBorders>
            <w:vAlign w:val="center"/>
          </w:tcPr>
          <w:p w:rsidR="00ED7C7A" w:rsidRPr="00957605" w:rsidP="00CB3598" w14:paraId="77C7F8EE" w14:textId="48510526">
            <w:pPr>
              <w:widowControl/>
              <w:spacing w:before="60" w:after="60"/>
              <w:jc w:val="center"/>
              <w:rPr>
                <w:rFonts w:ascii="Calibri" w:eastAsia="Calibri" w:hAnsi="Calibri" w:cs="Calibri"/>
                <w:color w:val="000000"/>
                <w:sz w:val="20"/>
                <w:szCs w:val="20"/>
              </w:rPr>
            </w:pPr>
            <w:r w:rsidRPr="00957605">
              <w:rPr>
                <w:rFonts w:ascii="Calibri" w:hAnsi="Calibri" w:cs="Calibri"/>
                <w:color w:val="000000"/>
                <w:sz w:val="20"/>
                <w:szCs w:val="20"/>
              </w:rPr>
              <w:t>0.25</w:t>
            </w:r>
          </w:p>
        </w:tc>
        <w:tc>
          <w:tcPr>
            <w:tcW w:w="1350" w:type="dxa"/>
            <w:tcBorders>
              <w:top w:val="nil"/>
              <w:left w:val="nil"/>
              <w:bottom w:val="single" w:sz="4" w:space="0" w:color="000000"/>
              <w:right w:val="single" w:sz="4" w:space="0" w:color="000000"/>
            </w:tcBorders>
            <w:vAlign w:val="center"/>
          </w:tcPr>
          <w:p w:rsidR="00ED7C7A" w:rsidRPr="00957605" w:rsidP="00CB3598" w14:paraId="4DA5BFD1" w14:textId="673F5526">
            <w:pPr>
              <w:widowControl/>
              <w:spacing w:before="60" w:after="60"/>
              <w:jc w:val="center"/>
              <w:rPr>
                <w:rFonts w:ascii="Calibri" w:eastAsia="Calibri" w:hAnsi="Calibri" w:cs="Calibri"/>
                <w:color w:val="000000"/>
                <w:sz w:val="20"/>
                <w:szCs w:val="20"/>
              </w:rPr>
            </w:pPr>
            <w:r>
              <w:rPr>
                <w:rFonts w:ascii="Calibri" w:hAnsi="Calibri" w:cs="Calibri"/>
                <w:color w:val="000000"/>
                <w:sz w:val="20"/>
                <w:szCs w:val="20"/>
              </w:rPr>
              <w:t>4</w:t>
            </w:r>
          </w:p>
        </w:tc>
        <w:tc>
          <w:tcPr>
            <w:tcW w:w="1530" w:type="dxa"/>
            <w:tcBorders>
              <w:top w:val="nil"/>
              <w:left w:val="nil"/>
              <w:bottom w:val="single" w:sz="4" w:space="0" w:color="000000"/>
              <w:right w:val="single" w:sz="4" w:space="0" w:color="000000"/>
            </w:tcBorders>
            <w:vAlign w:val="center"/>
          </w:tcPr>
          <w:p w:rsidR="00ED7C7A" w:rsidRPr="00957605" w:rsidP="00CB3598" w14:paraId="6ABC8A6B" w14:textId="03B2848D">
            <w:pPr>
              <w:widowControl/>
              <w:spacing w:before="60" w:after="60"/>
              <w:jc w:val="center"/>
              <w:rPr>
                <w:rFonts w:ascii="Calibri" w:eastAsia="Calibri" w:hAnsi="Calibri" w:cs="Calibri"/>
                <w:color w:val="000000"/>
                <w:sz w:val="20"/>
                <w:szCs w:val="20"/>
              </w:rPr>
            </w:pPr>
            <w:r w:rsidRPr="00957605">
              <w:rPr>
                <w:rFonts w:ascii="Calibri" w:hAnsi="Calibri" w:cs="Calibri"/>
                <w:color w:val="000000"/>
                <w:sz w:val="20"/>
                <w:szCs w:val="20"/>
              </w:rPr>
              <w:t>$</w:t>
            </w:r>
            <w:r w:rsidRPr="00957605" w:rsidR="004F6A98">
              <w:rPr>
                <w:rFonts w:ascii="Calibri" w:hAnsi="Calibri" w:cs="Calibri"/>
                <w:color w:val="000000"/>
                <w:sz w:val="20"/>
                <w:szCs w:val="20"/>
              </w:rPr>
              <w:t>27.83</w:t>
            </w:r>
          </w:p>
        </w:tc>
        <w:tc>
          <w:tcPr>
            <w:tcW w:w="1350" w:type="dxa"/>
            <w:tcBorders>
              <w:top w:val="nil"/>
              <w:left w:val="nil"/>
              <w:bottom w:val="single" w:sz="4" w:space="0" w:color="000000"/>
              <w:right w:val="single" w:sz="8" w:space="0" w:color="000000"/>
            </w:tcBorders>
            <w:vAlign w:val="center"/>
          </w:tcPr>
          <w:p w:rsidR="00ED7C7A" w:rsidRPr="00957605" w:rsidP="00CB3598" w14:paraId="5E170E60" w14:textId="65492B43">
            <w:pPr>
              <w:widowControl/>
              <w:spacing w:before="60" w:after="60"/>
              <w:jc w:val="center"/>
              <w:rPr>
                <w:rFonts w:ascii="Calibri" w:eastAsia="Calibri" w:hAnsi="Calibri" w:cs="Calibri"/>
                <w:color w:val="000000"/>
                <w:sz w:val="20"/>
                <w:szCs w:val="20"/>
              </w:rPr>
            </w:pPr>
            <w:r w:rsidRPr="00957605">
              <w:rPr>
                <w:rFonts w:ascii="Calibri" w:hAnsi="Calibri" w:cs="Calibri"/>
                <w:color w:val="000000"/>
                <w:sz w:val="20"/>
                <w:szCs w:val="20"/>
              </w:rPr>
              <w:t>$</w:t>
            </w:r>
            <w:r w:rsidRPr="00957605" w:rsidR="004F6A98">
              <w:rPr>
                <w:rFonts w:ascii="Calibri" w:hAnsi="Calibri" w:cs="Calibri"/>
                <w:color w:val="000000"/>
                <w:sz w:val="20"/>
                <w:szCs w:val="20"/>
              </w:rPr>
              <w:t>1</w:t>
            </w:r>
            <w:r w:rsidR="00CB3598">
              <w:rPr>
                <w:rFonts w:ascii="Calibri" w:hAnsi="Calibri" w:cs="Calibri"/>
                <w:color w:val="000000"/>
                <w:sz w:val="20"/>
                <w:szCs w:val="20"/>
              </w:rPr>
              <w:t>11</w:t>
            </w:r>
          </w:p>
        </w:tc>
      </w:tr>
      <w:tr w14:paraId="7639A49F" w14:textId="77777777" w:rsidTr="00CB3598">
        <w:tblPrEx>
          <w:tblW w:w="13900" w:type="dxa"/>
          <w:tblInd w:w="-140" w:type="dxa"/>
          <w:tblLayout w:type="fixed"/>
          <w:tblLook w:val="0400"/>
        </w:tblPrEx>
        <w:trPr>
          <w:trHeight w:val="300"/>
        </w:trPr>
        <w:tc>
          <w:tcPr>
            <w:tcW w:w="2560" w:type="dxa"/>
            <w:tcBorders>
              <w:top w:val="nil"/>
              <w:left w:val="single" w:sz="8" w:space="0" w:color="000000"/>
              <w:bottom w:val="single" w:sz="4" w:space="0" w:color="000000"/>
              <w:right w:val="single" w:sz="4" w:space="0" w:color="000000"/>
            </w:tcBorders>
            <w:vAlign w:val="center"/>
          </w:tcPr>
          <w:p w:rsidR="00ED7C7A" w:rsidRPr="00957605" w:rsidP="00CB3598" w14:paraId="57A6F9AB" w14:textId="18F246B6">
            <w:pPr>
              <w:widowControl/>
              <w:spacing w:before="60" w:after="60"/>
              <w:rPr>
                <w:rFonts w:ascii="Calibri" w:eastAsia="Calibri" w:hAnsi="Calibri" w:cs="Calibri"/>
                <w:color w:val="000000"/>
                <w:sz w:val="20"/>
                <w:szCs w:val="20"/>
              </w:rPr>
            </w:pPr>
            <w:r w:rsidRPr="00957605">
              <w:rPr>
                <w:rFonts w:ascii="Calibri" w:hAnsi="Calibri" w:cs="Calibri"/>
                <w:color w:val="000000"/>
                <w:sz w:val="20"/>
                <w:szCs w:val="20"/>
              </w:rPr>
              <w:t>Marine National Monument Daily Fishing Log</w:t>
            </w:r>
          </w:p>
        </w:tc>
        <w:tc>
          <w:tcPr>
            <w:tcW w:w="1890" w:type="dxa"/>
            <w:tcBorders>
              <w:top w:val="nil"/>
              <w:left w:val="nil"/>
              <w:bottom w:val="single" w:sz="4" w:space="0" w:color="000000"/>
              <w:right w:val="single" w:sz="4" w:space="0" w:color="000000"/>
            </w:tcBorders>
            <w:vAlign w:val="center"/>
          </w:tcPr>
          <w:p w:rsidR="00ED7C7A" w:rsidRPr="00957605" w:rsidP="00CB3598" w14:paraId="3BC4ED50" w14:textId="19D2F25D">
            <w:pPr>
              <w:widowControl/>
              <w:spacing w:before="60" w:after="60"/>
              <w:jc w:val="center"/>
              <w:rPr>
                <w:rFonts w:ascii="Calibri" w:eastAsia="Calibri" w:hAnsi="Calibri" w:cs="Calibri"/>
                <w:color w:val="000000"/>
                <w:sz w:val="20"/>
                <w:szCs w:val="20"/>
              </w:rPr>
            </w:pPr>
            <w:r w:rsidRPr="00957605">
              <w:rPr>
                <w:rFonts w:ascii="Calibri" w:hAnsi="Calibri" w:cs="Calibri"/>
                <w:color w:val="000000"/>
                <w:sz w:val="20"/>
                <w:szCs w:val="20"/>
              </w:rPr>
              <w:t>Vessel operator</w:t>
            </w:r>
          </w:p>
        </w:tc>
        <w:tc>
          <w:tcPr>
            <w:tcW w:w="1350" w:type="dxa"/>
            <w:tcBorders>
              <w:top w:val="nil"/>
              <w:left w:val="nil"/>
              <w:bottom w:val="single" w:sz="4" w:space="0" w:color="000000"/>
              <w:right w:val="single" w:sz="4" w:space="0" w:color="000000"/>
            </w:tcBorders>
            <w:vAlign w:val="center"/>
          </w:tcPr>
          <w:p w:rsidR="00ED7C7A" w:rsidRPr="00957605" w:rsidP="00CB3598" w14:paraId="0CD0E7E3" w14:textId="785CFF3A">
            <w:pPr>
              <w:widowControl/>
              <w:spacing w:before="60" w:after="60"/>
              <w:jc w:val="center"/>
              <w:rPr>
                <w:rFonts w:ascii="Calibri" w:eastAsia="Calibri" w:hAnsi="Calibri" w:cs="Calibri"/>
                <w:color w:val="000000"/>
                <w:sz w:val="20"/>
                <w:szCs w:val="20"/>
              </w:rPr>
            </w:pPr>
            <w:r w:rsidRPr="00957605">
              <w:rPr>
                <w:rFonts w:ascii="Calibri" w:hAnsi="Calibri" w:cs="Calibri"/>
                <w:color w:val="000000"/>
                <w:sz w:val="20"/>
                <w:szCs w:val="20"/>
              </w:rPr>
              <w:t>15</w:t>
            </w:r>
          </w:p>
        </w:tc>
        <w:tc>
          <w:tcPr>
            <w:tcW w:w="1260" w:type="dxa"/>
            <w:tcBorders>
              <w:top w:val="nil"/>
              <w:left w:val="nil"/>
              <w:bottom w:val="single" w:sz="4" w:space="0" w:color="000000"/>
              <w:right w:val="single" w:sz="4" w:space="0" w:color="000000"/>
            </w:tcBorders>
            <w:vAlign w:val="center"/>
          </w:tcPr>
          <w:p w:rsidR="00ED7C7A" w:rsidRPr="00957605" w:rsidP="00CB3598" w14:paraId="455CB06D" w14:textId="1180960B">
            <w:pPr>
              <w:widowControl/>
              <w:spacing w:before="60" w:after="60"/>
              <w:jc w:val="center"/>
              <w:rPr>
                <w:rFonts w:ascii="Calibri" w:eastAsia="Calibri" w:hAnsi="Calibri" w:cs="Calibri"/>
                <w:color w:val="000000"/>
                <w:sz w:val="20"/>
                <w:szCs w:val="20"/>
              </w:rPr>
            </w:pPr>
            <w:r w:rsidRPr="00957605">
              <w:rPr>
                <w:rFonts w:ascii="Calibri" w:hAnsi="Calibri" w:cs="Calibri"/>
                <w:color w:val="000000"/>
                <w:sz w:val="20"/>
                <w:szCs w:val="20"/>
              </w:rPr>
              <w:t>3</w:t>
            </w:r>
          </w:p>
        </w:tc>
        <w:tc>
          <w:tcPr>
            <w:tcW w:w="1350" w:type="dxa"/>
            <w:tcBorders>
              <w:top w:val="nil"/>
              <w:left w:val="nil"/>
              <w:bottom w:val="single" w:sz="4" w:space="0" w:color="000000"/>
              <w:right w:val="single" w:sz="4" w:space="0" w:color="000000"/>
            </w:tcBorders>
            <w:vAlign w:val="center"/>
          </w:tcPr>
          <w:p w:rsidR="00ED7C7A" w:rsidRPr="00957605" w:rsidP="00CB3598" w14:paraId="0FE931F2" w14:textId="7293BE5B">
            <w:pPr>
              <w:widowControl/>
              <w:spacing w:before="60" w:after="60"/>
              <w:jc w:val="center"/>
              <w:rPr>
                <w:rFonts w:ascii="Calibri" w:eastAsia="Calibri" w:hAnsi="Calibri" w:cs="Calibri"/>
                <w:color w:val="000000"/>
                <w:sz w:val="20"/>
                <w:szCs w:val="20"/>
              </w:rPr>
            </w:pPr>
            <w:r w:rsidRPr="00957605">
              <w:rPr>
                <w:rFonts w:ascii="Calibri" w:hAnsi="Calibri" w:cs="Calibri"/>
                <w:color w:val="000000"/>
                <w:sz w:val="20"/>
                <w:szCs w:val="20"/>
              </w:rPr>
              <w:t>45</w:t>
            </w:r>
          </w:p>
        </w:tc>
        <w:tc>
          <w:tcPr>
            <w:tcW w:w="1260" w:type="dxa"/>
            <w:tcBorders>
              <w:top w:val="nil"/>
              <w:left w:val="nil"/>
              <w:bottom w:val="single" w:sz="4" w:space="0" w:color="000000"/>
              <w:right w:val="single" w:sz="4" w:space="0" w:color="000000"/>
            </w:tcBorders>
            <w:vAlign w:val="center"/>
          </w:tcPr>
          <w:p w:rsidR="00ED7C7A" w:rsidRPr="00957605" w:rsidP="00CB3598" w14:paraId="002DDD6C" w14:textId="28FA9E8C">
            <w:pPr>
              <w:widowControl/>
              <w:spacing w:before="60" w:after="60"/>
              <w:jc w:val="center"/>
              <w:rPr>
                <w:rFonts w:ascii="Calibri" w:eastAsia="Calibri" w:hAnsi="Calibri" w:cs="Calibri"/>
                <w:color w:val="000000"/>
                <w:sz w:val="20"/>
                <w:szCs w:val="20"/>
              </w:rPr>
            </w:pPr>
            <w:r w:rsidRPr="00957605">
              <w:rPr>
                <w:rFonts w:ascii="Calibri" w:hAnsi="Calibri" w:cs="Calibri"/>
                <w:color w:val="000000"/>
                <w:sz w:val="20"/>
                <w:szCs w:val="20"/>
              </w:rPr>
              <w:t>0.33</w:t>
            </w:r>
          </w:p>
        </w:tc>
        <w:tc>
          <w:tcPr>
            <w:tcW w:w="1350" w:type="dxa"/>
            <w:tcBorders>
              <w:top w:val="nil"/>
              <w:left w:val="nil"/>
              <w:bottom w:val="single" w:sz="4" w:space="0" w:color="000000"/>
              <w:right w:val="single" w:sz="4" w:space="0" w:color="000000"/>
            </w:tcBorders>
            <w:vAlign w:val="center"/>
          </w:tcPr>
          <w:p w:rsidR="00ED7C7A" w:rsidRPr="00957605" w:rsidP="00CB3598" w14:paraId="7A9416CD" w14:textId="31A13382">
            <w:pPr>
              <w:widowControl/>
              <w:spacing w:before="60" w:after="60"/>
              <w:jc w:val="center"/>
              <w:rPr>
                <w:rFonts w:ascii="Calibri" w:eastAsia="Calibri" w:hAnsi="Calibri" w:cs="Calibri"/>
                <w:color w:val="000000"/>
                <w:sz w:val="20"/>
                <w:szCs w:val="20"/>
              </w:rPr>
            </w:pPr>
            <w:r>
              <w:rPr>
                <w:rFonts w:ascii="Calibri" w:hAnsi="Calibri" w:cs="Calibri"/>
                <w:color w:val="000000"/>
                <w:sz w:val="20"/>
                <w:szCs w:val="20"/>
              </w:rPr>
              <w:t>15</w:t>
            </w:r>
          </w:p>
        </w:tc>
        <w:tc>
          <w:tcPr>
            <w:tcW w:w="1530" w:type="dxa"/>
            <w:tcBorders>
              <w:top w:val="nil"/>
              <w:left w:val="nil"/>
              <w:bottom w:val="single" w:sz="4" w:space="0" w:color="000000"/>
              <w:right w:val="single" w:sz="4" w:space="0" w:color="000000"/>
            </w:tcBorders>
            <w:vAlign w:val="center"/>
          </w:tcPr>
          <w:p w:rsidR="00ED7C7A" w:rsidRPr="00957605" w:rsidP="00CB3598" w14:paraId="1E3BBAE0" w14:textId="1041C31E">
            <w:pPr>
              <w:widowControl/>
              <w:spacing w:before="60" w:after="60"/>
              <w:jc w:val="center"/>
              <w:rPr>
                <w:rFonts w:ascii="Calibri" w:eastAsia="Calibri" w:hAnsi="Calibri" w:cs="Calibri"/>
                <w:color w:val="000000"/>
                <w:sz w:val="20"/>
                <w:szCs w:val="20"/>
              </w:rPr>
            </w:pPr>
            <w:r w:rsidRPr="00957605">
              <w:rPr>
                <w:rFonts w:ascii="Calibri" w:hAnsi="Calibri" w:cs="Calibri"/>
                <w:color w:val="000000"/>
                <w:sz w:val="20"/>
                <w:szCs w:val="20"/>
              </w:rPr>
              <w:t>$22.32</w:t>
            </w:r>
          </w:p>
        </w:tc>
        <w:tc>
          <w:tcPr>
            <w:tcW w:w="1350" w:type="dxa"/>
            <w:tcBorders>
              <w:top w:val="nil"/>
              <w:left w:val="nil"/>
              <w:bottom w:val="single" w:sz="4" w:space="0" w:color="000000"/>
              <w:right w:val="single" w:sz="8" w:space="0" w:color="000000"/>
            </w:tcBorders>
            <w:vAlign w:val="center"/>
          </w:tcPr>
          <w:p w:rsidR="00ED7C7A" w:rsidRPr="00957605" w:rsidP="00CB3598" w14:paraId="747CE3BC" w14:textId="794E834B">
            <w:pPr>
              <w:widowControl/>
              <w:spacing w:before="60" w:after="60"/>
              <w:jc w:val="center"/>
              <w:rPr>
                <w:rFonts w:ascii="Calibri" w:eastAsia="Calibri" w:hAnsi="Calibri" w:cs="Calibri"/>
                <w:color w:val="000000"/>
                <w:sz w:val="20"/>
                <w:szCs w:val="20"/>
              </w:rPr>
            </w:pPr>
            <w:r w:rsidRPr="00957605">
              <w:rPr>
                <w:rFonts w:ascii="Calibri" w:hAnsi="Calibri" w:cs="Calibri"/>
                <w:color w:val="000000"/>
                <w:sz w:val="20"/>
                <w:szCs w:val="20"/>
              </w:rPr>
              <w:t>$33</w:t>
            </w:r>
            <w:r w:rsidR="00CB3598">
              <w:rPr>
                <w:rFonts w:ascii="Calibri" w:hAnsi="Calibri" w:cs="Calibri"/>
                <w:color w:val="000000"/>
                <w:sz w:val="20"/>
                <w:szCs w:val="20"/>
              </w:rPr>
              <w:t>5</w:t>
            </w:r>
          </w:p>
        </w:tc>
      </w:tr>
      <w:tr w14:paraId="54A631A8" w14:textId="77777777" w:rsidTr="00CB3598">
        <w:tblPrEx>
          <w:tblW w:w="13900" w:type="dxa"/>
          <w:tblInd w:w="-140" w:type="dxa"/>
          <w:tblLayout w:type="fixed"/>
          <w:tblLook w:val="0400"/>
        </w:tblPrEx>
        <w:trPr>
          <w:trHeight w:val="615"/>
        </w:trPr>
        <w:tc>
          <w:tcPr>
            <w:tcW w:w="2560" w:type="dxa"/>
            <w:tcBorders>
              <w:top w:val="nil"/>
              <w:left w:val="single" w:sz="8" w:space="0" w:color="000000"/>
              <w:bottom w:val="single" w:sz="8" w:space="0" w:color="000000"/>
              <w:right w:val="single" w:sz="8" w:space="0" w:color="000000"/>
            </w:tcBorders>
            <w:shd w:val="clear" w:color="auto" w:fill="DDEBF7"/>
            <w:vAlign w:val="center"/>
          </w:tcPr>
          <w:p w:rsidR="00ED7C7A" w:rsidP="00CB3598" w14:paraId="7272D37A" w14:textId="77777777">
            <w:pPr>
              <w:widowControl/>
              <w:spacing w:before="60" w:after="60"/>
              <w:jc w:val="center"/>
              <w:rPr>
                <w:rFonts w:ascii="Calibri" w:eastAsia="Calibri" w:hAnsi="Calibri" w:cs="Calibri"/>
                <w:b/>
                <w:bCs/>
                <w:color w:val="000000"/>
              </w:rPr>
            </w:pPr>
            <w:r>
              <w:rPr>
                <w:rFonts w:ascii="Calibri" w:eastAsia="Calibri" w:hAnsi="Calibri" w:cs="Calibri"/>
                <w:b/>
                <w:bCs/>
                <w:color w:val="000000"/>
              </w:rPr>
              <w:t>Totals</w:t>
            </w:r>
          </w:p>
        </w:tc>
        <w:tc>
          <w:tcPr>
            <w:tcW w:w="1890" w:type="dxa"/>
            <w:tcBorders>
              <w:top w:val="nil"/>
              <w:left w:val="nil"/>
              <w:bottom w:val="single" w:sz="8" w:space="0" w:color="000000"/>
              <w:right w:val="single" w:sz="8" w:space="0" w:color="000000"/>
            </w:tcBorders>
            <w:shd w:val="clear" w:color="auto" w:fill="000000"/>
            <w:vAlign w:val="center"/>
          </w:tcPr>
          <w:p w:rsidR="00ED7C7A" w:rsidP="00CB3598" w14:paraId="3A27F3F2" w14:textId="45E714EA">
            <w:pPr>
              <w:widowControl/>
              <w:spacing w:before="60" w:after="60"/>
              <w:jc w:val="center"/>
              <w:rPr>
                <w:rFonts w:ascii="Calibri" w:eastAsia="Calibri" w:hAnsi="Calibri" w:cs="Calibri"/>
                <w:b/>
                <w:bCs/>
                <w:color w:val="000000"/>
              </w:rPr>
            </w:pPr>
          </w:p>
        </w:tc>
        <w:tc>
          <w:tcPr>
            <w:tcW w:w="1350" w:type="dxa"/>
            <w:tcBorders>
              <w:top w:val="nil"/>
              <w:left w:val="nil"/>
              <w:bottom w:val="single" w:sz="8" w:space="0" w:color="000000"/>
              <w:right w:val="single" w:sz="8" w:space="0" w:color="000000"/>
            </w:tcBorders>
            <w:shd w:val="clear" w:color="auto" w:fill="000000"/>
            <w:vAlign w:val="center"/>
          </w:tcPr>
          <w:p w:rsidR="00ED7C7A" w:rsidP="00CB3598" w14:paraId="29C651DF" w14:textId="4D1A25A1">
            <w:pPr>
              <w:widowControl/>
              <w:spacing w:before="60" w:after="60"/>
              <w:jc w:val="center"/>
              <w:rPr>
                <w:rFonts w:ascii="Calibri" w:eastAsia="Calibri" w:hAnsi="Calibri" w:cs="Calibri"/>
                <w:b/>
                <w:bCs/>
                <w:color w:val="000000"/>
              </w:rPr>
            </w:pPr>
          </w:p>
        </w:tc>
        <w:tc>
          <w:tcPr>
            <w:tcW w:w="1260" w:type="dxa"/>
            <w:tcBorders>
              <w:top w:val="nil"/>
              <w:left w:val="nil"/>
              <w:bottom w:val="single" w:sz="8" w:space="0" w:color="000000"/>
              <w:right w:val="single" w:sz="8" w:space="0" w:color="000000"/>
            </w:tcBorders>
            <w:shd w:val="clear" w:color="auto" w:fill="000000"/>
            <w:vAlign w:val="center"/>
          </w:tcPr>
          <w:p w:rsidR="00ED7C7A" w:rsidP="00CB3598" w14:paraId="383FB260" w14:textId="7F227C68">
            <w:pPr>
              <w:widowControl/>
              <w:spacing w:before="60" w:after="60"/>
              <w:jc w:val="center"/>
              <w:rPr>
                <w:rFonts w:ascii="Calibri" w:eastAsia="Calibri" w:hAnsi="Calibri" w:cs="Calibri"/>
                <w:b/>
                <w:bCs/>
                <w:color w:val="000000"/>
              </w:rPr>
            </w:pPr>
          </w:p>
        </w:tc>
        <w:tc>
          <w:tcPr>
            <w:tcW w:w="1350" w:type="dxa"/>
            <w:tcBorders>
              <w:top w:val="nil"/>
              <w:left w:val="nil"/>
              <w:bottom w:val="single" w:sz="8" w:space="0" w:color="000000"/>
              <w:right w:val="single" w:sz="8" w:space="0" w:color="000000"/>
            </w:tcBorders>
            <w:shd w:val="clear" w:color="auto" w:fill="DDEBF7"/>
            <w:vAlign w:val="center"/>
          </w:tcPr>
          <w:p w:rsidR="00ED7C7A" w:rsidP="00CB3598" w14:paraId="7EAAE8F5" w14:textId="690BA9B3">
            <w:pPr>
              <w:widowControl/>
              <w:spacing w:before="60" w:after="60"/>
              <w:jc w:val="center"/>
              <w:rPr>
                <w:rFonts w:ascii="Calibri" w:eastAsia="Calibri" w:hAnsi="Calibri" w:cs="Calibri"/>
                <w:b/>
                <w:bCs/>
                <w:color w:val="000000"/>
              </w:rPr>
            </w:pPr>
            <w:r>
              <w:rPr>
                <w:rFonts w:ascii="Calibri" w:eastAsia="Calibri" w:hAnsi="Calibri" w:cs="Calibri"/>
                <w:b/>
                <w:bCs/>
                <w:color w:val="000000"/>
              </w:rPr>
              <w:t>60</w:t>
            </w:r>
          </w:p>
        </w:tc>
        <w:tc>
          <w:tcPr>
            <w:tcW w:w="1260" w:type="dxa"/>
            <w:tcBorders>
              <w:top w:val="nil"/>
              <w:left w:val="nil"/>
              <w:bottom w:val="single" w:sz="8" w:space="0" w:color="000000"/>
              <w:right w:val="single" w:sz="8" w:space="0" w:color="000000"/>
            </w:tcBorders>
            <w:shd w:val="clear" w:color="auto" w:fill="000000"/>
            <w:vAlign w:val="center"/>
          </w:tcPr>
          <w:p w:rsidR="00ED7C7A" w:rsidP="00CB3598" w14:paraId="7DB80845" w14:textId="10C0D8DF">
            <w:pPr>
              <w:widowControl/>
              <w:spacing w:before="60" w:after="60"/>
              <w:jc w:val="center"/>
              <w:rPr>
                <w:rFonts w:ascii="Calibri" w:eastAsia="Calibri" w:hAnsi="Calibri" w:cs="Calibri"/>
                <w:b/>
                <w:bCs/>
                <w:color w:val="000000"/>
              </w:rPr>
            </w:pPr>
          </w:p>
        </w:tc>
        <w:tc>
          <w:tcPr>
            <w:tcW w:w="1350" w:type="dxa"/>
            <w:tcBorders>
              <w:top w:val="nil"/>
              <w:left w:val="nil"/>
              <w:bottom w:val="single" w:sz="8" w:space="0" w:color="000000"/>
              <w:right w:val="single" w:sz="8" w:space="0" w:color="000000"/>
            </w:tcBorders>
            <w:shd w:val="clear" w:color="auto" w:fill="DDEBF7"/>
            <w:vAlign w:val="center"/>
          </w:tcPr>
          <w:p w:rsidR="00ED7C7A" w:rsidP="00CB3598" w14:paraId="18223648" w14:textId="7F7A250B">
            <w:pPr>
              <w:widowControl/>
              <w:spacing w:before="60" w:after="60"/>
              <w:jc w:val="center"/>
              <w:rPr>
                <w:rFonts w:ascii="Calibri" w:eastAsia="Calibri" w:hAnsi="Calibri" w:cs="Calibri"/>
                <w:b/>
                <w:bCs/>
                <w:color w:val="000000"/>
              </w:rPr>
            </w:pPr>
            <w:r>
              <w:rPr>
                <w:rFonts w:ascii="Calibri" w:eastAsia="Calibri" w:hAnsi="Calibri" w:cs="Calibri"/>
                <w:b/>
                <w:bCs/>
                <w:color w:val="000000"/>
              </w:rPr>
              <w:t>19</w:t>
            </w:r>
          </w:p>
        </w:tc>
        <w:tc>
          <w:tcPr>
            <w:tcW w:w="1530" w:type="dxa"/>
            <w:tcBorders>
              <w:top w:val="nil"/>
              <w:left w:val="nil"/>
              <w:bottom w:val="single" w:sz="8" w:space="0" w:color="000000"/>
              <w:right w:val="single" w:sz="8" w:space="0" w:color="000000"/>
            </w:tcBorders>
            <w:shd w:val="clear" w:color="auto" w:fill="000000"/>
            <w:vAlign w:val="center"/>
          </w:tcPr>
          <w:p w:rsidR="00ED7C7A" w:rsidP="00CB3598" w14:paraId="73891B54" w14:textId="0BEC2237">
            <w:pPr>
              <w:widowControl/>
              <w:spacing w:before="60" w:after="60"/>
              <w:jc w:val="center"/>
              <w:rPr>
                <w:rFonts w:ascii="Calibri" w:eastAsia="Calibri" w:hAnsi="Calibri" w:cs="Calibri"/>
                <w:b/>
                <w:bCs/>
                <w:color w:val="000000"/>
              </w:rPr>
            </w:pPr>
          </w:p>
        </w:tc>
        <w:tc>
          <w:tcPr>
            <w:tcW w:w="1350" w:type="dxa"/>
            <w:tcBorders>
              <w:top w:val="nil"/>
              <w:left w:val="nil"/>
              <w:bottom w:val="single" w:sz="8" w:space="0" w:color="000000"/>
              <w:right w:val="single" w:sz="8" w:space="0" w:color="000000"/>
            </w:tcBorders>
            <w:shd w:val="clear" w:color="auto" w:fill="DDEBF7"/>
            <w:vAlign w:val="center"/>
          </w:tcPr>
          <w:p w:rsidR="00ED7C7A" w:rsidP="00CB3598" w14:paraId="6DEA680A" w14:textId="1FE867E8">
            <w:pPr>
              <w:widowControl/>
              <w:spacing w:before="60" w:after="60"/>
              <w:jc w:val="center"/>
              <w:rPr>
                <w:rFonts w:ascii="Calibri" w:eastAsia="Calibri" w:hAnsi="Calibri" w:cs="Calibri"/>
                <w:b/>
                <w:bCs/>
                <w:color w:val="000000"/>
              </w:rPr>
            </w:pPr>
            <w:r>
              <w:rPr>
                <w:rFonts w:ascii="Calibri" w:eastAsia="Calibri" w:hAnsi="Calibri" w:cs="Calibri"/>
                <w:b/>
                <w:bCs/>
                <w:color w:val="000000"/>
              </w:rPr>
              <w:t>$</w:t>
            </w:r>
            <w:r w:rsidR="00E50EB8">
              <w:rPr>
                <w:rFonts w:ascii="Calibri" w:eastAsia="Calibri" w:hAnsi="Calibri" w:cs="Calibri"/>
                <w:b/>
                <w:bCs/>
                <w:color w:val="000000"/>
              </w:rPr>
              <w:t>4</w:t>
            </w:r>
            <w:r w:rsidR="00CB3598">
              <w:rPr>
                <w:rFonts w:ascii="Calibri" w:eastAsia="Calibri" w:hAnsi="Calibri" w:cs="Calibri"/>
                <w:b/>
                <w:bCs/>
                <w:color w:val="000000"/>
              </w:rPr>
              <w:t>46</w:t>
            </w:r>
          </w:p>
        </w:tc>
      </w:tr>
    </w:tbl>
    <w:p w:rsidR="00DC3FDB" w:rsidP="005E0D0C" w14:paraId="06CBD4C6" w14:textId="77777777">
      <w:pPr>
        <w:spacing w:before="240"/>
        <w:rPr>
          <w:b/>
          <w:bCs/>
          <w:color w:val="FF0000"/>
        </w:rPr>
      </w:pPr>
    </w:p>
    <w:p w:rsidR="00DC3FDB" w:rsidP="005E0D0C" w14:paraId="40F780A7" w14:textId="77777777">
      <w:pPr>
        <w:spacing w:before="240"/>
        <w:ind w:hanging="43"/>
        <w:rPr>
          <w:b/>
          <w:bCs/>
          <w:highlight w:val="yellow"/>
        </w:rPr>
        <w:sectPr w:rsidSect="00CB3598">
          <w:type w:val="continuous"/>
          <w:pgSz w:w="15840" w:h="12240" w:orient="landscape"/>
          <w:pgMar w:top="810" w:right="1440" w:bottom="990" w:left="1440" w:header="0" w:footer="714" w:gutter="0"/>
          <w:cols w:space="720"/>
          <w:docGrid w:linePitch="326"/>
        </w:sectPr>
      </w:pPr>
    </w:p>
    <w:p w:rsidR="00DC3FDB" w:rsidP="005E0D0C" w14:paraId="51E5192F" w14:textId="77777777">
      <w:pPr>
        <w:numPr>
          <w:ilvl w:val="0"/>
          <w:numId w:val="9"/>
        </w:numPr>
        <w:pBdr>
          <w:top w:val="nil"/>
          <w:left w:val="nil"/>
          <w:bottom w:val="nil"/>
          <w:right w:val="nil"/>
          <w:between w:val="nil"/>
        </w:pBdr>
        <w:tabs>
          <w:tab w:val="left" w:pos="360"/>
        </w:tabs>
        <w:spacing w:before="240"/>
        <w:ind w:left="0" w:firstLine="0"/>
        <w:rPr>
          <w:b/>
          <w:bCs/>
          <w:color w:val="000000"/>
        </w:rPr>
      </w:pPr>
      <w:r>
        <w:rPr>
          <w:b/>
          <w:bCs/>
          <w:color w:val="000000"/>
        </w:rPr>
        <w:t>Provide an estimate for the total annual cost burden to respondents or record keepers resulting from the collection of information. (Do not include the cost of any hour burden already reflected on the burden worksheet).</w:t>
      </w:r>
    </w:p>
    <w:p w:rsidR="00E13152" w:rsidRPr="00093A56" w:rsidP="005E0D0C" w14:paraId="7D70299D" w14:textId="6C492010">
      <w:pPr>
        <w:widowControl/>
        <w:spacing w:before="240"/>
      </w:pPr>
      <w:r w:rsidRPr="00F34C1B">
        <w:t xml:space="preserve">There is no start-up capital cost for complying with this requirement. </w:t>
      </w:r>
      <w:r>
        <w:t>Permit applicants may submit applications via secure email. Permit holders may</w:t>
      </w:r>
      <w:r w:rsidRPr="00F34C1B">
        <w:t xml:space="preserve"> use paper forms provided by NM</w:t>
      </w:r>
      <w:r>
        <w:t>FS for daily logs</w:t>
      </w:r>
      <w:r w:rsidRPr="00F34C1B">
        <w:t xml:space="preserve">. </w:t>
      </w:r>
      <w:r>
        <w:t>Based on an annual estimate of 45 daily logs</w:t>
      </w:r>
      <w:r w:rsidR="00441D92">
        <w:t xml:space="preserve"> and $0.</w:t>
      </w:r>
      <w:r w:rsidR="00606DF3">
        <w:t>78</w:t>
      </w:r>
      <w:r w:rsidR="00441D92">
        <w:t xml:space="preserve"> for the cost of a postage stamp in 2026</w:t>
      </w:r>
      <w:r w:rsidRPr="00F34C1B">
        <w:t>, t</w:t>
      </w:r>
      <w:r>
        <w:t xml:space="preserve">he maximum </w:t>
      </w:r>
      <w:r w:rsidRPr="00F34C1B">
        <w:t xml:space="preserve">estimated cost to respondents for </w:t>
      </w:r>
      <w:r>
        <w:t>postage</w:t>
      </w:r>
      <w:r w:rsidRPr="00F34C1B">
        <w:t xml:space="preserve"> related to this collection is </w:t>
      </w:r>
      <w:r>
        <w:t>$</w:t>
      </w:r>
      <w:r w:rsidR="00606DF3">
        <w:t>35</w:t>
      </w:r>
      <w:r w:rsidRPr="00F34C1B">
        <w:t xml:space="preserve"> per year</w:t>
      </w:r>
      <w:r w:rsidR="00441D92">
        <w:t>.</w:t>
      </w:r>
    </w:p>
    <w:p w:rsidR="00DC3FDB" w:rsidP="005E0D0C" w14:paraId="294B9EBD" w14:textId="77777777">
      <w:pPr>
        <w:pBdr>
          <w:top w:val="nil"/>
          <w:left w:val="nil"/>
          <w:bottom w:val="nil"/>
          <w:right w:val="nil"/>
          <w:between w:val="nil"/>
        </w:pBdr>
        <w:spacing w:before="240"/>
        <w:rPr>
          <w:b/>
          <w:bCs/>
          <w:color w:val="000000"/>
        </w:rPr>
      </w:pPr>
    </w:p>
    <w:tbl>
      <w:tblPr>
        <w:tblStyle w:val="a1"/>
        <w:tblW w:w="10275" w:type="dxa"/>
        <w:jc w:val="center"/>
        <w:tblLayout w:type="fixed"/>
        <w:tblLook w:val="0400"/>
      </w:tblPr>
      <w:tblGrid>
        <w:gridCol w:w="2791"/>
        <w:gridCol w:w="1479"/>
        <w:gridCol w:w="1415"/>
        <w:gridCol w:w="1620"/>
        <w:gridCol w:w="1440"/>
        <w:gridCol w:w="1530"/>
      </w:tblGrid>
      <w:tr w14:paraId="3A5FF974" w14:textId="77777777" w:rsidTr="00606DF3">
        <w:tblPrEx>
          <w:tblW w:w="10275" w:type="dxa"/>
          <w:jc w:val="center"/>
          <w:tblLayout w:type="fixed"/>
          <w:tblLook w:val="0400"/>
        </w:tblPrEx>
        <w:trPr>
          <w:trHeight w:val="915"/>
          <w:jc w:val="center"/>
        </w:trPr>
        <w:tc>
          <w:tcPr>
            <w:tcW w:w="2791" w:type="dxa"/>
            <w:tcBorders>
              <w:top w:val="single" w:sz="8" w:space="0" w:color="000000"/>
              <w:left w:val="single" w:sz="8" w:space="0" w:color="000000"/>
              <w:bottom w:val="single" w:sz="8" w:space="0" w:color="000000"/>
              <w:right w:val="single" w:sz="8" w:space="0" w:color="000000"/>
            </w:tcBorders>
            <w:shd w:val="clear" w:color="auto" w:fill="BDD7EE"/>
            <w:vAlign w:val="center"/>
          </w:tcPr>
          <w:p w:rsidR="00DC3FDB" w:rsidRPr="00957605" w:rsidP="00606DF3" w14:paraId="551574D4" w14:textId="77777777">
            <w:pPr>
              <w:widowControl/>
              <w:spacing w:before="60" w:after="60"/>
              <w:jc w:val="center"/>
              <w:rPr>
                <w:rFonts w:ascii="Calibri" w:eastAsia="Calibri" w:hAnsi="Calibri" w:cs="Calibri"/>
                <w:b/>
                <w:bCs/>
                <w:color w:val="000000"/>
                <w:sz w:val="20"/>
                <w:szCs w:val="20"/>
              </w:rPr>
            </w:pPr>
            <w:r w:rsidRPr="00957605">
              <w:rPr>
                <w:rFonts w:ascii="Calibri" w:eastAsia="Calibri" w:hAnsi="Calibri" w:cs="Calibri"/>
                <w:b/>
                <w:bCs/>
                <w:color w:val="000000"/>
                <w:sz w:val="20"/>
                <w:szCs w:val="20"/>
              </w:rPr>
              <w:t>Information Collection</w:t>
            </w:r>
          </w:p>
        </w:tc>
        <w:tc>
          <w:tcPr>
            <w:tcW w:w="1479" w:type="dxa"/>
            <w:tcBorders>
              <w:top w:val="single" w:sz="8" w:space="0" w:color="000000"/>
              <w:left w:val="nil"/>
              <w:bottom w:val="single" w:sz="8" w:space="0" w:color="000000"/>
              <w:right w:val="single" w:sz="8" w:space="0" w:color="000000"/>
            </w:tcBorders>
            <w:shd w:val="clear" w:color="auto" w:fill="BDD7EE"/>
            <w:vAlign w:val="center"/>
          </w:tcPr>
          <w:p w:rsidR="00DC3FDB" w:rsidRPr="00957605" w:rsidP="00606DF3" w14:paraId="332FBD63" w14:textId="77777777">
            <w:pPr>
              <w:widowControl/>
              <w:spacing w:before="60" w:after="60"/>
              <w:jc w:val="center"/>
              <w:rPr>
                <w:rFonts w:ascii="Calibri" w:eastAsia="Calibri" w:hAnsi="Calibri" w:cs="Calibri"/>
                <w:b/>
                <w:bCs/>
                <w:color w:val="000000"/>
                <w:sz w:val="20"/>
                <w:szCs w:val="20"/>
              </w:rPr>
            </w:pPr>
            <w:r w:rsidRPr="00957605">
              <w:rPr>
                <w:rFonts w:ascii="Calibri" w:eastAsia="Calibri" w:hAnsi="Calibri" w:cs="Calibri"/>
                <w:b/>
                <w:bCs/>
                <w:color w:val="000000"/>
                <w:sz w:val="20"/>
                <w:szCs w:val="20"/>
              </w:rPr>
              <w:t># of Respondents/year</w:t>
            </w:r>
            <w:r w:rsidRPr="00957605">
              <w:rPr>
                <w:rFonts w:ascii="Calibri" w:eastAsia="Calibri" w:hAnsi="Calibri" w:cs="Calibri"/>
                <w:b/>
                <w:bCs/>
                <w:color w:val="000000"/>
                <w:sz w:val="20"/>
                <w:szCs w:val="20"/>
              </w:rPr>
              <w:br/>
              <w:t>(a)</w:t>
            </w:r>
          </w:p>
        </w:tc>
        <w:tc>
          <w:tcPr>
            <w:tcW w:w="1415" w:type="dxa"/>
            <w:tcBorders>
              <w:top w:val="single" w:sz="8" w:space="0" w:color="000000"/>
              <w:left w:val="nil"/>
              <w:bottom w:val="single" w:sz="8" w:space="0" w:color="000000"/>
              <w:right w:val="single" w:sz="8" w:space="0" w:color="000000"/>
            </w:tcBorders>
            <w:shd w:val="clear" w:color="auto" w:fill="BDD7EE"/>
            <w:vAlign w:val="center"/>
          </w:tcPr>
          <w:p w:rsidR="00DC3FDB" w:rsidRPr="00957605" w:rsidP="00606DF3" w14:paraId="498146AC" w14:textId="77777777">
            <w:pPr>
              <w:widowControl/>
              <w:spacing w:before="60" w:after="60"/>
              <w:jc w:val="center"/>
              <w:rPr>
                <w:rFonts w:ascii="Calibri" w:eastAsia="Calibri" w:hAnsi="Calibri" w:cs="Calibri"/>
                <w:b/>
                <w:bCs/>
                <w:color w:val="000000"/>
                <w:sz w:val="20"/>
                <w:szCs w:val="20"/>
              </w:rPr>
            </w:pPr>
            <w:r w:rsidRPr="00957605">
              <w:rPr>
                <w:rFonts w:ascii="Calibri" w:eastAsia="Calibri" w:hAnsi="Calibri" w:cs="Calibri"/>
                <w:b/>
                <w:bCs/>
                <w:color w:val="000000"/>
                <w:sz w:val="20"/>
                <w:szCs w:val="20"/>
              </w:rPr>
              <w:t>Annual # of Responses / Respondent</w:t>
            </w:r>
            <w:r w:rsidRPr="00957605">
              <w:rPr>
                <w:rFonts w:ascii="Calibri" w:eastAsia="Calibri" w:hAnsi="Calibri" w:cs="Calibri"/>
                <w:b/>
                <w:bCs/>
                <w:color w:val="000000"/>
                <w:sz w:val="20"/>
                <w:szCs w:val="20"/>
              </w:rPr>
              <w:br/>
              <w:t>(b)</w:t>
            </w:r>
          </w:p>
        </w:tc>
        <w:tc>
          <w:tcPr>
            <w:tcW w:w="1620" w:type="dxa"/>
            <w:tcBorders>
              <w:top w:val="single" w:sz="8" w:space="0" w:color="000000"/>
              <w:left w:val="nil"/>
              <w:bottom w:val="single" w:sz="8" w:space="0" w:color="000000"/>
              <w:right w:val="single" w:sz="8" w:space="0" w:color="000000"/>
            </w:tcBorders>
            <w:shd w:val="clear" w:color="auto" w:fill="BDD7EE"/>
            <w:vAlign w:val="center"/>
          </w:tcPr>
          <w:p w:rsidR="00DC3FDB" w:rsidRPr="00957605" w:rsidP="00606DF3" w14:paraId="7F8107CD" w14:textId="4CC3870D">
            <w:pPr>
              <w:widowControl/>
              <w:spacing w:before="60" w:after="60"/>
              <w:jc w:val="center"/>
              <w:rPr>
                <w:rFonts w:ascii="Calibri" w:eastAsia="Calibri" w:hAnsi="Calibri" w:cs="Calibri"/>
                <w:b/>
                <w:bCs/>
                <w:color w:val="000000"/>
                <w:sz w:val="20"/>
                <w:szCs w:val="20"/>
              </w:rPr>
            </w:pPr>
            <w:r w:rsidRPr="00957605">
              <w:rPr>
                <w:rFonts w:ascii="Calibri" w:eastAsia="Calibri" w:hAnsi="Calibri" w:cs="Calibri"/>
                <w:b/>
                <w:bCs/>
                <w:color w:val="000000"/>
                <w:sz w:val="20"/>
                <w:szCs w:val="20"/>
              </w:rPr>
              <w:t>Total # of Annual Responses</w:t>
            </w:r>
            <w:r w:rsidRPr="00957605">
              <w:rPr>
                <w:rFonts w:ascii="Calibri" w:eastAsia="Calibri" w:hAnsi="Calibri" w:cs="Calibri"/>
                <w:b/>
                <w:bCs/>
                <w:color w:val="000000"/>
                <w:sz w:val="20"/>
                <w:szCs w:val="20"/>
              </w:rPr>
              <w:br/>
              <w:t>(c) = (a) x (b)</w:t>
            </w:r>
          </w:p>
        </w:tc>
        <w:tc>
          <w:tcPr>
            <w:tcW w:w="1440" w:type="dxa"/>
            <w:tcBorders>
              <w:top w:val="single" w:sz="8" w:space="0" w:color="000000"/>
              <w:left w:val="nil"/>
              <w:bottom w:val="single" w:sz="8" w:space="0" w:color="000000"/>
              <w:right w:val="single" w:sz="8" w:space="0" w:color="000000"/>
            </w:tcBorders>
            <w:shd w:val="clear" w:color="auto" w:fill="BDD7EE"/>
            <w:vAlign w:val="center"/>
          </w:tcPr>
          <w:p w:rsidR="00DC3FDB" w:rsidRPr="00957605" w:rsidP="00606DF3" w14:paraId="14154314" w14:textId="77777777">
            <w:pPr>
              <w:widowControl/>
              <w:spacing w:before="60" w:after="60"/>
              <w:jc w:val="center"/>
              <w:rPr>
                <w:rFonts w:ascii="Calibri" w:eastAsia="Calibri" w:hAnsi="Calibri" w:cs="Calibri"/>
                <w:b/>
                <w:bCs/>
                <w:color w:val="000000"/>
                <w:sz w:val="20"/>
                <w:szCs w:val="20"/>
              </w:rPr>
            </w:pPr>
            <w:r w:rsidRPr="00957605">
              <w:rPr>
                <w:rFonts w:ascii="Calibri" w:eastAsia="Calibri" w:hAnsi="Calibri" w:cs="Calibri"/>
                <w:b/>
                <w:bCs/>
                <w:color w:val="000000"/>
                <w:sz w:val="20"/>
                <w:szCs w:val="20"/>
              </w:rPr>
              <w:t>Cost Burden / Respondent</w:t>
            </w:r>
            <w:r w:rsidRPr="00957605">
              <w:rPr>
                <w:rFonts w:ascii="Calibri" w:eastAsia="Calibri" w:hAnsi="Calibri" w:cs="Calibri"/>
                <w:b/>
                <w:bCs/>
                <w:color w:val="000000"/>
                <w:sz w:val="20"/>
                <w:szCs w:val="20"/>
              </w:rPr>
              <w:br/>
              <w:t>(h)</w:t>
            </w:r>
          </w:p>
        </w:tc>
        <w:tc>
          <w:tcPr>
            <w:tcW w:w="1530" w:type="dxa"/>
            <w:tcBorders>
              <w:top w:val="single" w:sz="8" w:space="0" w:color="000000"/>
              <w:left w:val="nil"/>
              <w:bottom w:val="single" w:sz="8" w:space="0" w:color="000000"/>
              <w:right w:val="single" w:sz="8" w:space="0" w:color="000000"/>
            </w:tcBorders>
            <w:shd w:val="clear" w:color="auto" w:fill="BDD7EE"/>
            <w:vAlign w:val="center"/>
          </w:tcPr>
          <w:p w:rsidR="00DC3FDB" w:rsidRPr="00957605" w:rsidP="00606DF3" w14:paraId="0EBB16A2" w14:textId="77777777">
            <w:pPr>
              <w:widowControl/>
              <w:spacing w:before="60" w:after="60"/>
              <w:jc w:val="center"/>
              <w:rPr>
                <w:rFonts w:ascii="Calibri" w:eastAsia="Calibri" w:hAnsi="Calibri" w:cs="Calibri"/>
                <w:b/>
                <w:bCs/>
                <w:color w:val="000000"/>
                <w:sz w:val="20"/>
                <w:szCs w:val="20"/>
              </w:rPr>
            </w:pPr>
            <w:r w:rsidRPr="00957605">
              <w:rPr>
                <w:rFonts w:ascii="Calibri" w:eastAsia="Calibri" w:hAnsi="Calibri" w:cs="Calibri"/>
                <w:b/>
                <w:bCs/>
                <w:color w:val="000000"/>
                <w:sz w:val="20"/>
                <w:szCs w:val="20"/>
              </w:rPr>
              <w:t>Total Annual Cost Burden</w:t>
            </w:r>
            <w:r w:rsidRPr="00957605">
              <w:rPr>
                <w:rFonts w:ascii="Calibri" w:eastAsia="Calibri" w:hAnsi="Calibri" w:cs="Calibri"/>
                <w:b/>
                <w:bCs/>
                <w:color w:val="000000"/>
                <w:sz w:val="20"/>
                <w:szCs w:val="20"/>
              </w:rPr>
              <w:br/>
              <w:t>(</w:t>
            </w:r>
            <w:r w:rsidRPr="00957605">
              <w:rPr>
                <w:rFonts w:ascii="Calibri" w:eastAsia="Calibri" w:hAnsi="Calibri" w:cs="Calibri"/>
                <w:b/>
                <w:bCs/>
                <w:color w:val="000000"/>
                <w:sz w:val="20"/>
                <w:szCs w:val="20"/>
              </w:rPr>
              <w:t>i</w:t>
            </w:r>
            <w:r w:rsidRPr="00957605">
              <w:rPr>
                <w:rFonts w:ascii="Calibri" w:eastAsia="Calibri" w:hAnsi="Calibri" w:cs="Calibri"/>
                <w:b/>
                <w:bCs/>
                <w:color w:val="000000"/>
                <w:sz w:val="20"/>
                <w:szCs w:val="20"/>
              </w:rPr>
              <w:t>) = (c) x (h)</w:t>
            </w:r>
          </w:p>
        </w:tc>
      </w:tr>
      <w:tr w14:paraId="455C9A25" w14:textId="77777777" w:rsidTr="00606DF3">
        <w:tblPrEx>
          <w:tblW w:w="10275" w:type="dxa"/>
          <w:jc w:val="center"/>
          <w:tblLayout w:type="fixed"/>
          <w:tblLook w:val="0400"/>
        </w:tblPrEx>
        <w:trPr>
          <w:trHeight w:val="300"/>
          <w:jc w:val="center"/>
        </w:trPr>
        <w:tc>
          <w:tcPr>
            <w:tcW w:w="2791" w:type="dxa"/>
            <w:tcBorders>
              <w:top w:val="nil"/>
              <w:left w:val="single" w:sz="4" w:space="0" w:color="000000"/>
              <w:bottom w:val="single" w:sz="4" w:space="0" w:color="000000"/>
              <w:right w:val="single" w:sz="4" w:space="0" w:color="000000"/>
            </w:tcBorders>
            <w:vAlign w:val="center"/>
          </w:tcPr>
          <w:p w:rsidR="00093A56" w:rsidRPr="00957605" w:rsidP="00606DF3" w14:paraId="0EF19E40" w14:textId="45BE9AD9">
            <w:pPr>
              <w:widowControl/>
              <w:spacing w:before="60" w:after="60"/>
              <w:rPr>
                <w:rFonts w:ascii="Calibri" w:eastAsia="Calibri" w:hAnsi="Calibri" w:cs="Calibri"/>
                <w:color w:val="000000"/>
                <w:sz w:val="20"/>
                <w:szCs w:val="20"/>
              </w:rPr>
            </w:pPr>
            <w:r w:rsidRPr="00957605">
              <w:rPr>
                <w:rFonts w:ascii="Calibri" w:hAnsi="Calibri" w:cs="Calibri"/>
                <w:color w:val="000000"/>
                <w:sz w:val="20"/>
                <w:szCs w:val="20"/>
              </w:rPr>
              <w:t>Marine National Monument Permit application</w:t>
            </w:r>
          </w:p>
        </w:tc>
        <w:tc>
          <w:tcPr>
            <w:tcW w:w="1479" w:type="dxa"/>
            <w:tcBorders>
              <w:top w:val="nil"/>
              <w:left w:val="nil"/>
              <w:bottom w:val="single" w:sz="4" w:space="0" w:color="000000"/>
              <w:right w:val="single" w:sz="4" w:space="0" w:color="000000"/>
            </w:tcBorders>
            <w:shd w:val="clear" w:color="auto" w:fill="FFFFFF"/>
            <w:vAlign w:val="center"/>
          </w:tcPr>
          <w:p w:rsidR="00093A56" w:rsidRPr="00957605" w:rsidP="00606DF3" w14:paraId="6650BF2F" w14:textId="176762BA">
            <w:pPr>
              <w:widowControl/>
              <w:spacing w:before="60" w:after="60"/>
              <w:jc w:val="center"/>
              <w:rPr>
                <w:rFonts w:ascii="Calibri" w:eastAsia="Calibri" w:hAnsi="Calibri" w:cs="Calibri"/>
                <w:color w:val="000000"/>
                <w:sz w:val="20"/>
                <w:szCs w:val="20"/>
              </w:rPr>
            </w:pPr>
            <w:r w:rsidRPr="00957605">
              <w:rPr>
                <w:rFonts w:ascii="Calibri" w:hAnsi="Calibri" w:cs="Calibri"/>
                <w:color w:val="000000"/>
                <w:sz w:val="20"/>
                <w:szCs w:val="20"/>
              </w:rPr>
              <w:t>15</w:t>
            </w:r>
          </w:p>
        </w:tc>
        <w:tc>
          <w:tcPr>
            <w:tcW w:w="1415" w:type="dxa"/>
            <w:tcBorders>
              <w:top w:val="nil"/>
              <w:left w:val="nil"/>
              <w:bottom w:val="single" w:sz="4" w:space="0" w:color="000000"/>
              <w:right w:val="single" w:sz="4" w:space="0" w:color="000000"/>
            </w:tcBorders>
            <w:shd w:val="clear" w:color="auto" w:fill="FFFFFF"/>
            <w:vAlign w:val="center"/>
          </w:tcPr>
          <w:p w:rsidR="00093A56" w:rsidRPr="00957605" w:rsidP="00606DF3" w14:paraId="42C36848" w14:textId="52E1577A">
            <w:pPr>
              <w:widowControl/>
              <w:spacing w:before="60" w:after="60"/>
              <w:jc w:val="center"/>
              <w:rPr>
                <w:rFonts w:ascii="Calibri" w:eastAsia="Calibri" w:hAnsi="Calibri" w:cs="Calibri"/>
                <w:color w:val="000000"/>
                <w:sz w:val="20"/>
                <w:szCs w:val="20"/>
              </w:rPr>
            </w:pPr>
            <w:r w:rsidRPr="00957605">
              <w:rPr>
                <w:rFonts w:ascii="Calibri" w:hAnsi="Calibri" w:cs="Calibri"/>
                <w:color w:val="000000"/>
                <w:sz w:val="20"/>
                <w:szCs w:val="20"/>
              </w:rPr>
              <w:t>1</w:t>
            </w:r>
          </w:p>
        </w:tc>
        <w:tc>
          <w:tcPr>
            <w:tcW w:w="1620" w:type="dxa"/>
            <w:tcBorders>
              <w:top w:val="nil"/>
              <w:left w:val="nil"/>
              <w:bottom w:val="single" w:sz="4" w:space="0" w:color="000000"/>
              <w:right w:val="single" w:sz="4" w:space="0" w:color="000000"/>
            </w:tcBorders>
            <w:shd w:val="clear" w:color="auto" w:fill="FFFFFF"/>
            <w:vAlign w:val="center"/>
          </w:tcPr>
          <w:p w:rsidR="00093A56" w:rsidRPr="00957605" w:rsidP="00606DF3" w14:paraId="5D8475CF" w14:textId="6C54AE0C">
            <w:pPr>
              <w:widowControl/>
              <w:spacing w:before="60" w:after="60"/>
              <w:jc w:val="center"/>
              <w:rPr>
                <w:rFonts w:ascii="Calibri" w:eastAsia="Calibri" w:hAnsi="Calibri" w:cs="Calibri"/>
                <w:color w:val="000000"/>
                <w:sz w:val="20"/>
                <w:szCs w:val="20"/>
              </w:rPr>
            </w:pPr>
            <w:r w:rsidRPr="00957605">
              <w:rPr>
                <w:rFonts w:ascii="Calibri" w:hAnsi="Calibri" w:cs="Calibri"/>
                <w:color w:val="000000"/>
                <w:sz w:val="20"/>
                <w:szCs w:val="20"/>
              </w:rPr>
              <w:t>15</w:t>
            </w:r>
          </w:p>
        </w:tc>
        <w:tc>
          <w:tcPr>
            <w:tcW w:w="1440" w:type="dxa"/>
            <w:tcBorders>
              <w:top w:val="nil"/>
              <w:left w:val="nil"/>
              <w:bottom w:val="single" w:sz="4" w:space="0" w:color="000000"/>
              <w:right w:val="single" w:sz="4" w:space="0" w:color="000000"/>
            </w:tcBorders>
            <w:shd w:val="clear" w:color="auto" w:fill="FFFFFF"/>
            <w:vAlign w:val="center"/>
          </w:tcPr>
          <w:p w:rsidR="00093A56" w:rsidRPr="00957605" w:rsidP="00606DF3" w14:paraId="3DA8765E" w14:textId="06D9DEC5">
            <w:pPr>
              <w:widowControl/>
              <w:spacing w:before="60" w:after="60"/>
              <w:jc w:val="center"/>
              <w:rPr>
                <w:rFonts w:ascii="Calibri" w:eastAsia="Calibri" w:hAnsi="Calibri" w:cs="Calibri"/>
                <w:color w:val="000000"/>
                <w:sz w:val="20"/>
                <w:szCs w:val="20"/>
              </w:rPr>
            </w:pPr>
            <w:r w:rsidRPr="00957605">
              <w:rPr>
                <w:rFonts w:ascii="Calibri" w:hAnsi="Calibri" w:cs="Calibri"/>
                <w:color w:val="000000"/>
                <w:sz w:val="20"/>
                <w:szCs w:val="20"/>
              </w:rPr>
              <w:t>0</w:t>
            </w:r>
          </w:p>
        </w:tc>
        <w:tc>
          <w:tcPr>
            <w:tcW w:w="1530" w:type="dxa"/>
            <w:tcBorders>
              <w:top w:val="nil"/>
              <w:left w:val="nil"/>
              <w:bottom w:val="single" w:sz="4" w:space="0" w:color="000000"/>
              <w:right w:val="single" w:sz="8" w:space="0" w:color="000000"/>
            </w:tcBorders>
            <w:shd w:val="clear" w:color="auto" w:fill="FFFFFF"/>
            <w:vAlign w:val="center"/>
          </w:tcPr>
          <w:p w:rsidR="00093A56" w:rsidRPr="00957605" w:rsidP="00606DF3" w14:paraId="02D1CAC5" w14:textId="1A5D5455">
            <w:pPr>
              <w:widowControl/>
              <w:spacing w:before="60" w:after="60"/>
              <w:jc w:val="center"/>
              <w:rPr>
                <w:rFonts w:ascii="Calibri" w:eastAsia="Calibri" w:hAnsi="Calibri" w:cs="Calibri"/>
                <w:color w:val="000000"/>
                <w:sz w:val="20"/>
                <w:szCs w:val="20"/>
              </w:rPr>
            </w:pPr>
            <w:r w:rsidRPr="00957605">
              <w:rPr>
                <w:rFonts w:ascii="Calibri" w:hAnsi="Calibri" w:cs="Calibri"/>
                <w:color w:val="000000"/>
                <w:sz w:val="20"/>
                <w:szCs w:val="20"/>
              </w:rPr>
              <w:t>0</w:t>
            </w:r>
          </w:p>
        </w:tc>
      </w:tr>
      <w:tr w14:paraId="34C76B82" w14:textId="77777777" w:rsidTr="00606DF3">
        <w:tblPrEx>
          <w:tblW w:w="10275" w:type="dxa"/>
          <w:jc w:val="center"/>
          <w:tblLayout w:type="fixed"/>
          <w:tblLook w:val="0400"/>
        </w:tblPrEx>
        <w:trPr>
          <w:trHeight w:val="300"/>
          <w:jc w:val="center"/>
        </w:trPr>
        <w:tc>
          <w:tcPr>
            <w:tcW w:w="2791" w:type="dxa"/>
            <w:tcBorders>
              <w:top w:val="nil"/>
              <w:left w:val="single" w:sz="4" w:space="0" w:color="000000"/>
              <w:bottom w:val="single" w:sz="4" w:space="0" w:color="000000"/>
              <w:right w:val="single" w:sz="4" w:space="0" w:color="000000"/>
            </w:tcBorders>
            <w:vAlign w:val="center"/>
          </w:tcPr>
          <w:p w:rsidR="00093A56" w:rsidRPr="00957605" w:rsidP="00606DF3" w14:paraId="0C92483A" w14:textId="047068A0">
            <w:pPr>
              <w:widowControl/>
              <w:spacing w:before="60" w:after="60"/>
              <w:rPr>
                <w:rFonts w:ascii="Calibri" w:eastAsia="Calibri" w:hAnsi="Calibri" w:cs="Calibri"/>
                <w:color w:val="000000"/>
                <w:sz w:val="20"/>
                <w:szCs w:val="20"/>
              </w:rPr>
            </w:pPr>
            <w:r w:rsidRPr="00957605">
              <w:rPr>
                <w:rFonts w:ascii="Calibri" w:hAnsi="Calibri" w:cs="Calibri"/>
                <w:color w:val="000000"/>
                <w:sz w:val="20"/>
                <w:szCs w:val="20"/>
              </w:rPr>
              <w:t>Marine National Monument Daily Log</w:t>
            </w:r>
          </w:p>
        </w:tc>
        <w:tc>
          <w:tcPr>
            <w:tcW w:w="1479" w:type="dxa"/>
            <w:tcBorders>
              <w:top w:val="nil"/>
              <w:left w:val="nil"/>
              <w:bottom w:val="single" w:sz="4" w:space="0" w:color="000000"/>
              <w:right w:val="single" w:sz="4" w:space="0" w:color="000000"/>
            </w:tcBorders>
            <w:shd w:val="clear" w:color="auto" w:fill="FFFFFF"/>
            <w:vAlign w:val="center"/>
          </w:tcPr>
          <w:p w:rsidR="00093A56" w:rsidRPr="00957605" w:rsidP="00606DF3" w14:paraId="62E987D3" w14:textId="7A56A4CE">
            <w:pPr>
              <w:widowControl/>
              <w:spacing w:before="60" w:after="60"/>
              <w:jc w:val="center"/>
              <w:rPr>
                <w:rFonts w:ascii="Calibri" w:eastAsia="Calibri" w:hAnsi="Calibri" w:cs="Calibri"/>
                <w:color w:val="000000"/>
                <w:sz w:val="20"/>
                <w:szCs w:val="20"/>
              </w:rPr>
            </w:pPr>
            <w:r w:rsidRPr="00957605">
              <w:rPr>
                <w:rFonts w:ascii="Calibri" w:hAnsi="Calibri" w:cs="Calibri"/>
                <w:color w:val="000000"/>
                <w:sz w:val="20"/>
                <w:szCs w:val="20"/>
              </w:rPr>
              <w:t>15</w:t>
            </w:r>
          </w:p>
        </w:tc>
        <w:tc>
          <w:tcPr>
            <w:tcW w:w="1415" w:type="dxa"/>
            <w:tcBorders>
              <w:top w:val="nil"/>
              <w:left w:val="nil"/>
              <w:bottom w:val="single" w:sz="4" w:space="0" w:color="000000"/>
              <w:right w:val="single" w:sz="4" w:space="0" w:color="000000"/>
            </w:tcBorders>
            <w:shd w:val="clear" w:color="auto" w:fill="FFFFFF"/>
            <w:vAlign w:val="center"/>
          </w:tcPr>
          <w:p w:rsidR="00093A56" w:rsidRPr="00957605" w:rsidP="00606DF3" w14:paraId="340C90AE" w14:textId="5B3C3A85">
            <w:pPr>
              <w:widowControl/>
              <w:spacing w:before="60" w:after="60"/>
              <w:jc w:val="center"/>
              <w:rPr>
                <w:rFonts w:ascii="Calibri" w:eastAsia="Calibri" w:hAnsi="Calibri" w:cs="Calibri"/>
                <w:color w:val="000000"/>
                <w:sz w:val="20"/>
                <w:szCs w:val="20"/>
              </w:rPr>
            </w:pPr>
            <w:r w:rsidRPr="00957605">
              <w:rPr>
                <w:rFonts w:ascii="Calibri" w:hAnsi="Calibri" w:cs="Calibri"/>
                <w:color w:val="000000"/>
                <w:sz w:val="20"/>
                <w:szCs w:val="20"/>
              </w:rPr>
              <w:t>3</w:t>
            </w:r>
          </w:p>
        </w:tc>
        <w:tc>
          <w:tcPr>
            <w:tcW w:w="1620" w:type="dxa"/>
            <w:tcBorders>
              <w:top w:val="nil"/>
              <w:left w:val="nil"/>
              <w:bottom w:val="single" w:sz="4" w:space="0" w:color="000000"/>
              <w:right w:val="single" w:sz="4" w:space="0" w:color="000000"/>
            </w:tcBorders>
            <w:shd w:val="clear" w:color="auto" w:fill="FFFFFF"/>
            <w:vAlign w:val="center"/>
          </w:tcPr>
          <w:p w:rsidR="00093A56" w:rsidRPr="00957605" w:rsidP="00606DF3" w14:paraId="611733AF" w14:textId="35D1FF28">
            <w:pPr>
              <w:widowControl/>
              <w:spacing w:before="60" w:after="60"/>
              <w:jc w:val="center"/>
              <w:rPr>
                <w:rFonts w:ascii="Calibri" w:eastAsia="Calibri" w:hAnsi="Calibri" w:cs="Calibri"/>
                <w:color w:val="000000"/>
                <w:sz w:val="20"/>
                <w:szCs w:val="20"/>
              </w:rPr>
            </w:pPr>
            <w:r w:rsidRPr="00957605">
              <w:rPr>
                <w:rFonts w:ascii="Calibri" w:hAnsi="Calibri" w:cs="Calibri"/>
                <w:color w:val="000000"/>
                <w:sz w:val="20"/>
                <w:szCs w:val="20"/>
              </w:rPr>
              <w:t>45</w:t>
            </w:r>
          </w:p>
        </w:tc>
        <w:tc>
          <w:tcPr>
            <w:tcW w:w="1440" w:type="dxa"/>
            <w:tcBorders>
              <w:top w:val="nil"/>
              <w:left w:val="nil"/>
              <w:bottom w:val="single" w:sz="4" w:space="0" w:color="000000"/>
              <w:right w:val="single" w:sz="4" w:space="0" w:color="000000"/>
            </w:tcBorders>
            <w:shd w:val="clear" w:color="auto" w:fill="FFFFFF"/>
            <w:vAlign w:val="center"/>
          </w:tcPr>
          <w:p w:rsidR="00093A56" w:rsidRPr="00957605" w:rsidP="00606DF3" w14:paraId="52269D8F" w14:textId="3E4FFB91">
            <w:pPr>
              <w:widowControl/>
              <w:spacing w:before="60" w:after="60"/>
              <w:jc w:val="center"/>
              <w:rPr>
                <w:rFonts w:ascii="Calibri" w:eastAsia="Calibri" w:hAnsi="Calibri" w:cs="Calibri"/>
                <w:color w:val="000000"/>
                <w:sz w:val="20"/>
                <w:szCs w:val="20"/>
              </w:rPr>
            </w:pPr>
            <w:r w:rsidRPr="00957605">
              <w:rPr>
                <w:rFonts w:ascii="Calibri" w:hAnsi="Calibri" w:cs="Calibri"/>
                <w:color w:val="000000"/>
                <w:sz w:val="20"/>
                <w:szCs w:val="20"/>
              </w:rPr>
              <w:t>0.</w:t>
            </w:r>
            <w:r w:rsidR="00606DF3">
              <w:rPr>
                <w:rFonts w:ascii="Calibri" w:hAnsi="Calibri" w:cs="Calibri"/>
                <w:color w:val="000000"/>
                <w:sz w:val="20"/>
                <w:szCs w:val="20"/>
              </w:rPr>
              <w:t>78</w:t>
            </w:r>
          </w:p>
        </w:tc>
        <w:tc>
          <w:tcPr>
            <w:tcW w:w="1530" w:type="dxa"/>
            <w:tcBorders>
              <w:top w:val="nil"/>
              <w:left w:val="nil"/>
              <w:bottom w:val="single" w:sz="4" w:space="0" w:color="000000"/>
              <w:right w:val="single" w:sz="8" w:space="0" w:color="000000"/>
            </w:tcBorders>
            <w:shd w:val="clear" w:color="auto" w:fill="FFFFFF"/>
            <w:vAlign w:val="center"/>
          </w:tcPr>
          <w:p w:rsidR="00093A56" w:rsidRPr="00957605" w:rsidP="00606DF3" w14:paraId="2E7760C0" w14:textId="56FFD95F">
            <w:pPr>
              <w:widowControl/>
              <w:spacing w:before="60" w:after="60"/>
              <w:jc w:val="center"/>
              <w:rPr>
                <w:rFonts w:ascii="Calibri" w:eastAsia="Calibri" w:hAnsi="Calibri" w:cs="Calibri"/>
                <w:color w:val="000000"/>
                <w:sz w:val="20"/>
                <w:szCs w:val="20"/>
              </w:rPr>
            </w:pPr>
            <w:r w:rsidRPr="00957605">
              <w:rPr>
                <w:rFonts w:ascii="Calibri" w:hAnsi="Calibri" w:cs="Calibri"/>
                <w:color w:val="000000"/>
                <w:sz w:val="20"/>
                <w:szCs w:val="20"/>
              </w:rPr>
              <w:t>$</w:t>
            </w:r>
            <w:r w:rsidR="00EA6A08">
              <w:rPr>
                <w:rFonts w:ascii="Calibri" w:hAnsi="Calibri" w:cs="Calibri"/>
                <w:color w:val="000000"/>
                <w:sz w:val="20"/>
                <w:szCs w:val="20"/>
              </w:rPr>
              <w:t>3</w:t>
            </w:r>
            <w:r w:rsidR="00606DF3">
              <w:rPr>
                <w:rFonts w:ascii="Calibri" w:hAnsi="Calibri" w:cs="Calibri"/>
                <w:color w:val="000000"/>
                <w:sz w:val="20"/>
                <w:szCs w:val="20"/>
              </w:rPr>
              <w:t>5</w:t>
            </w:r>
          </w:p>
        </w:tc>
      </w:tr>
      <w:tr w14:paraId="79CA86E3" w14:textId="77777777" w:rsidTr="00606DF3">
        <w:tblPrEx>
          <w:tblW w:w="10275" w:type="dxa"/>
          <w:jc w:val="center"/>
          <w:tblLayout w:type="fixed"/>
          <w:tblLook w:val="0400"/>
        </w:tblPrEx>
        <w:trPr>
          <w:trHeight w:val="315"/>
          <w:jc w:val="center"/>
        </w:trPr>
        <w:tc>
          <w:tcPr>
            <w:tcW w:w="2791" w:type="dxa"/>
            <w:tcBorders>
              <w:top w:val="single" w:sz="8" w:space="0" w:color="000000"/>
              <w:left w:val="single" w:sz="8" w:space="0" w:color="000000"/>
              <w:bottom w:val="single" w:sz="8" w:space="0" w:color="000000"/>
              <w:right w:val="single" w:sz="4" w:space="0" w:color="000000"/>
            </w:tcBorders>
            <w:shd w:val="clear" w:color="auto" w:fill="DDEBF7"/>
            <w:vAlign w:val="center"/>
          </w:tcPr>
          <w:p w:rsidR="00DC3FDB" w:rsidRPr="00957605" w:rsidP="00606DF3" w14:paraId="37011454" w14:textId="77777777">
            <w:pPr>
              <w:widowControl/>
              <w:spacing w:before="60" w:after="60"/>
              <w:jc w:val="right"/>
              <w:rPr>
                <w:rFonts w:ascii="Calibri" w:eastAsia="Calibri" w:hAnsi="Calibri" w:cs="Calibri"/>
                <w:b/>
                <w:bCs/>
                <w:color w:val="000000"/>
              </w:rPr>
            </w:pPr>
            <w:r w:rsidRPr="00957605">
              <w:rPr>
                <w:rFonts w:ascii="Calibri" w:eastAsia="Calibri" w:hAnsi="Calibri" w:cs="Calibri"/>
                <w:b/>
                <w:bCs/>
                <w:color w:val="000000"/>
              </w:rPr>
              <w:t>TOTALS</w:t>
            </w:r>
          </w:p>
        </w:tc>
        <w:tc>
          <w:tcPr>
            <w:tcW w:w="1479" w:type="dxa"/>
            <w:tcBorders>
              <w:top w:val="single" w:sz="8" w:space="0" w:color="000000"/>
              <w:left w:val="nil"/>
              <w:bottom w:val="single" w:sz="8" w:space="0" w:color="000000"/>
              <w:right w:val="single" w:sz="4" w:space="0" w:color="000000"/>
            </w:tcBorders>
            <w:shd w:val="clear" w:color="auto" w:fill="DBE5F1" w:themeFill="accent1" w:themeFillTint="33"/>
            <w:vAlign w:val="center"/>
          </w:tcPr>
          <w:p w:rsidR="00DC3FDB" w:rsidRPr="00957605" w:rsidP="00606DF3" w14:paraId="3F75B973" w14:textId="1A8238FC">
            <w:pPr>
              <w:widowControl/>
              <w:spacing w:before="60" w:after="60"/>
              <w:jc w:val="center"/>
              <w:rPr>
                <w:rFonts w:ascii="Calibri" w:eastAsia="Calibri" w:hAnsi="Calibri" w:cs="Calibri"/>
                <w:b/>
                <w:bCs/>
                <w:color w:val="000000"/>
              </w:rPr>
            </w:pPr>
            <w:r>
              <w:rPr>
                <w:rFonts w:ascii="Calibri" w:eastAsia="Calibri" w:hAnsi="Calibri" w:cs="Calibri"/>
                <w:b/>
                <w:bCs/>
                <w:color w:val="000000"/>
              </w:rPr>
              <w:t>30</w:t>
            </w:r>
          </w:p>
        </w:tc>
        <w:tc>
          <w:tcPr>
            <w:tcW w:w="1415" w:type="dxa"/>
            <w:tcBorders>
              <w:top w:val="single" w:sz="8" w:space="0" w:color="000000"/>
              <w:left w:val="nil"/>
              <w:bottom w:val="single" w:sz="8" w:space="0" w:color="000000"/>
              <w:right w:val="single" w:sz="4" w:space="0" w:color="000000"/>
            </w:tcBorders>
            <w:shd w:val="clear" w:color="auto" w:fill="000000" w:themeFill="text1"/>
            <w:vAlign w:val="center"/>
          </w:tcPr>
          <w:p w:rsidR="00DC3FDB" w:rsidRPr="00957605" w:rsidP="00606DF3" w14:paraId="22584FF0" w14:textId="444A95FE">
            <w:pPr>
              <w:widowControl/>
              <w:spacing w:before="60" w:after="60"/>
              <w:jc w:val="center"/>
              <w:rPr>
                <w:rFonts w:ascii="Calibri" w:eastAsia="Calibri" w:hAnsi="Calibri" w:cs="Calibri"/>
                <w:b/>
                <w:bCs/>
                <w:color w:val="000000"/>
              </w:rPr>
            </w:pPr>
          </w:p>
        </w:tc>
        <w:tc>
          <w:tcPr>
            <w:tcW w:w="1620" w:type="dxa"/>
            <w:tcBorders>
              <w:top w:val="single" w:sz="8" w:space="0" w:color="000000"/>
              <w:left w:val="nil"/>
              <w:bottom w:val="single" w:sz="8" w:space="0" w:color="000000"/>
              <w:right w:val="single" w:sz="4" w:space="0" w:color="000000"/>
            </w:tcBorders>
            <w:shd w:val="clear" w:color="auto" w:fill="DDEBF7"/>
            <w:vAlign w:val="center"/>
          </w:tcPr>
          <w:p w:rsidR="00DC3FDB" w:rsidRPr="00957605" w:rsidP="00606DF3" w14:paraId="30FF77E4" w14:textId="7C6911DA">
            <w:pPr>
              <w:widowControl/>
              <w:spacing w:before="60" w:after="60"/>
              <w:jc w:val="center"/>
              <w:rPr>
                <w:rFonts w:ascii="Calibri" w:eastAsia="Calibri" w:hAnsi="Calibri" w:cs="Calibri"/>
                <w:b/>
                <w:bCs/>
                <w:color w:val="000000"/>
              </w:rPr>
            </w:pPr>
            <w:r w:rsidRPr="00957605">
              <w:rPr>
                <w:rFonts w:ascii="Calibri" w:eastAsia="Calibri" w:hAnsi="Calibri" w:cs="Calibri"/>
                <w:b/>
                <w:bCs/>
                <w:color w:val="000000"/>
              </w:rPr>
              <w:t>60</w:t>
            </w:r>
          </w:p>
        </w:tc>
        <w:tc>
          <w:tcPr>
            <w:tcW w:w="1440" w:type="dxa"/>
            <w:tcBorders>
              <w:top w:val="single" w:sz="8" w:space="0" w:color="000000"/>
              <w:left w:val="nil"/>
              <w:bottom w:val="single" w:sz="8" w:space="0" w:color="000000"/>
              <w:right w:val="single" w:sz="4" w:space="0" w:color="000000"/>
            </w:tcBorders>
            <w:shd w:val="clear" w:color="auto" w:fill="000000" w:themeFill="text1"/>
            <w:vAlign w:val="center"/>
          </w:tcPr>
          <w:p w:rsidR="00DC3FDB" w:rsidRPr="00957605" w:rsidP="00606DF3" w14:paraId="53A7272A" w14:textId="65DEDD91">
            <w:pPr>
              <w:widowControl/>
              <w:spacing w:before="60" w:after="60"/>
              <w:jc w:val="center"/>
              <w:rPr>
                <w:rFonts w:ascii="Calibri" w:eastAsia="Calibri" w:hAnsi="Calibri" w:cs="Calibri"/>
                <w:b/>
                <w:bCs/>
                <w:color w:val="000000"/>
              </w:rPr>
            </w:pPr>
          </w:p>
        </w:tc>
        <w:tc>
          <w:tcPr>
            <w:tcW w:w="1530" w:type="dxa"/>
            <w:tcBorders>
              <w:top w:val="single" w:sz="8" w:space="0" w:color="000000"/>
              <w:left w:val="nil"/>
              <w:bottom w:val="single" w:sz="8" w:space="0" w:color="000000"/>
              <w:right w:val="single" w:sz="8" w:space="0" w:color="000000"/>
            </w:tcBorders>
            <w:shd w:val="clear" w:color="auto" w:fill="DDEBF7"/>
            <w:vAlign w:val="center"/>
          </w:tcPr>
          <w:p w:rsidR="00DC3FDB" w:rsidRPr="00957605" w:rsidP="00606DF3" w14:paraId="4E965F15" w14:textId="154E0AB6">
            <w:pPr>
              <w:widowControl/>
              <w:spacing w:before="60" w:after="60"/>
              <w:jc w:val="center"/>
              <w:rPr>
                <w:rFonts w:ascii="Calibri" w:eastAsia="Calibri" w:hAnsi="Calibri" w:cs="Calibri"/>
                <w:b/>
                <w:bCs/>
                <w:color w:val="000000"/>
              </w:rPr>
            </w:pPr>
            <w:r w:rsidRPr="00957605">
              <w:rPr>
                <w:rFonts w:ascii="Calibri" w:eastAsia="Calibri" w:hAnsi="Calibri" w:cs="Calibri"/>
                <w:b/>
                <w:bCs/>
                <w:color w:val="000000"/>
              </w:rPr>
              <w:t>$</w:t>
            </w:r>
            <w:r w:rsidR="00EA6A08">
              <w:rPr>
                <w:rFonts w:ascii="Calibri" w:eastAsia="Calibri" w:hAnsi="Calibri" w:cs="Calibri"/>
                <w:b/>
                <w:bCs/>
                <w:color w:val="000000"/>
              </w:rPr>
              <w:t>3</w:t>
            </w:r>
            <w:r w:rsidR="00606DF3">
              <w:rPr>
                <w:rFonts w:ascii="Calibri" w:eastAsia="Calibri" w:hAnsi="Calibri" w:cs="Calibri"/>
                <w:b/>
                <w:bCs/>
                <w:color w:val="000000"/>
              </w:rPr>
              <w:t>5</w:t>
            </w:r>
          </w:p>
        </w:tc>
      </w:tr>
    </w:tbl>
    <w:p w:rsidR="00AA79B6" w:rsidP="005E0D0C" w14:paraId="3D74FD46" w14:textId="77777777">
      <w:pPr>
        <w:pBdr>
          <w:top w:val="nil"/>
          <w:left w:val="nil"/>
          <w:bottom w:val="nil"/>
          <w:right w:val="nil"/>
          <w:between w:val="nil"/>
        </w:pBdr>
        <w:spacing w:before="240"/>
        <w:rPr>
          <w:b/>
          <w:bCs/>
          <w:color w:val="000000"/>
        </w:rPr>
      </w:pPr>
    </w:p>
    <w:p w:rsidR="00DC3FDB" w:rsidP="005E0D0C" w14:paraId="497F2754" w14:textId="77777777">
      <w:pPr>
        <w:numPr>
          <w:ilvl w:val="0"/>
          <w:numId w:val="9"/>
        </w:numPr>
        <w:pBdr>
          <w:top w:val="nil"/>
          <w:left w:val="nil"/>
          <w:bottom w:val="nil"/>
          <w:right w:val="nil"/>
          <w:between w:val="nil"/>
        </w:pBdr>
        <w:tabs>
          <w:tab w:val="left" w:pos="360"/>
        </w:tabs>
        <w:spacing w:before="240"/>
        <w:ind w:left="0" w:firstLine="0"/>
        <w:rPr>
          <w:b/>
          <w:bCs/>
          <w:color w:val="000000"/>
        </w:rPr>
      </w:pPr>
      <w:r>
        <w:rPr>
          <w:b/>
          <w:bCs/>
          <w:color w:val="000000"/>
        </w:rPr>
        <w:t>Provide estimates of annualized cost to the Federal government. Also, provide a description of the method used to estimate cost, which should include quantification of hours, operational expenses (such as equipment, overhead, printing, and support staff), and any other expense that would not have been incurred without this collection of information.</w:t>
      </w:r>
    </w:p>
    <w:p w:rsidR="005806F0" w:rsidRPr="005806F0" w:rsidP="005E0D0C" w14:paraId="11A6DA51" w14:textId="0EDE9EAB">
      <w:pPr>
        <w:widowControl/>
        <w:spacing w:before="240"/>
        <w:rPr>
          <w:color w:val="000000"/>
        </w:rPr>
      </w:pPr>
      <w:r w:rsidRPr="001B2066">
        <w:rPr>
          <w:color w:val="000000"/>
        </w:rPr>
        <w:t xml:space="preserve">The </w:t>
      </w:r>
      <w:hyperlink r:id="rId17" w:history="1">
        <w:r w:rsidRPr="001B2066">
          <w:rPr>
            <w:rStyle w:val="Hyperlink"/>
          </w:rPr>
          <w:t>Commerce Altern</w:t>
        </w:r>
        <w:r w:rsidRPr="001B2066">
          <w:rPr>
            <w:rStyle w:val="Hyperlink"/>
          </w:rPr>
          <w:t>a</w:t>
        </w:r>
        <w:r w:rsidRPr="001B2066">
          <w:rPr>
            <w:rStyle w:val="Hyperlink"/>
          </w:rPr>
          <w:t>tive Personnel System (CAPS) pay tables</w:t>
        </w:r>
      </w:hyperlink>
      <w:r>
        <w:rPr>
          <w:rStyle w:val="FootnoteReference"/>
          <w:color w:val="0000FF" w:themeColor="hyperlink"/>
          <w:u w:val="single"/>
        </w:rPr>
        <w:footnoteReference w:id="8"/>
      </w:r>
      <w:r w:rsidRPr="001B2066">
        <w:rPr>
          <w:color w:val="000000"/>
        </w:rPr>
        <w:t xml:space="preserve"> for the </w:t>
      </w:r>
      <w:r>
        <w:rPr>
          <w:color w:val="000000"/>
        </w:rPr>
        <w:t>2026 Hawaii</w:t>
      </w:r>
      <w:r w:rsidRPr="001B2066">
        <w:rPr>
          <w:color w:val="000000"/>
        </w:rPr>
        <w:t xml:space="preserve"> locality rates were used to determine the base salary.  </w:t>
      </w:r>
      <w:r>
        <w:rPr>
          <w:color w:val="000000"/>
        </w:rPr>
        <w:t xml:space="preserve">The </w:t>
      </w:r>
      <w:r w:rsidR="006F328C">
        <w:rPr>
          <w:color w:val="000000"/>
        </w:rPr>
        <w:t>upper bound of Interval 3</w:t>
      </w:r>
      <w:r>
        <w:rPr>
          <w:color w:val="000000"/>
        </w:rPr>
        <w:t xml:space="preserve"> was us</w:t>
      </w:r>
      <w:r w:rsidRPr="001B2066">
        <w:rPr>
          <w:color w:val="000000"/>
        </w:rPr>
        <w:t xml:space="preserve">ed as the base salary </w:t>
      </w:r>
      <w:r w:rsidR="006F328C">
        <w:rPr>
          <w:color w:val="000000"/>
        </w:rPr>
        <w:t xml:space="preserve">for each Pay Band </w:t>
      </w:r>
      <w:r w:rsidRPr="001B2066">
        <w:rPr>
          <w:color w:val="000000"/>
        </w:rPr>
        <w:t>and a multiplier of 1.5 was used to calculate the loaded salary</w:t>
      </w:r>
      <w:r>
        <w:rPr>
          <w:color w:val="000000"/>
        </w:rPr>
        <w:t>. Employee time to administer this information collection was calculated as follows:</w:t>
      </w:r>
    </w:p>
    <w:p w:rsidR="001B2066" w:rsidP="005E0D0C" w14:paraId="08CD7F1C" w14:textId="6C619A04">
      <w:pPr>
        <w:pStyle w:val="ListParagraph"/>
        <w:numPr>
          <w:ilvl w:val="0"/>
          <w:numId w:val="14"/>
        </w:numPr>
        <w:spacing w:before="240"/>
      </w:pPr>
      <w:r>
        <w:t>ZP-03 spends 5 hours annually, or 15 hours for the 3-year collection period, on administration.</w:t>
      </w:r>
    </w:p>
    <w:p w:rsidR="005806F0" w:rsidP="005E0D0C" w14:paraId="4911FDD0" w14:textId="19559C47">
      <w:pPr>
        <w:pStyle w:val="ListParagraph"/>
        <w:numPr>
          <w:ilvl w:val="0"/>
          <w:numId w:val="14"/>
        </w:numPr>
        <w:spacing w:before="240"/>
      </w:pPr>
      <w:r>
        <w:t>ZP-03 spends 20 minutes per permit on administration and processing for a total of 4.5 hours to process 15 permits annually</w:t>
      </w:r>
      <w:r w:rsidR="001B2066">
        <w:t>, or 13.5 hours to process 45 permits</w:t>
      </w:r>
      <w:r w:rsidR="00D9556C">
        <w:t xml:space="preserve"> for the 3-year collection period</w:t>
      </w:r>
      <w:r w:rsidR="001B2066">
        <w:t>.</w:t>
      </w:r>
    </w:p>
    <w:p w:rsidR="005806F0" w:rsidP="005E0D0C" w14:paraId="5242EABB" w14:textId="036257D4">
      <w:pPr>
        <w:pStyle w:val="ListParagraph"/>
        <w:numPr>
          <w:ilvl w:val="0"/>
          <w:numId w:val="14"/>
        </w:numPr>
        <w:spacing w:before="240"/>
      </w:pPr>
      <w:r>
        <w:t>ZP-03 spends 15 minutes per daily logbook on processing for a total of 11.25 hours to process 45 daily fishing logs annually</w:t>
      </w:r>
      <w:r w:rsidR="001B2066">
        <w:t xml:space="preserve">, or 33.75 hours to process </w:t>
      </w:r>
      <w:r>
        <w:t>135</w:t>
      </w:r>
      <w:r w:rsidR="001B2066">
        <w:t xml:space="preserve"> </w:t>
      </w:r>
      <w:r>
        <w:t>daily fishing logs</w:t>
      </w:r>
      <w:r w:rsidR="00D9556C">
        <w:t xml:space="preserve"> </w:t>
      </w:r>
      <w:r w:rsidR="00D9556C">
        <w:t>for the 3-year collection period</w:t>
      </w:r>
      <w:r w:rsidR="001B2066">
        <w:t>.</w:t>
      </w:r>
    </w:p>
    <w:p w:rsidR="00C406EE" w:rsidP="005E0D0C" w14:paraId="0BD3A327" w14:textId="3A271CF3">
      <w:pPr>
        <w:pStyle w:val="ListParagraph"/>
        <w:numPr>
          <w:ilvl w:val="0"/>
          <w:numId w:val="14"/>
        </w:numPr>
        <w:spacing w:before="240"/>
      </w:pPr>
      <w:r>
        <w:t xml:space="preserve">ZP-04 spends </w:t>
      </w:r>
      <w:r w:rsidR="004202DB">
        <w:t>5</w:t>
      </w:r>
      <w:r>
        <w:t xml:space="preserve"> hours annually on federal oversight, or 6 hours for the 3-year collection period.</w:t>
      </w:r>
    </w:p>
    <w:p w:rsidR="004202DB" w:rsidP="005E0D0C" w14:paraId="2616BE12" w14:textId="153CB6C9">
      <w:pPr>
        <w:pStyle w:val="ListParagraph"/>
        <w:numPr>
          <w:ilvl w:val="0"/>
          <w:numId w:val="14"/>
        </w:numPr>
        <w:spacing w:before="240"/>
      </w:pPr>
      <w:r>
        <w:t>Percent of effort is rounded to the nearest half percent.</w:t>
      </w:r>
    </w:p>
    <w:p w:rsidR="00C406EE" w:rsidP="005E0D0C" w14:paraId="3652B55D" w14:textId="74F78B4D">
      <w:pPr>
        <w:spacing w:before="240"/>
      </w:pPr>
      <w:r>
        <w:t xml:space="preserve">The total costs to government for this information period for the 3-year collection period </w:t>
      </w:r>
      <w:r w:rsidR="00563432">
        <w:t>is up to $</w:t>
      </w:r>
      <w:r w:rsidR="00BE11D6">
        <w:t>4,081</w:t>
      </w:r>
      <w:r w:rsidR="00563432">
        <w:t xml:space="preserve"> and can be described as follows</w:t>
      </w:r>
      <w:r>
        <w:t>:</w:t>
      </w:r>
    </w:p>
    <w:p w:rsidR="00C406EE" w:rsidRPr="00C406EE" w:rsidP="005E0D0C" w14:paraId="38C8D81D" w14:textId="07A8B212">
      <w:pPr>
        <w:pStyle w:val="ListParagraph"/>
        <w:widowControl/>
        <w:numPr>
          <w:ilvl w:val="0"/>
          <w:numId w:val="16"/>
        </w:numPr>
        <w:spacing w:before="240"/>
        <w:rPr>
          <w:i/>
        </w:rPr>
      </w:pPr>
      <w:r w:rsidRPr="00C406EE">
        <w:rPr>
          <w:i/>
        </w:rPr>
        <w:t xml:space="preserve">Overall program administration and oversight - </w:t>
      </w:r>
      <w:r w:rsidRPr="001B2066">
        <w:t xml:space="preserve">The estimated annual cost to the Federal government to </w:t>
      </w:r>
      <w:r>
        <w:t>provide administration and oversight for</w:t>
      </w:r>
      <w:r w:rsidRPr="001B2066">
        <w:t xml:space="preserve"> this information collection</w:t>
      </w:r>
      <w:r>
        <w:t xml:space="preserve"> is up to $</w:t>
      </w:r>
      <w:r w:rsidR="00BE11D6">
        <w:t>2,191</w:t>
      </w:r>
      <w:r>
        <w:t>.</w:t>
      </w:r>
      <w:r w:rsidR="00957605">
        <w:t xml:space="preserve"> </w:t>
      </w:r>
      <w:r w:rsidR="00FB24D0">
        <w:t>This cost is addressed in the ZP-04 and the first ZP-03 in the table below.</w:t>
      </w:r>
    </w:p>
    <w:p w:rsidR="00C406EE" w:rsidRPr="00C406EE" w:rsidP="005E0D0C" w14:paraId="789C4DEF" w14:textId="072FF200">
      <w:pPr>
        <w:pStyle w:val="ListParagraph"/>
        <w:widowControl/>
        <w:numPr>
          <w:ilvl w:val="0"/>
          <w:numId w:val="16"/>
        </w:numPr>
        <w:spacing w:before="240"/>
        <w:rPr>
          <w:i/>
        </w:rPr>
      </w:pPr>
      <w:r w:rsidRPr="00C406EE">
        <w:rPr>
          <w:i/>
        </w:rPr>
        <w:t>Permits</w:t>
      </w:r>
      <w:r>
        <w:rPr>
          <w:i/>
        </w:rPr>
        <w:t xml:space="preserve"> -</w:t>
      </w:r>
      <w:r>
        <w:t xml:space="preserve"> </w:t>
      </w:r>
      <w:r w:rsidRPr="001B2066">
        <w:t>The estimated annual cost to the Federal government to administer this information collection</w:t>
      </w:r>
      <w:r w:rsidRPr="00C406EE">
        <w:rPr>
          <w:color w:val="FF0000"/>
        </w:rPr>
        <w:t xml:space="preserve"> </w:t>
      </w:r>
      <w:r w:rsidRPr="00C406EE">
        <w:rPr>
          <w:color w:val="000000"/>
        </w:rPr>
        <w:t>is up to $</w:t>
      </w:r>
      <w:r w:rsidR="00BE11D6">
        <w:rPr>
          <w:color w:val="000000"/>
        </w:rPr>
        <w:t>911</w:t>
      </w:r>
      <w:r w:rsidRPr="00C406EE">
        <w:rPr>
          <w:color w:val="000000"/>
        </w:rPr>
        <w:t>.</w:t>
      </w:r>
      <w:r w:rsidR="00FB24D0">
        <w:rPr>
          <w:color w:val="000000"/>
        </w:rPr>
        <w:t xml:space="preserve"> This cost is addressed in the second ZP-03 in the table below.</w:t>
      </w:r>
    </w:p>
    <w:p w:rsidR="001B2066" w:rsidRPr="00563432" w:rsidP="005E0D0C" w14:paraId="4FFBE284" w14:textId="797B3194">
      <w:pPr>
        <w:pStyle w:val="ListParagraph"/>
        <w:widowControl/>
        <w:numPr>
          <w:ilvl w:val="0"/>
          <w:numId w:val="16"/>
        </w:numPr>
        <w:spacing w:before="240"/>
        <w:rPr>
          <w:i/>
        </w:rPr>
      </w:pPr>
      <w:r w:rsidRPr="00C406EE">
        <w:rPr>
          <w:i/>
          <w:color w:val="000000"/>
        </w:rPr>
        <w:t>Daily Fishing Logs</w:t>
      </w:r>
      <w:r w:rsidR="00C406EE">
        <w:rPr>
          <w:i/>
          <w:color w:val="000000"/>
        </w:rPr>
        <w:t xml:space="preserve"> - </w:t>
      </w:r>
      <w:r w:rsidRPr="001B2066">
        <w:t>The estimated annual cost to the Federal government to administer this information collection</w:t>
      </w:r>
      <w:r w:rsidRPr="00C406EE">
        <w:rPr>
          <w:color w:val="FF0000"/>
        </w:rPr>
        <w:t xml:space="preserve"> </w:t>
      </w:r>
      <w:r w:rsidRPr="00C406EE">
        <w:rPr>
          <w:color w:val="000000"/>
        </w:rPr>
        <w:t xml:space="preserve">is up to </w:t>
      </w:r>
      <w:r w:rsidRPr="00C406EE" w:rsidR="00C406EE">
        <w:rPr>
          <w:color w:val="000000"/>
        </w:rPr>
        <w:t>$</w:t>
      </w:r>
      <w:r w:rsidR="00BE11D6">
        <w:rPr>
          <w:color w:val="000000"/>
        </w:rPr>
        <w:t>979</w:t>
      </w:r>
      <w:r w:rsidRPr="00C406EE">
        <w:rPr>
          <w:color w:val="000000"/>
        </w:rPr>
        <w:t xml:space="preserve">. </w:t>
      </w:r>
      <w:r w:rsidR="00FB24D0">
        <w:rPr>
          <w:color w:val="000000"/>
        </w:rPr>
        <w:t xml:space="preserve">This cost is addressed in </w:t>
      </w:r>
      <w:r w:rsidRPr="00C406EE" w:rsidR="00FB24D0">
        <w:rPr>
          <w:color w:val="000000"/>
        </w:rPr>
        <w:t xml:space="preserve">processing of </w:t>
      </w:r>
      <w:r w:rsidR="00FB24D0">
        <w:rPr>
          <w:color w:val="000000"/>
        </w:rPr>
        <w:t>forms</w:t>
      </w:r>
      <w:r w:rsidRPr="00C406EE" w:rsidR="00FB24D0">
        <w:rPr>
          <w:color w:val="000000"/>
        </w:rPr>
        <w:t xml:space="preserve"> </w:t>
      </w:r>
      <w:r w:rsidR="00FB24D0">
        <w:rPr>
          <w:color w:val="000000"/>
        </w:rPr>
        <w:t xml:space="preserve">by the third ZP-03 in the table below, and </w:t>
      </w:r>
      <w:r w:rsidRPr="00C406EE">
        <w:rPr>
          <w:color w:val="000000"/>
        </w:rPr>
        <w:t>the cost of printing blank daily catch report forms of $</w:t>
      </w:r>
      <w:r w:rsidRPr="00C406EE" w:rsidR="00C406EE">
        <w:rPr>
          <w:color w:val="000000"/>
        </w:rPr>
        <w:t>67.50</w:t>
      </w:r>
      <w:r w:rsidRPr="00C406EE">
        <w:rPr>
          <w:color w:val="000000"/>
        </w:rPr>
        <w:t xml:space="preserve"> (based on </w:t>
      </w:r>
      <w:r w:rsidRPr="00C406EE" w:rsidR="00C406EE">
        <w:rPr>
          <w:color w:val="000000"/>
        </w:rPr>
        <w:t>135</w:t>
      </w:r>
      <w:r w:rsidRPr="00C406EE">
        <w:rPr>
          <w:color w:val="000000"/>
        </w:rPr>
        <w:t xml:space="preserve"> forms x $0.50 per form)</w:t>
      </w:r>
      <w:r w:rsidR="00957605">
        <w:rPr>
          <w:color w:val="000000"/>
        </w:rPr>
        <w:t>.</w:t>
      </w:r>
    </w:p>
    <w:p w:rsidR="00C406EE" w:rsidP="005E0D0C" w14:paraId="2E73B0B5" w14:textId="77777777">
      <w:pPr>
        <w:widowControl/>
        <w:spacing w:before="240"/>
        <w:jc w:val="center"/>
        <w:rPr>
          <w:i/>
        </w:rPr>
      </w:pPr>
    </w:p>
    <w:tbl>
      <w:tblPr>
        <w:tblW w:w="8977" w:type="dxa"/>
        <w:jc w:val="center"/>
        <w:tblLook w:val="04A0"/>
      </w:tblPr>
      <w:tblGrid>
        <w:gridCol w:w="1890"/>
        <w:gridCol w:w="1350"/>
        <w:gridCol w:w="1987"/>
        <w:gridCol w:w="1333"/>
        <w:gridCol w:w="1152"/>
        <w:gridCol w:w="1265"/>
      </w:tblGrid>
      <w:tr w14:paraId="1147B6DA" w14:textId="77777777" w:rsidTr="00BE11D6">
        <w:tblPrEx>
          <w:tblW w:w="8977" w:type="dxa"/>
          <w:jc w:val="center"/>
          <w:tblLook w:val="04A0"/>
        </w:tblPrEx>
        <w:trPr>
          <w:trHeight w:val="640"/>
          <w:jc w:val="center"/>
        </w:trPr>
        <w:tc>
          <w:tcPr>
            <w:tcW w:w="1890" w:type="dxa"/>
            <w:tcBorders>
              <w:top w:val="single" w:sz="8" w:space="0" w:color="auto"/>
              <w:left w:val="single" w:sz="8" w:space="0" w:color="auto"/>
              <w:bottom w:val="nil"/>
              <w:right w:val="single" w:sz="8" w:space="0" w:color="auto"/>
            </w:tcBorders>
            <w:shd w:val="clear" w:color="000000" w:fill="5B9BD5"/>
            <w:vAlign w:val="center"/>
            <w:hideMark/>
          </w:tcPr>
          <w:p w:rsidR="00C406EE" w:rsidRPr="006F328C" w:rsidP="006F328C" w14:paraId="7133FD21" w14:textId="77777777">
            <w:pPr>
              <w:widowControl/>
              <w:spacing w:before="60" w:after="60"/>
              <w:jc w:val="center"/>
              <w:rPr>
                <w:rFonts w:asciiTheme="minorHAnsi" w:hAnsiTheme="minorHAnsi" w:cstheme="minorHAnsi"/>
                <w:b/>
                <w:bCs/>
                <w:color w:val="000000"/>
                <w:sz w:val="20"/>
                <w:szCs w:val="20"/>
              </w:rPr>
            </w:pPr>
            <w:r w:rsidRPr="006F328C">
              <w:rPr>
                <w:rFonts w:asciiTheme="minorHAnsi" w:hAnsiTheme="minorHAnsi" w:cstheme="minorHAnsi"/>
                <w:b/>
                <w:bCs/>
                <w:color w:val="000000"/>
                <w:sz w:val="20"/>
                <w:szCs w:val="20"/>
              </w:rPr>
              <w:t>Cost Descriptions</w:t>
            </w:r>
          </w:p>
        </w:tc>
        <w:tc>
          <w:tcPr>
            <w:tcW w:w="1350" w:type="dxa"/>
            <w:tcBorders>
              <w:top w:val="single" w:sz="8" w:space="0" w:color="auto"/>
              <w:left w:val="nil"/>
              <w:bottom w:val="nil"/>
              <w:right w:val="single" w:sz="8" w:space="0" w:color="auto"/>
            </w:tcBorders>
            <w:shd w:val="clear" w:color="000000" w:fill="5B9BD5"/>
            <w:vAlign w:val="center"/>
            <w:hideMark/>
          </w:tcPr>
          <w:p w:rsidR="00C406EE" w:rsidRPr="006F328C" w:rsidP="006F328C" w14:paraId="7282C9BB" w14:textId="77777777">
            <w:pPr>
              <w:widowControl/>
              <w:spacing w:before="60" w:after="60"/>
              <w:jc w:val="center"/>
              <w:rPr>
                <w:rFonts w:asciiTheme="minorHAnsi" w:hAnsiTheme="minorHAnsi" w:cstheme="minorHAnsi"/>
                <w:b/>
                <w:bCs/>
                <w:color w:val="000000"/>
                <w:sz w:val="20"/>
                <w:szCs w:val="20"/>
              </w:rPr>
            </w:pPr>
            <w:r w:rsidRPr="006F328C">
              <w:rPr>
                <w:rFonts w:asciiTheme="minorHAnsi" w:hAnsiTheme="minorHAnsi" w:cstheme="minorHAnsi"/>
                <w:b/>
                <w:bCs/>
                <w:color w:val="000000"/>
                <w:sz w:val="20"/>
                <w:szCs w:val="20"/>
              </w:rPr>
              <w:t>Grade/Step</w:t>
            </w:r>
          </w:p>
        </w:tc>
        <w:tc>
          <w:tcPr>
            <w:tcW w:w="1987" w:type="dxa"/>
            <w:tcBorders>
              <w:top w:val="single" w:sz="8" w:space="0" w:color="auto"/>
              <w:left w:val="nil"/>
              <w:bottom w:val="nil"/>
              <w:right w:val="single" w:sz="8" w:space="0" w:color="auto"/>
            </w:tcBorders>
            <w:shd w:val="clear" w:color="000000" w:fill="5B9BD5"/>
            <w:vAlign w:val="center"/>
            <w:hideMark/>
          </w:tcPr>
          <w:p w:rsidR="00C406EE" w:rsidRPr="006F328C" w:rsidP="006F328C" w14:paraId="1E81F6C2" w14:textId="77777777">
            <w:pPr>
              <w:widowControl/>
              <w:spacing w:before="60" w:after="60"/>
              <w:jc w:val="center"/>
              <w:rPr>
                <w:rFonts w:asciiTheme="minorHAnsi" w:hAnsiTheme="minorHAnsi" w:cstheme="minorHAnsi"/>
                <w:b/>
                <w:bCs/>
                <w:color w:val="000000"/>
                <w:sz w:val="20"/>
                <w:szCs w:val="20"/>
              </w:rPr>
            </w:pPr>
            <w:r w:rsidRPr="006F328C">
              <w:rPr>
                <w:rFonts w:asciiTheme="minorHAnsi" w:hAnsiTheme="minorHAnsi" w:cstheme="minorHAnsi"/>
                <w:b/>
                <w:bCs/>
                <w:color w:val="000000"/>
                <w:sz w:val="20"/>
                <w:szCs w:val="20"/>
              </w:rPr>
              <w:t>Loaded Salary /Cost</w:t>
            </w:r>
          </w:p>
        </w:tc>
        <w:tc>
          <w:tcPr>
            <w:tcW w:w="1333" w:type="dxa"/>
            <w:tcBorders>
              <w:top w:val="single" w:sz="8" w:space="0" w:color="auto"/>
              <w:left w:val="nil"/>
              <w:bottom w:val="nil"/>
              <w:right w:val="single" w:sz="8" w:space="0" w:color="auto"/>
            </w:tcBorders>
            <w:shd w:val="clear" w:color="000000" w:fill="5B9BD5"/>
            <w:vAlign w:val="center"/>
            <w:hideMark/>
          </w:tcPr>
          <w:p w:rsidR="00C406EE" w:rsidRPr="006F328C" w:rsidP="006F328C" w14:paraId="7AE432A3" w14:textId="77777777">
            <w:pPr>
              <w:widowControl/>
              <w:spacing w:before="60" w:after="60"/>
              <w:jc w:val="center"/>
              <w:rPr>
                <w:rFonts w:asciiTheme="minorHAnsi" w:hAnsiTheme="minorHAnsi" w:cstheme="minorHAnsi"/>
                <w:b/>
                <w:bCs/>
                <w:color w:val="000000"/>
                <w:sz w:val="20"/>
                <w:szCs w:val="20"/>
              </w:rPr>
            </w:pPr>
            <w:r w:rsidRPr="006F328C">
              <w:rPr>
                <w:rFonts w:asciiTheme="minorHAnsi" w:hAnsiTheme="minorHAnsi" w:cstheme="minorHAnsi"/>
                <w:b/>
                <w:bCs/>
                <w:color w:val="000000"/>
                <w:sz w:val="20"/>
                <w:szCs w:val="20"/>
              </w:rPr>
              <w:t>% of Effort</w:t>
            </w:r>
          </w:p>
        </w:tc>
        <w:tc>
          <w:tcPr>
            <w:tcW w:w="1152" w:type="dxa"/>
            <w:tcBorders>
              <w:top w:val="single" w:sz="8" w:space="0" w:color="auto"/>
              <w:left w:val="nil"/>
              <w:bottom w:val="nil"/>
              <w:right w:val="single" w:sz="8" w:space="0" w:color="auto"/>
            </w:tcBorders>
            <w:shd w:val="clear" w:color="000000" w:fill="5B9BD5"/>
            <w:vAlign w:val="center"/>
            <w:hideMark/>
          </w:tcPr>
          <w:p w:rsidR="00C406EE" w:rsidRPr="006F328C" w:rsidP="006F328C" w14:paraId="1F777FF8" w14:textId="77777777">
            <w:pPr>
              <w:widowControl/>
              <w:spacing w:before="60" w:after="60"/>
              <w:jc w:val="center"/>
              <w:rPr>
                <w:rFonts w:asciiTheme="minorHAnsi" w:hAnsiTheme="minorHAnsi" w:cstheme="minorHAnsi"/>
                <w:b/>
                <w:bCs/>
                <w:color w:val="000000"/>
                <w:sz w:val="20"/>
                <w:szCs w:val="20"/>
              </w:rPr>
            </w:pPr>
            <w:r w:rsidRPr="006F328C">
              <w:rPr>
                <w:rFonts w:asciiTheme="minorHAnsi" w:hAnsiTheme="minorHAnsi" w:cstheme="minorHAnsi"/>
                <w:b/>
                <w:bCs/>
                <w:color w:val="000000"/>
                <w:sz w:val="20"/>
                <w:szCs w:val="20"/>
              </w:rPr>
              <w:t>Fringe (if Applicable)</w:t>
            </w:r>
          </w:p>
        </w:tc>
        <w:tc>
          <w:tcPr>
            <w:tcW w:w="1265" w:type="dxa"/>
            <w:tcBorders>
              <w:top w:val="single" w:sz="8" w:space="0" w:color="auto"/>
              <w:left w:val="nil"/>
              <w:bottom w:val="nil"/>
              <w:right w:val="single" w:sz="8" w:space="0" w:color="auto"/>
            </w:tcBorders>
            <w:shd w:val="clear" w:color="000000" w:fill="5B9BD5"/>
            <w:vAlign w:val="center"/>
            <w:hideMark/>
          </w:tcPr>
          <w:p w:rsidR="00C406EE" w:rsidRPr="006F328C" w:rsidP="006F328C" w14:paraId="4674FE2C" w14:textId="77777777">
            <w:pPr>
              <w:widowControl/>
              <w:spacing w:before="60" w:after="60"/>
              <w:jc w:val="center"/>
              <w:rPr>
                <w:rFonts w:asciiTheme="minorHAnsi" w:hAnsiTheme="minorHAnsi" w:cstheme="minorHAnsi"/>
                <w:b/>
                <w:bCs/>
                <w:color w:val="000000"/>
                <w:sz w:val="20"/>
                <w:szCs w:val="20"/>
              </w:rPr>
            </w:pPr>
            <w:r w:rsidRPr="006F328C">
              <w:rPr>
                <w:rFonts w:asciiTheme="minorHAnsi" w:hAnsiTheme="minorHAnsi" w:cstheme="minorHAnsi"/>
                <w:b/>
                <w:bCs/>
                <w:color w:val="000000"/>
                <w:sz w:val="20"/>
                <w:szCs w:val="20"/>
              </w:rPr>
              <w:t>Total Cost to Government</w:t>
            </w:r>
          </w:p>
        </w:tc>
      </w:tr>
      <w:tr w14:paraId="27D04A5E" w14:textId="77777777" w:rsidTr="00BE11D6">
        <w:tblPrEx>
          <w:tblW w:w="8977" w:type="dxa"/>
          <w:jc w:val="center"/>
          <w:tblLook w:val="04A0"/>
        </w:tblPrEx>
        <w:trPr>
          <w:trHeight w:val="430"/>
          <w:jc w:val="center"/>
        </w:trPr>
        <w:tc>
          <w:tcPr>
            <w:tcW w:w="1890" w:type="dxa"/>
            <w:tcBorders>
              <w:top w:val="single" w:sz="8" w:space="0" w:color="auto"/>
              <w:left w:val="single" w:sz="8" w:space="0" w:color="auto"/>
              <w:bottom w:val="single" w:sz="8" w:space="0" w:color="auto"/>
              <w:right w:val="single" w:sz="8" w:space="0" w:color="auto"/>
            </w:tcBorders>
            <w:vAlign w:val="center"/>
            <w:hideMark/>
          </w:tcPr>
          <w:p w:rsidR="00C406EE" w:rsidRPr="006F328C" w:rsidP="006F328C" w14:paraId="073E8D02" w14:textId="77777777">
            <w:pPr>
              <w:widowControl/>
              <w:spacing w:before="60" w:after="60"/>
              <w:rPr>
                <w:rFonts w:asciiTheme="minorHAnsi" w:hAnsiTheme="minorHAnsi" w:cstheme="minorHAnsi"/>
                <w:b/>
                <w:bCs/>
                <w:color w:val="000000"/>
                <w:sz w:val="20"/>
                <w:szCs w:val="20"/>
              </w:rPr>
            </w:pPr>
            <w:r w:rsidRPr="006F328C">
              <w:rPr>
                <w:rFonts w:asciiTheme="minorHAnsi" w:hAnsiTheme="minorHAnsi" w:cstheme="minorHAnsi"/>
                <w:b/>
                <w:bCs/>
                <w:color w:val="000000"/>
                <w:sz w:val="20"/>
                <w:szCs w:val="20"/>
              </w:rPr>
              <w:t>Federal Oversight</w:t>
            </w:r>
          </w:p>
        </w:tc>
        <w:tc>
          <w:tcPr>
            <w:tcW w:w="1350" w:type="dxa"/>
            <w:tcBorders>
              <w:top w:val="nil"/>
              <w:left w:val="nil"/>
              <w:bottom w:val="single" w:sz="8" w:space="0" w:color="auto"/>
              <w:right w:val="single" w:sz="8" w:space="0" w:color="auto"/>
            </w:tcBorders>
            <w:noWrap/>
            <w:vAlign w:val="center"/>
            <w:hideMark/>
          </w:tcPr>
          <w:p w:rsidR="00C406EE" w:rsidRPr="006F328C" w:rsidP="006F328C" w14:paraId="05B447F8" w14:textId="77777777">
            <w:pPr>
              <w:widowControl/>
              <w:spacing w:before="60" w:after="60"/>
              <w:jc w:val="center"/>
              <w:rPr>
                <w:rFonts w:asciiTheme="minorHAnsi" w:hAnsiTheme="minorHAnsi" w:cstheme="minorHAnsi"/>
                <w:color w:val="000000"/>
                <w:sz w:val="20"/>
                <w:szCs w:val="20"/>
              </w:rPr>
            </w:pPr>
            <w:r w:rsidRPr="006F328C">
              <w:rPr>
                <w:rFonts w:asciiTheme="minorHAnsi" w:hAnsiTheme="minorHAnsi" w:cstheme="minorHAnsi"/>
                <w:color w:val="000000"/>
                <w:sz w:val="20"/>
                <w:szCs w:val="20"/>
              </w:rPr>
              <w:t>ZP-04</w:t>
            </w:r>
          </w:p>
        </w:tc>
        <w:tc>
          <w:tcPr>
            <w:tcW w:w="1987" w:type="dxa"/>
            <w:tcBorders>
              <w:top w:val="nil"/>
              <w:left w:val="nil"/>
              <w:bottom w:val="single" w:sz="8" w:space="0" w:color="auto"/>
              <w:right w:val="single" w:sz="8" w:space="0" w:color="auto"/>
            </w:tcBorders>
            <w:noWrap/>
            <w:vAlign w:val="center"/>
            <w:hideMark/>
          </w:tcPr>
          <w:p w:rsidR="00C406EE" w:rsidRPr="006F328C" w:rsidP="006F328C" w14:paraId="70399815" w14:textId="5670626B">
            <w:pPr>
              <w:widowControl/>
              <w:spacing w:before="60" w:after="60"/>
              <w:jc w:val="center"/>
              <w:rPr>
                <w:rFonts w:asciiTheme="minorHAnsi" w:hAnsiTheme="minorHAnsi" w:cstheme="minorHAnsi"/>
                <w:color w:val="000000"/>
                <w:sz w:val="20"/>
                <w:szCs w:val="20"/>
              </w:rPr>
            </w:pPr>
            <w:r w:rsidRPr="006F328C">
              <w:rPr>
                <w:rFonts w:asciiTheme="minorHAnsi" w:hAnsiTheme="minorHAnsi" w:cstheme="minorHAnsi"/>
                <w:color w:val="000000"/>
                <w:sz w:val="20"/>
                <w:szCs w:val="20"/>
              </w:rPr>
              <w:t>$</w:t>
            </w:r>
            <w:r w:rsidR="006F328C">
              <w:rPr>
                <w:rFonts w:asciiTheme="minorHAnsi" w:hAnsiTheme="minorHAnsi" w:cstheme="minorHAnsi"/>
                <w:color w:val="000000"/>
                <w:sz w:val="20"/>
                <w:szCs w:val="20"/>
              </w:rPr>
              <w:t>256,062</w:t>
            </w:r>
          </w:p>
        </w:tc>
        <w:tc>
          <w:tcPr>
            <w:tcW w:w="1333" w:type="dxa"/>
            <w:tcBorders>
              <w:top w:val="nil"/>
              <w:left w:val="nil"/>
              <w:bottom w:val="single" w:sz="8" w:space="0" w:color="auto"/>
              <w:right w:val="single" w:sz="8" w:space="0" w:color="auto"/>
            </w:tcBorders>
            <w:noWrap/>
            <w:vAlign w:val="center"/>
            <w:hideMark/>
          </w:tcPr>
          <w:p w:rsidR="00C406EE" w:rsidRPr="006F328C" w:rsidP="006F328C" w14:paraId="6C8C5729" w14:textId="77777777">
            <w:pPr>
              <w:widowControl/>
              <w:spacing w:before="60" w:after="60"/>
              <w:jc w:val="center"/>
              <w:rPr>
                <w:rFonts w:asciiTheme="minorHAnsi" w:hAnsiTheme="minorHAnsi" w:cstheme="minorHAnsi"/>
                <w:color w:val="000000"/>
                <w:sz w:val="20"/>
                <w:szCs w:val="20"/>
              </w:rPr>
            </w:pPr>
            <w:r w:rsidRPr="006F328C">
              <w:rPr>
                <w:rFonts w:asciiTheme="minorHAnsi" w:hAnsiTheme="minorHAnsi" w:cstheme="minorHAnsi"/>
                <w:color w:val="000000"/>
                <w:sz w:val="20"/>
                <w:szCs w:val="20"/>
              </w:rPr>
              <w:t>0.5</w:t>
            </w:r>
          </w:p>
        </w:tc>
        <w:tc>
          <w:tcPr>
            <w:tcW w:w="1152" w:type="dxa"/>
            <w:tcBorders>
              <w:top w:val="nil"/>
              <w:left w:val="nil"/>
              <w:bottom w:val="single" w:sz="8" w:space="0" w:color="auto"/>
              <w:right w:val="single" w:sz="8" w:space="0" w:color="auto"/>
            </w:tcBorders>
            <w:shd w:val="clear" w:color="000000" w:fill="808080"/>
            <w:noWrap/>
            <w:vAlign w:val="center"/>
            <w:hideMark/>
          </w:tcPr>
          <w:p w:rsidR="00C406EE" w:rsidRPr="006F328C" w:rsidP="006F328C" w14:paraId="5EF8B1B6" w14:textId="2F1B50CA">
            <w:pPr>
              <w:widowControl/>
              <w:spacing w:before="60" w:after="60"/>
              <w:jc w:val="center"/>
              <w:rPr>
                <w:rFonts w:asciiTheme="minorHAnsi" w:hAnsiTheme="minorHAnsi" w:cstheme="minorHAnsi"/>
                <w:color w:val="000000"/>
                <w:sz w:val="20"/>
                <w:szCs w:val="20"/>
              </w:rPr>
            </w:pPr>
          </w:p>
        </w:tc>
        <w:tc>
          <w:tcPr>
            <w:tcW w:w="1265" w:type="dxa"/>
            <w:tcBorders>
              <w:top w:val="nil"/>
              <w:left w:val="nil"/>
              <w:bottom w:val="single" w:sz="8" w:space="0" w:color="auto"/>
              <w:right w:val="single" w:sz="8" w:space="0" w:color="auto"/>
            </w:tcBorders>
            <w:noWrap/>
            <w:vAlign w:val="center"/>
            <w:hideMark/>
          </w:tcPr>
          <w:p w:rsidR="00C406EE" w:rsidRPr="006F328C" w:rsidP="006F328C" w14:paraId="05C669AA" w14:textId="58D767B1">
            <w:pPr>
              <w:widowControl/>
              <w:spacing w:before="60" w:after="60"/>
              <w:jc w:val="center"/>
              <w:rPr>
                <w:rFonts w:asciiTheme="minorHAnsi" w:hAnsiTheme="minorHAnsi" w:cstheme="minorHAnsi"/>
                <w:color w:val="000000"/>
                <w:sz w:val="20"/>
                <w:szCs w:val="20"/>
              </w:rPr>
            </w:pPr>
            <w:r w:rsidRPr="006F328C">
              <w:rPr>
                <w:rFonts w:asciiTheme="minorHAnsi" w:hAnsiTheme="minorHAnsi" w:cstheme="minorHAnsi"/>
                <w:color w:val="000000"/>
                <w:sz w:val="20"/>
                <w:szCs w:val="20"/>
              </w:rPr>
              <w:t>$</w:t>
            </w:r>
            <w:r w:rsidR="00BE11D6">
              <w:rPr>
                <w:rFonts w:asciiTheme="minorHAnsi" w:hAnsiTheme="minorHAnsi" w:cstheme="minorHAnsi"/>
                <w:color w:val="000000"/>
                <w:sz w:val="20"/>
                <w:szCs w:val="20"/>
              </w:rPr>
              <w:t>1,280</w:t>
            </w:r>
          </w:p>
        </w:tc>
      </w:tr>
      <w:tr w14:paraId="57F98367" w14:textId="77777777" w:rsidTr="00BE11D6">
        <w:tblPrEx>
          <w:tblW w:w="8977" w:type="dxa"/>
          <w:jc w:val="center"/>
          <w:tblLook w:val="04A0"/>
        </w:tblPrEx>
        <w:trPr>
          <w:trHeight w:val="300"/>
          <w:jc w:val="center"/>
        </w:trPr>
        <w:tc>
          <w:tcPr>
            <w:tcW w:w="1890" w:type="dxa"/>
            <w:tcBorders>
              <w:top w:val="nil"/>
              <w:left w:val="single" w:sz="8" w:space="0" w:color="auto"/>
              <w:bottom w:val="single" w:sz="8" w:space="0" w:color="auto"/>
              <w:right w:val="single" w:sz="8" w:space="0" w:color="auto"/>
            </w:tcBorders>
            <w:noWrap/>
            <w:vAlign w:val="center"/>
            <w:hideMark/>
          </w:tcPr>
          <w:p w:rsidR="00C406EE" w:rsidRPr="006F328C" w:rsidP="006F328C" w14:paraId="7CC1C70B" w14:textId="77777777">
            <w:pPr>
              <w:widowControl/>
              <w:spacing w:before="60" w:after="60"/>
              <w:rPr>
                <w:rFonts w:asciiTheme="minorHAnsi" w:hAnsiTheme="minorHAnsi" w:cstheme="minorHAnsi"/>
                <w:color w:val="000000"/>
                <w:sz w:val="20"/>
                <w:szCs w:val="20"/>
              </w:rPr>
            </w:pPr>
            <w:r w:rsidRPr="006F328C">
              <w:rPr>
                <w:rFonts w:asciiTheme="minorHAnsi" w:hAnsiTheme="minorHAnsi" w:cstheme="minorHAnsi"/>
                <w:color w:val="000000"/>
                <w:sz w:val="20"/>
                <w:szCs w:val="20"/>
              </w:rPr>
              <w:t>Other Positions </w:t>
            </w:r>
          </w:p>
        </w:tc>
        <w:tc>
          <w:tcPr>
            <w:tcW w:w="1350" w:type="dxa"/>
            <w:tcBorders>
              <w:top w:val="nil"/>
              <w:left w:val="nil"/>
              <w:bottom w:val="single" w:sz="8" w:space="0" w:color="auto"/>
              <w:right w:val="single" w:sz="8" w:space="0" w:color="auto"/>
            </w:tcBorders>
            <w:noWrap/>
            <w:vAlign w:val="center"/>
            <w:hideMark/>
          </w:tcPr>
          <w:p w:rsidR="00C406EE" w:rsidRPr="006F328C" w:rsidP="006F328C" w14:paraId="30FDFB77" w14:textId="77777777">
            <w:pPr>
              <w:widowControl/>
              <w:spacing w:before="60" w:after="60"/>
              <w:jc w:val="center"/>
              <w:rPr>
                <w:rFonts w:asciiTheme="minorHAnsi" w:hAnsiTheme="minorHAnsi" w:cstheme="minorHAnsi"/>
                <w:color w:val="000000"/>
                <w:sz w:val="20"/>
                <w:szCs w:val="20"/>
              </w:rPr>
            </w:pPr>
            <w:r w:rsidRPr="006F328C">
              <w:rPr>
                <w:rFonts w:asciiTheme="minorHAnsi" w:hAnsiTheme="minorHAnsi" w:cstheme="minorHAnsi"/>
                <w:color w:val="000000"/>
                <w:sz w:val="20"/>
                <w:szCs w:val="20"/>
              </w:rPr>
              <w:t>ZP-03</w:t>
            </w:r>
          </w:p>
        </w:tc>
        <w:tc>
          <w:tcPr>
            <w:tcW w:w="1987" w:type="dxa"/>
            <w:tcBorders>
              <w:top w:val="nil"/>
              <w:left w:val="nil"/>
              <w:bottom w:val="single" w:sz="8" w:space="0" w:color="auto"/>
              <w:right w:val="single" w:sz="8" w:space="0" w:color="auto"/>
            </w:tcBorders>
            <w:noWrap/>
            <w:vAlign w:val="center"/>
            <w:hideMark/>
          </w:tcPr>
          <w:p w:rsidR="00C406EE" w:rsidRPr="006F328C" w:rsidP="006F328C" w14:paraId="1AA4D17C" w14:textId="0131CD74">
            <w:pPr>
              <w:widowControl/>
              <w:spacing w:before="60" w:after="60"/>
              <w:jc w:val="center"/>
              <w:rPr>
                <w:rFonts w:asciiTheme="minorHAnsi" w:hAnsiTheme="minorHAnsi" w:cstheme="minorHAnsi"/>
                <w:color w:val="000000"/>
                <w:sz w:val="20"/>
                <w:szCs w:val="20"/>
              </w:rPr>
            </w:pPr>
            <w:r w:rsidRPr="006F328C">
              <w:rPr>
                <w:rFonts w:asciiTheme="minorHAnsi" w:hAnsiTheme="minorHAnsi" w:cstheme="minorHAnsi"/>
                <w:color w:val="000000"/>
                <w:sz w:val="20"/>
                <w:szCs w:val="20"/>
              </w:rPr>
              <w:t>$</w:t>
            </w:r>
            <w:r w:rsidR="00BE11D6">
              <w:rPr>
                <w:rFonts w:asciiTheme="minorHAnsi" w:hAnsiTheme="minorHAnsi" w:cstheme="minorHAnsi"/>
                <w:color w:val="000000"/>
                <w:sz w:val="20"/>
                <w:szCs w:val="20"/>
              </w:rPr>
              <w:t>182,223</w:t>
            </w:r>
          </w:p>
        </w:tc>
        <w:tc>
          <w:tcPr>
            <w:tcW w:w="1333" w:type="dxa"/>
            <w:tcBorders>
              <w:top w:val="nil"/>
              <w:left w:val="nil"/>
              <w:bottom w:val="single" w:sz="8" w:space="0" w:color="auto"/>
              <w:right w:val="single" w:sz="8" w:space="0" w:color="auto"/>
            </w:tcBorders>
            <w:noWrap/>
            <w:vAlign w:val="center"/>
            <w:hideMark/>
          </w:tcPr>
          <w:p w:rsidR="00C406EE" w:rsidRPr="006F328C" w:rsidP="006F328C" w14:paraId="40053FF0" w14:textId="77777777">
            <w:pPr>
              <w:widowControl/>
              <w:spacing w:before="60" w:after="60"/>
              <w:jc w:val="center"/>
              <w:rPr>
                <w:rFonts w:asciiTheme="minorHAnsi" w:hAnsiTheme="minorHAnsi" w:cstheme="minorHAnsi"/>
                <w:color w:val="000000"/>
                <w:sz w:val="20"/>
                <w:szCs w:val="20"/>
              </w:rPr>
            </w:pPr>
            <w:r w:rsidRPr="006F328C">
              <w:rPr>
                <w:rFonts w:asciiTheme="minorHAnsi" w:hAnsiTheme="minorHAnsi" w:cstheme="minorHAnsi"/>
                <w:color w:val="000000"/>
                <w:sz w:val="20"/>
                <w:szCs w:val="20"/>
              </w:rPr>
              <w:t>0.5</w:t>
            </w:r>
          </w:p>
        </w:tc>
        <w:tc>
          <w:tcPr>
            <w:tcW w:w="1152" w:type="dxa"/>
            <w:tcBorders>
              <w:top w:val="nil"/>
              <w:left w:val="nil"/>
              <w:bottom w:val="single" w:sz="8" w:space="0" w:color="auto"/>
              <w:right w:val="single" w:sz="8" w:space="0" w:color="auto"/>
            </w:tcBorders>
            <w:shd w:val="clear" w:color="000000" w:fill="808080"/>
            <w:noWrap/>
            <w:vAlign w:val="center"/>
            <w:hideMark/>
          </w:tcPr>
          <w:p w:rsidR="00C406EE" w:rsidRPr="006F328C" w:rsidP="006F328C" w14:paraId="2472B561" w14:textId="35828D49">
            <w:pPr>
              <w:widowControl/>
              <w:spacing w:before="60" w:after="60"/>
              <w:jc w:val="center"/>
              <w:rPr>
                <w:rFonts w:asciiTheme="minorHAnsi" w:hAnsiTheme="minorHAnsi" w:cstheme="minorHAnsi"/>
                <w:color w:val="000000"/>
                <w:sz w:val="20"/>
                <w:szCs w:val="20"/>
              </w:rPr>
            </w:pPr>
          </w:p>
        </w:tc>
        <w:tc>
          <w:tcPr>
            <w:tcW w:w="1265" w:type="dxa"/>
            <w:tcBorders>
              <w:top w:val="nil"/>
              <w:left w:val="nil"/>
              <w:bottom w:val="single" w:sz="8" w:space="0" w:color="auto"/>
              <w:right w:val="single" w:sz="8" w:space="0" w:color="auto"/>
            </w:tcBorders>
            <w:noWrap/>
            <w:vAlign w:val="center"/>
            <w:hideMark/>
          </w:tcPr>
          <w:p w:rsidR="00C406EE" w:rsidRPr="006F328C" w:rsidP="006F328C" w14:paraId="5FA4FFE3" w14:textId="702DD83E">
            <w:pPr>
              <w:widowControl/>
              <w:spacing w:before="60" w:after="60"/>
              <w:jc w:val="center"/>
              <w:rPr>
                <w:rFonts w:asciiTheme="minorHAnsi" w:hAnsiTheme="minorHAnsi" w:cstheme="minorHAnsi"/>
                <w:color w:val="000000"/>
                <w:sz w:val="20"/>
                <w:szCs w:val="20"/>
              </w:rPr>
            </w:pPr>
            <w:r w:rsidRPr="006F328C">
              <w:rPr>
                <w:rFonts w:asciiTheme="minorHAnsi" w:hAnsiTheme="minorHAnsi" w:cstheme="minorHAnsi"/>
                <w:color w:val="000000"/>
                <w:sz w:val="20"/>
                <w:szCs w:val="20"/>
              </w:rPr>
              <w:t>$</w:t>
            </w:r>
            <w:r w:rsidR="00BE11D6">
              <w:rPr>
                <w:rFonts w:asciiTheme="minorHAnsi" w:hAnsiTheme="minorHAnsi" w:cstheme="minorHAnsi"/>
                <w:color w:val="000000"/>
                <w:sz w:val="20"/>
                <w:szCs w:val="20"/>
              </w:rPr>
              <w:t>911</w:t>
            </w:r>
          </w:p>
        </w:tc>
      </w:tr>
      <w:tr w14:paraId="6B05C4A6" w14:textId="77777777" w:rsidTr="00BE11D6">
        <w:tblPrEx>
          <w:tblW w:w="8977" w:type="dxa"/>
          <w:jc w:val="center"/>
          <w:tblLook w:val="04A0"/>
        </w:tblPrEx>
        <w:trPr>
          <w:trHeight w:val="300"/>
          <w:jc w:val="center"/>
        </w:trPr>
        <w:tc>
          <w:tcPr>
            <w:tcW w:w="1890" w:type="dxa"/>
            <w:tcBorders>
              <w:top w:val="nil"/>
              <w:left w:val="single" w:sz="8" w:space="0" w:color="auto"/>
              <w:bottom w:val="single" w:sz="8" w:space="0" w:color="auto"/>
              <w:right w:val="single" w:sz="8" w:space="0" w:color="auto"/>
            </w:tcBorders>
            <w:noWrap/>
            <w:vAlign w:val="center"/>
            <w:hideMark/>
          </w:tcPr>
          <w:p w:rsidR="00BE11D6" w:rsidRPr="006F328C" w:rsidP="00BE11D6" w14:paraId="1A32DB64" w14:textId="77777777">
            <w:pPr>
              <w:widowControl/>
              <w:spacing w:before="60" w:after="60"/>
              <w:rPr>
                <w:rFonts w:asciiTheme="minorHAnsi" w:hAnsiTheme="minorHAnsi" w:cstheme="minorHAnsi"/>
                <w:color w:val="000000"/>
                <w:sz w:val="20"/>
                <w:szCs w:val="20"/>
              </w:rPr>
            </w:pPr>
            <w:r w:rsidRPr="006F328C">
              <w:rPr>
                <w:rFonts w:asciiTheme="minorHAnsi" w:hAnsiTheme="minorHAnsi" w:cstheme="minorHAnsi"/>
                <w:color w:val="000000"/>
                <w:sz w:val="20"/>
                <w:szCs w:val="20"/>
              </w:rPr>
              <w:t> </w:t>
            </w:r>
          </w:p>
        </w:tc>
        <w:tc>
          <w:tcPr>
            <w:tcW w:w="1350" w:type="dxa"/>
            <w:tcBorders>
              <w:top w:val="nil"/>
              <w:left w:val="nil"/>
              <w:bottom w:val="single" w:sz="8" w:space="0" w:color="auto"/>
              <w:right w:val="single" w:sz="8" w:space="0" w:color="auto"/>
            </w:tcBorders>
            <w:noWrap/>
            <w:vAlign w:val="center"/>
            <w:hideMark/>
          </w:tcPr>
          <w:p w:rsidR="00BE11D6" w:rsidRPr="006F328C" w:rsidP="00BE11D6" w14:paraId="2C173E0E" w14:textId="77777777">
            <w:pPr>
              <w:widowControl/>
              <w:spacing w:before="60" w:after="60"/>
              <w:jc w:val="center"/>
              <w:rPr>
                <w:rFonts w:asciiTheme="minorHAnsi" w:hAnsiTheme="minorHAnsi" w:cstheme="minorHAnsi"/>
                <w:color w:val="000000"/>
                <w:sz w:val="20"/>
                <w:szCs w:val="20"/>
              </w:rPr>
            </w:pPr>
            <w:r w:rsidRPr="006F328C">
              <w:rPr>
                <w:rFonts w:asciiTheme="minorHAnsi" w:hAnsiTheme="minorHAnsi" w:cstheme="minorHAnsi"/>
                <w:color w:val="000000"/>
                <w:sz w:val="20"/>
                <w:szCs w:val="20"/>
              </w:rPr>
              <w:t>ZP-03</w:t>
            </w:r>
          </w:p>
        </w:tc>
        <w:tc>
          <w:tcPr>
            <w:tcW w:w="1987" w:type="dxa"/>
            <w:tcBorders>
              <w:top w:val="nil"/>
              <w:left w:val="nil"/>
              <w:bottom w:val="single" w:sz="8" w:space="0" w:color="auto"/>
              <w:right w:val="single" w:sz="8" w:space="0" w:color="auto"/>
            </w:tcBorders>
            <w:noWrap/>
            <w:hideMark/>
          </w:tcPr>
          <w:p w:rsidR="00BE11D6" w:rsidRPr="006F328C" w:rsidP="00BE11D6" w14:paraId="12B477CE" w14:textId="15D614AE">
            <w:pPr>
              <w:widowControl/>
              <w:spacing w:before="60" w:after="60"/>
              <w:jc w:val="center"/>
              <w:rPr>
                <w:rFonts w:asciiTheme="minorHAnsi" w:hAnsiTheme="minorHAnsi" w:cstheme="minorHAnsi"/>
                <w:color w:val="000000"/>
                <w:sz w:val="20"/>
                <w:szCs w:val="20"/>
              </w:rPr>
            </w:pPr>
            <w:r w:rsidRPr="009516E4">
              <w:rPr>
                <w:rFonts w:asciiTheme="minorHAnsi" w:hAnsiTheme="minorHAnsi" w:cstheme="minorHAnsi"/>
                <w:color w:val="000000"/>
                <w:sz w:val="20"/>
                <w:szCs w:val="20"/>
              </w:rPr>
              <w:t>$182,223</w:t>
            </w:r>
          </w:p>
        </w:tc>
        <w:tc>
          <w:tcPr>
            <w:tcW w:w="1333" w:type="dxa"/>
            <w:tcBorders>
              <w:top w:val="nil"/>
              <w:left w:val="nil"/>
              <w:bottom w:val="single" w:sz="8" w:space="0" w:color="auto"/>
              <w:right w:val="single" w:sz="8" w:space="0" w:color="auto"/>
            </w:tcBorders>
            <w:noWrap/>
            <w:vAlign w:val="center"/>
            <w:hideMark/>
          </w:tcPr>
          <w:p w:rsidR="00BE11D6" w:rsidRPr="006F328C" w:rsidP="00BE11D6" w14:paraId="3064CFB6" w14:textId="77777777">
            <w:pPr>
              <w:widowControl/>
              <w:spacing w:before="60" w:after="60"/>
              <w:jc w:val="center"/>
              <w:rPr>
                <w:rFonts w:asciiTheme="minorHAnsi" w:hAnsiTheme="minorHAnsi" w:cstheme="minorHAnsi"/>
                <w:color w:val="000000"/>
                <w:sz w:val="20"/>
                <w:szCs w:val="20"/>
              </w:rPr>
            </w:pPr>
            <w:r w:rsidRPr="006F328C">
              <w:rPr>
                <w:rFonts w:asciiTheme="minorHAnsi" w:hAnsiTheme="minorHAnsi" w:cstheme="minorHAnsi"/>
                <w:color w:val="000000"/>
                <w:sz w:val="20"/>
                <w:szCs w:val="20"/>
              </w:rPr>
              <w:t>0.5</w:t>
            </w:r>
          </w:p>
        </w:tc>
        <w:tc>
          <w:tcPr>
            <w:tcW w:w="1152" w:type="dxa"/>
            <w:tcBorders>
              <w:top w:val="nil"/>
              <w:left w:val="nil"/>
              <w:bottom w:val="single" w:sz="8" w:space="0" w:color="auto"/>
              <w:right w:val="single" w:sz="8" w:space="0" w:color="auto"/>
            </w:tcBorders>
            <w:shd w:val="clear" w:color="000000" w:fill="808080"/>
            <w:noWrap/>
            <w:vAlign w:val="center"/>
            <w:hideMark/>
          </w:tcPr>
          <w:p w:rsidR="00BE11D6" w:rsidRPr="006F328C" w:rsidP="00BE11D6" w14:paraId="26814399" w14:textId="11EA8264">
            <w:pPr>
              <w:widowControl/>
              <w:spacing w:before="60" w:after="60"/>
              <w:jc w:val="center"/>
              <w:rPr>
                <w:rFonts w:asciiTheme="minorHAnsi" w:hAnsiTheme="minorHAnsi" w:cstheme="minorHAnsi"/>
                <w:color w:val="000000"/>
                <w:sz w:val="20"/>
                <w:szCs w:val="20"/>
              </w:rPr>
            </w:pPr>
          </w:p>
        </w:tc>
        <w:tc>
          <w:tcPr>
            <w:tcW w:w="1265" w:type="dxa"/>
            <w:tcBorders>
              <w:top w:val="nil"/>
              <w:left w:val="nil"/>
              <w:bottom w:val="single" w:sz="8" w:space="0" w:color="auto"/>
              <w:right w:val="single" w:sz="8" w:space="0" w:color="auto"/>
            </w:tcBorders>
            <w:noWrap/>
            <w:vAlign w:val="center"/>
            <w:hideMark/>
          </w:tcPr>
          <w:p w:rsidR="00BE11D6" w:rsidRPr="006F328C" w:rsidP="00BE11D6" w14:paraId="480B0D30" w14:textId="0E4F00E3">
            <w:pPr>
              <w:widowControl/>
              <w:spacing w:before="60" w:after="60"/>
              <w:jc w:val="center"/>
              <w:rPr>
                <w:rFonts w:asciiTheme="minorHAnsi" w:hAnsiTheme="minorHAnsi" w:cstheme="minorHAnsi"/>
                <w:color w:val="000000"/>
                <w:sz w:val="20"/>
                <w:szCs w:val="20"/>
              </w:rPr>
            </w:pPr>
            <w:r w:rsidRPr="006F328C">
              <w:rPr>
                <w:rFonts w:asciiTheme="minorHAnsi" w:hAnsiTheme="minorHAnsi" w:cstheme="minorHAnsi"/>
                <w:color w:val="000000"/>
                <w:sz w:val="20"/>
                <w:szCs w:val="20"/>
              </w:rPr>
              <w:t>$</w:t>
            </w:r>
            <w:r>
              <w:rPr>
                <w:rFonts w:asciiTheme="minorHAnsi" w:hAnsiTheme="minorHAnsi" w:cstheme="minorHAnsi"/>
                <w:color w:val="000000"/>
                <w:sz w:val="20"/>
                <w:szCs w:val="20"/>
              </w:rPr>
              <w:t>911</w:t>
            </w:r>
          </w:p>
        </w:tc>
      </w:tr>
      <w:tr w14:paraId="2B2FD3C1" w14:textId="77777777" w:rsidTr="00BE11D6">
        <w:tblPrEx>
          <w:tblW w:w="8977" w:type="dxa"/>
          <w:jc w:val="center"/>
          <w:tblLook w:val="04A0"/>
        </w:tblPrEx>
        <w:trPr>
          <w:trHeight w:val="300"/>
          <w:jc w:val="center"/>
        </w:trPr>
        <w:tc>
          <w:tcPr>
            <w:tcW w:w="1890" w:type="dxa"/>
            <w:tcBorders>
              <w:top w:val="nil"/>
              <w:left w:val="single" w:sz="8" w:space="0" w:color="auto"/>
              <w:bottom w:val="single" w:sz="8" w:space="0" w:color="auto"/>
              <w:right w:val="single" w:sz="8" w:space="0" w:color="auto"/>
            </w:tcBorders>
            <w:noWrap/>
            <w:vAlign w:val="center"/>
            <w:hideMark/>
          </w:tcPr>
          <w:p w:rsidR="00BE11D6" w:rsidRPr="006F328C" w:rsidP="00BE11D6" w14:paraId="575608D1" w14:textId="77777777">
            <w:pPr>
              <w:widowControl/>
              <w:spacing w:before="60" w:after="60"/>
              <w:rPr>
                <w:rFonts w:asciiTheme="minorHAnsi" w:hAnsiTheme="minorHAnsi" w:cstheme="minorHAnsi"/>
                <w:color w:val="000000"/>
                <w:sz w:val="20"/>
                <w:szCs w:val="20"/>
              </w:rPr>
            </w:pPr>
            <w:r w:rsidRPr="006F328C">
              <w:rPr>
                <w:rFonts w:asciiTheme="minorHAnsi" w:hAnsiTheme="minorHAnsi" w:cstheme="minorHAnsi"/>
                <w:color w:val="000000"/>
                <w:sz w:val="20"/>
                <w:szCs w:val="20"/>
              </w:rPr>
              <w:t> </w:t>
            </w:r>
          </w:p>
        </w:tc>
        <w:tc>
          <w:tcPr>
            <w:tcW w:w="1350" w:type="dxa"/>
            <w:tcBorders>
              <w:top w:val="nil"/>
              <w:left w:val="nil"/>
              <w:bottom w:val="single" w:sz="8" w:space="0" w:color="auto"/>
              <w:right w:val="single" w:sz="8" w:space="0" w:color="auto"/>
            </w:tcBorders>
            <w:noWrap/>
            <w:vAlign w:val="center"/>
            <w:hideMark/>
          </w:tcPr>
          <w:p w:rsidR="00BE11D6" w:rsidRPr="006F328C" w:rsidP="00BE11D6" w14:paraId="1A9D2527" w14:textId="77777777">
            <w:pPr>
              <w:widowControl/>
              <w:spacing w:before="60" w:after="60"/>
              <w:jc w:val="center"/>
              <w:rPr>
                <w:rFonts w:asciiTheme="minorHAnsi" w:hAnsiTheme="minorHAnsi" w:cstheme="minorHAnsi"/>
                <w:color w:val="000000"/>
                <w:sz w:val="20"/>
                <w:szCs w:val="20"/>
              </w:rPr>
            </w:pPr>
            <w:r w:rsidRPr="006F328C">
              <w:rPr>
                <w:rFonts w:asciiTheme="minorHAnsi" w:hAnsiTheme="minorHAnsi" w:cstheme="minorHAnsi"/>
                <w:color w:val="000000"/>
                <w:sz w:val="20"/>
                <w:szCs w:val="20"/>
              </w:rPr>
              <w:t>ZP-03</w:t>
            </w:r>
          </w:p>
        </w:tc>
        <w:tc>
          <w:tcPr>
            <w:tcW w:w="1987" w:type="dxa"/>
            <w:tcBorders>
              <w:top w:val="nil"/>
              <w:left w:val="nil"/>
              <w:bottom w:val="single" w:sz="8" w:space="0" w:color="auto"/>
              <w:right w:val="single" w:sz="8" w:space="0" w:color="auto"/>
            </w:tcBorders>
            <w:noWrap/>
            <w:hideMark/>
          </w:tcPr>
          <w:p w:rsidR="00BE11D6" w:rsidRPr="006F328C" w:rsidP="00BE11D6" w14:paraId="19A6F9E0" w14:textId="5860C943">
            <w:pPr>
              <w:widowControl/>
              <w:spacing w:before="60" w:after="60"/>
              <w:jc w:val="center"/>
              <w:rPr>
                <w:rFonts w:asciiTheme="minorHAnsi" w:hAnsiTheme="minorHAnsi" w:cstheme="minorHAnsi"/>
                <w:color w:val="000000"/>
                <w:sz w:val="20"/>
                <w:szCs w:val="20"/>
              </w:rPr>
            </w:pPr>
            <w:r w:rsidRPr="009516E4">
              <w:rPr>
                <w:rFonts w:asciiTheme="minorHAnsi" w:hAnsiTheme="minorHAnsi" w:cstheme="minorHAnsi"/>
                <w:color w:val="000000"/>
                <w:sz w:val="20"/>
                <w:szCs w:val="20"/>
              </w:rPr>
              <w:t>$182,223</w:t>
            </w:r>
          </w:p>
        </w:tc>
        <w:tc>
          <w:tcPr>
            <w:tcW w:w="1333" w:type="dxa"/>
            <w:tcBorders>
              <w:top w:val="nil"/>
              <w:left w:val="nil"/>
              <w:bottom w:val="single" w:sz="8" w:space="0" w:color="auto"/>
              <w:right w:val="single" w:sz="8" w:space="0" w:color="auto"/>
            </w:tcBorders>
            <w:noWrap/>
            <w:vAlign w:val="center"/>
            <w:hideMark/>
          </w:tcPr>
          <w:p w:rsidR="00BE11D6" w:rsidRPr="006F328C" w:rsidP="00BE11D6" w14:paraId="35CCBC66" w14:textId="77777777">
            <w:pPr>
              <w:widowControl/>
              <w:spacing w:before="60" w:after="60"/>
              <w:jc w:val="center"/>
              <w:rPr>
                <w:rFonts w:asciiTheme="minorHAnsi" w:hAnsiTheme="minorHAnsi" w:cstheme="minorHAnsi"/>
                <w:color w:val="000000"/>
                <w:sz w:val="20"/>
                <w:szCs w:val="20"/>
              </w:rPr>
            </w:pPr>
            <w:r w:rsidRPr="006F328C">
              <w:rPr>
                <w:rFonts w:asciiTheme="minorHAnsi" w:hAnsiTheme="minorHAnsi" w:cstheme="minorHAnsi"/>
                <w:color w:val="000000"/>
                <w:sz w:val="20"/>
                <w:szCs w:val="20"/>
              </w:rPr>
              <w:t>0.5</w:t>
            </w:r>
          </w:p>
        </w:tc>
        <w:tc>
          <w:tcPr>
            <w:tcW w:w="1152" w:type="dxa"/>
            <w:tcBorders>
              <w:top w:val="nil"/>
              <w:left w:val="nil"/>
              <w:bottom w:val="single" w:sz="8" w:space="0" w:color="auto"/>
              <w:right w:val="single" w:sz="8" w:space="0" w:color="auto"/>
            </w:tcBorders>
            <w:shd w:val="clear" w:color="000000" w:fill="808080"/>
            <w:noWrap/>
            <w:vAlign w:val="center"/>
            <w:hideMark/>
          </w:tcPr>
          <w:p w:rsidR="00BE11D6" w:rsidRPr="006F328C" w:rsidP="00BE11D6" w14:paraId="0A646D79" w14:textId="4450B2D9">
            <w:pPr>
              <w:widowControl/>
              <w:spacing w:before="60" w:after="60"/>
              <w:jc w:val="center"/>
              <w:rPr>
                <w:rFonts w:asciiTheme="minorHAnsi" w:hAnsiTheme="minorHAnsi" w:cstheme="minorHAnsi"/>
                <w:color w:val="000000"/>
                <w:sz w:val="20"/>
                <w:szCs w:val="20"/>
              </w:rPr>
            </w:pPr>
          </w:p>
        </w:tc>
        <w:tc>
          <w:tcPr>
            <w:tcW w:w="1265" w:type="dxa"/>
            <w:tcBorders>
              <w:top w:val="nil"/>
              <w:left w:val="nil"/>
              <w:bottom w:val="single" w:sz="8" w:space="0" w:color="auto"/>
              <w:right w:val="single" w:sz="8" w:space="0" w:color="auto"/>
            </w:tcBorders>
            <w:noWrap/>
            <w:vAlign w:val="center"/>
            <w:hideMark/>
          </w:tcPr>
          <w:p w:rsidR="00BE11D6" w:rsidRPr="006F328C" w:rsidP="00BE11D6" w14:paraId="49C87B52" w14:textId="14B9211E">
            <w:pPr>
              <w:widowControl/>
              <w:spacing w:before="60" w:after="60"/>
              <w:jc w:val="center"/>
              <w:rPr>
                <w:rFonts w:asciiTheme="minorHAnsi" w:hAnsiTheme="minorHAnsi" w:cstheme="minorHAnsi"/>
                <w:color w:val="000000"/>
                <w:sz w:val="20"/>
                <w:szCs w:val="20"/>
              </w:rPr>
            </w:pPr>
            <w:r w:rsidRPr="006F328C">
              <w:rPr>
                <w:rFonts w:asciiTheme="minorHAnsi" w:hAnsiTheme="minorHAnsi" w:cstheme="minorHAnsi"/>
                <w:color w:val="000000"/>
                <w:sz w:val="20"/>
                <w:szCs w:val="20"/>
              </w:rPr>
              <w:t>$</w:t>
            </w:r>
            <w:r>
              <w:rPr>
                <w:rFonts w:asciiTheme="minorHAnsi" w:hAnsiTheme="minorHAnsi" w:cstheme="minorHAnsi"/>
                <w:color w:val="000000"/>
                <w:sz w:val="20"/>
                <w:szCs w:val="20"/>
              </w:rPr>
              <w:t>911</w:t>
            </w:r>
          </w:p>
        </w:tc>
      </w:tr>
      <w:tr w14:paraId="26474576" w14:textId="77777777" w:rsidTr="00BE11D6">
        <w:tblPrEx>
          <w:tblW w:w="8977" w:type="dxa"/>
          <w:jc w:val="center"/>
          <w:tblLook w:val="04A0"/>
        </w:tblPrEx>
        <w:trPr>
          <w:trHeight w:val="300"/>
          <w:jc w:val="center"/>
        </w:trPr>
        <w:tc>
          <w:tcPr>
            <w:tcW w:w="1890" w:type="dxa"/>
            <w:tcBorders>
              <w:top w:val="nil"/>
              <w:left w:val="single" w:sz="8" w:space="0" w:color="auto"/>
              <w:bottom w:val="single" w:sz="8" w:space="0" w:color="auto"/>
              <w:right w:val="single" w:sz="8" w:space="0" w:color="auto"/>
            </w:tcBorders>
            <w:noWrap/>
            <w:vAlign w:val="center"/>
            <w:hideMark/>
          </w:tcPr>
          <w:p w:rsidR="00C406EE" w:rsidRPr="006F328C" w:rsidP="006F328C" w14:paraId="64DB5A38" w14:textId="77777777">
            <w:pPr>
              <w:widowControl/>
              <w:spacing w:before="60" w:after="60"/>
              <w:rPr>
                <w:rFonts w:asciiTheme="minorHAnsi" w:hAnsiTheme="minorHAnsi" w:cstheme="minorHAnsi"/>
                <w:b/>
                <w:bCs/>
                <w:color w:val="000000"/>
                <w:sz w:val="20"/>
                <w:szCs w:val="20"/>
              </w:rPr>
            </w:pPr>
            <w:r w:rsidRPr="006F328C">
              <w:rPr>
                <w:rFonts w:asciiTheme="minorHAnsi" w:hAnsiTheme="minorHAnsi" w:cstheme="minorHAnsi"/>
                <w:b/>
                <w:bCs/>
                <w:color w:val="000000"/>
                <w:sz w:val="20"/>
                <w:szCs w:val="20"/>
              </w:rPr>
              <w:t>Travel</w:t>
            </w:r>
          </w:p>
        </w:tc>
        <w:tc>
          <w:tcPr>
            <w:tcW w:w="1350" w:type="dxa"/>
            <w:tcBorders>
              <w:top w:val="nil"/>
              <w:left w:val="nil"/>
              <w:bottom w:val="single" w:sz="8" w:space="0" w:color="auto"/>
              <w:right w:val="single" w:sz="8" w:space="0" w:color="auto"/>
            </w:tcBorders>
            <w:shd w:val="clear" w:color="000000" w:fill="808080"/>
            <w:noWrap/>
            <w:vAlign w:val="center"/>
            <w:hideMark/>
          </w:tcPr>
          <w:p w:rsidR="00C406EE" w:rsidRPr="006F328C" w:rsidP="006F328C" w14:paraId="4E20FEA5" w14:textId="66EA1076">
            <w:pPr>
              <w:widowControl/>
              <w:spacing w:before="60" w:after="60"/>
              <w:jc w:val="center"/>
              <w:rPr>
                <w:rFonts w:asciiTheme="minorHAnsi" w:hAnsiTheme="minorHAnsi" w:cstheme="minorHAnsi"/>
                <w:color w:val="000000"/>
                <w:sz w:val="20"/>
                <w:szCs w:val="20"/>
              </w:rPr>
            </w:pPr>
          </w:p>
        </w:tc>
        <w:tc>
          <w:tcPr>
            <w:tcW w:w="1987" w:type="dxa"/>
            <w:tcBorders>
              <w:top w:val="nil"/>
              <w:left w:val="nil"/>
              <w:bottom w:val="single" w:sz="8" w:space="0" w:color="auto"/>
              <w:right w:val="single" w:sz="8" w:space="0" w:color="auto"/>
            </w:tcBorders>
            <w:shd w:val="clear" w:color="000000" w:fill="808080"/>
            <w:noWrap/>
            <w:vAlign w:val="center"/>
            <w:hideMark/>
          </w:tcPr>
          <w:p w:rsidR="00C406EE" w:rsidRPr="006F328C" w:rsidP="006F328C" w14:paraId="62D5D3C9" w14:textId="3C8672B5">
            <w:pPr>
              <w:widowControl/>
              <w:spacing w:before="60" w:after="60"/>
              <w:jc w:val="center"/>
              <w:rPr>
                <w:rFonts w:asciiTheme="minorHAnsi" w:hAnsiTheme="minorHAnsi" w:cstheme="minorHAnsi"/>
                <w:color w:val="000000"/>
                <w:sz w:val="20"/>
                <w:szCs w:val="20"/>
              </w:rPr>
            </w:pPr>
          </w:p>
        </w:tc>
        <w:tc>
          <w:tcPr>
            <w:tcW w:w="1333" w:type="dxa"/>
            <w:tcBorders>
              <w:top w:val="nil"/>
              <w:left w:val="nil"/>
              <w:bottom w:val="single" w:sz="8" w:space="0" w:color="auto"/>
              <w:right w:val="single" w:sz="8" w:space="0" w:color="auto"/>
            </w:tcBorders>
            <w:shd w:val="clear" w:color="000000" w:fill="808080"/>
            <w:noWrap/>
            <w:vAlign w:val="center"/>
            <w:hideMark/>
          </w:tcPr>
          <w:p w:rsidR="00C406EE" w:rsidRPr="006F328C" w:rsidP="006F328C" w14:paraId="402AA9AD" w14:textId="0CEB5C8E">
            <w:pPr>
              <w:widowControl/>
              <w:spacing w:before="60" w:after="60"/>
              <w:jc w:val="center"/>
              <w:rPr>
                <w:rFonts w:asciiTheme="minorHAnsi" w:hAnsiTheme="minorHAnsi" w:cstheme="minorHAnsi"/>
                <w:color w:val="000000"/>
                <w:sz w:val="20"/>
                <w:szCs w:val="20"/>
              </w:rPr>
            </w:pPr>
          </w:p>
        </w:tc>
        <w:tc>
          <w:tcPr>
            <w:tcW w:w="1152" w:type="dxa"/>
            <w:tcBorders>
              <w:top w:val="nil"/>
              <w:left w:val="nil"/>
              <w:bottom w:val="single" w:sz="8" w:space="0" w:color="auto"/>
              <w:right w:val="single" w:sz="8" w:space="0" w:color="auto"/>
            </w:tcBorders>
            <w:shd w:val="clear" w:color="000000" w:fill="808080"/>
            <w:noWrap/>
            <w:vAlign w:val="center"/>
            <w:hideMark/>
          </w:tcPr>
          <w:p w:rsidR="00C406EE" w:rsidRPr="006F328C" w:rsidP="006F328C" w14:paraId="3FBC1BA7" w14:textId="3C4A5C0C">
            <w:pPr>
              <w:widowControl/>
              <w:spacing w:before="60" w:after="60"/>
              <w:jc w:val="center"/>
              <w:rPr>
                <w:rFonts w:asciiTheme="minorHAnsi" w:hAnsiTheme="minorHAnsi" w:cstheme="minorHAnsi"/>
                <w:color w:val="000000"/>
                <w:sz w:val="20"/>
                <w:szCs w:val="20"/>
              </w:rPr>
            </w:pPr>
          </w:p>
        </w:tc>
        <w:tc>
          <w:tcPr>
            <w:tcW w:w="1265" w:type="dxa"/>
            <w:tcBorders>
              <w:top w:val="nil"/>
              <w:left w:val="nil"/>
              <w:bottom w:val="single" w:sz="8" w:space="0" w:color="auto"/>
              <w:right w:val="single" w:sz="8" w:space="0" w:color="auto"/>
            </w:tcBorders>
            <w:noWrap/>
            <w:vAlign w:val="center"/>
            <w:hideMark/>
          </w:tcPr>
          <w:p w:rsidR="00C406EE" w:rsidRPr="006F328C" w:rsidP="006F328C" w14:paraId="2E7DAC49" w14:textId="0BBA1580">
            <w:pPr>
              <w:widowControl/>
              <w:spacing w:before="60" w:after="60"/>
              <w:jc w:val="center"/>
              <w:rPr>
                <w:rFonts w:asciiTheme="minorHAnsi" w:hAnsiTheme="minorHAnsi" w:cstheme="minorHAnsi"/>
                <w:color w:val="000000"/>
                <w:sz w:val="20"/>
                <w:szCs w:val="20"/>
              </w:rPr>
            </w:pPr>
            <w:r w:rsidRPr="006F328C">
              <w:rPr>
                <w:rFonts w:asciiTheme="minorHAnsi" w:hAnsiTheme="minorHAnsi" w:cstheme="minorHAnsi"/>
                <w:color w:val="000000"/>
                <w:sz w:val="20"/>
                <w:szCs w:val="20"/>
              </w:rPr>
              <w:t>n/a</w:t>
            </w:r>
          </w:p>
        </w:tc>
      </w:tr>
      <w:tr w14:paraId="5009A5EA" w14:textId="77777777" w:rsidTr="00BE11D6">
        <w:tblPrEx>
          <w:tblW w:w="8977" w:type="dxa"/>
          <w:jc w:val="center"/>
          <w:tblLook w:val="04A0"/>
        </w:tblPrEx>
        <w:trPr>
          <w:trHeight w:val="300"/>
          <w:jc w:val="center"/>
        </w:trPr>
        <w:tc>
          <w:tcPr>
            <w:tcW w:w="1890" w:type="dxa"/>
            <w:tcBorders>
              <w:top w:val="nil"/>
              <w:left w:val="single" w:sz="8" w:space="0" w:color="auto"/>
              <w:bottom w:val="single" w:sz="8" w:space="0" w:color="auto"/>
              <w:right w:val="single" w:sz="8" w:space="0" w:color="auto"/>
            </w:tcBorders>
            <w:noWrap/>
            <w:vAlign w:val="center"/>
            <w:hideMark/>
          </w:tcPr>
          <w:p w:rsidR="00C406EE" w:rsidRPr="006F328C" w:rsidP="006F328C" w14:paraId="17408AA6" w14:textId="77777777">
            <w:pPr>
              <w:widowControl/>
              <w:spacing w:before="60" w:after="60"/>
              <w:rPr>
                <w:rFonts w:asciiTheme="minorHAnsi" w:hAnsiTheme="minorHAnsi" w:cstheme="minorHAnsi"/>
                <w:b/>
                <w:bCs/>
                <w:color w:val="000000"/>
                <w:sz w:val="20"/>
                <w:szCs w:val="20"/>
              </w:rPr>
            </w:pPr>
            <w:r w:rsidRPr="006F328C">
              <w:rPr>
                <w:rFonts w:asciiTheme="minorHAnsi" w:hAnsiTheme="minorHAnsi" w:cstheme="minorHAnsi"/>
                <w:b/>
                <w:bCs/>
                <w:color w:val="000000"/>
                <w:sz w:val="20"/>
                <w:szCs w:val="20"/>
              </w:rPr>
              <w:t>Other Costs</w:t>
            </w:r>
          </w:p>
        </w:tc>
        <w:tc>
          <w:tcPr>
            <w:tcW w:w="1350" w:type="dxa"/>
            <w:tcBorders>
              <w:top w:val="nil"/>
              <w:left w:val="nil"/>
              <w:bottom w:val="single" w:sz="8" w:space="0" w:color="auto"/>
              <w:right w:val="single" w:sz="8" w:space="0" w:color="auto"/>
            </w:tcBorders>
            <w:shd w:val="clear" w:color="000000" w:fill="808080"/>
            <w:noWrap/>
            <w:vAlign w:val="center"/>
            <w:hideMark/>
          </w:tcPr>
          <w:p w:rsidR="00C406EE" w:rsidRPr="006F328C" w:rsidP="006F328C" w14:paraId="2213C06C" w14:textId="7CD77A81">
            <w:pPr>
              <w:widowControl/>
              <w:spacing w:before="60" w:after="60"/>
              <w:jc w:val="center"/>
              <w:rPr>
                <w:rFonts w:asciiTheme="minorHAnsi" w:hAnsiTheme="minorHAnsi" w:cstheme="minorHAnsi"/>
                <w:color w:val="000000"/>
                <w:sz w:val="20"/>
                <w:szCs w:val="20"/>
              </w:rPr>
            </w:pPr>
          </w:p>
        </w:tc>
        <w:tc>
          <w:tcPr>
            <w:tcW w:w="1987" w:type="dxa"/>
            <w:tcBorders>
              <w:top w:val="nil"/>
              <w:left w:val="nil"/>
              <w:bottom w:val="single" w:sz="8" w:space="0" w:color="auto"/>
              <w:right w:val="single" w:sz="8" w:space="0" w:color="auto"/>
            </w:tcBorders>
            <w:shd w:val="clear" w:color="000000" w:fill="808080"/>
            <w:noWrap/>
            <w:vAlign w:val="center"/>
            <w:hideMark/>
          </w:tcPr>
          <w:p w:rsidR="00C406EE" w:rsidRPr="006F328C" w:rsidP="006F328C" w14:paraId="6AC9B8F6" w14:textId="7183B11A">
            <w:pPr>
              <w:widowControl/>
              <w:spacing w:before="60" w:after="60"/>
              <w:jc w:val="center"/>
              <w:rPr>
                <w:rFonts w:asciiTheme="minorHAnsi" w:hAnsiTheme="minorHAnsi" w:cstheme="minorHAnsi"/>
                <w:color w:val="000000"/>
                <w:sz w:val="20"/>
                <w:szCs w:val="20"/>
              </w:rPr>
            </w:pPr>
          </w:p>
        </w:tc>
        <w:tc>
          <w:tcPr>
            <w:tcW w:w="1333" w:type="dxa"/>
            <w:tcBorders>
              <w:top w:val="nil"/>
              <w:left w:val="nil"/>
              <w:bottom w:val="single" w:sz="8" w:space="0" w:color="auto"/>
              <w:right w:val="single" w:sz="8" w:space="0" w:color="auto"/>
            </w:tcBorders>
            <w:shd w:val="clear" w:color="000000" w:fill="808080"/>
            <w:noWrap/>
            <w:vAlign w:val="center"/>
            <w:hideMark/>
          </w:tcPr>
          <w:p w:rsidR="00C406EE" w:rsidRPr="006F328C" w:rsidP="006F328C" w14:paraId="57C9AB61" w14:textId="642E3797">
            <w:pPr>
              <w:widowControl/>
              <w:spacing w:before="60" w:after="60"/>
              <w:jc w:val="center"/>
              <w:rPr>
                <w:rFonts w:asciiTheme="minorHAnsi" w:hAnsiTheme="minorHAnsi" w:cstheme="minorHAnsi"/>
                <w:color w:val="000000"/>
                <w:sz w:val="20"/>
                <w:szCs w:val="20"/>
              </w:rPr>
            </w:pPr>
          </w:p>
        </w:tc>
        <w:tc>
          <w:tcPr>
            <w:tcW w:w="1152" w:type="dxa"/>
            <w:tcBorders>
              <w:top w:val="nil"/>
              <w:left w:val="nil"/>
              <w:bottom w:val="single" w:sz="8" w:space="0" w:color="auto"/>
              <w:right w:val="single" w:sz="8" w:space="0" w:color="auto"/>
            </w:tcBorders>
            <w:shd w:val="clear" w:color="000000" w:fill="808080"/>
            <w:noWrap/>
            <w:vAlign w:val="center"/>
            <w:hideMark/>
          </w:tcPr>
          <w:p w:rsidR="00C406EE" w:rsidRPr="006F328C" w:rsidP="006F328C" w14:paraId="6EC0855F" w14:textId="5C179384">
            <w:pPr>
              <w:widowControl/>
              <w:spacing w:before="60" w:after="60"/>
              <w:jc w:val="center"/>
              <w:rPr>
                <w:rFonts w:asciiTheme="minorHAnsi" w:hAnsiTheme="minorHAnsi" w:cstheme="minorHAnsi"/>
                <w:color w:val="000000"/>
                <w:sz w:val="20"/>
                <w:szCs w:val="20"/>
              </w:rPr>
            </w:pPr>
          </w:p>
        </w:tc>
        <w:tc>
          <w:tcPr>
            <w:tcW w:w="1265" w:type="dxa"/>
            <w:tcBorders>
              <w:top w:val="nil"/>
              <w:left w:val="nil"/>
              <w:bottom w:val="single" w:sz="8" w:space="0" w:color="auto"/>
              <w:right w:val="single" w:sz="8" w:space="0" w:color="auto"/>
            </w:tcBorders>
            <w:noWrap/>
            <w:vAlign w:val="center"/>
            <w:hideMark/>
          </w:tcPr>
          <w:p w:rsidR="00C406EE" w:rsidRPr="006F328C" w:rsidP="006F328C" w14:paraId="6AC9853F" w14:textId="0F830BDE">
            <w:pPr>
              <w:widowControl/>
              <w:spacing w:before="60" w:after="60"/>
              <w:jc w:val="center"/>
              <w:rPr>
                <w:rFonts w:asciiTheme="minorHAnsi" w:hAnsiTheme="minorHAnsi" w:cstheme="minorHAnsi"/>
                <w:color w:val="000000"/>
                <w:sz w:val="20"/>
                <w:szCs w:val="20"/>
              </w:rPr>
            </w:pPr>
            <w:r w:rsidRPr="006F328C">
              <w:rPr>
                <w:rFonts w:asciiTheme="minorHAnsi" w:hAnsiTheme="minorHAnsi" w:cstheme="minorHAnsi"/>
                <w:color w:val="000000"/>
                <w:sz w:val="20"/>
                <w:szCs w:val="20"/>
              </w:rPr>
              <w:t>n/a</w:t>
            </w:r>
          </w:p>
        </w:tc>
      </w:tr>
      <w:tr w14:paraId="6430F75C" w14:textId="77777777" w:rsidTr="00BE11D6">
        <w:tblPrEx>
          <w:tblW w:w="8977" w:type="dxa"/>
          <w:jc w:val="center"/>
          <w:tblLook w:val="04A0"/>
        </w:tblPrEx>
        <w:trPr>
          <w:trHeight w:val="300"/>
          <w:jc w:val="center"/>
        </w:trPr>
        <w:tc>
          <w:tcPr>
            <w:tcW w:w="1890" w:type="dxa"/>
            <w:tcBorders>
              <w:top w:val="nil"/>
              <w:left w:val="single" w:sz="8" w:space="0" w:color="auto"/>
              <w:bottom w:val="nil"/>
              <w:right w:val="single" w:sz="8" w:space="0" w:color="auto"/>
            </w:tcBorders>
            <w:noWrap/>
            <w:vAlign w:val="center"/>
            <w:hideMark/>
          </w:tcPr>
          <w:p w:rsidR="00C406EE" w:rsidRPr="006F328C" w:rsidP="006F328C" w14:paraId="1D2EEEBB" w14:textId="77777777">
            <w:pPr>
              <w:widowControl/>
              <w:spacing w:before="60" w:after="60"/>
              <w:rPr>
                <w:rFonts w:asciiTheme="minorHAnsi" w:hAnsiTheme="minorHAnsi" w:cstheme="minorHAnsi"/>
                <w:color w:val="000000"/>
                <w:sz w:val="20"/>
                <w:szCs w:val="20"/>
              </w:rPr>
            </w:pPr>
            <w:r w:rsidRPr="006F328C">
              <w:rPr>
                <w:rFonts w:asciiTheme="minorHAnsi" w:hAnsiTheme="minorHAnsi" w:cstheme="minorHAnsi"/>
                <w:color w:val="000000"/>
                <w:sz w:val="20"/>
                <w:szCs w:val="20"/>
              </w:rPr>
              <w:t> </w:t>
            </w:r>
            <w:r w:rsidRPr="006F328C">
              <w:rPr>
                <w:rFonts w:asciiTheme="minorHAnsi" w:hAnsiTheme="minorHAnsi" w:cstheme="minorHAnsi"/>
                <w:b/>
                <w:bCs/>
                <w:color w:val="000000"/>
                <w:sz w:val="20"/>
                <w:szCs w:val="20"/>
              </w:rPr>
              <w:t>Printing Costs</w:t>
            </w:r>
          </w:p>
        </w:tc>
        <w:tc>
          <w:tcPr>
            <w:tcW w:w="1350" w:type="dxa"/>
            <w:tcBorders>
              <w:top w:val="nil"/>
              <w:left w:val="nil"/>
              <w:bottom w:val="nil"/>
              <w:right w:val="single" w:sz="8" w:space="0" w:color="auto"/>
            </w:tcBorders>
            <w:shd w:val="clear" w:color="000000" w:fill="808080"/>
            <w:noWrap/>
            <w:vAlign w:val="center"/>
            <w:hideMark/>
          </w:tcPr>
          <w:p w:rsidR="00C406EE" w:rsidRPr="006F328C" w:rsidP="006F328C" w14:paraId="2C8944EA" w14:textId="316B001E">
            <w:pPr>
              <w:widowControl/>
              <w:spacing w:before="60" w:after="60"/>
              <w:jc w:val="center"/>
              <w:rPr>
                <w:rFonts w:asciiTheme="minorHAnsi" w:hAnsiTheme="minorHAnsi" w:cstheme="minorHAnsi"/>
                <w:color w:val="000000"/>
                <w:sz w:val="20"/>
                <w:szCs w:val="20"/>
              </w:rPr>
            </w:pPr>
          </w:p>
        </w:tc>
        <w:tc>
          <w:tcPr>
            <w:tcW w:w="1987" w:type="dxa"/>
            <w:tcBorders>
              <w:top w:val="nil"/>
              <w:left w:val="nil"/>
              <w:bottom w:val="nil"/>
              <w:right w:val="single" w:sz="8" w:space="0" w:color="auto"/>
            </w:tcBorders>
            <w:shd w:val="clear" w:color="000000" w:fill="808080"/>
            <w:noWrap/>
            <w:vAlign w:val="center"/>
            <w:hideMark/>
          </w:tcPr>
          <w:p w:rsidR="00C406EE" w:rsidRPr="006F328C" w:rsidP="006F328C" w14:paraId="29259BB4" w14:textId="70F048C6">
            <w:pPr>
              <w:widowControl/>
              <w:spacing w:before="60" w:after="60"/>
              <w:jc w:val="center"/>
              <w:rPr>
                <w:rFonts w:asciiTheme="minorHAnsi" w:hAnsiTheme="minorHAnsi" w:cstheme="minorHAnsi"/>
                <w:color w:val="000000"/>
                <w:sz w:val="20"/>
                <w:szCs w:val="20"/>
              </w:rPr>
            </w:pPr>
          </w:p>
        </w:tc>
        <w:tc>
          <w:tcPr>
            <w:tcW w:w="1333" w:type="dxa"/>
            <w:tcBorders>
              <w:top w:val="nil"/>
              <w:left w:val="nil"/>
              <w:bottom w:val="nil"/>
              <w:right w:val="single" w:sz="8" w:space="0" w:color="auto"/>
            </w:tcBorders>
            <w:shd w:val="clear" w:color="000000" w:fill="808080"/>
            <w:noWrap/>
            <w:vAlign w:val="center"/>
            <w:hideMark/>
          </w:tcPr>
          <w:p w:rsidR="00C406EE" w:rsidRPr="006F328C" w:rsidP="006F328C" w14:paraId="22D301F0" w14:textId="4D24D7E1">
            <w:pPr>
              <w:widowControl/>
              <w:spacing w:before="60" w:after="60"/>
              <w:jc w:val="center"/>
              <w:rPr>
                <w:rFonts w:asciiTheme="minorHAnsi" w:hAnsiTheme="minorHAnsi" w:cstheme="minorHAnsi"/>
                <w:color w:val="000000"/>
                <w:sz w:val="20"/>
                <w:szCs w:val="20"/>
              </w:rPr>
            </w:pPr>
          </w:p>
        </w:tc>
        <w:tc>
          <w:tcPr>
            <w:tcW w:w="1152" w:type="dxa"/>
            <w:tcBorders>
              <w:top w:val="nil"/>
              <w:left w:val="nil"/>
              <w:bottom w:val="nil"/>
              <w:right w:val="single" w:sz="8" w:space="0" w:color="auto"/>
            </w:tcBorders>
            <w:shd w:val="clear" w:color="000000" w:fill="808080"/>
            <w:noWrap/>
            <w:vAlign w:val="center"/>
            <w:hideMark/>
          </w:tcPr>
          <w:p w:rsidR="00C406EE" w:rsidRPr="006F328C" w:rsidP="006F328C" w14:paraId="13FE1AD9" w14:textId="197AA7A2">
            <w:pPr>
              <w:widowControl/>
              <w:spacing w:before="60" w:after="60"/>
              <w:jc w:val="center"/>
              <w:rPr>
                <w:rFonts w:asciiTheme="minorHAnsi" w:hAnsiTheme="minorHAnsi" w:cstheme="minorHAnsi"/>
                <w:color w:val="000000"/>
                <w:sz w:val="20"/>
                <w:szCs w:val="20"/>
              </w:rPr>
            </w:pPr>
          </w:p>
        </w:tc>
        <w:tc>
          <w:tcPr>
            <w:tcW w:w="1265" w:type="dxa"/>
            <w:tcBorders>
              <w:top w:val="nil"/>
              <w:left w:val="nil"/>
              <w:bottom w:val="single" w:sz="8" w:space="0" w:color="auto"/>
              <w:right w:val="single" w:sz="8" w:space="0" w:color="auto"/>
            </w:tcBorders>
            <w:noWrap/>
            <w:vAlign w:val="center"/>
            <w:hideMark/>
          </w:tcPr>
          <w:p w:rsidR="00C406EE" w:rsidRPr="006F328C" w:rsidP="006F328C" w14:paraId="1658B553" w14:textId="12607620">
            <w:pPr>
              <w:widowControl/>
              <w:spacing w:before="60" w:after="60"/>
              <w:jc w:val="center"/>
              <w:rPr>
                <w:rFonts w:asciiTheme="minorHAnsi" w:hAnsiTheme="minorHAnsi" w:cstheme="minorHAnsi"/>
                <w:color w:val="000000"/>
                <w:sz w:val="20"/>
                <w:szCs w:val="20"/>
              </w:rPr>
            </w:pPr>
            <w:r w:rsidRPr="006F328C">
              <w:rPr>
                <w:rFonts w:asciiTheme="minorHAnsi" w:hAnsiTheme="minorHAnsi" w:cstheme="minorHAnsi"/>
                <w:color w:val="000000"/>
                <w:sz w:val="20"/>
                <w:szCs w:val="20"/>
              </w:rPr>
              <w:t>$6</w:t>
            </w:r>
            <w:r w:rsidRPr="006F328C" w:rsidR="00CC5B3D">
              <w:rPr>
                <w:rFonts w:asciiTheme="minorHAnsi" w:hAnsiTheme="minorHAnsi" w:cstheme="minorHAnsi"/>
                <w:color w:val="000000"/>
                <w:sz w:val="20"/>
                <w:szCs w:val="20"/>
              </w:rPr>
              <w:t>8</w:t>
            </w:r>
          </w:p>
        </w:tc>
      </w:tr>
      <w:tr w14:paraId="4DC078D3" w14:textId="77777777" w:rsidTr="00BE11D6">
        <w:tblPrEx>
          <w:tblW w:w="8977" w:type="dxa"/>
          <w:jc w:val="center"/>
          <w:tblLook w:val="04A0"/>
        </w:tblPrEx>
        <w:trPr>
          <w:trHeight w:val="300"/>
          <w:jc w:val="center"/>
        </w:trPr>
        <w:tc>
          <w:tcPr>
            <w:tcW w:w="1890" w:type="dxa"/>
            <w:tcBorders>
              <w:top w:val="single" w:sz="8" w:space="0" w:color="auto"/>
              <w:left w:val="single" w:sz="8" w:space="0" w:color="auto"/>
              <w:bottom w:val="single" w:sz="8" w:space="0" w:color="auto"/>
              <w:right w:val="single" w:sz="8" w:space="0" w:color="auto"/>
            </w:tcBorders>
            <w:shd w:val="clear" w:color="000000" w:fill="BDD6EE"/>
            <w:noWrap/>
            <w:vAlign w:val="center"/>
            <w:hideMark/>
          </w:tcPr>
          <w:p w:rsidR="00C406EE" w:rsidRPr="006F328C" w:rsidP="006F328C" w14:paraId="458E65D4" w14:textId="77777777">
            <w:pPr>
              <w:widowControl/>
              <w:spacing w:before="60" w:after="60"/>
              <w:rPr>
                <w:rFonts w:asciiTheme="minorHAnsi" w:hAnsiTheme="minorHAnsi" w:cstheme="minorHAnsi"/>
                <w:b/>
                <w:bCs/>
                <w:color w:val="000000"/>
                <w:sz w:val="20"/>
                <w:szCs w:val="20"/>
              </w:rPr>
            </w:pPr>
            <w:r w:rsidRPr="006F328C">
              <w:rPr>
                <w:rFonts w:asciiTheme="minorHAnsi" w:hAnsiTheme="minorHAnsi" w:cstheme="minorHAnsi"/>
                <w:b/>
                <w:bCs/>
                <w:color w:val="000000"/>
                <w:sz w:val="20"/>
                <w:szCs w:val="20"/>
              </w:rPr>
              <w:t>TOTAL</w:t>
            </w:r>
          </w:p>
        </w:tc>
        <w:tc>
          <w:tcPr>
            <w:tcW w:w="1350" w:type="dxa"/>
            <w:tcBorders>
              <w:top w:val="single" w:sz="8" w:space="0" w:color="auto"/>
              <w:left w:val="nil"/>
              <w:bottom w:val="single" w:sz="8" w:space="0" w:color="auto"/>
              <w:right w:val="single" w:sz="8" w:space="0" w:color="auto"/>
            </w:tcBorders>
            <w:shd w:val="clear" w:color="000000" w:fill="808080"/>
            <w:noWrap/>
            <w:vAlign w:val="center"/>
            <w:hideMark/>
          </w:tcPr>
          <w:p w:rsidR="00C406EE" w:rsidRPr="006F328C" w:rsidP="006F328C" w14:paraId="02E554F4" w14:textId="117DC3FA">
            <w:pPr>
              <w:widowControl/>
              <w:spacing w:before="60" w:after="60"/>
              <w:jc w:val="center"/>
              <w:rPr>
                <w:rFonts w:asciiTheme="minorHAnsi" w:hAnsiTheme="minorHAnsi" w:cstheme="minorHAnsi"/>
                <w:b/>
                <w:bCs/>
                <w:color w:val="000000"/>
                <w:sz w:val="20"/>
                <w:szCs w:val="20"/>
              </w:rPr>
            </w:pPr>
          </w:p>
        </w:tc>
        <w:tc>
          <w:tcPr>
            <w:tcW w:w="1987" w:type="dxa"/>
            <w:tcBorders>
              <w:top w:val="single" w:sz="8" w:space="0" w:color="auto"/>
              <w:left w:val="nil"/>
              <w:bottom w:val="single" w:sz="8" w:space="0" w:color="auto"/>
              <w:right w:val="single" w:sz="8" w:space="0" w:color="auto"/>
            </w:tcBorders>
            <w:shd w:val="clear" w:color="000000" w:fill="BDD6EE"/>
            <w:noWrap/>
            <w:vAlign w:val="center"/>
            <w:hideMark/>
          </w:tcPr>
          <w:p w:rsidR="00C406EE" w:rsidRPr="006F328C" w:rsidP="006F328C" w14:paraId="32F8CD70" w14:textId="20D4044C">
            <w:pPr>
              <w:widowControl/>
              <w:spacing w:before="60" w:after="60"/>
              <w:jc w:val="center"/>
              <w:rPr>
                <w:rFonts w:asciiTheme="minorHAnsi" w:hAnsiTheme="minorHAnsi" w:cstheme="minorHAnsi"/>
                <w:b/>
                <w:bCs/>
                <w:color w:val="000000"/>
                <w:sz w:val="20"/>
                <w:szCs w:val="20"/>
              </w:rPr>
            </w:pPr>
          </w:p>
        </w:tc>
        <w:tc>
          <w:tcPr>
            <w:tcW w:w="1333" w:type="dxa"/>
            <w:tcBorders>
              <w:top w:val="single" w:sz="8" w:space="0" w:color="auto"/>
              <w:left w:val="nil"/>
              <w:bottom w:val="single" w:sz="8" w:space="0" w:color="auto"/>
              <w:right w:val="single" w:sz="8" w:space="0" w:color="auto"/>
            </w:tcBorders>
            <w:shd w:val="clear" w:color="000000" w:fill="757171"/>
            <w:noWrap/>
            <w:vAlign w:val="center"/>
            <w:hideMark/>
          </w:tcPr>
          <w:p w:rsidR="00C406EE" w:rsidRPr="006F328C" w:rsidP="006F328C" w14:paraId="0DEE0F65" w14:textId="00B58D1D">
            <w:pPr>
              <w:widowControl/>
              <w:spacing w:before="60" w:after="60"/>
              <w:jc w:val="center"/>
              <w:rPr>
                <w:rFonts w:asciiTheme="minorHAnsi" w:hAnsiTheme="minorHAnsi" w:cstheme="minorHAnsi"/>
                <w:b/>
                <w:bCs/>
                <w:color w:val="000000"/>
                <w:sz w:val="20"/>
                <w:szCs w:val="20"/>
              </w:rPr>
            </w:pPr>
          </w:p>
        </w:tc>
        <w:tc>
          <w:tcPr>
            <w:tcW w:w="1152" w:type="dxa"/>
            <w:tcBorders>
              <w:top w:val="single" w:sz="8" w:space="0" w:color="auto"/>
              <w:left w:val="nil"/>
              <w:bottom w:val="single" w:sz="8" w:space="0" w:color="auto"/>
              <w:right w:val="single" w:sz="8" w:space="0" w:color="auto"/>
            </w:tcBorders>
            <w:shd w:val="clear" w:color="000000" w:fill="BDD6EE"/>
            <w:noWrap/>
            <w:vAlign w:val="center"/>
            <w:hideMark/>
          </w:tcPr>
          <w:p w:rsidR="00C406EE" w:rsidRPr="006F328C" w:rsidP="006F328C" w14:paraId="00D147AC" w14:textId="4FF3392C">
            <w:pPr>
              <w:widowControl/>
              <w:spacing w:before="60" w:after="60"/>
              <w:jc w:val="center"/>
              <w:rPr>
                <w:rFonts w:asciiTheme="minorHAnsi" w:hAnsiTheme="minorHAnsi" w:cstheme="minorHAnsi"/>
                <w:b/>
                <w:bCs/>
                <w:color w:val="000000"/>
                <w:sz w:val="20"/>
                <w:szCs w:val="20"/>
              </w:rPr>
            </w:pPr>
          </w:p>
        </w:tc>
        <w:tc>
          <w:tcPr>
            <w:tcW w:w="1265" w:type="dxa"/>
            <w:tcBorders>
              <w:top w:val="nil"/>
              <w:left w:val="nil"/>
              <w:bottom w:val="single" w:sz="8" w:space="0" w:color="auto"/>
              <w:right w:val="single" w:sz="8" w:space="0" w:color="auto"/>
            </w:tcBorders>
            <w:shd w:val="clear" w:color="000000" w:fill="BDD6EE"/>
            <w:noWrap/>
            <w:vAlign w:val="center"/>
            <w:hideMark/>
          </w:tcPr>
          <w:p w:rsidR="00C406EE" w:rsidRPr="006F328C" w:rsidP="006F328C" w14:paraId="77B74AE0" w14:textId="6309E149">
            <w:pPr>
              <w:widowControl/>
              <w:spacing w:before="60" w:after="60"/>
              <w:jc w:val="center"/>
              <w:rPr>
                <w:rFonts w:asciiTheme="minorHAnsi" w:hAnsiTheme="minorHAnsi" w:cstheme="minorHAnsi"/>
                <w:b/>
                <w:bCs/>
                <w:color w:val="000000"/>
                <w:sz w:val="20"/>
                <w:szCs w:val="20"/>
              </w:rPr>
            </w:pPr>
            <w:r w:rsidRPr="006F328C">
              <w:rPr>
                <w:rFonts w:asciiTheme="minorHAnsi" w:hAnsiTheme="minorHAnsi" w:cstheme="minorHAnsi"/>
                <w:b/>
                <w:bCs/>
                <w:color w:val="000000"/>
                <w:sz w:val="20"/>
                <w:szCs w:val="20"/>
              </w:rPr>
              <w:t>$</w:t>
            </w:r>
            <w:r w:rsidR="00BE11D6">
              <w:rPr>
                <w:rFonts w:asciiTheme="minorHAnsi" w:hAnsiTheme="minorHAnsi" w:cstheme="minorHAnsi"/>
                <w:b/>
                <w:bCs/>
                <w:color w:val="000000"/>
                <w:sz w:val="20"/>
                <w:szCs w:val="20"/>
              </w:rPr>
              <w:t>4,081</w:t>
            </w:r>
          </w:p>
        </w:tc>
      </w:tr>
    </w:tbl>
    <w:p w:rsidR="001B2066" w:rsidP="005E0D0C" w14:paraId="1F25B26C" w14:textId="77777777">
      <w:pPr>
        <w:spacing w:before="240"/>
      </w:pPr>
    </w:p>
    <w:p w:rsidR="00DC3FDB" w:rsidP="005E0D0C" w14:paraId="070510FB" w14:textId="77777777">
      <w:pPr>
        <w:numPr>
          <w:ilvl w:val="0"/>
          <w:numId w:val="9"/>
        </w:numPr>
        <w:pBdr>
          <w:top w:val="nil"/>
          <w:left w:val="nil"/>
          <w:bottom w:val="nil"/>
          <w:right w:val="nil"/>
          <w:between w:val="nil"/>
        </w:pBdr>
        <w:tabs>
          <w:tab w:val="left" w:pos="360"/>
        </w:tabs>
        <w:spacing w:before="240"/>
        <w:ind w:left="0" w:firstLine="0"/>
        <w:rPr>
          <w:b/>
          <w:bCs/>
          <w:color w:val="000000"/>
        </w:rPr>
      </w:pPr>
      <w:r>
        <w:rPr>
          <w:b/>
          <w:bCs/>
          <w:color w:val="000000"/>
        </w:rPr>
        <w:t>Explain the reasons for any program changes or adjustments reported in ROCIS.</w:t>
      </w:r>
    </w:p>
    <w:p w:rsidR="00DC3FDB" w:rsidRPr="0062109A" w:rsidP="005E0D0C" w14:paraId="40A128D3" w14:textId="4376A98E">
      <w:pPr>
        <w:widowControl/>
        <w:spacing w:before="240"/>
        <w:rPr>
          <w:color w:val="000000"/>
        </w:rPr>
      </w:pPr>
      <w:r w:rsidRPr="008E3170">
        <w:rPr>
          <w:color w:val="000000"/>
        </w:rPr>
        <w:t>There are no changes to the information collection since the last OMB approval</w:t>
      </w:r>
      <w:r>
        <w:rPr>
          <w:color w:val="000000"/>
        </w:rPr>
        <w:t xml:space="preserve"> for the number of respondents, responses, or burden hours. Miscellaneous costs increased due to increased postage costs. </w:t>
      </w:r>
    </w:p>
    <w:p w:rsidR="00DC3FDB" w:rsidP="005E0D0C" w14:paraId="01A7F867" w14:textId="77777777">
      <w:pPr>
        <w:pBdr>
          <w:top w:val="nil"/>
          <w:left w:val="nil"/>
          <w:bottom w:val="nil"/>
          <w:right w:val="nil"/>
          <w:between w:val="nil"/>
        </w:pBdr>
        <w:spacing w:before="240"/>
        <w:rPr>
          <w:b/>
          <w:bCs/>
        </w:rPr>
      </w:pPr>
    </w:p>
    <w:tbl>
      <w:tblPr>
        <w:tblW w:w="10070" w:type="dxa"/>
        <w:jc w:val="center"/>
        <w:tblLook w:val="04A0"/>
      </w:tblPr>
      <w:tblGrid>
        <w:gridCol w:w="3807"/>
        <w:gridCol w:w="1043"/>
        <w:gridCol w:w="990"/>
        <w:gridCol w:w="4230"/>
      </w:tblGrid>
      <w:tr w14:paraId="5FF7BF44" w14:textId="77777777" w:rsidTr="006F328C">
        <w:tblPrEx>
          <w:tblW w:w="10070" w:type="dxa"/>
          <w:jc w:val="center"/>
          <w:tblLook w:val="04A0"/>
        </w:tblPrEx>
        <w:trPr>
          <w:trHeight w:val="400"/>
          <w:jc w:val="center"/>
        </w:trPr>
        <w:tc>
          <w:tcPr>
            <w:tcW w:w="3807" w:type="dxa"/>
            <w:vMerge w:val="restart"/>
            <w:tcBorders>
              <w:top w:val="single" w:sz="8" w:space="0" w:color="auto"/>
              <w:left w:val="single" w:sz="8" w:space="0" w:color="auto"/>
              <w:bottom w:val="single" w:sz="8" w:space="0" w:color="000000"/>
              <w:right w:val="single" w:sz="8" w:space="0" w:color="auto"/>
            </w:tcBorders>
            <w:shd w:val="clear" w:color="000000" w:fill="5B9BD5"/>
            <w:vAlign w:val="center"/>
            <w:hideMark/>
          </w:tcPr>
          <w:p w:rsidR="00E50EB8" w:rsidRPr="006F328C" w:rsidP="006F328C" w14:paraId="480989C7" w14:textId="77777777">
            <w:pPr>
              <w:widowControl/>
              <w:spacing w:before="60" w:after="60"/>
              <w:ind w:left="-120"/>
              <w:jc w:val="center"/>
              <w:rPr>
                <w:rFonts w:asciiTheme="minorHAnsi" w:hAnsiTheme="minorHAnsi" w:cstheme="minorHAnsi"/>
                <w:b/>
                <w:bCs/>
                <w:color w:val="000000"/>
                <w:sz w:val="20"/>
                <w:szCs w:val="20"/>
              </w:rPr>
            </w:pPr>
            <w:r w:rsidRPr="006F328C">
              <w:rPr>
                <w:rFonts w:asciiTheme="minorHAnsi" w:hAnsiTheme="minorHAnsi" w:cstheme="minorHAnsi"/>
                <w:b/>
                <w:bCs/>
                <w:color w:val="000000"/>
                <w:sz w:val="20"/>
                <w:szCs w:val="20"/>
              </w:rPr>
              <w:t>Information Collection</w:t>
            </w:r>
          </w:p>
        </w:tc>
        <w:tc>
          <w:tcPr>
            <w:tcW w:w="2033" w:type="dxa"/>
            <w:gridSpan w:val="2"/>
            <w:tcBorders>
              <w:top w:val="single" w:sz="8" w:space="0" w:color="auto"/>
              <w:left w:val="nil"/>
              <w:bottom w:val="single" w:sz="8" w:space="0" w:color="auto"/>
              <w:right w:val="single" w:sz="8" w:space="0" w:color="000000"/>
            </w:tcBorders>
            <w:shd w:val="clear" w:color="000000" w:fill="5B9BD5"/>
            <w:vAlign w:val="center"/>
            <w:hideMark/>
          </w:tcPr>
          <w:p w:rsidR="00E50EB8" w:rsidRPr="006F328C" w:rsidP="006F328C" w14:paraId="30F76452" w14:textId="77777777">
            <w:pPr>
              <w:widowControl/>
              <w:spacing w:before="60" w:after="60"/>
              <w:ind w:left="-59"/>
              <w:jc w:val="center"/>
              <w:rPr>
                <w:rFonts w:asciiTheme="minorHAnsi" w:hAnsiTheme="minorHAnsi" w:cstheme="minorHAnsi"/>
                <w:b/>
                <w:bCs/>
                <w:color w:val="000000"/>
                <w:sz w:val="20"/>
                <w:szCs w:val="20"/>
              </w:rPr>
            </w:pPr>
            <w:r w:rsidRPr="006F328C">
              <w:rPr>
                <w:rFonts w:asciiTheme="minorHAnsi" w:hAnsiTheme="minorHAnsi" w:cstheme="minorHAnsi"/>
                <w:b/>
                <w:bCs/>
                <w:color w:val="000000"/>
                <w:sz w:val="20"/>
                <w:szCs w:val="20"/>
              </w:rPr>
              <w:t>Miscellaneous Costs</w:t>
            </w:r>
          </w:p>
        </w:tc>
        <w:tc>
          <w:tcPr>
            <w:tcW w:w="4230" w:type="dxa"/>
            <w:vMerge w:val="restart"/>
            <w:tcBorders>
              <w:top w:val="single" w:sz="8" w:space="0" w:color="auto"/>
              <w:left w:val="single" w:sz="8" w:space="0" w:color="auto"/>
              <w:bottom w:val="single" w:sz="8" w:space="0" w:color="000000"/>
              <w:right w:val="single" w:sz="8" w:space="0" w:color="auto"/>
            </w:tcBorders>
            <w:shd w:val="clear" w:color="000000" w:fill="5B9BD5"/>
            <w:vAlign w:val="center"/>
            <w:hideMark/>
          </w:tcPr>
          <w:p w:rsidR="00E50EB8" w:rsidRPr="006F328C" w:rsidP="006F328C" w14:paraId="1DD06D24" w14:textId="77777777">
            <w:pPr>
              <w:widowControl/>
              <w:spacing w:before="60" w:after="60"/>
              <w:jc w:val="center"/>
              <w:rPr>
                <w:rFonts w:asciiTheme="minorHAnsi" w:hAnsiTheme="minorHAnsi" w:cstheme="minorHAnsi"/>
                <w:b/>
                <w:bCs/>
                <w:color w:val="000000"/>
                <w:sz w:val="20"/>
                <w:szCs w:val="20"/>
              </w:rPr>
            </w:pPr>
            <w:r w:rsidRPr="006F328C">
              <w:rPr>
                <w:rFonts w:asciiTheme="minorHAnsi" w:hAnsiTheme="minorHAnsi" w:cstheme="minorHAnsi"/>
                <w:b/>
                <w:bCs/>
                <w:color w:val="000000"/>
                <w:sz w:val="20"/>
                <w:szCs w:val="20"/>
              </w:rPr>
              <w:t>Reason for change or adjustment</w:t>
            </w:r>
          </w:p>
        </w:tc>
      </w:tr>
      <w:tr w14:paraId="19AD7159" w14:textId="77777777" w:rsidTr="006F328C">
        <w:tblPrEx>
          <w:tblW w:w="10070" w:type="dxa"/>
          <w:jc w:val="center"/>
          <w:tblLook w:val="04A0"/>
        </w:tblPrEx>
        <w:trPr>
          <w:trHeight w:val="400"/>
          <w:jc w:val="center"/>
        </w:trPr>
        <w:tc>
          <w:tcPr>
            <w:tcW w:w="3807" w:type="dxa"/>
            <w:vMerge/>
            <w:tcBorders>
              <w:top w:val="single" w:sz="8" w:space="0" w:color="auto"/>
              <w:left w:val="single" w:sz="8" w:space="0" w:color="auto"/>
              <w:bottom w:val="single" w:sz="8" w:space="0" w:color="000000"/>
              <w:right w:val="single" w:sz="8" w:space="0" w:color="auto"/>
            </w:tcBorders>
            <w:vAlign w:val="center"/>
            <w:hideMark/>
          </w:tcPr>
          <w:p w:rsidR="00E50EB8" w:rsidRPr="006F328C" w:rsidP="006F328C" w14:paraId="3E716E97" w14:textId="77777777">
            <w:pPr>
              <w:widowControl/>
              <w:spacing w:before="60" w:after="60"/>
              <w:jc w:val="center"/>
              <w:rPr>
                <w:rFonts w:asciiTheme="minorHAnsi" w:hAnsiTheme="minorHAnsi" w:cstheme="minorHAnsi"/>
                <w:b/>
                <w:bCs/>
                <w:color w:val="000000"/>
                <w:sz w:val="20"/>
                <w:szCs w:val="20"/>
              </w:rPr>
            </w:pPr>
          </w:p>
        </w:tc>
        <w:tc>
          <w:tcPr>
            <w:tcW w:w="1043" w:type="dxa"/>
            <w:tcBorders>
              <w:top w:val="nil"/>
              <w:left w:val="nil"/>
              <w:bottom w:val="single" w:sz="8" w:space="0" w:color="auto"/>
              <w:right w:val="dashed" w:sz="8" w:space="0" w:color="auto"/>
            </w:tcBorders>
            <w:shd w:val="clear" w:color="000000" w:fill="FBE4D5"/>
            <w:vAlign w:val="center"/>
            <w:hideMark/>
          </w:tcPr>
          <w:p w:rsidR="00E50EB8" w:rsidRPr="006F328C" w:rsidP="006F328C" w14:paraId="20AC7D5C" w14:textId="77777777">
            <w:pPr>
              <w:widowControl/>
              <w:spacing w:before="60" w:after="60"/>
              <w:jc w:val="center"/>
              <w:rPr>
                <w:rFonts w:asciiTheme="minorHAnsi" w:hAnsiTheme="minorHAnsi" w:cstheme="minorHAnsi"/>
                <w:color w:val="000000"/>
                <w:sz w:val="20"/>
                <w:szCs w:val="20"/>
              </w:rPr>
            </w:pPr>
            <w:r w:rsidRPr="006F328C">
              <w:rPr>
                <w:rFonts w:asciiTheme="minorHAnsi" w:hAnsiTheme="minorHAnsi" w:cstheme="minorHAnsi"/>
                <w:color w:val="000000"/>
                <w:sz w:val="20"/>
                <w:szCs w:val="20"/>
              </w:rPr>
              <w:t>Current</w:t>
            </w:r>
          </w:p>
        </w:tc>
        <w:tc>
          <w:tcPr>
            <w:tcW w:w="990" w:type="dxa"/>
            <w:tcBorders>
              <w:top w:val="nil"/>
              <w:left w:val="nil"/>
              <w:bottom w:val="single" w:sz="8" w:space="0" w:color="auto"/>
              <w:right w:val="single" w:sz="8" w:space="0" w:color="auto"/>
            </w:tcBorders>
            <w:shd w:val="clear" w:color="000000" w:fill="FBE4D5"/>
            <w:vAlign w:val="center"/>
            <w:hideMark/>
          </w:tcPr>
          <w:p w:rsidR="00E50EB8" w:rsidRPr="006F328C" w:rsidP="006F328C" w14:paraId="1451F87C" w14:textId="77777777">
            <w:pPr>
              <w:widowControl/>
              <w:spacing w:before="60" w:after="60"/>
              <w:jc w:val="center"/>
              <w:rPr>
                <w:rFonts w:asciiTheme="minorHAnsi" w:hAnsiTheme="minorHAnsi" w:cstheme="minorHAnsi"/>
                <w:color w:val="000000"/>
                <w:sz w:val="20"/>
                <w:szCs w:val="20"/>
              </w:rPr>
            </w:pPr>
            <w:r w:rsidRPr="006F328C">
              <w:rPr>
                <w:rFonts w:asciiTheme="minorHAnsi" w:hAnsiTheme="minorHAnsi" w:cstheme="minorHAnsi"/>
                <w:color w:val="000000"/>
                <w:sz w:val="20"/>
                <w:szCs w:val="20"/>
              </w:rPr>
              <w:t>Previous</w:t>
            </w:r>
          </w:p>
        </w:tc>
        <w:tc>
          <w:tcPr>
            <w:tcW w:w="4230" w:type="dxa"/>
            <w:vMerge/>
            <w:tcBorders>
              <w:top w:val="single" w:sz="8" w:space="0" w:color="auto"/>
              <w:left w:val="single" w:sz="8" w:space="0" w:color="auto"/>
              <w:bottom w:val="single" w:sz="8" w:space="0" w:color="000000"/>
              <w:right w:val="single" w:sz="8" w:space="0" w:color="auto"/>
            </w:tcBorders>
            <w:vAlign w:val="center"/>
            <w:hideMark/>
          </w:tcPr>
          <w:p w:rsidR="00E50EB8" w:rsidRPr="006F328C" w:rsidP="006F328C" w14:paraId="27B65A28" w14:textId="77777777">
            <w:pPr>
              <w:widowControl/>
              <w:spacing w:before="60" w:after="60"/>
              <w:jc w:val="center"/>
              <w:rPr>
                <w:rFonts w:asciiTheme="minorHAnsi" w:hAnsiTheme="minorHAnsi" w:cstheme="minorHAnsi"/>
                <w:b/>
                <w:bCs/>
                <w:color w:val="000000"/>
                <w:sz w:val="20"/>
                <w:szCs w:val="20"/>
              </w:rPr>
            </w:pPr>
          </w:p>
        </w:tc>
      </w:tr>
      <w:tr w14:paraId="4AC98834" w14:textId="77777777" w:rsidTr="006F328C">
        <w:tblPrEx>
          <w:tblW w:w="10070" w:type="dxa"/>
          <w:jc w:val="center"/>
          <w:tblLook w:val="04A0"/>
        </w:tblPrEx>
        <w:trPr>
          <w:trHeight w:val="400"/>
          <w:jc w:val="center"/>
        </w:trPr>
        <w:tc>
          <w:tcPr>
            <w:tcW w:w="3807" w:type="dxa"/>
            <w:tcBorders>
              <w:top w:val="nil"/>
              <w:left w:val="single" w:sz="8" w:space="0" w:color="auto"/>
              <w:bottom w:val="single" w:sz="8" w:space="0" w:color="auto"/>
              <w:right w:val="single" w:sz="8" w:space="0" w:color="auto"/>
            </w:tcBorders>
            <w:vAlign w:val="center"/>
            <w:hideMark/>
          </w:tcPr>
          <w:p w:rsidR="00E50EB8" w:rsidRPr="006F328C" w:rsidP="006F328C" w14:paraId="2DE21B61" w14:textId="77777777">
            <w:pPr>
              <w:widowControl/>
              <w:spacing w:before="60" w:after="60"/>
              <w:rPr>
                <w:rFonts w:asciiTheme="minorHAnsi" w:hAnsiTheme="minorHAnsi" w:cstheme="minorHAnsi"/>
                <w:color w:val="000000"/>
                <w:sz w:val="20"/>
                <w:szCs w:val="20"/>
              </w:rPr>
            </w:pPr>
            <w:r w:rsidRPr="006F328C">
              <w:rPr>
                <w:rFonts w:asciiTheme="minorHAnsi" w:hAnsiTheme="minorHAnsi" w:cstheme="minorHAnsi"/>
                <w:color w:val="000000"/>
                <w:sz w:val="20"/>
                <w:szCs w:val="20"/>
              </w:rPr>
              <w:t>Marine National Monument Fishing Permit application</w:t>
            </w:r>
          </w:p>
        </w:tc>
        <w:tc>
          <w:tcPr>
            <w:tcW w:w="1043" w:type="dxa"/>
            <w:tcBorders>
              <w:top w:val="nil"/>
              <w:left w:val="nil"/>
              <w:bottom w:val="dotted" w:sz="4" w:space="0" w:color="auto"/>
              <w:right w:val="dashed" w:sz="8" w:space="0" w:color="auto"/>
            </w:tcBorders>
            <w:vAlign w:val="center"/>
            <w:hideMark/>
          </w:tcPr>
          <w:p w:rsidR="00E50EB8" w:rsidRPr="006F328C" w:rsidP="006F328C" w14:paraId="56412CFB" w14:textId="1CB478AF">
            <w:pPr>
              <w:widowControl/>
              <w:spacing w:before="60" w:after="60"/>
              <w:jc w:val="center"/>
              <w:rPr>
                <w:rFonts w:asciiTheme="minorHAnsi" w:hAnsiTheme="minorHAnsi" w:cstheme="minorHAnsi"/>
                <w:color w:val="000000"/>
                <w:sz w:val="20"/>
                <w:szCs w:val="20"/>
              </w:rPr>
            </w:pPr>
            <w:r w:rsidRPr="006F328C">
              <w:rPr>
                <w:rFonts w:asciiTheme="minorHAnsi" w:hAnsiTheme="minorHAnsi" w:cstheme="minorHAnsi"/>
                <w:color w:val="000000"/>
                <w:sz w:val="20"/>
                <w:szCs w:val="20"/>
              </w:rPr>
              <w:t>$0</w:t>
            </w:r>
          </w:p>
        </w:tc>
        <w:tc>
          <w:tcPr>
            <w:tcW w:w="990" w:type="dxa"/>
            <w:tcBorders>
              <w:top w:val="nil"/>
              <w:left w:val="nil"/>
              <w:bottom w:val="dotted" w:sz="4" w:space="0" w:color="auto"/>
              <w:right w:val="single" w:sz="8" w:space="0" w:color="auto"/>
            </w:tcBorders>
            <w:vAlign w:val="center"/>
            <w:hideMark/>
          </w:tcPr>
          <w:p w:rsidR="00E50EB8" w:rsidRPr="006F328C" w:rsidP="006F328C" w14:paraId="1D6783BC" w14:textId="52868EDD">
            <w:pPr>
              <w:widowControl/>
              <w:spacing w:before="60" w:after="60"/>
              <w:jc w:val="center"/>
              <w:rPr>
                <w:rFonts w:asciiTheme="minorHAnsi" w:hAnsiTheme="minorHAnsi" w:cstheme="minorHAnsi"/>
                <w:color w:val="000000"/>
                <w:sz w:val="20"/>
                <w:szCs w:val="20"/>
              </w:rPr>
            </w:pPr>
            <w:r w:rsidRPr="006F328C">
              <w:rPr>
                <w:rFonts w:asciiTheme="minorHAnsi" w:hAnsiTheme="minorHAnsi" w:cstheme="minorHAnsi"/>
                <w:color w:val="000000"/>
                <w:sz w:val="20"/>
                <w:szCs w:val="20"/>
              </w:rPr>
              <w:t>$0</w:t>
            </w:r>
          </w:p>
        </w:tc>
        <w:tc>
          <w:tcPr>
            <w:tcW w:w="4230" w:type="dxa"/>
            <w:tcBorders>
              <w:top w:val="nil"/>
              <w:left w:val="nil"/>
              <w:bottom w:val="dotted" w:sz="4" w:space="0" w:color="auto"/>
              <w:right w:val="single" w:sz="8" w:space="0" w:color="auto"/>
            </w:tcBorders>
            <w:vAlign w:val="center"/>
            <w:hideMark/>
          </w:tcPr>
          <w:p w:rsidR="00E50EB8" w:rsidRPr="006F328C" w:rsidP="006F328C" w14:paraId="27358204" w14:textId="0FBBAB5B">
            <w:pPr>
              <w:widowControl/>
              <w:spacing w:before="60" w:after="60"/>
              <w:rPr>
                <w:rFonts w:asciiTheme="minorHAnsi" w:hAnsiTheme="minorHAnsi" w:cstheme="minorHAnsi"/>
                <w:color w:val="000000"/>
                <w:sz w:val="20"/>
                <w:szCs w:val="20"/>
              </w:rPr>
            </w:pPr>
            <w:r w:rsidRPr="006F328C">
              <w:rPr>
                <w:rFonts w:asciiTheme="minorHAnsi" w:hAnsiTheme="minorHAnsi" w:cstheme="minorHAnsi"/>
                <w:color w:val="000000"/>
                <w:sz w:val="20"/>
                <w:szCs w:val="20"/>
              </w:rPr>
              <w:t xml:space="preserve">There </w:t>
            </w:r>
            <w:r w:rsidRPr="006F328C" w:rsidR="0004103B">
              <w:rPr>
                <w:rFonts w:asciiTheme="minorHAnsi" w:hAnsiTheme="minorHAnsi" w:cstheme="minorHAnsi"/>
                <w:color w:val="000000"/>
                <w:sz w:val="20"/>
                <w:szCs w:val="20"/>
              </w:rPr>
              <w:t>have been</w:t>
            </w:r>
            <w:r w:rsidRPr="006F328C">
              <w:rPr>
                <w:rFonts w:asciiTheme="minorHAnsi" w:hAnsiTheme="minorHAnsi" w:cstheme="minorHAnsi"/>
                <w:color w:val="000000"/>
                <w:sz w:val="20"/>
                <w:szCs w:val="20"/>
              </w:rPr>
              <w:t xml:space="preserve"> no changes to the information collection since the last OMB approval.</w:t>
            </w:r>
          </w:p>
        </w:tc>
      </w:tr>
      <w:tr w14:paraId="0B95F8A0" w14:textId="77777777" w:rsidTr="006F328C">
        <w:tblPrEx>
          <w:tblW w:w="10070" w:type="dxa"/>
          <w:jc w:val="center"/>
          <w:tblLook w:val="04A0"/>
        </w:tblPrEx>
        <w:trPr>
          <w:trHeight w:val="400"/>
          <w:jc w:val="center"/>
        </w:trPr>
        <w:tc>
          <w:tcPr>
            <w:tcW w:w="3807" w:type="dxa"/>
            <w:tcBorders>
              <w:top w:val="nil"/>
              <w:left w:val="single" w:sz="8" w:space="0" w:color="auto"/>
              <w:bottom w:val="single" w:sz="8" w:space="0" w:color="auto"/>
              <w:right w:val="single" w:sz="8" w:space="0" w:color="auto"/>
            </w:tcBorders>
            <w:vAlign w:val="center"/>
            <w:hideMark/>
          </w:tcPr>
          <w:p w:rsidR="00E50EB8" w:rsidRPr="006F328C" w:rsidP="006F328C" w14:paraId="307B07EF" w14:textId="77777777">
            <w:pPr>
              <w:widowControl/>
              <w:spacing w:before="60" w:after="60"/>
              <w:rPr>
                <w:rFonts w:asciiTheme="minorHAnsi" w:hAnsiTheme="minorHAnsi" w:cstheme="minorHAnsi"/>
                <w:color w:val="000000"/>
                <w:sz w:val="20"/>
                <w:szCs w:val="20"/>
              </w:rPr>
            </w:pPr>
            <w:r w:rsidRPr="006F328C">
              <w:rPr>
                <w:rFonts w:asciiTheme="minorHAnsi" w:hAnsiTheme="minorHAnsi" w:cstheme="minorHAnsi"/>
                <w:color w:val="000000"/>
                <w:sz w:val="20"/>
                <w:szCs w:val="20"/>
              </w:rPr>
              <w:t>Marine National Monument Daily Fishing Log</w:t>
            </w:r>
          </w:p>
        </w:tc>
        <w:tc>
          <w:tcPr>
            <w:tcW w:w="1043" w:type="dxa"/>
            <w:tcBorders>
              <w:top w:val="nil"/>
              <w:left w:val="nil"/>
              <w:bottom w:val="dotted" w:sz="4" w:space="0" w:color="auto"/>
              <w:right w:val="dashed" w:sz="8" w:space="0" w:color="auto"/>
            </w:tcBorders>
            <w:vAlign w:val="center"/>
            <w:hideMark/>
          </w:tcPr>
          <w:p w:rsidR="00E50EB8" w:rsidRPr="006F328C" w:rsidP="006F328C" w14:paraId="7AEC3BE1" w14:textId="0B3D8C34">
            <w:pPr>
              <w:widowControl/>
              <w:spacing w:before="60" w:after="60"/>
              <w:jc w:val="center"/>
              <w:rPr>
                <w:rFonts w:asciiTheme="minorHAnsi" w:hAnsiTheme="minorHAnsi" w:cstheme="minorHAnsi"/>
                <w:color w:val="000000"/>
                <w:sz w:val="20"/>
                <w:szCs w:val="20"/>
              </w:rPr>
            </w:pPr>
            <w:r w:rsidRPr="006F328C">
              <w:rPr>
                <w:rFonts w:asciiTheme="minorHAnsi" w:hAnsiTheme="minorHAnsi" w:cstheme="minorHAnsi"/>
                <w:color w:val="000000"/>
                <w:sz w:val="20"/>
                <w:szCs w:val="20"/>
              </w:rPr>
              <w:t>$</w:t>
            </w:r>
            <w:r w:rsidRPr="006F328C" w:rsidR="00EA6A08">
              <w:rPr>
                <w:rFonts w:asciiTheme="minorHAnsi" w:hAnsiTheme="minorHAnsi" w:cstheme="minorHAnsi"/>
                <w:color w:val="000000"/>
                <w:sz w:val="20"/>
                <w:szCs w:val="20"/>
              </w:rPr>
              <w:t>3</w:t>
            </w:r>
            <w:r w:rsidR="00CB3598">
              <w:rPr>
                <w:rFonts w:asciiTheme="minorHAnsi" w:hAnsiTheme="minorHAnsi" w:cstheme="minorHAnsi"/>
                <w:color w:val="000000"/>
                <w:sz w:val="20"/>
                <w:szCs w:val="20"/>
              </w:rPr>
              <w:t>5</w:t>
            </w:r>
          </w:p>
        </w:tc>
        <w:tc>
          <w:tcPr>
            <w:tcW w:w="990" w:type="dxa"/>
            <w:tcBorders>
              <w:top w:val="nil"/>
              <w:left w:val="nil"/>
              <w:bottom w:val="dotted" w:sz="4" w:space="0" w:color="auto"/>
              <w:right w:val="dashed" w:sz="8" w:space="0" w:color="auto"/>
            </w:tcBorders>
            <w:vAlign w:val="center"/>
            <w:hideMark/>
          </w:tcPr>
          <w:p w:rsidR="00E50EB8" w:rsidRPr="006F328C" w:rsidP="006F328C" w14:paraId="53C221B2" w14:textId="6568CCC1">
            <w:pPr>
              <w:widowControl/>
              <w:spacing w:before="60" w:after="60"/>
              <w:jc w:val="center"/>
              <w:rPr>
                <w:rFonts w:asciiTheme="minorHAnsi" w:hAnsiTheme="minorHAnsi" w:cstheme="minorHAnsi"/>
                <w:color w:val="000000"/>
                <w:sz w:val="20"/>
                <w:szCs w:val="20"/>
              </w:rPr>
            </w:pPr>
            <w:r w:rsidRPr="006F328C">
              <w:rPr>
                <w:rFonts w:asciiTheme="minorHAnsi" w:hAnsiTheme="minorHAnsi" w:cstheme="minorHAnsi"/>
                <w:color w:val="000000"/>
                <w:sz w:val="20"/>
                <w:szCs w:val="20"/>
              </w:rPr>
              <w:t>$</w:t>
            </w:r>
            <w:r w:rsidRPr="006F328C" w:rsidR="00EA6A08">
              <w:rPr>
                <w:rFonts w:asciiTheme="minorHAnsi" w:hAnsiTheme="minorHAnsi" w:cstheme="minorHAnsi"/>
                <w:color w:val="000000"/>
                <w:sz w:val="20"/>
                <w:szCs w:val="20"/>
              </w:rPr>
              <w:t>26</w:t>
            </w:r>
          </w:p>
        </w:tc>
        <w:tc>
          <w:tcPr>
            <w:tcW w:w="4230" w:type="dxa"/>
            <w:tcBorders>
              <w:top w:val="nil"/>
              <w:left w:val="nil"/>
              <w:bottom w:val="dotted" w:sz="4" w:space="0" w:color="auto"/>
              <w:right w:val="single" w:sz="8" w:space="0" w:color="auto"/>
            </w:tcBorders>
            <w:vAlign w:val="center"/>
            <w:hideMark/>
          </w:tcPr>
          <w:p w:rsidR="00E50EB8" w:rsidRPr="006F328C" w:rsidP="006F328C" w14:paraId="59938659" w14:textId="0084076C">
            <w:pPr>
              <w:widowControl/>
              <w:spacing w:before="60" w:after="60"/>
              <w:rPr>
                <w:rFonts w:asciiTheme="minorHAnsi" w:hAnsiTheme="minorHAnsi" w:cstheme="minorHAnsi"/>
                <w:color w:val="000000"/>
                <w:sz w:val="20"/>
                <w:szCs w:val="20"/>
              </w:rPr>
            </w:pPr>
            <w:r w:rsidRPr="006F328C">
              <w:rPr>
                <w:rFonts w:asciiTheme="minorHAnsi" w:hAnsiTheme="minorHAnsi" w:cstheme="minorHAnsi"/>
                <w:color w:val="000000"/>
                <w:sz w:val="20"/>
                <w:szCs w:val="20"/>
              </w:rPr>
              <w:t>Misc. costs increased due to increased postage costs.</w:t>
            </w:r>
          </w:p>
        </w:tc>
      </w:tr>
      <w:tr w14:paraId="292D35B7" w14:textId="77777777" w:rsidTr="006F328C">
        <w:tblPrEx>
          <w:tblW w:w="10070" w:type="dxa"/>
          <w:jc w:val="center"/>
          <w:tblLook w:val="04A0"/>
        </w:tblPrEx>
        <w:trPr>
          <w:trHeight w:val="400"/>
          <w:jc w:val="center"/>
        </w:trPr>
        <w:tc>
          <w:tcPr>
            <w:tcW w:w="3807" w:type="dxa"/>
            <w:tcBorders>
              <w:top w:val="nil"/>
              <w:left w:val="single" w:sz="8" w:space="0" w:color="auto"/>
              <w:bottom w:val="single" w:sz="8" w:space="0" w:color="auto"/>
              <w:right w:val="single" w:sz="8" w:space="0" w:color="auto"/>
            </w:tcBorders>
            <w:shd w:val="clear" w:color="000000" w:fill="BDD6EE"/>
            <w:vAlign w:val="center"/>
            <w:hideMark/>
          </w:tcPr>
          <w:p w:rsidR="00E50EB8" w:rsidRPr="006F328C" w:rsidP="006F328C" w14:paraId="136FC202" w14:textId="77777777">
            <w:pPr>
              <w:widowControl/>
              <w:spacing w:before="60" w:after="60"/>
              <w:jc w:val="center"/>
              <w:rPr>
                <w:rFonts w:asciiTheme="minorHAnsi" w:hAnsiTheme="minorHAnsi" w:cstheme="minorHAnsi"/>
                <w:b/>
                <w:bCs/>
                <w:color w:val="000000"/>
                <w:sz w:val="20"/>
                <w:szCs w:val="20"/>
              </w:rPr>
            </w:pPr>
            <w:r w:rsidRPr="006F328C">
              <w:rPr>
                <w:rFonts w:asciiTheme="minorHAnsi" w:hAnsiTheme="minorHAnsi" w:cstheme="minorHAnsi"/>
                <w:b/>
                <w:bCs/>
                <w:color w:val="000000"/>
                <w:sz w:val="20"/>
                <w:szCs w:val="20"/>
              </w:rPr>
              <w:t>Total for Collection</w:t>
            </w:r>
          </w:p>
        </w:tc>
        <w:tc>
          <w:tcPr>
            <w:tcW w:w="1043" w:type="dxa"/>
            <w:tcBorders>
              <w:top w:val="nil"/>
              <w:left w:val="nil"/>
              <w:bottom w:val="single" w:sz="4" w:space="0" w:color="auto"/>
              <w:right w:val="dashed" w:sz="8" w:space="0" w:color="auto"/>
            </w:tcBorders>
            <w:shd w:val="clear" w:color="000000" w:fill="BDD6EE"/>
            <w:vAlign w:val="center"/>
            <w:hideMark/>
          </w:tcPr>
          <w:p w:rsidR="00E50EB8" w:rsidRPr="006F328C" w:rsidP="006F328C" w14:paraId="41727CD3" w14:textId="340C5887">
            <w:pPr>
              <w:widowControl/>
              <w:spacing w:before="60" w:after="60"/>
              <w:jc w:val="center"/>
              <w:rPr>
                <w:rFonts w:asciiTheme="minorHAnsi" w:hAnsiTheme="minorHAnsi" w:cstheme="minorHAnsi"/>
                <w:b/>
                <w:bCs/>
                <w:color w:val="000000"/>
                <w:sz w:val="20"/>
                <w:szCs w:val="20"/>
              </w:rPr>
            </w:pPr>
            <w:r w:rsidRPr="006F328C">
              <w:rPr>
                <w:rFonts w:asciiTheme="minorHAnsi" w:hAnsiTheme="minorHAnsi" w:cstheme="minorHAnsi"/>
                <w:b/>
                <w:bCs/>
                <w:color w:val="000000"/>
                <w:sz w:val="20"/>
                <w:szCs w:val="20"/>
              </w:rPr>
              <w:t>$</w:t>
            </w:r>
            <w:r w:rsidRPr="006F328C" w:rsidR="00EA6A08">
              <w:rPr>
                <w:rFonts w:asciiTheme="minorHAnsi" w:hAnsiTheme="minorHAnsi" w:cstheme="minorHAnsi"/>
                <w:b/>
                <w:bCs/>
                <w:color w:val="000000"/>
                <w:sz w:val="20"/>
                <w:szCs w:val="20"/>
              </w:rPr>
              <w:t>3</w:t>
            </w:r>
            <w:r w:rsidR="00CB3598">
              <w:rPr>
                <w:rFonts w:asciiTheme="minorHAnsi" w:hAnsiTheme="minorHAnsi" w:cstheme="minorHAnsi"/>
                <w:b/>
                <w:bCs/>
                <w:color w:val="000000"/>
                <w:sz w:val="20"/>
                <w:szCs w:val="20"/>
              </w:rPr>
              <w:t>5</w:t>
            </w:r>
          </w:p>
        </w:tc>
        <w:tc>
          <w:tcPr>
            <w:tcW w:w="990" w:type="dxa"/>
            <w:tcBorders>
              <w:top w:val="nil"/>
              <w:left w:val="nil"/>
              <w:bottom w:val="single" w:sz="4" w:space="0" w:color="auto"/>
              <w:right w:val="dashed" w:sz="8" w:space="0" w:color="auto"/>
            </w:tcBorders>
            <w:shd w:val="clear" w:color="000000" w:fill="BDD6EE"/>
            <w:vAlign w:val="center"/>
            <w:hideMark/>
          </w:tcPr>
          <w:p w:rsidR="00E50EB8" w:rsidRPr="006F328C" w:rsidP="006F328C" w14:paraId="602B8A09" w14:textId="55C4EAC9">
            <w:pPr>
              <w:widowControl/>
              <w:spacing w:before="60" w:after="60"/>
              <w:jc w:val="center"/>
              <w:rPr>
                <w:rFonts w:asciiTheme="minorHAnsi" w:hAnsiTheme="minorHAnsi" w:cstheme="minorHAnsi"/>
                <w:b/>
                <w:bCs/>
                <w:color w:val="000000"/>
                <w:sz w:val="20"/>
                <w:szCs w:val="20"/>
              </w:rPr>
            </w:pPr>
            <w:r w:rsidRPr="006F328C">
              <w:rPr>
                <w:rFonts w:asciiTheme="minorHAnsi" w:hAnsiTheme="minorHAnsi" w:cstheme="minorHAnsi"/>
                <w:b/>
                <w:bCs/>
                <w:color w:val="000000"/>
                <w:sz w:val="20"/>
                <w:szCs w:val="20"/>
              </w:rPr>
              <w:t>$26</w:t>
            </w:r>
          </w:p>
        </w:tc>
        <w:tc>
          <w:tcPr>
            <w:tcW w:w="4230" w:type="dxa"/>
            <w:tcBorders>
              <w:top w:val="nil"/>
              <w:left w:val="nil"/>
              <w:bottom w:val="single" w:sz="4" w:space="0" w:color="auto"/>
              <w:right w:val="single" w:sz="8" w:space="0" w:color="000000"/>
            </w:tcBorders>
            <w:shd w:val="clear" w:color="000000" w:fill="000000"/>
            <w:vAlign w:val="center"/>
            <w:hideMark/>
          </w:tcPr>
          <w:p w:rsidR="00E50EB8" w:rsidRPr="006F328C" w:rsidP="006F328C" w14:paraId="015B5DE1" w14:textId="7E6FF636">
            <w:pPr>
              <w:widowControl/>
              <w:spacing w:before="60" w:after="60"/>
              <w:jc w:val="center"/>
              <w:rPr>
                <w:rFonts w:asciiTheme="minorHAnsi" w:hAnsiTheme="minorHAnsi" w:cstheme="minorHAnsi"/>
                <w:b/>
                <w:bCs/>
                <w:color w:val="000000"/>
                <w:sz w:val="20"/>
                <w:szCs w:val="20"/>
              </w:rPr>
            </w:pPr>
          </w:p>
        </w:tc>
      </w:tr>
      <w:tr w14:paraId="5C68D221" w14:textId="77777777" w:rsidTr="006F328C">
        <w:tblPrEx>
          <w:tblW w:w="10070" w:type="dxa"/>
          <w:jc w:val="center"/>
          <w:tblLook w:val="04A0"/>
        </w:tblPrEx>
        <w:trPr>
          <w:trHeight w:val="300"/>
          <w:jc w:val="center"/>
        </w:trPr>
        <w:tc>
          <w:tcPr>
            <w:tcW w:w="3807" w:type="dxa"/>
            <w:tcBorders>
              <w:top w:val="nil"/>
              <w:left w:val="single" w:sz="8" w:space="0" w:color="000000"/>
              <w:bottom w:val="single" w:sz="8" w:space="0" w:color="000000"/>
              <w:right w:val="single" w:sz="4" w:space="0" w:color="auto"/>
            </w:tcBorders>
            <w:shd w:val="clear" w:color="FBE4D5" w:fill="FBE4D5"/>
            <w:noWrap/>
            <w:vAlign w:val="center"/>
            <w:hideMark/>
          </w:tcPr>
          <w:p w:rsidR="00E50EB8" w:rsidRPr="006F328C" w:rsidP="006F328C" w14:paraId="46727111" w14:textId="77777777">
            <w:pPr>
              <w:widowControl/>
              <w:spacing w:before="60" w:after="60"/>
              <w:jc w:val="center"/>
              <w:rPr>
                <w:rFonts w:asciiTheme="minorHAnsi" w:hAnsiTheme="minorHAnsi" w:cstheme="minorHAnsi"/>
                <w:b/>
                <w:bCs/>
                <w:color w:val="000000"/>
                <w:sz w:val="20"/>
                <w:szCs w:val="20"/>
              </w:rPr>
            </w:pPr>
            <w:r w:rsidRPr="006F328C">
              <w:rPr>
                <w:rFonts w:asciiTheme="minorHAnsi" w:hAnsiTheme="minorHAnsi" w:cstheme="minorHAnsi"/>
                <w:b/>
                <w:bCs/>
                <w:color w:val="000000"/>
                <w:sz w:val="20"/>
                <w:szCs w:val="20"/>
              </w:rPr>
              <w:t>Difference</w:t>
            </w:r>
          </w:p>
        </w:tc>
        <w:tc>
          <w:tcPr>
            <w:tcW w:w="2033" w:type="dxa"/>
            <w:gridSpan w:val="2"/>
            <w:tcBorders>
              <w:top w:val="single" w:sz="4" w:space="0" w:color="auto"/>
              <w:left w:val="single" w:sz="4" w:space="0" w:color="auto"/>
              <w:bottom w:val="single" w:sz="4" w:space="0" w:color="auto"/>
              <w:right w:val="single" w:sz="4" w:space="0" w:color="auto"/>
            </w:tcBorders>
            <w:shd w:val="clear" w:color="FBE4D5" w:fill="FBE4D5"/>
            <w:noWrap/>
            <w:vAlign w:val="center"/>
            <w:hideMark/>
          </w:tcPr>
          <w:p w:rsidR="00E50EB8" w:rsidRPr="006F328C" w:rsidP="006F328C" w14:paraId="2F687860" w14:textId="4ABA5121">
            <w:pPr>
              <w:widowControl/>
              <w:spacing w:before="60" w:after="60"/>
              <w:jc w:val="center"/>
              <w:rPr>
                <w:rFonts w:asciiTheme="minorHAnsi" w:hAnsiTheme="minorHAnsi" w:cstheme="minorHAnsi"/>
                <w:color w:val="000000"/>
                <w:sz w:val="20"/>
                <w:szCs w:val="20"/>
              </w:rPr>
            </w:pPr>
            <w:r w:rsidRPr="006F328C">
              <w:rPr>
                <w:rFonts w:asciiTheme="minorHAnsi" w:hAnsiTheme="minorHAnsi" w:cstheme="minorHAnsi"/>
                <w:color w:val="000000"/>
                <w:sz w:val="20"/>
                <w:szCs w:val="20"/>
              </w:rPr>
              <w:t>$</w:t>
            </w:r>
            <w:r w:rsidR="00CB3598">
              <w:rPr>
                <w:rFonts w:asciiTheme="minorHAnsi" w:hAnsiTheme="minorHAnsi" w:cstheme="minorHAnsi"/>
                <w:color w:val="000000"/>
                <w:sz w:val="20"/>
                <w:szCs w:val="20"/>
              </w:rPr>
              <w:t>9</w:t>
            </w:r>
          </w:p>
        </w:tc>
        <w:tc>
          <w:tcPr>
            <w:tcW w:w="4230" w:type="dxa"/>
            <w:tcBorders>
              <w:top w:val="single" w:sz="4" w:space="0" w:color="auto"/>
              <w:left w:val="single" w:sz="4" w:space="0" w:color="auto"/>
              <w:bottom w:val="single" w:sz="4" w:space="0" w:color="auto"/>
              <w:right w:val="single" w:sz="4" w:space="0" w:color="auto"/>
            </w:tcBorders>
            <w:shd w:val="clear" w:color="000000" w:fill="000000"/>
            <w:noWrap/>
            <w:vAlign w:val="center"/>
            <w:hideMark/>
          </w:tcPr>
          <w:p w:rsidR="00E50EB8" w:rsidRPr="006F328C" w:rsidP="006F328C" w14:paraId="55DEB8EA" w14:textId="090B4A64">
            <w:pPr>
              <w:widowControl/>
              <w:spacing w:before="60" w:after="60"/>
              <w:jc w:val="center"/>
              <w:rPr>
                <w:rFonts w:asciiTheme="minorHAnsi" w:hAnsiTheme="minorHAnsi" w:cstheme="minorHAnsi"/>
                <w:color w:val="000000"/>
                <w:sz w:val="20"/>
                <w:szCs w:val="20"/>
              </w:rPr>
            </w:pPr>
          </w:p>
        </w:tc>
      </w:tr>
    </w:tbl>
    <w:p w:rsidR="00DC3FDB" w:rsidP="005E0D0C" w14:paraId="02BE10ED" w14:textId="77777777">
      <w:pPr>
        <w:pBdr>
          <w:top w:val="nil"/>
          <w:left w:val="nil"/>
          <w:bottom w:val="nil"/>
          <w:right w:val="nil"/>
          <w:between w:val="nil"/>
        </w:pBdr>
        <w:spacing w:before="240"/>
        <w:rPr>
          <w:b/>
          <w:bCs/>
        </w:rPr>
      </w:pPr>
    </w:p>
    <w:p w:rsidR="00DC3FDB" w:rsidP="005E0D0C" w14:paraId="509C01BA" w14:textId="77777777">
      <w:pPr>
        <w:numPr>
          <w:ilvl w:val="0"/>
          <w:numId w:val="9"/>
        </w:numPr>
        <w:pBdr>
          <w:top w:val="nil"/>
          <w:left w:val="nil"/>
          <w:bottom w:val="nil"/>
          <w:right w:val="nil"/>
          <w:between w:val="nil"/>
        </w:pBdr>
        <w:tabs>
          <w:tab w:val="left" w:pos="360"/>
        </w:tabs>
        <w:spacing w:before="240"/>
        <w:ind w:left="0" w:firstLine="0"/>
        <w:rPr>
          <w:b/>
          <w:bCs/>
          <w:color w:val="000000"/>
        </w:rPr>
      </w:pPr>
      <w:r>
        <w:rPr>
          <w:b/>
          <w:bCs/>
          <w:color w:val="000000"/>
        </w:rPr>
        <w:t>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8E3170" w:rsidP="005E0D0C" w14:paraId="7538CF56" w14:textId="77777777">
      <w:pPr>
        <w:widowControl/>
        <w:spacing w:before="240"/>
        <w:rPr>
          <w:rFonts w:ascii="TimesNewRoman" w:hAnsi="TimesNewRoman" w:cs="TimesNewRoman"/>
        </w:rPr>
      </w:pPr>
      <w:r w:rsidRPr="00F34C1B">
        <w:rPr>
          <w:rFonts w:ascii="TimesNewRoman" w:hAnsi="TimesNewRoman" w:cs="TimesNewRoman"/>
        </w:rPr>
        <w:t>No formal scientific publications based on these collections are planned at this time. NMFS and the Council will use the information (primarily in an aggregated, non-confidential format) for developing management reports and fishery management plan amendments and evaluations. Subsequent use of the data collected over a series of years may include scientific papers and publications.</w:t>
      </w:r>
    </w:p>
    <w:p w:rsidR="006F328C" w:rsidRPr="00F34C1B" w:rsidP="006F328C" w14:paraId="1BE90FEF" w14:textId="77777777">
      <w:pPr>
        <w:widowControl/>
        <w:spacing w:before="240"/>
      </w:pPr>
      <w:r w:rsidRPr="00F34C1B">
        <w:rPr>
          <w:rFonts w:ascii="TimesNewRoman" w:hAnsi="TimesNewRoman" w:cs="TimesNewRoman"/>
        </w:rPr>
        <w:t>NMFS aggregates and/or</w:t>
      </w:r>
      <w:r w:rsidRPr="00F34C1B">
        <w:rPr>
          <w:rFonts w:ascii="TimesNewRoman,Bold" w:hAnsi="TimesNewRoman,Bold" w:cs="TimesNewRoman,Bold"/>
        </w:rPr>
        <w:t xml:space="preserve"> </w:t>
      </w:r>
      <w:r w:rsidRPr="00F34C1B">
        <w:rPr>
          <w:rFonts w:ascii="TimesNewRoman" w:hAnsi="TimesNewRoman" w:cs="TimesNewRoman"/>
        </w:rPr>
        <w:t>summarizes any publicly disseminated information to maintain the confidentiality of the information pertaining to the individual</w:t>
      </w:r>
      <w:r w:rsidRPr="00F34C1B">
        <w:rPr>
          <w:rFonts w:ascii="TimesNewRoman,Bold" w:hAnsi="TimesNewRoman,Bold" w:cs="TimesNewRoman,Bold"/>
        </w:rPr>
        <w:t xml:space="preserve"> </w:t>
      </w:r>
      <w:r w:rsidRPr="00F34C1B">
        <w:rPr>
          <w:rFonts w:ascii="TimesNewRoman" w:hAnsi="TimesNewRoman" w:cs="TimesNewRoman"/>
        </w:rPr>
        <w:t xml:space="preserve">vessels. </w:t>
      </w:r>
      <w:r w:rsidRPr="00F34C1B">
        <w:t>NMFS retains control over the information and safeguard it from improper release, access, modification, and destruction, consistent with Federal law and regulations, and NOAA policies for confidentiality, privacy, and electronic information. See response to Question</w:t>
      </w:r>
      <w:r>
        <w:t xml:space="preserve"> </w:t>
      </w:r>
      <w:r w:rsidRPr="00F34C1B">
        <w:t xml:space="preserve">10 of this Supporting Statement for more information on confidentiality and privacy. The information collection is designed to yield data that meet all applicable information quality guidelines. The information will be subjected to quality control measures, and a pre-dissemination review pursuant to </w:t>
      </w:r>
      <w:hyperlink r:id="rId18" w:history="1">
        <w:r w:rsidRPr="00F34C1B">
          <w:rPr>
            <w:rStyle w:val="Hyperlink"/>
          </w:rPr>
          <w:t>Section 515 of Public Law 106-554</w:t>
        </w:r>
      </w:hyperlink>
      <w:r w:rsidRPr="00F34C1B">
        <w:t xml:space="preserve"> prior to dissemination.</w:t>
      </w:r>
    </w:p>
    <w:p w:rsidR="00DC3FDB" w:rsidP="005E0D0C" w14:paraId="73C51BDB" w14:textId="77777777">
      <w:pPr>
        <w:pBdr>
          <w:top w:val="nil"/>
          <w:left w:val="nil"/>
          <w:bottom w:val="nil"/>
          <w:right w:val="nil"/>
          <w:between w:val="nil"/>
        </w:pBdr>
        <w:spacing w:before="240"/>
        <w:rPr>
          <w:color w:val="2F5496"/>
        </w:rPr>
      </w:pPr>
    </w:p>
    <w:p w:rsidR="00DC3FDB" w:rsidP="005E0D0C" w14:paraId="6BCA8C27" w14:textId="77777777">
      <w:pPr>
        <w:numPr>
          <w:ilvl w:val="0"/>
          <w:numId w:val="9"/>
        </w:numPr>
        <w:pBdr>
          <w:top w:val="nil"/>
          <w:left w:val="nil"/>
          <w:bottom w:val="nil"/>
          <w:right w:val="nil"/>
          <w:between w:val="nil"/>
        </w:pBdr>
        <w:tabs>
          <w:tab w:val="left" w:pos="360"/>
        </w:tabs>
        <w:spacing w:before="240"/>
        <w:ind w:left="0" w:firstLine="0"/>
        <w:rPr>
          <w:b/>
          <w:bCs/>
          <w:color w:val="000000"/>
        </w:rPr>
      </w:pPr>
      <w:r>
        <w:rPr>
          <w:b/>
          <w:bCs/>
          <w:color w:val="000000"/>
        </w:rPr>
        <w:t>If seeking approval to not display the expiration date for OMB approval of the information collection, explain the reasons that display would be inappropriate.</w:t>
      </w:r>
    </w:p>
    <w:p w:rsidR="008E3170" w:rsidP="005E0D0C" w14:paraId="60B89A19" w14:textId="5B787DB6">
      <w:pPr>
        <w:spacing w:before="240"/>
      </w:pPr>
      <w:r w:rsidRPr="008E3170">
        <w:t xml:space="preserve">The agency plans to display the expiration date for OMB approval of the information collection on all </w:t>
      </w:r>
      <w:r>
        <w:t>forms</w:t>
      </w:r>
      <w:r w:rsidR="004B42DD">
        <w:t>.</w:t>
      </w:r>
    </w:p>
    <w:p w:rsidR="00DC3FDB" w:rsidP="005E0D0C" w14:paraId="0DE0982F" w14:textId="77777777">
      <w:pPr>
        <w:spacing w:before="240"/>
        <w:rPr>
          <w:i/>
          <w:iCs/>
        </w:rPr>
      </w:pPr>
    </w:p>
    <w:p w:rsidR="008E3170" w:rsidRPr="00957605" w:rsidP="005E0D0C" w14:paraId="5A68F15C" w14:textId="6E4EC178">
      <w:pPr>
        <w:numPr>
          <w:ilvl w:val="0"/>
          <w:numId w:val="9"/>
        </w:numPr>
        <w:pBdr>
          <w:top w:val="nil"/>
          <w:left w:val="nil"/>
          <w:bottom w:val="nil"/>
          <w:right w:val="nil"/>
          <w:between w:val="nil"/>
        </w:pBdr>
        <w:tabs>
          <w:tab w:val="left" w:pos="360"/>
        </w:tabs>
        <w:spacing w:before="240"/>
        <w:ind w:left="0" w:firstLine="0"/>
        <w:rPr>
          <w:b/>
          <w:bCs/>
          <w:color w:val="000000"/>
        </w:rPr>
      </w:pPr>
      <w:r>
        <w:rPr>
          <w:b/>
          <w:bCs/>
          <w:color w:val="000000"/>
        </w:rPr>
        <w:t>Explain each exception to the certification statement identified in “Certification for Paperwork Reduction Act Submissions."</w:t>
      </w:r>
    </w:p>
    <w:p w:rsidR="00DC3FDB" w:rsidRPr="00957605" w:rsidP="005E0D0C" w14:paraId="7CA67C4B" w14:textId="49AB8DC7">
      <w:pPr>
        <w:spacing w:before="240"/>
      </w:pPr>
      <w:r>
        <w:t xml:space="preserve">The agency certifies compliance with </w:t>
      </w:r>
      <w:hyperlink r:id="rId19">
        <w:r>
          <w:rPr>
            <w:color w:val="0563C1"/>
            <w:u w:val="single"/>
          </w:rPr>
          <w:t>5 CFR 1320.9</w:t>
        </w:r>
      </w:hyperlink>
      <w:hyperlink r:id="rId19">
        <w:r>
          <w:rPr>
            <w:color w:val="0563C1"/>
          </w:rPr>
          <w:t xml:space="preserve"> </w:t>
        </w:r>
      </w:hyperlink>
      <w:r>
        <w:t xml:space="preserve">and the related provisions of </w:t>
      </w:r>
      <w:hyperlink r:id="rId20">
        <w:r>
          <w:rPr>
            <w:color w:val="0563C1"/>
            <w:u w:val="single"/>
          </w:rPr>
          <w:t>5 CFR</w:t>
        </w:r>
      </w:hyperlink>
      <w:r>
        <w:rPr>
          <w:color w:val="0563C1"/>
        </w:rPr>
        <w:t xml:space="preserve"> </w:t>
      </w:r>
      <w:hyperlink r:id="rId20">
        <w:r>
          <w:rPr>
            <w:color w:val="0563C1"/>
            <w:u w:val="single"/>
          </w:rPr>
          <w:t>1320.8(b)(3)</w:t>
        </w:r>
      </w:hyperlink>
      <w:r>
        <w:t>.</w:t>
      </w:r>
    </w:p>
    <w:sectPr w:rsidSect="005E0D0C">
      <w:type w:val="continuous"/>
      <w:pgSz w:w="12240" w:h="15840"/>
      <w:pgMar w:top="1440" w:right="1440" w:bottom="1440" w:left="1440" w:header="0" w:footer="714"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sig w:usb0="00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embedRegular r:id="rId1" w:fontKey="{651C3618-3CD4-49B7-B176-97338FDF4DC2}"/>
  </w:font>
  <w:font w:name="Georgia">
    <w:panose1 w:val="02040502050405020303"/>
    <w:charset w:val="00"/>
    <w:family w:val="roman"/>
    <w:pitch w:val="variable"/>
    <w:sig w:usb0="00000287" w:usb1="00000000" w:usb2="00000000" w:usb3="00000000" w:csb0="0000009F" w:csb1="00000000"/>
    <w:embedItalic r:id="rId2" w:fontKey="{0D3A78E1-CC0C-485E-8D20-713FC06FCE95}"/>
  </w:font>
  <w:font w:name="TimesNewRoman">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embedRegular r:id="rId3" w:fontKey="{628CC532-133C-4663-B1D8-4FC19E25D13A}"/>
    <w:embedBold r:id="rId4" w:fontKey="{3F032F23-220F-46AE-8479-4556B4480BD5}"/>
  </w:font>
  <w:font w:name="TimesNewRoman,Bold">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embedRegular r:id="rId5" w:fontKey="{495761E9-6720-41B7-8466-EA1D942C87E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C3FDB" w14:paraId="7E683029" w14:textId="77777777">
    <w:pPr>
      <w:pBdr>
        <w:top w:val="nil"/>
        <w:left w:val="nil"/>
        <w:bottom w:val="nil"/>
        <w:right w:val="nil"/>
        <w:between w:val="nil"/>
      </w:pBdr>
      <w:spacing w:line="14" w:lineRule="auto"/>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416F9" w14:paraId="1410E7D6" w14:textId="77777777">
      <w:r>
        <w:separator/>
      </w:r>
    </w:p>
  </w:footnote>
  <w:footnote w:type="continuationSeparator" w:id="1">
    <w:p w:rsidR="00E416F9" w14:paraId="049E12D6" w14:textId="77777777">
      <w:r>
        <w:continuationSeparator/>
      </w:r>
    </w:p>
  </w:footnote>
  <w:footnote w:id="2">
    <w:p w:rsidR="008C2376" w14:paraId="2BF9DF2F" w14:textId="5D6E8EDC">
      <w:pPr>
        <w:pStyle w:val="FootnoteText"/>
      </w:pPr>
      <w:r>
        <w:rPr>
          <w:rStyle w:val="FootnoteReference"/>
        </w:rPr>
        <w:footnoteRef/>
      </w:r>
      <w:r>
        <w:t xml:space="preserve"> </w:t>
      </w:r>
      <w:r w:rsidRPr="008C2376">
        <w:t>https://www.ecfr.gov/current/title-50/chapter-VI/part-665</w:t>
      </w:r>
    </w:p>
  </w:footnote>
  <w:footnote w:id="3">
    <w:p w:rsidR="008C2376" w14:paraId="2FDDDBD7" w14:textId="0F765799">
      <w:pPr>
        <w:pStyle w:val="FootnoteText"/>
      </w:pPr>
      <w:r>
        <w:rPr>
          <w:rStyle w:val="FootnoteReference"/>
        </w:rPr>
        <w:footnoteRef/>
      </w:r>
      <w:r>
        <w:t xml:space="preserve"> </w:t>
      </w:r>
      <w:r w:rsidRPr="008C2376">
        <w:t>https://www.fisheries.noaa.gov/s3/dam-migration/msa-amended-2007.pdf</w:t>
      </w:r>
    </w:p>
  </w:footnote>
  <w:footnote w:id="4">
    <w:p w:rsidR="008C2376" w14:paraId="2AE0EA93" w14:textId="2F17E585">
      <w:pPr>
        <w:pStyle w:val="FootnoteText"/>
      </w:pPr>
      <w:r>
        <w:rPr>
          <w:rStyle w:val="FootnoteReference"/>
        </w:rPr>
        <w:footnoteRef/>
      </w:r>
      <w:r>
        <w:t xml:space="preserve"> </w:t>
      </w:r>
      <w:r w:rsidRPr="008C2376">
        <w:t>https://www.noaa.gov/organization/administration/nao-216-100-protection-of-confidential-fisheries-statistics</w:t>
      </w:r>
    </w:p>
  </w:footnote>
  <w:footnote w:id="5">
    <w:p w:rsidR="008C2376" w14:paraId="4738AE98" w14:textId="53B56594">
      <w:pPr>
        <w:pStyle w:val="FootnoteText"/>
      </w:pPr>
      <w:r>
        <w:rPr>
          <w:rStyle w:val="FootnoteReference"/>
        </w:rPr>
        <w:footnoteRef/>
      </w:r>
      <w:r>
        <w:t xml:space="preserve"> </w:t>
      </w:r>
      <w:r w:rsidRPr="008C2376">
        <w:t>https://www.commerce.gov/node/4991</w:t>
      </w:r>
    </w:p>
  </w:footnote>
  <w:footnote w:id="6">
    <w:p w:rsidR="008C2376" w14:paraId="07CC8E9A" w14:textId="65A1317C">
      <w:pPr>
        <w:pStyle w:val="FootnoteText"/>
      </w:pPr>
      <w:r>
        <w:rPr>
          <w:rStyle w:val="FootnoteReference"/>
        </w:rPr>
        <w:footnoteRef/>
      </w:r>
      <w:r>
        <w:t xml:space="preserve"> </w:t>
      </w:r>
      <w:r w:rsidRPr="008C2376">
        <w:t>https://www.commerce.gov/sites/default/files/2025-06/NOAA4920%20PIA%20FY25-SAOP_Approved_Delegated.pdf</w:t>
      </w:r>
    </w:p>
  </w:footnote>
  <w:footnote w:id="7">
    <w:p w:rsidR="008C2376" w14:paraId="37C5DEEE" w14:textId="7AFE7515">
      <w:pPr>
        <w:pStyle w:val="FootnoteText"/>
      </w:pPr>
      <w:r>
        <w:rPr>
          <w:rStyle w:val="FootnoteReference"/>
        </w:rPr>
        <w:footnoteRef/>
      </w:r>
      <w:r>
        <w:t xml:space="preserve"> </w:t>
      </w:r>
      <w:r w:rsidRPr="008C2376">
        <w:t>https://www.commerce.gov/sites/default/files/2025-05/NOAA4960%20PIA%20FY25-%20SAOP_Approved.pdf</w:t>
      </w:r>
    </w:p>
  </w:footnote>
  <w:footnote w:id="8">
    <w:p w:rsidR="008C2376" w14:paraId="0D79B94D" w14:textId="18BE1807">
      <w:pPr>
        <w:pStyle w:val="FootnoteText"/>
      </w:pPr>
      <w:r>
        <w:rPr>
          <w:rStyle w:val="FootnoteReference"/>
        </w:rPr>
        <w:footnoteRef/>
      </w:r>
      <w:r>
        <w:t xml:space="preserve"> </w:t>
      </w:r>
      <w:r w:rsidRPr="008C2376">
        <w:t>https://www.commerce.gov/sites/default/files/2026-01/CAPS%20Standard%20Pay%20Tables%202026.pdf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390337"/>
    <w:multiLevelType w:val="multilevel"/>
    <w:tmpl w:val="68E4720A"/>
    <w:lvl w:ilvl="0">
      <w:start w:val="1"/>
      <w:numFmt w:val="bullet"/>
      <w:lvlText w:val="●"/>
      <w:lvlJc w:val="left"/>
      <w:pPr>
        <w:ind w:left="760" w:hanging="360"/>
      </w:pPr>
      <w:rPr>
        <w:rFonts w:ascii="Noto Sans Symbols" w:eastAsia="Noto Sans Symbols" w:hAnsi="Noto Sans Symbols" w:cs="Noto Sans Symbols"/>
        <w:color w:val="auto"/>
      </w:rPr>
    </w:lvl>
    <w:lvl w:ilvl="1">
      <w:start w:val="1"/>
      <w:numFmt w:val="bullet"/>
      <w:lvlText w:val="●"/>
      <w:lvlJc w:val="left"/>
      <w:pPr>
        <w:ind w:left="1120" w:hanging="360"/>
      </w:pPr>
      <w:rPr>
        <w:rFonts w:ascii="Noto Sans Symbols" w:eastAsia="Noto Sans Symbols" w:hAnsi="Noto Sans Symbols" w:cs="Noto Sans Symbols"/>
        <w:color w:val="2F5496"/>
        <w:sz w:val="20"/>
        <w:szCs w:val="20"/>
      </w:rPr>
    </w:lvl>
    <w:lvl w:ilvl="2">
      <w:start w:val="1"/>
      <w:numFmt w:val="bullet"/>
      <w:lvlText w:val="•"/>
      <w:lvlJc w:val="left"/>
      <w:pPr>
        <w:ind w:left="2273" w:hanging="360"/>
      </w:pPr>
    </w:lvl>
    <w:lvl w:ilvl="3">
      <w:start w:val="1"/>
      <w:numFmt w:val="bullet"/>
      <w:lvlText w:val="•"/>
      <w:lvlJc w:val="left"/>
      <w:pPr>
        <w:ind w:left="3426" w:hanging="360"/>
      </w:pPr>
    </w:lvl>
    <w:lvl w:ilvl="4">
      <w:start w:val="1"/>
      <w:numFmt w:val="bullet"/>
      <w:lvlText w:val="•"/>
      <w:lvlJc w:val="left"/>
      <w:pPr>
        <w:ind w:left="4580" w:hanging="360"/>
      </w:pPr>
    </w:lvl>
    <w:lvl w:ilvl="5">
      <w:start w:val="1"/>
      <w:numFmt w:val="bullet"/>
      <w:lvlText w:val="•"/>
      <w:lvlJc w:val="left"/>
      <w:pPr>
        <w:ind w:left="5733" w:hanging="360"/>
      </w:pPr>
    </w:lvl>
    <w:lvl w:ilvl="6">
      <w:start w:val="1"/>
      <w:numFmt w:val="bullet"/>
      <w:lvlText w:val="•"/>
      <w:lvlJc w:val="left"/>
      <w:pPr>
        <w:ind w:left="6886" w:hanging="360"/>
      </w:pPr>
    </w:lvl>
    <w:lvl w:ilvl="7">
      <w:start w:val="1"/>
      <w:numFmt w:val="bullet"/>
      <w:lvlText w:val="•"/>
      <w:lvlJc w:val="left"/>
      <w:pPr>
        <w:ind w:left="8040" w:hanging="360"/>
      </w:pPr>
    </w:lvl>
    <w:lvl w:ilvl="8">
      <w:start w:val="1"/>
      <w:numFmt w:val="bullet"/>
      <w:lvlText w:val="•"/>
      <w:lvlJc w:val="left"/>
      <w:pPr>
        <w:ind w:left="9193" w:hanging="360"/>
      </w:pPr>
    </w:lvl>
  </w:abstractNum>
  <w:abstractNum w:abstractNumId="1">
    <w:nsid w:val="013B611D"/>
    <w:multiLevelType w:val="multilevel"/>
    <w:tmpl w:val="C822604E"/>
    <w:lvl w:ilvl="0">
      <w:start w:val="1"/>
      <w:numFmt w:val="decimal"/>
      <w:lvlText w:val="%1."/>
      <w:lvlJc w:val="left"/>
      <w:pPr>
        <w:ind w:left="400" w:hanging="269"/>
      </w:pPr>
      <w:rPr>
        <w:rFonts w:ascii="Arial" w:eastAsia="Arial" w:hAnsi="Arial" w:cs="Arial"/>
        <w:b/>
        <w:bCs/>
        <w:sz w:val="24"/>
        <w:szCs w:val="24"/>
      </w:rPr>
    </w:lvl>
    <w:lvl w:ilvl="1">
      <w:start w:val="1"/>
      <w:numFmt w:val="bullet"/>
      <w:lvlText w:val="●"/>
      <w:lvlJc w:val="left"/>
      <w:pPr>
        <w:ind w:left="1120" w:hanging="360"/>
      </w:pPr>
      <w:rPr>
        <w:rFonts w:ascii="Noto Sans Symbols" w:eastAsia="Noto Sans Symbols" w:hAnsi="Noto Sans Symbols" w:cs="Noto Sans Symbols"/>
      </w:rPr>
    </w:lvl>
    <w:lvl w:ilvl="2">
      <w:start w:val="1"/>
      <w:numFmt w:val="bullet"/>
      <w:lvlText w:val="•"/>
      <w:lvlJc w:val="left"/>
      <w:pPr>
        <w:ind w:left="1220" w:hanging="360"/>
      </w:pPr>
    </w:lvl>
    <w:lvl w:ilvl="3">
      <w:start w:val="1"/>
      <w:numFmt w:val="bullet"/>
      <w:lvlText w:val="•"/>
      <w:lvlJc w:val="left"/>
      <w:pPr>
        <w:ind w:left="2505" w:hanging="360"/>
      </w:pPr>
    </w:lvl>
    <w:lvl w:ilvl="4">
      <w:start w:val="1"/>
      <w:numFmt w:val="bullet"/>
      <w:lvlText w:val="•"/>
      <w:lvlJc w:val="left"/>
      <w:pPr>
        <w:ind w:left="3790" w:hanging="360"/>
      </w:pPr>
    </w:lvl>
    <w:lvl w:ilvl="5">
      <w:start w:val="1"/>
      <w:numFmt w:val="bullet"/>
      <w:lvlText w:val="•"/>
      <w:lvlJc w:val="left"/>
      <w:pPr>
        <w:ind w:left="5075" w:hanging="360"/>
      </w:pPr>
    </w:lvl>
    <w:lvl w:ilvl="6">
      <w:start w:val="1"/>
      <w:numFmt w:val="bullet"/>
      <w:lvlText w:val="•"/>
      <w:lvlJc w:val="left"/>
      <w:pPr>
        <w:ind w:left="6360" w:hanging="360"/>
      </w:pPr>
    </w:lvl>
    <w:lvl w:ilvl="7">
      <w:start w:val="1"/>
      <w:numFmt w:val="bullet"/>
      <w:lvlText w:val="•"/>
      <w:lvlJc w:val="left"/>
      <w:pPr>
        <w:ind w:left="7645" w:hanging="360"/>
      </w:pPr>
    </w:lvl>
    <w:lvl w:ilvl="8">
      <w:start w:val="1"/>
      <w:numFmt w:val="bullet"/>
      <w:lvlText w:val="•"/>
      <w:lvlJc w:val="left"/>
      <w:pPr>
        <w:ind w:left="8930" w:hanging="360"/>
      </w:pPr>
    </w:lvl>
  </w:abstractNum>
  <w:abstractNum w:abstractNumId="2">
    <w:nsid w:val="16206C8E"/>
    <w:multiLevelType w:val="multilevel"/>
    <w:tmpl w:val="C3926B82"/>
    <w:lvl w:ilvl="0">
      <w:start w:val="1"/>
      <w:numFmt w:val="bullet"/>
      <w:lvlText w:val="●"/>
      <w:lvlJc w:val="left"/>
      <w:pPr>
        <w:ind w:left="760" w:hanging="360"/>
      </w:pPr>
      <w:rPr>
        <w:rFonts w:ascii="Noto Sans Symbols" w:eastAsia="Noto Sans Symbols" w:hAnsi="Noto Sans Symbols" w:cs="Noto Sans Symbols"/>
      </w:rPr>
    </w:lvl>
    <w:lvl w:ilvl="1">
      <w:start w:val="1"/>
      <w:numFmt w:val="bullet"/>
      <w:lvlText w:val="●"/>
      <w:lvlJc w:val="left"/>
      <w:pPr>
        <w:ind w:left="1120" w:hanging="360"/>
      </w:pPr>
      <w:rPr>
        <w:rFonts w:ascii="Noto Sans Symbols" w:eastAsia="Noto Sans Symbols" w:hAnsi="Noto Sans Symbols" w:cs="Noto Sans Symbols"/>
        <w:color w:val="2F5496"/>
        <w:sz w:val="20"/>
        <w:szCs w:val="20"/>
      </w:rPr>
    </w:lvl>
    <w:lvl w:ilvl="2">
      <w:start w:val="1"/>
      <w:numFmt w:val="bullet"/>
      <w:lvlText w:val="•"/>
      <w:lvlJc w:val="left"/>
      <w:pPr>
        <w:ind w:left="2273" w:hanging="360"/>
      </w:pPr>
    </w:lvl>
    <w:lvl w:ilvl="3">
      <w:start w:val="1"/>
      <w:numFmt w:val="bullet"/>
      <w:lvlText w:val="•"/>
      <w:lvlJc w:val="left"/>
      <w:pPr>
        <w:ind w:left="3426" w:hanging="360"/>
      </w:pPr>
    </w:lvl>
    <w:lvl w:ilvl="4">
      <w:start w:val="1"/>
      <w:numFmt w:val="bullet"/>
      <w:lvlText w:val="•"/>
      <w:lvlJc w:val="left"/>
      <w:pPr>
        <w:ind w:left="4580" w:hanging="360"/>
      </w:pPr>
    </w:lvl>
    <w:lvl w:ilvl="5">
      <w:start w:val="1"/>
      <w:numFmt w:val="bullet"/>
      <w:lvlText w:val="•"/>
      <w:lvlJc w:val="left"/>
      <w:pPr>
        <w:ind w:left="5733" w:hanging="360"/>
      </w:pPr>
    </w:lvl>
    <w:lvl w:ilvl="6">
      <w:start w:val="1"/>
      <w:numFmt w:val="bullet"/>
      <w:lvlText w:val="•"/>
      <w:lvlJc w:val="left"/>
      <w:pPr>
        <w:ind w:left="6886" w:hanging="360"/>
      </w:pPr>
    </w:lvl>
    <w:lvl w:ilvl="7">
      <w:start w:val="1"/>
      <w:numFmt w:val="bullet"/>
      <w:lvlText w:val="•"/>
      <w:lvlJc w:val="left"/>
      <w:pPr>
        <w:ind w:left="8040" w:hanging="360"/>
      </w:pPr>
    </w:lvl>
    <w:lvl w:ilvl="8">
      <w:start w:val="1"/>
      <w:numFmt w:val="bullet"/>
      <w:lvlText w:val="•"/>
      <w:lvlJc w:val="left"/>
      <w:pPr>
        <w:ind w:left="9193" w:hanging="360"/>
      </w:pPr>
    </w:lvl>
  </w:abstractNum>
  <w:abstractNum w:abstractNumId="3">
    <w:nsid w:val="224560BC"/>
    <w:multiLevelType w:val="multilevel"/>
    <w:tmpl w:val="CB3C403A"/>
    <w:lvl w:ilvl="0">
      <w:start w:val="1"/>
      <w:numFmt w:val="lowerLetter"/>
      <w:lvlText w:val="(%1)"/>
      <w:lvlJc w:val="left"/>
      <w:pPr>
        <w:ind w:left="1839" w:hanging="720"/>
      </w:pPr>
      <w:rPr>
        <w:rFonts w:ascii="Arial" w:eastAsia="Arial" w:hAnsi="Arial" w:cs="Arial"/>
        <w:color w:val="2F5496"/>
        <w:sz w:val="22"/>
        <w:szCs w:val="22"/>
      </w:rPr>
    </w:lvl>
    <w:lvl w:ilvl="1">
      <w:start w:val="1"/>
      <w:numFmt w:val="bullet"/>
      <w:lvlText w:val="•"/>
      <w:lvlJc w:val="left"/>
      <w:pPr>
        <w:ind w:left="2806" w:hanging="720"/>
      </w:pPr>
    </w:lvl>
    <w:lvl w:ilvl="2">
      <w:start w:val="1"/>
      <w:numFmt w:val="bullet"/>
      <w:lvlText w:val="•"/>
      <w:lvlJc w:val="left"/>
      <w:pPr>
        <w:ind w:left="3772" w:hanging="720"/>
      </w:pPr>
    </w:lvl>
    <w:lvl w:ilvl="3">
      <w:start w:val="1"/>
      <w:numFmt w:val="bullet"/>
      <w:lvlText w:val="•"/>
      <w:lvlJc w:val="left"/>
      <w:pPr>
        <w:ind w:left="4738" w:hanging="720"/>
      </w:pPr>
    </w:lvl>
    <w:lvl w:ilvl="4">
      <w:start w:val="1"/>
      <w:numFmt w:val="bullet"/>
      <w:lvlText w:val="•"/>
      <w:lvlJc w:val="left"/>
      <w:pPr>
        <w:ind w:left="5704" w:hanging="720"/>
      </w:pPr>
    </w:lvl>
    <w:lvl w:ilvl="5">
      <w:start w:val="1"/>
      <w:numFmt w:val="bullet"/>
      <w:lvlText w:val="•"/>
      <w:lvlJc w:val="left"/>
      <w:pPr>
        <w:ind w:left="6670" w:hanging="720"/>
      </w:pPr>
    </w:lvl>
    <w:lvl w:ilvl="6">
      <w:start w:val="1"/>
      <w:numFmt w:val="bullet"/>
      <w:lvlText w:val="•"/>
      <w:lvlJc w:val="left"/>
      <w:pPr>
        <w:ind w:left="7636" w:hanging="720"/>
      </w:pPr>
    </w:lvl>
    <w:lvl w:ilvl="7">
      <w:start w:val="1"/>
      <w:numFmt w:val="bullet"/>
      <w:lvlText w:val="•"/>
      <w:lvlJc w:val="left"/>
      <w:pPr>
        <w:ind w:left="8602" w:hanging="720"/>
      </w:pPr>
    </w:lvl>
    <w:lvl w:ilvl="8">
      <w:start w:val="1"/>
      <w:numFmt w:val="bullet"/>
      <w:lvlText w:val="•"/>
      <w:lvlJc w:val="left"/>
      <w:pPr>
        <w:ind w:left="9568" w:hanging="720"/>
      </w:pPr>
    </w:lvl>
  </w:abstractNum>
  <w:abstractNum w:abstractNumId="4">
    <w:nsid w:val="27035901"/>
    <w:multiLevelType w:val="multilevel"/>
    <w:tmpl w:val="67A0F8EA"/>
    <w:lvl w:ilvl="0">
      <w:start w:val="1"/>
      <w:numFmt w:val="bullet"/>
      <w:lvlText w:val="●"/>
      <w:lvlJc w:val="left"/>
      <w:pPr>
        <w:ind w:left="760" w:hanging="360"/>
      </w:pPr>
      <w:rPr>
        <w:rFonts w:ascii="Noto Sans Symbols" w:eastAsia="Noto Sans Symbols" w:hAnsi="Noto Sans Symbols" w:cs="Noto Sans Symbols"/>
      </w:rPr>
    </w:lvl>
    <w:lvl w:ilvl="1">
      <w:start w:val="1"/>
      <w:numFmt w:val="bullet"/>
      <w:lvlText w:val="●"/>
      <w:lvlJc w:val="left"/>
      <w:pPr>
        <w:ind w:left="1120" w:hanging="360"/>
      </w:pPr>
      <w:rPr>
        <w:rFonts w:ascii="Noto Sans Symbols" w:eastAsia="Noto Sans Symbols" w:hAnsi="Noto Sans Symbols" w:cs="Noto Sans Symbols"/>
        <w:color w:val="2F5496"/>
        <w:sz w:val="20"/>
        <w:szCs w:val="20"/>
      </w:rPr>
    </w:lvl>
    <w:lvl w:ilvl="2">
      <w:start w:val="1"/>
      <w:numFmt w:val="bullet"/>
      <w:lvlText w:val="•"/>
      <w:lvlJc w:val="left"/>
      <w:pPr>
        <w:ind w:left="2273" w:hanging="360"/>
      </w:pPr>
    </w:lvl>
    <w:lvl w:ilvl="3">
      <w:start w:val="1"/>
      <w:numFmt w:val="bullet"/>
      <w:lvlText w:val="•"/>
      <w:lvlJc w:val="left"/>
      <w:pPr>
        <w:ind w:left="3426" w:hanging="360"/>
      </w:pPr>
    </w:lvl>
    <w:lvl w:ilvl="4">
      <w:start w:val="1"/>
      <w:numFmt w:val="bullet"/>
      <w:lvlText w:val="•"/>
      <w:lvlJc w:val="left"/>
      <w:pPr>
        <w:ind w:left="4580" w:hanging="360"/>
      </w:pPr>
    </w:lvl>
    <w:lvl w:ilvl="5">
      <w:start w:val="1"/>
      <w:numFmt w:val="bullet"/>
      <w:lvlText w:val="•"/>
      <w:lvlJc w:val="left"/>
      <w:pPr>
        <w:ind w:left="5733" w:hanging="360"/>
      </w:pPr>
    </w:lvl>
    <w:lvl w:ilvl="6">
      <w:start w:val="1"/>
      <w:numFmt w:val="bullet"/>
      <w:lvlText w:val="•"/>
      <w:lvlJc w:val="left"/>
      <w:pPr>
        <w:ind w:left="6886" w:hanging="360"/>
      </w:pPr>
    </w:lvl>
    <w:lvl w:ilvl="7">
      <w:start w:val="1"/>
      <w:numFmt w:val="bullet"/>
      <w:lvlText w:val="•"/>
      <w:lvlJc w:val="left"/>
      <w:pPr>
        <w:ind w:left="8040" w:hanging="360"/>
      </w:pPr>
    </w:lvl>
    <w:lvl w:ilvl="8">
      <w:start w:val="1"/>
      <w:numFmt w:val="bullet"/>
      <w:lvlText w:val="•"/>
      <w:lvlJc w:val="left"/>
      <w:pPr>
        <w:ind w:left="9193" w:hanging="360"/>
      </w:pPr>
    </w:lvl>
  </w:abstractNum>
  <w:abstractNum w:abstractNumId="5">
    <w:nsid w:val="270773FC"/>
    <w:multiLevelType w:val="multilevel"/>
    <w:tmpl w:val="C4D0D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1EB3DF5"/>
    <w:multiLevelType w:val="multilevel"/>
    <w:tmpl w:val="3242930A"/>
    <w:lvl w:ilvl="0">
      <w:start w:val="1"/>
      <w:numFmt w:val="decimal"/>
      <w:lvlText w:val="%1."/>
      <w:lvlJc w:val="left"/>
      <w:pPr>
        <w:ind w:left="400" w:hanging="269"/>
      </w:pPr>
      <w:rPr>
        <w:rFonts w:ascii="Arial" w:eastAsia="Arial" w:hAnsi="Arial" w:cs="Arial"/>
        <w:b/>
        <w:bCs/>
        <w:sz w:val="24"/>
        <w:szCs w:val="24"/>
      </w:rPr>
    </w:lvl>
    <w:lvl w:ilvl="1">
      <w:start w:val="1"/>
      <w:numFmt w:val="bullet"/>
      <w:lvlText w:val="●"/>
      <w:lvlJc w:val="left"/>
      <w:pPr>
        <w:ind w:left="1120" w:hanging="360"/>
      </w:pPr>
      <w:rPr>
        <w:rFonts w:ascii="Noto Sans Symbols" w:eastAsia="Noto Sans Symbols" w:hAnsi="Noto Sans Symbols" w:cs="Noto Sans Symbols"/>
      </w:rPr>
    </w:lvl>
    <w:lvl w:ilvl="2">
      <w:start w:val="1"/>
      <w:numFmt w:val="bullet"/>
      <w:lvlText w:val="•"/>
      <w:lvlJc w:val="left"/>
      <w:pPr>
        <w:ind w:left="1220" w:hanging="360"/>
      </w:pPr>
    </w:lvl>
    <w:lvl w:ilvl="3">
      <w:start w:val="1"/>
      <w:numFmt w:val="bullet"/>
      <w:lvlText w:val="•"/>
      <w:lvlJc w:val="left"/>
      <w:pPr>
        <w:ind w:left="2505" w:hanging="360"/>
      </w:pPr>
    </w:lvl>
    <w:lvl w:ilvl="4">
      <w:start w:val="1"/>
      <w:numFmt w:val="bullet"/>
      <w:lvlText w:val="•"/>
      <w:lvlJc w:val="left"/>
      <w:pPr>
        <w:ind w:left="3790" w:hanging="360"/>
      </w:pPr>
    </w:lvl>
    <w:lvl w:ilvl="5">
      <w:start w:val="1"/>
      <w:numFmt w:val="bullet"/>
      <w:lvlText w:val="•"/>
      <w:lvlJc w:val="left"/>
      <w:pPr>
        <w:ind w:left="5075" w:hanging="360"/>
      </w:pPr>
    </w:lvl>
    <w:lvl w:ilvl="6">
      <w:start w:val="1"/>
      <w:numFmt w:val="bullet"/>
      <w:lvlText w:val="•"/>
      <w:lvlJc w:val="left"/>
      <w:pPr>
        <w:ind w:left="6360" w:hanging="360"/>
      </w:pPr>
    </w:lvl>
    <w:lvl w:ilvl="7">
      <w:start w:val="1"/>
      <w:numFmt w:val="bullet"/>
      <w:lvlText w:val="•"/>
      <w:lvlJc w:val="left"/>
      <w:pPr>
        <w:ind w:left="7645" w:hanging="360"/>
      </w:pPr>
    </w:lvl>
    <w:lvl w:ilvl="8">
      <w:start w:val="1"/>
      <w:numFmt w:val="bullet"/>
      <w:lvlText w:val="•"/>
      <w:lvlJc w:val="left"/>
      <w:pPr>
        <w:ind w:left="8930" w:hanging="360"/>
      </w:pPr>
    </w:lvl>
  </w:abstractNum>
  <w:abstractNum w:abstractNumId="7">
    <w:nsid w:val="33126767"/>
    <w:multiLevelType w:val="hybridMultilevel"/>
    <w:tmpl w:val="53A2EFD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39552A28"/>
    <w:multiLevelType w:val="hybridMultilevel"/>
    <w:tmpl w:val="0DB42D1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3B404614"/>
    <w:multiLevelType w:val="multilevel"/>
    <w:tmpl w:val="47342366"/>
    <w:lvl w:ilvl="0">
      <w:start w:val="1"/>
      <w:numFmt w:val="bullet"/>
      <w:lvlText w:val="●"/>
      <w:lvlJc w:val="left"/>
      <w:pPr>
        <w:ind w:left="469" w:hanging="360"/>
      </w:pPr>
      <w:rPr>
        <w:rFonts w:ascii="Noto Sans Symbols" w:eastAsia="Noto Sans Symbols" w:hAnsi="Noto Sans Symbols" w:cs="Noto Sans Symbols"/>
        <w:color w:val="2F5496"/>
        <w:sz w:val="20"/>
        <w:szCs w:val="20"/>
      </w:rPr>
    </w:lvl>
    <w:lvl w:ilvl="1">
      <w:start w:val="1"/>
      <w:numFmt w:val="bullet"/>
      <w:lvlText w:val="•"/>
      <w:lvlJc w:val="left"/>
      <w:pPr>
        <w:ind w:left="713" w:hanging="360"/>
      </w:pPr>
    </w:lvl>
    <w:lvl w:ilvl="2">
      <w:start w:val="1"/>
      <w:numFmt w:val="bullet"/>
      <w:lvlText w:val="•"/>
      <w:lvlJc w:val="left"/>
      <w:pPr>
        <w:ind w:left="966" w:hanging="360"/>
      </w:pPr>
    </w:lvl>
    <w:lvl w:ilvl="3">
      <w:start w:val="1"/>
      <w:numFmt w:val="bullet"/>
      <w:lvlText w:val="•"/>
      <w:lvlJc w:val="left"/>
      <w:pPr>
        <w:ind w:left="1219" w:hanging="360"/>
      </w:pPr>
    </w:lvl>
    <w:lvl w:ilvl="4">
      <w:start w:val="1"/>
      <w:numFmt w:val="bullet"/>
      <w:lvlText w:val="•"/>
      <w:lvlJc w:val="left"/>
      <w:pPr>
        <w:ind w:left="1472" w:hanging="360"/>
      </w:pPr>
    </w:lvl>
    <w:lvl w:ilvl="5">
      <w:start w:val="1"/>
      <w:numFmt w:val="bullet"/>
      <w:lvlText w:val="•"/>
      <w:lvlJc w:val="left"/>
      <w:pPr>
        <w:ind w:left="1725" w:hanging="360"/>
      </w:pPr>
    </w:lvl>
    <w:lvl w:ilvl="6">
      <w:start w:val="1"/>
      <w:numFmt w:val="bullet"/>
      <w:lvlText w:val="•"/>
      <w:lvlJc w:val="left"/>
      <w:pPr>
        <w:ind w:left="1978" w:hanging="360"/>
      </w:pPr>
    </w:lvl>
    <w:lvl w:ilvl="7">
      <w:start w:val="1"/>
      <w:numFmt w:val="bullet"/>
      <w:lvlText w:val="•"/>
      <w:lvlJc w:val="left"/>
      <w:pPr>
        <w:ind w:left="2231" w:hanging="360"/>
      </w:pPr>
    </w:lvl>
    <w:lvl w:ilvl="8">
      <w:start w:val="1"/>
      <w:numFmt w:val="bullet"/>
      <w:lvlText w:val="•"/>
      <w:lvlJc w:val="left"/>
      <w:pPr>
        <w:ind w:left="2484" w:hanging="360"/>
      </w:pPr>
    </w:lvl>
  </w:abstractNum>
  <w:abstractNum w:abstractNumId="10">
    <w:nsid w:val="3BDE02B0"/>
    <w:multiLevelType w:val="multilevel"/>
    <w:tmpl w:val="9000EE7C"/>
    <w:lvl w:ilvl="0">
      <w:start w:val="1"/>
      <w:numFmt w:val="bullet"/>
      <w:lvlText w:val="●"/>
      <w:lvlJc w:val="left"/>
      <w:pPr>
        <w:ind w:left="760" w:hanging="360"/>
      </w:pPr>
      <w:rPr>
        <w:rFonts w:ascii="Noto Sans Symbols" w:eastAsia="Noto Sans Symbols" w:hAnsi="Noto Sans Symbols" w:cs="Noto Sans Symbols"/>
      </w:rPr>
    </w:lvl>
    <w:lvl w:ilvl="1">
      <w:start w:val="1"/>
      <w:numFmt w:val="bullet"/>
      <w:lvlText w:val="●"/>
      <w:lvlJc w:val="left"/>
      <w:pPr>
        <w:ind w:left="1120" w:hanging="360"/>
      </w:pPr>
      <w:rPr>
        <w:rFonts w:ascii="Noto Sans Symbols" w:eastAsia="Noto Sans Symbols" w:hAnsi="Noto Sans Symbols" w:cs="Noto Sans Symbols"/>
        <w:color w:val="2F5496"/>
        <w:sz w:val="20"/>
        <w:szCs w:val="20"/>
      </w:rPr>
    </w:lvl>
    <w:lvl w:ilvl="2">
      <w:start w:val="1"/>
      <w:numFmt w:val="bullet"/>
      <w:lvlText w:val="•"/>
      <w:lvlJc w:val="left"/>
      <w:pPr>
        <w:ind w:left="2273" w:hanging="360"/>
      </w:pPr>
    </w:lvl>
    <w:lvl w:ilvl="3">
      <w:start w:val="1"/>
      <w:numFmt w:val="bullet"/>
      <w:lvlText w:val="•"/>
      <w:lvlJc w:val="left"/>
      <w:pPr>
        <w:ind w:left="3426" w:hanging="360"/>
      </w:pPr>
    </w:lvl>
    <w:lvl w:ilvl="4">
      <w:start w:val="1"/>
      <w:numFmt w:val="bullet"/>
      <w:lvlText w:val="•"/>
      <w:lvlJc w:val="left"/>
      <w:pPr>
        <w:ind w:left="4580" w:hanging="360"/>
      </w:pPr>
    </w:lvl>
    <w:lvl w:ilvl="5">
      <w:start w:val="1"/>
      <w:numFmt w:val="bullet"/>
      <w:lvlText w:val="•"/>
      <w:lvlJc w:val="left"/>
      <w:pPr>
        <w:ind w:left="5733" w:hanging="360"/>
      </w:pPr>
    </w:lvl>
    <w:lvl w:ilvl="6">
      <w:start w:val="1"/>
      <w:numFmt w:val="bullet"/>
      <w:lvlText w:val="•"/>
      <w:lvlJc w:val="left"/>
      <w:pPr>
        <w:ind w:left="6886" w:hanging="360"/>
      </w:pPr>
    </w:lvl>
    <w:lvl w:ilvl="7">
      <w:start w:val="1"/>
      <w:numFmt w:val="bullet"/>
      <w:lvlText w:val="•"/>
      <w:lvlJc w:val="left"/>
      <w:pPr>
        <w:ind w:left="8040" w:hanging="360"/>
      </w:pPr>
    </w:lvl>
    <w:lvl w:ilvl="8">
      <w:start w:val="1"/>
      <w:numFmt w:val="bullet"/>
      <w:lvlText w:val="•"/>
      <w:lvlJc w:val="left"/>
      <w:pPr>
        <w:ind w:left="9193" w:hanging="360"/>
      </w:pPr>
    </w:lvl>
  </w:abstractNum>
  <w:abstractNum w:abstractNumId="11">
    <w:nsid w:val="4B18162F"/>
    <w:multiLevelType w:val="multilevel"/>
    <w:tmpl w:val="A13C1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941663B"/>
    <w:multiLevelType w:val="multilevel"/>
    <w:tmpl w:val="872402B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nsid w:val="59F423C6"/>
    <w:multiLevelType w:val="multilevel"/>
    <w:tmpl w:val="3F480E2E"/>
    <w:lvl w:ilvl="0">
      <w:start w:val="1"/>
      <w:numFmt w:val="bullet"/>
      <w:lvlText w:val="●"/>
      <w:lvlJc w:val="left"/>
      <w:pPr>
        <w:ind w:left="1120" w:hanging="360"/>
      </w:pPr>
      <w:rPr>
        <w:rFonts w:ascii="Noto Sans Symbols" w:eastAsia="Noto Sans Symbols" w:hAnsi="Noto Sans Symbols" w:cs="Noto Sans Symbols"/>
        <w:color w:val="2F5496"/>
        <w:sz w:val="20"/>
        <w:szCs w:val="20"/>
      </w:rPr>
    </w:lvl>
    <w:lvl w:ilvl="1">
      <w:start w:val="1"/>
      <w:numFmt w:val="bullet"/>
      <w:lvlText w:val="•"/>
      <w:lvlJc w:val="left"/>
      <w:pPr>
        <w:ind w:left="2158" w:hanging="360"/>
      </w:pPr>
    </w:lvl>
    <w:lvl w:ilvl="2">
      <w:start w:val="1"/>
      <w:numFmt w:val="bullet"/>
      <w:lvlText w:val="•"/>
      <w:lvlJc w:val="left"/>
      <w:pPr>
        <w:ind w:left="3196" w:hanging="360"/>
      </w:pPr>
    </w:lvl>
    <w:lvl w:ilvl="3">
      <w:start w:val="1"/>
      <w:numFmt w:val="bullet"/>
      <w:lvlText w:val="•"/>
      <w:lvlJc w:val="left"/>
      <w:pPr>
        <w:ind w:left="4234" w:hanging="360"/>
      </w:pPr>
    </w:lvl>
    <w:lvl w:ilvl="4">
      <w:start w:val="1"/>
      <w:numFmt w:val="bullet"/>
      <w:lvlText w:val="•"/>
      <w:lvlJc w:val="left"/>
      <w:pPr>
        <w:ind w:left="5272" w:hanging="360"/>
      </w:pPr>
    </w:lvl>
    <w:lvl w:ilvl="5">
      <w:start w:val="1"/>
      <w:numFmt w:val="bullet"/>
      <w:lvlText w:val="•"/>
      <w:lvlJc w:val="left"/>
      <w:pPr>
        <w:ind w:left="6310" w:hanging="360"/>
      </w:pPr>
    </w:lvl>
    <w:lvl w:ilvl="6">
      <w:start w:val="1"/>
      <w:numFmt w:val="bullet"/>
      <w:lvlText w:val="•"/>
      <w:lvlJc w:val="left"/>
      <w:pPr>
        <w:ind w:left="7348" w:hanging="360"/>
      </w:pPr>
    </w:lvl>
    <w:lvl w:ilvl="7">
      <w:start w:val="1"/>
      <w:numFmt w:val="bullet"/>
      <w:lvlText w:val="•"/>
      <w:lvlJc w:val="left"/>
      <w:pPr>
        <w:ind w:left="8386" w:hanging="360"/>
      </w:pPr>
    </w:lvl>
    <w:lvl w:ilvl="8">
      <w:start w:val="1"/>
      <w:numFmt w:val="bullet"/>
      <w:lvlText w:val="•"/>
      <w:lvlJc w:val="left"/>
      <w:pPr>
        <w:ind w:left="9424" w:hanging="360"/>
      </w:pPr>
    </w:lvl>
  </w:abstractNum>
  <w:abstractNum w:abstractNumId="14">
    <w:nsid w:val="60F266B7"/>
    <w:multiLevelType w:val="multilevel"/>
    <w:tmpl w:val="9A46F2D6"/>
    <w:lvl w:ilvl="0">
      <w:start w:val="1"/>
      <w:numFmt w:val="decimal"/>
      <w:lvlText w:val="%1."/>
      <w:lvlJc w:val="left"/>
      <w:pPr>
        <w:ind w:left="720" w:hanging="360"/>
      </w:pPr>
      <w:rPr>
        <w:rFonts w:ascii="Arial" w:eastAsia="Arial" w:hAnsi="Arial" w:cs="Arial"/>
        <w:color w:val="222222"/>
        <w:sz w:val="22"/>
        <w:szCs w:val="2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nsid w:val="6A504779"/>
    <w:multiLevelType w:val="multilevel"/>
    <w:tmpl w:val="09D6D914"/>
    <w:lvl w:ilvl="0">
      <w:start w:val="1"/>
      <w:numFmt w:val="decimal"/>
      <w:lvlText w:val="%1."/>
      <w:lvlJc w:val="left"/>
      <w:pPr>
        <w:ind w:left="400" w:hanging="269"/>
      </w:pPr>
      <w:rPr>
        <w:rFonts w:ascii="Times New Roman" w:eastAsia="Arial" w:hAnsi="Times New Roman" w:cs="Times New Roman" w:hint="default"/>
        <w:b/>
        <w:bCs/>
        <w:sz w:val="24"/>
        <w:szCs w:val="24"/>
      </w:rPr>
    </w:lvl>
    <w:lvl w:ilvl="1">
      <w:start w:val="1"/>
      <w:numFmt w:val="bullet"/>
      <w:lvlText w:val=""/>
      <w:lvlJc w:val="left"/>
      <w:pPr>
        <w:ind w:left="1120" w:hanging="360"/>
      </w:pPr>
    </w:lvl>
    <w:lvl w:ilvl="2">
      <w:start w:val="1"/>
      <w:numFmt w:val="bullet"/>
      <w:lvlText w:val="•"/>
      <w:lvlJc w:val="left"/>
      <w:pPr>
        <w:ind w:left="1220" w:hanging="360"/>
      </w:pPr>
    </w:lvl>
    <w:lvl w:ilvl="3">
      <w:start w:val="1"/>
      <w:numFmt w:val="bullet"/>
      <w:lvlText w:val="•"/>
      <w:lvlJc w:val="left"/>
      <w:pPr>
        <w:ind w:left="2505" w:hanging="360"/>
      </w:pPr>
    </w:lvl>
    <w:lvl w:ilvl="4">
      <w:start w:val="1"/>
      <w:numFmt w:val="bullet"/>
      <w:lvlText w:val="•"/>
      <w:lvlJc w:val="left"/>
      <w:pPr>
        <w:ind w:left="3790" w:hanging="360"/>
      </w:pPr>
    </w:lvl>
    <w:lvl w:ilvl="5">
      <w:start w:val="1"/>
      <w:numFmt w:val="bullet"/>
      <w:lvlText w:val="•"/>
      <w:lvlJc w:val="left"/>
      <w:pPr>
        <w:ind w:left="5075" w:hanging="360"/>
      </w:pPr>
    </w:lvl>
    <w:lvl w:ilvl="6">
      <w:start w:val="1"/>
      <w:numFmt w:val="bullet"/>
      <w:lvlText w:val="•"/>
      <w:lvlJc w:val="left"/>
      <w:pPr>
        <w:ind w:left="6360" w:hanging="360"/>
      </w:pPr>
    </w:lvl>
    <w:lvl w:ilvl="7">
      <w:start w:val="1"/>
      <w:numFmt w:val="bullet"/>
      <w:lvlText w:val="•"/>
      <w:lvlJc w:val="left"/>
      <w:pPr>
        <w:ind w:left="7645" w:hanging="360"/>
      </w:pPr>
    </w:lvl>
    <w:lvl w:ilvl="8">
      <w:start w:val="1"/>
      <w:numFmt w:val="bullet"/>
      <w:lvlText w:val="•"/>
      <w:lvlJc w:val="left"/>
      <w:pPr>
        <w:ind w:left="8930" w:hanging="360"/>
      </w:pPr>
    </w:lvl>
  </w:abstractNum>
  <w:abstractNum w:abstractNumId="16">
    <w:nsid w:val="6E67292A"/>
    <w:multiLevelType w:val="hybridMultilevel"/>
    <w:tmpl w:val="CD386D4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76600DF1"/>
    <w:multiLevelType w:val="multilevel"/>
    <w:tmpl w:val="239A28F8"/>
    <w:lvl w:ilvl="0">
      <w:start w:val="1"/>
      <w:numFmt w:val="bullet"/>
      <w:lvlText w:val="●"/>
      <w:lvlJc w:val="left"/>
      <w:pPr>
        <w:ind w:left="469" w:hanging="360"/>
      </w:pPr>
      <w:rPr>
        <w:rFonts w:ascii="Noto Sans Symbols" w:eastAsia="Noto Sans Symbols" w:hAnsi="Noto Sans Symbols" w:cs="Noto Sans Symbols"/>
        <w:color w:val="2F5496"/>
        <w:sz w:val="20"/>
        <w:szCs w:val="20"/>
      </w:rPr>
    </w:lvl>
    <w:lvl w:ilvl="1">
      <w:start w:val="1"/>
      <w:numFmt w:val="bullet"/>
      <w:lvlText w:val="•"/>
      <w:lvlJc w:val="left"/>
      <w:pPr>
        <w:ind w:left="713" w:hanging="360"/>
      </w:pPr>
    </w:lvl>
    <w:lvl w:ilvl="2">
      <w:start w:val="1"/>
      <w:numFmt w:val="bullet"/>
      <w:lvlText w:val="•"/>
      <w:lvlJc w:val="left"/>
      <w:pPr>
        <w:ind w:left="966" w:hanging="360"/>
      </w:pPr>
    </w:lvl>
    <w:lvl w:ilvl="3">
      <w:start w:val="1"/>
      <w:numFmt w:val="bullet"/>
      <w:lvlText w:val="•"/>
      <w:lvlJc w:val="left"/>
      <w:pPr>
        <w:ind w:left="1219" w:hanging="360"/>
      </w:pPr>
    </w:lvl>
    <w:lvl w:ilvl="4">
      <w:start w:val="1"/>
      <w:numFmt w:val="bullet"/>
      <w:lvlText w:val="•"/>
      <w:lvlJc w:val="left"/>
      <w:pPr>
        <w:ind w:left="1472" w:hanging="360"/>
      </w:pPr>
    </w:lvl>
    <w:lvl w:ilvl="5">
      <w:start w:val="1"/>
      <w:numFmt w:val="bullet"/>
      <w:lvlText w:val="•"/>
      <w:lvlJc w:val="left"/>
      <w:pPr>
        <w:ind w:left="1725" w:hanging="360"/>
      </w:pPr>
    </w:lvl>
    <w:lvl w:ilvl="6">
      <w:start w:val="1"/>
      <w:numFmt w:val="bullet"/>
      <w:lvlText w:val="•"/>
      <w:lvlJc w:val="left"/>
      <w:pPr>
        <w:ind w:left="1978" w:hanging="360"/>
      </w:pPr>
    </w:lvl>
    <w:lvl w:ilvl="7">
      <w:start w:val="1"/>
      <w:numFmt w:val="bullet"/>
      <w:lvlText w:val="•"/>
      <w:lvlJc w:val="left"/>
      <w:pPr>
        <w:ind w:left="2231" w:hanging="360"/>
      </w:pPr>
    </w:lvl>
    <w:lvl w:ilvl="8">
      <w:start w:val="1"/>
      <w:numFmt w:val="bullet"/>
      <w:lvlText w:val="•"/>
      <w:lvlJc w:val="left"/>
      <w:pPr>
        <w:ind w:left="2484" w:hanging="360"/>
      </w:pPr>
    </w:lvl>
  </w:abstractNum>
  <w:num w:numId="1" w16cid:durableId="1967391156">
    <w:abstractNumId w:val="4"/>
  </w:num>
  <w:num w:numId="2" w16cid:durableId="445779164">
    <w:abstractNumId w:val="2"/>
  </w:num>
  <w:num w:numId="3" w16cid:durableId="726025522">
    <w:abstractNumId w:val="1"/>
  </w:num>
  <w:num w:numId="4" w16cid:durableId="1562448042">
    <w:abstractNumId w:val="13"/>
  </w:num>
  <w:num w:numId="5" w16cid:durableId="861628978">
    <w:abstractNumId w:val="6"/>
  </w:num>
  <w:num w:numId="6" w16cid:durableId="1590237120">
    <w:abstractNumId w:val="3"/>
  </w:num>
  <w:num w:numId="7" w16cid:durableId="2118407814">
    <w:abstractNumId w:val="9"/>
  </w:num>
  <w:num w:numId="8" w16cid:durableId="1553493558">
    <w:abstractNumId w:val="17"/>
  </w:num>
  <w:num w:numId="9" w16cid:durableId="1819683196">
    <w:abstractNumId w:val="15"/>
  </w:num>
  <w:num w:numId="10" w16cid:durableId="1731492820">
    <w:abstractNumId w:val="10"/>
  </w:num>
  <w:num w:numId="11" w16cid:durableId="1801149804">
    <w:abstractNumId w:val="0"/>
  </w:num>
  <w:num w:numId="12" w16cid:durableId="738482688">
    <w:abstractNumId w:val="14"/>
  </w:num>
  <w:num w:numId="13" w16cid:durableId="1673988718">
    <w:abstractNumId w:val="12"/>
  </w:num>
  <w:num w:numId="14" w16cid:durableId="1447457395">
    <w:abstractNumId w:val="16"/>
  </w:num>
  <w:num w:numId="15" w16cid:durableId="1388918685">
    <w:abstractNumId w:val="7"/>
  </w:num>
  <w:num w:numId="16" w16cid:durableId="397174575">
    <w:abstractNumId w:val="8"/>
  </w:num>
  <w:num w:numId="17" w16cid:durableId="1621377155">
    <w:abstractNumId w:val="11"/>
  </w:num>
  <w:num w:numId="18" w16cid:durableId="60334068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3FDB"/>
    <w:rsid w:val="000167A1"/>
    <w:rsid w:val="00023D88"/>
    <w:rsid w:val="00027812"/>
    <w:rsid w:val="0004103B"/>
    <w:rsid w:val="00093A56"/>
    <w:rsid w:val="0009746B"/>
    <w:rsid w:val="000B3EF5"/>
    <w:rsid w:val="000C5280"/>
    <w:rsid w:val="000D6107"/>
    <w:rsid w:val="000F2A39"/>
    <w:rsid w:val="001224DB"/>
    <w:rsid w:val="00132678"/>
    <w:rsid w:val="001921DD"/>
    <w:rsid w:val="001A1201"/>
    <w:rsid w:val="001B2066"/>
    <w:rsid w:val="002024F4"/>
    <w:rsid w:val="002231BC"/>
    <w:rsid w:val="0023758D"/>
    <w:rsid w:val="002543D4"/>
    <w:rsid w:val="00263DAF"/>
    <w:rsid w:val="00285677"/>
    <w:rsid w:val="002C1676"/>
    <w:rsid w:val="00317D7A"/>
    <w:rsid w:val="00326E3D"/>
    <w:rsid w:val="00334F7C"/>
    <w:rsid w:val="003A4EAD"/>
    <w:rsid w:val="003C0BEA"/>
    <w:rsid w:val="00412B51"/>
    <w:rsid w:val="0041353F"/>
    <w:rsid w:val="004202DB"/>
    <w:rsid w:val="004262DA"/>
    <w:rsid w:val="00427512"/>
    <w:rsid w:val="00441D92"/>
    <w:rsid w:val="004B34DE"/>
    <w:rsid w:val="004B42DD"/>
    <w:rsid w:val="004C2B65"/>
    <w:rsid w:val="004F6A98"/>
    <w:rsid w:val="00537BE6"/>
    <w:rsid w:val="00563432"/>
    <w:rsid w:val="005667A9"/>
    <w:rsid w:val="005806F0"/>
    <w:rsid w:val="005D4376"/>
    <w:rsid w:val="005D5B91"/>
    <w:rsid w:val="005D7419"/>
    <w:rsid w:val="005E0D0C"/>
    <w:rsid w:val="00606DF3"/>
    <w:rsid w:val="00607CE8"/>
    <w:rsid w:val="0062109A"/>
    <w:rsid w:val="00660DCF"/>
    <w:rsid w:val="00666129"/>
    <w:rsid w:val="00690E82"/>
    <w:rsid w:val="006B7C1E"/>
    <w:rsid w:val="006D7386"/>
    <w:rsid w:val="006F328C"/>
    <w:rsid w:val="007512CF"/>
    <w:rsid w:val="007753C3"/>
    <w:rsid w:val="007F058F"/>
    <w:rsid w:val="00804A20"/>
    <w:rsid w:val="00834E92"/>
    <w:rsid w:val="008525CF"/>
    <w:rsid w:val="00865892"/>
    <w:rsid w:val="008728AB"/>
    <w:rsid w:val="008819EF"/>
    <w:rsid w:val="00892E40"/>
    <w:rsid w:val="008A2738"/>
    <w:rsid w:val="008C2376"/>
    <w:rsid w:val="008E0828"/>
    <w:rsid w:val="008E3170"/>
    <w:rsid w:val="00902D2C"/>
    <w:rsid w:val="00915817"/>
    <w:rsid w:val="009303C0"/>
    <w:rsid w:val="009328B3"/>
    <w:rsid w:val="00940155"/>
    <w:rsid w:val="00940A6A"/>
    <w:rsid w:val="009516E4"/>
    <w:rsid w:val="00957605"/>
    <w:rsid w:val="00984148"/>
    <w:rsid w:val="009A6414"/>
    <w:rsid w:val="00A61DCC"/>
    <w:rsid w:val="00A62432"/>
    <w:rsid w:val="00A90185"/>
    <w:rsid w:val="00AA3C42"/>
    <w:rsid w:val="00AA79B6"/>
    <w:rsid w:val="00B12277"/>
    <w:rsid w:val="00B44E2C"/>
    <w:rsid w:val="00B675F5"/>
    <w:rsid w:val="00B81AEE"/>
    <w:rsid w:val="00B922BD"/>
    <w:rsid w:val="00BD46CB"/>
    <w:rsid w:val="00BE11D6"/>
    <w:rsid w:val="00BF42AF"/>
    <w:rsid w:val="00C14A4F"/>
    <w:rsid w:val="00C406EE"/>
    <w:rsid w:val="00C52081"/>
    <w:rsid w:val="00C552B3"/>
    <w:rsid w:val="00C7592F"/>
    <w:rsid w:val="00C84D90"/>
    <w:rsid w:val="00CB3598"/>
    <w:rsid w:val="00CB38E7"/>
    <w:rsid w:val="00CC248C"/>
    <w:rsid w:val="00CC5B3D"/>
    <w:rsid w:val="00D1444A"/>
    <w:rsid w:val="00D17B49"/>
    <w:rsid w:val="00D21FE6"/>
    <w:rsid w:val="00D236A6"/>
    <w:rsid w:val="00D74C90"/>
    <w:rsid w:val="00D9556C"/>
    <w:rsid w:val="00DC3FDB"/>
    <w:rsid w:val="00DC7E2C"/>
    <w:rsid w:val="00DD4CBC"/>
    <w:rsid w:val="00DE197E"/>
    <w:rsid w:val="00E13152"/>
    <w:rsid w:val="00E416F9"/>
    <w:rsid w:val="00E452AA"/>
    <w:rsid w:val="00E4649E"/>
    <w:rsid w:val="00E50EB8"/>
    <w:rsid w:val="00EA6A08"/>
    <w:rsid w:val="00EB5380"/>
    <w:rsid w:val="00EC1B0F"/>
    <w:rsid w:val="00ED7C7A"/>
    <w:rsid w:val="00F11866"/>
    <w:rsid w:val="00F1785B"/>
    <w:rsid w:val="00F34C1B"/>
    <w:rsid w:val="00F41317"/>
    <w:rsid w:val="00FB24D0"/>
    <w:rsid w:val="00FE6F86"/>
    <w:rsid w:val="00FF3A9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DFE6535"/>
  <w15:docId w15:val="{B3FADED4-0612-4C5D-8BA3-5940725F2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uiPriority w:val="9"/>
    <w:qFormat/>
    <w:pPr>
      <w:spacing w:before="80"/>
      <w:ind w:left="400"/>
      <w:outlineLvl w:val="0"/>
    </w:pPr>
    <w:rPr>
      <w:b/>
      <w:bCs/>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BodyText">
    <w:name w:val="Body Text"/>
    <w:basedOn w:val="Normal"/>
    <w:uiPriority w:val="1"/>
    <w:qFormat/>
    <w:pPr>
      <w:spacing w:before="161"/>
      <w:ind w:left="400"/>
    </w:pPr>
  </w:style>
  <w:style w:type="paragraph" w:styleId="ListParagraph">
    <w:name w:val="List Paragraph"/>
    <w:basedOn w:val="Normal"/>
    <w:uiPriority w:val="1"/>
    <w:qFormat/>
    <w:pPr>
      <w:spacing w:before="161"/>
      <w:ind w:left="1120" w:hanging="360"/>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AD1431"/>
    <w:rPr>
      <w:sz w:val="16"/>
      <w:szCs w:val="16"/>
    </w:rPr>
  </w:style>
  <w:style w:type="paragraph" w:styleId="CommentText">
    <w:name w:val="annotation text"/>
    <w:basedOn w:val="Normal"/>
    <w:link w:val="CommentTextChar"/>
    <w:uiPriority w:val="99"/>
    <w:unhideWhenUsed/>
    <w:rsid w:val="00AD1431"/>
    <w:pPr>
      <w:widowControl/>
      <w:spacing w:after="149"/>
      <w:ind w:left="426" w:hanging="10"/>
    </w:pPr>
    <w:rPr>
      <w:color w:val="2E5395"/>
      <w:sz w:val="20"/>
      <w:szCs w:val="20"/>
    </w:rPr>
  </w:style>
  <w:style w:type="character" w:customStyle="1" w:styleId="CommentTextChar">
    <w:name w:val="Comment Text Char"/>
    <w:basedOn w:val="DefaultParagraphFont"/>
    <w:link w:val="CommentText"/>
    <w:uiPriority w:val="99"/>
    <w:rsid w:val="00AD1431"/>
    <w:rPr>
      <w:rFonts w:ascii="Arial" w:eastAsia="Arial" w:hAnsi="Arial" w:cs="Arial"/>
      <w:color w:val="2E5395"/>
      <w:sz w:val="20"/>
      <w:szCs w:val="20"/>
    </w:rPr>
  </w:style>
  <w:style w:type="paragraph" w:styleId="BalloonText">
    <w:name w:val="Balloon Text"/>
    <w:basedOn w:val="Normal"/>
    <w:link w:val="BalloonTextChar"/>
    <w:uiPriority w:val="99"/>
    <w:semiHidden/>
    <w:unhideWhenUsed/>
    <w:rsid w:val="00AD143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1431"/>
    <w:rPr>
      <w:rFonts w:ascii="Segoe UI" w:eastAsia="Arial" w:hAnsi="Segoe UI" w:cs="Segoe UI"/>
      <w:sz w:val="18"/>
      <w:szCs w:val="18"/>
      <w:lang w:bidi="en-US"/>
    </w:rPr>
  </w:style>
  <w:style w:type="paragraph" w:styleId="Header">
    <w:name w:val="header"/>
    <w:basedOn w:val="Normal"/>
    <w:link w:val="HeaderChar"/>
    <w:uiPriority w:val="99"/>
    <w:unhideWhenUsed/>
    <w:rsid w:val="00F27520"/>
    <w:pPr>
      <w:tabs>
        <w:tab w:val="center" w:pos="4680"/>
        <w:tab w:val="right" w:pos="9360"/>
      </w:tabs>
    </w:pPr>
  </w:style>
  <w:style w:type="character" w:customStyle="1" w:styleId="HeaderChar">
    <w:name w:val="Header Char"/>
    <w:basedOn w:val="DefaultParagraphFont"/>
    <w:link w:val="Header"/>
    <w:uiPriority w:val="99"/>
    <w:rsid w:val="00F27520"/>
  </w:style>
  <w:style w:type="paragraph" w:styleId="Footer">
    <w:name w:val="footer"/>
    <w:basedOn w:val="Normal"/>
    <w:link w:val="FooterChar"/>
    <w:uiPriority w:val="99"/>
    <w:unhideWhenUsed/>
    <w:rsid w:val="00F27520"/>
    <w:pPr>
      <w:tabs>
        <w:tab w:val="center" w:pos="4680"/>
        <w:tab w:val="right" w:pos="9360"/>
      </w:tabs>
    </w:pPr>
  </w:style>
  <w:style w:type="character" w:customStyle="1" w:styleId="FooterChar">
    <w:name w:val="Footer Char"/>
    <w:basedOn w:val="DefaultParagraphFont"/>
    <w:link w:val="Footer"/>
    <w:uiPriority w:val="99"/>
    <w:rsid w:val="00F27520"/>
  </w:style>
  <w:style w:type="character" w:styleId="Hyperlink">
    <w:name w:val="Hyperlink"/>
    <w:basedOn w:val="DefaultParagraphFont"/>
    <w:unhideWhenUsed/>
    <w:rsid w:val="00F0299B"/>
    <w:rPr>
      <w:color w:val="0000FF" w:themeColor="hyperlink"/>
      <w:u w:val="single"/>
    </w:rPr>
  </w:style>
  <w:style w:type="character" w:styleId="FollowedHyperlink">
    <w:name w:val="FollowedHyperlink"/>
    <w:basedOn w:val="DefaultParagraphFont"/>
    <w:uiPriority w:val="99"/>
    <w:semiHidden/>
    <w:unhideWhenUsed/>
    <w:rsid w:val="00F0299B"/>
    <w:rPr>
      <w:color w:val="800080"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name w:val="a"/>
    <w:basedOn w:val="TableNormal"/>
    <w:tblPr>
      <w:tblStyleRowBandSize w:val="1"/>
      <w:tblStyleColBandSize w:val="1"/>
      <w:tblCellMar>
        <w:left w:w="0" w:type="dxa"/>
        <w:right w:w="0" w:type="dxa"/>
      </w:tblCellMar>
    </w:tblPr>
  </w:style>
  <w:style w:type="table" w:customStyle="1" w:styleId="a0">
    <w:name w:val="a0"/>
    <w:basedOn w:val="TableNormal"/>
    <w:tblPr>
      <w:tblStyleRowBandSize w:val="1"/>
      <w:tblStyleColBandSize w:val="1"/>
      <w:tblCellMar>
        <w:left w:w="115" w:type="dxa"/>
        <w:right w:w="115" w:type="dxa"/>
      </w:tblCellMar>
    </w:tblPr>
  </w:style>
  <w:style w:type="table" w:customStyle="1" w:styleId="a1">
    <w:name w:val="a1"/>
    <w:basedOn w:val="TableNormal"/>
    <w:tblPr>
      <w:tblStyleRowBandSize w:val="1"/>
      <w:tblStyleColBandSize w:val="1"/>
      <w:tblCellMar>
        <w:left w:w="115" w:type="dxa"/>
        <w:right w:w="115" w:type="dxa"/>
      </w:tblCellMar>
    </w:tblPr>
  </w:style>
  <w:style w:type="table" w:customStyle="1" w:styleId="a2">
    <w:name w:val="a2"/>
    <w:basedOn w:val="TableNormal"/>
    <w:tblPr>
      <w:tblStyleRowBandSize w:val="1"/>
      <w:tblStyleColBandSize w:val="1"/>
      <w:tblCellMar>
        <w:left w:w="115" w:type="dxa"/>
        <w:right w:w="115" w:type="dxa"/>
      </w:tblCellMar>
    </w:tblPr>
  </w:style>
  <w:style w:type="table" w:customStyle="1" w:styleId="a3">
    <w:name w:val="a3"/>
    <w:basedOn w:val="TableNormal"/>
    <w:tblPr>
      <w:tblStyleRowBandSize w:val="1"/>
      <w:tblStyleColBandSize w:val="1"/>
      <w:tblCellMar>
        <w:left w:w="115" w:type="dxa"/>
        <w:right w:w="115" w:type="dxa"/>
      </w:tblCellMar>
    </w:tblPr>
  </w:style>
  <w:style w:type="table" w:customStyle="1" w:styleId="a4">
    <w:name w:val="a4"/>
    <w:basedOn w:val="TableNormal"/>
    <w:tblPr>
      <w:tblStyleRowBandSize w:val="1"/>
      <w:tblStyleColBandSize w:val="1"/>
    </w:tblPr>
  </w:style>
  <w:style w:type="table" w:customStyle="1" w:styleId="a5">
    <w:name w:val="a5"/>
    <w:basedOn w:val="TableNormal"/>
    <w:tblPr>
      <w:tblStyleRowBandSize w:val="1"/>
      <w:tblStyleColBandSize w:val="1"/>
      <w:tblCellMar>
        <w:left w:w="0" w:type="dxa"/>
        <w:right w:w="0" w:type="dxa"/>
      </w:tblCellMar>
    </w:tblPr>
  </w:style>
  <w:style w:type="paragraph" w:styleId="CommentSubject">
    <w:name w:val="annotation subject"/>
    <w:basedOn w:val="CommentText"/>
    <w:next w:val="CommentText"/>
    <w:link w:val="CommentSubjectChar"/>
    <w:uiPriority w:val="99"/>
    <w:semiHidden/>
    <w:unhideWhenUsed/>
    <w:rsid w:val="00263DAF"/>
    <w:pPr>
      <w:widowControl w:val="0"/>
      <w:spacing w:after="0"/>
      <w:ind w:left="0" w:firstLine="0"/>
    </w:pPr>
    <w:rPr>
      <w:b/>
      <w:bCs/>
      <w:color w:val="auto"/>
    </w:rPr>
  </w:style>
  <w:style w:type="character" w:customStyle="1" w:styleId="CommentSubjectChar">
    <w:name w:val="Comment Subject Char"/>
    <w:basedOn w:val="CommentTextChar"/>
    <w:link w:val="CommentSubject"/>
    <w:uiPriority w:val="99"/>
    <w:semiHidden/>
    <w:rsid w:val="00263DAF"/>
    <w:rPr>
      <w:rFonts w:ascii="Arial" w:eastAsia="Arial" w:hAnsi="Arial" w:cs="Arial"/>
      <w:b/>
      <w:bCs/>
      <w:color w:val="2E5395"/>
      <w:sz w:val="20"/>
      <w:szCs w:val="20"/>
    </w:rPr>
  </w:style>
  <w:style w:type="character" w:styleId="UnresolvedMention">
    <w:name w:val="Unresolved Mention"/>
    <w:basedOn w:val="DefaultParagraphFont"/>
    <w:uiPriority w:val="99"/>
    <w:semiHidden/>
    <w:unhideWhenUsed/>
    <w:rsid w:val="00263DAF"/>
    <w:rPr>
      <w:color w:val="605E5C"/>
      <w:shd w:val="clear" w:color="auto" w:fill="E1DFDD"/>
    </w:rPr>
  </w:style>
  <w:style w:type="paragraph" w:styleId="Revision">
    <w:name w:val="Revision"/>
    <w:hidden/>
    <w:uiPriority w:val="99"/>
    <w:semiHidden/>
    <w:rsid w:val="008728AB"/>
    <w:pPr>
      <w:widowControl/>
    </w:pPr>
  </w:style>
  <w:style w:type="paragraph" w:styleId="NormalWeb">
    <w:name w:val="Normal (Web)"/>
    <w:basedOn w:val="Normal"/>
    <w:uiPriority w:val="99"/>
    <w:semiHidden/>
    <w:unhideWhenUsed/>
    <w:rsid w:val="007F058F"/>
    <w:pPr>
      <w:widowControl/>
      <w:spacing w:before="100" w:beforeAutospacing="1" w:after="100" w:afterAutospacing="1"/>
    </w:pPr>
  </w:style>
  <w:style w:type="paragraph" w:styleId="FootnoteText">
    <w:name w:val="footnote text"/>
    <w:basedOn w:val="Normal"/>
    <w:link w:val="FootnoteTextChar"/>
    <w:uiPriority w:val="99"/>
    <w:semiHidden/>
    <w:unhideWhenUsed/>
    <w:rsid w:val="008C2376"/>
    <w:rPr>
      <w:sz w:val="20"/>
      <w:szCs w:val="20"/>
    </w:rPr>
  </w:style>
  <w:style w:type="character" w:customStyle="1" w:styleId="FootnoteTextChar">
    <w:name w:val="Footnote Text Char"/>
    <w:basedOn w:val="DefaultParagraphFont"/>
    <w:link w:val="FootnoteText"/>
    <w:uiPriority w:val="99"/>
    <w:semiHidden/>
    <w:rsid w:val="008C2376"/>
    <w:rPr>
      <w:sz w:val="20"/>
      <w:szCs w:val="20"/>
    </w:rPr>
  </w:style>
  <w:style w:type="character" w:styleId="FootnoteReference">
    <w:name w:val="footnote reference"/>
    <w:basedOn w:val="DefaultParagraphFont"/>
    <w:uiPriority w:val="99"/>
    <w:semiHidden/>
    <w:unhideWhenUsed/>
    <w:rsid w:val="008C237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fisheries.noaa.gov/pacific-islands/commercial-fishing/apply-pacific-islands-fishing-permit" TargetMode="External" /><Relationship Id="rId11" Type="http://schemas.openxmlformats.org/officeDocument/2006/relationships/hyperlink" Target="http://www.corporateservices.noaa.gov/ames/administrative_orders/chapter_216/216-100.html" TargetMode="External" /><Relationship Id="rId12" Type="http://schemas.openxmlformats.org/officeDocument/2006/relationships/hyperlink" Target="https://www.commerce.gov/node/4991" TargetMode="External" /><Relationship Id="rId13" Type="http://schemas.openxmlformats.org/officeDocument/2006/relationships/hyperlink" Target="https://www.commerce.gov/sites/default/files/2025-06/NOAA4920%20PIA%20FY25-SAOP_Approved_Delegated.pdf" TargetMode="External" /><Relationship Id="rId14" Type="http://schemas.openxmlformats.org/officeDocument/2006/relationships/hyperlink" Target="https://www.commerce.gov/sites/default/files/2025-05/NOAA4960%20PIA%20FY25-%20SAOP_Approved.pdf" TargetMode="External" /><Relationship Id="rId15" Type="http://schemas.openxmlformats.org/officeDocument/2006/relationships/footer" Target="footer1.xml" /><Relationship Id="rId16" Type="http://schemas.openxmlformats.org/officeDocument/2006/relationships/hyperlink" Target="https://www.bls.gov/oes/current/oes_hi.htm" TargetMode="External" /><Relationship Id="rId17" Type="http://schemas.openxmlformats.org/officeDocument/2006/relationships/hyperlink" Target="https://www.commerce.gov/sites/default/files/2026-01/CAPS%20Standard%20Pay%20Tables%202026.pdf" TargetMode="External" /><Relationship Id="rId18" Type="http://schemas.openxmlformats.org/officeDocument/2006/relationships/hyperlink" Target="https://www.commerce.gov/about/policies/information-quality" TargetMode="External" /><Relationship Id="rId19" Type="http://schemas.openxmlformats.org/officeDocument/2006/relationships/hyperlink" Target="http://www.gpo.gov/fdsys/pkg/CFR-2014-title5-vol3/pdf/CFR-2014-title5-vol3-sec1320-9.pdf" TargetMode="External" /><Relationship Id="rId2" Type="http://schemas.openxmlformats.org/officeDocument/2006/relationships/settings" Target="settings.xml" /><Relationship Id="rId20" Type="http://schemas.openxmlformats.org/officeDocument/2006/relationships/hyperlink" Target="http://www.gpo.gov/fdsys/pkg/CFR-2014-title5-vol3/pdf/CFR-2014-title5-vol3-sec1320-8.pdf" TargetMode="Externa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www.ecfr.gov/current/title-50/chapter-VI/part-665" TargetMode="External" /><Relationship Id="rId8" Type="http://schemas.openxmlformats.org/officeDocument/2006/relationships/hyperlink" Target="https://www.fisheries.noaa.gov/s3/dam-migration/msa-amended-2007.pdf" TargetMode="External" /><Relationship Id="rId9" Type="http://schemas.openxmlformats.org/officeDocument/2006/relationships/hyperlink" Target="https://www.fisheries.noaa.gov/pacific-islands/resources-fishing/pacific-islands-fishing-permits" TargetMode="Externa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0X+Rgwo6KWsEiVmTPx4tTOz3gw==">CgMxLjAyCGguZ2pkZ3hzOAByITF2d0x5V2xXM0pkNTI3MGcxN0tHcGVUQzVyZlZhMjZnZw==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B457ABC-5EAB-45A1-BA8F-F0209A2506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11</Pages>
  <Words>3731</Words>
  <Characters>21269</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Dumas, Sheleen (Federal)</dc:creator>
  <cp:lastModifiedBy>Adrienne.Thomas</cp:lastModifiedBy>
  <cp:revision>9</cp:revision>
  <dcterms:created xsi:type="dcterms:W3CDTF">2026-09-17T19:50:00Z</dcterms:created>
  <dcterms:modified xsi:type="dcterms:W3CDTF">2026-09-18T13:56:00Z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2020-05-06T00:00:00Z</vt:filetime>
  </property>
  <property fmtid="{D5CDD505-2E9C-101B-9397-08002B2CF9AE}" pid="3" name="Creator">
    <vt:lpwstr>Acrobat PDFMaker 17 for Word</vt:lpwstr>
  </property>
  <property fmtid="{D5CDD505-2E9C-101B-9397-08002B2CF9AE}" pid="4" name="LastSaved">
    <vt:filetime>2020-05-07T00:00:00Z</vt:filetime>
  </property>
</Properties>
</file>