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64A5D" w:rsidP="0009081E" w14:paraId="606921F6" w14:textId="77777777">
      <w:pPr>
        <w:pStyle w:val="Heading1"/>
        <w:spacing w:before="0"/>
        <w:ind w:left="0"/>
        <w:jc w:val="center"/>
      </w:pPr>
      <w:r>
        <w:t>SUPPORTING STATEMENT</w:t>
      </w:r>
    </w:p>
    <w:p w:rsidR="00664A5D" w:rsidP="0009081E" w14:paraId="3C48B3FB" w14:textId="77777777">
      <w:pPr>
        <w:ind w:firstLine="14"/>
        <w:jc w:val="center"/>
        <w:rPr>
          <w:b/>
          <w:bCs/>
        </w:rPr>
      </w:pPr>
      <w:r>
        <w:rPr>
          <w:b/>
          <w:bCs/>
        </w:rPr>
        <w:t>U.S. Department of Commerce</w:t>
      </w:r>
    </w:p>
    <w:p w:rsidR="00664A5D" w:rsidP="0009081E" w14:paraId="4C2D8750" w14:textId="77777777">
      <w:pPr>
        <w:ind w:firstLine="14"/>
        <w:jc w:val="center"/>
        <w:rPr>
          <w:b/>
          <w:bCs/>
        </w:rPr>
      </w:pPr>
      <w:r>
        <w:rPr>
          <w:b/>
          <w:bCs/>
        </w:rPr>
        <w:t>National Oceanic &amp; Atmospheric Administration</w:t>
      </w:r>
    </w:p>
    <w:p w:rsidR="00330439" w:rsidP="0009081E" w14:paraId="1D3B28EA" w14:textId="3C36E562">
      <w:pPr>
        <w:jc w:val="center"/>
        <w:rPr>
          <w:b/>
        </w:rPr>
      </w:pPr>
      <w:r w:rsidRPr="004A09A4">
        <w:rPr>
          <w:b/>
        </w:rPr>
        <w:t xml:space="preserve">Reporting Requirements </w:t>
      </w:r>
      <w:r w:rsidRPr="004A09A4">
        <w:rPr>
          <w:b/>
        </w:rPr>
        <w:t>For</w:t>
      </w:r>
      <w:r w:rsidRPr="004A09A4">
        <w:rPr>
          <w:b/>
        </w:rPr>
        <w:t xml:space="preserve"> Sea Otter Interactions </w:t>
      </w:r>
    </w:p>
    <w:p w:rsidR="00330439" w:rsidP="0009081E" w14:paraId="019D4D63" w14:textId="32186450">
      <w:pPr>
        <w:jc w:val="center"/>
        <w:rPr>
          <w:b/>
        </w:rPr>
      </w:pPr>
      <w:r w:rsidRPr="004A09A4">
        <w:rPr>
          <w:b/>
        </w:rPr>
        <w:t xml:space="preserve">With The Pacific Sardine Fishery; Coastal Pelagic Species </w:t>
      </w:r>
    </w:p>
    <w:p w:rsidR="00330439" w:rsidP="0009081E" w14:paraId="0AAE812C" w14:textId="48B00057">
      <w:pPr>
        <w:jc w:val="center"/>
      </w:pPr>
      <w:r w:rsidRPr="004A09A4">
        <w:rPr>
          <w:b/>
        </w:rPr>
        <w:t>Fishery Management Plan</w:t>
      </w:r>
      <w:r w:rsidRPr="004A09A4">
        <w:t xml:space="preserve"> </w:t>
      </w:r>
    </w:p>
    <w:p w:rsidR="00664A5D" w:rsidP="0009081E" w14:paraId="4A2C3807" w14:textId="5B0A8EE3">
      <w:pPr>
        <w:ind w:hanging="6"/>
        <w:jc w:val="center"/>
        <w:rPr>
          <w:b/>
          <w:bCs/>
        </w:rPr>
      </w:pPr>
      <w:r>
        <w:rPr>
          <w:b/>
          <w:bCs/>
        </w:rPr>
        <w:t>OMB Control No. 0648-</w:t>
      </w:r>
      <w:r w:rsidR="00A040A3">
        <w:rPr>
          <w:b/>
          <w:bCs/>
        </w:rPr>
        <w:t>0566</w:t>
      </w:r>
    </w:p>
    <w:p w:rsidR="00664A5D" w14:paraId="1D6E3ADD" w14:textId="77777777">
      <w:pPr>
        <w:pBdr>
          <w:top w:val="nil"/>
          <w:left w:val="nil"/>
          <w:bottom w:val="nil"/>
          <w:right w:val="nil"/>
          <w:between w:val="nil"/>
        </w:pBdr>
        <w:spacing w:before="1"/>
        <w:jc w:val="center"/>
        <w:rPr>
          <w:b/>
          <w:bCs/>
          <w:color w:val="000000"/>
        </w:rPr>
      </w:pPr>
    </w:p>
    <w:p w:rsidR="00664A5D" w:rsidP="0009081E" w14:paraId="71D449FB" w14:textId="77777777">
      <w:pPr>
        <w:pStyle w:val="Heading1"/>
        <w:spacing w:before="240"/>
        <w:ind w:left="0"/>
      </w:pPr>
      <w:r>
        <w:t>Abstract</w:t>
      </w:r>
    </w:p>
    <w:p w:rsidR="00CA21F1" w:rsidP="0009081E" w14:paraId="6508D881" w14:textId="77777777">
      <w:pPr>
        <w:spacing w:before="240"/>
      </w:pPr>
      <w:r w:rsidRPr="00115AA4">
        <w:t xml:space="preserve">This is a </w:t>
      </w:r>
      <w:r>
        <w:t>request for</w:t>
      </w:r>
      <w:r w:rsidRPr="00115AA4">
        <w:t xml:space="preserve"> an extension of a currently approved collection with no revisions.</w:t>
      </w:r>
      <w:r w:rsidR="00C94240">
        <w:t xml:space="preserve"> </w:t>
      </w:r>
    </w:p>
    <w:p w:rsidR="00D3326D" w:rsidRPr="00D3326D" w:rsidP="00D3326D" w14:paraId="2C593A81" w14:textId="77777777">
      <w:pPr>
        <w:pStyle w:val="Heading1"/>
        <w:spacing w:before="240"/>
        <w:ind w:left="0"/>
        <w:rPr>
          <w:b w:val="0"/>
          <w:bCs w:val="0"/>
        </w:rPr>
      </w:pPr>
      <w:r w:rsidRPr="00D3326D">
        <w:rPr>
          <w:b w:val="0"/>
          <w:bCs w:val="0"/>
        </w:rPr>
        <w:t>Pursuant to the Coastal Pelagic Species (CPS) Fishery Management Plan (FMP), operators of CPS fishing vessels are mandated to report all interactions between their vessels or fishing gear and southern sea otters, a species designated as threatened under the Endangered Species Act. These reporting stipulations fulfill the reasonable and prudent measures established by the U.S. Fish and Wildlife Service (USFWS) in its biological opinion for the CPS fishery to ensure ongoing species protection.</w:t>
      </w:r>
    </w:p>
    <w:p w:rsidR="00D3326D" w:rsidP="00D3326D" w14:paraId="76263C6E" w14:textId="77777777">
      <w:pPr>
        <w:pStyle w:val="Heading1"/>
        <w:spacing w:before="240"/>
        <w:ind w:left="0"/>
        <w:rPr>
          <w:b w:val="0"/>
          <w:bCs w:val="0"/>
        </w:rPr>
      </w:pPr>
      <w:r w:rsidRPr="00D3326D">
        <w:rPr>
          <w:b w:val="0"/>
          <w:bCs w:val="0"/>
        </w:rPr>
        <w:t>During CPS fishing operations, vessel operators are required to document all observed interactions with southern sea otters. Interactions are defined as otters coming into contact with vessels or purse seine nets, or being present within encircled nets, including entanglements. Recorded reports must contain the specific geographic location (latitude and longitude) along with a detailed description of the event. Furthermore, if a southern sea otter becomes entangled in a net, the vessel operator must notify the Regional Administrator within 24 hours, irrespective of whether the animal sustained injuries or died.</w:t>
      </w:r>
    </w:p>
    <w:p w:rsidR="00D3326D" w:rsidRPr="00D3326D" w:rsidP="00D3326D" w14:paraId="0DC5FCCB" w14:textId="77777777">
      <w:pPr>
        <w:pStyle w:val="Heading1"/>
        <w:spacing w:before="240"/>
        <w:ind w:left="0"/>
        <w:rPr>
          <w:b w:val="0"/>
          <w:bCs w:val="0"/>
        </w:rPr>
      </w:pPr>
    </w:p>
    <w:p w:rsidR="00664A5D" w:rsidP="0009081E" w14:paraId="066178A3" w14:textId="73054E42">
      <w:pPr>
        <w:pStyle w:val="Heading1"/>
        <w:spacing w:before="240"/>
        <w:ind w:left="0"/>
      </w:pPr>
      <w:r>
        <w:t>J</w:t>
      </w:r>
      <w:r>
        <w:t>ustification</w:t>
      </w:r>
    </w:p>
    <w:p w:rsidR="00C94240" w:rsidP="005113A0" w14:paraId="10A24C0D" w14:textId="77777777">
      <w:pPr>
        <w:numPr>
          <w:ilvl w:val="0"/>
          <w:numId w:val="17"/>
        </w:numPr>
        <w:pBdr>
          <w:top w:val="nil"/>
          <w:left w:val="nil"/>
          <w:bottom w:val="nil"/>
          <w:right w:val="nil"/>
          <w:between w:val="nil"/>
        </w:pBdr>
        <w:tabs>
          <w:tab w:val="left" w:pos="540"/>
        </w:tabs>
        <w:spacing w:before="240"/>
        <w:ind w:left="540" w:hanging="540"/>
        <w:rPr>
          <w:b/>
          <w:color w:val="000000"/>
        </w:rPr>
      </w:pPr>
      <w:r>
        <w:rPr>
          <w:b/>
          <w:color w:val="000000"/>
        </w:rPr>
        <w:t xml:space="preserve">Explain the circumstances that make the collection of information necessary. Identify any legal or administrative requirements that necessitate the collection. Attach a copy of the </w:t>
      </w:r>
      <w:r>
        <w:rPr>
          <w:b/>
          <w:color w:val="000000"/>
        </w:rPr>
        <w:t>appropriate section of each statute and regulation mandating or authorizing the collection of information.</w:t>
      </w:r>
    </w:p>
    <w:p w:rsidR="00C907A4" w:rsidRPr="00C907A4" w:rsidP="00C907A4" w14:paraId="756492C8" w14:textId="77777777">
      <w:pPr>
        <w:pStyle w:val="NormalWeb"/>
        <w:spacing w:before="240" w:beforeAutospacing="0" w:after="0" w:afterAutospacing="0"/>
      </w:pPr>
      <w:r w:rsidRPr="00C907A4">
        <w:rPr>
          <w:color w:val="000000"/>
        </w:rPr>
        <w:t>Pursuant to regulations implementing the Endangered Species Act (ESA), the National Oceanic and Atmospheric Administration’s (NOAA) National Marine Fisheries Service (NMFS) initiated a Section 7 consultation with the U.S. Fish and Wildlife Service (USFWS). This consultation addressed potential impacts of Final Rule 0648-AT11, which codified Amendment 11 to the Coastal Pelagic Species (CPS) Fishery Management Plan (FMP) (June 29, 2006; 71 FR 36999) under the authority of the Magnuson-Stevens Fishery Conservation and Management Act. USFWS required formal consultation regarding potential effects on the threatened southern sea otter. In its Biological Opinion (BO), USFWS concluded that fishing operations were unlikely to jeopardize the species' continued existence, but noted a remaining potential for incidental take. To ensure ongoing species protection, USFWS mandated specific reporting requirements and conservation measures as conditions of the BO. These requirements were established under Final Rule 0648-AU72 (May 30, 2007; 72 FR 29891), and Office of Management and Budget (OMB) approval of the information collection was announced in Final Rule 0648-AX31 (October 10, 2008; 73 FR 60191).</w:t>
      </w:r>
    </w:p>
    <w:p w:rsidR="00C907A4" w:rsidP="00C907A4" w14:paraId="2E600841" w14:textId="77777777">
      <w:pPr>
        <w:pStyle w:val="NormalWeb"/>
        <w:spacing w:before="240" w:beforeAutospacing="0" w:after="0" w:afterAutospacing="0"/>
        <w:rPr>
          <w:color w:val="000000"/>
        </w:rPr>
      </w:pPr>
      <w:r w:rsidRPr="00C907A4">
        <w:rPr>
          <w:color w:val="000000"/>
        </w:rPr>
        <w:t>Interactions as described are considered exceedingly rare due to a low historical count of documented incidents (two) and minimal spatial overlap between the fishery and southern sea otter distribution. Prior to 2008, regulations contained no mandatory reporting requirement for such encounters; coupled with low or absent observer coverage in this fishery, the full frequency and nature of interactions remain unquantified. Collecting this information is vital to monitor fishery interactions, assess whether enhanced mitigation measures are necessary, and support the ongoing conservation of threatened southern sea otters while assisting fishery operations. While no interaction reports have been submitted since the establishment of this collection, the Pacific sardine fishery—a primary component of the CPS fishery—has remained closed for the past 8 years due to low biomass levels, likely reducing opportunities for interaction. Because the effects of these reduced fishing seasons and annual interaction variability are not fully understood, continuing this information collection is necessary to effectively monitor potential fishery impacts on this threatened species.</w:t>
      </w:r>
    </w:p>
    <w:p w:rsidR="00C907A4" w:rsidRPr="00C907A4" w:rsidP="00C907A4" w14:paraId="01262102" w14:textId="77777777">
      <w:pPr>
        <w:pStyle w:val="NormalWeb"/>
        <w:spacing w:before="240" w:beforeAutospacing="0" w:after="0" w:afterAutospacing="0"/>
      </w:pPr>
    </w:p>
    <w:p w:rsidR="00C94240" w:rsidRPr="005113A0" w:rsidP="005113A0" w14:paraId="45130014" w14:textId="77777777">
      <w:pPr>
        <w:numPr>
          <w:ilvl w:val="0"/>
          <w:numId w:val="17"/>
        </w:numPr>
        <w:pBdr>
          <w:top w:val="nil"/>
          <w:left w:val="nil"/>
          <w:bottom w:val="nil"/>
          <w:right w:val="nil"/>
          <w:between w:val="nil"/>
        </w:pBdr>
        <w:tabs>
          <w:tab w:val="left" w:pos="540"/>
        </w:tabs>
        <w:spacing w:before="240"/>
        <w:ind w:left="540" w:hanging="540"/>
        <w:rPr>
          <w:b/>
          <w:color w:val="000000"/>
        </w:rPr>
      </w:pPr>
      <w:r w:rsidRPr="005113A0">
        <w:rPr>
          <w:b/>
          <w:color w:val="000000"/>
        </w:rPr>
        <w:t>Indicate how, by whom, and for what purpose the information is to be used. Except for a new collection, indicate the actual use the agency has made of the information received from the current collection.</w:t>
      </w:r>
    </w:p>
    <w:p w:rsidR="00C907A4" w:rsidRPr="00C907A4" w:rsidP="000B30C7" w14:paraId="137B7345" w14:textId="77777777">
      <w:pPr>
        <w:pBdr>
          <w:top w:val="nil"/>
          <w:left w:val="nil"/>
          <w:bottom w:val="nil"/>
          <w:right w:val="nil"/>
          <w:between w:val="nil"/>
        </w:pBdr>
        <w:spacing w:before="240"/>
      </w:pPr>
      <w:r w:rsidRPr="00C907A4">
        <w:t>Vessel operators engaged in coastal pelagic species (CPS) fishing are required to record all interactions with southern sea otters involving their purse seine nets or vessels. An interaction includes any instance where otters are within encircled nets or come into contact with nets or vessels, including entanglements.</w:t>
      </w:r>
    </w:p>
    <w:p w:rsidR="00C907A4" w:rsidRPr="00C907A4" w:rsidP="000B30C7" w14:paraId="0201DF1C" w14:textId="77777777">
      <w:pPr>
        <w:pBdr>
          <w:top w:val="nil"/>
          <w:left w:val="nil"/>
          <w:bottom w:val="nil"/>
          <w:right w:val="nil"/>
          <w:between w:val="nil"/>
        </w:pBdr>
        <w:spacing w:before="240"/>
      </w:pPr>
      <w:r w:rsidRPr="00C907A4">
        <w:rPr>
          <w:b/>
          <w:bCs/>
        </w:rPr>
        <w:t>Reporting Timelines</w:t>
      </w:r>
    </w:p>
    <w:p w:rsidR="00C907A4" w:rsidRPr="00C907A4" w:rsidP="000B30C7" w14:paraId="1CD8DBC3" w14:textId="77777777">
      <w:pPr>
        <w:pStyle w:val="ListParagraph"/>
        <w:numPr>
          <w:ilvl w:val="0"/>
          <w:numId w:val="20"/>
        </w:numPr>
        <w:pBdr>
          <w:top w:val="nil"/>
          <w:left w:val="nil"/>
          <w:bottom w:val="nil"/>
          <w:right w:val="nil"/>
          <w:between w:val="nil"/>
        </w:pBdr>
        <w:spacing w:before="120"/>
      </w:pPr>
      <w:r w:rsidRPr="000B30C7">
        <w:rPr>
          <w:b/>
          <w:bCs/>
        </w:rPr>
        <w:t xml:space="preserve">Entanglements: </w:t>
      </w:r>
      <w:r w:rsidRPr="00C907A4">
        <w:t>Any net entanglement—regardless of whether it results in injury or death—must be reported to the Regional Administrator, NMFS West Coast Region, within 24 hours of occurrence. These reports are evaluated immediately upon receipt by NMFS and the U.S. Fish and Wildlife Service (USFWS).</w:t>
      </w:r>
    </w:p>
    <w:p w:rsidR="00C907A4" w:rsidRPr="00C907A4" w:rsidP="000B30C7" w14:paraId="46739039" w14:textId="77777777">
      <w:pPr>
        <w:pStyle w:val="ListParagraph"/>
        <w:numPr>
          <w:ilvl w:val="0"/>
          <w:numId w:val="20"/>
        </w:numPr>
        <w:pBdr>
          <w:top w:val="nil"/>
          <w:left w:val="nil"/>
          <w:bottom w:val="nil"/>
          <w:right w:val="nil"/>
          <w:between w:val="nil"/>
        </w:pBdr>
        <w:spacing w:before="120"/>
      </w:pPr>
      <w:r w:rsidRPr="000B30C7">
        <w:rPr>
          <w:b/>
          <w:bCs/>
        </w:rPr>
        <w:t xml:space="preserve">Other Observations: </w:t>
      </w:r>
      <w:r w:rsidRPr="00C907A4">
        <w:t>All non-entanglement otter observations must be reported to the Regional Administrator within 20 days. These observations undergo annual review by NMFS and USFWS.</w:t>
      </w:r>
    </w:p>
    <w:p w:rsidR="00C907A4" w:rsidRPr="00C907A4" w:rsidP="000B30C7" w14:paraId="5A70B704" w14:textId="77777777">
      <w:pPr>
        <w:pBdr>
          <w:top w:val="nil"/>
          <w:left w:val="nil"/>
          <w:bottom w:val="nil"/>
          <w:right w:val="nil"/>
          <w:between w:val="nil"/>
        </w:pBdr>
        <w:spacing w:before="240"/>
      </w:pPr>
      <w:r w:rsidRPr="00C907A4">
        <w:rPr>
          <w:b/>
          <w:bCs/>
        </w:rPr>
        <w:t>Required Reporting Details</w:t>
      </w:r>
    </w:p>
    <w:p w:rsidR="00C907A4" w:rsidRPr="00C907A4" w:rsidP="000B30C7" w14:paraId="312A0C44" w14:textId="77777777">
      <w:pPr>
        <w:pBdr>
          <w:top w:val="nil"/>
          <w:left w:val="nil"/>
          <w:bottom w:val="nil"/>
          <w:right w:val="nil"/>
          <w:between w:val="nil"/>
        </w:pBdr>
        <w:spacing w:before="120"/>
      </w:pPr>
      <w:r w:rsidRPr="00C907A4">
        <w:t>Reports submitted to NMFS must include the interaction's latitude and longitude, along with a detailed description of the event. When available, supplementary location details such as water depth, distance from shore, and proximity to ports or key landmarks should also be provided.</w:t>
      </w:r>
    </w:p>
    <w:p w:rsidR="00C907A4" w:rsidRPr="00C907A4" w:rsidP="000B30C7" w14:paraId="35255130" w14:textId="77777777">
      <w:pPr>
        <w:pBdr>
          <w:top w:val="nil"/>
          <w:left w:val="nil"/>
          <w:bottom w:val="nil"/>
          <w:right w:val="nil"/>
          <w:between w:val="nil"/>
        </w:pBdr>
        <w:spacing w:before="240"/>
      </w:pPr>
      <w:r w:rsidRPr="00C907A4">
        <w:t>The description of the interaction must encompass:</w:t>
      </w:r>
    </w:p>
    <w:p w:rsidR="00C907A4" w:rsidRPr="00C907A4" w:rsidP="000C078B" w14:paraId="73A87906" w14:textId="77777777">
      <w:pPr>
        <w:pStyle w:val="ListParagraph"/>
        <w:numPr>
          <w:ilvl w:val="0"/>
          <w:numId w:val="21"/>
        </w:numPr>
        <w:pBdr>
          <w:top w:val="nil"/>
          <w:left w:val="nil"/>
          <w:bottom w:val="nil"/>
          <w:right w:val="nil"/>
          <w:between w:val="nil"/>
        </w:pBdr>
        <w:spacing w:before="120"/>
      </w:pPr>
      <w:r w:rsidRPr="00C907A4">
        <w:t>Whether otters were located inside or outside the net, and if inside, whether the net was completely encircled;</w:t>
      </w:r>
    </w:p>
    <w:p w:rsidR="00C907A4" w:rsidRPr="00C907A4" w:rsidP="000C078B" w14:paraId="2137CC2C" w14:textId="77777777">
      <w:pPr>
        <w:pStyle w:val="ListParagraph"/>
        <w:numPr>
          <w:ilvl w:val="0"/>
          <w:numId w:val="21"/>
        </w:numPr>
        <w:pBdr>
          <w:top w:val="nil"/>
          <w:left w:val="nil"/>
          <w:bottom w:val="nil"/>
          <w:right w:val="nil"/>
          <w:between w:val="nil"/>
        </w:pBdr>
        <w:spacing w:before="120"/>
      </w:pPr>
      <w:r w:rsidRPr="00C907A4">
        <w:t>Whether any otters contacted the vessel or net;</w:t>
      </w:r>
    </w:p>
    <w:p w:rsidR="00C907A4" w:rsidRPr="00C907A4" w:rsidP="000C078B" w14:paraId="74A08A86" w14:textId="77777777">
      <w:pPr>
        <w:pStyle w:val="ListParagraph"/>
        <w:numPr>
          <w:ilvl w:val="0"/>
          <w:numId w:val="21"/>
        </w:numPr>
        <w:pBdr>
          <w:top w:val="nil"/>
          <w:left w:val="nil"/>
          <w:bottom w:val="nil"/>
          <w:right w:val="nil"/>
          <w:between w:val="nil"/>
        </w:pBdr>
        <w:spacing w:before="120"/>
      </w:pPr>
      <w:r w:rsidRPr="00C907A4">
        <w:t>The number of otters present, the duration of the interaction, and the otters' behavior;</w:t>
      </w:r>
    </w:p>
    <w:p w:rsidR="00C907A4" w:rsidRPr="00C907A4" w:rsidP="000C078B" w14:paraId="4DEF2F04" w14:textId="77777777">
      <w:pPr>
        <w:pStyle w:val="ListParagraph"/>
        <w:numPr>
          <w:ilvl w:val="0"/>
          <w:numId w:val="21"/>
        </w:numPr>
        <w:pBdr>
          <w:top w:val="nil"/>
          <w:left w:val="nil"/>
          <w:bottom w:val="nil"/>
          <w:right w:val="nil"/>
          <w:between w:val="nil"/>
        </w:pBdr>
        <w:spacing w:before="120"/>
      </w:pPr>
      <w:r w:rsidRPr="00C907A4">
        <w:t>Any avoidance measures implemented.</w:t>
      </w:r>
    </w:p>
    <w:p w:rsidR="00C907A4" w:rsidRPr="00C907A4" w:rsidP="000B30C7" w14:paraId="6BEB7B80" w14:textId="77777777">
      <w:pPr>
        <w:pBdr>
          <w:top w:val="nil"/>
          <w:left w:val="nil"/>
          <w:bottom w:val="nil"/>
          <w:right w:val="nil"/>
          <w:between w:val="nil"/>
        </w:pBdr>
        <w:spacing w:before="240"/>
      </w:pPr>
      <w:r w:rsidRPr="00C907A4">
        <w:rPr>
          <w:b/>
          <w:bCs/>
        </w:rPr>
        <w:t>Purpose</w:t>
      </w:r>
    </w:p>
    <w:p w:rsidR="00C907A4" w:rsidP="000B30C7" w14:paraId="43EDCF8A" w14:textId="77777777">
      <w:pPr>
        <w:pBdr>
          <w:top w:val="nil"/>
          <w:left w:val="nil"/>
          <w:bottom w:val="nil"/>
          <w:right w:val="nil"/>
          <w:between w:val="nil"/>
        </w:pBdr>
        <w:spacing w:before="240"/>
      </w:pPr>
      <w:r w:rsidRPr="00C907A4">
        <w:t>NMFS and USFWS utilize this collected information to evaluate the necessity of additional mitigation strategies to safeguard the threatened southern sea otter population.</w:t>
      </w:r>
    </w:p>
    <w:p w:rsidR="000B30C7" w:rsidRPr="00C907A4" w:rsidP="000B30C7" w14:paraId="06875B13" w14:textId="77777777">
      <w:pPr>
        <w:pBdr>
          <w:top w:val="nil"/>
          <w:left w:val="nil"/>
          <w:bottom w:val="nil"/>
          <w:right w:val="nil"/>
          <w:between w:val="nil"/>
        </w:pBdr>
        <w:spacing w:before="240"/>
      </w:pPr>
    </w:p>
    <w:p w:rsidR="00C94240" w:rsidP="005113A0" w14:paraId="1C0C6FAE" w14:textId="77777777">
      <w:pPr>
        <w:numPr>
          <w:ilvl w:val="0"/>
          <w:numId w:val="17"/>
        </w:numPr>
        <w:pBdr>
          <w:top w:val="nil"/>
          <w:left w:val="nil"/>
          <w:bottom w:val="nil"/>
          <w:right w:val="nil"/>
          <w:between w:val="nil"/>
        </w:pBdr>
        <w:tabs>
          <w:tab w:val="left" w:pos="540"/>
        </w:tabs>
        <w:spacing w:before="240"/>
        <w:ind w:left="540" w:hanging="540"/>
        <w:rPr>
          <w:b/>
          <w:color w:val="000000"/>
        </w:rPr>
      </w:pPr>
      <w:r>
        <w:rPr>
          <w:b/>
          <w:color w:val="000000"/>
        </w:rPr>
        <w:t>D</w:t>
      </w:r>
      <w:r>
        <w:rPr>
          <w:b/>
          <w:color w:val="000000"/>
        </w:rPr>
        <w:t>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735F20" w:rsidP="0009081E" w14:paraId="13932E7F" w14:textId="21C83453">
      <w:pPr>
        <w:pBdr>
          <w:top w:val="nil"/>
          <w:left w:val="nil"/>
          <w:bottom w:val="nil"/>
          <w:right w:val="nil"/>
          <w:between w:val="nil"/>
        </w:pBdr>
        <w:tabs>
          <w:tab w:val="left" w:pos="360"/>
        </w:tabs>
        <w:spacing w:before="240"/>
      </w:pPr>
      <w:r w:rsidRPr="000B30C7">
        <w:t>A new one-page form is now available for this information collection, requesting the same details required under 50 CFR 660.520. Respondents may submit the form by mail, telephone, or email. However, incidents involving otter capture or entanglement must be reported within 24 hours. Once approved, the form will be available to download as a PDF from the NOAA Fisheries West Coast Region CPS website.</w:t>
      </w:r>
    </w:p>
    <w:p w:rsidR="000B30C7" w:rsidRPr="00C94240" w:rsidP="0009081E" w14:paraId="3341C181" w14:textId="77777777">
      <w:pPr>
        <w:pBdr>
          <w:top w:val="nil"/>
          <w:left w:val="nil"/>
          <w:bottom w:val="nil"/>
          <w:right w:val="nil"/>
          <w:between w:val="nil"/>
        </w:pBdr>
        <w:tabs>
          <w:tab w:val="left" w:pos="360"/>
        </w:tabs>
        <w:spacing w:before="240"/>
      </w:pPr>
    </w:p>
    <w:p w:rsidR="00C94240" w:rsidP="005113A0" w14:paraId="0DBBE4FE" w14:textId="77777777">
      <w:pPr>
        <w:numPr>
          <w:ilvl w:val="0"/>
          <w:numId w:val="17"/>
        </w:numPr>
        <w:pBdr>
          <w:top w:val="nil"/>
          <w:left w:val="nil"/>
          <w:bottom w:val="nil"/>
          <w:right w:val="nil"/>
          <w:between w:val="nil"/>
        </w:pBdr>
        <w:tabs>
          <w:tab w:val="left" w:pos="540"/>
        </w:tabs>
        <w:spacing w:before="240"/>
        <w:ind w:left="540" w:hanging="540"/>
        <w:rPr>
          <w:b/>
          <w:color w:val="000000"/>
        </w:rPr>
      </w:pPr>
      <w:r>
        <w:rPr>
          <w:b/>
          <w:color w:val="000000"/>
        </w:rPr>
        <w:t>Describe efforts to identify duplication. Show specifically why any similar information already available cannot be used or modified for use for the purposes described in Question 2</w:t>
      </w:r>
    </w:p>
    <w:p w:rsidR="00115AA4" w:rsidP="0009081E" w14:paraId="18BCEC68" w14:textId="77777777">
      <w:pPr>
        <w:pBdr>
          <w:top w:val="nil"/>
          <w:left w:val="nil"/>
          <w:bottom w:val="nil"/>
          <w:right w:val="nil"/>
          <w:between w:val="nil"/>
        </w:pBdr>
        <w:tabs>
          <w:tab w:val="left" w:pos="360"/>
        </w:tabs>
        <w:spacing w:before="240"/>
      </w:pPr>
      <w:r w:rsidRPr="00115AA4">
        <w:t xml:space="preserve">No reporting requirements or other </w:t>
      </w:r>
      <w:r w:rsidRPr="00115AA4">
        <w:t>collections are currently gathering the same or similar information.</w:t>
      </w:r>
    </w:p>
    <w:p w:rsidR="00D3326D" w:rsidRPr="00115AA4" w:rsidP="0009081E" w14:paraId="629FD45E" w14:textId="77777777">
      <w:pPr>
        <w:pBdr>
          <w:top w:val="nil"/>
          <w:left w:val="nil"/>
          <w:bottom w:val="nil"/>
          <w:right w:val="nil"/>
          <w:between w:val="nil"/>
        </w:pBdr>
        <w:tabs>
          <w:tab w:val="left" w:pos="360"/>
        </w:tabs>
        <w:spacing w:before="240"/>
        <w:rPr>
          <w:b/>
          <w:bCs/>
        </w:rPr>
      </w:pPr>
    </w:p>
    <w:p w:rsidR="00C94240" w:rsidP="005113A0" w14:paraId="29F71406" w14:textId="77777777">
      <w:pPr>
        <w:numPr>
          <w:ilvl w:val="0"/>
          <w:numId w:val="17"/>
        </w:numPr>
        <w:pBdr>
          <w:top w:val="nil"/>
          <w:left w:val="nil"/>
          <w:bottom w:val="nil"/>
          <w:right w:val="nil"/>
          <w:between w:val="nil"/>
        </w:pBdr>
        <w:tabs>
          <w:tab w:val="left" w:pos="540"/>
        </w:tabs>
        <w:spacing w:before="240"/>
        <w:ind w:left="540" w:hanging="540"/>
        <w:rPr>
          <w:b/>
          <w:color w:val="000000"/>
        </w:rPr>
      </w:pPr>
      <w:r>
        <w:rPr>
          <w:b/>
          <w:color w:val="000000"/>
        </w:rPr>
        <w:t>If the collection of information impacts small businesses or other small entities, describe any methods used to minimize burden.</w:t>
      </w:r>
    </w:p>
    <w:p w:rsidR="00115AA4" w:rsidP="0009081E" w14:paraId="213A8CDC" w14:textId="4776A10A">
      <w:pPr>
        <w:pBdr>
          <w:top w:val="nil"/>
          <w:left w:val="nil"/>
          <w:bottom w:val="nil"/>
          <w:right w:val="nil"/>
          <w:between w:val="nil"/>
        </w:pBdr>
        <w:tabs>
          <w:tab w:val="left" w:pos="360"/>
        </w:tabs>
        <w:spacing w:before="240"/>
      </w:pPr>
      <w:r w:rsidRPr="00C94240">
        <w:t xml:space="preserve">All respondents to this information collection are expected to be small businesses and/or other small entities.  As few responses are expected, the burden is expected to be minimal. The only cost involved with this collection of information should be the cost involved in contacting NMFS. In order to minimize the burden, acceptable methods of submission will be mail, phone, or e-mail.  </w:t>
      </w:r>
    </w:p>
    <w:p w:rsidR="000B30C7" w:rsidRPr="00C94240" w:rsidP="0009081E" w14:paraId="03AAC282" w14:textId="77777777">
      <w:pPr>
        <w:pBdr>
          <w:top w:val="nil"/>
          <w:left w:val="nil"/>
          <w:bottom w:val="nil"/>
          <w:right w:val="nil"/>
          <w:between w:val="nil"/>
        </w:pBdr>
        <w:tabs>
          <w:tab w:val="left" w:pos="360"/>
        </w:tabs>
        <w:spacing w:before="240"/>
      </w:pPr>
    </w:p>
    <w:p w:rsidR="00C94240" w:rsidP="005113A0" w14:paraId="46FCD2F6" w14:textId="77777777">
      <w:pPr>
        <w:numPr>
          <w:ilvl w:val="0"/>
          <w:numId w:val="17"/>
        </w:numPr>
        <w:pBdr>
          <w:top w:val="nil"/>
          <w:left w:val="nil"/>
          <w:bottom w:val="nil"/>
          <w:right w:val="nil"/>
          <w:between w:val="nil"/>
        </w:pBdr>
        <w:tabs>
          <w:tab w:val="left" w:pos="540"/>
        </w:tabs>
        <w:spacing w:before="240"/>
        <w:ind w:left="540" w:hanging="540"/>
        <w:rPr>
          <w:b/>
          <w:color w:val="000000"/>
        </w:rPr>
      </w:pPr>
      <w:r>
        <w:rPr>
          <w:b/>
          <w:color w:val="000000"/>
        </w:rPr>
        <w:t>Describe the consequence to Federal program or policy activities if the collection is not conducted or is conducted less frequently, as well as any technical or legal obstacles to reducing burden.</w:t>
      </w:r>
    </w:p>
    <w:p w:rsidR="000B30C7" w:rsidP="000B30C7" w14:paraId="1558D804" w14:textId="77777777">
      <w:pPr>
        <w:pBdr>
          <w:top w:val="nil"/>
          <w:left w:val="nil"/>
          <w:bottom w:val="nil"/>
          <w:right w:val="nil"/>
          <w:between w:val="nil"/>
        </w:pBdr>
        <w:spacing w:before="240"/>
      </w:pPr>
      <w:r w:rsidRPr="000B30C7">
        <w:t>This information collection is strictly mandatory to fulfill the terms and conditions set forth by the U.S. Fish and Wildlife Service (USFWS). Compliance with these requirements is necessary to maintain legal authorization and allow the fishery to continue its standard commercial operations. If this collection is not conducted, or if the reporting frequency is reduced, it could severely compromise monitoring efforts and increase operational risks to the threatened southern sea otter population.</w:t>
      </w:r>
    </w:p>
    <w:p w:rsidR="000B30C7" w:rsidP="000B30C7" w14:paraId="6C6F5A25" w14:textId="77777777">
      <w:pPr>
        <w:pBdr>
          <w:top w:val="nil"/>
          <w:left w:val="nil"/>
          <w:bottom w:val="nil"/>
          <w:right w:val="nil"/>
          <w:between w:val="nil"/>
        </w:pBdr>
        <w:spacing w:before="240"/>
      </w:pPr>
    </w:p>
    <w:p w:rsidR="00C94240" w:rsidRPr="000B30C7" w:rsidP="000B30C7" w14:paraId="502DB8FC" w14:textId="7D5DDF9F">
      <w:pPr>
        <w:numPr>
          <w:ilvl w:val="0"/>
          <w:numId w:val="17"/>
        </w:numPr>
        <w:pBdr>
          <w:top w:val="nil"/>
          <w:left w:val="nil"/>
          <w:bottom w:val="nil"/>
          <w:right w:val="nil"/>
          <w:between w:val="nil"/>
        </w:pBdr>
        <w:tabs>
          <w:tab w:val="left" w:pos="540"/>
        </w:tabs>
        <w:spacing w:before="240"/>
        <w:ind w:left="540" w:hanging="540"/>
        <w:rPr>
          <w:b/>
          <w:color w:val="000000"/>
        </w:rPr>
      </w:pPr>
      <w:r w:rsidRPr="000B30C7">
        <w:rPr>
          <w:b/>
          <w:color w:val="000000"/>
        </w:rPr>
        <w:t>Explain any special circumstances that would cause an information collection to be conducted in a manner inconsistent with OMB guidelines.</w:t>
      </w:r>
    </w:p>
    <w:p w:rsidR="004F5E03" w:rsidP="0009081E" w14:paraId="61CED4D2" w14:textId="531F95CD">
      <w:pPr>
        <w:pBdr>
          <w:top w:val="nil"/>
          <w:left w:val="nil"/>
          <w:bottom w:val="nil"/>
          <w:right w:val="nil"/>
          <w:between w:val="nil"/>
        </w:pBdr>
        <w:tabs>
          <w:tab w:val="left" w:pos="360"/>
        </w:tabs>
        <w:spacing w:before="240"/>
      </w:pPr>
      <w:r>
        <w:t>This collection will be conducted in a manner consistent with OMB guidelines.</w:t>
      </w:r>
    </w:p>
    <w:p w:rsidR="000B30C7" w:rsidRPr="00C94240" w:rsidP="0009081E" w14:paraId="262FBAE5" w14:textId="77777777">
      <w:pPr>
        <w:pBdr>
          <w:top w:val="nil"/>
          <w:left w:val="nil"/>
          <w:bottom w:val="nil"/>
          <w:right w:val="nil"/>
          <w:between w:val="nil"/>
        </w:pBdr>
        <w:tabs>
          <w:tab w:val="left" w:pos="360"/>
        </w:tabs>
        <w:spacing w:before="240"/>
        <w:rPr>
          <w:b/>
          <w:color w:val="000000"/>
        </w:rPr>
      </w:pPr>
    </w:p>
    <w:p w:rsidR="00C94240" w:rsidP="005113A0" w14:paraId="0C18DA03" w14:textId="77777777">
      <w:pPr>
        <w:numPr>
          <w:ilvl w:val="0"/>
          <w:numId w:val="17"/>
        </w:numPr>
        <w:pBdr>
          <w:top w:val="nil"/>
          <w:left w:val="nil"/>
          <w:bottom w:val="nil"/>
          <w:right w:val="nil"/>
          <w:between w:val="nil"/>
        </w:pBdr>
        <w:tabs>
          <w:tab w:val="left" w:pos="540"/>
        </w:tabs>
        <w:spacing w:before="240"/>
        <w:ind w:left="540" w:hanging="540"/>
        <w:rPr>
          <w:b/>
          <w:color w:val="000000"/>
        </w:rPr>
      </w:pPr>
      <w:r>
        <w:rPr>
          <w:b/>
          <w:color w:val="000000"/>
        </w:rPr>
        <w:t xml:space="preserve">If applicable, provide a copy and identify the date and page number of publications in the Federal Register of the </w:t>
      </w:r>
      <w:r>
        <w:rPr>
          <w:b/>
          <w:color w:val="000000"/>
        </w:rPr>
        <w:t>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4F5E03" w:rsidRPr="003E2940" w:rsidP="0009081E" w14:paraId="00479EE3" w14:textId="6AB9C2A5">
      <w:pPr>
        <w:pBdr>
          <w:top w:val="nil"/>
          <w:left w:val="nil"/>
          <w:bottom w:val="nil"/>
          <w:right w:val="nil"/>
          <w:between w:val="nil"/>
        </w:pBdr>
        <w:spacing w:before="240"/>
      </w:pPr>
      <w:r w:rsidRPr="003E2940">
        <w:t xml:space="preserve">A Federal Register Notice published </w:t>
      </w:r>
      <w:r w:rsidRPr="003E2940" w:rsidR="003E2940">
        <w:t>May 7</w:t>
      </w:r>
      <w:r w:rsidRPr="003E2940">
        <w:t>, 202</w:t>
      </w:r>
      <w:r w:rsidRPr="003E2940" w:rsidR="003E2940">
        <w:t>6</w:t>
      </w:r>
      <w:r w:rsidRPr="003E2940">
        <w:t xml:space="preserve"> (</w:t>
      </w:r>
      <w:r w:rsidRPr="003E2940" w:rsidR="003E2940">
        <w:t>91</w:t>
      </w:r>
      <w:r w:rsidRPr="003E2940">
        <w:t xml:space="preserve"> FR </w:t>
      </w:r>
      <w:r w:rsidRPr="003E2940" w:rsidR="003E2940">
        <w:t>24806</w:t>
      </w:r>
      <w:r w:rsidRPr="003E2940">
        <w:t xml:space="preserve">) and solicited public comments through </w:t>
      </w:r>
      <w:r w:rsidRPr="003E2940" w:rsidR="003E2940">
        <w:t>July 6</w:t>
      </w:r>
      <w:r w:rsidRPr="003E2940">
        <w:t>, 202</w:t>
      </w:r>
      <w:r w:rsidRPr="003E2940" w:rsidR="003E2940">
        <w:t>6</w:t>
      </w:r>
      <w:r w:rsidRPr="003E2940">
        <w:t xml:space="preserve">. No comments were received. </w:t>
      </w:r>
    </w:p>
    <w:p w:rsidR="00E1244C" w:rsidRPr="00E1244C" w:rsidP="00E1244C" w14:paraId="2E8FBA46" w14:textId="77777777">
      <w:pPr>
        <w:shd w:val="clear" w:color="auto" w:fill="FFFFFF"/>
        <w:spacing w:before="240"/>
      </w:pPr>
      <w:r w:rsidRPr="00E1244C">
        <w:t xml:space="preserve">NOAA reached out to the California </w:t>
      </w:r>
      <w:r w:rsidRPr="00E1244C">
        <w:t>Wetfish</w:t>
      </w:r>
      <w:r w:rsidRPr="00E1244C">
        <w:t xml:space="preserve"> Producers Association to gather input on the necessity, practical utility, and accuracy of the estimated burden of this data collection. NOAA also requested suggestions for simplifying instructions and reducing reporting burdens. The California </w:t>
      </w:r>
      <w:r w:rsidRPr="00E1244C">
        <w:t>Wetfish</w:t>
      </w:r>
      <w:r w:rsidRPr="00E1244C">
        <w:t xml:space="preserve"> Producers Association is a non-profit organization representing Coastal Pelagic Species (CPS) fishing interests, holds a seat on the Pacific Fishery Management Council's CPS Advisory Subpanel, and represents the majority of CPS harvesters and processors in California. No response was received during this initial outreach.</w:t>
      </w:r>
    </w:p>
    <w:p w:rsidR="00E1244C" w:rsidRPr="00E1244C" w:rsidP="00E1244C" w14:paraId="5AE9ED8A" w14:textId="77777777">
      <w:pPr>
        <w:shd w:val="clear" w:color="auto" w:fill="FFFFFF"/>
        <w:spacing w:before="240"/>
      </w:pPr>
      <w:r w:rsidRPr="00E1244C">
        <w:t>In 2019 and 2023, NOAA again solicited feedback from the organization regarding the accuracy and reasonableness of the information collection burden. The organization confirmed that fishermen do not observe sea otters near their nets, as vessel operators actively avoid kelp beds to prevent gear entanglement. Additionally, they agreed that the reporting requirements for sea otter interactions are practical and clear as written in the CFR.</w:t>
      </w:r>
    </w:p>
    <w:p w:rsidR="000B30C7" w:rsidP="0009081E" w14:paraId="30BC3D5E" w14:textId="77777777">
      <w:pPr>
        <w:shd w:val="clear" w:color="auto" w:fill="FFFFFF"/>
        <w:spacing w:before="240"/>
        <w:rPr>
          <w:color w:val="222222"/>
        </w:rPr>
      </w:pPr>
    </w:p>
    <w:p w:rsidR="00C94240" w:rsidP="005113A0" w14:paraId="7A3C3B25" w14:textId="77777777">
      <w:pPr>
        <w:numPr>
          <w:ilvl w:val="0"/>
          <w:numId w:val="17"/>
        </w:numPr>
        <w:pBdr>
          <w:top w:val="nil"/>
          <w:left w:val="nil"/>
          <w:bottom w:val="nil"/>
          <w:right w:val="nil"/>
          <w:between w:val="nil"/>
        </w:pBdr>
        <w:tabs>
          <w:tab w:val="left" w:pos="540"/>
        </w:tabs>
        <w:spacing w:before="240"/>
        <w:ind w:left="540" w:hanging="540"/>
        <w:rPr>
          <w:b/>
          <w:color w:val="000000"/>
        </w:rPr>
      </w:pPr>
      <w:r>
        <w:rPr>
          <w:b/>
          <w:color w:val="000000"/>
        </w:rPr>
        <w:t>Explain any decision to provide any payment or gift to respondents, other than remuneration of contractors or grantees.</w:t>
      </w:r>
    </w:p>
    <w:p w:rsidR="00C94240" w:rsidP="0009081E" w14:paraId="26C2E2FD" w14:textId="2DB09720">
      <w:pPr>
        <w:pBdr>
          <w:top w:val="nil"/>
          <w:left w:val="nil"/>
          <w:bottom w:val="nil"/>
          <w:right w:val="nil"/>
          <w:between w:val="nil"/>
        </w:pBdr>
        <w:tabs>
          <w:tab w:val="left" w:pos="360"/>
        </w:tabs>
        <w:spacing w:before="240"/>
      </w:pPr>
      <w:r w:rsidRPr="003E2940">
        <w:t>Neither payments nor gifts have been offered.</w:t>
      </w:r>
    </w:p>
    <w:p w:rsidR="00E1244C" w:rsidRPr="003E2940" w:rsidP="0009081E" w14:paraId="2272C5F7" w14:textId="77777777">
      <w:pPr>
        <w:pBdr>
          <w:top w:val="nil"/>
          <w:left w:val="nil"/>
          <w:bottom w:val="nil"/>
          <w:right w:val="nil"/>
          <w:between w:val="nil"/>
        </w:pBdr>
        <w:tabs>
          <w:tab w:val="left" w:pos="360"/>
        </w:tabs>
        <w:spacing w:before="240"/>
        <w:rPr>
          <w:b/>
        </w:rPr>
      </w:pPr>
    </w:p>
    <w:p w:rsidR="00C94240" w:rsidRPr="00C94240" w:rsidP="005113A0" w14:paraId="142E113E" w14:textId="1D647257">
      <w:pPr>
        <w:numPr>
          <w:ilvl w:val="0"/>
          <w:numId w:val="17"/>
        </w:numPr>
        <w:pBdr>
          <w:top w:val="nil"/>
          <w:left w:val="nil"/>
          <w:bottom w:val="nil"/>
          <w:right w:val="nil"/>
          <w:between w:val="nil"/>
        </w:pBdr>
        <w:tabs>
          <w:tab w:val="left" w:pos="540"/>
        </w:tabs>
        <w:spacing w:before="240"/>
        <w:ind w:left="540" w:hanging="540"/>
        <w:rPr>
          <w:b/>
          <w:color w:val="000000"/>
        </w:rPr>
      </w:pPr>
      <w:r>
        <w:rPr>
          <w:b/>
          <w:color w:val="000000"/>
        </w:rPr>
        <w:t>Describe any assurance of confidentiality provided to respondents and the basis for the assurance in statute, regulation, or agency policy. If the collection requires a system</w:t>
      </w:r>
      <w:r>
        <w:rPr>
          <w:b/>
          <w:color w:val="000000"/>
        </w:rPr>
        <w:t xml:space="preserve"> of records notice (SORN) or privacy impact assessment (PIA), those should be cited and described here.</w:t>
      </w:r>
    </w:p>
    <w:p w:rsidR="00735F20" w:rsidP="0009081E" w14:paraId="3789661D" w14:textId="4505F995">
      <w:pPr>
        <w:widowControl/>
        <w:spacing w:before="240"/>
      </w:pPr>
      <w:r w:rsidRPr="00C94240">
        <w:t xml:space="preserve">No assurance of confidentiality is provided; however, NOAA Fisheries will retain control over the information and safeguard it from improper access, modification, and destruction, consistent with NOAA </w:t>
      </w:r>
      <w:r w:rsidRPr="00C94240">
        <w:t>standards for confidentiality, privacy, and electronic information. The information collection is designed to yield data that meet all applicable information quality guidelines. Although the information collected is not expected to be disseminated directly to the public, results may be used in scientific, management, technical or general informational publications. Should NOAA Fisheries Service decide to disseminate the information, it will be subject to the quality control measures and pre-dissemination re</w:t>
      </w:r>
      <w:r w:rsidRPr="00C94240">
        <w:t>view pursuant to Section 515 of Public Law 106-554.</w:t>
      </w:r>
    </w:p>
    <w:p w:rsidR="00D3326D" w:rsidP="0009081E" w14:paraId="51BF6CD2" w14:textId="77777777">
      <w:pPr>
        <w:widowControl/>
        <w:spacing w:before="240"/>
      </w:pPr>
    </w:p>
    <w:p w:rsidR="00C94240" w:rsidRPr="00C94240" w:rsidP="005113A0" w14:paraId="438EE8A0" w14:textId="22114D5B">
      <w:pPr>
        <w:numPr>
          <w:ilvl w:val="0"/>
          <w:numId w:val="17"/>
        </w:numPr>
        <w:pBdr>
          <w:top w:val="nil"/>
          <w:left w:val="nil"/>
          <w:bottom w:val="nil"/>
          <w:right w:val="nil"/>
          <w:between w:val="nil"/>
        </w:pBdr>
        <w:tabs>
          <w:tab w:val="left" w:pos="540"/>
        </w:tabs>
        <w:spacing w:before="240"/>
        <w:ind w:left="540" w:hanging="540"/>
        <w:rPr>
          <w:b/>
          <w:color w:val="000000"/>
        </w:rPr>
      </w:pPr>
      <w:r>
        <w:rPr>
          <w:b/>
          <w:color w:val="000000"/>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7B1094" w:rsidP="007B1094" w14:paraId="7C82D15A" w14:textId="77777777">
      <w:pPr>
        <w:spacing w:before="240"/>
      </w:pPr>
      <w:r w:rsidRPr="003E2940">
        <w:t>No sensitive questions will be asked.</w:t>
      </w:r>
    </w:p>
    <w:p w:rsidR="00D3326D" w:rsidP="007B1094" w14:paraId="233FE698" w14:textId="77777777">
      <w:pPr>
        <w:spacing w:before="240"/>
      </w:pPr>
    </w:p>
    <w:p w:rsidR="004F5E03" w:rsidRPr="007B1094" w:rsidP="005113A0" w14:paraId="59065273" w14:textId="764B07DB">
      <w:pPr>
        <w:numPr>
          <w:ilvl w:val="0"/>
          <w:numId w:val="17"/>
        </w:numPr>
        <w:pBdr>
          <w:top w:val="nil"/>
          <w:left w:val="nil"/>
          <w:bottom w:val="nil"/>
          <w:right w:val="nil"/>
          <w:between w:val="nil"/>
        </w:pBdr>
        <w:tabs>
          <w:tab w:val="left" w:pos="540"/>
        </w:tabs>
        <w:spacing w:before="240"/>
        <w:ind w:left="540" w:hanging="540"/>
        <w:rPr>
          <w:b/>
          <w:color w:val="000000"/>
        </w:rPr>
      </w:pPr>
      <w:r w:rsidRPr="007B1094">
        <w:rPr>
          <w:b/>
          <w:color w:val="000000"/>
        </w:rPr>
        <w:t>Provide estimates of the hour burden of the collection of information.</w:t>
      </w:r>
    </w:p>
    <w:p w:rsidR="0009081E" w:rsidRPr="00EE2178" w:rsidP="0009081E" w14:paraId="51BE8F4F" w14:textId="77777777">
      <w:pPr>
        <w:pStyle w:val="ListParagraph"/>
        <w:pBdr>
          <w:top w:val="nil"/>
          <w:left w:val="nil"/>
          <w:bottom w:val="nil"/>
          <w:right w:val="nil"/>
          <w:between w:val="nil"/>
        </w:pBdr>
        <w:tabs>
          <w:tab w:val="left" w:pos="360"/>
        </w:tabs>
        <w:spacing w:before="240"/>
        <w:ind w:left="491" w:firstLine="0"/>
        <w:rPr>
          <w:b/>
          <w:color w:val="000000"/>
        </w:rPr>
      </w:pPr>
    </w:p>
    <w:tbl>
      <w:tblPr>
        <w:tblW w:w="5502" w:type="pct"/>
        <w:tblInd w:w="-370" w:type="dxa"/>
        <w:tblLayout w:type="fixed"/>
        <w:tblLook w:val="0400"/>
      </w:tblPr>
      <w:tblGrid>
        <w:gridCol w:w="1672"/>
        <w:gridCol w:w="1174"/>
        <w:gridCol w:w="1081"/>
        <w:gridCol w:w="1003"/>
        <w:gridCol w:w="1003"/>
        <w:gridCol w:w="921"/>
        <w:gridCol w:w="1085"/>
        <w:gridCol w:w="1085"/>
        <w:gridCol w:w="1254"/>
      </w:tblGrid>
      <w:tr w14:paraId="7C77ADAB" w14:textId="77777777" w:rsidTr="007B1094">
        <w:tblPrEx>
          <w:tblW w:w="5502" w:type="pct"/>
          <w:tblInd w:w="-370" w:type="dxa"/>
          <w:tblLayout w:type="fixed"/>
          <w:tblLook w:val="0400"/>
        </w:tblPrEx>
        <w:trPr>
          <w:trHeight w:val="1365"/>
        </w:trPr>
        <w:tc>
          <w:tcPr>
            <w:tcW w:w="813" w:type="pct"/>
            <w:tcBorders>
              <w:top w:val="single" w:sz="8" w:space="0" w:color="000000"/>
              <w:left w:val="single" w:sz="8" w:space="0" w:color="000000"/>
              <w:bottom w:val="single" w:sz="8" w:space="0" w:color="000000"/>
              <w:right w:val="single" w:sz="8" w:space="0" w:color="000000"/>
            </w:tcBorders>
            <w:shd w:val="clear" w:color="auto" w:fill="BDD7EE"/>
            <w:vAlign w:val="center"/>
          </w:tcPr>
          <w:p w:rsidR="004F5E03" w:rsidRPr="007B1094" w:rsidP="0009081E" w14:paraId="64131EA6" w14:textId="77777777">
            <w:pPr>
              <w:widowControl/>
              <w:jc w:val="center"/>
              <w:rPr>
                <w:rFonts w:ascii="Calibri" w:eastAsia="Calibri" w:hAnsi="Calibri" w:cs="Calibri"/>
                <w:b/>
                <w:color w:val="000000"/>
                <w:sz w:val="16"/>
                <w:szCs w:val="16"/>
              </w:rPr>
            </w:pPr>
            <w:r w:rsidRPr="007B1094">
              <w:rPr>
                <w:rFonts w:ascii="Calibri" w:eastAsia="Calibri" w:hAnsi="Calibri" w:cs="Calibri"/>
                <w:b/>
                <w:color w:val="000000"/>
                <w:sz w:val="16"/>
                <w:szCs w:val="16"/>
              </w:rPr>
              <w:t>Information Collection</w:t>
            </w:r>
          </w:p>
        </w:tc>
        <w:tc>
          <w:tcPr>
            <w:tcW w:w="571" w:type="pct"/>
            <w:tcBorders>
              <w:top w:val="single" w:sz="8" w:space="0" w:color="000000"/>
              <w:left w:val="nil"/>
              <w:bottom w:val="single" w:sz="8" w:space="0" w:color="000000"/>
              <w:right w:val="single" w:sz="8" w:space="0" w:color="000000"/>
            </w:tcBorders>
            <w:shd w:val="clear" w:color="auto" w:fill="BDD7EE"/>
            <w:vAlign w:val="center"/>
          </w:tcPr>
          <w:p w:rsidR="004F5E03" w:rsidRPr="007B1094" w:rsidP="0009081E" w14:paraId="4C8BA0E4" w14:textId="77777777">
            <w:pPr>
              <w:widowControl/>
              <w:jc w:val="center"/>
              <w:rPr>
                <w:rFonts w:ascii="Calibri" w:eastAsia="Calibri" w:hAnsi="Calibri" w:cs="Calibri"/>
                <w:b/>
                <w:color w:val="000000"/>
                <w:sz w:val="16"/>
                <w:szCs w:val="16"/>
              </w:rPr>
            </w:pPr>
            <w:r w:rsidRPr="007B1094">
              <w:rPr>
                <w:rFonts w:ascii="Calibri" w:eastAsia="Calibri" w:hAnsi="Calibri" w:cs="Calibri"/>
                <w:b/>
                <w:color w:val="000000"/>
                <w:sz w:val="16"/>
                <w:szCs w:val="16"/>
              </w:rPr>
              <w:t>Type of Respondent (e.g., Occupational Title)</w:t>
            </w:r>
          </w:p>
        </w:tc>
        <w:tc>
          <w:tcPr>
            <w:tcW w:w="526" w:type="pct"/>
            <w:tcBorders>
              <w:top w:val="single" w:sz="8" w:space="0" w:color="000000"/>
              <w:left w:val="nil"/>
              <w:bottom w:val="single" w:sz="8" w:space="0" w:color="000000"/>
              <w:right w:val="single" w:sz="8" w:space="0" w:color="000000"/>
            </w:tcBorders>
            <w:shd w:val="clear" w:color="auto" w:fill="BDD7EE"/>
            <w:vAlign w:val="center"/>
          </w:tcPr>
          <w:p w:rsidR="004F5E03" w:rsidRPr="007B1094" w:rsidP="0009081E" w14:paraId="23A83BD2" w14:textId="77777777">
            <w:pPr>
              <w:widowControl/>
              <w:jc w:val="center"/>
              <w:rPr>
                <w:rFonts w:ascii="Calibri" w:eastAsia="Calibri" w:hAnsi="Calibri" w:cs="Calibri"/>
                <w:b/>
                <w:color w:val="000000"/>
                <w:sz w:val="16"/>
                <w:szCs w:val="16"/>
              </w:rPr>
            </w:pPr>
            <w:r w:rsidRPr="007B1094">
              <w:rPr>
                <w:rFonts w:ascii="Calibri" w:eastAsia="Calibri" w:hAnsi="Calibri" w:cs="Calibri"/>
                <w:b/>
                <w:color w:val="000000"/>
                <w:sz w:val="16"/>
                <w:szCs w:val="16"/>
              </w:rPr>
              <w:t xml:space="preserve"># of </w:t>
            </w:r>
            <w:r w:rsidRPr="007B1094">
              <w:rPr>
                <w:rFonts w:ascii="Calibri" w:eastAsia="Calibri" w:hAnsi="Calibri" w:cs="Calibri"/>
                <w:b/>
                <w:color w:val="000000"/>
                <w:sz w:val="16"/>
                <w:szCs w:val="16"/>
              </w:rPr>
              <w:t>Respondents/year</w:t>
            </w:r>
            <w:r w:rsidRPr="007B1094">
              <w:rPr>
                <w:rFonts w:ascii="Calibri" w:eastAsia="Calibri" w:hAnsi="Calibri" w:cs="Calibri"/>
                <w:b/>
                <w:color w:val="000000"/>
                <w:sz w:val="16"/>
                <w:szCs w:val="16"/>
              </w:rPr>
              <w:br/>
              <w:t>(a)</w:t>
            </w:r>
          </w:p>
        </w:tc>
        <w:tc>
          <w:tcPr>
            <w:tcW w:w="488" w:type="pct"/>
            <w:tcBorders>
              <w:top w:val="single" w:sz="8" w:space="0" w:color="000000"/>
              <w:left w:val="nil"/>
              <w:bottom w:val="single" w:sz="8" w:space="0" w:color="000000"/>
              <w:right w:val="single" w:sz="8" w:space="0" w:color="000000"/>
            </w:tcBorders>
            <w:shd w:val="clear" w:color="auto" w:fill="BDD7EE"/>
            <w:vAlign w:val="center"/>
          </w:tcPr>
          <w:p w:rsidR="004F5E03" w:rsidRPr="007B1094" w:rsidP="0009081E" w14:paraId="080BBDD6" w14:textId="77777777">
            <w:pPr>
              <w:widowControl/>
              <w:jc w:val="center"/>
              <w:rPr>
                <w:rFonts w:ascii="Calibri" w:eastAsia="Calibri" w:hAnsi="Calibri" w:cs="Calibri"/>
                <w:b/>
                <w:color w:val="000000"/>
                <w:sz w:val="16"/>
                <w:szCs w:val="16"/>
              </w:rPr>
            </w:pPr>
            <w:r w:rsidRPr="007B1094">
              <w:rPr>
                <w:rFonts w:ascii="Calibri" w:eastAsia="Calibri" w:hAnsi="Calibri" w:cs="Calibri"/>
                <w:b/>
                <w:color w:val="000000"/>
                <w:sz w:val="16"/>
                <w:szCs w:val="16"/>
              </w:rPr>
              <w:t>Annual # of Responses / Respondent</w:t>
            </w:r>
            <w:r w:rsidRPr="007B1094">
              <w:rPr>
                <w:rFonts w:ascii="Calibri" w:eastAsia="Calibri" w:hAnsi="Calibri" w:cs="Calibri"/>
                <w:b/>
                <w:color w:val="000000"/>
                <w:sz w:val="16"/>
                <w:szCs w:val="16"/>
              </w:rPr>
              <w:br/>
              <w:t>(b)</w:t>
            </w:r>
          </w:p>
        </w:tc>
        <w:tc>
          <w:tcPr>
            <w:tcW w:w="488" w:type="pct"/>
            <w:tcBorders>
              <w:top w:val="single" w:sz="8" w:space="0" w:color="000000"/>
              <w:left w:val="nil"/>
              <w:bottom w:val="single" w:sz="8" w:space="0" w:color="000000"/>
              <w:right w:val="single" w:sz="8" w:space="0" w:color="000000"/>
            </w:tcBorders>
            <w:shd w:val="clear" w:color="auto" w:fill="BDD7EE"/>
            <w:vAlign w:val="center"/>
          </w:tcPr>
          <w:p w:rsidR="004F5E03" w:rsidRPr="007B1094" w:rsidP="0009081E" w14:paraId="457E665A" w14:textId="62B18F1E">
            <w:pPr>
              <w:widowControl/>
              <w:jc w:val="center"/>
              <w:rPr>
                <w:rFonts w:ascii="Calibri" w:eastAsia="Calibri" w:hAnsi="Calibri" w:cs="Calibri"/>
                <w:b/>
                <w:color w:val="000000"/>
                <w:sz w:val="16"/>
                <w:szCs w:val="16"/>
              </w:rPr>
            </w:pPr>
            <w:r w:rsidRPr="007B1094">
              <w:rPr>
                <w:rFonts w:ascii="Calibri" w:eastAsia="Calibri" w:hAnsi="Calibri" w:cs="Calibri"/>
                <w:b/>
                <w:color w:val="000000"/>
                <w:sz w:val="16"/>
                <w:szCs w:val="16"/>
              </w:rPr>
              <w:t>Total # of Annual Responses</w:t>
            </w:r>
            <w:r w:rsidRPr="007B1094">
              <w:rPr>
                <w:rFonts w:ascii="Calibri" w:eastAsia="Calibri" w:hAnsi="Calibri" w:cs="Calibri"/>
                <w:b/>
                <w:color w:val="000000"/>
                <w:sz w:val="16"/>
                <w:szCs w:val="16"/>
              </w:rPr>
              <w:br/>
              <w:t>(c) = (a) x (b)</w:t>
            </w:r>
          </w:p>
        </w:tc>
        <w:tc>
          <w:tcPr>
            <w:tcW w:w="448" w:type="pct"/>
            <w:tcBorders>
              <w:top w:val="single" w:sz="8" w:space="0" w:color="000000"/>
              <w:left w:val="nil"/>
              <w:bottom w:val="single" w:sz="8" w:space="0" w:color="000000"/>
              <w:right w:val="single" w:sz="8" w:space="0" w:color="000000"/>
            </w:tcBorders>
            <w:shd w:val="clear" w:color="auto" w:fill="BDD7EE"/>
            <w:vAlign w:val="center"/>
          </w:tcPr>
          <w:p w:rsidR="004F5E03" w:rsidRPr="007B1094" w:rsidP="0009081E" w14:paraId="1D295999" w14:textId="77777777">
            <w:pPr>
              <w:widowControl/>
              <w:jc w:val="center"/>
              <w:rPr>
                <w:rFonts w:ascii="Calibri" w:eastAsia="Calibri" w:hAnsi="Calibri" w:cs="Calibri"/>
                <w:b/>
                <w:color w:val="000000"/>
                <w:sz w:val="16"/>
                <w:szCs w:val="16"/>
              </w:rPr>
            </w:pPr>
            <w:r w:rsidRPr="007B1094">
              <w:rPr>
                <w:rFonts w:ascii="Calibri" w:eastAsia="Calibri" w:hAnsi="Calibri" w:cs="Calibri"/>
                <w:b/>
                <w:color w:val="000000"/>
                <w:sz w:val="16"/>
                <w:szCs w:val="16"/>
              </w:rPr>
              <w:t xml:space="preserve">Burden </w:t>
            </w:r>
            <w:r w:rsidRPr="007B1094">
              <w:rPr>
                <w:rFonts w:ascii="Calibri" w:eastAsia="Calibri" w:hAnsi="Calibri" w:cs="Calibri"/>
                <w:b/>
                <w:color w:val="000000"/>
                <w:sz w:val="16"/>
                <w:szCs w:val="16"/>
              </w:rPr>
              <w:t>Hrs</w:t>
            </w:r>
            <w:r w:rsidRPr="007B1094">
              <w:rPr>
                <w:rFonts w:ascii="Calibri" w:eastAsia="Calibri" w:hAnsi="Calibri" w:cs="Calibri"/>
                <w:b/>
                <w:color w:val="000000"/>
                <w:sz w:val="16"/>
                <w:szCs w:val="16"/>
              </w:rPr>
              <w:t xml:space="preserve"> / Response</w:t>
            </w:r>
            <w:r w:rsidRPr="007B1094">
              <w:rPr>
                <w:rFonts w:ascii="Calibri" w:eastAsia="Calibri" w:hAnsi="Calibri" w:cs="Calibri"/>
                <w:b/>
                <w:color w:val="000000"/>
                <w:sz w:val="16"/>
                <w:szCs w:val="16"/>
              </w:rPr>
              <w:br/>
              <w:t>(d)</w:t>
            </w:r>
          </w:p>
        </w:tc>
        <w:tc>
          <w:tcPr>
            <w:tcW w:w="528" w:type="pct"/>
            <w:tcBorders>
              <w:top w:val="single" w:sz="8" w:space="0" w:color="000000"/>
              <w:left w:val="nil"/>
              <w:bottom w:val="single" w:sz="8" w:space="0" w:color="000000"/>
              <w:right w:val="single" w:sz="8" w:space="0" w:color="000000"/>
            </w:tcBorders>
            <w:shd w:val="clear" w:color="auto" w:fill="BDD7EE"/>
            <w:vAlign w:val="center"/>
          </w:tcPr>
          <w:p w:rsidR="004F5E03" w:rsidRPr="007B1094" w:rsidP="0009081E" w14:paraId="565F0052" w14:textId="1F7D3C83">
            <w:pPr>
              <w:widowControl/>
              <w:jc w:val="center"/>
              <w:rPr>
                <w:rFonts w:ascii="Calibri" w:eastAsia="Calibri" w:hAnsi="Calibri" w:cs="Calibri"/>
                <w:b/>
                <w:color w:val="000000"/>
                <w:sz w:val="16"/>
                <w:szCs w:val="16"/>
              </w:rPr>
            </w:pPr>
            <w:r w:rsidRPr="007B1094">
              <w:rPr>
                <w:rFonts w:ascii="Calibri" w:eastAsia="Calibri" w:hAnsi="Calibri" w:cs="Calibri"/>
                <w:b/>
                <w:color w:val="000000"/>
                <w:sz w:val="16"/>
                <w:szCs w:val="16"/>
              </w:rPr>
              <w:t xml:space="preserve">Total Annual Burden </w:t>
            </w:r>
            <w:r w:rsidRPr="007B1094">
              <w:rPr>
                <w:rFonts w:ascii="Calibri" w:eastAsia="Calibri" w:hAnsi="Calibri" w:cs="Calibri"/>
                <w:b/>
                <w:color w:val="000000"/>
                <w:sz w:val="16"/>
                <w:szCs w:val="16"/>
              </w:rPr>
              <w:t>Hrs</w:t>
            </w:r>
            <w:r w:rsidRPr="007B1094">
              <w:rPr>
                <w:rFonts w:ascii="Calibri" w:eastAsia="Calibri" w:hAnsi="Calibri" w:cs="Calibri"/>
                <w:b/>
                <w:color w:val="000000"/>
                <w:sz w:val="16"/>
                <w:szCs w:val="16"/>
              </w:rPr>
              <w:br/>
              <w:t>(</w:t>
            </w:r>
            <w:r w:rsidRPr="007B1094" w:rsidR="00735F20">
              <w:rPr>
                <w:rFonts w:ascii="Calibri" w:eastAsia="Calibri" w:hAnsi="Calibri" w:cs="Calibri"/>
                <w:b/>
                <w:color w:val="000000"/>
                <w:sz w:val="16"/>
                <w:szCs w:val="16"/>
              </w:rPr>
              <w:t>e) =</w:t>
            </w:r>
            <w:r w:rsidRPr="007B1094">
              <w:rPr>
                <w:rFonts w:ascii="Calibri" w:eastAsia="Calibri" w:hAnsi="Calibri" w:cs="Calibri"/>
                <w:b/>
                <w:color w:val="000000"/>
                <w:sz w:val="16"/>
                <w:szCs w:val="16"/>
              </w:rPr>
              <w:t xml:space="preserve"> (c) x (d)</w:t>
            </w:r>
          </w:p>
        </w:tc>
        <w:tc>
          <w:tcPr>
            <w:tcW w:w="528" w:type="pct"/>
            <w:tcBorders>
              <w:top w:val="single" w:sz="8" w:space="0" w:color="000000"/>
              <w:left w:val="nil"/>
              <w:bottom w:val="single" w:sz="8" w:space="0" w:color="000000"/>
              <w:right w:val="single" w:sz="8" w:space="0" w:color="000000"/>
            </w:tcBorders>
            <w:shd w:val="clear" w:color="auto" w:fill="BDD7EE"/>
            <w:vAlign w:val="center"/>
          </w:tcPr>
          <w:p w:rsidR="004F5E03" w:rsidRPr="007B1094" w:rsidP="0009081E" w14:paraId="159C3D68" w14:textId="77777777">
            <w:pPr>
              <w:widowControl/>
              <w:jc w:val="center"/>
              <w:rPr>
                <w:rFonts w:ascii="Calibri" w:eastAsia="Calibri" w:hAnsi="Calibri" w:cs="Calibri"/>
                <w:b/>
                <w:color w:val="000000"/>
                <w:sz w:val="16"/>
                <w:szCs w:val="16"/>
              </w:rPr>
            </w:pPr>
            <w:r w:rsidRPr="007B1094">
              <w:rPr>
                <w:rFonts w:ascii="Calibri" w:eastAsia="Calibri" w:hAnsi="Calibri" w:cs="Calibri"/>
                <w:b/>
                <w:color w:val="000000"/>
                <w:sz w:val="16"/>
                <w:szCs w:val="16"/>
              </w:rPr>
              <w:t>Hourly Wage Rate</w:t>
            </w:r>
            <w:r w:rsidRPr="007B1094">
              <w:rPr>
                <w:rFonts w:ascii="Calibri" w:eastAsia="Calibri" w:hAnsi="Calibri" w:cs="Calibri"/>
                <w:b/>
                <w:color w:val="000000"/>
                <w:sz w:val="16"/>
                <w:szCs w:val="16"/>
              </w:rPr>
              <w:br/>
              <w:t>(for Type of Respondent)</w:t>
            </w:r>
            <w:r w:rsidRPr="007B1094">
              <w:rPr>
                <w:rFonts w:ascii="Calibri" w:eastAsia="Calibri" w:hAnsi="Calibri" w:cs="Calibri"/>
                <w:b/>
                <w:color w:val="000000"/>
                <w:sz w:val="16"/>
                <w:szCs w:val="16"/>
              </w:rPr>
              <w:br/>
              <w:t>(f)</w:t>
            </w:r>
          </w:p>
        </w:tc>
        <w:tc>
          <w:tcPr>
            <w:tcW w:w="610" w:type="pct"/>
            <w:tcBorders>
              <w:top w:val="single" w:sz="8" w:space="0" w:color="000000"/>
              <w:left w:val="nil"/>
              <w:bottom w:val="single" w:sz="8" w:space="0" w:color="000000"/>
              <w:right w:val="single" w:sz="8" w:space="0" w:color="000000"/>
            </w:tcBorders>
            <w:shd w:val="clear" w:color="auto" w:fill="BDD7EE"/>
            <w:vAlign w:val="center"/>
          </w:tcPr>
          <w:p w:rsidR="004F5E03" w:rsidRPr="007B1094" w:rsidP="0009081E" w14:paraId="25EC7CAD" w14:textId="77777777">
            <w:pPr>
              <w:widowControl/>
              <w:ind w:right="106"/>
              <w:jc w:val="center"/>
              <w:rPr>
                <w:rFonts w:ascii="Calibri" w:eastAsia="Calibri" w:hAnsi="Calibri" w:cs="Calibri"/>
                <w:b/>
                <w:color w:val="000000"/>
                <w:sz w:val="16"/>
                <w:szCs w:val="16"/>
              </w:rPr>
            </w:pPr>
            <w:r w:rsidRPr="007B1094">
              <w:rPr>
                <w:rFonts w:ascii="Calibri" w:eastAsia="Calibri" w:hAnsi="Calibri" w:cs="Calibri"/>
                <w:b/>
                <w:color w:val="000000"/>
                <w:sz w:val="16"/>
                <w:szCs w:val="16"/>
              </w:rPr>
              <w:t>Total Annual Wage Burden Costs</w:t>
            </w:r>
            <w:r w:rsidRPr="007B1094">
              <w:rPr>
                <w:rFonts w:ascii="Calibri" w:eastAsia="Calibri" w:hAnsi="Calibri" w:cs="Calibri"/>
                <w:b/>
                <w:color w:val="000000"/>
                <w:sz w:val="16"/>
                <w:szCs w:val="16"/>
              </w:rPr>
              <w:br/>
              <w:t>(g) = (e) x (f)</w:t>
            </w:r>
          </w:p>
        </w:tc>
      </w:tr>
      <w:tr w14:paraId="329646E6" w14:textId="77777777" w:rsidTr="007B1094">
        <w:tblPrEx>
          <w:tblW w:w="5502" w:type="pct"/>
          <w:tblInd w:w="-370" w:type="dxa"/>
          <w:tblLayout w:type="fixed"/>
          <w:tblLook w:val="0400"/>
        </w:tblPrEx>
        <w:trPr>
          <w:trHeight w:val="300"/>
        </w:trPr>
        <w:tc>
          <w:tcPr>
            <w:tcW w:w="813" w:type="pct"/>
            <w:tcBorders>
              <w:top w:val="nil"/>
              <w:left w:val="single" w:sz="8" w:space="0" w:color="000000"/>
              <w:bottom w:val="single" w:sz="4" w:space="0" w:color="000000"/>
              <w:right w:val="single" w:sz="4" w:space="0" w:color="000000"/>
            </w:tcBorders>
            <w:vAlign w:val="center"/>
          </w:tcPr>
          <w:p w:rsidR="004F5E03" w:rsidRPr="007B1094" w:rsidP="0009081E" w14:paraId="164E7B80" w14:textId="77777777">
            <w:pPr>
              <w:widowControl/>
              <w:rPr>
                <w:rFonts w:ascii="Calibri" w:eastAsia="Calibri" w:hAnsi="Calibri" w:cs="Calibri"/>
                <w:color w:val="000000"/>
                <w:sz w:val="18"/>
                <w:szCs w:val="18"/>
              </w:rPr>
            </w:pPr>
            <w:r w:rsidRPr="007B1094">
              <w:rPr>
                <w:rFonts w:ascii="Calibri" w:eastAsia="Calibri" w:hAnsi="Calibri" w:cs="Calibri"/>
                <w:color w:val="000000"/>
                <w:sz w:val="18"/>
                <w:szCs w:val="18"/>
              </w:rPr>
              <w:t>Sea otter interactions with CPS fishing gear</w:t>
            </w:r>
          </w:p>
        </w:tc>
        <w:tc>
          <w:tcPr>
            <w:tcW w:w="571" w:type="pct"/>
            <w:tcBorders>
              <w:top w:val="nil"/>
              <w:left w:val="nil"/>
              <w:bottom w:val="single" w:sz="4" w:space="0" w:color="000000"/>
              <w:right w:val="single" w:sz="4" w:space="0" w:color="000000"/>
            </w:tcBorders>
            <w:vAlign w:val="center"/>
          </w:tcPr>
          <w:p w:rsidR="004F5E03" w:rsidRPr="007B1094" w:rsidP="0009081E" w14:paraId="5BE49313" w14:textId="77777777">
            <w:pPr>
              <w:widowControl/>
              <w:jc w:val="center"/>
              <w:rPr>
                <w:rFonts w:ascii="Calibri" w:eastAsia="Calibri" w:hAnsi="Calibri" w:cs="Calibri"/>
                <w:color w:val="000000"/>
                <w:sz w:val="18"/>
                <w:szCs w:val="18"/>
              </w:rPr>
            </w:pPr>
            <w:r w:rsidRPr="007B1094">
              <w:rPr>
                <w:rFonts w:ascii="Calibri" w:eastAsia="Calibri" w:hAnsi="Calibri" w:cs="Calibri"/>
                <w:color w:val="000000"/>
                <w:sz w:val="18"/>
                <w:szCs w:val="18"/>
              </w:rPr>
              <w:t>Fishing vessel operators</w:t>
            </w:r>
          </w:p>
        </w:tc>
        <w:tc>
          <w:tcPr>
            <w:tcW w:w="526" w:type="pct"/>
            <w:tcBorders>
              <w:top w:val="nil"/>
              <w:left w:val="nil"/>
              <w:bottom w:val="single" w:sz="4" w:space="0" w:color="000000"/>
              <w:right w:val="single" w:sz="4" w:space="0" w:color="000000"/>
            </w:tcBorders>
            <w:vAlign w:val="center"/>
          </w:tcPr>
          <w:p w:rsidR="004F5E03" w:rsidRPr="007B1094" w:rsidP="0009081E" w14:paraId="6AEB14DE" w14:textId="77777777">
            <w:pPr>
              <w:widowControl/>
              <w:jc w:val="center"/>
              <w:rPr>
                <w:rFonts w:ascii="Calibri" w:eastAsia="Calibri" w:hAnsi="Calibri" w:cs="Calibri"/>
                <w:color w:val="000000"/>
                <w:sz w:val="18"/>
                <w:szCs w:val="18"/>
              </w:rPr>
            </w:pPr>
            <w:r w:rsidRPr="007B1094">
              <w:rPr>
                <w:rFonts w:ascii="Calibri" w:eastAsia="Calibri" w:hAnsi="Calibri" w:cs="Calibri"/>
                <w:color w:val="000000"/>
                <w:sz w:val="18"/>
                <w:szCs w:val="18"/>
              </w:rPr>
              <w:t>2</w:t>
            </w:r>
          </w:p>
        </w:tc>
        <w:tc>
          <w:tcPr>
            <w:tcW w:w="488" w:type="pct"/>
            <w:tcBorders>
              <w:top w:val="nil"/>
              <w:left w:val="nil"/>
              <w:bottom w:val="single" w:sz="4" w:space="0" w:color="000000"/>
              <w:right w:val="single" w:sz="4" w:space="0" w:color="000000"/>
            </w:tcBorders>
            <w:vAlign w:val="center"/>
          </w:tcPr>
          <w:p w:rsidR="004F5E03" w:rsidRPr="007B1094" w:rsidP="0009081E" w14:paraId="578C881A" w14:textId="77777777">
            <w:pPr>
              <w:widowControl/>
              <w:jc w:val="center"/>
              <w:rPr>
                <w:rFonts w:ascii="Calibri" w:eastAsia="Calibri" w:hAnsi="Calibri" w:cs="Calibri"/>
                <w:color w:val="000000"/>
                <w:sz w:val="18"/>
                <w:szCs w:val="18"/>
              </w:rPr>
            </w:pPr>
            <w:r w:rsidRPr="007B1094">
              <w:rPr>
                <w:rFonts w:ascii="Calibri" w:eastAsia="Calibri" w:hAnsi="Calibri" w:cs="Calibri"/>
                <w:color w:val="000000"/>
                <w:sz w:val="18"/>
                <w:szCs w:val="18"/>
              </w:rPr>
              <w:t>1</w:t>
            </w:r>
          </w:p>
        </w:tc>
        <w:tc>
          <w:tcPr>
            <w:tcW w:w="488" w:type="pct"/>
            <w:tcBorders>
              <w:top w:val="nil"/>
              <w:left w:val="nil"/>
              <w:bottom w:val="single" w:sz="4" w:space="0" w:color="000000"/>
              <w:right w:val="single" w:sz="4" w:space="0" w:color="000000"/>
            </w:tcBorders>
            <w:vAlign w:val="center"/>
          </w:tcPr>
          <w:p w:rsidR="004F5E03" w:rsidRPr="007B1094" w:rsidP="0009081E" w14:paraId="454E263C" w14:textId="77777777">
            <w:pPr>
              <w:widowControl/>
              <w:jc w:val="center"/>
              <w:rPr>
                <w:rFonts w:ascii="Calibri" w:eastAsia="Calibri" w:hAnsi="Calibri" w:cs="Calibri"/>
                <w:color w:val="000000"/>
                <w:sz w:val="18"/>
                <w:szCs w:val="18"/>
              </w:rPr>
            </w:pPr>
            <w:r w:rsidRPr="007B1094">
              <w:rPr>
                <w:rFonts w:ascii="Calibri" w:eastAsia="Calibri" w:hAnsi="Calibri" w:cs="Calibri"/>
                <w:color w:val="000000"/>
                <w:sz w:val="18"/>
                <w:szCs w:val="18"/>
              </w:rPr>
              <w:t>2</w:t>
            </w:r>
          </w:p>
        </w:tc>
        <w:tc>
          <w:tcPr>
            <w:tcW w:w="448" w:type="pct"/>
            <w:tcBorders>
              <w:top w:val="nil"/>
              <w:left w:val="nil"/>
              <w:bottom w:val="single" w:sz="4" w:space="0" w:color="000000"/>
              <w:right w:val="single" w:sz="4" w:space="0" w:color="000000"/>
            </w:tcBorders>
            <w:vAlign w:val="center"/>
          </w:tcPr>
          <w:p w:rsidR="004F5E03" w:rsidRPr="007B1094" w:rsidP="0009081E" w14:paraId="621DAF00" w14:textId="30853663">
            <w:pPr>
              <w:widowControl/>
              <w:jc w:val="center"/>
              <w:rPr>
                <w:rFonts w:ascii="Calibri" w:eastAsia="Calibri" w:hAnsi="Calibri" w:cs="Calibri"/>
                <w:color w:val="000000"/>
                <w:sz w:val="18"/>
                <w:szCs w:val="18"/>
              </w:rPr>
            </w:pPr>
            <w:r w:rsidRPr="007B1094">
              <w:rPr>
                <w:rFonts w:ascii="Calibri" w:eastAsia="Calibri" w:hAnsi="Calibri" w:cs="Calibri"/>
                <w:color w:val="000000"/>
                <w:sz w:val="18"/>
                <w:szCs w:val="18"/>
              </w:rPr>
              <w:t>15 min</w:t>
            </w:r>
          </w:p>
        </w:tc>
        <w:tc>
          <w:tcPr>
            <w:tcW w:w="528" w:type="pct"/>
            <w:tcBorders>
              <w:top w:val="nil"/>
              <w:left w:val="nil"/>
              <w:bottom w:val="single" w:sz="4" w:space="0" w:color="000000"/>
              <w:right w:val="single" w:sz="4" w:space="0" w:color="000000"/>
            </w:tcBorders>
            <w:vAlign w:val="center"/>
          </w:tcPr>
          <w:p w:rsidR="004F5E03" w:rsidRPr="007B1094" w:rsidP="0009081E" w14:paraId="27CF7FB9" w14:textId="79C0513D">
            <w:pPr>
              <w:widowControl/>
              <w:jc w:val="center"/>
              <w:rPr>
                <w:rFonts w:ascii="Calibri" w:eastAsia="Calibri" w:hAnsi="Calibri" w:cs="Calibri"/>
                <w:color w:val="000000"/>
                <w:sz w:val="18"/>
                <w:szCs w:val="18"/>
              </w:rPr>
            </w:pPr>
            <w:r w:rsidRPr="007B1094">
              <w:rPr>
                <w:rFonts w:ascii="Calibri" w:eastAsia="Calibri" w:hAnsi="Calibri" w:cs="Calibri"/>
                <w:color w:val="000000"/>
                <w:sz w:val="18"/>
                <w:szCs w:val="18"/>
              </w:rPr>
              <w:t>30 min</w:t>
            </w:r>
          </w:p>
        </w:tc>
        <w:tc>
          <w:tcPr>
            <w:tcW w:w="528" w:type="pct"/>
            <w:tcBorders>
              <w:top w:val="nil"/>
              <w:left w:val="nil"/>
              <w:bottom w:val="single" w:sz="4" w:space="0" w:color="000000"/>
              <w:right w:val="single" w:sz="4" w:space="0" w:color="000000"/>
            </w:tcBorders>
            <w:vAlign w:val="center"/>
          </w:tcPr>
          <w:p w:rsidR="005613FE" w:rsidRPr="007B1094" w:rsidP="0009081E" w14:paraId="5E63A530" w14:textId="603495F4">
            <w:pPr>
              <w:widowControl/>
              <w:jc w:val="center"/>
              <w:rPr>
                <w:rFonts w:ascii="Calibri" w:eastAsia="Calibri" w:hAnsi="Calibri" w:cs="Calibri"/>
                <w:color w:val="000000"/>
                <w:sz w:val="18"/>
                <w:szCs w:val="18"/>
              </w:rPr>
            </w:pPr>
            <w:r w:rsidRPr="007B1094">
              <w:rPr>
                <w:rFonts w:ascii="Calibri" w:eastAsia="Calibri" w:hAnsi="Calibri" w:cs="Calibri"/>
                <w:color w:val="000000"/>
                <w:sz w:val="18"/>
                <w:szCs w:val="18"/>
              </w:rPr>
              <w:t>$</w:t>
            </w:r>
            <w:r w:rsidRPr="007B1094" w:rsidR="007B1094">
              <w:rPr>
                <w:rFonts w:ascii="Calibri" w:eastAsia="Calibri" w:hAnsi="Calibri" w:cs="Calibri"/>
                <w:color w:val="000000"/>
                <w:sz w:val="18"/>
                <w:szCs w:val="18"/>
              </w:rPr>
              <w:t>49.87</w:t>
            </w:r>
          </w:p>
        </w:tc>
        <w:tc>
          <w:tcPr>
            <w:tcW w:w="610" w:type="pct"/>
            <w:tcBorders>
              <w:top w:val="nil"/>
              <w:left w:val="nil"/>
              <w:bottom w:val="single" w:sz="4" w:space="0" w:color="000000"/>
              <w:right w:val="single" w:sz="8" w:space="0" w:color="000000"/>
            </w:tcBorders>
            <w:vAlign w:val="center"/>
          </w:tcPr>
          <w:p w:rsidR="004F5E03" w:rsidRPr="007B1094" w:rsidP="0009081E" w14:paraId="2FC4F921" w14:textId="7D60678F">
            <w:pPr>
              <w:widowControl/>
              <w:jc w:val="center"/>
              <w:rPr>
                <w:rFonts w:ascii="Calibri" w:eastAsia="Calibri" w:hAnsi="Calibri" w:cs="Calibri"/>
                <w:color w:val="000000"/>
                <w:sz w:val="18"/>
                <w:szCs w:val="18"/>
              </w:rPr>
            </w:pPr>
            <w:r w:rsidRPr="007B1094">
              <w:rPr>
                <w:rFonts w:ascii="Calibri" w:eastAsia="Calibri" w:hAnsi="Calibri" w:cs="Calibri"/>
                <w:color w:val="000000"/>
                <w:sz w:val="18"/>
                <w:szCs w:val="18"/>
              </w:rPr>
              <w:t>$</w:t>
            </w:r>
            <w:r w:rsidRPr="007B1094" w:rsidR="007B1094">
              <w:rPr>
                <w:rFonts w:ascii="Calibri" w:eastAsia="Calibri" w:hAnsi="Calibri" w:cs="Calibri"/>
                <w:color w:val="000000"/>
                <w:sz w:val="18"/>
                <w:szCs w:val="18"/>
              </w:rPr>
              <w:t>25</w:t>
            </w:r>
          </w:p>
        </w:tc>
      </w:tr>
      <w:tr w14:paraId="2CEC475D" w14:textId="77777777" w:rsidTr="007B1094">
        <w:tblPrEx>
          <w:tblW w:w="5502" w:type="pct"/>
          <w:tblInd w:w="-370" w:type="dxa"/>
          <w:tblLayout w:type="fixed"/>
          <w:tblLook w:val="0400"/>
        </w:tblPrEx>
        <w:trPr>
          <w:trHeight w:val="448"/>
        </w:trPr>
        <w:tc>
          <w:tcPr>
            <w:tcW w:w="813" w:type="pct"/>
            <w:tcBorders>
              <w:top w:val="nil"/>
              <w:left w:val="single" w:sz="8" w:space="0" w:color="000000"/>
              <w:bottom w:val="single" w:sz="8" w:space="0" w:color="000000"/>
              <w:right w:val="single" w:sz="8" w:space="0" w:color="000000"/>
            </w:tcBorders>
            <w:shd w:val="clear" w:color="auto" w:fill="DDEBF7"/>
            <w:vAlign w:val="center"/>
          </w:tcPr>
          <w:p w:rsidR="004F5E03" w:rsidRPr="007B1094" w:rsidP="0009081E" w14:paraId="4A2AAC36" w14:textId="77777777">
            <w:pPr>
              <w:widowControl/>
              <w:jc w:val="center"/>
              <w:rPr>
                <w:rFonts w:ascii="Calibri" w:eastAsia="Calibri" w:hAnsi="Calibri" w:cs="Calibri"/>
                <w:b/>
                <w:color w:val="000000"/>
                <w:sz w:val="18"/>
                <w:szCs w:val="18"/>
              </w:rPr>
            </w:pPr>
            <w:r w:rsidRPr="007B1094">
              <w:rPr>
                <w:rFonts w:ascii="Calibri" w:eastAsia="Calibri" w:hAnsi="Calibri" w:cs="Calibri"/>
                <w:b/>
                <w:color w:val="000000"/>
                <w:sz w:val="18"/>
                <w:szCs w:val="18"/>
              </w:rPr>
              <w:t>Totals</w:t>
            </w:r>
          </w:p>
        </w:tc>
        <w:tc>
          <w:tcPr>
            <w:tcW w:w="571" w:type="pct"/>
            <w:tcBorders>
              <w:top w:val="nil"/>
              <w:left w:val="nil"/>
              <w:bottom w:val="single" w:sz="8" w:space="0" w:color="000000"/>
              <w:right w:val="single" w:sz="8" w:space="0" w:color="000000"/>
            </w:tcBorders>
            <w:shd w:val="clear" w:color="auto" w:fill="000000"/>
            <w:vAlign w:val="center"/>
          </w:tcPr>
          <w:p w:rsidR="004F5E03" w:rsidRPr="007B1094" w:rsidP="0009081E" w14:paraId="621D7878" w14:textId="50CC5447">
            <w:pPr>
              <w:widowControl/>
              <w:jc w:val="center"/>
              <w:rPr>
                <w:rFonts w:ascii="Calibri" w:eastAsia="Calibri" w:hAnsi="Calibri" w:cs="Calibri"/>
                <w:b/>
                <w:color w:val="000000"/>
                <w:sz w:val="18"/>
                <w:szCs w:val="18"/>
              </w:rPr>
            </w:pPr>
          </w:p>
        </w:tc>
        <w:tc>
          <w:tcPr>
            <w:tcW w:w="526" w:type="pct"/>
            <w:tcBorders>
              <w:top w:val="nil"/>
              <w:left w:val="nil"/>
              <w:bottom w:val="single" w:sz="8" w:space="0" w:color="000000"/>
              <w:right w:val="single" w:sz="8" w:space="0" w:color="000000"/>
            </w:tcBorders>
            <w:shd w:val="clear" w:color="auto" w:fill="000000"/>
            <w:vAlign w:val="center"/>
          </w:tcPr>
          <w:p w:rsidR="004F5E03" w:rsidRPr="007B1094" w:rsidP="0009081E" w14:paraId="1FA3802B" w14:textId="49CA1497">
            <w:pPr>
              <w:widowControl/>
              <w:jc w:val="center"/>
              <w:rPr>
                <w:rFonts w:ascii="Calibri" w:eastAsia="Calibri" w:hAnsi="Calibri" w:cs="Calibri"/>
                <w:b/>
                <w:color w:val="000000"/>
                <w:sz w:val="18"/>
                <w:szCs w:val="18"/>
              </w:rPr>
            </w:pPr>
          </w:p>
        </w:tc>
        <w:tc>
          <w:tcPr>
            <w:tcW w:w="488" w:type="pct"/>
            <w:tcBorders>
              <w:top w:val="nil"/>
              <w:left w:val="nil"/>
              <w:bottom w:val="single" w:sz="8" w:space="0" w:color="000000"/>
              <w:right w:val="single" w:sz="8" w:space="0" w:color="000000"/>
            </w:tcBorders>
            <w:shd w:val="clear" w:color="auto" w:fill="000000"/>
            <w:vAlign w:val="center"/>
          </w:tcPr>
          <w:p w:rsidR="004F5E03" w:rsidRPr="007B1094" w:rsidP="0009081E" w14:paraId="5E78ACAA" w14:textId="6884B4CD">
            <w:pPr>
              <w:widowControl/>
              <w:jc w:val="center"/>
              <w:rPr>
                <w:rFonts w:ascii="Calibri" w:eastAsia="Calibri" w:hAnsi="Calibri" w:cs="Calibri"/>
                <w:b/>
                <w:color w:val="000000"/>
                <w:sz w:val="18"/>
                <w:szCs w:val="18"/>
              </w:rPr>
            </w:pPr>
          </w:p>
        </w:tc>
        <w:tc>
          <w:tcPr>
            <w:tcW w:w="488" w:type="pct"/>
            <w:tcBorders>
              <w:top w:val="nil"/>
              <w:left w:val="nil"/>
              <w:bottom w:val="single" w:sz="8" w:space="0" w:color="000000"/>
              <w:right w:val="single" w:sz="8" w:space="0" w:color="000000"/>
            </w:tcBorders>
            <w:shd w:val="clear" w:color="auto" w:fill="DDEBF7"/>
            <w:vAlign w:val="center"/>
          </w:tcPr>
          <w:p w:rsidR="004F5E03" w:rsidRPr="007B1094" w:rsidP="0009081E" w14:paraId="5684D4B1" w14:textId="77777777">
            <w:pPr>
              <w:widowControl/>
              <w:jc w:val="center"/>
              <w:rPr>
                <w:rFonts w:ascii="Calibri" w:eastAsia="Calibri" w:hAnsi="Calibri" w:cs="Calibri"/>
                <w:b/>
                <w:color w:val="000000"/>
                <w:sz w:val="18"/>
                <w:szCs w:val="18"/>
              </w:rPr>
            </w:pPr>
            <w:r w:rsidRPr="007B1094">
              <w:rPr>
                <w:rFonts w:ascii="Calibri" w:eastAsia="Calibri" w:hAnsi="Calibri" w:cs="Calibri"/>
                <w:b/>
                <w:color w:val="000000"/>
                <w:sz w:val="18"/>
                <w:szCs w:val="18"/>
              </w:rPr>
              <w:t>2</w:t>
            </w:r>
          </w:p>
        </w:tc>
        <w:tc>
          <w:tcPr>
            <w:tcW w:w="448" w:type="pct"/>
            <w:tcBorders>
              <w:top w:val="nil"/>
              <w:left w:val="nil"/>
              <w:bottom w:val="single" w:sz="8" w:space="0" w:color="000000"/>
              <w:right w:val="single" w:sz="8" w:space="0" w:color="000000"/>
            </w:tcBorders>
            <w:shd w:val="clear" w:color="auto" w:fill="000000"/>
            <w:vAlign w:val="center"/>
          </w:tcPr>
          <w:p w:rsidR="004F5E03" w:rsidRPr="007B1094" w:rsidP="0009081E" w14:paraId="40E06976" w14:textId="46191568">
            <w:pPr>
              <w:widowControl/>
              <w:jc w:val="center"/>
              <w:rPr>
                <w:rFonts w:ascii="Calibri" w:eastAsia="Calibri" w:hAnsi="Calibri" w:cs="Calibri"/>
                <w:b/>
                <w:color w:val="000000"/>
                <w:sz w:val="18"/>
                <w:szCs w:val="18"/>
              </w:rPr>
            </w:pPr>
          </w:p>
        </w:tc>
        <w:tc>
          <w:tcPr>
            <w:tcW w:w="528" w:type="pct"/>
            <w:tcBorders>
              <w:top w:val="nil"/>
              <w:left w:val="nil"/>
              <w:bottom w:val="single" w:sz="8" w:space="0" w:color="000000"/>
              <w:right w:val="single" w:sz="8" w:space="0" w:color="000000"/>
            </w:tcBorders>
            <w:shd w:val="clear" w:color="auto" w:fill="DDEBF7"/>
            <w:vAlign w:val="center"/>
          </w:tcPr>
          <w:p w:rsidR="004F5E03" w:rsidRPr="007B1094" w:rsidP="0009081E" w14:paraId="7C3AA191" w14:textId="3FE85BE9">
            <w:pPr>
              <w:widowControl/>
              <w:jc w:val="center"/>
              <w:rPr>
                <w:rFonts w:ascii="Calibri" w:eastAsia="Calibri" w:hAnsi="Calibri" w:cs="Calibri"/>
                <w:b/>
                <w:color w:val="000000"/>
                <w:sz w:val="18"/>
                <w:szCs w:val="18"/>
              </w:rPr>
            </w:pPr>
            <w:r w:rsidRPr="007B1094">
              <w:rPr>
                <w:rFonts w:ascii="Calibri" w:eastAsia="Calibri" w:hAnsi="Calibri" w:cs="Calibri"/>
                <w:b/>
                <w:color w:val="000000"/>
                <w:sz w:val="18"/>
                <w:szCs w:val="18"/>
              </w:rPr>
              <w:t>1</w:t>
            </w:r>
          </w:p>
        </w:tc>
        <w:tc>
          <w:tcPr>
            <w:tcW w:w="528" w:type="pct"/>
            <w:tcBorders>
              <w:top w:val="nil"/>
              <w:left w:val="nil"/>
              <w:bottom w:val="single" w:sz="8" w:space="0" w:color="000000"/>
              <w:right w:val="single" w:sz="8" w:space="0" w:color="000000"/>
            </w:tcBorders>
            <w:shd w:val="clear" w:color="auto" w:fill="000000"/>
            <w:vAlign w:val="center"/>
          </w:tcPr>
          <w:p w:rsidR="004F5E03" w:rsidRPr="007B1094" w:rsidP="0009081E" w14:paraId="70551F60" w14:textId="4B571710">
            <w:pPr>
              <w:widowControl/>
              <w:jc w:val="center"/>
              <w:rPr>
                <w:rFonts w:ascii="Calibri" w:eastAsia="Calibri" w:hAnsi="Calibri" w:cs="Calibri"/>
                <w:b/>
                <w:color w:val="000000"/>
                <w:sz w:val="18"/>
                <w:szCs w:val="18"/>
              </w:rPr>
            </w:pPr>
          </w:p>
        </w:tc>
        <w:tc>
          <w:tcPr>
            <w:tcW w:w="610" w:type="pct"/>
            <w:tcBorders>
              <w:top w:val="nil"/>
              <w:left w:val="nil"/>
              <w:bottom w:val="single" w:sz="8" w:space="0" w:color="000000"/>
              <w:right w:val="single" w:sz="8" w:space="0" w:color="000000"/>
            </w:tcBorders>
            <w:shd w:val="clear" w:color="auto" w:fill="DDEBF7"/>
            <w:vAlign w:val="center"/>
          </w:tcPr>
          <w:p w:rsidR="004F5E03" w:rsidRPr="007B1094" w:rsidP="0009081E" w14:paraId="0CA18EB4" w14:textId="60D87AF0">
            <w:pPr>
              <w:widowControl/>
              <w:jc w:val="center"/>
              <w:rPr>
                <w:rFonts w:ascii="Calibri" w:eastAsia="Calibri" w:hAnsi="Calibri" w:cs="Calibri"/>
                <w:b/>
                <w:color w:val="000000"/>
                <w:sz w:val="18"/>
                <w:szCs w:val="18"/>
              </w:rPr>
            </w:pPr>
            <w:r w:rsidRPr="007B1094">
              <w:rPr>
                <w:rFonts w:ascii="Calibri" w:eastAsia="Calibri" w:hAnsi="Calibri" w:cs="Calibri"/>
                <w:b/>
                <w:color w:val="000000"/>
                <w:sz w:val="18"/>
                <w:szCs w:val="18"/>
              </w:rPr>
              <w:t>$</w:t>
            </w:r>
            <w:r w:rsidRPr="007B1094" w:rsidR="007B1094">
              <w:rPr>
                <w:rFonts w:ascii="Calibri" w:eastAsia="Calibri" w:hAnsi="Calibri" w:cs="Calibri"/>
                <w:b/>
                <w:color w:val="000000"/>
                <w:sz w:val="18"/>
                <w:szCs w:val="18"/>
              </w:rPr>
              <w:t>25</w:t>
            </w:r>
          </w:p>
        </w:tc>
      </w:tr>
    </w:tbl>
    <w:p w:rsidR="00BB471C" w:rsidP="0009081E" w14:paraId="113BA483" w14:textId="2705C152">
      <w:pPr>
        <w:pBdr>
          <w:top w:val="nil"/>
          <w:left w:val="nil"/>
          <w:bottom w:val="nil"/>
          <w:right w:val="nil"/>
          <w:between w:val="nil"/>
        </w:pBdr>
        <w:tabs>
          <w:tab w:val="left" w:pos="360"/>
        </w:tabs>
        <w:spacing w:before="240"/>
        <w:rPr>
          <w:bCs/>
          <w:color w:val="000000"/>
          <w:sz w:val="20"/>
          <w:szCs w:val="20"/>
        </w:rPr>
      </w:pPr>
      <w:r w:rsidRPr="00BB471C">
        <w:rPr>
          <w:bCs/>
          <w:color w:val="000000"/>
          <w:sz w:val="20"/>
          <w:szCs w:val="20"/>
        </w:rPr>
        <w:t>*Chart in question 12 reflects the rounding calculations from ROCIS.</w:t>
      </w:r>
    </w:p>
    <w:p w:rsidR="007B1094" w:rsidRPr="007B1094" w:rsidP="0009081E" w14:paraId="1F7D16D3" w14:textId="3AB47461">
      <w:pPr>
        <w:pBdr>
          <w:top w:val="nil"/>
          <w:left w:val="nil"/>
          <w:bottom w:val="nil"/>
          <w:right w:val="nil"/>
          <w:between w:val="nil"/>
        </w:pBdr>
        <w:tabs>
          <w:tab w:val="left" w:pos="360"/>
        </w:tabs>
        <w:spacing w:before="240"/>
        <w:rPr>
          <w:bCs/>
          <w:color w:val="000000"/>
        </w:rPr>
      </w:pPr>
      <w:r w:rsidRPr="007B1094">
        <w:rPr>
          <w:bCs/>
          <w:color w:val="000000"/>
        </w:rPr>
        <w:t xml:space="preserve">Occupational Code 53-5021, Captains, Mates &amp; Pilots of Water Vessels, was used to determine the hourly wage rate.  </w:t>
      </w:r>
      <w:hyperlink r:id="rId6" w:history="1">
        <w:r w:rsidRPr="007B1094">
          <w:rPr>
            <w:rStyle w:val="Hyperlink"/>
            <w:bCs/>
          </w:rPr>
          <w:t>https://data.bls.gov/oesprofile/?major_group=530000&amp;occupation=535021&amp;measure=01&amp;areas=INDUSTRY,STATE,MSA</w:t>
        </w:r>
      </w:hyperlink>
    </w:p>
    <w:p w:rsidR="0009081E" w:rsidRPr="00BB471C" w:rsidP="0009081E" w14:paraId="49D9F930" w14:textId="77777777">
      <w:pPr>
        <w:pBdr>
          <w:top w:val="nil"/>
          <w:left w:val="nil"/>
          <w:bottom w:val="nil"/>
          <w:right w:val="nil"/>
          <w:between w:val="nil"/>
        </w:pBdr>
        <w:tabs>
          <w:tab w:val="left" w:pos="360"/>
        </w:tabs>
        <w:spacing w:before="240"/>
        <w:rPr>
          <w:bCs/>
          <w:color w:val="000000"/>
          <w:sz w:val="20"/>
          <w:szCs w:val="20"/>
        </w:rPr>
      </w:pPr>
    </w:p>
    <w:p w:rsidR="00664A5D" w:rsidP="007B1094" w14:paraId="5C1DACF1" w14:textId="60C218BB">
      <w:pPr>
        <w:numPr>
          <w:ilvl w:val="0"/>
          <w:numId w:val="17"/>
        </w:numPr>
        <w:pBdr>
          <w:top w:val="nil"/>
          <w:left w:val="nil"/>
          <w:bottom w:val="nil"/>
          <w:right w:val="nil"/>
          <w:between w:val="nil"/>
        </w:pBdr>
        <w:tabs>
          <w:tab w:val="left" w:pos="540"/>
        </w:tabs>
        <w:spacing w:before="240"/>
        <w:ind w:left="540" w:hanging="540"/>
        <w:rPr>
          <w:b/>
          <w:color w:val="000000"/>
        </w:rPr>
      </w:pPr>
      <w:r>
        <w:rPr>
          <w:b/>
          <w:color w:val="000000"/>
        </w:rPr>
        <w:t xml:space="preserve">Provide an estimate for the total annual cost </w:t>
      </w:r>
      <w:r>
        <w:rPr>
          <w:b/>
          <w:color w:val="000000"/>
        </w:rPr>
        <w:t>burden to respondents or record keepers resulting from the collection of information. (Do not include the cost of any hour burden already reflected on the burden worksheet).</w:t>
      </w:r>
    </w:p>
    <w:p w:rsidR="00D3326D" w:rsidP="00D3326D" w14:paraId="6D793E2A" w14:textId="7B230F61">
      <w:pPr>
        <w:pStyle w:val="ListParagraph"/>
        <w:widowControl/>
        <w:spacing w:before="240"/>
        <w:ind w:left="0" w:firstLine="0"/>
      </w:pPr>
      <w:r>
        <w:t xml:space="preserve">This collection does not require additional recordkeeping burden. This collection may involve the use of photocopying, faxes, mail, and online access estimated to be approximately $5 per respondent. </w:t>
      </w:r>
    </w:p>
    <w:p w:rsidR="0009081E" w:rsidRPr="00433CE8" w:rsidP="0009081E" w14:paraId="4E4B365F" w14:textId="77777777">
      <w:pPr>
        <w:pBdr>
          <w:top w:val="nil"/>
          <w:left w:val="nil"/>
          <w:bottom w:val="nil"/>
          <w:right w:val="nil"/>
          <w:between w:val="nil"/>
        </w:pBdr>
        <w:tabs>
          <w:tab w:val="left" w:pos="360"/>
        </w:tabs>
        <w:spacing w:before="240"/>
        <w:rPr>
          <w:b/>
          <w:color w:val="000000"/>
        </w:rPr>
      </w:pPr>
    </w:p>
    <w:tbl>
      <w:tblPr>
        <w:tblStyle w:val="6"/>
        <w:tblW w:w="10275" w:type="dxa"/>
        <w:tblInd w:w="-25" w:type="dxa"/>
        <w:tblLayout w:type="fixed"/>
        <w:tblLook w:val="0400"/>
      </w:tblPr>
      <w:tblGrid>
        <w:gridCol w:w="3075"/>
        <w:gridCol w:w="1157"/>
        <w:gridCol w:w="1453"/>
        <w:gridCol w:w="1620"/>
        <w:gridCol w:w="1440"/>
        <w:gridCol w:w="1530"/>
      </w:tblGrid>
      <w:tr w14:paraId="5FB66A6D" w14:textId="77777777" w:rsidTr="00115AA4">
        <w:tblPrEx>
          <w:tblW w:w="10275" w:type="dxa"/>
          <w:tblInd w:w="-25" w:type="dxa"/>
          <w:tblLayout w:type="fixed"/>
          <w:tblLook w:val="0400"/>
        </w:tblPrEx>
        <w:trPr>
          <w:trHeight w:val="915"/>
        </w:trPr>
        <w:tc>
          <w:tcPr>
            <w:tcW w:w="3075" w:type="dxa"/>
            <w:tcBorders>
              <w:top w:val="single" w:sz="8" w:space="0" w:color="000000"/>
              <w:left w:val="single" w:sz="8" w:space="0" w:color="000000"/>
              <w:bottom w:val="single" w:sz="8" w:space="0" w:color="000000"/>
              <w:right w:val="single" w:sz="8" w:space="0" w:color="000000"/>
            </w:tcBorders>
            <w:shd w:val="clear" w:color="auto" w:fill="BDD7EE"/>
            <w:vAlign w:val="center"/>
          </w:tcPr>
          <w:p w:rsidR="004F5E03" w:rsidRPr="004F5E03" w:rsidP="0009081E" w14:paraId="075C583E" w14:textId="77777777">
            <w:pPr>
              <w:pStyle w:val="ListParagraph"/>
              <w:widowControl/>
              <w:spacing w:before="0"/>
              <w:ind w:left="400" w:firstLine="0"/>
              <w:rPr>
                <w:rFonts w:ascii="Calibri" w:eastAsia="Calibri" w:hAnsi="Calibri" w:cs="Calibri"/>
                <w:b/>
                <w:color w:val="000000"/>
                <w:sz w:val="16"/>
                <w:szCs w:val="16"/>
              </w:rPr>
            </w:pPr>
            <w:r w:rsidRPr="004F5E03">
              <w:rPr>
                <w:rFonts w:ascii="Calibri" w:eastAsia="Calibri" w:hAnsi="Calibri" w:cs="Calibri"/>
                <w:b/>
                <w:color w:val="000000"/>
                <w:sz w:val="16"/>
                <w:szCs w:val="16"/>
              </w:rPr>
              <w:t>Information Collection</w:t>
            </w:r>
          </w:p>
        </w:tc>
        <w:tc>
          <w:tcPr>
            <w:tcW w:w="1157" w:type="dxa"/>
            <w:tcBorders>
              <w:top w:val="single" w:sz="8" w:space="0" w:color="000000"/>
              <w:left w:val="nil"/>
              <w:bottom w:val="single" w:sz="8" w:space="0" w:color="000000"/>
              <w:right w:val="single" w:sz="8" w:space="0" w:color="000000"/>
            </w:tcBorders>
            <w:shd w:val="clear" w:color="auto" w:fill="BDD7EE"/>
            <w:vAlign w:val="center"/>
          </w:tcPr>
          <w:p w:rsidR="004F5E03" w:rsidP="0009081E" w14:paraId="7CB1FD30"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 of Respondents/year</w:t>
            </w:r>
            <w:r>
              <w:rPr>
                <w:rFonts w:ascii="Calibri" w:eastAsia="Calibri" w:hAnsi="Calibri" w:cs="Calibri"/>
                <w:b/>
                <w:color w:val="000000"/>
                <w:sz w:val="16"/>
                <w:szCs w:val="16"/>
              </w:rPr>
              <w:br/>
              <w:t>(a)</w:t>
            </w:r>
          </w:p>
        </w:tc>
        <w:tc>
          <w:tcPr>
            <w:tcW w:w="1453" w:type="dxa"/>
            <w:tcBorders>
              <w:top w:val="single" w:sz="8" w:space="0" w:color="000000"/>
              <w:left w:val="nil"/>
              <w:bottom w:val="single" w:sz="8" w:space="0" w:color="000000"/>
              <w:right w:val="single" w:sz="8" w:space="0" w:color="000000"/>
            </w:tcBorders>
            <w:shd w:val="clear" w:color="auto" w:fill="BDD7EE"/>
            <w:vAlign w:val="center"/>
          </w:tcPr>
          <w:p w:rsidR="004F5E03" w:rsidP="0009081E" w14:paraId="534B2341"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 xml:space="preserve">Annual # of Responses / </w:t>
            </w:r>
            <w:r>
              <w:rPr>
                <w:rFonts w:ascii="Calibri" w:eastAsia="Calibri" w:hAnsi="Calibri" w:cs="Calibri"/>
                <w:b/>
                <w:color w:val="000000"/>
                <w:sz w:val="16"/>
                <w:szCs w:val="16"/>
              </w:rPr>
              <w:t>Respondent</w:t>
            </w:r>
            <w:r>
              <w:rPr>
                <w:rFonts w:ascii="Calibri" w:eastAsia="Calibri" w:hAnsi="Calibri" w:cs="Calibri"/>
                <w:b/>
                <w:color w:val="000000"/>
                <w:sz w:val="16"/>
                <w:szCs w:val="16"/>
              </w:rPr>
              <w:br/>
              <w:t>(b)</w:t>
            </w:r>
          </w:p>
        </w:tc>
        <w:tc>
          <w:tcPr>
            <w:tcW w:w="1620" w:type="dxa"/>
            <w:tcBorders>
              <w:top w:val="single" w:sz="8" w:space="0" w:color="000000"/>
              <w:left w:val="nil"/>
              <w:bottom w:val="single" w:sz="8" w:space="0" w:color="000000"/>
              <w:right w:val="single" w:sz="8" w:space="0" w:color="000000"/>
            </w:tcBorders>
            <w:shd w:val="clear" w:color="auto" w:fill="BDD7EE"/>
            <w:vAlign w:val="center"/>
          </w:tcPr>
          <w:p w:rsidR="004F5E03" w:rsidP="0009081E" w14:paraId="04946888"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 xml:space="preserve"> Total # of Annual Responses</w:t>
            </w:r>
            <w:r>
              <w:rPr>
                <w:rFonts w:ascii="Calibri" w:eastAsia="Calibri" w:hAnsi="Calibri" w:cs="Calibri"/>
                <w:b/>
                <w:color w:val="000000"/>
                <w:sz w:val="16"/>
                <w:szCs w:val="16"/>
              </w:rPr>
              <w:br/>
              <w:t>(c) = (a) x (b)</w:t>
            </w:r>
          </w:p>
        </w:tc>
        <w:tc>
          <w:tcPr>
            <w:tcW w:w="1440" w:type="dxa"/>
            <w:tcBorders>
              <w:top w:val="single" w:sz="8" w:space="0" w:color="000000"/>
              <w:left w:val="nil"/>
              <w:bottom w:val="single" w:sz="8" w:space="0" w:color="000000"/>
              <w:right w:val="single" w:sz="8" w:space="0" w:color="000000"/>
            </w:tcBorders>
            <w:shd w:val="clear" w:color="auto" w:fill="BDD7EE"/>
            <w:vAlign w:val="center"/>
          </w:tcPr>
          <w:p w:rsidR="004F5E03" w:rsidP="0009081E" w14:paraId="4C7ADCCE"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Cost Burden / Respondent</w:t>
            </w:r>
            <w:r>
              <w:rPr>
                <w:rFonts w:ascii="Calibri" w:eastAsia="Calibri" w:hAnsi="Calibri" w:cs="Calibri"/>
                <w:b/>
                <w:color w:val="000000"/>
                <w:sz w:val="16"/>
                <w:szCs w:val="16"/>
              </w:rPr>
              <w:br/>
              <w:t>(h)</w:t>
            </w:r>
          </w:p>
        </w:tc>
        <w:tc>
          <w:tcPr>
            <w:tcW w:w="1530" w:type="dxa"/>
            <w:tcBorders>
              <w:top w:val="single" w:sz="8" w:space="0" w:color="000000"/>
              <w:left w:val="nil"/>
              <w:bottom w:val="single" w:sz="8" w:space="0" w:color="000000"/>
              <w:right w:val="single" w:sz="8" w:space="0" w:color="000000"/>
            </w:tcBorders>
            <w:shd w:val="clear" w:color="auto" w:fill="BDD7EE"/>
            <w:vAlign w:val="center"/>
          </w:tcPr>
          <w:p w:rsidR="004F5E03" w:rsidP="0009081E" w14:paraId="2075BBE8"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Total Annual Cost Burden</w:t>
            </w:r>
            <w:r>
              <w:rPr>
                <w:rFonts w:ascii="Calibri" w:eastAsia="Calibri" w:hAnsi="Calibri" w:cs="Calibri"/>
                <w:b/>
                <w:color w:val="000000"/>
                <w:sz w:val="16"/>
                <w:szCs w:val="16"/>
              </w:rPr>
              <w:br/>
              <w:t>(</w:t>
            </w:r>
            <w:r>
              <w:rPr>
                <w:rFonts w:ascii="Calibri" w:eastAsia="Calibri" w:hAnsi="Calibri" w:cs="Calibri"/>
                <w:b/>
                <w:color w:val="000000"/>
                <w:sz w:val="16"/>
                <w:szCs w:val="16"/>
              </w:rPr>
              <w:t>i</w:t>
            </w:r>
            <w:r>
              <w:rPr>
                <w:rFonts w:ascii="Calibri" w:eastAsia="Calibri" w:hAnsi="Calibri" w:cs="Calibri"/>
                <w:b/>
                <w:color w:val="000000"/>
                <w:sz w:val="16"/>
                <w:szCs w:val="16"/>
              </w:rPr>
              <w:t>) = (c) x (h)</w:t>
            </w:r>
          </w:p>
        </w:tc>
      </w:tr>
      <w:tr w14:paraId="5BDE414A" w14:textId="77777777" w:rsidTr="0009081E">
        <w:tblPrEx>
          <w:tblW w:w="10275" w:type="dxa"/>
          <w:tblInd w:w="-25" w:type="dxa"/>
          <w:tblLayout w:type="fixed"/>
          <w:tblLook w:val="0400"/>
        </w:tblPrEx>
        <w:trPr>
          <w:trHeight w:val="300"/>
        </w:trPr>
        <w:tc>
          <w:tcPr>
            <w:tcW w:w="3075" w:type="dxa"/>
            <w:tcBorders>
              <w:top w:val="nil"/>
              <w:left w:val="single" w:sz="4" w:space="0" w:color="000000"/>
              <w:bottom w:val="single" w:sz="4" w:space="0" w:color="000000"/>
              <w:right w:val="single" w:sz="4" w:space="0" w:color="000000"/>
            </w:tcBorders>
            <w:vAlign w:val="center"/>
          </w:tcPr>
          <w:p w:rsidR="004F5E03" w:rsidP="0009081E" w14:paraId="741DCBCF"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Sea otter interactions with CPS fishing gear</w:t>
            </w:r>
          </w:p>
        </w:tc>
        <w:tc>
          <w:tcPr>
            <w:tcW w:w="1157" w:type="dxa"/>
            <w:tcBorders>
              <w:top w:val="nil"/>
              <w:left w:val="nil"/>
              <w:bottom w:val="single" w:sz="4" w:space="0" w:color="000000"/>
              <w:right w:val="single" w:sz="4" w:space="0" w:color="000000"/>
            </w:tcBorders>
            <w:shd w:val="clear" w:color="auto" w:fill="FFFFFF"/>
            <w:vAlign w:val="center"/>
          </w:tcPr>
          <w:p w:rsidR="004F5E03" w:rsidP="0009081E" w14:paraId="3620B9D6"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2</w:t>
            </w:r>
          </w:p>
        </w:tc>
        <w:tc>
          <w:tcPr>
            <w:tcW w:w="1453" w:type="dxa"/>
            <w:tcBorders>
              <w:top w:val="nil"/>
              <w:left w:val="nil"/>
              <w:bottom w:val="single" w:sz="4" w:space="0" w:color="000000"/>
              <w:right w:val="single" w:sz="4" w:space="0" w:color="000000"/>
            </w:tcBorders>
            <w:shd w:val="clear" w:color="auto" w:fill="FFFFFF"/>
            <w:vAlign w:val="center"/>
          </w:tcPr>
          <w:p w:rsidR="004F5E03" w:rsidP="0009081E" w14:paraId="2086277A"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620" w:type="dxa"/>
            <w:tcBorders>
              <w:top w:val="nil"/>
              <w:left w:val="nil"/>
              <w:bottom w:val="single" w:sz="4" w:space="0" w:color="000000"/>
              <w:right w:val="single" w:sz="4" w:space="0" w:color="000000"/>
            </w:tcBorders>
            <w:shd w:val="clear" w:color="auto" w:fill="FFFFFF"/>
            <w:vAlign w:val="center"/>
          </w:tcPr>
          <w:p w:rsidR="004F5E03" w:rsidP="0009081E" w14:paraId="55A539E7"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2</w:t>
            </w:r>
          </w:p>
        </w:tc>
        <w:tc>
          <w:tcPr>
            <w:tcW w:w="1440" w:type="dxa"/>
            <w:tcBorders>
              <w:top w:val="nil"/>
              <w:left w:val="nil"/>
              <w:bottom w:val="single" w:sz="4" w:space="0" w:color="000000"/>
              <w:right w:val="single" w:sz="4" w:space="0" w:color="000000"/>
            </w:tcBorders>
            <w:shd w:val="clear" w:color="auto" w:fill="FFFFFF"/>
            <w:vAlign w:val="center"/>
          </w:tcPr>
          <w:p w:rsidR="004F5E03" w:rsidP="0009081E" w14:paraId="3EAB30CE"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$5</w:t>
            </w:r>
          </w:p>
        </w:tc>
        <w:tc>
          <w:tcPr>
            <w:tcW w:w="1530" w:type="dxa"/>
            <w:tcBorders>
              <w:top w:val="nil"/>
              <w:left w:val="nil"/>
              <w:bottom w:val="single" w:sz="4" w:space="0" w:color="000000"/>
              <w:right w:val="single" w:sz="8" w:space="0" w:color="000000"/>
            </w:tcBorders>
            <w:shd w:val="clear" w:color="auto" w:fill="FFFFFF"/>
            <w:vAlign w:val="center"/>
          </w:tcPr>
          <w:p w:rsidR="004F5E03" w:rsidP="0009081E" w14:paraId="487C192A"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$10</w:t>
            </w:r>
          </w:p>
        </w:tc>
      </w:tr>
      <w:tr w14:paraId="311A5872" w14:textId="77777777" w:rsidTr="0009081E">
        <w:tblPrEx>
          <w:tblW w:w="10275" w:type="dxa"/>
          <w:tblInd w:w="-25" w:type="dxa"/>
          <w:tblLayout w:type="fixed"/>
          <w:tblLook w:val="0400"/>
        </w:tblPrEx>
        <w:trPr>
          <w:trHeight w:val="315"/>
        </w:trPr>
        <w:tc>
          <w:tcPr>
            <w:tcW w:w="3075" w:type="dxa"/>
            <w:tcBorders>
              <w:top w:val="single" w:sz="8" w:space="0" w:color="000000"/>
              <w:left w:val="single" w:sz="8" w:space="0" w:color="000000"/>
              <w:bottom w:val="single" w:sz="8" w:space="0" w:color="000000"/>
              <w:right w:val="single" w:sz="4" w:space="0" w:color="000000"/>
            </w:tcBorders>
            <w:shd w:val="clear" w:color="auto" w:fill="DDEBF7"/>
            <w:vAlign w:val="center"/>
          </w:tcPr>
          <w:p w:rsidR="004F5E03" w:rsidP="0009081E" w14:paraId="787B9656" w14:textId="77777777">
            <w:pPr>
              <w:widowControl/>
              <w:jc w:val="right"/>
              <w:rPr>
                <w:rFonts w:ascii="Calibri" w:eastAsia="Calibri" w:hAnsi="Calibri" w:cs="Calibri"/>
                <w:b/>
                <w:color w:val="000000"/>
                <w:sz w:val="16"/>
                <w:szCs w:val="16"/>
              </w:rPr>
            </w:pPr>
            <w:r>
              <w:rPr>
                <w:rFonts w:ascii="Calibri" w:eastAsia="Calibri" w:hAnsi="Calibri" w:cs="Calibri"/>
                <w:b/>
                <w:color w:val="000000"/>
                <w:sz w:val="16"/>
                <w:szCs w:val="16"/>
              </w:rPr>
              <w:t>TOTALS</w:t>
            </w:r>
          </w:p>
        </w:tc>
        <w:tc>
          <w:tcPr>
            <w:tcW w:w="1157" w:type="dxa"/>
            <w:tcBorders>
              <w:top w:val="single" w:sz="8" w:space="0" w:color="000000"/>
              <w:left w:val="nil"/>
              <w:bottom w:val="single" w:sz="8" w:space="0" w:color="000000"/>
              <w:right w:val="single" w:sz="4" w:space="0" w:color="000000"/>
            </w:tcBorders>
            <w:shd w:val="clear" w:color="auto" w:fill="DDEBF7"/>
            <w:vAlign w:val="center"/>
          </w:tcPr>
          <w:p w:rsidR="004F5E03" w:rsidP="0009081E" w14:paraId="38435502"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2</w:t>
            </w:r>
          </w:p>
        </w:tc>
        <w:tc>
          <w:tcPr>
            <w:tcW w:w="1453" w:type="dxa"/>
            <w:tcBorders>
              <w:top w:val="single" w:sz="8" w:space="0" w:color="000000"/>
              <w:left w:val="nil"/>
              <w:bottom w:val="single" w:sz="8" w:space="0" w:color="000000"/>
              <w:right w:val="single" w:sz="4" w:space="0" w:color="000000"/>
            </w:tcBorders>
            <w:shd w:val="clear" w:color="auto" w:fill="DDEBF7"/>
            <w:vAlign w:val="center"/>
          </w:tcPr>
          <w:p w:rsidR="004F5E03" w:rsidP="0009081E" w14:paraId="0A20F9A2"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1</w:t>
            </w:r>
          </w:p>
        </w:tc>
        <w:tc>
          <w:tcPr>
            <w:tcW w:w="1620" w:type="dxa"/>
            <w:tcBorders>
              <w:top w:val="single" w:sz="8" w:space="0" w:color="000000"/>
              <w:left w:val="nil"/>
              <w:bottom w:val="single" w:sz="8" w:space="0" w:color="000000"/>
              <w:right w:val="single" w:sz="4" w:space="0" w:color="000000"/>
            </w:tcBorders>
            <w:shd w:val="clear" w:color="auto" w:fill="DDEBF7"/>
            <w:vAlign w:val="center"/>
          </w:tcPr>
          <w:p w:rsidR="004F5E03" w:rsidP="0009081E" w14:paraId="2E156F67"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2</w:t>
            </w:r>
          </w:p>
        </w:tc>
        <w:tc>
          <w:tcPr>
            <w:tcW w:w="1440" w:type="dxa"/>
            <w:tcBorders>
              <w:top w:val="single" w:sz="8" w:space="0" w:color="000000"/>
              <w:left w:val="nil"/>
              <w:bottom w:val="single" w:sz="8" w:space="0" w:color="000000"/>
              <w:right w:val="single" w:sz="4" w:space="0" w:color="000000"/>
            </w:tcBorders>
            <w:shd w:val="clear" w:color="auto" w:fill="DDEBF7"/>
            <w:vAlign w:val="center"/>
          </w:tcPr>
          <w:p w:rsidR="004F5E03" w:rsidP="0009081E" w14:paraId="075F9B10"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$5</w:t>
            </w:r>
          </w:p>
        </w:tc>
        <w:tc>
          <w:tcPr>
            <w:tcW w:w="1530" w:type="dxa"/>
            <w:tcBorders>
              <w:top w:val="single" w:sz="8" w:space="0" w:color="000000"/>
              <w:left w:val="nil"/>
              <w:bottom w:val="single" w:sz="8" w:space="0" w:color="000000"/>
              <w:right w:val="single" w:sz="8" w:space="0" w:color="000000"/>
            </w:tcBorders>
            <w:shd w:val="clear" w:color="auto" w:fill="DDEBF7"/>
            <w:vAlign w:val="center"/>
          </w:tcPr>
          <w:p w:rsidR="004F5E03" w:rsidP="0009081E" w14:paraId="79CC63B7"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$10</w:t>
            </w:r>
          </w:p>
        </w:tc>
      </w:tr>
    </w:tbl>
    <w:p w:rsidR="004F5E03" w:rsidP="0009081E" w14:paraId="5ABFD5B8" w14:textId="77777777">
      <w:pPr>
        <w:pBdr>
          <w:top w:val="nil"/>
          <w:left w:val="nil"/>
          <w:bottom w:val="nil"/>
          <w:right w:val="nil"/>
          <w:between w:val="nil"/>
        </w:pBdr>
        <w:spacing w:before="240"/>
        <w:rPr>
          <w:b/>
          <w:color w:val="000000"/>
        </w:rPr>
      </w:pPr>
    </w:p>
    <w:p w:rsidR="004F5E03" w:rsidRPr="00C94240" w:rsidP="005113A0" w14:paraId="28B2A07F" w14:textId="52419067">
      <w:pPr>
        <w:numPr>
          <w:ilvl w:val="0"/>
          <w:numId w:val="17"/>
        </w:numPr>
        <w:pBdr>
          <w:top w:val="nil"/>
          <w:left w:val="nil"/>
          <w:bottom w:val="nil"/>
          <w:right w:val="nil"/>
          <w:between w:val="nil"/>
        </w:pBdr>
        <w:tabs>
          <w:tab w:val="left" w:pos="540"/>
        </w:tabs>
        <w:spacing w:before="240"/>
        <w:ind w:left="540" w:hanging="540"/>
        <w:rPr>
          <w:b/>
          <w:color w:val="000000"/>
        </w:rPr>
      </w:pPr>
      <w:r>
        <w:rPr>
          <w:b/>
          <w:color w:val="000000"/>
        </w:rPr>
        <w:t xml:space="preserve">Provide estimates of annualized cost to </w:t>
      </w:r>
      <w:r>
        <w:rPr>
          <w:b/>
          <w:color w:val="000000"/>
        </w:rPr>
        <w:t>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F73DBA" w:rsidP="0009081E" w14:paraId="35FFA0B7" w14:textId="77777777">
      <w:pPr>
        <w:spacing w:before="240"/>
        <w:rPr>
          <w:color w:val="CC0000"/>
        </w:rPr>
      </w:pPr>
    </w:p>
    <w:tbl>
      <w:tblPr>
        <w:tblW w:w="8790" w:type="dxa"/>
        <w:jc w:val="center"/>
        <w:tblLayout w:type="fixed"/>
        <w:tblLook w:val="0400"/>
      </w:tblPr>
      <w:tblGrid>
        <w:gridCol w:w="2240"/>
        <w:gridCol w:w="1900"/>
        <w:gridCol w:w="1080"/>
        <w:gridCol w:w="990"/>
        <w:gridCol w:w="1280"/>
        <w:gridCol w:w="1300"/>
      </w:tblGrid>
      <w:tr w14:paraId="7BA58302" w14:textId="77777777" w:rsidTr="0009081E">
        <w:tblPrEx>
          <w:tblW w:w="8790" w:type="dxa"/>
          <w:jc w:val="center"/>
          <w:tblLayout w:type="fixed"/>
          <w:tblLook w:val="0400"/>
        </w:tblPrEx>
        <w:trPr>
          <w:trHeight w:val="450"/>
          <w:jc w:val="center"/>
        </w:trPr>
        <w:tc>
          <w:tcPr>
            <w:tcW w:w="2240" w:type="dxa"/>
            <w:tcBorders>
              <w:top w:val="single" w:sz="8" w:space="0" w:color="000000"/>
              <w:left w:val="single" w:sz="8" w:space="0" w:color="000000"/>
              <w:bottom w:val="nil"/>
              <w:right w:val="single" w:sz="8" w:space="0" w:color="000000"/>
            </w:tcBorders>
            <w:shd w:val="clear" w:color="auto" w:fill="BDD7EE"/>
            <w:vAlign w:val="center"/>
          </w:tcPr>
          <w:p w:rsidR="00F73DBA" w:rsidRPr="00F73DBA" w:rsidP="0009081E" w14:paraId="0D127924" w14:textId="77777777">
            <w:pPr>
              <w:widowControl/>
              <w:spacing w:before="240"/>
              <w:jc w:val="center"/>
              <w:rPr>
                <w:rFonts w:ascii="Calibri" w:eastAsia="Calibri" w:hAnsi="Calibri" w:cs="Calibri"/>
                <w:b/>
                <w:color w:val="000000"/>
                <w:sz w:val="16"/>
                <w:szCs w:val="16"/>
              </w:rPr>
            </w:pPr>
            <w:r w:rsidRPr="00F73DBA">
              <w:rPr>
                <w:rFonts w:ascii="Calibri" w:eastAsia="Calibri" w:hAnsi="Calibri" w:cs="Calibri"/>
                <w:b/>
                <w:color w:val="000000"/>
                <w:sz w:val="16"/>
                <w:szCs w:val="16"/>
              </w:rPr>
              <w:t>Cost Descriptions</w:t>
            </w:r>
          </w:p>
        </w:tc>
        <w:tc>
          <w:tcPr>
            <w:tcW w:w="1900" w:type="dxa"/>
            <w:tcBorders>
              <w:top w:val="single" w:sz="8" w:space="0" w:color="000000"/>
              <w:left w:val="nil"/>
              <w:bottom w:val="nil"/>
              <w:right w:val="single" w:sz="8" w:space="0" w:color="000000"/>
            </w:tcBorders>
            <w:shd w:val="clear" w:color="auto" w:fill="BDD7EE"/>
            <w:vAlign w:val="center"/>
          </w:tcPr>
          <w:p w:rsidR="00F73DBA" w:rsidRPr="00F73DBA" w:rsidP="0009081E" w14:paraId="18BE1F8A" w14:textId="77777777">
            <w:pPr>
              <w:widowControl/>
              <w:spacing w:before="240"/>
              <w:jc w:val="center"/>
              <w:rPr>
                <w:rFonts w:ascii="Calibri" w:eastAsia="Calibri" w:hAnsi="Calibri" w:cs="Calibri"/>
                <w:b/>
                <w:color w:val="000000"/>
                <w:sz w:val="16"/>
                <w:szCs w:val="16"/>
              </w:rPr>
            </w:pPr>
            <w:r w:rsidRPr="00F73DBA">
              <w:rPr>
                <w:rFonts w:ascii="Calibri" w:eastAsia="Calibri" w:hAnsi="Calibri" w:cs="Calibri"/>
                <w:b/>
                <w:color w:val="000000"/>
                <w:sz w:val="16"/>
                <w:szCs w:val="16"/>
              </w:rPr>
              <w:t>Grade/Step</w:t>
            </w:r>
          </w:p>
        </w:tc>
        <w:tc>
          <w:tcPr>
            <w:tcW w:w="1080" w:type="dxa"/>
            <w:tcBorders>
              <w:top w:val="single" w:sz="8" w:space="0" w:color="000000"/>
              <w:left w:val="nil"/>
              <w:bottom w:val="nil"/>
              <w:right w:val="single" w:sz="8" w:space="0" w:color="000000"/>
            </w:tcBorders>
            <w:shd w:val="clear" w:color="auto" w:fill="BDD7EE"/>
            <w:vAlign w:val="center"/>
          </w:tcPr>
          <w:p w:rsidR="00F73DBA" w:rsidRPr="00F73DBA" w:rsidP="0009081E" w14:paraId="50CCB338" w14:textId="77777777">
            <w:pPr>
              <w:widowControl/>
              <w:spacing w:before="240"/>
              <w:jc w:val="center"/>
              <w:rPr>
                <w:rFonts w:ascii="Calibri" w:eastAsia="Calibri" w:hAnsi="Calibri" w:cs="Calibri"/>
                <w:b/>
                <w:color w:val="000000"/>
                <w:sz w:val="16"/>
                <w:szCs w:val="16"/>
              </w:rPr>
            </w:pPr>
            <w:r w:rsidRPr="00F73DBA">
              <w:rPr>
                <w:rFonts w:ascii="Calibri" w:eastAsia="Calibri" w:hAnsi="Calibri" w:cs="Calibri"/>
                <w:b/>
                <w:color w:val="000000"/>
                <w:sz w:val="16"/>
                <w:szCs w:val="16"/>
              </w:rPr>
              <w:t>Loaded Salary /Cost</w:t>
            </w:r>
          </w:p>
        </w:tc>
        <w:tc>
          <w:tcPr>
            <w:tcW w:w="990" w:type="dxa"/>
            <w:tcBorders>
              <w:top w:val="single" w:sz="8" w:space="0" w:color="000000"/>
              <w:left w:val="nil"/>
              <w:bottom w:val="nil"/>
              <w:right w:val="single" w:sz="8" w:space="0" w:color="000000"/>
            </w:tcBorders>
            <w:shd w:val="clear" w:color="auto" w:fill="BDD7EE"/>
            <w:vAlign w:val="center"/>
          </w:tcPr>
          <w:p w:rsidR="00F73DBA" w:rsidRPr="00F73DBA" w:rsidP="0009081E" w14:paraId="58044D20" w14:textId="77777777">
            <w:pPr>
              <w:widowControl/>
              <w:spacing w:before="240"/>
              <w:jc w:val="center"/>
              <w:rPr>
                <w:rFonts w:ascii="Calibri" w:eastAsia="Calibri" w:hAnsi="Calibri" w:cs="Calibri"/>
                <w:b/>
                <w:color w:val="000000"/>
                <w:sz w:val="16"/>
                <w:szCs w:val="16"/>
              </w:rPr>
            </w:pPr>
            <w:r w:rsidRPr="00F73DBA">
              <w:rPr>
                <w:rFonts w:ascii="Calibri" w:eastAsia="Calibri" w:hAnsi="Calibri" w:cs="Calibri"/>
                <w:b/>
                <w:color w:val="000000"/>
                <w:sz w:val="16"/>
                <w:szCs w:val="16"/>
              </w:rPr>
              <w:t>% of Effort</w:t>
            </w:r>
          </w:p>
        </w:tc>
        <w:tc>
          <w:tcPr>
            <w:tcW w:w="1280" w:type="dxa"/>
            <w:tcBorders>
              <w:top w:val="single" w:sz="8" w:space="0" w:color="000000"/>
              <w:left w:val="nil"/>
              <w:bottom w:val="nil"/>
              <w:right w:val="single" w:sz="8" w:space="0" w:color="000000"/>
            </w:tcBorders>
            <w:shd w:val="clear" w:color="auto" w:fill="BDD7EE"/>
            <w:vAlign w:val="center"/>
          </w:tcPr>
          <w:p w:rsidR="00F73DBA" w:rsidRPr="00F73DBA" w:rsidP="0009081E" w14:paraId="380FA00A" w14:textId="77777777">
            <w:pPr>
              <w:widowControl/>
              <w:spacing w:before="240"/>
              <w:jc w:val="center"/>
              <w:rPr>
                <w:rFonts w:ascii="Calibri" w:eastAsia="Calibri" w:hAnsi="Calibri" w:cs="Calibri"/>
                <w:b/>
                <w:color w:val="000000"/>
                <w:sz w:val="16"/>
                <w:szCs w:val="16"/>
              </w:rPr>
            </w:pPr>
            <w:r w:rsidRPr="00F73DBA">
              <w:rPr>
                <w:rFonts w:ascii="Calibri" w:eastAsia="Calibri" w:hAnsi="Calibri" w:cs="Calibri"/>
                <w:b/>
                <w:color w:val="000000"/>
                <w:sz w:val="16"/>
                <w:szCs w:val="16"/>
              </w:rPr>
              <w:t>Fringe (if Applicable)</w:t>
            </w:r>
          </w:p>
        </w:tc>
        <w:tc>
          <w:tcPr>
            <w:tcW w:w="1300" w:type="dxa"/>
            <w:tcBorders>
              <w:top w:val="single" w:sz="8" w:space="0" w:color="000000"/>
              <w:left w:val="nil"/>
              <w:bottom w:val="nil"/>
              <w:right w:val="single" w:sz="8" w:space="0" w:color="000000"/>
            </w:tcBorders>
            <w:shd w:val="clear" w:color="auto" w:fill="BDD7EE"/>
            <w:vAlign w:val="center"/>
          </w:tcPr>
          <w:p w:rsidR="00F73DBA" w:rsidRPr="00F73DBA" w:rsidP="0009081E" w14:paraId="4A7B6A30" w14:textId="77777777">
            <w:pPr>
              <w:widowControl/>
              <w:spacing w:before="240"/>
              <w:jc w:val="center"/>
              <w:rPr>
                <w:rFonts w:ascii="Calibri" w:eastAsia="Calibri" w:hAnsi="Calibri" w:cs="Calibri"/>
                <w:b/>
                <w:color w:val="000000"/>
                <w:sz w:val="16"/>
                <w:szCs w:val="16"/>
              </w:rPr>
            </w:pPr>
            <w:r w:rsidRPr="00F73DBA">
              <w:rPr>
                <w:rFonts w:ascii="Calibri" w:eastAsia="Calibri" w:hAnsi="Calibri" w:cs="Calibri"/>
                <w:b/>
                <w:color w:val="000000"/>
                <w:sz w:val="16"/>
                <w:szCs w:val="16"/>
              </w:rPr>
              <w:t>Total Cost to Government</w:t>
            </w:r>
          </w:p>
        </w:tc>
      </w:tr>
      <w:tr w14:paraId="34A065AC" w14:textId="77777777" w:rsidTr="0009081E">
        <w:tblPrEx>
          <w:tblW w:w="8790" w:type="dxa"/>
          <w:jc w:val="center"/>
          <w:tblLayout w:type="fixed"/>
          <w:tblLook w:val="0400"/>
        </w:tblPrEx>
        <w:trPr>
          <w:trHeight w:val="465"/>
          <w:jc w:val="center"/>
        </w:trPr>
        <w:tc>
          <w:tcPr>
            <w:tcW w:w="2240" w:type="dxa"/>
            <w:tcBorders>
              <w:top w:val="single" w:sz="4" w:space="0" w:color="000000"/>
              <w:left w:val="single" w:sz="8" w:space="0" w:color="000000"/>
              <w:bottom w:val="single" w:sz="4" w:space="0" w:color="000000"/>
              <w:right w:val="single" w:sz="8" w:space="0" w:color="000000"/>
            </w:tcBorders>
            <w:vAlign w:val="center"/>
          </w:tcPr>
          <w:p w:rsidR="00F73DBA" w:rsidRPr="0009081E" w:rsidP="0009081E" w14:paraId="179FE02F" w14:textId="77777777">
            <w:pPr>
              <w:widowControl/>
              <w:rPr>
                <w:rFonts w:ascii="Calibri" w:eastAsia="Calibri" w:hAnsi="Calibri" w:cs="Calibri"/>
                <w:b/>
                <w:color w:val="000000"/>
                <w:sz w:val="20"/>
                <w:szCs w:val="20"/>
              </w:rPr>
            </w:pPr>
            <w:r w:rsidRPr="0009081E">
              <w:rPr>
                <w:rFonts w:ascii="Calibri" w:eastAsia="Calibri" w:hAnsi="Calibri" w:cs="Calibri"/>
                <w:b/>
                <w:color w:val="000000"/>
                <w:sz w:val="20"/>
                <w:szCs w:val="20"/>
              </w:rPr>
              <w:t>Federal Oversight</w:t>
            </w:r>
          </w:p>
        </w:tc>
        <w:tc>
          <w:tcPr>
            <w:tcW w:w="1900" w:type="dxa"/>
            <w:tcBorders>
              <w:top w:val="single" w:sz="4" w:space="0" w:color="000000"/>
              <w:left w:val="nil"/>
              <w:bottom w:val="single" w:sz="4" w:space="0" w:color="000000"/>
              <w:right w:val="single" w:sz="4" w:space="0" w:color="000000"/>
            </w:tcBorders>
            <w:vAlign w:val="center"/>
          </w:tcPr>
          <w:p w:rsidR="00F73DBA" w:rsidRPr="0009081E" w:rsidP="0009081E" w14:paraId="6B6839AC" w14:textId="3DFEB7DE">
            <w:pPr>
              <w:widowControl/>
              <w:jc w:val="center"/>
              <w:rPr>
                <w:rFonts w:ascii="Calibri" w:eastAsia="Calibri" w:hAnsi="Calibri" w:cs="Calibri"/>
                <w:color w:val="000000"/>
                <w:sz w:val="20"/>
                <w:szCs w:val="20"/>
              </w:rPr>
            </w:pPr>
            <w:r w:rsidRPr="0009081E">
              <w:rPr>
                <w:rFonts w:ascii="Calibri" w:eastAsia="Calibri" w:hAnsi="Calibri" w:cs="Calibri"/>
                <w:color w:val="000000"/>
                <w:sz w:val="20"/>
                <w:szCs w:val="20"/>
              </w:rPr>
              <w:t>Grade III</w:t>
            </w:r>
            <w:r w:rsidRPr="0009081E" w:rsidR="004C011A">
              <w:rPr>
                <w:rFonts w:ascii="Calibri" w:eastAsia="Calibri" w:hAnsi="Calibri" w:cs="Calibri"/>
                <w:color w:val="000000"/>
                <w:sz w:val="20"/>
                <w:szCs w:val="20"/>
              </w:rPr>
              <w:t>/</w:t>
            </w:r>
            <w:r w:rsidRPr="0009081E">
              <w:rPr>
                <w:rFonts w:ascii="Calibri" w:eastAsia="Calibri" w:hAnsi="Calibri" w:cs="Calibri"/>
                <w:color w:val="000000"/>
                <w:sz w:val="20"/>
                <w:szCs w:val="20"/>
              </w:rPr>
              <w:t xml:space="preserve"> </w:t>
            </w:r>
            <w:r w:rsidR="0009081E">
              <w:rPr>
                <w:rFonts w:ascii="Calibri" w:eastAsia="Calibri" w:hAnsi="Calibri" w:cs="Calibri"/>
                <w:color w:val="000000"/>
                <w:sz w:val="20"/>
                <w:szCs w:val="20"/>
              </w:rPr>
              <w:t>Interval</w:t>
            </w:r>
            <w:r w:rsidRPr="0009081E">
              <w:rPr>
                <w:rFonts w:ascii="Calibri" w:eastAsia="Calibri" w:hAnsi="Calibri" w:cs="Calibri"/>
                <w:color w:val="000000"/>
                <w:sz w:val="20"/>
                <w:szCs w:val="20"/>
              </w:rPr>
              <w:t xml:space="preserve"> </w:t>
            </w:r>
            <w:r w:rsidRPr="0009081E" w:rsidR="004C011A">
              <w:rPr>
                <w:rFonts w:ascii="Calibri" w:eastAsia="Calibri" w:hAnsi="Calibri" w:cs="Calibri"/>
                <w:color w:val="000000"/>
                <w:sz w:val="20"/>
                <w:szCs w:val="20"/>
              </w:rPr>
              <w:t>1</w:t>
            </w:r>
          </w:p>
        </w:tc>
        <w:tc>
          <w:tcPr>
            <w:tcW w:w="1080" w:type="dxa"/>
            <w:tcBorders>
              <w:top w:val="single" w:sz="4" w:space="0" w:color="000000"/>
              <w:left w:val="nil"/>
              <w:bottom w:val="single" w:sz="4" w:space="0" w:color="000000"/>
              <w:right w:val="single" w:sz="4" w:space="0" w:color="000000"/>
            </w:tcBorders>
            <w:vAlign w:val="center"/>
          </w:tcPr>
          <w:p w:rsidR="00F73DBA" w:rsidRPr="0009081E" w:rsidP="0009081E" w14:paraId="18796A15" w14:textId="7E365F2D">
            <w:pPr>
              <w:widowControl/>
              <w:jc w:val="center"/>
              <w:rPr>
                <w:rFonts w:ascii="Calibri" w:eastAsia="Calibri" w:hAnsi="Calibri" w:cs="Calibri"/>
                <w:color w:val="000000"/>
                <w:sz w:val="20"/>
                <w:szCs w:val="20"/>
              </w:rPr>
            </w:pPr>
            <w:r w:rsidRPr="0009081E">
              <w:rPr>
                <w:rFonts w:ascii="Calibri" w:eastAsia="Calibri" w:hAnsi="Calibri" w:cs="Calibri"/>
                <w:color w:val="000000"/>
                <w:sz w:val="20"/>
                <w:szCs w:val="20"/>
              </w:rPr>
              <w:t>$</w:t>
            </w:r>
            <w:r w:rsidRPr="0009081E" w:rsidR="004C011A">
              <w:rPr>
                <w:rFonts w:ascii="Calibri" w:eastAsia="Calibri" w:hAnsi="Calibri" w:cs="Calibri"/>
                <w:color w:val="000000"/>
                <w:sz w:val="20"/>
                <w:szCs w:val="20"/>
              </w:rPr>
              <w:t>139</w:t>
            </w:r>
            <w:r w:rsidRPr="0009081E" w:rsidR="006C213E">
              <w:rPr>
                <w:rFonts w:ascii="Calibri" w:eastAsia="Calibri" w:hAnsi="Calibri" w:cs="Calibri"/>
                <w:color w:val="000000"/>
                <w:sz w:val="20"/>
                <w:szCs w:val="20"/>
              </w:rPr>
              <w:t>,</w:t>
            </w:r>
            <w:r w:rsidRPr="0009081E" w:rsidR="004C011A">
              <w:rPr>
                <w:rFonts w:ascii="Calibri" w:eastAsia="Calibri" w:hAnsi="Calibri" w:cs="Calibri"/>
                <w:color w:val="000000"/>
                <w:sz w:val="20"/>
                <w:szCs w:val="20"/>
              </w:rPr>
              <w:t>806</w:t>
            </w:r>
          </w:p>
        </w:tc>
        <w:tc>
          <w:tcPr>
            <w:tcW w:w="990" w:type="dxa"/>
            <w:tcBorders>
              <w:top w:val="single" w:sz="4" w:space="0" w:color="000000"/>
              <w:left w:val="nil"/>
              <w:bottom w:val="single" w:sz="4" w:space="0" w:color="000000"/>
              <w:right w:val="single" w:sz="4" w:space="0" w:color="000000"/>
            </w:tcBorders>
            <w:vAlign w:val="center"/>
          </w:tcPr>
          <w:p w:rsidR="00F73DBA" w:rsidRPr="0009081E" w:rsidP="0009081E" w14:paraId="04E75F01" w14:textId="6FE085DB">
            <w:pPr>
              <w:widowControl/>
              <w:jc w:val="center"/>
              <w:rPr>
                <w:rFonts w:ascii="Calibri" w:eastAsia="Calibri" w:hAnsi="Calibri" w:cs="Calibri"/>
                <w:color w:val="000000"/>
                <w:sz w:val="20"/>
                <w:szCs w:val="20"/>
              </w:rPr>
            </w:pPr>
            <w:r w:rsidRPr="0009081E">
              <w:rPr>
                <w:rFonts w:ascii="Calibri" w:eastAsia="Calibri" w:hAnsi="Calibri" w:cs="Calibri"/>
                <w:color w:val="000000"/>
                <w:sz w:val="20"/>
                <w:szCs w:val="20"/>
              </w:rPr>
              <w:t>0.02%</w:t>
            </w:r>
          </w:p>
        </w:tc>
        <w:tc>
          <w:tcPr>
            <w:tcW w:w="1280" w:type="dxa"/>
            <w:tcBorders>
              <w:top w:val="single" w:sz="4" w:space="0" w:color="000000"/>
              <w:left w:val="nil"/>
              <w:bottom w:val="single" w:sz="4" w:space="0" w:color="000000"/>
              <w:right w:val="single" w:sz="4" w:space="0" w:color="000000"/>
            </w:tcBorders>
            <w:shd w:val="clear" w:color="auto" w:fill="808080"/>
            <w:vAlign w:val="center"/>
          </w:tcPr>
          <w:p w:rsidR="00F73DBA" w:rsidRPr="0009081E" w:rsidP="0009081E" w14:paraId="3B3465C2" w14:textId="137C03F8">
            <w:pPr>
              <w:widowControl/>
              <w:jc w:val="center"/>
              <w:rPr>
                <w:rFonts w:ascii="Calibri" w:eastAsia="Calibri" w:hAnsi="Calibri" w:cs="Calibri"/>
                <w:color w:val="000000"/>
                <w:sz w:val="20"/>
                <w:szCs w:val="20"/>
              </w:rPr>
            </w:pPr>
          </w:p>
        </w:tc>
        <w:tc>
          <w:tcPr>
            <w:tcW w:w="1300" w:type="dxa"/>
            <w:tcBorders>
              <w:top w:val="single" w:sz="4" w:space="0" w:color="000000"/>
              <w:left w:val="nil"/>
              <w:bottom w:val="single" w:sz="4" w:space="0" w:color="000000"/>
              <w:right w:val="single" w:sz="8" w:space="0" w:color="000000"/>
            </w:tcBorders>
            <w:vAlign w:val="center"/>
          </w:tcPr>
          <w:p w:rsidR="00F73DBA" w:rsidRPr="0009081E" w:rsidP="0009081E" w14:paraId="64308663" w14:textId="6B697AFA">
            <w:pPr>
              <w:widowControl/>
              <w:jc w:val="center"/>
              <w:rPr>
                <w:rFonts w:ascii="Calibri" w:eastAsia="Calibri" w:hAnsi="Calibri" w:cs="Calibri"/>
                <w:color w:val="000000"/>
                <w:sz w:val="20"/>
                <w:szCs w:val="20"/>
              </w:rPr>
            </w:pPr>
            <w:r w:rsidRPr="0009081E">
              <w:rPr>
                <w:rFonts w:ascii="Calibri" w:eastAsia="Calibri" w:hAnsi="Calibri" w:cs="Calibri"/>
                <w:color w:val="000000"/>
                <w:sz w:val="20"/>
                <w:szCs w:val="20"/>
              </w:rPr>
              <w:t>$</w:t>
            </w:r>
            <w:r w:rsidRPr="0009081E" w:rsidR="006C213E">
              <w:rPr>
                <w:rFonts w:ascii="Calibri" w:eastAsia="Calibri" w:hAnsi="Calibri" w:cs="Calibri"/>
                <w:color w:val="000000"/>
                <w:sz w:val="20"/>
                <w:szCs w:val="20"/>
              </w:rPr>
              <w:t>28</w:t>
            </w:r>
          </w:p>
        </w:tc>
      </w:tr>
      <w:tr w14:paraId="56785E3B" w14:textId="77777777" w:rsidTr="0009081E">
        <w:tblPrEx>
          <w:tblW w:w="8790" w:type="dxa"/>
          <w:jc w:val="center"/>
          <w:tblLayout w:type="fixed"/>
          <w:tblLook w:val="0400"/>
        </w:tblPrEx>
        <w:trPr>
          <w:trHeight w:val="300"/>
          <w:jc w:val="center"/>
        </w:trPr>
        <w:tc>
          <w:tcPr>
            <w:tcW w:w="2240" w:type="dxa"/>
            <w:tcBorders>
              <w:top w:val="nil"/>
              <w:left w:val="single" w:sz="8" w:space="0" w:color="000000"/>
              <w:bottom w:val="single" w:sz="4" w:space="0" w:color="000000"/>
              <w:right w:val="single" w:sz="8" w:space="0" w:color="000000"/>
            </w:tcBorders>
            <w:vAlign w:val="center"/>
          </w:tcPr>
          <w:p w:rsidR="00F73DBA" w:rsidRPr="0009081E" w:rsidP="0009081E" w14:paraId="08694BEF" w14:textId="77777777">
            <w:pPr>
              <w:widowControl/>
              <w:rPr>
                <w:rFonts w:ascii="Calibri" w:eastAsia="Calibri" w:hAnsi="Calibri" w:cs="Calibri"/>
                <w:color w:val="000000"/>
                <w:sz w:val="20"/>
                <w:szCs w:val="20"/>
              </w:rPr>
            </w:pPr>
            <w:r w:rsidRPr="0009081E">
              <w:rPr>
                <w:rFonts w:ascii="Calibri" w:eastAsia="Calibri" w:hAnsi="Calibri" w:cs="Calibri"/>
                <w:color w:val="000000"/>
                <w:sz w:val="20"/>
                <w:szCs w:val="20"/>
              </w:rPr>
              <w:t xml:space="preserve">Other Federal </w:t>
            </w:r>
            <w:r w:rsidRPr="0009081E">
              <w:rPr>
                <w:rFonts w:ascii="Calibri" w:eastAsia="Calibri" w:hAnsi="Calibri" w:cs="Calibri"/>
                <w:color w:val="000000"/>
                <w:sz w:val="20"/>
                <w:szCs w:val="20"/>
              </w:rPr>
              <w:t>Positions</w:t>
            </w:r>
          </w:p>
        </w:tc>
        <w:tc>
          <w:tcPr>
            <w:tcW w:w="1900" w:type="dxa"/>
            <w:tcBorders>
              <w:top w:val="nil"/>
              <w:left w:val="nil"/>
              <w:bottom w:val="single" w:sz="4" w:space="0" w:color="000000"/>
              <w:right w:val="single" w:sz="4" w:space="0" w:color="000000"/>
            </w:tcBorders>
            <w:vAlign w:val="center"/>
          </w:tcPr>
          <w:p w:rsidR="00F73DBA" w:rsidRPr="0009081E" w:rsidP="0009081E" w14:paraId="4A92B823" w14:textId="17B0F9AB">
            <w:pPr>
              <w:widowControl/>
              <w:jc w:val="center"/>
              <w:rPr>
                <w:rFonts w:ascii="Calibri" w:eastAsia="Calibri" w:hAnsi="Calibri" w:cs="Calibri"/>
                <w:color w:val="000000"/>
                <w:sz w:val="20"/>
                <w:szCs w:val="20"/>
              </w:rPr>
            </w:pPr>
          </w:p>
        </w:tc>
        <w:tc>
          <w:tcPr>
            <w:tcW w:w="1080" w:type="dxa"/>
            <w:tcBorders>
              <w:top w:val="nil"/>
              <w:left w:val="nil"/>
              <w:bottom w:val="single" w:sz="4" w:space="0" w:color="000000"/>
              <w:right w:val="single" w:sz="4" w:space="0" w:color="000000"/>
            </w:tcBorders>
            <w:vAlign w:val="center"/>
          </w:tcPr>
          <w:p w:rsidR="00F73DBA" w:rsidRPr="0009081E" w:rsidP="0009081E" w14:paraId="79AEE5E9" w14:textId="7B66CDEA">
            <w:pPr>
              <w:widowControl/>
              <w:jc w:val="center"/>
              <w:rPr>
                <w:rFonts w:ascii="Calibri" w:eastAsia="Calibri" w:hAnsi="Calibri" w:cs="Calibri"/>
                <w:color w:val="000000"/>
                <w:sz w:val="20"/>
                <w:szCs w:val="20"/>
              </w:rPr>
            </w:pPr>
          </w:p>
        </w:tc>
        <w:tc>
          <w:tcPr>
            <w:tcW w:w="990" w:type="dxa"/>
            <w:tcBorders>
              <w:top w:val="nil"/>
              <w:left w:val="nil"/>
              <w:bottom w:val="single" w:sz="4" w:space="0" w:color="000000"/>
              <w:right w:val="single" w:sz="4" w:space="0" w:color="000000"/>
            </w:tcBorders>
            <w:vAlign w:val="center"/>
          </w:tcPr>
          <w:p w:rsidR="00F73DBA" w:rsidRPr="0009081E" w:rsidP="0009081E" w14:paraId="45B71B9F" w14:textId="31F67E13">
            <w:pPr>
              <w:widowControl/>
              <w:jc w:val="center"/>
              <w:rPr>
                <w:rFonts w:ascii="Calibri" w:eastAsia="Calibri" w:hAnsi="Calibri" w:cs="Calibri"/>
                <w:color w:val="000000"/>
                <w:sz w:val="20"/>
                <w:szCs w:val="20"/>
              </w:rPr>
            </w:pPr>
          </w:p>
        </w:tc>
        <w:tc>
          <w:tcPr>
            <w:tcW w:w="1280" w:type="dxa"/>
            <w:tcBorders>
              <w:top w:val="nil"/>
              <w:left w:val="nil"/>
              <w:bottom w:val="single" w:sz="4" w:space="0" w:color="000000"/>
              <w:right w:val="single" w:sz="4" w:space="0" w:color="000000"/>
            </w:tcBorders>
            <w:shd w:val="clear" w:color="auto" w:fill="808080"/>
            <w:vAlign w:val="center"/>
          </w:tcPr>
          <w:p w:rsidR="00F73DBA" w:rsidRPr="0009081E" w:rsidP="0009081E" w14:paraId="1CAB85E5" w14:textId="584F6050">
            <w:pPr>
              <w:widowControl/>
              <w:jc w:val="center"/>
              <w:rPr>
                <w:rFonts w:ascii="Calibri" w:eastAsia="Calibri" w:hAnsi="Calibri" w:cs="Calibri"/>
                <w:color w:val="000000"/>
                <w:sz w:val="20"/>
                <w:szCs w:val="20"/>
              </w:rPr>
            </w:pPr>
          </w:p>
        </w:tc>
        <w:tc>
          <w:tcPr>
            <w:tcW w:w="1300" w:type="dxa"/>
            <w:tcBorders>
              <w:top w:val="nil"/>
              <w:left w:val="nil"/>
              <w:bottom w:val="single" w:sz="4" w:space="0" w:color="000000"/>
              <w:right w:val="single" w:sz="8" w:space="0" w:color="000000"/>
            </w:tcBorders>
            <w:vAlign w:val="center"/>
          </w:tcPr>
          <w:p w:rsidR="00F73DBA" w:rsidRPr="0009081E" w:rsidP="0009081E" w14:paraId="7B3C6194" w14:textId="782ECCDA">
            <w:pPr>
              <w:widowControl/>
              <w:jc w:val="center"/>
              <w:rPr>
                <w:rFonts w:ascii="Calibri" w:eastAsia="Calibri" w:hAnsi="Calibri" w:cs="Calibri"/>
                <w:color w:val="000000"/>
                <w:sz w:val="20"/>
                <w:szCs w:val="20"/>
              </w:rPr>
            </w:pPr>
          </w:p>
        </w:tc>
      </w:tr>
      <w:tr w14:paraId="1D063C51" w14:textId="77777777" w:rsidTr="0009081E">
        <w:tblPrEx>
          <w:tblW w:w="8790" w:type="dxa"/>
          <w:jc w:val="center"/>
          <w:tblLayout w:type="fixed"/>
          <w:tblLook w:val="0400"/>
        </w:tblPrEx>
        <w:trPr>
          <w:trHeight w:val="169"/>
          <w:jc w:val="center"/>
        </w:trPr>
        <w:tc>
          <w:tcPr>
            <w:tcW w:w="2240" w:type="dxa"/>
            <w:tcBorders>
              <w:top w:val="nil"/>
              <w:left w:val="single" w:sz="8" w:space="0" w:color="000000"/>
              <w:bottom w:val="single" w:sz="4" w:space="0" w:color="000000"/>
              <w:right w:val="single" w:sz="8" w:space="0" w:color="000000"/>
            </w:tcBorders>
            <w:vAlign w:val="center"/>
          </w:tcPr>
          <w:p w:rsidR="00F73DBA" w:rsidRPr="0009081E" w:rsidP="0009081E" w14:paraId="7D04B072" w14:textId="77777777">
            <w:pPr>
              <w:widowControl/>
              <w:rPr>
                <w:rFonts w:ascii="Calibri" w:eastAsia="Calibri" w:hAnsi="Calibri" w:cs="Calibri"/>
                <w:b/>
                <w:color w:val="000000"/>
                <w:sz w:val="20"/>
                <w:szCs w:val="20"/>
              </w:rPr>
            </w:pPr>
            <w:r w:rsidRPr="0009081E">
              <w:rPr>
                <w:rFonts w:ascii="Calibri" w:eastAsia="Calibri" w:hAnsi="Calibri" w:cs="Calibri"/>
                <w:b/>
                <w:color w:val="000000"/>
                <w:sz w:val="20"/>
                <w:szCs w:val="20"/>
              </w:rPr>
              <w:t>Contractor Cost</w:t>
            </w:r>
          </w:p>
        </w:tc>
        <w:tc>
          <w:tcPr>
            <w:tcW w:w="1900" w:type="dxa"/>
            <w:tcBorders>
              <w:top w:val="nil"/>
              <w:left w:val="nil"/>
              <w:bottom w:val="single" w:sz="4" w:space="0" w:color="000000"/>
              <w:right w:val="single" w:sz="4" w:space="0" w:color="000000"/>
            </w:tcBorders>
            <w:shd w:val="clear" w:color="auto" w:fill="808080"/>
            <w:vAlign w:val="center"/>
          </w:tcPr>
          <w:p w:rsidR="00F73DBA" w:rsidRPr="0009081E" w:rsidP="0009081E" w14:paraId="37F1FD13" w14:textId="3675C7B3">
            <w:pPr>
              <w:widowControl/>
              <w:jc w:val="center"/>
              <w:rPr>
                <w:rFonts w:ascii="Calibri" w:eastAsia="Calibri" w:hAnsi="Calibri" w:cs="Calibri"/>
                <w:color w:val="000000"/>
                <w:sz w:val="20"/>
                <w:szCs w:val="20"/>
              </w:rPr>
            </w:pPr>
          </w:p>
        </w:tc>
        <w:tc>
          <w:tcPr>
            <w:tcW w:w="1080" w:type="dxa"/>
            <w:tcBorders>
              <w:top w:val="nil"/>
              <w:left w:val="nil"/>
              <w:bottom w:val="single" w:sz="4" w:space="0" w:color="000000"/>
              <w:right w:val="single" w:sz="4" w:space="0" w:color="000000"/>
            </w:tcBorders>
            <w:vAlign w:val="center"/>
          </w:tcPr>
          <w:p w:rsidR="00F73DBA" w:rsidRPr="0009081E" w:rsidP="0009081E" w14:paraId="59869EE3" w14:textId="5F7AE548">
            <w:pPr>
              <w:widowControl/>
              <w:jc w:val="center"/>
              <w:rPr>
                <w:rFonts w:ascii="Calibri" w:eastAsia="Calibri" w:hAnsi="Calibri" w:cs="Calibri"/>
                <w:color w:val="000000"/>
                <w:sz w:val="20"/>
                <w:szCs w:val="20"/>
              </w:rPr>
            </w:pPr>
          </w:p>
        </w:tc>
        <w:tc>
          <w:tcPr>
            <w:tcW w:w="990" w:type="dxa"/>
            <w:tcBorders>
              <w:top w:val="nil"/>
              <w:left w:val="nil"/>
              <w:bottom w:val="single" w:sz="4" w:space="0" w:color="000000"/>
              <w:right w:val="single" w:sz="4" w:space="0" w:color="000000"/>
            </w:tcBorders>
            <w:vAlign w:val="center"/>
          </w:tcPr>
          <w:p w:rsidR="00F73DBA" w:rsidRPr="0009081E" w:rsidP="0009081E" w14:paraId="1C8A5444" w14:textId="08BAF166">
            <w:pPr>
              <w:widowControl/>
              <w:jc w:val="center"/>
              <w:rPr>
                <w:rFonts w:ascii="Calibri" w:eastAsia="Calibri" w:hAnsi="Calibri" w:cs="Calibri"/>
                <w:color w:val="000000"/>
                <w:sz w:val="20"/>
                <w:szCs w:val="20"/>
              </w:rPr>
            </w:pPr>
          </w:p>
        </w:tc>
        <w:tc>
          <w:tcPr>
            <w:tcW w:w="1280" w:type="dxa"/>
            <w:tcBorders>
              <w:top w:val="nil"/>
              <w:left w:val="nil"/>
              <w:bottom w:val="single" w:sz="4" w:space="0" w:color="000000"/>
              <w:right w:val="single" w:sz="4" w:space="0" w:color="000000"/>
            </w:tcBorders>
            <w:vAlign w:val="center"/>
          </w:tcPr>
          <w:p w:rsidR="00F73DBA" w:rsidRPr="0009081E" w:rsidP="0009081E" w14:paraId="01CF7A77" w14:textId="06CB7B4C">
            <w:pPr>
              <w:widowControl/>
              <w:jc w:val="center"/>
              <w:rPr>
                <w:rFonts w:ascii="Calibri" w:eastAsia="Calibri" w:hAnsi="Calibri" w:cs="Calibri"/>
                <w:color w:val="000000"/>
                <w:sz w:val="20"/>
                <w:szCs w:val="20"/>
              </w:rPr>
            </w:pPr>
          </w:p>
        </w:tc>
        <w:tc>
          <w:tcPr>
            <w:tcW w:w="1300" w:type="dxa"/>
            <w:tcBorders>
              <w:top w:val="nil"/>
              <w:left w:val="nil"/>
              <w:bottom w:val="single" w:sz="4" w:space="0" w:color="000000"/>
              <w:right w:val="single" w:sz="8" w:space="0" w:color="000000"/>
            </w:tcBorders>
            <w:vAlign w:val="center"/>
          </w:tcPr>
          <w:p w:rsidR="00F73DBA" w:rsidRPr="0009081E" w:rsidP="0009081E" w14:paraId="0F99DED5" w14:textId="4745D0A6">
            <w:pPr>
              <w:widowControl/>
              <w:jc w:val="center"/>
              <w:rPr>
                <w:rFonts w:ascii="Calibri" w:eastAsia="Calibri" w:hAnsi="Calibri" w:cs="Calibri"/>
                <w:color w:val="000000"/>
                <w:sz w:val="20"/>
                <w:szCs w:val="20"/>
              </w:rPr>
            </w:pPr>
          </w:p>
        </w:tc>
      </w:tr>
      <w:tr w14:paraId="1019A7F6" w14:textId="77777777" w:rsidTr="0009081E">
        <w:tblPrEx>
          <w:tblW w:w="8790" w:type="dxa"/>
          <w:jc w:val="center"/>
          <w:tblLayout w:type="fixed"/>
          <w:tblLook w:val="0400"/>
        </w:tblPrEx>
        <w:trPr>
          <w:trHeight w:val="300"/>
          <w:jc w:val="center"/>
        </w:trPr>
        <w:tc>
          <w:tcPr>
            <w:tcW w:w="2240" w:type="dxa"/>
            <w:tcBorders>
              <w:top w:val="nil"/>
              <w:left w:val="single" w:sz="8" w:space="0" w:color="000000"/>
              <w:bottom w:val="single" w:sz="4" w:space="0" w:color="000000"/>
              <w:right w:val="single" w:sz="8" w:space="0" w:color="000000"/>
            </w:tcBorders>
            <w:vAlign w:val="center"/>
          </w:tcPr>
          <w:p w:rsidR="00F73DBA" w:rsidRPr="0009081E" w:rsidP="0009081E" w14:paraId="26F18BA4" w14:textId="77777777">
            <w:pPr>
              <w:widowControl/>
              <w:rPr>
                <w:rFonts w:ascii="Calibri" w:eastAsia="Calibri" w:hAnsi="Calibri" w:cs="Calibri"/>
                <w:b/>
                <w:color w:val="000000"/>
                <w:sz w:val="20"/>
                <w:szCs w:val="20"/>
              </w:rPr>
            </w:pPr>
            <w:r w:rsidRPr="0009081E">
              <w:rPr>
                <w:rFonts w:ascii="Calibri" w:eastAsia="Calibri" w:hAnsi="Calibri" w:cs="Calibri"/>
                <w:b/>
                <w:color w:val="000000"/>
                <w:sz w:val="20"/>
                <w:szCs w:val="20"/>
              </w:rPr>
              <w:t>Travel</w:t>
            </w:r>
          </w:p>
        </w:tc>
        <w:tc>
          <w:tcPr>
            <w:tcW w:w="1900" w:type="dxa"/>
            <w:tcBorders>
              <w:top w:val="nil"/>
              <w:left w:val="nil"/>
              <w:bottom w:val="single" w:sz="4" w:space="0" w:color="000000"/>
              <w:right w:val="single" w:sz="4" w:space="0" w:color="000000"/>
            </w:tcBorders>
            <w:shd w:val="clear" w:color="auto" w:fill="808080"/>
            <w:vAlign w:val="center"/>
          </w:tcPr>
          <w:p w:rsidR="00F73DBA" w:rsidRPr="0009081E" w:rsidP="0009081E" w14:paraId="1B86DFF9" w14:textId="5C62596D">
            <w:pPr>
              <w:widowControl/>
              <w:jc w:val="center"/>
              <w:rPr>
                <w:rFonts w:ascii="Calibri" w:eastAsia="Calibri" w:hAnsi="Calibri" w:cs="Calibri"/>
                <w:color w:val="000000"/>
                <w:sz w:val="20"/>
                <w:szCs w:val="20"/>
              </w:rPr>
            </w:pPr>
          </w:p>
        </w:tc>
        <w:tc>
          <w:tcPr>
            <w:tcW w:w="1080" w:type="dxa"/>
            <w:tcBorders>
              <w:top w:val="nil"/>
              <w:left w:val="nil"/>
              <w:bottom w:val="single" w:sz="4" w:space="0" w:color="000000"/>
              <w:right w:val="single" w:sz="4" w:space="0" w:color="000000"/>
            </w:tcBorders>
            <w:shd w:val="clear" w:color="auto" w:fill="808080"/>
            <w:vAlign w:val="center"/>
          </w:tcPr>
          <w:p w:rsidR="00F73DBA" w:rsidRPr="0009081E" w:rsidP="0009081E" w14:paraId="204B100A" w14:textId="440DA4BB">
            <w:pPr>
              <w:widowControl/>
              <w:jc w:val="center"/>
              <w:rPr>
                <w:rFonts w:ascii="Calibri" w:eastAsia="Calibri" w:hAnsi="Calibri" w:cs="Calibri"/>
                <w:color w:val="000000"/>
                <w:sz w:val="20"/>
                <w:szCs w:val="20"/>
              </w:rPr>
            </w:pPr>
          </w:p>
        </w:tc>
        <w:tc>
          <w:tcPr>
            <w:tcW w:w="990" w:type="dxa"/>
            <w:tcBorders>
              <w:top w:val="nil"/>
              <w:left w:val="nil"/>
              <w:bottom w:val="single" w:sz="4" w:space="0" w:color="000000"/>
              <w:right w:val="single" w:sz="4" w:space="0" w:color="000000"/>
            </w:tcBorders>
            <w:shd w:val="clear" w:color="auto" w:fill="808080"/>
            <w:vAlign w:val="center"/>
          </w:tcPr>
          <w:p w:rsidR="00F73DBA" w:rsidRPr="0009081E" w:rsidP="0009081E" w14:paraId="7AB310C8" w14:textId="5A75769E">
            <w:pPr>
              <w:widowControl/>
              <w:jc w:val="center"/>
              <w:rPr>
                <w:rFonts w:ascii="Calibri" w:eastAsia="Calibri" w:hAnsi="Calibri" w:cs="Calibri"/>
                <w:color w:val="000000"/>
                <w:sz w:val="20"/>
                <w:szCs w:val="20"/>
              </w:rPr>
            </w:pPr>
          </w:p>
        </w:tc>
        <w:tc>
          <w:tcPr>
            <w:tcW w:w="1280" w:type="dxa"/>
            <w:tcBorders>
              <w:top w:val="nil"/>
              <w:left w:val="nil"/>
              <w:bottom w:val="single" w:sz="4" w:space="0" w:color="000000"/>
              <w:right w:val="single" w:sz="4" w:space="0" w:color="000000"/>
            </w:tcBorders>
            <w:shd w:val="clear" w:color="auto" w:fill="808080"/>
            <w:vAlign w:val="center"/>
          </w:tcPr>
          <w:p w:rsidR="00F73DBA" w:rsidRPr="0009081E" w:rsidP="0009081E" w14:paraId="4297B33E" w14:textId="67547FAF">
            <w:pPr>
              <w:widowControl/>
              <w:jc w:val="center"/>
              <w:rPr>
                <w:rFonts w:ascii="Calibri" w:eastAsia="Calibri" w:hAnsi="Calibri" w:cs="Calibri"/>
                <w:color w:val="000000"/>
                <w:sz w:val="20"/>
                <w:szCs w:val="20"/>
              </w:rPr>
            </w:pPr>
          </w:p>
        </w:tc>
        <w:tc>
          <w:tcPr>
            <w:tcW w:w="1300" w:type="dxa"/>
            <w:tcBorders>
              <w:top w:val="nil"/>
              <w:left w:val="nil"/>
              <w:bottom w:val="single" w:sz="4" w:space="0" w:color="000000"/>
              <w:right w:val="single" w:sz="8" w:space="0" w:color="000000"/>
            </w:tcBorders>
            <w:vAlign w:val="center"/>
          </w:tcPr>
          <w:p w:rsidR="00F73DBA" w:rsidRPr="0009081E" w:rsidP="0009081E" w14:paraId="50C42704" w14:textId="2FB3592E">
            <w:pPr>
              <w:widowControl/>
              <w:jc w:val="center"/>
              <w:rPr>
                <w:rFonts w:ascii="Calibri" w:eastAsia="Calibri" w:hAnsi="Calibri" w:cs="Calibri"/>
                <w:color w:val="000000"/>
                <w:sz w:val="20"/>
                <w:szCs w:val="20"/>
              </w:rPr>
            </w:pPr>
          </w:p>
        </w:tc>
      </w:tr>
      <w:tr w14:paraId="0F4971A4" w14:textId="77777777" w:rsidTr="0009081E">
        <w:tblPrEx>
          <w:tblW w:w="8790" w:type="dxa"/>
          <w:jc w:val="center"/>
          <w:tblLayout w:type="fixed"/>
          <w:tblLook w:val="0400"/>
        </w:tblPrEx>
        <w:trPr>
          <w:trHeight w:val="286"/>
          <w:jc w:val="center"/>
        </w:trPr>
        <w:tc>
          <w:tcPr>
            <w:tcW w:w="2240" w:type="dxa"/>
            <w:tcBorders>
              <w:top w:val="nil"/>
              <w:left w:val="single" w:sz="8" w:space="0" w:color="000000"/>
              <w:bottom w:val="nil"/>
              <w:right w:val="single" w:sz="8" w:space="0" w:color="000000"/>
            </w:tcBorders>
            <w:vAlign w:val="center"/>
          </w:tcPr>
          <w:p w:rsidR="00F73DBA" w:rsidRPr="0009081E" w:rsidP="0009081E" w14:paraId="434D443C" w14:textId="0E71162D">
            <w:pPr>
              <w:widowControl/>
              <w:rPr>
                <w:rFonts w:ascii="Calibri" w:eastAsia="Calibri" w:hAnsi="Calibri" w:cs="Calibri"/>
                <w:b/>
                <w:color w:val="000000"/>
                <w:sz w:val="20"/>
                <w:szCs w:val="20"/>
              </w:rPr>
            </w:pPr>
            <w:r w:rsidRPr="0009081E">
              <w:rPr>
                <w:rFonts w:ascii="Calibri" w:eastAsia="Calibri" w:hAnsi="Calibri" w:cs="Calibri"/>
                <w:b/>
                <w:color w:val="000000"/>
                <w:sz w:val="20"/>
                <w:szCs w:val="20"/>
              </w:rPr>
              <w:t>Other Costs:</w:t>
            </w:r>
          </w:p>
        </w:tc>
        <w:tc>
          <w:tcPr>
            <w:tcW w:w="1900" w:type="dxa"/>
            <w:tcBorders>
              <w:top w:val="nil"/>
              <w:left w:val="nil"/>
              <w:bottom w:val="single" w:sz="4" w:space="0" w:color="000000"/>
              <w:right w:val="single" w:sz="4" w:space="0" w:color="000000"/>
            </w:tcBorders>
            <w:shd w:val="clear" w:color="auto" w:fill="808080"/>
            <w:vAlign w:val="center"/>
          </w:tcPr>
          <w:p w:rsidR="00F73DBA" w:rsidRPr="0009081E" w:rsidP="0009081E" w14:paraId="063F90A9" w14:textId="236C755F">
            <w:pPr>
              <w:widowControl/>
              <w:jc w:val="center"/>
              <w:rPr>
                <w:rFonts w:ascii="Calibri" w:eastAsia="Calibri" w:hAnsi="Calibri" w:cs="Calibri"/>
                <w:color w:val="000000"/>
                <w:sz w:val="20"/>
                <w:szCs w:val="20"/>
              </w:rPr>
            </w:pPr>
          </w:p>
        </w:tc>
        <w:tc>
          <w:tcPr>
            <w:tcW w:w="1080" w:type="dxa"/>
            <w:tcBorders>
              <w:top w:val="nil"/>
              <w:left w:val="nil"/>
              <w:bottom w:val="single" w:sz="4" w:space="0" w:color="000000"/>
              <w:right w:val="single" w:sz="4" w:space="0" w:color="000000"/>
            </w:tcBorders>
            <w:shd w:val="clear" w:color="auto" w:fill="808080"/>
            <w:vAlign w:val="center"/>
          </w:tcPr>
          <w:p w:rsidR="00F73DBA" w:rsidRPr="0009081E" w:rsidP="0009081E" w14:paraId="4F9D5539" w14:textId="12DF79C2">
            <w:pPr>
              <w:widowControl/>
              <w:jc w:val="center"/>
              <w:rPr>
                <w:rFonts w:ascii="Calibri" w:eastAsia="Calibri" w:hAnsi="Calibri" w:cs="Calibri"/>
                <w:color w:val="000000"/>
                <w:sz w:val="20"/>
                <w:szCs w:val="20"/>
              </w:rPr>
            </w:pPr>
          </w:p>
        </w:tc>
        <w:tc>
          <w:tcPr>
            <w:tcW w:w="990" w:type="dxa"/>
            <w:tcBorders>
              <w:top w:val="nil"/>
              <w:left w:val="nil"/>
              <w:bottom w:val="single" w:sz="4" w:space="0" w:color="000000"/>
              <w:right w:val="single" w:sz="4" w:space="0" w:color="000000"/>
            </w:tcBorders>
            <w:shd w:val="clear" w:color="auto" w:fill="808080"/>
            <w:vAlign w:val="center"/>
          </w:tcPr>
          <w:p w:rsidR="00F73DBA" w:rsidRPr="0009081E" w:rsidP="0009081E" w14:paraId="61DB3D87" w14:textId="224EBC74">
            <w:pPr>
              <w:widowControl/>
              <w:jc w:val="center"/>
              <w:rPr>
                <w:rFonts w:ascii="Calibri" w:eastAsia="Calibri" w:hAnsi="Calibri" w:cs="Calibri"/>
                <w:color w:val="000000"/>
                <w:sz w:val="20"/>
                <w:szCs w:val="20"/>
              </w:rPr>
            </w:pPr>
          </w:p>
        </w:tc>
        <w:tc>
          <w:tcPr>
            <w:tcW w:w="1280" w:type="dxa"/>
            <w:tcBorders>
              <w:top w:val="nil"/>
              <w:left w:val="nil"/>
              <w:bottom w:val="single" w:sz="4" w:space="0" w:color="000000"/>
              <w:right w:val="single" w:sz="4" w:space="0" w:color="000000"/>
            </w:tcBorders>
            <w:shd w:val="clear" w:color="auto" w:fill="808080"/>
            <w:vAlign w:val="center"/>
          </w:tcPr>
          <w:p w:rsidR="00F73DBA" w:rsidRPr="0009081E" w:rsidP="0009081E" w14:paraId="32D44B5F" w14:textId="41A071BA">
            <w:pPr>
              <w:widowControl/>
              <w:jc w:val="center"/>
              <w:rPr>
                <w:rFonts w:ascii="Calibri" w:eastAsia="Calibri" w:hAnsi="Calibri" w:cs="Calibri"/>
                <w:color w:val="000000"/>
                <w:sz w:val="20"/>
                <w:szCs w:val="20"/>
              </w:rPr>
            </w:pPr>
          </w:p>
        </w:tc>
        <w:tc>
          <w:tcPr>
            <w:tcW w:w="1300" w:type="dxa"/>
            <w:tcBorders>
              <w:top w:val="nil"/>
              <w:left w:val="nil"/>
              <w:bottom w:val="single" w:sz="4" w:space="0" w:color="000000"/>
              <w:right w:val="single" w:sz="8" w:space="0" w:color="000000"/>
            </w:tcBorders>
            <w:vAlign w:val="center"/>
          </w:tcPr>
          <w:p w:rsidR="00F73DBA" w:rsidRPr="0009081E" w:rsidP="0009081E" w14:paraId="155C417F" w14:textId="4337C044">
            <w:pPr>
              <w:widowControl/>
              <w:jc w:val="center"/>
              <w:rPr>
                <w:rFonts w:ascii="Calibri" w:eastAsia="Calibri" w:hAnsi="Calibri" w:cs="Calibri"/>
                <w:color w:val="000000"/>
                <w:sz w:val="20"/>
                <w:szCs w:val="20"/>
              </w:rPr>
            </w:pPr>
          </w:p>
        </w:tc>
      </w:tr>
      <w:tr w14:paraId="1F4081AE" w14:textId="77777777" w:rsidTr="0009081E">
        <w:tblPrEx>
          <w:tblW w:w="8790" w:type="dxa"/>
          <w:jc w:val="center"/>
          <w:tblLayout w:type="fixed"/>
          <w:tblLook w:val="0400"/>
        </w:tblPrEx>
        <w:trPr>
          <w:trHeight w:val="315"/>
          <w:jc w:val="center"/>
        </w:trPr>
        <w:tc>
          <w:tcPr>
            <w:tcW w:w="2240" w:type="dxa"/>
            <w:tcBorders>
              <w:top w:val="single" w:sz="8" w:space="0" w:color="000000"/>
              <w:left w:val="single" w:sz="8" w:space="0" w:color="000000"/>
              <w:bottom w:val="single" w:sz="8" w:space="0" w:color="000000"/>
              <w:right w:val="single" w:sz="8" w:space="0" w:color="000000"/>
            </w:tcBorders>
            <w:shd w:val="clear" w:color="auto" w:fill="DDEBF7"/>
            <w:vAlign w:val="center"/>
          </w:tcPr>
          <w:p w:rsidR="00F73DBA" w:rsidRPr="0009081E" w:rsidP="0009081E" w14:paraId="0F996584" w14:textId="77777777">
            <w:pPr>
              <w:widowControl/>
              <w:jc w:val="center"/>
              <w:rPr>
                <w:rFonts w:ascii="Calibri" w:eastAsia="Calibri" w:hAnsi="Calibri" w:cs="Calibri"/>
                <w:b/>
                <w:color w:val="000000"/>
                <w:sz w:val="20"/>
                <w:szCs w:val="20"/>
              </w:rPr>
            </w:pPr>
            <w:r w:rsidRPr="0009081E">
              <w:rPr>
                <w:rFonts w:ascii="Calibri" w:eastAsia="Calibri" w:hAnsi="Calibri" w:cs="Calibri"/>
                <w:b/>
                <w:color w:val="000000"/>
                <w:sz w:val="20"/>
                <w:szCs w:val="20"/>
              </w:rPr>
              <w:t>TOTAL</w:t>
            </w:r>
          </w:p>
        </w:tc>
        <w:tc>
          <w:tcPr>
            <w:tcW w:w="1900" w:type="dxa"/>
            <w:tcBorders>
              <w:top w:val="single" w:sz="8" w:space="0" w:color="000000"/>
              <w:left w:val="nil"/>
              <w:bottom w:val="single" w:sz="8" w:space="0" w:color="000000"/>
              <w:right w:val="single" w:sz="8" w:space="0" w:color="000000"/>
            </w:tcBorders>
            <w:shd w:val="clear" w:color="auto" w:fill="808080"/>
            <w:vAlign w:val="center"/>
          </w:tcPr>
          <w:p w:rsidR="00F73DBA" w:rsidRPr="0009081E" w:rsidP="0009081E" w14:paraId="0AD830A1" w14:textId="4CD7C66C">
            <w:pPr>
              <w:widowControl/>
              <w:jc w:val="center"/>
              <w:rPr>
                <w:rFonts w:ascii="Calibri" w:eastAsia="Calibri" w:hAnsi="Calibri" w:cs="Calibri"/>
                <w:color w:val="000000"/>
                <w:sz w:val="20"/>
                <w:szCs w:val="20"/>
              </w:rPr>
            </w:pPr>
          </w:p>
        </w:tc>
        <w:tc>
          <w:tcPr>
            <w:tcW w:w="1080" w:type="dxa"/>
            <w:tcBorders>
              <w:top w:val="single" w:sz="8" w:space="0" w:color="000000"/>
              <w:left w:val="nil"/>
              <w:bottom w:val="single" w:sz="8" w:space="0" w:color="000000"/>
              <w:right w:val="single" w:sz="8" w:space="0" w:color="000000"/>
            </w:tcBorders>
            <w:shd w:val="clear" w:color="auto" w:fill="808080"/>
            <w:vAlign w:val="center"/>
          </w:tcPr>
          <w:p w:rsidR="00F73DBA" w:rsidRPr="0009081E" w:rsidP="0009081E" w14:paraId="22CE4265" w14:textId="0CE3EF49">
            <w:pPr>
              <w:widowControl/>
              <w:jc w:val="center"/>
              <w:rPr>
                <w:rFonts w:ascii="Calibri" w:eastAsia="Calibri" w:hAnsi="Calibri" w:cs="Calibri"/>
                <w:color w:val="000000"/>
                <w:sz w:val="20"/>
                <w:szCs w:val="20"/>
              </w:rPr>
            </w:pPr>
          </w:p>
        </w:tc>
        <w:tc>
          <w:tcPr>
            <w:tcW w:w="990" w:type="dxa"/>
            <w:tcBorders>
              <w:top w:val="single" w:sz="8" w:space="0" w:color="000000"/>
              <w:left w:val="nil"/>
              <w:bottom w:val="single" w:sz="8" w:space="0" w:color="000000"/>
              <w:right w:val="single" w:sz="8" w:space="0" w:color="000000"/>
            </w:tcBorders>
            <w:shd w:val="clear" w:color="auto" w:fill="757171"/>
            <w:vAlign w:val="center"/>
          </w:tcPr>
          <w:p w:rsidR="00F73DBA" w:rsidRPr="0009081E" w:rsidP="0009081E" w14:paraId="5DD5CF1E" w14:textId="1F5F7307">
            <w:pPr>
              <w:widowControl/>
              <w:jc w:val="center"/>
              <w:rPr>
                <w:rFonts w:ascii="Calibri" w:eastAsia="Calibri" w:hAnsi="Calibri" w:cs="Calibri"/>
                <w:color w:val="000000"/>
                <w:sz w:val="20"/>
                <w:szCs w:val="20"/>
              </w:rPr>
            </w:pPr>
          </w:p>
        </w:tc>
        <w:tc>
          <w:tcPr>
            <w:tcW w:w="1280" w:type="dxa"/>
            <w:tcBorders>
              <w:top w:val="single" w:sz="8" w:space="0" w:color="000000"/>
              <w:left w:val="nil"/>
              <w:bottom w:val="single" w:sz="8" w:space="0" w:color="000000"/>
              <w:right w:val="single" w:sz="8" w:space="0" w:color="000000"/>
            </w:tcBorders>
            <w:shd w:val="clear" w:color="auto" w:fill="DDEBF7"/>
            <w:vAlign w:val="center"/>
          </w:tcPr>
          <w:p w:rsidR="00F73DBA" w:rsidRPr="0009081E" w:rsidP="0009081E" w14:paraId="6E77951A" w14:textId="2BCC8D2A">
            <w:pPr>
              <w:widowControl/>
              <w:jc w:val="center"/>
              <w:rPr>
                <w:rFonts w:ascii="Calibri" w:eastAsia="Calibri" w:hAnsi="Calibri" w:cs="Calibri"/>
                <w:color w:val="000000"/>
                <w:sz w:val="20"/>
                <w:szCs w:val="20"/>
              </w:rPr>
            </w:pPr>
          </w:p>
        </w:tc>
        <w:tc>
          <w:tcPr>
            <w:tcW w:w="1300" w:type="dxa"/>
            <w:tcBorders>
              <w:top w:val="single" w:sz="8" w:space="0" w:color="000000"/>
              <w:left w:val="nil"/>
              <w:bottom w:val="single" w:sz="8" w:space="0" w:color="000000"/>
              <w:right w:val="single" w:sz="8" w:space="0" w:color="000000"/>
            </w:tcBorders>
            <w:shd w:val="clear" w:color="auto" w:fill="DDEBF7"/>
            <w:vAlign w:val="center"/>
          </w:tcPr>
          <w:p w:rsidR="00F73DBA" w:rsidRPr="0009081E" w:rsidP="0009081E" w14:paraId="7C9FF32A" w14:textId="6455E5FC">
            <w:pPr>
              <w:widowControl/>
              <w:jc w:val="center"/>
              <w:rPr>
                <w:rFonts w:ascii="Calibri" w:eastAsia="Calibri" w:hAnsi="Calibri" w:cs="Calibri"/>
                <w:b/>
                <w:bCs/>
                <w:color w:val="000000"/>
                <w:sz w:val="20"/>
                <w:szCs w:val="20"/>
              </w:rPr>
            </w:pPr>
            <w:r w:rsidRPr="0009081E">
              <w:rPr>
                <w:rFonts w:ascii="Calibri" w:eastAsia="Calibri" w:hAnsi="Calibri" w:cs="Calibri"/>
                <w:b/>
                <w:bCs/>
                <w:color w:val="000000"/>
                <w:sz w:val="20"/>
                <w:szCs w:val="20"/>
              </w:rPr>
              <w:t>$</w:t>
            </w:r>
            <w:r w:rsidRPr="0009081E" w:rsidR="006C213E">
              <w:rPr>
                <w:rFonts w:ascii="Calibri" w:eastAsia="Calibri" w:hAnsi="Calibri" w:cs="Calibri"/>
                <w:b/>
                <w:bCs/>
                <w:color w:val="000000"/>
                <w:sz w:val="20"/>
                <w:szCs w:val="20"/>
              </w:rPr>
              <w:t>28</w:t>
            </w:r>
          </w:p>
        </w:tc>
      </w:tr>
    </w:tbl>
    <w:p w:rsidR="00986B11" w:rsidRPr="004C011A" w:rsidP="0009081E" w14:paraId="6187D333" w14:textId="09A5E1B7">
      <w:pPr>
        <w:spacing w:before="240"/>
      </w:pPr>
      <w:r w:rsidRPr="004C011A">
        <w:t xml:space="preserve">A </w:t>
      </w:r>
      <w:r w:rsidR="00330439">
        <w:t xml:space="preserve">NOAA fisheries </w:t>
      </w:r>
      <w:r w:rsidRPr="004C011A">
        <w:t xml:space="preserve">federal employee, at Commerce Alternative Personnel System (CAPS) </w:t>
      </w:r>
      <w:r w:rsidRPr="004C011A" w:rsidR="006C213E">
        <w:t>pay band</w:t>
      </w:r>
      <w:r w:rsidRPr="004C011A">
        <w:t xml:space="preserve"> 3, will record the information </w:t>
      </w:r>
      <w:r w:rsidR="00330439">
        <w:t xml:space="preserve">submitted by industry on </w:t>
      </w:r>
      <w:r w:rsidRPr="004C011A">
        <w:t xml:space="preserve">southern sea otter interactions. Depending on the timing of the submittal in relation to the interaction itself, submissions will be reviewed </w:t>
      </w:r>
      <w:r w:rsidR="00330439">
        <w:t xml:space="preserve">by NMFS staff </w:t>
      </w:r>
      <w:r w:rsidRPr="004C011A" w:rsidR="006C213E">
        <w:t>case-by-case or on an</w:t>
      </w:r>
      <w:r w:rsidRPr="004C011A">
        <w:t xml:space="preserve"> annual basis.</w:t>
      </w:r>
    </w:p>
    <w:p w:rsidR="00664A5D" w:rsidP="0009081E" w14:paraId="0540B40A" w14:textId="17A1D2E4">
      <w:pPr>
        <w:spacing w:before="240"/>
      </w:pPr>
      <w:r w:rsidRPr="004C011A">
        <w:t xml:space="preserve">The </w:t>
      </w:r>
      <w:hyperlink r:id="rId7" w:history="1">
        <w:r w:rsidRPr="004C011A" w:rsidR="00986B11">
          <w:rPr>
            <w:rStyle w:val="Hyperlink"/>
            <w:color w:val="auto"/>
          </w:rPr>
          <w:t xml:space="preserve">CAPS </w:t>
        </w:r>
        <w:r w:rsidRPr="004C011A">
          <w:rPr>
            <w:rStyle w:val="Hyperlink"/>
            <w:color w:val="auto"/>
          </w:rPr>
          <w:t>pay tables</w:t>
        </w:r>
      </w:hyperlink>
      <w:r w:rsidRPr="004C011A">
        <w:t xml:space="preserve"> for the Rest of U.S. locality rates were used to determine the base salary.  The Rest of U.S. locality was used since NOAA staff are geographically dispersed.  The upper bound for Interval </w:t>
      </w:r>
      <w:r w:rsidRPr="004C011A" w:rsidR="004C011A">
        <w:t>1</w:t>
      </w:r>
      <w:r w:rsidRPr="004C011A">
        <w:t xml:space="preserve"> of </w:t>
      </w:r>
      <w:r w:rsidRPr="004C011A" w:rsidR="004C011A">
        <w:t>the ZP-3</w:t>
      </w:r>
      <w:r w:rsidRPr="004C011A">
        <w:t xml:space="preserve"> Pay Band was used as the base salary</w:t>
      </w:r>
      <w:r w:rsidRPr="004C011A" w:rsidR="004C011A">
        <w:t>,</w:t>
      </w:r>
      <w:r w:rsidRPr="004C011A">
        <w:t xml:space="preserve"> and a multiplier of 1.5 was used to calculate the loaded salary.</w:t>
      </w:r>
    </w:p>
    <w:p w:rsidR="0009081E" w:rsidRPr="004C011A" w:rsidP="0009081E" w14:paraId="61622BD5" w14:textId="77777777">
      <w:pPr>
        <w:spacing w:before="240"/>
      </w:pPr>
    </w:p>
    <w:p w:rsidR="00664A5D" w:rsidRPr="00C94240" w:rsidP="005113A0" w14:paraId="1E47A99E" w14:textId="50FCFEA3">
      <w:pPr>
        <w:numPr>
          <w:ilvl w:val="0"/>
          <w:numId w:val="17"/>
        </w:numPr>
        <w:pBdr>
          <w:top w:val="nil"/>
          <w:left w:val="nil"/>
          <w:bottom w:val="nil"/>
          <w:right w:val="nil"/>
          <w:between w:val="nil"/>
        </w:pBdr>
        <w:tabs>
          <w:tab w:val="left" w:pos="540"/>
        </w:tabs>
        <w:spacing w:before="240"/>
        <w:ind w:left="540" w:hanging="540"/>
        <w:rPr>
          <w:b/>
          <w:color w:val="000000"/>
        </w:rPr>
      </w:pPr>
      <w:r>
        <w:rPr>
          <w:b/>
          <w:color w:val="000000"/>
        </w:rPr>
        <w:t>Explain the reasons for any program changes or adjustments reported in ROCIS.</w:t>
      </w:r>
    </w:p>
    <w:p w:rsidR="00802025" w:rsidP="0009081E" w14:paraId="756CE9D5" w14:textId="14DE0A79">
      <w:pPr>
        <w:spacing w:before="240"/>
      </w:pPr>
      <w:r w:rsidRPr="00802025">
        <w:t>There have been</w:t>
      </w:r>
      <w:r w:rsidRPr="00802025">
        <w:t xml:space="preserve"> no changes to the information collection since the last OMB approval.</w:t>
      </w:r>
    </w:p>
    <w:p w:rsidR="0009081E" w:rsidP="0009081E" w14:paraId="68F83514" w14:textId="77777777">
      <w:pPr>
        <w:spacing w:before="240"/>
      </w:pPr>
    </w:p>
    <w:p w:rsidR="00C94240" w:rsidRPr="00C94240" w:rsidP="005113A0" w14:paraId="1D0F29E8" w14:textId="59042345">
      <w:pPr>
        <w:numPr>
          <w:ilvl w:val="0"/>
          <w:numId w:val="17"/>
        </w:numPr>
        <w:pBdr>
          <w:top w:val="nil"/>
          <w:left w:val="nil"/>
          <w:bottom w:val="nil"/>
          <w:right w:val="nil"/>
          <w:between w:val="nil"/>
        </w:pBdr>
        <w:tabs>
          <w:tab w:val="left" w:pos="540"/>
        </w:tabs>
        <w:spacing w:before="240"/>
        <w:ind w:left="540" w:hanging="540"/>
        <w:rPr>
          <w:b/>
          <w:color w:val="000000"/>
        </w:rPr>
      </w:pPr>
      <w:r>
        <w:rPr>
          <w:b/>
          <w:color w:val="000000"/>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F73DBA" w:rsidP="0009081E" w14:paraId="5A88CF37" w14:textId="04C3F045">
      <w:pPr>
        <w:widowControl/>
        <w:spacing w:before="240"/>
      </w:pPr>
      <w:r w:rsidRPr="00C94240">
        <w:t>NOAA Fisheries will retain control over the information and safeguard it from improper access, modification, and destruction, consistent with NOAA standards for confidentiality, privacy, and electronic information. See response to Question 10 of this Supporting Statement for more information on confidentiality and privacy. The information collection is designed to yield data that meet all applicable information quality guidelines. Although the information collected is not expected to be disseminated directl</w:t>
      </w:r>
      <w:r w:rsidRPr="00C94240">
        <w:t xml:space="preserve">y to the public, results may be used in scientific, management, technical or general informational publications. Should </w:t>
      </w:r>
      <w:r w:rsidRPr="00433CE8">
        <w:t>NOAA </w:t>
      </w:r>
      <w:r w:rsidRPr="00433CE8" w:rsidR="00433CE8">
        <w:t>Fisheries</w:t>
      </w:r>
      <w:r w:rsidRPr="00C94240">
        <w:rPr>
          <w:i/>
          <w:iCs/>
        </w:rPr>
        <w:t> </w:t>
      </w:r>
      <w:r w:rsidRPr="00C94240">
        <w:t>decide to disseminate the information, it will be subject to the quality control measures and pre-dissemination review pursuant to Section 515 of Public Law 106-554.</w:t>
      </w:r>
    </w:p>
    <w:p w:rsidR="0009081E" w:rsidRPr="00C94240" w:rsidP="0009081E" w14:paraId="12B1B7D0" w14:textId="77777777">
      <w:pPr>
        <w:widowControl/>
        <w:spacing w:before="240"/>
      </w:pPr>
    </w:p>
    <w:p w:rsidR="00C94240" w:rsidRPr="00C94240" w:rsidP="005113A0" w14:paraId="615A7AF5" w14:textId="43F055F4">
      <w:pPr>
        <w:numPr>
          <w:ilvl w:val="0"/>
          <w:numId w:val="17"/>
        </w:numPr>
        <w:pBdr>
          <w:top w:val="nil"/>
          <w:left w:val="nil"/>
          <w:bottom w:val="nil"/>
          <w:right w:val="nil"/>
          <w:between w:val="nil"/>
        </w:pBdr>
        <w:tabs>
          <w:tab w:val="left" w:pos="540"/>
        </w:tabs>
        <w:spacing w:before="240"/>
        <w:ind w:left="540" w:hanging="540"/>
        <w:rPr>
          <w:b/>
          <w:color w:val="000000"/>
        </w:rPr>
      </w:pPr>
      <w:r>
        <w:rPr>
          <w:b/>
          <w:color w:val="000000"/>
        </w:rPr>
        <w:t>If seeking approval to not display the expiration date for OMB approval of the information collection, explain the reasons that display would be inappropriate.</w:t>
      </w:r>
    </w:p>
    <w:p w:rsidR="00EE2178" w:rsidP="0009081E" w14:paraId="7C61E887" w14:textId="77777777">
      <w:pPr>
        <w:pBdr>
          <w:top w:val="nil"/>
          <w:left w:val="nil"/>
          <w:bottom w:val="nil"/>
          <w:right w:val="nil"/>
          <w:between w:val="nil"/>
        </w:pBdr>
        <w:tabs>
          <w:tab w:val="left" w:pos="360"/>
        </w:tabs>
        <w:spacing w:before="240"/>
      </w:pPr>
      <w:r w:rsidRPr="009D447B">
        <w:t>The agency plans to display the expiration date for OMB approval of the information collection on all instruments.</w:t>
      </w:r>
    </w:p>
    <w:p w:rsidR="0009081E" w:rsidRPr="009D447B" w:rsidP="0009081E" w14:paraId="0C710E5C" w14:textId="77777777">
      <w:pPr>
        <w:pBdr>
          <w:top w:val="nil"/>
          <w:left w:val="nil"/>
          <w:bottom w:val="nil"/>
          <w:right w:val="nil"/>
          <w:between w:val="nil"/>
        </w:pBdr>
        <w:tabs>
          <w:tab w:val="left" w:pos="360"/>
        </w:tabs>
        <w:spacing w:before="240"/>
      </w:pPr>
    </w:p>
    <w:p w:rsidR="00C94240" w:rsidRPr="00C94240" w:rsidP="005113A0" w14:paraId="20354042" w14:textId="006A5EC4">
      <w:pPr>
        <w:numPr>
          <w:ilvl w:val="0"/>
          <w:numId w:val="17"/>
        </w:numPr>
        <w:pBdr>
          <w:top w:val="nil"/>
          <w:left w:val="nil"/>
          <w:bottom w:val="nil"/>
          <w:right w:val="nil"/>
          <w:between w:val="nil"/>
        </w:pBdr>
        <w:tabs>
          <w:tab w:val="left" w:pos="540"/>
        </w:tabs>
        <w:spacing w:before="240"/>
        <w:ind w:left="540" w:hanging="540"/>
        <w:rPr>
          <w:b/>
          <w:color w:val="000000"/>
        </w:rPr>
      </w:pPr>
      <w:r>
        <w:rPr>
          <w:b/>
          <w:color w:val="000000"/>
        </w:rPr>
        <w:t xml:space="preserve">Explain each </w:t>
      </w:r>
      <w:r>
        <w:rPr>
          <w:b/>
          <w:color w:val="000000"/>
        </w:rPr>
        <w:t>exception to the certification statement identified in “Certification for Paperwork Reduction Act Submissions."</w:t>
      </w:r>
    </w:p>
    <w:p w:rsidR="00664A5D" w:rsidP="0009081E" w14:paraId="677CD523" w14:textId="74C5F49B">
      <w:pPr>
        <w:spacing w:before="240"/>
        <w:rPr>
          <w:color w:val="1F497D"/>
        </w:rPr>
      </w:pPr>
      <w:r>
        <w:t xml:space="preserve">The agency certifies compliance with </w:t>
      </w:r>
      <w:hyperlink r:id="rId8">
        <w:r>
          <w:rPr>
            <w:color w:val="0563C1"/>
            <w:u w:val="single"/>
          </w:rPr>
          <w:t>5 CFR 1320.9</w:t>
        </w:r>
      </w:hyperlink>
      <w:hyperlink r:id="rId8">
        <w:r>
          <w:rPr>
            <w:color w:val="0563C1"/>
          </w:rPr>
          <w:t xml:space="preserve"> </w:t>
        </w:r>
      </w:hyperlink>
      <w:r>
        <w:t xml:space="preserve">and the related provisions of </w:t>
      </w:r>
      <w:hyperlink r:id="rId9">
        <w:r>
          <w:rPr>
            <w:color w:val="0563C1"/>
            <w:u w:val="single"/>
          </w:rPr>
          <w:t>5 CFR</w:t>
        </w:r>
      </w:hyperlink>
      <w:r>
        <w:rPr>
          <w:color w:val="0563C1"/>
        </w:rPr>
        <w:t xml:space="preserve"> </w:t>
      </w:r>
      <w:hyperlink r:id="rId9">
        <w:r>
          <w:rPr>
            <w:color w:val="0563C1"/>
            <w:u w:val="single"/>
          </w:rPr>
          <w:t>1320.8(b)(3)</w:t>
        </w:r>
      </w:hyperlink>
      <w:r>
        <w:t>.</w:t>
      </w:r>
      <w:bookmarkStart w:id="0" w:name="_heading=h.gjdgxs" w:colFirst="0" w:colLast="0"/>
      <w:bookmarkEnd w:id="0"/>
    </w:p>
    <w:sectPr w:rsidSect="00CA21F1">
      <w:footerReference w:type="default" r:id="rId10"/>
      <w:pgSz w:w="12240" w:h="15840"/>
      <w:pgMar w:top="1440" w:right="1440" w:bottom="1440" w:left="1440" w:header="0" w:footer="714"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embedRegular r:id="rId1" w:fontKey="{77B310F0-177B-4756-836F-44A9214075D4}"/>
  </w:font>
  <w:font w:name="Georgia">
    <w:panose1 w:val="02040502050405020303"/>
    <w:charset w:val="00"/>
    <w:family w:val="roman"/>
    <w:pitch w:val="variable"/>
    <w:sig w:usb0="00000287" w:usb1="00000000" w:usb2="00000000" w:usb3="00000000" w:csb0="0000009F" w:csb1="00000000"/>
    <w:embedItalic r:id="rId2" w:fontKey="{DF85FB85-7993-4966-B63B-D1BE390A97CF}"/>
  </w:font>
  <w:font w:name="Calibri">
    <w:panose1 w:val="020F0502020204030204"/>
    <w:charset w:val="00"/>
    <w:family w:val="swiss"/>
    <w:pitch w:val="variable"/>
    <w:sig w:usb0="E4002EFF" w:usb1="C200247B" w:usb2="00000009" w:usb3="00000000" w:csb0="000001FF" w:csb1="00000000"/>
    <w:embedRegular r:id="rId3" w:fontKey="{5F3EE58D-4C49-470B-AA01-0A0D97FEB524}"/>
    <w:embedBold r:id="rId4" w:fontKey="{C05AF1A4-3F05-47C3-AA55-F4F45C8C9458}"/>
  </w:font>
  <w:font w:name="Cambria">
    <w:panose1 w:val="02040503050406030204"/>
    <w:charset w:val="00"/>
    <w:family w:val="roman"/>
    <w:pitch w:val="variable"/>
    <w:sig w:usb0="E00006FF" w:usb1="420024FF" w:usb2="02000000" w:usb3="00000000" w:csb0="0000019F" w:csb1="00000000"/>
    <w:embedRegular r:id="rId5" w:fontKey="{1D79B5BB-3D8F-42B2-AB45-A4C6BD0301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4A5D" w14:paraId="6AC954EC" w14:textId="77777777">
    <w:pPr>
      <w:pBdr>
        <w:top w:val="nil"/>
        <w:left w:val="nil"/>
        <w:bottom w:val="nil"/>
        <w:right w:val="nil"/>
        <w:between w:val="nil"/>
      </w:pBdr>
      <w:spacing w:line="14" w:lineRule="auto"/>
      <w:rPr>
        <w:color w:val="000000"/>
        <w:sz w:val="20"/>
        <w:szCs w:val="2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6F4E27"/>
    <w:multiLevelType w:val="multilevel"/>
    <w:tmpl w:val="0D84D1AC"/>
    <w:lvl w:ilvl="0">
      <w:start w:val="1"/>
      <w:numFmt w:val="bullet"/>
      <w:lvlText w:val="●"/>
      <w:lvlJc w:val="left"/>
      <w:pPr>
        <w:ind w:left="760" w:hanging="360"/>
      </w:pPr>
      <w:rPr>
        <w:rFonts w:ascii="Noto Sans Symbols" w:eastAsia="Noto Sans Symbols" w:hAnsi="Noto Sans Symbols" w:cs="Noto Sans Symbols"/>
      </w:rPr>
    </w:lvl>
    <w:lvl w:ilvl="1">
      <w:start w:val="1"/>
      <w:numFmt w:val="bullet"/>
      <w:lvlText w:val="●"/>
      <w:lvlJc w:val="left"/>
      <w:pPr>
        <w:ind w:left="1120" w:hanging="360"/>
      </w:pPr>
      <w:rPr>
        <w:rFonts w:ascii="Noto Sans Symbols" w:eastAsia="Noto Sans Symbols" w:hAnsi="Noto Sans Symbols" w:cs="Noto Sans Symbols"/>
        <w:color w:val="2F5496"/>
        <w:sz w:val="20"/>
        <w:szCs w:val="20"/>
      </w:rPr>
    </w:lvl>
    <w:lvl w:ilvl="2">
      <w:start w:val="1"/>
      <w:numFmt w:val="bullet"/>
      <w:lvlText w:val="•"/>
      <w:lvlJc w:val="left"/>
      <w:pPr>
        <w:ind w:left="2273" w:hanging="360"/>
      </w:pPr>
    </w:lvl>
    <w:lvl w:ilvl="3">
      <w:start w:val="1"/>
      <w:numFmt w:val="bullet"/>
      <w:lvlText w:val="•"/>
      <w:lvlJc w:val="left"/>
      <w:pPr>
        <w:ind w:left="3426" w:hanging="360"/>
      </w:pPr>
    </w:lvl>
    <w:lvl w:ilvl="4">
      <w:start w:val="1"/>
      <w:numFmt w:val="bullet"/>
      <w:lvlText w:val="•"/>
      <w:lvlJc w:val="left"/>
      <w:pPr>
        <w:ind w:left="4580" w:hanging="360"/>
      </w:pPr>
    </w:lvl>
    <w:lvl w:ilvl="5">
      <w:start w:val="1"/>
      <w:numFmt w:val="bullet"/>
      <w:lvlText w:val="•"/>
      <w:lvlJc w:val="left"/>
      <w:pPr>
        <w:ind w:left="5733" w:hanging="360"/>
      </w:pPr>
    </w:lvl>
    <w:lvl w:ilvl="6">
      <w:start w:val="1"/>
      <w:numFmt w:val="bullet"/>
      <w:lvlText w:val="•"/>
      <w:lvlJc w:val="left"/>
      <w:pPr>
        <w:ind w:left="6886" w:hanging="360"/>
      </w:pPr>
    </w:lvl>
    <w:lvl w:ilvl="7">
      <w:start w:val="1"/>
      <w:numFmt w:val="bullet"/>
      <w:lvlText w:val="•"/>
      <w:lvlJc w:val="left"/>
      <w:pPr>
        <w:ind w:left="8040" w:hanging="360"/>
      </w:pPr>
    </w:lvl>
    <w:lvl w:ilvl="8">
      <w:start w:val="1"/>
      <w:numFmt w:val="bullet"/>
      <w:lvlText w:val="•"/>
      <w:lvlJc w:val="left"/>
      <w:pPr>
        <w:ind w:left="9193" w:hanging="360"/>
      </w:pPr>
    </w:lvl>
  </w:abstractNum>
  <w:abstractNum w:abstractNumId="1">
    <w:nsid w:val="115F0B36"/>
    <w:multiLevelType w:val="multilevel"/>
    <w:tmpl w:val="730625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nsid w:val="16C6552F"/>
    <w:multiLevelType w:val="multilevel"/>
    <w:tmpl w:val="86200EAC"/>
    <w:lvl w:ilvl="0">
      <w:start w:val="1"/>
      <w:numFmt w:val="decimal"/>
      <w:lvlText w:val="%1."/>
      <w:lvlJc w:val="left"/>
      <w:pPr>
        <w:ind w:left="400" w:hanging="269"/>
      </w:pPr>
      <w:rPr>
        <w:rFonts w:ascii="Arial" w:eastAsia="Arial" w:hAnsi="Arial" w:cs="Arial"/>
        <w:b/>
        <w:bCs/>
        <w:sz w:val="24"/>
        <w:szCs w:val="24"/>
      </w:rPr>
    </w:lvl>
    <w:lvl w:ilvl="1">
      <w:start w:val="1"/>
      <w:numFmt w:val="bullet"/>
      <w:lvlText w:val="●"/>
      <w:lvlJc w:val="left"/>
      <w:pPr>
        <w:ind w:left="1120" w:hanging="360"/>
      </w:pPr>
      <w:rPr>
        <w:rFonts w:ascii="Noto Sans Symbols" w:eastAsia="Noto Sans Symbols" w:hAnsi="Noto Sans Symbols" w:cs="Noto Sans Symbols"/>
      </w:r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abstractNum w:abstractNumId="3">
    <w:nsid w:val="18176C37"/>
    <w:multiLevelType w:val="multilevel"/>
    <w:tmpl w:val="84064F9E"/>
    <w:lvl w:ilvl="0">
      <w:start w:val="1"/>
      <w:numFmt w:val="bullet"/>
      <w:lvlText w:val="●"/>
      <w:lvlJc w:val="left"/>
      <w:pPr>
        <w:ind w:left="469" w:hanging="360"/>
      </w:pPr>
      <w:rPr>
        <w:rFonts w:ascii="Noto Sans Symbols" w:eastAsia="Noto Sans Symbols" w:hAnsi="Noto Sans Symbols" w:cs="Noto Sans Symbols"/>
        <w:color w:val="2F5496"/>
        <w:sz w:val="20"/>
        <w:szCs w:val="20"/>
      </w:rPr>
    </w:lvl>
    <w:lvl w:ilvl="1">
      <w:start w:val="1"/>
      <w:numFmt w:val="bullet"/>
      <w:lvlText w:val="•"/>
      <w:lvlJc w:val="left"/>
      <w:pPr>
        <w:ind w:left="713" w:hanging="360"/>
      </w:pPr>
    </w:lvl>
    <w:lvl w:ilvl="2">
      <w:start w:val="1"/>
      <w:numFmt w:val="bullet"/>
      <w:lvlText w:val="•"/>
      <w:lvlJc w:val="left"/>
      <w:pPr>
        <w:ind w:left="966" w:hanging="360"/>
      </w:pPr>
    </w:lvl>
    <w:lvl w:ilvl="3">
      <w:start w:val="1"/>
      <w:numFmt w:val="bullet"/>
      <w:lvlText w:val="•"/>
      <w:lvlJc w:val="left"/>
      <w:pPr>
        <w:ind w:left="1219" w:hanging="360"/>
      </w:pPr>
    </w:lvl>
    <w:lvl w:ilvl="4">
      <w:start w:val="1"/>
      <w:numFmt w:val="bullet"/>
      <w:lvlText w:val="•"/>
      <w:lvlJc w:val="left"/>
      <w:pPr>
        <w:ind w:left="1472" w:hanging="360"/>
      </w:pPr>
    </w:lvl>
    <w:lvl w:ilvl="5">
      <w:start w:val="1"/>
      <w:numFmt w:val="bullet"/>
      <w:lvlText w:val="•"/>
      <w:lvlJc w:val="left"/>
      <w:pPr>
        <w:ind w:left="1725" w:hanging="360"/>
      </w:pPr>
    </w:lvl>
    <w:lvl w:ilvl="6">
      <w:start w:val="1"/>
      <w:numFmt w:val="bullet"/>
      <w:lvlText w:val="•"/>
      <w:lvlJc w:val="left"/>
      <w:pPr>
        <w:ind w:left="1978" w:hanging="360"/>
      </w:pPr>
    </w:lvl>
    <w:lvl w:ilvl="7">
      <w:start w:val="1"/>
      <w:numFmt w:val="bullet"/>
      <w:lvlText w:val="•"/>
      <w:lvlJc w:val="left"/>
      <w:pPr>
        <w:ind w:left="2231" w:hanging="360"/>
      </w:pPr>
    </w:lvl>
    <w:lvl w:ilvl="8">
      <w:start w:val="1"/>
      <w:numFmt w:val="bullet"/>
      <w:lvlText w:val="•"/>
      <w:lvlJc w:val="left"/>
      <w:pPr>
        <w:ind w:left="2484" w:hanging="360"/>
      </w:pPr>
    </w:lvl>
  </w:abstractNum>
  <w:abstractNum w:abstractNumId="4">
    <w:nsid w:val="199B049B"/>
    <w:multiLevelType w:val="multilevel"/>
    <w:tmpl w:val="B1AECC4C"/>
    <w:lvl w:ilvl="0">
      <w:start w:val="1"/>
      <w:numFmt w:val="lowerLetter"/>
      <w:lvlText w:val="(%1)"/>
      <w:lvlJc w:val="left"/>
      <w:pPr>
        <w:ind w:left="1839" w:hanging="720"/>
      </w:pPr>
      <w:rPr>
        <w:rFonts w:ascii="Arial" w:eastAsia="Arial" w:hAnsi="Arial" w:cs="Arial"/>
        <w:color w:val="2F5496"/>
        <w:sz w:val="22"/>
        <w:szCs w:val="22"/>
      </w:rPr>
    </w:lvl>
    <w:lvl w:ilvl="1">
      <w:start w:val="1"/>
      <w:numFmt w:val="bullet"/>
      <w:lvlText w:val="•"/>
      <w:lvlJc w:val="left"/>
      <w:pPr>
        <w:ind w:left="2806" w:hanging="720"/>
      </w:pPr>
    </w:lvl>
    <w:lvl w:ilvl="2">
      <w:start w:val="1"/>
      <w:numFmt w:val="bullet"/>
      <w:lvlText w:val="•"/>
      <w:lvlJc w:val="left"/>
      <w:pPr>
        <w:ind w:left="3772" w:hanging="720"/>
      </w:pPr>
    </w:lvl>
    <w:lvl w:ilvl="3">
      <w:start w:val="1"/>
      <w:numFmt w:val="bullet"/>
      <w:lvlText w:val="•"/>
      <w:lvlJc w:val="left"/>
      <w:pPr>
        <w:ind w:left="4738" w:hanging="720"/>
      </w:pPr>
    </w:lvl>
    <w:lvl w:ilvl="4">
      <w:start w:val="1"/>
      <w:numFmt w:val="bullet"/>
      <w:lvlText w:val="•"/>
      <w:lvlJc w:val="left"/>
      <w:pPr>
        <w:ind w:left="5704" w:hanging="720"/>
      </w:pPr>
    </w:lvl>
    <w:lvl w:ilvl="5">
      <w:start w:val="1"/>
      <w:numFmt w:val="bullet"/>
      <w:lvlText w:val="•"/>
      <w:lvlJc w:val="left"/>
      <w:pPr>
        <w:ind w:left="6670" w:hanging="720"/>
      </w:pPr>
    </w:lvl>
    <w:lvl w:ilvl="6">
      <w:start w:val="1"/>
      <w:numFmt w:val="bullet"/>
      <w:lvlText w:val="•"/>
      <w:lvlJc w:val="left"/>
      <w:pPr>
        <w:ind w:left="7636" w:hanging="720"/>
      </w:pPr>
    </w:lvl>
    <w:lvl w:ilvl="7">
      <w:start w:val="1"/>
      <w:numFmt w:val="bullet"/>
      <w:lvlText w:val="•"/>
      <w:lvlJc w:val="left"/>
      <w:pPr>
        <w:ind w:left="8602" w:hanging="720"/>
      </w:pPr>
    </w:lvl>
    <w:lvl w:ilvl="8">
      <w:start w:val="1"/>
      <w:numFmt w:val="bullet"/>
      <w:lvlText w:val="•"/>
      <w:lvlJc w:val="left"/>
      <w:pPr>
        <w:ind w:left="9568" w:hanging="720"/>
      </w:pPr>
    </w:lvl>
  </w:abstractNum>
  <w:abstractNum w:abstractNumId="5">
    <w:nsid w:val="20FA561B"/>
    <w:multiLevelType w:val="hybridMultilevel"/>
    <w:tmpl w:val="06D2DE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481232B"/>
    <w:multiLevelType w:val="multilevel"/>
    <w:tmpl w:val="BD645E7E"/>
    <w:lvl w:ilvl="0">
      <w:start w:val="1"/>
      <w:numFmt w:val="bullet"/>
      <w:lvlText w:val="●"/>
      <w:lvlJc w:val="left"/>
      <w:pPr>
        <w:ind w:left="1120" w:hanging="360"/>
      </w:pPr>
      <w:rPr>
        <w:rFonts w:ascii="Noto Sans Symbols" w:eastAsia="Noto Sans Symbols" w:hAnsi="Noto Sans Symbols" w:cs="Noto Sans Symbols"/>
        <w:color w:val="2F5496"/>
        <w:sz w:val="20"/>
        <w:szCs w:val="20"/>
      </w:rPr>
    </w:lvl>
    <w:lvl w:ilvl="1">
      <w:start w:val="1"/>
      <w:numFmt w:val="bullet"/>
      <w:lvlText w:val="•"/>
      <w:lvlJc w:val="left"/>
      <w:pPr>
        <w:ind w:left="2158" w:hanging="360"/>
      </w:pPr>
    </w:lvl>
    <w:lvl w:ilvl="2">
      <w:start w:val="1"/>
      <w:numFmt w:val="bullet"/>
      <w:lvlText w:val="•"/>
      <w:lvlJc w:val="left"/>
      <w:pPr>
        <w:ind w:left="3196" w:hanging="360"/>
      </w:pPr>
    </w:lvl>
    <w:lvl w:ilvl="3">
      <w:start w:val="1"/>
      <w:numFmt w:val="bullet"/>
      <w:lvlText w:val="•"/>
      <w:lvlJc w:val="left"/>
      <w:pPr>
        <w:ind w:left="4234" w:hanging="360"/>
      </w:pPr>
    </w:lvl>
    <w:lvl w:ilvl="4">
      <w:start w:val="1"/>
      <w:numFmt w:val="bullet"/>
      <w:lvlText w:val="•"/>
      <w:lvlJc w:val="left"/>
      <w:pPr>
        <w:ind w:left="5272" w:hanging="360"/>
      </w:pPr>
    </w:lvl>
    <w:lvl w:ilvl="5">
      <w:start w:val="1"/>
      <w:numFmt w:val="bullet"/>
      <w:lvlText w:val="•"/>
      <w:lvlJc w:val="left"/>
      <w:pPr>
        <w:ind w:left="6310" w:hanging="360"/>
      </w:pPr>
    </w:lvl>
    <w:lvl w:ilvl="6">
      <w:start w:val="1"/>
      <w:numFmt w:val="bullet"/>
      <w:lvlText w:val="•"/>
      <w:lvlJc w:val="left"/>
      <w:pPr>
        <w:ind w:left="7348" w:hanging="360"/>
      </w:pPr>
    </w:lvl>
    <w:lvl w:ilvl="7">
      <w:start w:val="1"/>
      <w:numFmt w:val="bullet"/>
      <w:lvlText w:val="•"/>
      <w:lvlJc w:val="left"/>
      <w:pPr>
        <w:ind w:left="8386" w:hanging="360"/>
      </w:pPr>
    </w:lvl>
    <w:lvl w:ilvl="8">
      <w:start w:val="1"/>
      <w:numFmt w:val="bullet"/>
      <w:lvlText w:val="•"/>
      <w:lvlJc w:val="left"/>
      <w:pPr>
        <w:ind w:left="9424" w:hanging="360"/>
      </w:pPr>
    </w:lvl>
  </w:abstractNum>
  <w:abstractNum w:abstractNumId="7">
    <w:nsid w:val="2B6F7D8D"/>
    <w:multiLevelType w:val="multilevel"/>
    <w:tmpl w:val="F61897BE"/>
    <w:lvl w:ilvl="0">
      <w:start w:val="1"/>
      <w:numFmt w:val="decimal"/>
      <w:lvlText w:val="%1."/>
      <w:lvlJc w:val="left"/>
      <w:pPr>
        <w:ind w:left="400" w:hanging="269"/>
      </w:pPr>
      <w:rPr>
        <w:rFonts w:ascii="Arial" w:eastAsia="Arial" w:hAnsi="Arial" w:cs="Arial"/>
        <w:b/>
        <w:sz w:val="22"/>
        <w:szCs w:val="24"/>
      </w:rPr>
    </w:lvl>
    <w:lvl w:ilvl="1">
      <w:start w:val="1"/>
      <w:numFmt w:val="bullet"/>
      <w:lvlText w:val=""/>
      <w:lvlJc w:val="left"/>
      <w:pPr>
        <w:ind w:left="1120" w:hanging="360"/>
      </w:p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abstractNum w:abstractNumId="8">
    <w:nsid w:val="2C434361"/>
    <w:multiLevelType w:val="multilevel"/>
    <w:tmpl w:val="59FEC10E"/>
    <w:lvl w:ilvl="0">
      <w:start w:val="1"/>
      <w:numFmt w:val="decimal"/>
      <w:lvlText w:val="%1."/>
      <w:lvlJc w:val="left"/>
      <w:pPr>
        <w:ind w:left="720" w:hanging="360"/>
      </w:pPr>
      <w:rPr>
        <w:rFonts w:ascii="Arial" w:eastAsia="Arial" w:hAnsi="Arial" w:cs="Arial"/>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nsid w:val="3B9D3A97"/>
    <w:multiLevelType w:val="hybridMultilevel"/>
    <w:tmpl w:val="63D2DD7C"/>
    <w:lvl w:ilvl="0">
      <w:start w:val="12"/>
      <w:numFmt w:val="decimal"/>
      <w:lvlText w:val="%1."/>
      <w:lvlJc w:val="left"/>
      <w:pPr>
        <w:ind w:left="491" w:hanging="360"/>
      </w:pPr>
      <w:rPr>
        <w:rFonts w:hint="default"/>
      </w:rPr>
    </w:lvl>
    <w:lvl w:ilvl="1" w:tentative="1">
      <w:start w:val="1"/>
      <w:numFmt w:val="lowerLetter"/>
      <w:lvlText w:val="%2."/>
      <w:lvlJc w:val="left"/>
      <w:pPr>
        <w:ind w:left="1211" w:hanging="360"/>
      </w:pPr>
    </w:lvl>
    <w:lvl w:ilvl="2" w:tentative="1">
      <w:start w:val="1"/>
      <w:numFmt w:val="lowerRoman"/>
      <w:lvlText w:val="%3."/>
      <w:lvlJc w:val="right"/>
      <w:pPr>
        <w:ind w:left="1931" w:hanging="180"/>
      </w:pPr>
    </w:lvl>
    <w:lvl w:ilvl="3" w:tentative="1">
      <w:start w:val="1"/>
      <w:numFmt w:val="decimal"/>
      <w:lvlText w:val="%4."/>
      <w:lvlJc w:val="left"/>
      <w:pPr>
        <w:ind w:left="2651" w:hanging="360"/>
      </w:pPr>
    </w:lvl>
    <w:lvl w:ilvl="4" w:tentative="1">
      <w:start w:val="1"/>
      <w:numFmt w:val="lowerLetter"/>
      <w:lvlText w:val="%5."/>
      <w:lvlJc w:val="left"/>
      <w:pPr>
        <w:ind w:left="3371" w:hanging="360"/>
      </w:pPr>
    </w:lvl>
    <w:lvl w:ilvl="5" w:tentative="1">
      <w:start w:val="1"/>
      <w:numFmt w:val="lowerRoman"/>
      <w:lvlText w:val="%6."/>
      <w:lvlJc w:val="right"/>
      <w:pPr>
        <w:ind w:left="4091" w:hanging="180"/>
      </w:pPr>
    </w:lvl>
    <w:lvl w:ilvl="6" w:tentative="1">
      <w:start w:val="1"/>
      <w:numFmt w:val="decimal"/>
      <w:lvlText w:val="%7."/>
      <w:lvlJc w:val="left"/>
      <w:pPr>
        <w:ind w:left="4811" w:hanging="360"/>
      </w:pPr>
    </w:lvl>
    <w:lvl w:ilvl="7" w:tentative="1">
      <w:start w:val="1"/>
      <w:numFmt w:val="lowerLetter"/>
      <w:lvlText w:val="%8."/>
      <w:lvlJc w:val="left"/>
      <w:pPr>
        <w:ind w:left="5531" w:hanging="360"/>
      </w:pPr>
    </w:lvl>
    <w:lvl w:ilvl="8" w:tentative="1">
      <w:start w:val="1"/>
      <w:numFmt w:val="lowerRoman"/>
      <w:lvlText w:val="%9."/>
      <w:lvlJc w:val="right"/>
      <w:pPr>
        <w:ind w:left="6251" w:hanging="180"/>
      </w:pPr>
    </w:lvl>
  </w:abstractNum>
  <w:abstractNum w:abstractNumId="10">
    <w:nsid w:val="41FC24ED"/>
    <w:multiLevelType w:val="multilevel"/>
    <w:tmpl w:val="A656B558"/>
    <w:lvl w:ilvl="0">
      <w:start w:val="1"/>
      <w:numFmt w:val="bullet"/>
      <w:lvlText w:val="●"/>
      <w:lvlJc w:val="left"/>
      <w:pPr>
        <w:ind w:left="760" w:hanging="360"/>
      </w:pPr>
      <w:rPr>
        <w:rFonts w:ascii="Noto Sans Symbols" w:eastAsia="Noto Sans Symbols" w:hAnsi="Noto Sans Symbols" w:cs="Noto Sans Symbols"/>
      </w:rPr>
    </w:lvl>
    <w:lvl w:ilvl="1">
      <w:start w:val="1"/>
      <w:numFmt w:val="bullet"/>
      <w:lvlText w:val="●"/>
      <w:lvlJc w:val="left"/>
      <w:pPr>
        <w:ind w:left="1120" w:hanging="360"/>
      </w:pPr>
      <w:rPr>
        <w:rFonts w:ascii="Noto Sans Symbols" w:eastAsia="Noto Sans Symbols" w:hAnsi="Noto Sans Symbols" w:cs="Noto Sans Symbols"/>
        <w:color w:val="2F5496"/>
        <w:sz w:val="20"/>
        <w:szCs w:val="20"/>
      </w:rPr>
    </w:lvl>
    <w:lvl w:ilvl="2">
      <w:start w:val="1"/>
      <w:numFmt w:val="bullet"/>
      <w:lvlText w:val="•"/>
      <w:lvlJc w:val="left"/>
      <w:pPr>
        <w:ind w:left="2273" w:hanging="360"/>
      </w:pPr>
    </w:lvl>
    <w:lvl w:ilvl="3">
      <w:start w:val="1"/>
      <w:numFmt w:val="bullet"/>
      <w:lvlText w:val="•"/>
      <w:lvlJc w:val="left"/>
      <w:pPr>
        <w:ind w:left="3426" w:hanging="360"/>
      </w:pPr>
    </w:lvl>
    <w:lvl w:ilvl="4">
      <w:start w:val="1"/>
      <w:numFmt w:val="bullet"/>
      <w:lvlText w:val="•"/>
      <w:lvlJc w:val="left"/>
      <w:pPr>
        <w:ind w:left="4580" w:hanging="360"/>
      </w:pPr>
    </w:lvl>
    <w:lvl w:ilvl="5">
      <w:start w:val="1"/>
      <w:numFmt w:val="bullet"/>
      <w:lvlText w:val="•"/>
      <w:lvlJc w:val="left"/>
      <w:pPr>
        <w:ind w:left="5733" w:hanging="360"/>
      </w:pPr>
    </w:lvl>
    <w:lvl w:ilvl="6">
      <w:start w:val="1"/>
      <w:numFmt w:val="bullet"/>
      <w:lvlText w:val="•"/>
      <w:lvlJc w:val="left"/>
      <w:pPr>
        <w:ind w:left="6886" w:hanging="360"/>
      </w:pPr>
    </w:lvl>
    <w:lvl w:ilvl="7">
      <w:start w:val="1"/>
      <w:numFmt w:val="bullet"/>
      <w:lvlText w:val="•"/>
      <w:lvlJc w:val="left"/>
      <w:pPr>
        <w:ind w:left="8040" w:hanging="360"/>
      </w:pPr>
    </w:lvl>
    <w:lvl w:ilvl="8">
      <w:start w:val="1"/>
      <w:numFmt w:val="bullet"/>
      <w:lvlText w:val="•"/>
      <w:lvlJc w:val="left"/>
      <w:pPr>
        <w:ind w:left="9193" w:hanging="360"/>
      </w:pPr>
    </w:lvl>
  </w:abstractNum>
  <w:abstractNum w:abstractNumId="11">
    <w:nsid w:val="478A391E"/>
    <w:multiLevelType w:val="hybridMultilevel"/>
    <w:tmpl w:val="DFA693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E071FF9"/>
    <w:multiLevelType w:val="multilevel"/>
    <w:tmpl w:val="A352072C"/>
    <w:lvl w:ilvl="0">
      <w:start w:val="1"/>
      <w:numFmt w:val="bullet"/>
      <w:lvlText w:val="●"/>
      <w:lvlJc w:val="left"/>
      <w:pPr>
        <w:ind w:left="760" w:hanging="360"/>
      </w:pPr>
      <w:rPr>
        <w:rFonts w:ascii="Noto Sans Symbols" w:eastAsia="Noto Sans Symbols" w:hAnsi="Noto Sans Symbols" w:cs="Noto Sans Symbols"/>
      </w:rPr>
    </w:lvl>
    <w:lvl w:ilvl="1">
      <w:start w:val="1"/>
      <w:numFmt w:val="bullet"/>
      <w:lvlText w:val="●"/>
      <w:lvlJc w:val="left"/>
      <w:pPr>
        <w:ind w:left="1120" w:hanging="360"/>
      </w:pPr>
      <w:rPr>
        <w:rFonts w:ascii="Noto Sans Symbols" w:eastAsia="Noto Sans Symbols" w:hAnsi="Noto Sans Symbols" w:cs="Noto Sans Symbols"/>
        <w:color w:val="2F5496"/>
        <w:sz w:val="20"/>
        <w:szCs w:val="20"/>
      </w:rPr>
    </w:lvl>
    <w:lvl w:ilvl="2">
      <w:start w:val="1"/>
      <w:numFmt w:val="bullet"/>
      <w:lvlText w:val="•"/>
      <w:lvlJc w:val="left"/>
      <w:pPr>
        <w:ind w:left="2273" w:hanging="360"/>
      </w:pPr>
    </w:lvl>
    <w:lvl w:ilvl="3">
      <w:start w:val="1"/>
      <w:numFmt w:val="bullet"/>
      <w:lvlText w:val="•"/>
      <w:lvlJc w:val="left"/>
      <w:pPr>
        <w:ind w:left="3426" w:hanging="360"/>
      </w:pPr>
    </w:lvl>
    <w:lvl w:ilvl="4">
      <w:start w:val="1"/>
      <w:numFmt w:val="bullet"/>
      <w:lvlText w:val="•"/>
      <w:lvlJc w:val="left"/>
      <w:pPr>
        <w:ind w:left="4580" w:hanging="360"/>
      </w:pPr>
    </w:lvl>
    <w:lvl w:ilvl="5">
      <w:start w:val="1"/>
      <w:numFmt w:val="bullet"/>
      <w:lvlText w:val="•"/>
      <w:lvlJc w:val="left"/>
      <w:pPr>
        <w:ind w:left="5733" w:hanging="360"/>
      </w:pPr>
    </w:lvl>
    <w:lvl w:ilvl="6">
      <w:start w:val="1"/>
      <w:numFmt w:val="bullet"/>
      <w:lvlText w:val="•"/>
      <w:lvlJc w:val="left"/>
      <w:pPr>
        <w:ind w:left="6886" w:hanging="360"/>
      </w:pPr>
    </w:lvl>
    <w:lvl w:ilvl="7">
      <w:start w:val="1"/>
      <w:numFmt w:val="bullet"/>
      <w:lvlText w:val="•"/>
      <w:lvlJc w:val="left"/>
      <w:pPr>
        <w:ind w:left="8040" w:hanging="360"/>
      </w:pPr>
    </w:lvl>
    <w:lvl w:ilvl="8">
      <w:start w:val="1"/>
      <w:numFmt w:val="bullet"/>
      <w:lvlText w:val="•"/>
      <w:lvlJc w:val="left"/>
      <w:pPr>
        <w:ind w:left="9193" w:hanging="360"/>
      </w:pPr>
    </w:lvl>
  </w:abstractNum>
  <w:abstractNum w:abstractNumId="13">
    <w:nsid w:val="4F566797"/>
    <w:multiLevelType w:val="hybridMultilevel"/>
    <w:tmpl w:val="8D1020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1763E08"/>
    <w:multiLevelType w:val="multilevel"/>
    <w:tmpl w:val="F39E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9192F6E"/>
    <w:multiLevelType w:val="multilevel"/>
    <w:tmpl w:val="96F6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B334F15"/>
    <w:multiLevelType w:val="multilevel"/>
    <w:tmpl w:val="50B47406"/>
    <w:lvl w:ilvl="0">
      <w:start w:val="1"/>
      <w:numFmt w:val="bullet"/>
      <w:lvlText w:val="●"/>
      <w:lvlJc w:val="left"/>
      <w:pPr>
        <w:ind w:left="760" w:hanging="360"/>
      </w:pPr>
      <w:rPr>
        <w:rFonts w:ascii="Noto Sans Symbols" w:eastAsia="Noto Sans Symbols" w:hAnsi="Noto Sans Symbols" w:cs="Noto Sans Symbols"/>
      </w:rPr>
    </w:lvl>
    <w:lvl w:ilvl="1">
      <w:start w:val="1"/>
      <w:numFmt w:val="bullet"/>
      <w:lvlText w:val="●"/>
      <w:lvlJc w:val="left"/>
      <w:pPr>
        <w:ind w:left="1120" w:hanging="360"/>
      </w:pPr>
      <w:rPr>
        <w:rFonts w:ascii="Noto Sans Symbols" w:eastAsia="Noto Sans Symbols" w:hAnsi="Noto Sans Symbols" w:cs="Noto Sans Symbols"/>
        <w:color w:val="2F5496"/>
        <w:sz w:val="20"/>
        <w:szCs w:val="20"/>
      </w:rPr>
    </w:lvl>
    <w:lvl w:ilvl="2">
      <w:start w:val="1"/>
      <w:numFmt w:val="bullet"/>
      <w:lvlText w:val="•"/>
      <w:lvlJc w:val="left"/>
      <w:pPr>
        <w:ind w:left="2273" w:hanging="360"/>
      </w:pPr>
    </w:lvl>
    <w:lvl w:ilvl="3">
      <w:start w:val="1"/>
      <w:numFmt w:val="bullet"/>
      <w:lvlText w:val="•"/>
      <w:lvlJc w:val="left"/>
      <w:pPr>
        <w:ind w:left="3426" w:hanging="360"/>
      </w:pPr>
    </w:lvl>
    <w:lvl w:ilvl="4">
      <w:start w:val="1"/>
      <w:numFmt w:val="bullet"/>
      <w:lvlText w:val="•"/>
      <w:lvlJc w:val="left"/>
      <w:pPr>
        <w:ind w:left="4580" w:hanging="360"/>
      </w:pPr>
    </w:lvl>
    <w:lvl w:ilvl="5">
      <w:start w:val="1"/>
      <w:numFmt w:val="bullet"/>
      <w:lvlText w:val="•"/>
      <w:lvlJc w:val="left"/>
      <w:pPr>
        <w:ind w:left="5733" w:hanging="360"/>
      </w:pPr>
    </w:lvl>
    <w:lvl w:ilvl="6">
      <w:start w:val="1"/>
      <w:numFmt w:val="bullet"/>
      <w:lvlText w:val="•"/>
      <w:lvlJc w:val="left"/>
      <w:pPr>
        <w:ind w:left="6886" w:hanging="360"/>
      </w:pPr>
    </w:lvl>
    <w:lvl w:ilvl="7">
      <w:start w:val="1"/>
      <w:numFmt w:val="bullet"/>
      <w:lvlText w:val="•"/>
      <w:lvlJc w:val="left"/>
      <w:pPr>
        <w:ind w:left="8040" w:hanging="360"/>
      </w:pPr>
    </w:lvl>
    <w:lvl w:ilvl="8">
      <w:start w:val="1"/>
      <w:numFmt w:val="bullet"/>
      <w:lvlText w:val="•"/>
      <w:lvlJc w:val="left"/>
      <w:pPr>
        <w:ind w:left="9193" w:hanging="360"/>
      </w:pPr>
    </w:lvl>
  </w:abstractNum>
  <w:abstractNum w:abstractNumId="17">
    <w:nsid w:val="6E1C7A21"/>
    <w:multiLevelType w:val="multilevel"/>
    <w:tmpl w:val="1FD69A12"/>
    <w:lvl w:ilvl="0">
      <w:start w:val="1"/>
      <w:numFmt w:val="bullet"/>
      <w:lvlText w:val="●"/>
      <w:lvlJc w:val="left"/>
      <w:pPr>
        <w:ind w:left="469" w:hanging="360"/>
      </w:pPr>
      <w:rPr>
        <w:rFonts w:ascii="Noto Sans Symbols" w:eastAsia="Noto Sans Symbols" w:hAnsi="Noto Sans Symbols" w:cs="Noto Sans Symbols"/>
        <w:color w:val="2F5496"/>
        <w:sz w:val="20"/>
        <w:szCs w:val="20"/>
      </w:rPr>
    </w:lvl>
    <w:lvl w:ilvl="1">
      <w:start w:val="1"/>
      <w:numFmt w:val="bullet"/>
      <w:lvlText w:val="•"/>
      <w:lvlJc w:val="left"/>
      <w:pPr>
        <w:ind w:left="713" w:hanging="360"/>
      </w:pPr>
    </w:lvl>
    <w:lvl w:ilvl="2">
      <w:start w:val="1"/>
      <w:numFmt w:val="bullet"/>
      <w:lvlText w:val="•"/>
      <w:lvlJc w:val="left"/>
      <w:pPr>
        <w:ind w:left="966" w:hanging="360"/>
      </w:pPr>
    </w:lvl>
    <w:lvl w:ilvl="3">
      <w:start w:val="1"/>
      <w:numFmt w:val="bullet"/>
      <w:lvlText w:val="•"/>
      <w:lvlJc w:val="left"/>
      <w:pPr>
        <w:ind w:left="1219" w:hanging="360"/>
      </w:pPr>
    </w:lvl>
    <w:lvl w:ilvl="4">
      <w:start w:val="1"/>
      <w:numFmt w:val="bullet"/>
      <w:lvlText w:val="•"/>
      <w:lvlJc w:val="left"/>
      <w:pPr>
        <w:ind w:left="1472" w:hanging="360"/>
      </w:pPr>
    </w:lvl>
    <w:lvl w:ilvl="5">
      <w:start w:val="1"/>
      <w:numFmt w:val="bullet"/>
      <w:lvlText w:val="•"/>
      <w:lvlJc w:val="left"/>
      <w:pPr>
        <w:ind w:left="1725" w:hanging="360"/>
      </w:pPr>
    </w:lvl>
    <w:lvl w:ilvl="6">
      <w:start w:val="1"/>
      <w:numFmt w:val="bullet"/>
      <w:lvlText w:val="•"/>
      <w:lvlJc w:val="left"/>
      <w:pPr>
        <w:ind w:left="1978" w:hanging="360"/>
      </w:pPr>
    </w:lvl>
    <w:lvl w:ilvl="7">
      <w:start w:val="1"/>
      <w:numFmt w:val="bullet"/>
      <w:lvlText w:val="•"/>
      <w:lvlJc w:val="left"/>
      <w:pPr>
        <w:ind w:left="2231" w:hanging="360"/>
      </w:pPr>
    </w:lvl>
    <w:lvl w:ilvl="8">
      <w:start w:val="1"/>
      <w:numFmt w:val="bullet"/>
      <w:lvlText w:val="•"/>
      <w:lvlJc w:val="left"/>
      <w:pPr>
        <w:ind w:left="2484" w:hanging="360"/>
      </w:pPr>
    </w:lvl>
  </w:abstractNum>
  <w:abstractNum w:abstractNumId="18">
    <w:nsid w:val="6FCA6CE9"/>
    <w:multiLevelType w:val="multilevel"/>
    <w:tmpl w:val="D09EB33A"/>
    <w:lvl w:ilvl="0">
      <w:start w:val="1"/>
      <w:numFmt w:val="decimal"/>
      <w:lvlText w:val="%1."/>
      <w:lvlJc w:val="left"/>
      <w:pPr>
        <w:ind w:left="400" w:hanging="269"/>
      </w:pPr>
      <w:rPr>
        <w:rFonts w:ascii="Arial" w:eastAsia="Arial" w:hAnsi="Arial" w:cs="Arial"/>
        <w:b/>
        <w:bCs/>
        <w:sz w:val="24"/>
        <w:szCs w:val="24"/>
      </w:rPr>
    </w:lvl>
    <w:lvl w:ilvl="1">
      <w:start w:val="1"/>
      <w:numFmt w:val="bullet"/>
      <w:lvlText w:val="●"/>
      <w:lvlJc w:val="left"/>
      <w:pPr>
        <w:ind w:left="1120" w:hanging="360"/>
      </w:pPr>
      <w:rPr>
        <w:rFonts w:ascii="Noto Sans Symbols" w:eastAsia="Noto Sans Symbols" w:hAnsi="Noto Sans Symbols" w:cs="Noto Sans Symbols"/>
      </w:r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abstractNum w:abstractNumId="19">
    <w:nsid w:val="72003CC0"/>
    <w:multiLevelType w:val="multilevel"/>
    <w:tmpl w:val="F2D8CC04"/>
    <w:lvl w:ilvl="0">
      <w:start w:val="1"/>
      <w:numFmt w:val="decimal"/>
      <w:lvlText w:val="%1."/>
      <w:lvlJc w:val="left"/>
      <w:pPr>
        <w:ind w:left="400" w:hanging="269"/>
      </w:pPr>
      <w:rPr>
        <w:rFonts w:ascii="Arial" w:eastAsia="Arial" w:hAnsi="Arial" w:cs="Arial" w:hint="default"/>
        <w:b/>
        <w:sz w:val="22"/>
        <w:szCs w:val="24"/>
      </w:rPr>
    </w:lvl>
    <w:lvl w:ilvl="1">
      <w:start w:val="1"/>
      <w:numFmt w:val="bullet"/>
      <w:lvlText w:val=""/>
      <w:lvlJc w:val="left"/>
      <w:pPr>
        <w:ind w:left="1120" w:hanging="360"/>
      </w:pPr>
      <w:rPr>
        <w:rFonts w:hint="default"/>
      </w:rPr>
    </w:lvl>
    <w:lvl w:ilvl="2">
      <w:start w:val="1"/>
      <w:numFmt w:val="bullet"/>
      <w:lvlText w:val="•"/>
      <w:lvlJc w:val="left"/>
      <w:pPr>
        <w:ind w:left="1220" w:hanging="360"/>
      </w:pPr>
      <w:rPr>
        <w:rFonts w:hint="default"/>
      </w:rPr>
    </w:lvl>
    <w:lvl w:ilvl="3">
      <w:start w:val="1"/>
      <w:numFmt w:val="bullet"/>
      <w:lvlText w:val="•"/>
      <w:lvlJc w:val="left"/>
      <w:pPr>
        <w:ind w:left="2505" w:hanging="360"/>
      </w:pPr>
      <w:rPr>
        <w:rFonts w:hint="default"/>
      </w:rPr>
    </w:lvl>
    <w:lvl w:ilvl="4">
      <w:start w:val="1"/>
      <w:numFmt w:val="bullet"/>
      <w:lvlText w:val="•"/>
      <w:lvlJc w:val="left"/>
      <w:pPr>
        <w:ind w:left="3790" w:hanging="360"/>
      </w:pPr>
      <w:rPr>
        <w:rFonts w:hint="default"/>
      </w:rPr>
    </w:lvl>
    <w:lvl w:ilvl="5">
      <w:start w:val="1"/>
      <w:numFmt w:val="bullet"/>
      <w:lvlText w:val="•"/>
      <w:lvlJc w:val="left"/>
      <w:pPr>
        <w:ind w:left="5075" w:hanging="360"/>
      </w:pPr>
      <w:rPr>
        <w:rFonts w:hint="default"/>
      </w:rPr>
    </w:lvl>
    <w:lvl w:ilvl="6">
      <w:start w:val="1"/>
      <w:numFmt w:val="bullet"/>
      <w:lvlText w:val="•"/>
      <w:lvlJc w:val="left"/>
      <w:pPr>
        <w:ind w:left="6360" w:hanging="360"/>
      </w:pPr>
      <w:rPr>
        <w:rFonts w:hint="default"/>
      </w:rPr>
    </w:lvl>
    <w:lvl w:ilvl="7">
      <w:start w:val="1"/>
      <w:numFmt w:val="bullet"/>
      <w:lvlText w:val="•"/>
      <w:lvlJc w:val="left"/>
      <w:pPr>
        <w:ind w:left="7645" w:hanging="360"/>
      </w:pPr>
      <w:rPr>
        <w:rFonts w:hint="default"/>
      </w:rPr>
    </w:lvl>
    <w:lvl w:ilvl="8">
      <w:start w:val="1"/>
      <w:numFmt w:val="bullet"/>
      <w:lvlText w:val="•"/>
      <w:lvlJc w:val="left"/>
      <w:pPr>
        <w:ind w:left="8930" w:hanging="360"/>
      </w:pPr>
      <w:rPr>
        <w:rFonts w:hint="default"/>
      </w:rPr>
    </w:lvl>
  </w:abstractNum>
  <w:abstractNum w:abstractNumId="20">
    <w:nsid w:val="7E722BD0"/>
    <w:multiLevelType w:val="multilevel"/>
    <w:tmpl w:val="F4E4656C"/>
    <w:lvl w:ilvl="0">
      <w:start w:val="1"/>
      <w:numFmt w:val="decimal"/>
      <w:lvlText w:val="%1."/>
      <w:lvlJc w:val="left"/>
      <w:pPr>
        <w:ind w:left="400" w:hanging="269"/>
      </w:pPr>
      <w:rPr>
        <w:rFonts w:ascii="Arial" w:eastAsia="Arial" w:hAnsi="Arial" w:cs="Arial"/>
        <w:b/>
        <w:bCs/>
        <w:sz w:val="24"/>
        <w:szCs w:val="24"/>
      </w:rPr>
    </w:lvl>
    <w:lvl w:ilvl="1">
      <w:start w:val="1"/>
      <w:numFmt w:val="bullet"/>
      <w:lvlText w:val=""/>
      <w:lvlJc w:val="left"/>
      <w:pPr>
        <w:ind w:left="1120" w:hanging="360"/>
      </w:p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num w:numId="1" w16cid:durableId="745224853">
    <w:abstractNumId w:val="0"/>
  </w:num>
  <w:num w:numId="2" w16cid:durableId="2016760353">
    <w:abstractNumId w:val="12"/>
  </w:num>
  <w:num w:numId="3" w16cid:durableId="743722266">
    <w:abstractNumId w:val="2"/>
  </w:num>
  <w:num w:numId="4" w16cid:durableId="2248027">
    <w:abstractNumId w:val="6"/>
  </w:num>
  <w:num w:numId="5" w16cid:durableId="434522484">
    <w:abstractNumId w:val="18"/>
  </w:num>
  <w:num w:numId="6" w16cid:durableId="1694382569">
    <w:abstractNumId w:val="4"/>
  </w:num>
  <w:num w:numId="7" w16cid:durableId="604532952">
    <w:abstractNumId w:val="3"/>
  </w:num>
  <w:num w:numId="8" w16cid:durableId="350649093">
    <w:abstractNumId w:val="17"/>
  </w:num>
  <w:num w:numId="9" w16cid:durableId="1908808602">
    <w:abstractNumId w:val="20"/>
  </w:num>
  <w:num w:numId="10" w16cid:durableId="1230579318">
    <w:abstractNumId w:val="10"/>
  </w:num>
  <w:num w:numId="11" w16cid:durableId="271089282">
    <w:abstractNumId w:val="16"/>
  </w:num>
  <w:num w:numId="12" w16cid:durableId="2136362470">
    <w:abstractNumId w:val="8"/>
  </w:num>
  <w:num w:numId="13" w16cid:durableId="1309626843">
    <w:abstractNumId w:val="1"/>
  </w:num>
  <w:num w:numId="14" w16cid:durableId="714934714">
    <w:abstractNumId w:val="5"/>
  </w:num>
  <w:num w:numId="15" w16cid:durableId="1658220263">
    <w:abstractNumId w:val="7"/>
  </w:num>
  <w:num w:numId="16" w16cid:durableId="622813702">
    <w:abstractNumId w:val="9"/>
  </w:num>
  <w:num w:numId="17" w16cid:durableId="306327941">
    <w:abstractNumId w:val="19"/>
  </w:num>
  <w:num w:numId="18" w16cid:durableId="1433937787">
    <w:abstractNumId w:val="15"/>
  </w:num>
  <w:num w:numId="19" w16cid:durableId="1109735743">
    <w:abstractNumId w:val="14"/>
  </w:num>
  <w:num w:numId="20" w16cid:durableId="639843860">
    <w:abstractNumId w:val="11"/>
  </w:num>
  <w:num w:numId="21" w16cid:durableId="18953892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A5D"/>
    <w:rsid w:val="0002790B"/>
    <w:rsid w:val="0009081E"/>
    <w:rsid w:val="000B30C7"/>
    <w:rsid w:val="000C078B"/>
    <w:rsid w:val="000C5B06"/>
    <w:rsid w:val="000E4395"/>
    <w:rsid w:val="00115AA4"/>
    <w:rsid w:val="00250F79"/>
    <w:rsid w:val="00330439"/>
    <w:rsid w:val="003441E0"/>
    <w:rsid w:val="00366A41"/>
    <w:rsid w:val="003E2940"/>
    <w:rsid w:val="003F1A96"/>
    <w:rsid w:val="00433CE8"/>
    <w:rsid w:val="004A09A4"/>
    <w:rsid w:val="004C011A"/>
    <w:rsid w:val="004F2EF6"/>
    <w:rsid w:val="004F5E03"/>
    <w:rsid w:val="00510150"/>
    <w:rsid w:val="005113A0"/>
    <w:rsid w:val="005613FE"/>
    <w:rsid w:val="00664A5D"/>
    <w:rsid w:val="006C213E"/>
    <w:rsid w:val="00735F20"/>
    <w:rsid w:val="00763EE7"/>
    <w:rsid w:val="007B1094"/>
    <w:rsid w:val="00802025"/>
    <w:rsid w:val="00831605"/>
    <w:rsid w:val="00986B11"/>
    <w:rsid w:val="009B0FBD"/>
    <w:rsid w:val="009C64C5"/>
    <w:rsid w:val="009D447B"/>
    <w:rsid w:val="009F51DE"/>
    <w:rsid w:val="00A040A3"/>
    <w:rsid w:val="00BB471C"/>
    <w:rsid w:val="00C73302"/>
    <w:rsid w:val="00C907A4"/>
    <w:rsid w:val="00C94240"/>
    <w:rsid w:val="00CA21F1"/>
    <w:rsid w:val="00D3326D"/>
    <w:rsid w:val="00D66D59"/>
    <w:rsid w:val="00D74D32"/>
    <w:rsid w:val="00DD2FB5"/>
    <w:rsid w:val="00DF41AD"/>
    <w:rsid w:val="00E1244C"/>
    <w:rsid w:val="00E57B0A"/>
    <w:rsid w:val="00EE2178"/>
    <w:rsid w:val="00F33D42"/>
    <w:rsid w:val="00F73DBA"/>
    <w:rsid w:val="00F93BC4"/>
    <w:rsid w:val="00F97D2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3B28905"/>
  <w15:docId w15:val="{503DAB0B-7B3F-4922-B27A-7F0FA2BD4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uiPriority w:val="9"/>
    <w:qFormat/>
    <w:pPr>
      <w:spacing w:before="80"/>
      <w:ind w:left="400"/>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pPr>
      <w:spacing w:before="161"/>
      <w:ind w:left="400"/>
    </w:pPr>
  </w:style>
  <w:style w:type="paragraph" w:styleId="ListParagraph">
    <w:name w:val="List Paragraph"/>
    <w:basedOn w:val="Normal"/>
    <w:uiPriority w:val="1"/>
    <w:qFormat/>
    <w:pPr>
      <w:spacing w:before="161"/>
      <w:ind w:left="1120"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D1431"/>
    <w:rPr>
      <w:sz w:val="16"/>
      <w:szCs w:val="16"/>
    </w:rPr>
  </w:style>
  <w:style w:type="paragraph" w:styleId="CommentText">
    <w:name w:val="annotation text"/>
    <w:basedOn w:val="Normal"/>
    <w:link w:val="CommentTextChar"/>
    <w:uiPriority w:val="99"/>
    <w:unhideWhenUsed/>
    <w:rsid w:val="00AD1431"/>
    <w:pPr>
      <w:widowControl/>
      <w:spacing w:after="149"/>
      <w:ind w:left="426" w:hanging="10"/>
    </w:pPr>
    <w:rPr>
      <w:color w:val="2E5395"/>
      <w:sz w:val="20"/>
      <w:szCs w:val="20"/>
    </w:rPr>
  </w:style>
  <w:style w:type="character" w:customStyle="1" w:styleId="CommentTextChar">
    <w:name w:val="Comment Text Char"/>
    <w:basedOn w:val="DefaultParagraphFont"/>
    <w:link w:val="CommentText"/>
    <w:uiPriority w:val="99"/>
    <w:rsid w:val="00AD1431"/>
    <w:rPr>
      <w:rFonts w:ascii="Arial" w:eastAsia="Arial" w:hAnsi="Arial" w:cs="Arial"/>
      <w:color w:val="2E5395"/>
      <w:sz w:val="20"/>
      <w:szCs w:val="20"/>
    </w:rPr>
  </w:style>
  <w:style w:type="paragraph" w:styleId="BalloonText">
    <w:name w:val="Balloon Text"/>
    <w:basedOn w:val="Normal"/>
    <w:link w:val="BalloonTextChar"/>
    <w:uiPriority w:val="99"/>
    <w:semiHidden/>
    <w:unhideWhenUsed/>
    <w:rsid w:val="00AD14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431"/>
    <w:rPr>
      <w:rFonts w:ascii="Segoe UI" w:eastAsia="Arial" w:hAnsi="Segoe UI" w:cs="Segoe UI"/>
      <w:sz w:val="18"/>
      <w:szCs w:val="18"/>
      <w:lang w:bidi="en-US"/>
    </w:rPr>
  </w:style>
  <w:style w:type="paragraph" w:styleId="Header">
    <w:name w:val="header"/>
    <w:basedOn w:val="Normal"/>
    <w:link w:val="HeaderChar"/>
    <w:uiPriority w:val="99"/>
    <w:unhideWhenUsed/>
    <w:rsid w:val="00F27520"/>
    <w:pPr>
      <w:tabs>
        <w:tab w:val="center" w:pos="4680"/>
        <w:tab w:val="right" w:pos="9360"/>
      </w:tabs>
    </w:pPr>
  </w:style>
  <w:style w:type="character" w:customStyle="1" w:styleId="HeaderChar">
    <w:name w:val="Header Char"/>
    <w:basedOn w:val="DefaultParagraphFont"/>
    <w:link w:val="Header"/>
    <w:uiPriority w:val="99"/>
    <w:rsid w:val="00F27520"/>
  </w:style>
  <w:style w:type="paragraph" w:styleId="Footer">
    <w:name w:val="footer"/>
    <w:basedOn w:val="Normal"/>
    <w:link w:val="FooterChar"/>
    <w:uiPriority w:val="99"/>
    <w:unhideWhenUsed/>
    <w:rsid w:val="00F27520"/>
    <w:pPr>
      <w:tabs>
        <w:tab w:val="center" w:pos="4680"/>
        <w:tab w:val="right" w:pos="9360"/>
      </w:tabs>
    </w:pPr>
  </w:style>
  <w:style w:type="character" w:customStyle="1" w:styleId="FooterChar">
    <w:name w:val="Footer Char"/>
    <w:basedOn w:val="DefaultParagraphFont"/>
    <w:link w:val="Footer"/>
    <w:uiPriority w:val="99"/>
    <w:rsid w:val="00F27520"/>
  </w:style>
  <w:style w:type="character" w:styleId="Hyperlink">
    <w:name w:val="Hyperlink"/>
    <w:basedOn w:val="DefaultParagraphFont"/>
    <w:uiPriority w:val="99"/>
    <w:unhideWhenUsed/>
    <w:rsid w:val="00F0299B"/>
    <w:rPr>
      <w:color w:val="0000FF" w:themeColor="hyperlink"/>
      <w:u w:val="single"/>
    </w:rPr>
  </w:style>
  <w:style w:type="character" w:styleId="FollowedHyperlink">
    <w:name w:val="FollowedHyperlink"/>
    <w:basedOn w:val="DefaultParagraphFont"/>
    <w:uiPriority w:val="99"/>
    <w:semiHidden/>
    <w:unhideWhenUsed/>
    <w:rsid w:val="00F0299B"/>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7">
    <w:name w:val="7"/>
    <w:basedOn w:val="TableNormal"/>
    <w:tblPr>
      <w:tblStyleRowBandSize w:val="1"/>
      <w:tblStyleColBandSize w:val="1"/>
      <w:tblCellMar>
        <w:left w:w="0" w:type="dxa"/>
        <w:right w:w="0"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CellMar>
        <w:left w:w="0" w:type="dxa"/>
        <w:right w:w="0" w:type="dxa"/>
      </w:tblCellMar>
    </w:tblPr>
  </w:style>
  <w:style w:type="paragraph" w:styleId="Revision">
    <w:name w:val="Revision"/>
    <w:hidden/>
    <w:uiPriority w:val="99"/>
    <w:semiHidden/>
    <w:rsid w:val="00C73302"/>
    <w:pPr>
      <w:widowControl/>
    </w:pPr>
  </w:style>
  <w:style w:type="paragraph" w:styleId="CommentSubject">
    <w:name w:val="annotation subject"/>
    <w:basedOn w:val="CommentText"/>
    <w:next w:val="CommentText"/>
    <w:link w:val="CommentSubjectChar"/>
    <w:uiPriority w:val="99"/>
    <w:semiHidden/>
    <w:unhideWhenUsed/>
    <w:rsid w:val="004F5E03"/>
    <w:pPr>
      <w:widowControl w:val="0"/>
      <w:spacing w:after="0"/>
      <w:ind w:left="0" w:firstLine="0"/>
    </w:pPr>
    <w:rPr>
      <w:b/>
      <w:bCs/>
      <w:color w:val="auto"/>
    </w:rPr>
  </w:style>
  <w:style w:type="character" w:customStyle="1" w:styleId="CommentSubjectChar">
    <w:name w:val="Comment Subject Char"/>
    <w:basedOn w:val="CommentTextChar"/>
    <w:link w:val="CommentSubject"/>
    <w:uiPriority w:val="99"/>
    <w:semiHidden/>
    <w:rsid w:val="004F5E03"/>
    <w:rPr>
      <w:rFonts w:ascii="Arial" w:eastAsia="Arial" w:hAnsi="Arial" w:cs="Arial"/>
      <w:b/>
      <w:bCs/>
      <w:color w:val="2E5395"/>
      <w:sz w:val="20"/>
      <w:szCs w:val="20"/>
    </w:rPr>
  </w:style>
  <w:style w:type="character" w:styleId="UnresolvedMention">
    <w:name w:val="Unresolved Mention"/>
    <w:basedOn w:val="DefaultParagraphFont"/>
    <w:uiPriority w:val="99"/>
    <w:semiHidden/>
    <w:unhideWhenUsed/>
    <w:rsid w:val="00F73DBA"/>
    <w:rPr>
      <w:color w:val="605E5C"/>
      <w:shd w:val="clear" w:color="auto" w:fill="E1DFDD"/>
    </w:rPr>
  </w:style>
  <w:style w:type="paragraph" w:styleId="NormalWeb">
    <w:name w:val="Normal (Web)"/>
    <w:basedOn w:val="Normal"/>
    <w:uiPriority w:val="99"/>
    <w:semiHidden/>
    <w:unhideWhenUsed/>
    <w:rsid w:val="00C907A4"/>
    <w:pPr>
      <w:widowControl/>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data.bls.gov/oesprofile/?major_group=530000&amp;occupation=535021&amp;measure=01&amp;areas=INDUSTRY,STATE,MSA" TargetMode="External" /><Relationship Id="rId7" Type="http://schemas.openxmlformats.org/officeDocument/2006/relationships/hyperlink" Target="https://www.commerce.gov/sites/default/files/2026-01/CAPS%20Standard%20Pay%20Tables%202026.pdf" TargetMode="External" /><Relationship Id="rId8" Type="http://schemas.openxmlformats.org/officeDocument/2006/relationships/hyperlink" Target="http://www.gpo.gov/fdsys/pkg/CFR-2014-title5-vol3/pdf/CFR-2014-title5-vol3-sec1320-9.pdf" TargetMode="External" /><Relationship Id="rId9" Type="http://schemas.openxmlformats.org/officeDocument/2006/relationships/hyperlink" Target="http://www.gpo.gov/fdsys/pkg/CFR-2014-title5-vol3/pdf/CFR-2014-title5-vol3-sec1320-8.pdf" TargetMode="Externa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0X+Rgwo6KWsEiVmTPx4tTOz3gw==">CgMxLjAyCGguZ2pkZ3hzOAByITF2d0x5V2xXM0pkNTI3MGcxN0tHcGVUQzVyZlZhMjZnZw==</go:docsCustomData>
</go:gDocsCustomXmlDataStorage>
</file>

<file path=customXml/itemProps1.xml><?xml version="1.0" encoding="utf-8"?>
<ds:datastoreItem xmlns:ds="http://schemas.openxmlformats.org/officeDocument/2006/customXml" ds:itemID="{6F1C6AFE-4562-4B85-9F49-766BD728009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2570</Words>
  <Characters>14652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NOAA Fisheries</Company>
  <LinksUpToDate>false</LinksUpToDate>
  <CharactersWithSpaces>17188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Dumas, Sheleen (Federal)</dc:creator>
  <cp:lastModifiedBy>Adrienne.Thomas</cp:lastModifiedBy>
  <cp:revision>6</cp:revision>
  <dcterms:created xsi:type="dcterms:W3CDTF">2026-09-23T18:34:00Z</dcterms:created>
  <dcterms:modified xsi:type="dcterms:W3CDTF">2026-09-23T19:15:00Z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2020-05-06T00:00:00Z</vt:filetime>
  </property>
  <property fmtid="{D5CDD505-2E9C-101B-9397-08002B2CF9AE}" pid="3" name="Creator">
    <vt:lpwstr>Acrobat PDFMaker 17 for Word</vt:lpwstr>
  </property>
  <property fmtid="{D5CDD505-2E9C-101B-9397-08002B2CF9AE}" pid="4" name="LastSaved">
    <vt:filetime>2020-05-07T00:00:00Z</vt:filetime>
  </property>
</Properties>
</file>