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95904" w:rsidP="00E95904" w14:paraId="3E4DCD78" w14:textId="77777777">
      <w:pPr>
        <w:jc w:val="center"/>
        <w:rPr>
          <w:b/>
          <w:bCs/>
          <w:sz w:val="24"/>
          <w:szCs w:val="24"/>
        </w:rPr>
      </w:pPr>
    </w:p>
    <w:p w:rsidR="00E95904" w:rsidP="00E95904" w14:paraId="5524A39A" w14:textId="1F8EF114">
      <w:pPr>
        <w:jc w:val="center"/>
        <w:rPr>
          <w:b/>
          <w:bCs/>
          <w:sz w:val="24"/>
          <w:szCs w:val="24"/>
        </w:rPr>
      </w:pPr>
      <w:r>
        <w:rPr>
          <w:b/>
          <w:bCs/>
          <w:sz w:val="24"/>
          <w:szCs w:val="24"/>
        </w:rPr>
        <w:t>Change Request</w:t>
      </w:r>
    </w:p>
    <w:p w:rsidR="00E95904" w:rsidRPr="00E15920" w:rsidP="00E95904" w14:paraId="3A068F55" w14:textId="49D03F99">
      <w:pPr>
        <w:spacing w:after="0" w:line="240" w:lineRule="auto"/>
        <w:jc w:val="center"/>
        <w:rPr>
          <w:b/>
          <w:bCs/>
          <w:sz w:val="24"/>
          <w:szCs w:val="24"/>
        </w:rPr>
      </w:pPr>
      <w:r w:rsidRPr="00E15920">
        <w:rPr>
          <w:b/>
          <w:bCs/>
          <w:sz w:val="24"/>
          <w:szCs w:val="24"/>
        </w:rPr>
        <w:t>DEPARTMENT OF HEALTH AND HUMAN SERVICES</w:t>
      </w:r>
    </w:p>
    <w:p w:rsidR="00E95904" w:rsidP="00911FE6" w14:paraId="28B58812" w14:textId="77777777">
      <w:pPr>
        <w:spacing w:after="0" w:line="240" w:lineRule="auto"/>
        <w:jc w:val="center"/>
        <w:rPr>
          <w:b/>
          <w:bCs/>
          <w:sz w:val="24"/>
          <w:szCs w:val="24"/>
        </w:rPr>
      </w:pPr>
      <w:r w:rsidRPr="00E15920">
        <w:rPr>
          <w:b/>
          <w:bCs/>
          <w:sz w:val="24"/>
          <w:szCs w:val="24"/>
        </w:rPr>
        <w:t>Centers for Disease Control and Prevention</w:t>
      </w:r>
    </w:p>
    <w:p w:rsidR="00911FE6" w:rsidRPr="00E15920" w:rsidP="00911FE6" w14:paraId="1B4F4A83" w14:textId="77777777">
      <w:pPr>
        <w:spacing w:after="0" w:line="240" w:lineRule="auto"/>
        <w:jc w:val="center"/>
        <w:rPr>
          <w:b/>
          <w:bCs/>
          <w:sz w:val="24"/>
          <w:szCs w:val="24"/>
        </w:rPr>
      </w:pPr>
    </w:p>
    <w:p w:rsidR="00E95904" w:rsidP="00E95904" w14:paraId="5731EC5C" w14:textId="22AAFECE">
      <w:pPr>
        <w:jc w:val="center"/>
      </w:pPr>
      <w:r>
        <w:t>Pregnancy Risk Assessment Monitoring System</w:t>
      </w:r>
      <w:r w:rsidR="555719D4">
        <w:t xml:space="preserve"> (PRAMS)</w:t>
      </w:r>
    </w:p>
    <w:p w:rsidR="00E95904" w:rsidP="00E95904" w14:paraId="4F69C7BB" w14:textId="5C310822">
      <w:pPr>
        <w:spacing w:after="0" w:line="240" w:lineRule="auto"/>
        <w:jc w:val="center"/>
      </w:pPr>
      <w:r>
        <w:t>(</w:t>
      </w:r>
      <w:r>
        <w:t>OMB Control No. 0920-1273</w:t>
      </w:r>
      <w:r w:rsidR="4A967ADF">
        <w:t>,</w:t>
      </w:r>
      <w:r w:rsidR="7AE4BA4A">
        <w:t xml:space="preserve"> </w:t>
      </w:r>
      <w:r>
        <w:t>Expiration Date: 0</w:t>
      </w:r>
      <w:r w:rsidR="009678B2">
        <w:t>5</w:t>
      </w:r>
      <w:r>
        <w:t>/31/202</w:t>
      </w:r>
      <w:r w:rsidR="009678B2">
        <w:t>9</w:t>
      </w:r>
      <w:r w:rsidR="6E2B3750">
        <w:t>)</w:t>
      </w:r>
    </w:p>
    <w:p w:rsidR="00E95904" w:rsidP="00E95904" w14:paraId="282043CD" w14:textId="77777777">
      <w:pPr>
        <w:jc w:val="center"/>
      </w:pPr>
    </w:p>
    <w:p w:rsidR="00E95904" w:rsidRPr="00E15920" w:rsidP="00E95904" w14:paraId="78D5D467" w14:textId="77777777">
      <w:pPr>
        <w:jc w:val="center"/>
        <w:rPr>
          <w:b/>
          <w:bCs/>
        </w:rPr>
      </w:pPr>
      <w:r w:rsidRPr="00E15920">
        <w:rPr>
          <w:b/>
          <w:bCs/>
        </w:rPr>
        <w:t>JUSTIFICATION MEMORANDUM FOR NON-SUBSTANTIVE CHANGE REQUEST</w:t>
      </w:r>
    </w:p>
    <w:p w:rsidR="00E95904" w:rsidP="00E95904" w14:paraId="3E4277D1" w14:textId="77777777"/>
    <w:p w:rsidR="00E95904" w:rsidRPr="00E95904" w:rsidP="00E95904" w14:paraId="03F97ED7" w14:textId="51D6CBBD">
      <w:pPr>
        <w:rPr>
          <w:b/>
          <w:bCs/>
        </w:rPr>
      </w:pPr>
      <w:r w:rsidRPr="00E95904">
        <w:rPr>
          <w:b/>
          <w:bCs/>
        </w:rPr>
        <w:t>Summary</w:t>
      </w:r>
    </w:p>
    <w:p w:rsidR="00E95904" w:rsidP="00E95904" w14:paraId="7AF00099" w14:textId="3AE93BFF">
      <w:r>
        <w:t xml:space="preserve">We </w:t>
      </w:r>
      <w:r>
        <w:t xml:space="preserve">request a non-substantive change to OMB control number 0920-1273 </w:t>
      </w:r>
      <w:r w:rsidRPr="00C45158" w:rsidR="009678B2">
        <w:t>to remove the requirement for a discrete OMB consultation step prior to adjusting participant incentive amounts, and to delegate that determination to the local P</w:t>
      </w:r>
      <w:r w:rsidR="00EE0119">
        <w:t>ublic Health Department</w:t>
      </w:r>
      <w:r w:rsidRPr="00C45158" w:rsidR="009678B2">
        <w:t>, IRB, and CDC</w:t>
      </w:r>
      <w:r w:rsidR="00EE0119">
        <w:t>.</w:t>
      </w:r>
    </w:p>
    <w:p w:rsidR="00E95904" w:rsidRPr="00911FE6" w:rsidP="00E95904" w14:paraId="03856D58" w14:textId="746ECF85">
      <w:pPr>
        <w:rPr>
          <w:b/>
          <w:bCs/>
        </w:rPr>
      </w:pPr>
      <w:r w:rsidRPr="6D20D8E7">
        <w:rPr>
          <w:b/>
          <w:bCs/>
        </w:rPr>
        <w:t>Attachment</w:t>
      </w:r>
      <w:r w:rsidRPr="6D20D8E7" w:rsidR="2411AD4C">
        <w:rPr>
          <w:b/>
          <w:bCs/>
        </w:rPr>
        <w:t>s</w:t>
      </w:r>
    </w:p>
    <w:p w:rsidR="00911FE6" w:rsidRPr="009678B2" w:rsidP="00E95904" w14:paraId="47516D46" w14:textId="3943A927">
      <w:pPr>
        <w:pStyle w:val="ListParagraph"/>
        <w:numPr>
          <w:ilvl w:val="0"/>
          <w:numId w:val="1"/>
        </w:numPr>
      </w:pPr>
      <w:r>
        <w:t xml:space="preserve">Attachment </w:t>
      </w:r>
      <w:r w:rsidR="009678B2">
        <w:t>5</w:t>
      </w:r>
      <w:r>
        <w:t xml:space="preserve">: </w:t>
      </w:r>
      <w:r>
        <w:t xml:space="preserve">PRAMS </w:t>
      </w:r>
      <w:r w:rsidR="009678B2">
        <w:t>Response Gifts and Incentives by Jurisdiction</w:t>
      </w:r>
    </w:p>
    <w:p w:rsidR="00911FE6" w:rsidRPr="00911FE6" w:rsidP="00E95904" w14:paraId="56E3AFC2" w14:textId="30C65C99">
      <w:pPr>
        <w:rPr>
          <w:b/>
          <w:bCs/>
        </w:rPr>
      </w:pPr>
      <w:r w:rsidRPr="00911FE6">
        <w:rPr>
          <w:b/>
          <w:bCs/>
        </w:rPr>
        <w:t>Background and Justification</w:t>
      </w:r>
    </w:p>
    <w:p w:rsidR="00EE0119" w:rsidP="00E95904" w14:paraId="4F072886" w14:textId="7E4F504B">
      <w:r w:rsidRPr="364B2E32">
        <w:rPr>
          <w:u w:val="single"/>
        </w:rPr>
        <w:t>Background.</w:t>
      </w:r>
      <w:r>
        <w:t xml:space="preserve">  In the last extension and revision request approved by OMB on M</w:t>
      </w:r>
      <w:r w:rsidR="009678B2">
        <w:t>ay 26</w:t>
      </w:r>
      <w:r>
        <w:t>, 202</w:t>
      </w:r>
      <w:r w:rsidR="009678B2">
        <w:t>6</w:t>
      </w:r>
      <w:r>
        <w:t xml:space="preserve">, PRAMS provided </w:t>
      </w:r>
      <w:r w:rsidR="009678B2">
        <w:t xml:space="preserve">a list of PRAMS Response Gifts and Incentives by Jurisdiction </w:t>
      </w:r>
      <w:r>
        <w:t xml:space="preserve">(previously submitted as Attachment </w:t>
      </w:r>
      <w:r w:rsidR="009678B2">
        <w:t>5</w:t>
      </w:r>
      <w:r>
        <w:t>)</w:t>
      </w:r>
      <w:r>
        <w:t>.</w:t>
      </w:r>
      <w:r w:rsidRPr="00EE0119">
        <w:rPr>
          <w:rFonts w:ascii="Arial Nova" w:hAnsi="Arial Nova"/>
        </w:rPr>
        <w:t xml:space="preserve"> </w:t>
      </w:r>
      <w:r>
        <w:t>On this list j</w:t>
      </w:r>
      <w:r w:rsidRPr="00EE0119">
        <w:t xml:space="preserve">urisdictions individually select gifts (offered to all sampled mothers) and response incentives (offered to mothers who responded to the survey) without CDC input based on the following criteria: what they can afford, what appeals to women in their population, and what is allowed by their </w:t>
      </w:r>
      <w:r w:rsidR="6876A121">
        <w:t>jurisdiction</w:t>
      </w:r>
      <w:r w:rsidR="72296990">
        <w:t>al</w:t>
      </w:r>
      <w:r w:rsidRPr="00EE0119">
        <w:t xml:space="preserve"> health department and local IRB. At the time of the initial Paperwork Reduction Act approval for PRAMS, jurisdictions were providing a range of incentives which, in some cases, </w:t>
      </w:r>
      <w:r w:rsidR="459164DE">
        <w:t>we</w:t>
      </w:r>
      <w:r w:rsidR="6876A121">
        <w:t>re</w:t>
      </w:r>
      <w:r w:rsidRPr="00EE0119">
        <w:t xml:space="preserve"> valued over $25.</w:t>
      </w:r>
      <w:r>
        <w:t xml:space="preserve"> Currently as outlined in </w:t>
      </w:r>
      <w:r w:rsidRPr="00EE0119">
        <w:rPr>
          <w:b/>
          <w:bCs/>
        </w:rPr>
        <w:t>Attachment 5</w:t>
      </w:r>
      <w:r>
        <w:t xml:space="preserve">, </w:t>
      </w:r>
      <w:r w:rsidRPr="00EE0119">
        <w:t>in the event a jurisdiction would like to offer a new response incentive greater than $25</w:t>
      </w:r>
      <w:r>
        <w:t>:</w:t>
      </w:r>
      <w:r w:rsidRPr="00EE0119">
        <w:t xml:space="preserve"> </w:t>
      </w:r>
      <w:r>
        <w:t xml:space="preserve">1) </w:t>
      </w:r>
      <w:r w:rsidRPr="00EE0119">
        <w:t>CDC will consult with OMB</w:t>
      </w:r>
      <w:r>
        <w:t>; 2)</w:t>
      </w:r>
      <w:r w:rsidRPr="00EE0119">
        <w:t xml:space="preserve"> CDC will document incentive size and response rates, particularly for populations that are less likely to respond</w:t>
      </w:r>
      <w:r>
        <w:t xml:space="preserve">; </w:t>
      </w:r>
      <w:r w:rsidR="08E80806">
        <w:t xml:space="preserve">and </w:t>
      </w:r>
      <w:r>
        <w:t>3)</w:t>
      </w:r>
      <w:r w:rsidRPr="00EE0119">
        <w:t xml:space="preserve"> CDC will also work with jurisdictions to conduct experiments to assess the impact of changes to incentive size.</w:t>
      </w:r>
    </w:p>
    <w:p w:rsidR="00EE0119" w:rsidRPr="00C45158" w:rsidP="00EE0119" w14:paraId="515D9312" w14:textId="28599170">
      <w:r>
        <w:t xml:space="preserve">Several jurisdictions are requesting </w:t>
      </w:r>
      <w:r>
        <w:t xml:space="preserve">to </w:t>
      </w:r>
      <w:r>
        <w:t>increase</w:t>
      </w:r>
      <w:r>
        <w:t xml:space="preserve"> their</w:t>
      </w:r>
      <w:r>
        <w:t xml:space="preserve"> incentives</w:t>
      </w:r>
      <w:r>
        <w:t xml:space="preserve"> to greater than $25</w:t>
      </w:r>
      <w:r>
        <w:t xml:space="preserve">. </w:t>
      </w:r>
      <w:r w:rsidRPr="00C45158">
        <w:t xml:space="preserve">This amendment proposes to remove the requirement for a discrete OMB consultation step prior to adjusting participant incentive amounts, and to delegate that determination to the local </w:t>
      </w:r>
      <w:r>
        <w:t>public health department</w:t>
      </w:r>
      <w:r w:rsidRPr="00C45158">
        <w:t xml:space="preserve">, IRB, and CDC. The intent is to reduce administrative burden and </w:t>
      </w:r>
      <w:r w:rsidRPr="00C45158" w:rsidR="009A35CE">
        <w:t>processing</w:t>
      </w:r>
      <w:r w:rsidR="009A35CE">
        <w:t xml:space="preserve"> time</w:t>
      </w:r>
      <w:r w:rsidRPr="00C45158">
        <w:t xml:space="preserve"> for jurisdictions and CDC program staff, not to reduce the rigor or accountability of the incentive-setting process.</w:t>
      </w:r>
    </w:p>
    <w:p w:rsidR="00EE0119" w:rsidRPr="00C45158" w:rsidP="00EE0119" w14:paraId="0DDFF375" w14:textId="0499024A">
      <w:r w:rsidRPr="00EE0119">
        <w:rPr>
          <w:u w:val="single"/>
        </w:rPr>
        <w:t>Justification.</w:t>
      </w:r>
      <w:r>
        <w:rPr>
          <w:b/>
          <w:bCs/>
        </w:rPr>
        <w:t xml:space="preserve"> </w:t>
      </w:r>
      <w:r w:rsidRPr="00EE0119">
        <w:t xml:space="preserve">1) </w:t>
      </w:r>
      <w:r w:rsidRPr="00EE0119">
        <w:rPr>
          <w:i/>
          <w:iCs/>
        </w:rPr>
        <w:t>Oversight already exists at multiple levels</w:t>
      </w:r>
      <w:r w:rsidRPr="00EE0119">
        <w:t>:</w:t>
      </w:r>
      <w:r w:rsidRPr="00C45158">
        <w:t xml:space="preserve"> Incentive adjustments under this collection are not made unilaterally. Any proposed </w:t>
      </w:r>
      <w:r w:rsidR="009A35CE">
        <w:t xml:space="preserve">incentive </w:t>
      </w:r>
      <w:r w:rsidRPr="00C45158">
        <w:t>increase already requires:</w:t>
      </w:r>
    </w:p>
    <w:p w:rsidR="00EE0119" w:rsidRPr="00EE0119" w:rsidP="00EE0119" w14:paraId="638B81C7" w14:textId="44BD8056">
      <w:pPr>
        <w:numPr>
          <w:ilvl w:val="0"/>
          <w:numId w:val="4"/>
        </w:numPr>
        <w:spacing w:line="278" w:lineRule="auto"/>
      </w:pPr>
      <w:r>
        <w:t xml:space="preserve">Local </w:t>
      </w:r>
      <w:r w:rsidRPr="00EE0119">
        <w:t>IRB review and approval, which evaluates whether the incentive amount is appropriate and does not constitute undue inducement or coercion for the study population;</w:t>
      </w:r>
    </w:p>
    <w:p w:rsidR="00EE0119" w:rsidRPr="00EE0119" w:rsidP="00EE0119" w14:paraId="79FEAAEC" w14:textId="75C74A80">
      <w:pPr>
        <w:numPr>
          <w:ilvl w:val="0"/>
          <w:numId w:val="4"/>
        </w:numPr>
        <w:spacing w:line="278" w:lineRule="auto"/>
      </w:pPr>
      <w:r>
        <w:t>Local</w:t>
      </w:r>
      <w:r w:rsidRPr="00EE0119">
        <w:t xml:space="preserve"> public health department approval, which assesses operational necessity, budget, and community-specific recruitment or retention context; and</w:t>
      </w:r>
    </w:p>
    <w:p w:rsidR="00EE0119" w:rsidRPr="00EE0119" w:rsidP="00EE0119" w14:paraId="39F014B3" w14:textId="01830457">
      <w:pPr>
        <w:numPr>
          <w:ilvl w:val="0"/>
          <w:numId w:val="4"/>
        </w:numPr>
        <w:spacing w:line="278" w:lineRule="auto"/>
      </w:pPr>
      <w:r w:rsidRPr="00EE0119">
        <w:t>PRAMS CDC program office concurrence, which ensures consistency with the study's scientific design and federal program standards.</w:t>
      </w:r>
    </w:p>
    <w:p w:rsidR="00EE0119" w:rsidRPr="00C45158" w:rsidP="00EE0119" w14:paraId="01C2A496" w14:textId="47D5C873">
      <w:r w:rsidRPr="00EE0119">
        <w:t xml:space="preserve">2) </w:t>
      </w:r>
      <w:r w:rsidRPr="00EE0119">
        <w:rPr>
          <w:i/>
          <w:iCs/>
        </w:rPr>
        <w:t>Burden and efficiency impact</w:t>
      </w:r>
      <w:r w:rsidRPr="00EE0119">
        <w:t>:</w:t>
      </w:r>
      <w:r w:rsidRPr="00C45158">
        <w:t xml:space="preserve"> </w:t>
      </w:r>
      <w:r>
        <w:t>T</w:t>
      </w:r>
      <w:r w:rsidRPr="00C45158">
        <w:t>he current sequential consultation requirement adds processing time to a decision that is often time-sensitive (e.g., addressing an active re</w:t>
      </w:r>
      <w:r>
        <w:t>sponse rate</w:t>
      </w:r>
      <w:r w:rsidRPr="00C45158">
        <w:t xml:space="preserve"> shortfall in a specific jurisdiction). Delays in adjusting incentives can directly affect data collection timelines, sample size targets, and the representativeness of the resulting data</w:t>
      </w:r>
      <w:r>
        <w:t xml:space="preserve">. </w:t>
      </w:r>
      <w:r w:rsidRPr="00C45158">
        <w:t>Removing this step is expected to reduce turnaround time for jurisdictions requesting an adjustment and reduce coordination burden for CDC staff who currently route, track, and follow up on these consultations.</w:t>
      </w:r>
    </w:p>
    <w:p w:rsidR="00EE0119" w:rsidRPr="00EE0119" w:rsidP="00EE0119" w14:paraId="2146107E" w14:textId="319C74D3">
      <w:pPr>
        <w:rPr>
          <w:b/>
          <w:bCs/>
        </w:rPr>
      </w:pPr>
      <w:r w:rsidRPr="00EE0119">
        <w:t xml:space="preserve">3) </w:t>
      </w:r>
      <w:r w:rsidRPr="00EE0119">
        <w:rPr>
          <w:i/>
          <w:iCs/>
        </w:rPr>
        <w:t>Continued transparency and accountability</w:t>
      </w:r>
      <w:r w:rsidRPr="00EE0119">
        <w:t>:</w:t>
      </w:r>
      <w:r>
        <w:rPr>
          <w:b/>
          <w:bCs/>
        </w:rPr>
        <w:t xml:space="preserve"> </w:t>
      </w:r>
      <w:r w:rsidRPr="00C45158">
        <w:t>CDC will continue to:</w:t>
      </w:r>
    </w:p>
    <w:p w:rsidR="00EE0119" w:rsidRPr="00C45158" w:rsidP="00EE0119" w14:paraId="17F3809A" w14:textId="77777777">
      <w:pPr>
        <w:numPr>
          <w:ilvl w:val="0"/>
          <w:numId w:val="5"/>
        </w:numPr>
        <w:spacing w:line="278" w:lineRule="auto"/>
      </w:pPr>
      <w:r w:rsidRPr="00C45158">
        <w:t>Document all incentive determinations, including the justification and approving parties;</w:t>
      </w:r>
    </w:p>
    <w:p w:rsidR="00EE0119" w:rsidRPr="00C45158" w:rsidP="00EE0119" w14:paraId="73994AB7" w14:textId="77777777">
      <w:pPr>
        <w:numPr>
          <w:ilvl w:val="0"/>
          <w:numId w:val="5"/>
        </w:numPr>
        <w:spacing w:line="278" w:lineRule="auto"/>
      </w:pPr>
      <w:r w:rsidRPr="00C45158">
        <w:t>Report incentive adjustments as part of standard progress reporting or renewal materials; and</w:t>
      </w:r>
    </w:p>
    <w:p w:rsidR="00EE0119" w:rsidRPr="00C45158" w:rsidP="00EE0119" w14:paraId="5AD44637" w14:textId="77777777">
      <w:pPr>
        <w:numPr>
          <w:ilvl w:val="0"/>
          <w:numId w:val="5"/>
        </w:numPr>
        <w:spacing w:line="278" w:lineRule="auto"/>
      </w:pPr>
      <w:r w:rsidRPr="00C45158">
        <w:t>Retain the current $25 baseline as the reference point, with any deviation subject to the multi-party review described above.</w:t>
      </w:r>
    </w:p>
    <w:p w:rsidR="00911FE6" w:rsidP="00911FE6" w14:paraId="5188BC47" w14:textId="77777777">
      <w:pPr>
        <w:pStyle w:val="Default"/>
        <w:rPr>
          <w:b/>
          <w:bCs/>
          <w:sz w:val="22"/>
          <w:szCs w:val="22"/>
        </w:rPr>
      </w:pPr>
    </w:p>
    <w:p w:rsidR="00911FE6" w:rsidP="00911FE6" w14:paraId="62FEB62F" w14:textId="0ED711B4">
      <w:pPr>
        <w:pStyle w:val="Default"/>
        <w:rPr>
          <w:b/>
          <w:bCs/>
          <w:sz w:val="22"/>
          <w:szCs w:val="22"/>
        </w:rPr>
      </w:pPr>
      <w:r>
        <w:rPr>
          <w:b/>
          <w:bCs/>
          <w:sz w:val="22"/>
          <w:szCs w:val="22"/>
        </w:rPr>
        <w:t>Effect of Proposed Changes on Currently Approved Instruments</w:t>
      </w:r>
      <w:r w:rsidR="00EE0119">
        <w:rPr>
          <w:b/>
          <w:bCs/>
          <w:sz w:val="22"/>
          <w:szCs w:val="22"/>
        </w:rPr>
        <w:t xml:space="preserve"> and Burden Estimate</w:t>
      </w:r>
    </w:p>
    <w:p w:rsidR="00EE0119" w:rsidP="00911FE6" w14:paraId="53BFF425" w14:textId="77777777">
      <w:pPr>
        <w:pStyle w:val="Default"/>
        <w:rPr>
          <w:b/>
          <w:bCs/>
          <w:sz w:val="22"/>
          <w:szCs w:val="22"/>
        </w:rPr>
      </w:pPr>
    </w:p>
    <w:tbl>
      <w:tblPr>
        <w:tblStyle w:val="TableGrid"/>
        <w:tblW w:w="10710" w:type="dxa"/>
        <w:tblInd w:w="-815" w:type="dxa"/>
        <w:tblLook w:val="04A0"/>
      </w:tblPr>
      <w:tblGrid>
        <w:gridCol w:w="2340"/>
        <w:gridCol w:w="3690"/>
        <w:gridCol w:w="2160"/>
        <w:gridCol w:w="2520"/>
      </w:tblGrid>
      <w:tr w14:paraId="51326A4E" w14:textId="77777777" w:rsidTr="00EE0119">
        <w:tblPrEx>
          <w:tblW w:w="10710" w:type="dxa"/>
          <w:tblInd w:w="-815" w:type="dxa"/>
          <w:tblLook w:val="04A0"/>
        </w:tblPrEx>
        <w:tc>
          <w:tcPr>
            <w:tcW w:w="2340" w:type="dxa"/>
            <w:shd w:val="clear" w:color="auto" w:fill="D0CECE" w:themeFill="background2" w:themeFillShade="E6"/>
            <w:vAlign w:val="bottom"/>
          </w:tcPr>
          <w:p w:rsidR="00EE0119" w:rsidRPr="00864BEF" w:rsidP="00EC347A" w14:paraId="64E314B8" w14:textId="77777777">
            <w:pPr>
              <w:jc w:val="center"/>
              <w:rPr>
                <w:rFonts w:cstheme="minorHAnsi"/>
                <w:b/>
                <w:bCs/>
                <w:sz w:val="18"/>
                <w:szCs w:val="18"/>
              </w:rPr>
            </w:pPr>
            <w:r w:rsidRPr="00864BEF">
              <w:rPr>
                <w:rFonts w:cstheme="minorHAnsi"/>
                <w:b/>
                <w:bCs/>
                <w:sz w:val="18"/>
                <w:szCs w:val="18"/>
              </w:rPr>
              <w:t>Form</w:t>
            </w:r>
            <w:r>
              <w:rPr>
                <w:rFonts w:cstheme="minorHAnsi"/>
                <w:b/>
                <w:bCs/>
                <w:sz w:val="18"/>
                <w:szCs w:val="18"/>
              </w:rPr>
              <w:t xml:space="preserve"> Attachment Number </w:t>
            </w:r>
            <w:r>
              <w:rPr>
                <w:rFonts w:cstheme="minorHAnsi"/>
                <w:b/>
                <w:bCs/>
                <w:sz w:val="18"/>
                <w:szCs w:val="18"/>
              </w:rPr>
              <w:br/>
              <w:t>and Title</w:t>
            </w:r>
          </w:p>
        </w:tc>
        <w:tc>
          <w:tcPr>
            <w:tcW w:w="3690" w:type="dxa"/>
            <w:shd w:val="clear" w:color="auto" w:fill="D0CECE" w:themeFill="background2" w:themeFillShade="E6"/>
            <w:vAlign w:val="bottom"/>
          </w:tcPr>
          <w:p w:rsidR="00EE0119" w:rsidRPr="00864BEF" w:rsidP="00EC347A" w14:paraId="44E0CDB9" w14:textId="77777777">
            <w:pPr>
              <w:jc w:val="center"/>
              <w:rPr>
                <w:rFonts w:cstheme="minorHAnsi"/>
                <w:sz w:val="18"/>
                <w:szCs w:val="18"/>
              </w:rPr>
            </w:pPr>
            <w:r>
              <w:rPr>
                <w:rFonts w:cstheme="minorHAnsi"/>
                <w:b/>
                <w:sz w:val="18"/>
                <w:szCs w:val="18"/>
              </w:rPr>
              <w:t>Revised Question or Text/Instructions</w:t>
            </w:r>
          </w:p>
        </w:tc>
        <w:tc>
          <w:tcPr>
            <w:tcW w:w="2160" w:type="dxa"/>
            <w:shd w:val="clear" w:color="auto" w:fill="D0CECE" w:themeFill="background2" w:themeFillShade="E6"/>
          </w:tcPr>
          <w:p w:rsidR="00EE0119" w:rsidP="00EC347A" w14:paraId="7F4112F0" w14:textId="77777777">
            <w:pPr>
              <w:jc w:val="center"/>
              <w:rPr>
                <w:rFonts w:cstheme="minorHAnsi"/>
                <w:b/>
                <w:sz w:val="18"/>
                <w:szCs w:val="18"/>
              </w:rPr>
            </w:pPr>
          </w:p>
          <w:p w:rsidR="00EE0119" w:rsidRPr="00864BEF" w:rsidP="00EC347A" w14:paraId="7E806E21" w14:textId="77777777">
            <w:pPr>
              <w:jc w:val="center"/>
              <w:rPr>
                <w:rFonts w:cstheme="minorHAnsi"/>
                <w:b/>
                <w:sz w:val="18"/>
                <w:szCs w:val="18"/>
              </w:rPr>
            </w:pPr>
            <w:r>
              <w:rPr>
                <w:rFonts w:cstheme="minorHAnsi"/>
                <w:b/>
                <w:sz w:val="18"/>
                <w:szCs w:val="18"/>
              </w:rPr>
              <w:t>Other Change</w:t>
            </w:r>
          </w:p>
        </w:tc>
        <w:tc>
          <w:tcPr>
            <w:tcW w:w="2520" w:type="dxa"/>
            <w:shd w:val="clear" w:color="auto" w:fill="D0CECE" w:themeFill="background2" w:themeFillShade="E6"/>
            <w:vAlign w:val="bottom"/>
          </w:tcPr>
          <w:p w:rsidR="00EE0119" w:rsidRPr="00864BEF" w:rsidP="00EC347A" w14:paraId="200DEC64" w14:textId="77777777">
            <w:pPr>
              <w:jc w:val="center"/>
              <w:rPr>
                <w:rFonts w:cstheme="minorHAnsi"/>
                <w:sz w:val="18"/>
                <w:szCs w:val="18"/>
              </w:rPr>
            </w:pPr>
            <w:r w:rsidRPr="00864BEF">
              <w:rPr>
                <w:rFonts w:cstheme="minorHAnsi"/>
                <w:b/>
                <w:sz w:val="18"/>
                <w:szCs w:val="18"/>
              </w:rPr>
              <w:t>Burden</w:t>
            </w:r>
            <w:r>
              <w:rPr>
                <w:rFonts w:cstheme="minorHAnsi"/>
                <w:b/>
                <w:sz w:val="18"/>
                <w:szCs w:val="18"/>
              </w:rPr>
              <w:t xml:space="preserve"> Impact*</w:t>
            </w:r>
          </w:p>
        </w:tc>
      </w:tr>
      <w:tr w14:paraId="1DBDEC47" w14:textId="77777777" w:rsidTr="00EE0119">
        <w:tblPrEx>
          <w:tblW w:w="10710" w:type="dxa"/>
          <w:tblInd w:w="-815" w:type="dxa"/>
          <w:tblLook w:val="04A0"/>
        </w:tblPrEx>
        <w:tc>
          <w:tcPr>
            <w:tcW w:w="2340" w:type="dxa"/>
          </w:tcPr>
          <w:p w:rsidR="00EE0119" w:rsidRPr="00864BEF" w:rsidP="00EE0119" w14:paraId="16251219" w14:textId="7C7DE812">
            <w:pPr>
              <w:rPr>
                <w:rFonts w:cstheme="minorHAnsi"/>
                <w:sz w:val="18"/>
                <w:szCs w:val="18"/>
              </w:rPr>
            </w:pPr>
            <w:r>
              <w:t>Attachment 5</w:t>
            </w:r>
          </w:p>
        </w:tc>
        <w:tc>
          <w:tcPr>
            <w:tcW w:w="3690" w:type="dxa"/>
          </w:tcPr>
          <w:p w:rsidR="00EE0119" w:rsidRPr="00864BEF" w:rsidP="00EE0119" w14:paraId="11360292" w14:textId="4FAD47BB">
            <w:pPr>
              <w:rPr>
                <w:rFonts w:cstheme="minorHAnsi"/>
                <w:sz w:val="18"/>
                <w:szCs w:val="18"/>
              </w:rPr>
            </w:pPr>
            <w:r w:rsidRPr="00911FE6">
              <w:t>N/A</w:t>
            </w:r>
            <w:r>
              <w:t>: Current change request does not affect approved instruments</w:t>
            </w:r>
          </w:p>
        </w:tc>
        <w:tc>
          <w:tcPr>
            <w:tcW w:w="2160" w:type="dxa"/>
          </w:tcPr>
          <w:p w:rsidR="00EE0119" w:rsidRPr="00864BEF" w:rsidP="00EE0119" w14:paraId="600D607F" w14:textId="185D77CC">
            <w:pPr>
              <w:rPr>
                <w:rFonts w:cstheme="minorHAnsi"/>
                <w:sz w:val="18"/>
                <w:szCs w:val="18"/>
              </w:rPr>
            </w:pPr>
            <w:r>
              <w:t>T</w:t>
            </w:r>
            <w:r w:rsidRPr="00C45158">
              <w:t>o remove the requirement for a discrete OMB consultation step prior to adjusting participant incentive amounts, and to delegate that determination to the local P</w:t>
            </w:r>
            <w:r>
              <w:t>ublic Health Department</w:t>
            </w:r>
            <w:r w:rsidRPr="00C45158">
              <w:t>, IRB, and CDC</w:t>
            </w:r>
            <w:r>
              <w:t>.</w:t>
            </w:r>
          </w:p>
        </w:tc>
        <w:tc>
          <w:tcPr>
            <w:tcW w:w="2520" w:type="dxa"/>
          </w:tcPr>
          <w:p w:rsidR="00EE0119" w:rsidRPr="00EE0119" w:rsidP="00EE0119" w14:paraId="7C3BD095" w14:textId="65B1D582">
            <w:r w:rsidRPr="00EE0119">
              <w:t>None</w:t>
            </w:r>
          </w:p>
        </w:tc>
      </w:tr>
    </w:tbl>
    <w:p w:rsidR="00EE0119" w:rsidP="00911FE6" w14:paraId="7CF883BE" w14:textId="77777777">
      <w:pPr>
        <w:pStyle w:val="Default"/>
        <w:rPr>
          <w:b/>
          <w:bCs/>
          <w:sz w:val="22"/>
          <w:szCs w:val="22"/>
        </w:rPr>
      </w:pPr>
    </w:p>
    <w:p w:rsidR="004D225A" w:rsidP="00911FE6" w14:paraId="106F4AEC" w14:textId="77777777">
      <w:pPr>
        <w:pStyle w:val="Default"/>
        <w:rPr>
          <w:b/>
          <w:bCs/>
          <w:sz w:val="22"/>
          <w:szCs w:val="22"/>
        </w:rPr>
      </w:pPr>
    </w:p>
    <w:p w:rsidR="00EE0119" w:rsidP="00911FE6" w14:paraId="516EDCC2" w14:textId="77777777">
      <w:pPr>
        <w:pStyle w:val="Default"/>
        <w:rPr>
          <w:b/>
          <w:bCs/>
          <w:sz w:val="22"/>
          <w:szCs w:val="22"/>
        </w:rPr>
      </w:pPr>
    </w:p>
    <w:p w:rsidR="00EE0119" w:rsidP="00911FE6" w14:paraId="527BC9F6" w14:textId="77777777">
      <w:pPr>
        <w:pStyle w:val="Default"/>
        <w:rPr>
          <w:b/>
          <w:bCs/>
          <w:sz w:val="22"/>
          <w:szCs w:val="22"/>
        </w:rPr>
      </w:pPr>
    </w:p>
    <w:p w:rsidR="00EE0119" w:rsidP="00911FE6" w14:paraId="7B31AB6E" w14:textId="77777777">
      <w:pPr>
        <w:pStyle w:val="Default"/>
        <w:rPr>
          <w:b/>
          <w:bCs/>
          <w:sz w:val="22"/>
          <w:szCs w:val="22"/>
        </w:rPr>
      </w:pPr>
    </w:p>
    <w:p w:rsidR="00EE0119" w:rsidP="00911FE6" w14:paraId="4FF3A60E" w14:textId="77777777">
      <w:pPr>
        <w:pStyle w:val="Default"/>
        <w:rPr>
          <w:b/>
          <w:bCs/>
          <w:sz w:val="22"/>
          <w:szCs w:val="22"/>
        </w:rPr>
      </w:pPr>
    </w:p>
    <w:p w:rsidR="00EE0119" w:rsidP="00911FE6" w14:paraId="7B16ABD9" w14:textId="77777777">
      <w:pPr>
        <w:pStyle w:val="Default"/>
        <w:rPr>
          <w:b/>
          <w:bCs/>
          <w:sz w:val="22"/>
          <w:szCs w:val="22"/>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w:altName w:val="Arial Nova"/>
    <w:charset w:val="00"/>
    <w:family w:val="swiss"/>
    <w:pitch w:val="variable"/>
    <w:sig w:usb0="0000028F" w:usb1="00000002"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45C391A"/>
    <w:multiLevelType w:val="hybridMultilevel"/>
    <w:tmpl w:val="245C2C5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B14163F"/>
    <w:multiLevelType w:val="multilevel"/>
    <w:tmpl w:val="2A3A4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1171CD0"/>
    <w:multiLevelType w:val="multilevel"/>
    <w:tmpl w:val="143EF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39B1B42"/>
    <w:multiLevelType w:val="hybridMultilevel"/>
    <w:tmpl w:val="55564E3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32424991"/>
    <w:multiLevelType w:val="hybridMultilevel"/>
    <w:tmpl w:val="FEB64C3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125470364">
    <w:abstractNumId w:val="4"/>
  </w:num>
  <w:num w:numId="2" w16cid:durableId="1199048536">
    <w:abstractNumId w:val="0"/>
  </w:num>
  <w:num w:numId="3" w16cid:durableId="1009217095">
    <w:abstractNumId w:val="3"/>
  </w:num>
  <w:num w:numId="4" w16cid:durableId="501896071">
    <w:abstractNumId w:val="1"/>
  </w:num>
  <w:num w:numId="5" w16cid:durableId="9284698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904"/>
    <w:rsid w:val="000066F5"/>
    <w:rsid w:val="000257FC"/>
    <w:rsid w:val="00034A4C"/>
    <w:rsid w:val="000606BC"/>
    <w:rsid w:val="000911AB"/>
    <w:rsid w:val="000E7C71"/>
    <w:rsid w:val="000F69C2"/>
    <w:rsid w:val="00126AA2"/>
    <w:rsid w:val="001572C4"/>
    <w:rsid w:val="00163519"/>
    <w:rsid w:val="0018595D"/>
    <w:rsid w:val="001B2998"/>
    <w:rsid w:val="00205782"/>
    <w:rsid w:val="0026513E"/>
    <w:rsid w:val="002B126C"/>
    <w:rsid w:val="002B1CD5"/>
    <w:rsid w:val="002E3018"/>
    <w:rsid w:val="003168DE"/>
    <w:rsid w:val="00335DA5"/>
    <w:rsid w:val="003550B5"/>
    <w:rsid w:val="00391708"/>
    <w:rsid w:val="00400D30"/>
    <w:rsid w:val="0040572C"/>
    <w:rsid w:val="004229D4"/>
    <w:rsid w:val="00424AB7"/>
    <w:rsid w:val="00462E65"/>
    <w:rsid w:val="004D225A"/>
    <w:rsid w:val="00505A0A"/>
    <w:rsid w:val="005071FD"/>
    <w:rsid w:val="00507366"/>
    <w:rsid w:val="005112C1"/>
    <w:rsid w:val="00514412"/>
    <w:rsid w:val="00572FBD"/>
    <w:rsid w:val="006069FC"/>
    <w:rsid w:val="00623749"/>
    <w:rsid w:val="006527DD"/>
    <w:rsid w:val="0070194B"/>
    <w:rsid w:val="00702386"/>
    <w:rsid w:val="00720167"/>
    <w:rsid w:val="0074033A"/>
    <w:rsid w:val="0076127C"/>
    <w:rsid w:val="007807BF"/>
    <w:rsid w:val="007A7F2E"/>
    <w:rsid w:val="00842BC9"/>
    <w:rsid w:val="008531C7"/>
    <w:rsid w:val="00864BEF"/>
    <w:rsid w:val="008736D4"/>
    <w:rsid w:val="008832E2"/>
    <w:rsid w:val="008A4B7C"/>
    <w:rsid w:val="008C0608"/>
    <w:rsid w:val="008F41CD"/>
    <w:rsid w:val="00910514"/>
    <w:rsid w:val="00911FE6"/>
    <w:rsid w:val="00966E26"/>
    <w:rsid w:val="009678B2"/>
    <w:rsid w:val="00985023"/>
    <w:rsid w:val="00986EEE"/>
    <w:rsid w:val="00987FCC"/>
    <w:rsid w:val="009A35CE"/>
    <w:rsid w:val="009D57C7"/>
    <w:rsid w:val="009F3368"/>
    <w:rsid w:val="00A06D26"/>
    <w:rsid w:val="00A4701F"/>
    <w:rsid w:val="00A75FD9"/>
    <w:rsid w:val="00A8130B"/>
    <w:rsid w:val="00AF52BC"/>
    <w:rsid w:val="00B34D55"/>
    <w:rsid w:val="00B85529"/>
    <w:rsid w:val="00BA1AA5"/>
    <w:rsid w:val="00BE5CDF"/>
    <w:rsid w:val="00C11349"/>
    <w:rsid w:val="00C45158"/>
    <w:rsid w:val="00C75C4E"/>
    <w:rsid w:val="00C77732"/>
    <w:rsid w:val="00C869FE"/>
    <w:rsid w:val="00CB49EC"/>
    <w:rsid w:val="00CC1BB2"/>
    <w:rsid w:val="00D71706"/>
    <w:rsid w:val="00D92E0B"/>
    <w:rsid w:val="00DB122D"/>
    <w:rsid w:val="00DF69A2"/>
    <w:rsid w:val="00E15920"/>
    <w:rsid w:val="00E56E8B"/>
    <w:rsid w:val="00E95904"/>
    <w:rsid w:val="00EB0275"/>
    <w:rsid w:val="00EC347A"/>
    <w:rsid w:val="00EC39DB"/>
    <w:rsid w:val="00EE0119"/>
    <w:rsid w:val="00EF3424"/>
    <w:rsid w:val="00F02DE9"/>
    <w:rsid w:val="00F17873"/>
    <w:rsid w:val="00F454B1"/>
    <w:rsid w:val="00F64372"/>
    <w:rsid w:val="00FB7D53"/>
    <w:rsid w:val="02DFD872"/>
    <w:rsid w:val="056D89BB"/>
    <w:rsid w:val="07F84E9D"/>
    <w:rsid w:val="08E80806"/>
    <w:rsid w:val="0C329237"/>
    <w:rsid w:val="103B1B37"/>
    <w:rsid w:val="108E7F9E"/>
    <w:rsid w:val="1198D0E0"/>
    <w:rsid w:val="12BC5D66"/>
    <w:rsid w:val="13475CB5"/>
    <w:rsid w:val="13A00D17"/>
    <w:rsid w:val="14429373"/>
    <w:rsid w:val="1445B6E0"/>
    <w:rsid w:val="14C5123A"/>
    <w:rsid w:val="186E729E"/>
    <w:rsid w:val="1D453987"/>
    <w:rsid w:val="20659BF9"/>
    <w:rsid w:val="21D74AB5"/>
    <w:rsid w:val="234582C0"/>
    <w:rsid w:val="2411AD4C"/>
    <w:rsid w:val="2609BF37"/>
    <w:rsid w:val="27D6FAA3"/>
    <w:rsid w:val="29CCD1E5"/>
    <w:rsid w:val="29D0DA24"/>
    <w:rsid w:val="2A80DED5"/>
    <w:rsid w:val="2CDC8840"/>
    <w:rsid w:val="2CDD8095"/>
    <w:rsid w:val="2DCB96FE"/>
    <w:rsid w:val="2DDA5FB8"/>
    <w:rsid w:val="2E39E9FA"/>
    <w:rsid w:val="331B8EC7"/>
    <w:rsid w:val="33957E81"/>
    <w:rsid w:val="33D39627"/>
    <w:rsid w:val="35FE2BB1"/>
    <w:rsid w:val="364B2E32"/>
    <w:rsid w:val="38EAEB2F"/>
    <w:rsid w:val="392DBD89"/>
    <w:rsid w:val="39F90D82"/>
    <w:rsid w:val="3C4DCD98"/>
    <w:rsid w:val="408785E9"/>
    <w:rsid w:val="42095D80"/>
    <w:rsid w:val="4315DEBB"/>
    <w:rsid w:val="436FF9DC"/>
    <w:rsid w:val="43AE0A8E"/>
    <w:rsid w:val="44431338"/>
    <w:rsid w:val="446051A1"/>
    <w:rsid w:val="459164DE"/>
    <w:rsid w:val="46BBB743"/>
    <w:rsid w:val="4775BECF"/>
    <w:rsid w:val="47763543"/>
    <w:rsid w:val="4A703AC3"/>
    <w:rsid w:val="4A967ADF"/>
    <w:rsid w:val="4B018A51"/>
    <w:rsid w:val="4B4FD753"/>
    <w:rsid w:val="4B513161"/>
    <w:rsid w:val="4D1EF189"/>
    <w:rsid w:val="4D7384CE"/>
    <w:rsid w:val="4DF1E91A"/>
    <w:rsid w:val="4E4614F9"/>
    <w:rsid w:val="504FBE1B"/>
    <w:rsid w:val="5061F95A"/>
    <w:rsid w:val="51FA8917"/>
    <w:rsid w:val="555719D4"/>
    <w:rsid w:val="57143F48"/>
    <w:rsid w:val="58218371"/>
    <w:rsid w:val="58742206"/>
    <w:rsid w:val="5A4E5275"/>
    <w:rsid w:val="5CC41222"/>
    <w:rsid w:val="5DCE00FD"/>
    <w:rsid w:val="5E28CA0B"/>
    <w:rsid w:val="5E71CA6F"/>
    <w:rsid w:val="5F8C21F0"/>
    <w:rsid w:val="5FACF190"/>
    <w:rsid w:val="62B192E5"/>
    <w:rsid w:val="664B1EB9"/>
    <w:rsid w:val="6876A121"/>
    <w:rsid w:val="6A4C8100"/>
    <w:rsid w:val="6D20D8E7"/>
    <w:rsid w:val="6E2B3750"/>
    <w:rsid w:val="6E676484"/>
    <w:rsid w:val="6E9998A3"/>
    <w:rsid w:val="705840FE"/>
    <w:rsid w:val="72296990"/>
    <w:rsid w:val="729BA8E5"/>
    <w:rsid w:val="735CD9F5"/>
    <w:rsid w:val="75CA5AF4"/>
    <w:rsid w:val="79DEB1BB"/>
    <w:rsid w:val="7A02D1B5"/>
    <w:rsid w:val="7A9A8C1F"/>
    <w:rsid w:val="7AE4BA4A"/>
    <w:rsid w:val="7C1B6B0B"/>
    <w:rsid w:val="7D821604"/>
    <w:rsid w:val="7E24B3A8"/>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7B321944"/>
  <w15:chartTrackingRefBased/>
  <w15:docId w15:val="{2DF22E31-7637-4EC5-9442-DB97E9A32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959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E95904"/>
  </w:style>
  <w:style w:type="paragraph" w:styleId="ListParagraph">
    <w:name w:val="List Paragraph"/>
    <w:basedOn w:val="Normal"/>
    <w:uiPriority w:val="34"/>
    <w:qFormat/>
    <w:rsid w:val="00E95904"/>
    <w:pPr>
      <w:ind w:left="720"/>
      <w:contextualSpacing/>
    </w:pPr>
  </w:style>
  <w:style w:type="paragraph" w:customStyle="1" w:styleId="Default">
    <w:name w:val="Default"/>
    <w:rsid w:val="00911FE6"/>
    <w:pPr>
      <w:autoSpaceDE w:val="0"/>
      <w:autoSpaceDN w:val="0"/>
      <w:adjustRightInd w:val="0"/>
      <w:spacing w:after="0" w:line="240" w:lineRule="auto"/>
    </w:pPr>
    <w:rPr>
      <w:rFonts w:ascii="Calibri" w:hAnsi="Calibri" w:cs="Calibri"/>
      <w:color w:val="000000"/>
      <w:kern w:val="0"/>
      <w:sz w:val="24"/>
      <w:szCs w:val="24"/>
    </w:rPr>
  </w:style>
  <w:style w:type="table" w:styleId="TableGrid">
    <w:name w:val="Table Grid"/>
    <w:basedOn w:val="TableNormal"/>
    <w:uiPriority w:val="39"/>
    <w:rsid w:val="004D2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87FCC"/>
    <w:rPr>
      <w:sz w:val="16"/>
      <w:szCs w:val="16"/>
    </w:rPr>
  </w:style>
  <w:style w:type="paragraph" w:styleId="CommentText">
    <w:name w:val="annotation text"/>
    <w:basedOn w:val="Normal"/>
    <w:link w:val="CommentTextChar"/>
    <w:uiPriority w:val="99"/>
    <w:unhideWhenUsed/>
    <w:rsid w:val="00987FCC"/>
    <w:pPr>
      <w:spacing w:line="240" w:lineRule="auto"/>
    </w:pPr>
    <w:rPr>
      <w:sz w:val="20"/>
      <w:szCs w:val="20"/>
    </w:rPr>
  </w:style>
  <w:style w:type="character" w:customStyle="1" w:styleId="CommentTextChar">
    <w:name w:val="Comment Text Char"/>
    <w:basedOn w:val="DefaultParagraphFont"/>
    <w:link w:val="CommentText"/>
    <w:uiPriority w:val="99"/>
    <w:rsid w:val="00987FCC"/>
    <w:rPr>
      <w:sz w:val="20"/>
      <w:szCs w:val="20"/>
    </w:rPr>
  </w:style>
  <w:style w:type="paragraph" w:styleId="CommentSubject">
    <w:name w:val="annotation subject"/>
    <w:basedOn w:val="CommentText"/>
    <w:next w:val="CommentText"/>
    <w:link w:val="CommentSubjectChar"/>
    <w:uiPriority w:val="99"/>
    <w:semiHidden/>
    <w:unhideWhenUsed/>
    <w:rsid w:val="00987FCC"/>
    <w:rPr>
      <w:b/>
      <w:bCs/>
    </w:rPr>
  </w:style>
  <w:style w:type="character" w:customStyle="1" w:styleId="CommentSubjectChar">
    <w:name w:val="Comment Subject Char"/>
    <w:basedOn w:val="CommentTextChar"/>
    <w:link w:val="CommentSubject"/>
    <w:uiPriority w:val="99"/>
    <w:semiHidden/>
    <w:rsid w:val="00987FCC"/>
    <w:rPr>
      <w:b/>
      <w:bCs/>
      <w:sz w:val="20"/>
      <w:szCs w:val="20"/>
    </w:rPr>
  </w:style>
  <w:style w:type="paragraph" w:styleId="Revision">
    <w:name w:val="Revision"/>
    <w:hidden/>
    <w:uiPriority w:val="99"/>
    <w:semiHidden/>
    <w:rsid w:val="00987FCC"/>
    <w:pPr>
      <w:spacing w:after="0" w:line="240" w:lineRule="auto"/>
    </w:pPr>
  </w:style>
  <w:style w:type="character" w:styleId="Hyperlink">
    <w:name w:val="Hyperlink"/>
    <w:basedOn w:val="DefaultParagraphFont"/>
    <w:uiPriority w:val="99"/>
    <w:unhideWhenUsed/>
    <w:rsid w:val="00A75FD9"/>
    <w:rPr>
      <w:color w:val="0563C1" w:themeColor="hyperlink"/>
      <w:u w:val="single"/>
    </w:rPr>
  </w:style>
  <w:style w:type="character" w:styleId="UnresolvedMention">
    <w:name w:val="Unresolved Mention"/>
    <w:basedOn w:val="DefaultParagraphFont"/>
    <w:uiPriority w:val="99"/>
    <w:semiHidden/>
    <w:unhideWhenUsed/>
    <w:rsid w:val="00A75F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5940381B62644FAAC8BD6EDA1B1583" ma:contentTypeVersion="3" ma:contentTypeDescription="Create a new document." ma:contentTypeScope="" ma:versionID="67d19a5e4a0a6939d15d7963569a4cbd">
  <xsd:schema xmlns:xsd="http://www.w3.org/2001/XMLSchema" xmlns:xs="http://www.w3.org/2001/XMLSchema" xmlns:p="http://schemas.microsoft.com/office/2006/metadata/properties" xmlns:ns2="ad449b2e-6ec5-4330-882b-01c0f4cd2667" targetNamespace="http://schemas.microsoft.com/office/2006/metadata/properties" ma:root="true" ma:fieldsID="49c6bb6171145235c2d99e174dd6e762" ns2:_="">
    <xsd:import namespace="ad449b2e-6ec5-4330-882b-01c0f4cd266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449b2e-6ec5-4330-882b-01c0f4cd26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BA82A86-1AC3-4643-9A82-B197FD9A24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449b2e-6ec5-4330-882b-01c0f4cd26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A31EE5-E0AF-44C8-89F6-316218D7B295}">
  <ds:schemaRefs>
    <ds:schemaRef ds:uri="http://schemas.microsoft.com/sharepoint/v3/contenttype/forms"/>
  </ds:schemaRefs>
</ds:datastoreItem>
</file>

<file path=customXml/itemProps3.xml><?xml version="1.0" encoding="utf-8"?>
<ds:datastoreItem xmlns:ds="http://schemas.openxmlformats.org/officeDocument/2006/customXml" ds:itemID="{71019645-1291-43F9-9F31-4B3E3213290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Pages>
  <Words>620</Words>
  <Characters>3724</Characters>
  <Application>Microsoft Office Word</Application>
  <DocSecurity>0</DocSecurity>
  <Lines>84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Bauman, Brenda (CDC/NCCDPHP/DRH)</dc:creator>
  <cp:lastModifiedBy>Mohamoud, Yousra (CDC/NCCDPHP/DRH)</cp:lastModifiedBy>
  <cp:revision>9</cp:revision>
  <dcterms:created xsi:type="dcterms:W3CDTF">2026-08-18T12:54:00Z</dcterms:created>
  <dcterms:modified xsi:type="dcterms:W3CDTF">2026-08-25T14:45:00Z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0x010100AB5940381B62644FAAC8BD6EDA1B1583</vt:lpwstr>
  </property>
  <property fmtid="{D5CDD505-2E9C-101B-9397-08002B2CF9AE}" pid="3" name="docLang">
    <vt:lpwstr>en</vt:lpwstr>
  </property>
  <property fmtid="{D5CDD505-2E9C-101B-9397-08002B2CF9AE}" pid="4" name="MSIP_Label_7b94a7b8-f06c-4dfe-bdcc-9b548fd58c31_ActionId">
    <vt:lpwstr>50b6196b-46af-45a1-81ef-1b5dfa89883d</vt:lpwstr>
  </property>
  <property fmtid="{D5CDD505-2E9C-101B-9397-08002B2CF9AE}" pid="5" name="MSIP_Label_7b94a7b8-f06c-4dfe-bdcc-9b548fd58c31_ContentBits">
    <vt:lpwstr>0</vt:lpwstr>
  </property>
  <property fmtid="{D5CDD505-2E9C-101B-9397-08002B2CF9AE}" pid="6" name="MSIP_Label_7b94a7b8-f06c-4dfe-bdcc-9b548fd58c31_Enabled">
    <vt:lpwstr>true</vt:lpwstr>
  </property>
  <property fmtid="{D5CDD505-2E9C-101B-9397-08002B2CF9AE}" pid="7" name="MSIP_Label_7b94a7b8-f06c-4dfe-bdcc-9b548fd58c31_Method">
    <vt:lpwstr>Privileged</vt:lpwstr>
  </property>
  <property fmtid="{D5CDD505-2E9C-101B-9397-08002B2CF9AE}" pid="8" name="MSIP_Label_7b94a7b8-f06c-4dfe-bdcc-9b548fd58c31_Name">
    <vt:lpwstr>7b94a7b8-f06c-4dfe-bdcc-9b548fd58c31</vt:lpwstr>
  </property>
  <property fmtid="{D5CDD505-2E9C-101B-9397-08002B2CF9AE}" pid="9" name="MSIP_Label_7b94a7b8-f06c-4dfe-bdcc-9b548fd58c31_SetDate">
    <vt:lpwstr>2024-10-21T18:44:42Z</vt:lpwstr>
  </property>
  <property fmtid="{D5CDD505-2E9C-101B-9397-08002B2CF9AE}" pid="10" name="MSIP_Label_7b94a7b8-f06c-4dfe-bdcc-9b548fd58c31_SiteId">
    <vt:lpwstr>9ce70869-60db-44fd-abe8-d2767077fc8f</vt:lpwstr>
  </property>
</Properties>
</file>