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pPr>
        <w:spacing w:before="62" w:line="276" w:lineRule="exact"/>
        <w:ind w:left="367" w:right="0" w:firstLine="0"/>
        <w:jc w:val="center"/>
        <w:rPr>
          <w:b/>
          <w:sz w:val="24"/>
        </w:rPr>
      </w:pPr>
      <w:bookmarkStart w:id="0" w:name="Supporting Statement Nonquantitative Tre"/>
      <w:bookmarkEnd w:id="0"/>
      <w:r>
        <w:rPr>
          <w:b/>
          <w:sz w:val="24"/>
        </w:rPr>
        <w:t>Supporting</w:t>
      </w:r>
      <w:r>
        <w:rPr>
          <w:b/>
          <w:spacing w:val="-1"/>
          <w:sz w:val="24"/>
        </w:rPr>
        <w:t xml:space="preserve"> </w:t>
      </w:r>
      <w:r>
        <w:rPr>
          <w:b/>
          <w:spacing w:val="-2"/>
          <w:sz w:val="24"/>
        </w:rPr>
        <w:t>Statement</w:t>
      </w:r>
    </w:p>
    <w:p>
      <w:pPr>
        <w:spacing w:before="0"/>
        <w:ind w:left="777" w:right="420" w:firstLine="0"/>
        <w:jc w:val="center"/>
        <w:rPr>
          <w:b/>
          <w:sz w:val="24"/>
        </w:rPr>
      </w:pPr>
      <w:r>
        <w:rPr>
          <w:b/>
          <w:sz w:val="24"/>
        </w:rPr>
        <w:t>Nonquantitative</w:t>
      </w:r>
      <w:r>
        <w:rPr>
          <w:b/>
          <w:spacing w:val="-5"/>
          <w:sz w:val="24"/>
        </w:rPr>
        <w:t xml:space="preserve"> </w:t>
      </w:r>
      <w:r>
        <w:rPr>
          <w:b/>
          <w:sz w:val="24"/>
        </w:rPr>
        <w:t>Treatment</w:t>
      </w:r>
      <w:r>
        <w:rPr>
          <w:b/>
          <w:spacing w:val="-6"/>
          <w:sz w:val="24"/>
        </w:rPr>
        <w:t xml:space="preserve"> </w:t>
      </w:r>
      <w:r>
        <w:rPr>
          <w:b/>
          <w:sz w:val="24"/>
        </w:rPr>
        <w:t>Limitation</w:t>
      </w:r>
      <w:r>
        <w:rPr>
          <w:b/>
          <w:spacing w:val="-3"/>
          <w:sz w:val="24"/>
        </w:rPr>
        <w:t xml:space="preserve"> </w:t>
      </w:r>
      <w:r>
        <w:rPr>
          <w:b/>
          <w:sz w:val="24"/>
        </w:rPr>
        <w:t>Analyses</w:t>
      </w:r>
      <w:r>
        <w:rPr>
          <w:b/>
          <w:spacing w:val="-6"/>
          <w:sz w:val="24"/>
        </w:rPr>
        <w:t xml:space="preserve"> </w:t>
      </w:r>
      <w:r>
        <w:rPr>
          <w:b/>
          <w:sz w:val="24"/>
        </w:rPr>
        <w:t>and</w:t>
      </w:r>
      <w:r>
        <w:rPr>
          <w:b/>
          <w:spacing w:val="-3"/>
          <w:sz w:val="24"/>
        </w:rPr>
        <w:t xml:space="preserve"> </w:t>
      </w:r>
      <w:r>
        <w:rPr>
          <w:b/>
          <w:sz w:val="24"/>
        </w:rPr>
        <w:t>Compliance</w:t>
      </w:r>
      <w:r>
        <w:rPr>
          <w:b/>
          <w:spacing w:val="-5"/>
          <w:sz w:val="24"/>
        </w:rPr>
        <w:t xml:space="preserve"> </w:t>
      </w:r>
      <w:r>
        <w:rPr>
          <w:b/>
          <w:sz w:val="24"/>
        </w:rPr>
        <w:t>Under</w:t>
      </w:r>
      <w:r>
        <w:rPr>
          <w:b/>
          <w:spacing w:val="-6"/>
          <w:sz w:val="24"/>
        </w:rPr>
        <w:t xml:space="preserve"> </w:t>
      </w:r>
      <w:r>
        <w:rPr>
          <w:b/>
          <w:sz w:val="24"/>
        </w:rPr>
        <w:t>MHPAEA (CMS-10773/OMB control number 0938-1393)</w:t>
      </w:r>
    </w:p>
    <w:p>
      <w:pPr>
        <w:pStyle w:val="BodyText"/>
        <w:rPr>
          <w:b/>
        </w:rPr>
      </w:pPr>
    </w:p>
    <w:p>
      <w:pPr>
        <w:pStyle w:val="BodyText"/>
        <w:spacing w:before="40"/>
        <w:rPr>
          <w:b/>
        </w:rPr>
      </w:pPr>
    </w:p>
    <w:p>
      <w:pPr>
        <w:pStyle w:val="ListParagraph"/>
        <w:numPr>
          <w:ilvl w:val="0"/>
          <w:numId w:val="2"/>
        </w:numPr>
        <w:tabs>
          <w:tab w:val="left" w:pos="596"/>
        </w:tabs>
        <w:spacing w:before="0" w:after="0" w:line="240" w:lineRule="auto"/>
        <w:ind w:left="596" w:right="0" w:hanging="236"/>
        <w:jc w:val="left"/>
        <w:rPr>
          <w:b/>
          <w:sz w:val="24"/>
        </w:rPr>
      </w:pPr>
      <w:bookmarkStart w:id="1" w:name="A. Background"/>
      <w:bookmarkEnd w:id="1"/>
      <w:r>
        <w:rPr>
          <w:b/>
          <w:spacing w:val="60"/>
          <w:sz w:val="24"/>
          <w:u w:val="single"/>
        </w:rPr>
        <w:t xml:space="preserve"> </w:t>
      </w:r>
      <w:r>
        <w:rPr>
          <w:b/>
          <w:sz w:val="24"/>
          <w:u w:val="single"/>
        </w:rPr>
        <w:t>​</w:t>
      </w:r>
      <w:r>
        <w:rPr>
          <w:b/>
          <w:spacing w:val="14"/>
          <w:sz w:val="24"/>
          <w:u w:val="single"/>
        </w:rPr>
        <w:t xml:space="preserve"> </w:t>
      </w:r>
      <w:r>
        <w:rPr>
          <w:b/>
          <w:spacing w:val="-2"/>
          <w:sz w:val="24"/>
          <w:u w:val="single"/>
        </w:rPr>
        <w:t>Background</w:t>
      </w:r>
    </w:p>
    <w:p>
      <w:pPr>
        <w:pStyle w:val="BodyText"/>
        <w:spacing w:before="275"/>
        <w:ind w:left="791" w:right="25"/>
      </w:pPr>
      <w:r>
        <w:t>Enacted on October 3, 2008, the Paul Wellstone and Pete Domenici Mental Health Parity and Addiction Equity Act of 2008 (MHPAEA), Public Law 110-343, amended the Employee Retirement Income Security Act of 1974 (ERISA), the Public Health Service Act (PHS Act), and the Internal Revenue Code of 1986 (Code). MHPAEA expanded existing parity requirements</w:t>
      </w:r>
      <w:hyperlink w:anchor="_bookmark0" w:history="1">
        <w:r>
          <w:rPr>
            <w:position w:val="8"/>
            <w:sz w:val="12"/>
          </w:rPr>
          <w:t>1</w:t>
        </w:r>
      </w:hyperlink>
      <w:r>
        <w:rPr>
          <w:spacing w:val="40"/>
          <w:position w:val="8"/>
          <w:sz w:val="12"/>
        </w:rPr>
        <w:t xml:space="preserve"> </w:t>
      </w:r>
      <w:r>
        <w:t>between medical and surgical benefits and mental health benefits, and also extended parity requirements to substance use disorder benefits. The law generally requires that group health plans and group health insurance issuers offering both medical/surgical and mental health or substance use disorder (MH/SUD) benefits do not apply more restrictive financial requirements (e.g., co-pays, deductibles) and/or treatment limitations</w:t>
      </w:r>
      <w:r>
        <w:rPr>
          <w:spacing w:val="-5"/>
        </w:rPr>
        <w:t xml:space="preserve"> </w:t>
      </w:r>
      <w:r>
        <w:t>(e.g., visit</w:t>
      </w:r>
      <w:r>
        <w:rPr>
          <w:spacing w:val="-6"/>
        </w:rPr>
        <w:t xml:space="preserve"> </w:t>
      </w:r>
      <w:r>
        <w:t>limits)</w:t>
      </w:r>
      <w:r>
        <w:rPr>
          <w:spacing w:val="-5"/>
        </w:rPr>
        <w:t xml:space="preserve"> </w:t>
      </w:r>
      <w:r>
        <w:t>to</w:t>
      </w:r>
      <w:r>
        <w:rPr>
          <w:spacing w:val="-3"/>
        </w:rPr>
        <w:t xml:space="preserve"> </w:t>
      </w:r>
      <w:r>
        <w:t>MH/SUD benefits</w:t>
      </w:r>
      <w:r>
        <w:rPr>
          <w:spacing w:val="-5"/>
        </w:rPr>
        <w:t xml:space="preserve"> </w:t>
      </w:r>
      <w:r>
        <w:t>than</w:t>
      </w:r>
      <w:r>
        <w:rPr>
          <w:spacing w:val="-4"/>
        </w:rPr>
        <w:t xml:space="preserve"> </w:t>
      </w:r>
      <w:r>
        <w:t>those</w:t>
      </w:r>
      <w:r>
        <w:rPr>
          <w:spacing w:val="-4"/>
        </w:rPr>
        <w:t xml:space="preserve"> </w:t>
      </w:r>
      <w:r>
        <w:t>requirements</w:t>
      </w:r>
      <w:r>
        <w:rPr>
          <w:spacing w:val="-5"/>
        </w:rPr>
        <w:t xml:space="preserve"> </w:t>
      </w:r>
      <w:r>
        <w:t>and/or</w:t>
      </w:r>
      <w:r>
        <w:rPr>
          <w:spacing w:val="-5"/>
        </w:rPr>
        <w:t xml:space="preserve"> </w:t>
      </w:r>
      <w:r>
        <w:t>limitations as applied to medical/surgical benefits.</w:t>
      </w:r>
    </w:p>
    <w:p>
      <w:pPr>
        <w:pStyle w:val="BodyText"/>
      </w:pPr>
    </w:p>
    <w:p>
      <w:pPr>
        <w:pStyle w:val="BodyText"/>
        <w:ind w:left="791" w:right="32"/>
        <w:rPr>
          <w:position w:val="8"/>
          <w:sz w:val="12"/>
        </w:rPr>
      </w:pPr>
      <w:r>
        <w:t>The Patient Protection and Affordable Care Act, Public Law 111-148, was enacted on</w:t>
      </w:r>
      <w:r>
        <w:rPr>
          <w:spacing w:val="40"/>
        </w:rPr>
        <w:t xml:space="preserve"> </w:t>
      </w:r>
      <w:r>
        <w:t>March</w:t>
      </w:r>
      <w:r>
        <w:rPr>
          <w:spacing w:val="-3"/>
        </w:rPr>
        <w:t xml:space="preserve"> </w:t>
      </w:r>
      <w:r>
        <w:t>23, 2010;</w:t>
      </w:r>
      <w:r>
        <w:rPr>
          <w:spacing w:val="-5"/>
        </w:rPr>
        <w:t xml:space="preserve"> </w:t>
      </w:r>
      <w:r>
        <w:t>and</w:t>
      </w:r>
      <w:r>
        <w:rPr>
          <w:spacing w:val="-3"/>
        </w:rPr>
        <w:t xml:space="preserve"> </w:t>
      </w:r>
      <w:r>
        <w:t>the</w:t>
      </w:r>
      <w:r>
        <w:rPr>
          <w:spacing w:val="-9"/>
        </w:rPr>
        <w:t xml:space="preserve"> </w:t>
      </w:r>
      <w:r>
        <w:t>Health</w:t>
      </w:r>
      <w:r>
        <w:rPr>
          <w:spacing w:val="-2"/>
        </w:rPr>
        <w:t xml:space="preserve"> </w:t>
      </w:r>
      <w:r>
        <w:t>Care</w:t>
      </w:r>
      <w:r>
        <w:rPr>
          <w:spacing w:val="-3"/>
        </w:rPr>
        <w:t xml:space="preserve"> </w:t>
      </w:r>
      <w:r>
        <w:t>and</w:t>
      </w:r>
      <w:r>
        <w:rPr>
          <w:spacing w:val="-3"/>
        </w:rPr>
        <w:t xml:space="preserve"> </w:t>
      </w:r>
      <w:r>
        <w:t>Education</w:t>
      </w:r>
      <w:r>
        <w:rPr>
          <w:spacing w:val="-2"/>
        </w:rPr>
        <w:t xml:space="preserve"> </w:t>
      </w:r>
      <w:r>
        <w:t>Reconciliation</w:t>
      </w:r>
      <w:r>
        <w:rPr>
          <w:spacing w:val="-2"/>
        </w:rPr>
        <w:t xml:space="preserve"> </w:t>
      </w:r>
      <w:r>
        <w:t>Act</w:t>
      </w:r>
      <w:r>
        <w:rPr>
          <w:spacing w:val="-6"/>
        </w:rPr>
        <w:t xml:space="preserve"> </w:t>
      </w:r>
      <w:r>
        <w:t>of</w:t>
      </w:r>
      <w:r>
        <w:rPr>
          <w:spacing w:val="-4"/>
        </w:rPr>
        <w:t xml:space="preserve"> </w:t>
      </w:r>
      <w:r>
        <w:t>2010, Public</w:t>
      </w:r>
      <w:r>
        <w:rPr>
          <w:spacing w:val="-3"/>
        </w:rPr>
        <w:t xml:space="preserve"> </w:t>
      </w:r>
      <w:r>
        <w:t>Law 111-152, was</w:t>
      </w:r>
      <w:r>
        <w:rPr>
          <w:spacing w:val="-2"/>
        </w:rPr>
        <w:t xml:space="preserve"> </w:t>
      </w:r>
      <w:r>
        <w:t>enacted</w:t>
      </w:r>
      <w:r>
        <w:rPr>
          <w:spacing w:val="-1"/>
        </w:rPr>
        <w:t xml:space="preserve"> </w:t>
      </w:r>
      <w:r>
        <w:t>on March</w:t>
      </w:r>
      <w:r>
        <w:rPr>
          <w:spacing w:val="-1"/>
        </w:rPr>
        <w:t xml:space="preserve"> </w:t>
      </w:r>
      <w:r>
        <w:t>30, 2010</w:t>
      </w:r>
      <w:r>
        <w:rPr>
          <w:spacing w:val="-7"/>
        </w:rPr>
        <w:t xml:space="preserve"> </w:t>
      </w:r>
      <w:r>
        <w:t>(collectively known as</w:t>
      </w:r>
      <w:r>
        <w:rPr>
          <w:spacing w:val="-2"/>
        </w:rPr>
        <w:t xml:space="preserve"> </w:t>
      </w:r>
      <w:r>
        <w:t>the</w:t>
      </w:r>
      <w:r>
        <w:rPr>
          <w:spacing w:val="-1"/>
        </w:rPr>
        <w:t xml:space="preserve"> </w:t>
      </w:r>
      <w:r>
        <w:t>“Affordable</w:t>
      </w:r>
      <w:r>
        <w:rPr>
          <w:spacing w:val="-1"/>
        </w:rPr>
        <w:t xml:space="preserve"> </w:t>
      </w:r>
      <w:r>
        <w:t>Care</w:t>
      </w:r>
      <w:r>
        <w:rPr>
          <w:spacing w:val="-1"/>
        </w:rPr>
        <w:t xml:space="preserve"> </w:t>
      </w:r>
      <w:r>
        <w:t>Act”, (ACA)). The</w:t>
      </w:r>
      <w:r>
        <w:rPr>
          <w:spacing w:val="-10"/>
        </w:rPr>
        <w:t xml:space="preserve"> </w:t>
      </w:r>
      <w:r>
        <w:t>ACA</w:t>
      </w:r>
      <w:r>
        <w:rPr>
          <w:spacing w:val="-6"/>
        </w:rPr>
        <w:t xml:space="preserve"> </w:t>
      </w:r>
      <w:r>
        <w:t>reorganizes, amends, and</w:t>
      </w:r>
      <w:r>
        <w:rPr>
          <w:spacing w:val="-3"/>
        </w:rPr>
        <w:t xml:space="preserve"> </w:t>
      </w:r>
      <w:r>
        <w:t>adds</w:t>
      </w:r>
      <w:r>
        <w:rPr>
          <w:spacing w:val="-4"/>
        </w:rPr>
        <w:t xml:space="preserve"> </w:t>
      </w:r>
      <w:r>
        <w:t>to</w:t>
      </w:r>
      <w:r>
        <w:rPr>
          <w:spacing w:val="-2"/>
        </w:rPr>
        <w:t xml:space="preserve"> </w:t>
      </w:r>
      <w:r>
        <w:t>the</w:t>
      </w:r>
      <w:r>
        <w:rPr>
          <w:spacing w:val="-3"/>
        </w:rPr>
        <w:t xml:space="preserve"> </w:t>
      </w:r>
      <w:r>
        <w:t>provisions</w:t>
      </w:r>
      <w:r>
        <w:rPr>
          <w:spacing w:val="-4"/>
        </w:rPr>
        <w:t xml:space="preserve"> </w:t>
      </w:r>
      <w:r>
        <w:t>of</w:t>
      </w:r>
      <w:r>
        <w:rPr>
          <w:spacing w:val="-4"/>
        </w:rPr>
        <w:t xml:space="preserve"> </w:t>
      </w:r>
      <w:r>
        <w:t>part A of</w:t>
      </w:r>
      <w:r>
        <w:rPr>
          <w:spacing w:val="-4"/>
        </w:rPr>
        <w:t xml:space="preserve"> </w:t>
      </w:r>
      <w:r>
        <w:t>Title</w:t>
      </w:r>
      <w:r>
        <w:rPr>
          <w:spacing w:val="-3"/>
        </w:rPr>
        <w:t xml:space="preserve"> </w:t>
      </w:r>
      <w:r>
        <w:t>XXVII of the PHS Act relating to group health plans and health insurance issuers in the group and individual markets. The ACA added section 715(a)(1) to ERISA and section 9815(a)(1) to the Code to incorporate the provisions of part A of Title XXVII of the PHS Act</w:t>
      </w:r>
      <w:r>
        <w:rPr>
          <w:spacing w:val="-1"/>
        </w:rPr>
        <w:t xml:space="preserve"> </w:t>
      </w:r>
      <w:r>
        <w:t>into ERISA and the Code, and to make them applicable to group health plans and health insurance issuers providing health insurance coverage in connection with group health plans. The ACA extended MHPAEA to apply to the individual health insurance market and redesignated MHPAEA as section 2726 of the PHS Act</w:t>
      </w:r>
      <w:hyperlink w:anchor="_bookmark1" w:history="1">
        <w:r>
          <w:t>.</w:t>
        </w:r>
        <w:r>
          <w:rPr>
            <w:position w:val="8"/>
            <w:sz w:val="12"/>
          </w:rPr>
          <w:t>2</w:t>
        </w:r>
      </w:hyperlink>
    </w:p>
    <w:p>
      <w:pPr>
        <w:pStyle w:val="BodyText"/>
      </w:pPr>
    </w:p>
    <w:p>
      <w:pPr>
        <w:pStyle w:val="BodyText"/>
        <w:ind w:left="791"/>
      </w:pPr>
      <w:r>
        <w:t>Additionally, section 1311(j) of the ACA applies section 2726 of the PHS</w:t>
      </w:r>
      <w:r>
        <w:rPr>
          <w:spacing w:val="-6"/>
        </w:rPr>
        <w:t xml:space="preserve"> </w:t>
      </w:r>
      <w:r>
        <w:t>Act to qualified health plans (QHPs) in the same manner and to the same extent as such section applies to health</w:t>
      </w:r>
      <w:r>
        <w:rPr>
          <w:spacing w:val="-3"/>
        </w:rPr>
        <w:t xml:space="preserve"> </w:t>
      </w:r>
      <w:r>
        <w:t>insurance</w:t>
      </w:r>
      <w:r>
        <w:rPr>
          <w:spacing w:val="-4"/>
        </w:rPr>
        <w:t xml:space="preserve"> </w:t>
      </w:r>
      <w:r>
        <w:t>issuers</w:t>
      </w:r>
      <w:r>
        <w:rPr>
          <w:spacing w:val="-5"/>
        </w:rPr>
        <w:t xml:space="preserve"> </w:t>
      </w:r>
      <w:r>
        <w:t>and</w:t>
      </w:r>
      <w:r>
        <w:rPr>
          <w:spacing w:val="-4"/>
        </w:rPr>
        <w:t xml:space="preserve"> </w:t>
      </w:r>
      <w:r>
        <w:t>groups</w:t>
      </w:r>
      <w:r>
        <w:rPr>
          <w:spacing w:val="-5"/>
        </w:rPr>
        <w:t xml:space="preserve"> </w:t>
      </w:r>
      <w:r>
        <w:t>health</w:t>
      </w:r>
      <w:r>
        <w:rPr>
          <w:spacing w:val="-3"/>
        </w:rPr>
        <w:t xml:space="preserve"> </w:t>
      </w:r>
      <w:r>
        <w:t>plans. Additionally, the</w:t>
      </w:r>
      <w:r>
        <w:rPr>
          <w:spacing w:val="-4"/>
        </w:rPr>
        <w:t xml:space="preserve"> </w:t>
      </w:r>
      <w:r>
        <w:t>Department</w:t>
      </w:r>
      <w:r>
        <w:rPr>
          <w:spacing w:val="-6"/>
        </w:rPr>
        <w:t xml:space="preserve"> </w:t>
      </w:r>
      <w:r>
        <w:t>of</w:t>
      </w:r>
      <w:r>
        <w:rPr>
          <w:spacing w:val="-5"/>
        </w:rPr>
        <w:t xml:space="preserve"> </w:t>
      </w:r>
      <w:r>
        <w:t>Health</w:t>
      </w:r>
      <w:r>
        <w:rPr>
          <w:spacing w:val="-3"/>
        </w:rPr>
        <w:t xml:space="preserve"> </w:t>
      </w:r>
      <w:r>
        <w:t>and Human Services (HHS) final rule regarding essential health benefits (EHB) requires health insurance</w:t>
      </w:r>
      <w:r>
        <w:rPr>
          <w:spacing w:val="-3"/>
        </w:rPr>
        <w:t xml:space="preserve"> </w:t>
      </w:r>
      <w:r>
        <w:t>issuers</w:t>
      </w:r>
      <w:r>
        <w:rPr>
          <w:spacing w:val="-4"/>
        </w:rPr>
        <w:t xml:space="preserve"> </w:t>
      </w:r>
      <w:r>
        <w:t>offering</w:t>
      </w:r>
      <w:r>
        <w:rPr>
          <w:spacing w:val="-2"/>
        </w:rPr>
        <w:t xml:space="preserve"> </w:t>
      </w:r>
      <w:r>
        <w:t>non-grandfathered</w:t>
      </w:r>
      <w:r>
        <w:rPr>
          <w:spacing w:val="-3"/>
        </w:rPr>
        <w:t xml:space="preserve"> </w:t>
      </w:r>
      <w:r>
        <w:t>health</w:t>
      </w:r>
      <w:r>
        <w:rPr>
          <w:spacing w:val="-2"/>
        </w:rPr>
        <w:t xml:space="preserve"> </w:t>
      </w:r>
      <w:r>
        <w:t>insurance</w:t>
      </w:r>
      <w:r>
        <w:rPr>
          <w:spacing w:val="-3"/>
        </w:rPr>
        <w:t xml:space="preserve"> </w:t>
      </w:r>
      <w:r>
        <w:t>coverage</w:t>
      </w:r>
      <w:r>
        <w:rPr>
          <w:spacing w:val="-4"/>
        </w:rPr>
        <w:t xml:space="preserve"> </w:t>
      </w:r>
      <w:r>
        <w:t>in</w:t>
      </w:r>
      <w:r>
        <w:rPr>
          <w:spacing w:val="-2"/>
        </w:rPr>
        <w:t xml:space="preserve"> </w:t>
      </w:r>
      <w:r>
        <w:t>the</w:t>
      </w:r>
      <w:r>
        <w:rPr>
          <w:spacing w:val="-3"/>
        </w:rPr>
        <w:t xml:space="preserve"> </w:t>
      </w:r>
      <w:r>
        <w:t>individual</w:t>
      </w:r>
      <w:r>
        <w:rPr>
          <w:spacing w:val="-5"/>
        </w:rPr>
        <w:t xml:space="preserve"> and</w:t>
      </w:r>
    </w:p>
    <w:p>
      <w:pPr>
        <w:pStyle w:val="BodyText"/>
        <w:spacing w:before="116"/>
        <w:rPr>
          <w:sz w:val="20"/>
        </w:rPr>
      </w:pPr>
      <w:r>
        <w:rPr>
          <w:sz w:val="20"/>
        </w:rPr>
        <mc:AlternateContent>
          <mc:Choice Requires="wps">
            <w:drawing>
              <wp:anchor distT="0" distB="0" distL="0" distR="0" simplePos="0" relativeHeight="251658240" behindDoc="1" locked="0" layoutInCell="1" allowOverlap="1">
                <wp:simplePos x="0" y="0"/>
                <wp:positionH relativeFrom="page">
                  <wp:posOffset>914996</wp:posOffset>
                </wp:positionH>
                <wp:positionV relativeFrom="paragraph">
                  <wp:posOffset>235236</wp:posOffset>
                </wp:positionV>
                <wp:extent cx="1830070" cy="5080"/>
                <wp:effectExtent l="0" t="0" r="0" b="0"/>
                <wp:wrapTopAndBottom/>
                <wp:docPr id="2" name="Graphic 2"/>
                <wp:cNvGraphicFramePr/>
                <a:graphic xmlns:a="http://schemas.openxmlformats.org/drawingml/2006/main">
                  <a:graphicData uri="http://schemas.microsoft.com/office/word/2010/wordprocessingShape">
                    <wps:wsp xmlns:wps="http://schemas.microsoft.com/office/word/2010/wordprocessingShape">
                      <wps:cNvSpPr/>
                      <wps:spPr>
                        <a:xfrm>
                          <a:off x="0" y="0"/>
                          <a:ext cx="1830070" cy="5080"/>
                        </a:xfrm>
                        <a:custGeom>
                          <a:avLst/>
                          <a:gdLst/>
                          <a:rect l="l" t="t" r="r" b="b"/>
                          <a:pathLst>
                            <a:path fill="norm" h="5080" w="1830070" stroke="1">
                              <a:moveTo>
                                <a:pt x="1829689" y="0"/>
                              </a:moveTo>
                              <a:lnTo>
                                <a:pt x="0" y="0"/>
                              </a:lnTo>
                              <a:lnTo>
                                <a:pt x="0" y="4481"/>
                              </a:lnTo>
                              <a:lnTo>
                                <a:pt x="1829689" y="4481"/>
                              </a:lnTo>
                              <a:lnTo>
                                <a:pt x="1829689" y="0"/>
                              </a:lnTo>
                              <a:close/>
                            </a:path>
                          </a:pathLst>
                        </a:custGeom>
                        <a:solidFill>
                          <a:srgbClr val="000000"/>
                        </a:solidFill>
                      </wps:spPr>
                      <wps:bodyPr wrap="square" lIns="0" tIns="0" rIns="0" bIns="0" rtlCol="0">
                        <a:prstTxWarp prst="textNoShape">
                          <a:avLst/>
                        </a:prstTxWarp>
                      </wps:bodyPr>
                    </wps:wsp>
                  </a:graphicData>
                </a:graphic>
              </wp:anchor>
            </w:drawing>
          </mc:Choice>
          <mc:Fallback>
            <w:pict>
              <v:rect id="_x0000_s1025" style="width:144.07pt;height:0.35pt;margin-top:18.52pt;margin-left:72.05pt;mso-position-horizontal-relative:page;mso-wrap-distance-left:0;mso-wrap-distance-right:0;position:absolute;z-index:-251657216" filled="t" fillcolor="black" stroked="f">
                <v:fill type="solid"/>
                <w10:wrap type="topAndBottom"/>
              </v:rect>
            </w:pict>
          </mc:Fallback>
        </mc:AlternateContent>
      </w:r>
    </w:p>
    <w:p>
      <w:pPr>
        <w:spacing w:before="91" w:line="254" w:lineRule="auto"/>
        <w:ind w:left="360" w:right="32" w:firstLine="0"/>
        <w:jc w:val="left"/>
        <w:rPr>
          <w:sz w:val="19"/>
        </w:rPr>
      </w:pPr>
      <w:bookmarkStart w:id="2" w:name="_bookmark0"/>
      <w:bookmarkEnd w:id="2"/>
      <w:r>
        <w:rPr>
          <w:w w:val="105"/>
          <w:sz w:val="19"/>
          <w:vertAlign w:val="superscript"/>
        </w:rPr>
        <w:t>1</w:t>
      </w:r>
      <w:r>
        <w:rPr>
          <w:spacing w:val="-4"/>
          <w:w w:val="105"/>
          <w:sz w:val="19"/>
          <w:vertAlign w:val="baseline"/>
        </w:rPr>
        <w:t xml:space="preserve"> </w:t>
      </w:r>
      <w:r>
        <w:rPr>
          <w:w w:val="105"/>
          <w:sz w:val="19"/>
          <w:vertAlign w:val="baseline"/>
        </w:rPr>
        <w:t>In</w:t>
      </w:r>
      <w:r>
        <w:rPr>
          <w:spacing w:val="-4"/>
          <w:w w:val="105"/>
          <w:sz w:val="19"/>
          <w:vertAlign w:val="baseline"/>
        </w:rPr>
        <w:t xml:space="preserve"> </w:t>
      </w:r>
      <w:r>
        <w:rPr>
          <w:w w:val="105"/>
          <w:sz w:val="19"/>
          <w:vertAlign w:val="baseline"/>
        </w:rPr>
        <w:t>1996,</w:t>
      </w:r>
      <w:r>
        <w:rPr>
          <w:spacing w:val="-4"/>
          <w:w w:val="105"/>
          <w:sz w:val="19"/>
          <w:vertAlign w:val="baseline"/>
        </w:rPr>
        <w:t xml:space="preserve"> </w:t>
      </w:r>
      <w:r>
        <w:rPr>
          <w:w w:val="105"/>
          <w:sz w:val="19"/>
          <w:vertAlign w:val="baseline"/>
        </w:rPr>
        <w:t>Congress enacted</w:t>
      </w:r>
      <w:r>
        <w:rPr>
          <w:spacing w:val="-4"/>
          <w:w w:val="105"/>
          <w:sz w:val="19"/>
          <w:vertAlign w:val="baseline"/>
        </w:rPr>
        <w:t xml:space="preserve"> </w:t>
      </w:r>
      <w:r>
        <w:rPr>
          <w:w w:val="105"/>
          <w:sz w:val="19"/>
          <w:vertAlign w:val="baseline"/>
        </w:rPr>
        <w:t>the Mental</w:t>
      </w:r>
      <w:r>
        <w:rPr>
          <w:spacing w:val="-2"/>
          <w:w w:val="105"/>
          <w:sz w:val="19"/>
          <w:vertAlign w:val="baseline"/>
        </w:rPr>
        <w:t xml:space="preserve"> </w:t>
      </w:r>
      <w:r>
        <w:rPr>
          <w:w w:val="105"/>
          <w:sz w:val="19"/>
          <w:vertAlign w:val="baseline"/>
        </w:rPr>
        <w:t>Health Parity Act</w:t>
      </w:r>
      <w:r>
        <w:rPr>
          <w:spacing w:val="-2"/>
          <w:w w:val="105"/>
          <w:sz w:val="19"/>
          <w:vertAlign w:val="baseline"/>
        </w:rPr>
        <w:t xml:space="preserve"> </w:t>
      </w:r>
      <w:r>
        <w:rPr>
          <w:w w:val="105"/>
          <w:sz w:val="19"/>
          <w:vertAlign w:val="baseline"/>
        </w:rPr>
        <w:t>of</w:t>
      </w:r>
      <w:r>
        <w:rPr>
          <w:spacing w:val="-6"/>
          <w:w w:val="105"/>
          <w:sz w:val="19"/>
          <w:vertAlign w:val="baseline"/>
        </w:rPr>
        <w:t xml:space="preserve"> </w:t>
      </w:r>
      <w:r>
        <w:rPr>
          <w:w w:val="105"/>
          <w:sz w:val="19"/>
          <w:vertAlign w:val="baseline"/>
        </w:rPr>
        <w:t>1996</w:t>
      </w:r>
      <w:r>
        <w:rPr>
          <w:spacing w:val="-4"/>
          <w:w w:val="105"/>
          <w:sz w:val="19"/>
          <w:vertAlign w:val="baseline"/>
        </w:rPr>
        <w:t xml:space="preserve"> </w:t>
      </w:r>
      <w:r>
        <w:rPr>
          <w:w w:val="105"/>
          <w:sz w:val="19"/>
          <w:vertAlign w:val="baseline"/>
        </w:rPr>
        <w:t>(MHPA</w:t>
      </w:r>
      <w:r>
        <w:rPr>
          <w:spacing w:val="-5"/>
          <w:w w:val="105"/>
          <w:sz w:val="19"/>
          <w:vertAlign w:val="baseline"/>
        </w:rPr>
        <w:t xml:space="preserve"> </w:t>
      </w:r>
      <w:r>
        <w:rPr>
          <w:w w:val="105"/>
          <w:sz w:val="19"/>
          <w:vertAlign w:val="baseline"/>
        </w:rPr>
        <w:t>1996), which</w:t>
      </w:r>
      <w:r>
        <w:rPr>
          <w:spacing w:val="-4"/>
          <w:w w:val="105"/>
          <w:sz w:val="19"/>
          <w:vertAlign w:val="baseline"/>
        </w:rPr>
        <w:t xml:space="preserve"> </w:t>
      </w:r>
      <w:r>
        <w:rPr>
          <w:w w:val="105"/>
          <w:sz w:val="19"/>
          <w:vertAlign w:val="baseline"/>
        </w:rPr>
        <w:t>required parity</w:t>
      </w:r>
      <w:r>
        <w:rPr>
          <w:spacing w:val="-4"/>
          <w:w w:val="105"/>
          <w:sz w:val="19"/>
          <w:vertAlign w:val="baseline"/>
        </w:rPr>
        <w:t xml:space="preserve"> </w:t>
      </w:r>
      <w:r>
        <w:rPr>
          <w:w w:val="105"/>
          <w:sz w:val="19"/>
          <w:vertAlign w:val="baseline"/>
        </w:rPr>
        <w:t>in</w:t>
      </w:r>
      <w:r>
        <w:rPr>
          <w:spacing w:val="-4"/>
          <w:w w:val="105"/>
          <w:sz w:val="19"/>
          <w:vertAlign w:val="baseline"/>
        </w:rPr>
        <w:t xml:space="preserve"> </w:t>
      </w:r>
      <w:r>
        <w:rPr>
          <w:w w:val="105"/>
          <w:sz w:val="19"/>
          <w:vertAlign w:val="baseline"/>
        </w:rPr>
        <w:t>aggregate lifetime and annual dollar</w:t>
      </w:r>
      <w:r>
        <w:rPr>
          <w:spacing w:val="-3"/>
          <w:w w:val="105"/>
          <w:sz w:val="19"/>
          <w:vertAlign w:val="baseline"/>
        </w:rPr>
        <w:t xml:space="preserve"> </w:t>
      </w:r>
      <w:r>
        <w:rPr>
          <w:w w:val="105"/>
          <w:sz w:val="19"/>
          <w:vertAlign w:val="baseline"/>
        </w:rPr>
        <w:t>limits for</w:t>
      </w:r>
      <w:r>
        <w:rPr>
          <w:spacing w:val="-3"/>
          <w:w w:val="105"/>
          <w:sz w:val="19"/>
          <w:vertAlign w:val="baseline"/>
        </w:rPr>
        <w:t xml:space="preserve"> </w:t>
      </w:r>
      <w:r>
        <w:rPr>
          <w:w w:val="105"/>
          <w:sz w:val="19"/>
          <w:vertAlign w:val="baseline"/>
        </w:rPr>
        <w:t>mental health benefits and</w:t>
      </w:r>
      <w:r>
        <w:rPr>
          <w:spacing w:val="-1"/>
          <w:w w:val="105"/>
          <w:sz w:val="19"/>
          <w:vertAlign w:val="baseline"/>
        </w:rPr>
        <w:t xml:space="preserve"> </w:t>
      </w:r>
      <w:r>
        <w:rPr>
          <w:w w:val="105"/>
          <w:sz w:val="19"/>
          <w:vertAlign w:val="baseline"/>
        </w:rPr>
        <w:t>medical/surgical benefits. These</w:t>
      </w:r>
      <w:r>
        <w:rPr>
          <w:spacing w:val="-4"/>
          <w:w w:val="105"/>
          <w:sz w:val="19"/>
          <w:vertAlign w:val="baseline"/>
        </w:rPr>
        <w:t xml:space="preserve"> </w:t>
      </w:r>
      <w:r>
        <w:rPr>
          <w:w w:val="105"/>
          <w:sz w:val="19"/>
          <w:vertAlign w:val="baseline"/>
        </w:rPr>
        <w:t>mental health</w:t>
      </w:r>
      <w:r>
        <w:rPr>
          <w:spacing w:val="-1"/>
          <w:w w:val="105"/>
          <w:sz w:val="19"/>
          <w:vertAlign w:val="baseline"/>
        </w:rPr>
        <w:t xml:space="preserve"> </w:t>
      </w:r>
      <w:r>
        <w:rPr>
          <w:w w:val="105"/>
          <w:sz w:val="19"/>
          <w:vertAlign w:val="baseline"/>
        </w:rPr>
        <w:t>parity provisions were codified in Employee Retirement Income Security Act of 1974 (ERISA) section 712, PHS Act section 2705, and Internal Revenue Code (Code) section 9812, and applied to group health plans and health insurance coverage offered in connection with a group health plan.</w:t>
      </w:r>
    </w:p>
    <w:p>
      <w:pPr>
        <w:spacing w:before="0" w:line="252" w:lineRule="auto"/>
        <w:ind w:left="360" w:right="32" w:firstLine="0"/>
        <w:jc w:val="left"/>
        <w:rPr>
          <w:sz w:val="19"/>
        </w:rPr>
      </w:pPr>
      <w:bookmarkStart w:id="3" w:name="_bookmark1"/>
      <w:bookmarkEnd w:id="3"/>
      <w:r>
        <w:rPr>
          <w:w w:val="105"/>
          <w:sz w:val="19"/>
          <w:vertAlign w:val="superscript"/>
        </w:rPr>
        <w:t>2</w:t>
      </w:r>
      <w:r>
        <w:rPr>
          <w:spacing w:val="-3"/>
          <w:w w:val="105"/>
          <w:sz w:val="19"/>
          <w:vertAlign w:val="baseline"/>
        </w:rPr>
        <w:t xml:space="preserve"> </w:t>
      </w:r>
      <w:r>
        <w:rPr>
          <w:w w:val="105"/>
          <w:sz w:val="19"/>
          <w:vertAlign w:val="baseline"/>
        </w:rPr>
        <w:t>MHPAEA</w:t>
      </w:r>
      <w:r>
        <w:rPr>
          <w:spacing w:val="-4"/>
          <w:w w:val="105"/>
          <w:sz w:val="19"/>
          <w:vertAlign w:val="baseline"/>
        </w:rPr>
        <w:t xml:space="preserve"> </w:t>
      </w:r>
      <w:r>
        <w:rPr>
          <w:w w:val="105"/>
          <w:sz w:val="19"/>
          <w:vertAlign w:val="baseline"/>
        </w:rPr>
        <w:t>requirements apply</w:t>
      </w:r>
      <w:r>
        <w:rPr>
          <w:spacing w:val="-3"/>
          <w:w w:val="105"/>
          <w:sz w:val="19"/>
          <w:vertAlign w:val="baseline"/>
        </w:rPr>
        <w:t xml:space="preserve"> </w:t>
      </w:r>
      <w:r>
        <w:rPr>
          <w:w w:val="105"/>
          <w:sz w:val="19"/>
          <w:vertAlign w:val="baseline"/>
        </w:rPr>
        <w:t>to</w:t>
      </w:r>
      <w:r>
        <w:rPr>
          <w:spacing w:val="-3"/>
          <w:w w:val="105"/>
          <w:sz w:val="19"/>
          <w:vertAlign w:val="baseline"/>
        </w:rPr>
        <w:t xml:space="preserve"> </w:t>
      </w:r>
      <w:r>
        <w:rPr>
          <w:w w:val="105"/>
          <w:sz w:val="19"/>
          <w:vertAlign w:val="baseline"/>
        </w:rPr>
        <w:t>both grandfathered and</w:t>
      </w:r>
      <w:r>
        <w:rPr>
          <w:spacing w:val="-3"/>
          <w:w w:val="105"/>
          <w:sz w:val="19"/>
          <w:vertAlign w:val="baseline"/>
        </w:rPr>
        <w:t xml:space="preserve"> </w:t>
      </w:r>
      <w:r>
        <w:rPr>
          <w:w w:val="105"/>
          <w:sz w:val="19"/>
          <w:vertAlign w:val="baseline"/>
        </w:rPr>
        <w:t>non-grandfathered</w:t>
      </w:r>
      <w:r>
        <w:rPr>
          <w:spacing w:val="-3"/>
          <w:w w:val="105"/>
          <w:sz w:val="19"/>
          <w:vertAlign w:val="baseline"/>
        </w:rPr>
        <w:t xml:space="preserve"> </w:t>
      </w:r>
      <w:r>
        <w:rPr>
          <w:w w:val="105"/>
          <w:sz w:val="19"/>
          <w:vertAlign w:val="baseline"/>
        </w:rPr>
        <w:t>health</w:t>
      </w:r>
      <w:r>
        <w:rPr>
          <w:spacing w:val="-3"/>
          <w:w w:val="105"/>
          <w:sz w:val="19"/>
          <w:vertAlign w:val="baseline"/>
        </w:rPr>
        <w:t xml:space="preserve"> </w:t>
      </w:r>
      <w:r>
        <w:rPr>
          <w:w w:val="105"/>
          <w:sz w:val="19"/>
          <w:vertAlign w:val="baseline"/>
        </w:rPr>
        <w:t>plans. See</w:t>
      </w:r>
      <w:r>
        <w:rPr>
          <w:spacing w:val="-6"/>
          <w:w w:val="105"/>
          <w:sz w:val="19"/>
          <w:vertAlign w:val="baseline"/>
        </w:rPr>
        <w:t xml:space="preserve"> </w:t>
      </w:r>
      <w:r>
        <w:rPr>
          <w:w w:val="105"/>
          <w:sz w:val="19"/>
          <w:vertAlign w:val="baseline"/>
        </w:rPr>
        <w:t>section 1251</w:t>
      </w:r>
      <w:r>
        <w:rPr>
          <w:spacing w:val="-3"/>
          <w:w w:val="105"/>
          <w:sz w:val="19"/>
          <w:vertAlign w:val="baseline"/>
        </w:rPr>
        <w:t xml:space="preserve"> </w:t>
      </w:r>
      <w:r>
        <w:rPr>
          <w:w w:val="105"/>
          <w:sz w:val="19"/>
          <w:vertAlign w:val="baseline"/>
        </w:rPr>
        <w:t>of</w:t>
      </w:r>
      <w:r>
        <w:rPr>
          <w:spacing w:val="-5"/>
          <w:w w:val="105"/>
          <w:sz w:val="19"/>
          <w:vertAlign w:val="baseline"/>
        </w:rPr>
        <w:t xml:space="preserve"> </w:t>
      </w:r>
      <w:r>
        <w:rPr>
          <w:w w:val="105"/>
          <w:sz w:val="19"/>
          <w:vertAlign w:val="baseline"/>
        </w:rPr>
        <w:t>the Affordable</w:t>
      </w:r>
      <w:r>
        <w:rPr>
          <w:spacing w:val="-4"/>
          <w:w w:val="105"/>
          <w:sz w:val="19"/>
          <w:vertAlign w:val="baseline"/>
        </w:rPr>
        <w:t xml:space="preserve"> </w:t>
      </w:r>
      <w:r>
        <w:rPr>
          <w:w w:val="105"/>
          <w:sz w:val="19"/>
          <w:vertAlign w:val="baseline"/>
        </w:rPr>
        <w:t>Care</w:t>
      </w:r>
      <w:r>
        <w:rPr>
          <w:spacing w:val="-4"/>
          <w:w w:val="105"/>
          <w:sz w:val="19"/>
          <w:vertAlign w:val="baseline"/>
        </w:rPr>
        <w:t xml:space="preserve"> </w:t>
      </w:r>
      <w:r>
        <w:rPr>
          <w:w w:val="105"/>
          <w:sz w:val="19"/>
          <w:vertAlign w:val="baseline"/>
        </w:rPr>
        <w:t>Act and its implementing regulations at 26 CFR 54.9815-1251T, 29 CFR 2590.715-1251, and 45 CFR 147.140.</w:t>
      </w:r>
      <w:r>
        <w:rPr>
          <w:spacing w:val="-1"/>
          <w:w w:val="105"/>
          <w:sz w:val="19"/>
          <w:vertAlign w:val="baseline"/>
        </w:rPr>
        <w:t xml:space="preserve"> </w:t>
      </w:r>
      <w:r>
        <w:rPr>
          <w:w w:val="105"/>
          <w:sz w:val="19"/>
          <w:vertAlign w:val="baseline"/>
        </w:rPr>
        <w:t>Under</w:t>
      </w:r>
      <w:r>
        <w:rPr>
          <w:spacing w:val="-3"/>
          <w:w w:val="105"/>
          <w:sz w:val="19"/>
          <w:vertAlign w:val="baseline"/>
        </w:rPr>
        <w:t xml:space="preserve"> </w:t>
      </w:r>
      <w:r>
        <w:rPr>
          <w:w w:val="105"/>
          <w:sz w:val="19"/>
          <w:vertAlign w:val="baseline"/>
        </w:rPr>
        <w:t>section</w:t>
      </w:r>
      <w:r>
        <w:rPr>
          <w:spacing w:val="-1"/>
          <w:w w:val="105"/>
          <w:sz w:val="19"/>
          <w:vertAlign w:val="baseline"/>
        </w:rPr>
        <w:t xml:space="preserve"> </w:t>
      </w:r>
      <w:r>
        <w:rPr>
          <w:w w:val="105"/>
          <w:sz w:val="19"/>
          <w:vertAlign w:val="baseline"/>
        </w:rPr>
        <w:t>1251</w:t>
      </w:r>
      <w:r>
        <w:rPr>
          <w:spacing w:val="-1"/>
          <w:w w:val="105"/>
          <w:sz w:val="19"/>
          <w:vertAlign w:val="baseline"/>
        </w:rPr>
        <w:t xml:space="preserve"> </w:t>
      </w:r>
      <w:r>
        <w:rPr>
          <w:w w:val="105"/>
          <w:sz w:val="19"/>
          <w:vertAlign w:val="baseline"/>
        </w:rPr>
        <w:t>of</w:t>
      </w:r>
      <w:r>
        <w:rPr>
          <w:spacing w:val="-3"/>
          <w:w w:val="105"/>
          <w:sz w:val="19"/>
          <w:vertAlign w:val="baseline"/>
        </w:rPr>
        <w:t xml:space="preserve"> </w:t>
      </w:r>
      <w:r>
        <w:rPr>
          <w:w w:val="105"/>
          <w:sz w:val="19"/>
          <w:vertAlign w:val="baseline"/>
        </w:rPr>
        <w:t>the Affordable</w:t>
      </w:r>
      <w:r>
        <w:rPr>
          <w:spacing w:val="-4"/>
          <w:w w:val="105"/>
          <w:sz w:val="19"/>
          <w:vertAlign w:val="baseline"/>
        </w:rPr>
        <w:t xml:space="preserve"> </w:t>
      </w:r>
      <w:r>
        <w:rPr>
          <w:w w:val="105"/>
          <w:sz w:val="19"/>
          <w:vertAlign w:val="baseline"/>
        </w:rPr>
        <w:t>Care Act, grandfathered</w:t>
      </w:r>
      <w:r>
        <w:rPr>
          <w:spacing w:val="-1"/>
          <w:w w:val="105"/>
          <w:sz w:val="19"/>
          <w:vertAlign w:val="baseline"/>
        </w:rPr>
        <w:t xml:space="preserve"> </w:t>
      </w:r>
      <w:r>
        <w:rPr>
          <w:w w:val="105"/>
          <w:sz w:val="19"/>
          <w:vertAlign w:val="baseline"/>
        </w:rPr>
        <w:t>health</w:t>
      </w:r>
      <w:r>
        <w:rPr>
          <w:spacing w:val="-1"/>
          <w:w w:val="105"/>
          <w:sz w:val="19"/>
          <w:vertAlign w:val="baseline"/>
        </w:rPr>
        <w:t xml:space="preserve"> </w:t>
      </w:r>
      <w:r>
        <w:rPr>
          <w:w w:val="105"/>
          <w:sz w:val="19"/>
          <w:vertAlign w:val="baseline"/>
        </w:rPr>
        <w:t>plans are</w:t>
      </w:r>
      <w:r>
        <w:rPr>
          <w:spacing w:val="-4"/>
          <w:w w:val="105"/>
          <w:sz w:val="19"/>
          <w:vertAlign w:val="baseline"/>
        </w:rPr>
        <w:t xml:space="preserve"> </w:t>
      </w:r>
      <w:r>
        <w:rPr>
          <w:w w:val="105"/>
          <w:sz w:val="19"/>
          <w:vertAlign w:val="baseline"/>
        </w:rPr>
        <w:t>exempted</w:t>
      </w:r>
      <w:r>
        <w:rPr>
          <w:spacing w:val="-1"/>
          <w:w w:val="105"/>
          <w:sz w:val="19"/>
          <w:vertAlign w:val="baseline"/>
        </w:rPr>
        <w:t xml:space="preserve"> </w:t>
      </w:r>
      <w:r>
        <w:rPr>
          <w:w w:val="105"/>
          <w:sz w:val="19"/>
          <w:vertAlign w:val="baseline"/>
        </w:rPr>
        <w:t>only from certain Affordable Care Act requirements enacted in Subtitles A and C of Title I of</w:t>
      </w:r>
      <w:r>
        <w:rPr>
          <w:spacing w:val="-1"/>
          <w:w w:val="105"/>
          <w:sz w:val="19"/>
          <w:vertAlign w:val="baseline"/>
        </w:rPr>
        <w:t xml:space="preserve"> </w:t>
      </w:r>
      <w:r>
        <w:rPr>
          <w:w w:val="105"/>
          <w:sz w:val="19"/>
          <w:vertAlign w:val="baseline"/>
        </w:rPr>
        <w:t>the</w:t>
      </w:r>
      <w:r>
        <w:rPr>
          <w:spacing w:val="-2"/>
          <w:w w:val="105"/>
          <w:sz w:val="19"/>
          <w:vertAlign w:val="baseline"/>
        </w:rPr>
        <w:t xml:space="preserve"> </w:t>
      </w:r>
      <w:r>
        <w:rPr>
          <w:w w:val="105"/>
          <w:sz w:val="19"/>
          <w:vertAlign w:val="baseline"/>
        </w:rPr>
        <w:t>Affordable Care Act. The provisions extending MHPAEA requirements to the individual market and requiring that qualified health plans comply with MHPAEA were not part of these sections.</w:t>
      </w:r>
    </w:p>
    <w:p>
      <w:pPr>
        <w:spacing w:after="0" w:line="252" w:lineRule="auto"/>
        <w:jc w:val="left"/>
        <w:rPr>
          <w:sz w:val="19"/>
        </w:rPr>
        <w:sectPr>
          <w:footerReference w:type="default" r:id="rId4"/>
          <w:type w:val="continuous"/>
          <w:pgSz w:w="12240" w:h="15840"/>
          <w:pgMar w:top="1380" w:right="1440" w:bottom="1060" w:left="1080" w:header="0" w:footer="873"/>
          <w:pgNumType w:start="1"/>
          <w:cols w:space="720"/>
        </w:sectPr>
      </w:pPr>
    </w:p>
    <w:p>
      <w:pPr>
        <w:pStyle w:val="BodyText"/>
        <w:spacing w:before="62"/>
        <w:ind w:left="791"/>
      </w:pPr>
      <w:r>
        <w:t>small group markets, through an Exchange or outside of an Exchange, to comply with the requirements</w:t>
      </w:r>
      <w:r>
        <w:rPr>
          <w:spacing w:val="-3"/>
        </w:rPr>
        <w:t xml:space="preserve"> </w:t>
      </w:r>
      <w:r>
        <w:t>of</w:t>
      </w:r>
      <w:r>
        <w:rPr>
          <w:spacing w:val="-3"/>
        </w:rPr>
        <w:t xml:space="preserve"> </w:t>
      </w:r>
      <w:r>
        <w:t>the</w:t>
      </w:r>
      <w:r>
        <w:rPr>
          <w:spacing w:val="-2"/>
        </w:rPr>
        <w:t xml:space="preserve"> </w:t>
      </w:r>
      <w:r>
        <w:t>MHPAEA</w:t>
      </w:r>
      <w:r>
        <w:rPr>
          <w:spacing w:val="-5"/>
        </w:rPr>
        <w:t xml:space="preserve"> </w:t>
      </w:r>
      <w:r>
        <w:t>regulations</w:t>
      </w:r>
      <w:r>
        <w:rPr>
          <w:spacing w:val="-3"/>
        </w:rPr>
        <w:t xml:space="preserve"> </w:t>
      </w:r>
      <w:r>
        <w:t>in</w:t>
      </w:r>
      <w:r>
        <w:rPr>
          <w:spacing w:val="-1"/>
        </w:rPr>
        <w:t xml:space="preserve"> </w:t>
      </w:r>
      <w:r>
        <w:t>order</w:t>
      </w:r>
      <w:r>
        <w:rPr>
          <w:spacing w:val="-4"/>
        </w:rPr>
        <w:t xml:space="preserve"> </w:t>
      </w:r>
      <w:r>
        <w:t>to</w:t>
      </w:r>
      <w:r>
        <w:rPr>
          <w:spacing w:val="-1"/>
        </w:rPr>
        <w:t xml:space="preserve"> </w:t>
      </w:r>
      <w:r>
        <w:t>satisfy</w:t>
      </w:r>
      <w:r>
        <w:rPr>
          <w:spacing w:val="-1"/>
        </w:rPr>
        <w:t xml:space="preserve"> </w:t>
      </w:r>
      <w:r>
        <w:t>the</w:t>
      </w:r>
      <w:r>
        <w:rPr>
          <w:spacing w:val="-2"/>
        </w:rPr>
        <w:t xml:space="preserve"> </w:t>
      </w:r>
      <w:r>
        <w:t>requirement</w:t>
      </w:r>
      <w:r>
        <w:rPr>
          <w:spacing w:val="-4"/>
        </w:rPr>
        <w:t xml:space="preserve"> </w:t>
      </w:r>
      <w:r>
        <w:t>to</w:t>
      </w:r>
      <w:r>
        <w:rPr>
          <w:spacing w:val="-1"/>
        </w:rPr>
        <w:t xml:space="preserve"> </w:t>
      </w:r>
      <w:r>
        <w:t>cover</w:t>
      </w:r>
      <w:r>
        <w:rPr>
          <w:spacing w:val="-3"/>
        </w:rPr>
        <w:t xml:space="preserve"> </w:t>
      </w:r>
      <w:r>
        <w:t>EHB.</w:t>
      </w:r>
      <w:hyperlink w:anchor="_bookmark2" w:history="1">
        <w:r>
          <w:rPr>
            <w:vertAlign w:val="superscript"/>
          </w:rPr>
          <w:t>3</w:t>
        </w:r>
      </w:hyperlink>
    </w:p>
    <w:p>
      <w:pPr>
        <w:pStyle w:val="BodyText"/>
        <w:spacing w:before="274"/>
        <w:ind w:left="791" w:right="32"/>
      </w:pPr>
      <w:r>
        <w:t>The MHPAEA 2013 final regulations require that a group health plan or health insurance issuer may not impose a nonquantitative treatment limitation (NQTL) with respect to MH/SUD benefits in any classification unless, under the terms of the plan (or health insurance coverage) as written and in operation, any processes, strategies, evidentiary standards, or other factors used in applying the NQTL to MH/SUD benefits in the classification are comparable to, and are applied no more stringently than, the processes, strategies, evidentiary standards, or other factors used in applying the limitation to medical/surgical</w:t>
      </w:r>
      <w:r>
        <w:rPr>
          <w:spacing w:val="-5"/>
        </w:rPr>
        <w:t xml:space="preserve"> </w:t>
      </w:r>
      <w:r>
        <w:t>benefits</w:t>
      </w:r>
      <w:r>
        <w:rPr>
          <w:spacing w:val="-4"/>
        </w:rPr>
        <w:t xml:space="preserve"> </w:t>
      </w:r>
      <w:r>
        <w:t>in</w:t>
      </w:r>
      <w:r>
        <w:rPr>
          <w:spacing w:val="-2"/>
        </w:rPr>
        <w:t xml:space="preserve"> </w:t>
      </w:r>
      <w:r>
        <w:t>the</w:t>
      </w:r>
      <w:r>
        <w:rPr>
          <w:spacing w:val="-3"/>
        </w:rPr>
        <w:t xml:space="preserve"> </w:t>
      </w:r>
      <w:r>
        <w:t>same</w:t>
      </w:r>
      <w:r>
        <w:rPr>
          <w:spacing w:val="-3"/>
        </w:rPr>
        <w:t xml:space="preserve"> </w:t>
      </w:r>
      <w:r>
        <w:t>classification.</w:t>
      </w:r>
      <w:hyperlink w:anchor="_bookmark3" w:history="1">
        <w:r>
          <w:rPr>
            <w:vertAlign w:val="superscript"/>
          </w:rPr>
          <w:t>4</w:t>
        </w:r>
      </w:hyperlink>
      <w:r>
        <w:rPr>
          <w:vertAlign w:val="baseline"/>
        </w:rPr>
        <w:t xml:space="preserve"> Under</w:t>
      </w:r>
      <w:r>
        <w:rPr>
          <w:spacing w:val="-5"/>
          <w:vertAlign w:val="baseline"/>
        </w:rPr>
        <w:t xml:space="preserve"> </w:t>
      </w:r>
      <w:r>
        <w:rPr>
          <w:vertAlign w:val="baseline"/>
        </w:rPr>
        <w:t>this</w:t>
      </w:r>
      <w:r>
        <w:rPr>
          <w:spacing w:val="-4"/>
          <w:vertAlign w:val="baseline"/>
        </w:rPr>
        <w:t xml:space="preserve"> </w:t>
      </w:r>
      <w:r>
        <w:rPr>
          <w:vertAlign w:val="baseline"/>
        </w:rPr>
        <w:t>analysis, the</w:t>
      </w:r>
      <w:r>
        <w:rPr>
          <w:spacing w:val="-3"/>
          <w:vertAlign w:val="baseline"/>
        </w:rPr>
        <w:t xml:space="preserve"> </w:t>
      </w:r>
      <w:r>
        <w:rPr>
          <w:vertAlign w:val="baseline"/>
        </w:rPr>
        <w:t>focus</w:t>
      </w:r>
      <w:r>
        <w:rPr>
          <w:spacing w:val="-4"/>
          <w:vertAlign w:val="baseline"/>
        </w:rPr>
        <w:t xml:space="preserve"> </w:t>
      </w:r>
      <w:r>
        <w:rPr>
          <w:vertAlign w:val="baseline"/>
        </w:rPr>
        <w:t>is</w:t>
      </w:r>
      <w:r>
        <w:rPr>
          <w:spacing w:val="-4"/>
          <w:vertAlign w:val="baseline"/>
        </w:rPr>
        <w:t xml:space="preserve"> </w:t>
      </w:r>
      <w:r>
        <w:rPr>
          <w:vertAlign w:val="baseline"/>
        </w:rPr>
        <w:t>not</w:t>
      </w:r>
      <w:r>
        <w:rPr>
          <w:spacing w:val="-5"/>
          <w:vertAlign w:val="baseline"/>
        </w:rPr>
        <w:t xml:space="preserve"> </w:t>
      </w:r>
      <w:r>
        <w:rPr>
          <w:vertAlign w:val="baseline"/>
        </w:rPr>
        <w:t>on whether the final result is the same for MH/SUD benefits as for medical/surgical benefits, but rather on whether the underlying processes, strategies, evidentiary standards, and other factors are in parity. These processes, strategies, evidentiary standards, and other factors must be comparable and applied no more stringently for MH/SUD benefits than for medical/surgical benefits. This process test was designed to prevent plans from imposing more restrictive NQTLs on MH/SUD benefits compared to medical/surgical benefits.</w:t>
      </w:r>
    </w:p>
    <w:p>
      <w:pPr>
        <w:pStyle w:val="BodyText"/>
        <w:spacing w:before="6"/>
      </w:pPr>
    </w:p>
    <w:p>
      <w:pPr>
        <w:pStyle w:val="BodyText"/>
        <w:ind w:left="791" w:right="32"/>
        <w:rPr>
          <w:position w:val="8"/>
          <w:sz w:val="12"/>
        </w:rPr>
      </w:pPr>
      <w:r>
        <w:t>The</w:t>
      </w:r>
      <w:r>
        <w:rPr>
          <w:spacing w:val="-2"/>
        </w:rPr>
        <w:t xml:space="preserve"> </w:t>
      </w:r>
      <w:r>
        <w:t>Consolidated</w:t>
      </w:r>
      <w:r>
        <w:rPr>
          <w:spacing w:val="-3"/>
        </w:rPr>
        <w:t xml:space="preserve"> </w:t>
      </w:r>
      <w:r>
        <w:t>Appropriations</w:t>
      </w:r>
      <w:r>
        <w:rPr>
          <w:spacing w:val="-4"/>
        </w:rPr>
        <w:t xml:space="preserve"> </w:t>
      </w:r>
      <w:r>
        <w:t>Act, 2021</w:t>
      </w:r>
      <w:r>
        <w:rPr>
          <w:spacing w:val="-2"/>
        </w:rPr>
        <w:t xml:space="preserve"> </w:t>
      </w:r>
      <w:r>
        <w:t>(the</w:t>
      </w:r>
      <w:r>
        <w:rPr>
          <w:spacing w:val="-2"/>
        </w:rPr>
        <w:t xml:space="preserve"> </w:t>
      </w:r>
      <w:r>
        <w:t>CAA, 2021)</w:t>
      </w:r>
      <w:r>
        <w:rPr>
          <w:spacing w:val="-10"/>
        </w:rPr>
        <w:t xml:space="preserve"> </w:t>
      </w:r>
      <w:r>
        <w:t>was</w:t>
      </w:r>
      <w:r>
        <w:rPr>
          <w:spacing w:val="-4"/>
        </w:rPr>
        <w:t xml:space="preserve"> </w:t>
      </w:r>
      <w:r>
        <w:t>enacted</w:t>
      </w:r>
      <w:r>
        <w:rPr>
          <w:spacing w:val="-9"/>
        </w:rPr>
        <w:t xml:space="preserve"> </w:t>
      </w:r>
      <w:r>
        <w:t>on</w:t>
      </w:r>
      <w:r>
        <w:rPr>
          <w:spacing w:val="-2"/>
        </w:rPr>
        <w:t xml:space="preserve"> </w:t>
      </w:r>
      <w:r>
        <w:t>December</w:t>
      </w:r>
      <w:r>
        <w:rPr>
          <w:spacing w:val="-5"/>
        </w:rPr>
        <w:t xml:space="preserve"> </w:t>
      </w:r>
      <w:r>
        <w:t>27, 2020.</w:t>
      </w:r>
      <w:hyperlink w:anchor="_bookmark4" w:history="1">
        <w:r>
          <w:rPr>
            <w:vertAlign w:val="superscript"/>
          </w:rPr>
          <w:t>5</w:t>
        </w:r>
      </w:hyperlink>
      <w:r>
        <w:rPr>
          <w:vertAlign w:val="baseline"/>
        </w:rPr>
        <w:t xml:space="preserve"> The CAA, 2021 amended MHPAEA to provide important new protections. The Departments of Labor (DOL), HHS, and the Treasury (collectively, “the Departments”) prepared a Frequently Asked Questions (FAQ) document to help stakeholders understand these amendments.</w:t>
      </w:r>
      <w:hyperlink w:anchor="_bookmark5" w:history="1">
        <w:r>
          <w:rPr>
            <w:position w:val="8"/>
            <w:sz w:val="12"/>
            <w:vertAlign w:val="baseline"/>
          </w:rPr>
          <w:t>6</w:t>
        </w:r>
      </w:hyperlink>
    </w:p>
    <w:p>
      <w:pPr>
        <w:pStyle w:val="BodyText"/>
        <w:spacing w:before="273"/>
        <w:ind w:left="791" w:right="32"/>
      </w:pPr>
      <w:r>
        <w:t>Under the CAA, 2021, group health plans and health insurance issuers offering group or individual health insurance coverage must document and be prepared to submit their comparative analysis with respect to each NQTL imposed on MH/SUD benefits when requested</w:t>
      </w:r>
      <w:r>
        <w:rPr>
          <w:spacing w:val="-1"/>
        </w:rPr>
        <w:t xml:space="preserve"> </w:t>
      </w:r>
      <w:r>
        <w:t>by any</w:t>
      </w:r>
      <w:r>
        <w:rPr>
          <w:spacing w:val="-1"/>
        </w:rPr>
        <w:t xml:space="preserve"> </w:t>
      </w:r>
      <w:r>
        <w:t>of</w:t>
      </w:r>
      <w:r>
        <w:rPr>
          <w:spacing w:val="-2"/>
        </w:rPr>
        <w:t xml:space="preserve"> </w:t>
      </w:r>
      <w:r>
        <w:t>the</w:t>
      </w:r>
      <w:r>
        <w:rPr>
          <w:spacing w:val="-1"/>
        </w:rPr>
        <w:t xml:space="preserve"> </w:t>
      </w:r>
      <w:r>
        <w:t>Departments</w:t>
      </w:r>
      <w:r>
        <w:rPr>
          <w:spacing w:val="-2"/>
        </w:rPr>
        <w:t xml:space="preserve"> </w:t>
      </w:r>
      <w:r>
        <w:t>or</w:t>
      </w:r>
      <w:r>
        <w:rPr>
          <w:spacing w:val="-2"/>
        </w:rPr>
        <w:t xml:space="preserve"> </w:t>
      </w:r>
      <w:r>
        <w:t>an</w:t>
      </w:r>
      <w:r>
        <w:rPr>
          <w:spacing w:val="-1"/>
        </w:rPr>
        <w:t xml:space="preserve"> </w:t>
      </w:r>
      <w:r>
        <w:t>applicable</w:t>
      </w:r>
      <w:r>
        <w:rPr>
          <w:spacing w:val="-1"/>
        </w:rPr>
        <w:t xml:space="preserve"> </w:t>
      </w:r>
      <w:r>
        <w:t>State</w:t>
      </w:r>
      <w:r>
        <w:rPr>
          <w:spacing w:val="-1"/>
        </w:rPr>
        <w:t xml:space="preserve"> </w:t>
      </w:r>
      <w:r>
        <w:t>authority. For</w:t>
      </w:r>
      <w:r>
        <w:rPr>
          <w:spacing w:val="-2"/>
        </w:rPr>
        <w:t xml:space="preserve"> </w:t>
      </w:r>
      <w:r>
        <w:t>an</w:t>
      </w:r>
      <w:r>
        <w:rPr>
          <w:spacing w:val="-1"/>
        </w:rPr>
        <w:t xml:space="preserve"> </w:t>
      </w:r>
      <w:r>
        <w:t>analysis</w:t>
      </w:r>
      <w:r>
        <w:rPr>
          <w:spacing w:val="-2"/>
        </w:rPr>
        <w:t xml:space="preserve"> </w:t>
      </w:r>
      <w:r>
        <w:t>to be treated</w:t>
      </w:r>
      <w:r>
        <w:rPr>
          <w:spacing w:val="-3"/>
        </w:rPr>
        <w:t xml:space="preserve"> </w:t>
      </w:r>
      <w:r>
        <w:t>as</w:t>
      </w:r>
      <w:r>
        <w:rPr>
          <w:spacing w:val="-4"/>
        </w:rPr>
        <w:t xml:space="preserve"> </w:t>
      </w:r>
      <w:r>
        <w:t>sufficient</w:t>
      </w:r>
      <w:r>
        <w:rPr>
          <w:spacing w:val="-6"/>
        </w:rPr>
        <w:t xml:space="preserve"> </w:t>
      </w:r>
      <w:r>
        <w:t>under</w:t>
      </w:r>
      <w:r>
        <w:rPr>
          <w:spacing w:val="-5"/>
        </w:rPr>
        <w:t xml:space="preserve"> </w:t>
      </w:r>
      <w:r>
        <w:t>the</w:t>
      </w:r>
      <w:r>
        <w:rPr>
          <w:spacing w:val="-3"/>
        </w:rPr>
        <w:t xml:space="preserve"> </w:t>
      </w:r>
      <w:r>
        <w:t>CAA, 2021, it</w:t>
      </w:r>
      <w:r>
        <w:rPr>
          <w:spacing w:val="-5"/>
        </w:rPr>
        <w:t xml:space="preserve"> </w:t>
      </w:r>
      <w:r>
        <w:t>must</w:t>
      </w:r>
      <w:r>
        <w:rPr>
          <w:spacing w:val="-5"/>
        </w:rPr>
        <w:t xml:space="preserve"> </w:t>
      </w:r>
      <w:r>
        <w:t>contain</w:t>
      </w:r>
      <w:r>
        <w:rPr>
          <w:spacing w:val="-2"/>
        </w:rPr>
        <w:t xml:space="preserve"> </w:t>
      </w:r>
      <w:r>
        <w:t>a</w:t>
      </w:r>
      <w:r>
        <w:rPr>
          <w:spacing w:val="-3"/>
        </w:rPr>
        <w:t xml:space="preserve"> </w:t>
      </w:r>
      <w:r>
        <w:t>detailed, written, and</w:t>
      </w:r>
      <w:r>
        <w:rPr>
          <w:spacing w:val="-3"/>
        </w:rPr>
        <w:t xml:space="preserve"> </w:t>
      </w:r>
      <w:r>
        <w:t>reasoned explanation of the specific plan terms and practices at issue, and include the bases for the plan’s or issuer’s conclusion that the NQTLs comply with MHPAEA.</w:t>
      </w:r>
    </w:p>
    <w:p>
      <w:pPr>
        <w:pStyle w:val="BodyText"/>
        <w:spacing w:before="2"/>
      </w:pPr>
    </w:p>
    <w:p>
      <w:pPr>
        <w:pStyle w:val="BodyText"/>
        <w:spacing w:before="1"/>
        <w:ind w:left="791" w:right="32"/>
      </w:pPr>
      <w:r>
        <w:t>In the September 2024 final rules “Requirements Related to the Mental Health Parity and Addiction</w:t>
      </w:r>
      <w:r>
        <w:rPr>
          <w:spacing w:val="-5"/>
        </w:rPr>
        <w:t xml:space="preserve"> </w:t>
      </w:r>
      <w:r>
        <w:t>Equity</w:t>
      </w:r>
      <w:r>
        <w:rPr>
          <w:spacing w:val="-5"/>
        </w:rPr>
        <w:t xml:space="preserve"> </w:t>
      </w:r>
      <w:r>
        <w:t>Act”</w:t>
      </w:r>
      <w:r>
        <w:rPr>
          <w:spacing w:val="-6"/>
        </w:rPr>
        <w:t xml:space="preserve"> </w:t>
      </w:r>
      <w:r>
        <w:t>(2024</w:t>
      </w:r>
      <w:r>
        <w:rPr>
          <w:spacing w:val="-5"/>
        </w:rPr>
        <w:t xml:space="preserve"> </w:t>
      </w:r>
      <w:r>
        <w:t>final</w:t>
      </w:r>
      <w:r>
        <w:rPr>
          <w:spacing w:val="-7"/>
        </w:rPr>
        <w:t xml:space="preserve"> </w:t>
      </w:r>
      <w:r>
        <w:t>rules),</w:t>
      </w:r>
      <w:r>
        <w:rPr>
          <w:spacing w:val="-2"/>
        </w:rPr>
        <w:t xml:space="preserve"> </w:t>
      </w:r>
      <w:r>
        <w:t>the</w:t>
      </w:r>
      <w:r>
        <w:rPr>
          <w:spacing w:val="-6"/>
        </w:rPr>
        <w:t xml:space="preserve"> </w:t>
      </w:r>
      <w:r>
        <w:t>Departments</w:t>
      </w:r>
      <w:r>
        <w:rPr>
          <w:spacing w:val="-6"/>
        </w:rPr>
        <w:t xml:space="preserve"> </w:t>
      </w:r>
      <w:r>
        <w:t>finalized</w:t>
      </w:r>
      <w:r>
        <w:rPr>
          <w:spacing w:val="-5"/>
        </w:rPr>
        <w:t xml:space="preserve"> </w:t>
      </w:r>
      <w:r>
        <w:t>regulatory</w:t>
      </w:r>
      <w:r>
        <w:rPr>
          <w:spacing w:val="-5"/>
        </w:rPr>
        <w:t xml:space="preserve"> </w:t>
      </w:r>
      <w:r>
        <w:t>amendments to the 2013 final regulations implementing MHPAEA and finalized new regulations implementing the NQTL comparative analyses requirements under MHPAEA, as amended by the CAA, 2021. The 2024 final rules maintain the process test from the 2013 final rules and also require plans and issuers to collect and evaluate relevant data in a manner reasonably designed to assess the impact of NQTLs on access to MH/SUD benefits and medical/surgical benefits. The 2024 final rules require plans and issuers to collect and evaluate relevant data as part of each comparative analysis, including but not limited to</w:t>
      </w:r>
    </w:p>
    <w:p>
      <w:pPr>
        <w:pStyle w:val="BodyText"/>
        <w:spacing w:before="148"/>
        <w:rPr>
          <w:sz w:val="20"/>
        </w:rPr>
      </w:pPr>
      <w:r>
        <w:rPr>
          <w:sz w:val="20"/>
        </w:rPr>
        <mc:AlternateContent>
          <mc:Choice Requires="wps">
            <w:drawing>
              <wp:anchor distT="0" distB="0" distL="0" distR="0" simplePos="0" relativeHeight="251660288" behindDoc="1" locked="0" layoutInCell="1" allowOverlap="1">
                <wp:simplePos x="0" y="0"/>
                <wp:positionH relativeFrom="page">
                  <wp:posOffset>914996</wp:posOffset>
                </wp:positionH>
                <wp:positionV relativeFrom="paragraph">
                  <wp:posOffset>255432</wp:posOffset>
                </wp:positionV>
                <wp:extent cx="1830070" cy="5080"/>
                <wp:effectExtent l="0" t="0" r="0" b="0"/>
                <wp:wrapTopAndBottom/>
                <wp:docPr id="3" name="Graphic 3"/>
                <wp:cNvGraphicFramePr/>
                <a:graphic xmlns:a="http://schemas.openxmlformats.org/drawingml/2006/main">
                  <a:graphicData uri="http://schemas.microsoft.com/office/word/2010/wordprocessingShape">
                    <wps:wsp xmlns:wps="http://schemas.microsoft.com/office/word/2010/wordprocessingShape">
                      <wps:cNvSpPr/>
                      <wps:spPr>
                        <a:xfrm>
                          <a:off x="0" y="0"/>
                          <a:ext cx="1830070" cy="5080"/>
                        </a:xfrm>
                        <a:custGeom>
                          <a:avLst/>
                          <a:gdLst/>
                          <a:rect l="l" t="t" r="r" b="b"/>
                          <a:pathLst>
                            <a:path fill="norm" h="5080" w="1830070" stroke="1">
                              <a:moveTo>
                                <a:pt x="1829689" y="0"/>
                              </a:moveTo>
                              <a:lnTo>
                                <a:pt x="0" y="0"/>
                              </a:lnTo>
                              <a:lnTo>
                                <a:pt x="0" y="4481"/>
                              </a:lnTo>
                              <a:lnTo>
                                <a:pt x="1829689" y="4481"/>
                              </a:lnTo>
                              <a:lnTo>
                                <a:pt x="1829689" y="0"/>
                              </a:lnTo>
                              <a:close/>
                            </a:path>
                          </a:pathLst>
                        </a:custGeom>
                        <a:solidFill>
                          <a:srgbClr val="000000"/>
                        </a:solidFill>
                      </wps:spPr>
                      <wps:bodyPr wrap="square" lIns="0" tIns="0" rIns="0" bIns="0" rtlCol="0">
                        <a:prstTxWarp prst="textNoShape">
                          <a:avLst/>
                        </a:prstTxWarp>
                      </wps:bodyPr>
                    </wps:wsp>
                  </a:graphicData>
                </a:graphic>
              </wp:anchor>
            </w:drawing>
          </mc:Choice>
          <mc:Fallback>
            <w:pict>
              <v:rect id="_x0000_s1026" style="width:144.07pt;height:0.35pt;margin-top:20.11pt;margin-left:72.05pt;mso-position-horizontal-relative:page;mso-wrap-distance-left:0;mso-wrap-distance-right:0;position:absolute;z-index:-251655168" filled="t" fillcolor="black" stroked="f">
                <v:fill type="solid"/>
                <w10:wrap type="topAndBottom"/>
              </v:rect>
            </w:pict>
          </mc:Fallback>
        </mc:AlternateContent>
      </w:r>
    </w:p>
    <w:p>
      <w:pPr>
        <w:spacing w:before="98"/>
        <w:ind w:left="360" w:right="0" w:firstLine="0"/>
        <w:jc w:val="left"/>
        <w:rPr>
          <w:sz w:val="19"/>
        </w:rPr>
      </w:pPr>
      <w:bookmarkStart w:id="4" w:name="_bookmark2"/>
      <w:bookmarkEnd w:id="4"/>
      <w:r>
        <w:rPr>
          <w:w w:val="105"/>
          <w:sz w:val="19"/>
          <w:vertAlign w:val="superscript"/>
        </w:rPr>
        <w:t>3</w:t>
      </w:r>
      <w:r>
        <w:rPr>
          <w:spacing w:val="-3"/>
          <w:w w:val="105"/>
          <w:sz w:val="19"/>
          <w:vertAlign w:val="baseline"/>
        </w:rPr>
        <w:t xml:space="preserve"> </w:t>
      </w:r>
      <w:r>
        <w:rPr>
          <w:w w:val="105"/>
          <w:sz w:val="19"/>
          <w:vertAlign w:val="baseline"/>
        </w:rPr>
        <w:t>See</w:t>
      </w:r>
      <w:r>
        <w:rPr>
          <w:spacing w:val="-6"/>
          <w:w w:val="105"/>
          <w:sz w:val="19"/>
          <w:vertAlign w:val="baseline"/>
        </w:rPr>
        <w:t xml:space="preserve"> </w:t>
      </w:r>
      <w:r>
        <w:rPr>
          <w:w w:val="105"/>
          <w:sz w:val="19"/>
          <w:vertAlign w:val="baseline"/>
        </w:rPr>
        <w:t>45</w:t>
      </w:r>
      <w:r>
        <w:rPr>
          <w:spacing w:val="5"/>
          <w:w w:val="105"/>
          <w:sz w:val="19"/>
          <w:vertAlign w:val="baseline"/>
        </w:rPr>
        <w:t xml:space="preserve"> </w:t>
      </w:r>
      <w:r>
        <w:rPr>
          <w:w w:val="105"/>
          <w:sz w:val="19"/>
          <w:vertAlign w:val="baseline"/>
        </w:rPr>
        <w:t>CFR</w:t>
      </w:r>
      <w:r>
        <w:rPr>
          <w:spacing w:val="1"/>
          <w:w w:val="105"/>
          <w:sz w:val="19"/>
          <w:vertAlign w:val="baseline"/>
        </w:rPr>
        <w:t xml:space="preserve"> </w:t>
      </w:r>
      <w:r>
        <w:rPr>
          <w:w w:val="105"/>
          <w:sz w:val="19"/>
          <w:vertAlign w:val="baseline"/>
        </w:rPr>
        <w:t>§§147.150</w:t>
      </w:r>
      <w:r>
        <w:rPr>
          <w:spacing w:val="-3"/>
          <w:w w:val="105"/>
          <w:sz w:val="19"/>
          <w:vertAlign w:val="baseline"/>
        </w:rPr>
        <w:t xml:space="preserve"> </w:t>
      </w:r>
      <w:r>
        <w:rPr>
          <w:w w:val="105"/>
          <w:sz w:val="19"/>
          <w:vertAlign w:val="baseline"/>
        </w:rPr>
        <w:t>and</w:t>
      </w:r>
      <w:r>
        <w:rPr>
          <w:spacing w:val="-2"/>
          <w:w w:val="105"/>
          <w:sz w:val="19"/>
          <w:vertAlign w:val="baseline"/>
        </w:rPr>
        <w:t xml:space="preserve"> </w:t>
      </w:r>
      <w:r>
        <w:rPr>
          <w:w w:val="105"/>
          <w:sz w:val="19"/>
          <w:vertAlign w:val="baseline"/>
        </w:rPr>
        <w:t>156.115</w:t>
      </w:r>
      <w:r>
        <w:rPr>
          <w:spacing w:val="-3"/>
          <w:w w:val="105"/>
          <w:sz w:val="19"/>
          <w:vertAlign w:val="baseline"/>
        </w:rPr>
        <w:t xml:space="preserve"> </w:t>
      </w:r>
      <w:r>
        <w:rPr>
          <w:w w:val="105"/>
          <w:sz w:val="19"/>
          <w:vertAlign w:val="baseline"/>
        </w:rPr>
        <w:t>(78</w:t>
      </w:r>
      <w:r>
        <w:rPr>
          <w:spacing w:val="-2"/>
          <w:w w:val="105"/>
          <w:sz w:val="19"/>
          <w:vertAlign w:val="baseline"/>
        </w:rPr>
        <w:t xml:space="preserve"> </w:t>
      </w:r>
      <w:r>
        <w:rPr>
          <w:w w:val="105"/>
          <w:sz w:val="19"/>
          <w:vertAlign w:val="baseline"/>
        </w:rPr>
        <w:t>FR 12834,</w:t>
      </w:r>
      <w:r>
        <w:rPr>
          <w:spacing w:val="4"/>
          <w:w w:val="105"/>
          <w:sz w:val="19"/>
          <w:vertAlign w:val="baseline"/>
        </w:rPr>
        <w:t xml:space="preserve"> </w:t>
      </w:r>
      <w:r>
        <w:rPr>
          <w:w w:val="105"/>
          <w:sz w:val="19"/>
          <w:vertAlign w:val="baseline"/>
        </w:rPr>
        <w:t>February</w:t>
      </w:r>
      <w:r>
        <w:rPr>
          <w:spacing w:val="-3"/>
          <w:w w:val="105"/>
          <w:sz w:val="19"/>
          <w:vertAlign w:val="baseline"/>
        </w:rPr>
        <w:t xml:space="preserve"> </w:t>
      </w:r>
      <w:r>
        <w:rPr>
          <w:w w:val="105"/>
          <w:sz w:val="19"/>
          <w:vertAlign w:val="baseline"/>
        </w:rPr>
        <w:t>25,</w:t>
      </w:r>
      <w:r>
        <w:rPr>
          <w:spacing w:val="5"/>
          <w:w w:val="105"/>
          <w:sz w:val="19"/>
          <w:vertAlign w:val="baseline"/>
        </w:rPr>
        <w:t xml:space="preserve"> </w:t>
      </w:r>
      <w:r>
        <w:rPr>
          <w:spacing w:val="-2"/>
          <w:w w:val="105"/>
          <w:sz w:val="19"/>
          <w:vertAlign w:val="baseline"/>
        </w:rPr>
        <w:t>2013).</w:t>
      </w:r>
    </w:p>
    <w:p>
      <w:pPr>
        <w:spacing w:before="7"/>
        <w:ind w:left="360" w:right="0" w:firstLine="0"/>
        <w:jc w:val="left"/>
        <w:rPr>
          <w:sz w:val="19"/>
        </w:rPr>
      </w:pPr>
      <w:bookmarkStart w:id="5" w:name="_bookmark3"/>
      <w:bookmarkEnd w:id="5"/>
      <w:r>
        <w:rPr>
          <w:w w:val="105"/>
          <w:sz w:val="19"/>
          <w:vertAlign w:val="superscript"/>
        </w:rPr>
        <w:t>4</w:t>
      </w:r>
      <w:r>
        <w:rPr>
          <w:spacing w:val="-16"/>
          <w:w w:val="105"/>
          <w:sz w:val="19"/>
          <w:vertAlign w:val="baseline"/>
        </w:rPr>
        <w:t xml:space="preserve"> </w:t>
      </w:r>
      <w:r>
        <w:rPr>
          <w:w w:val="105"/>
          <w:sz w:val="19"/>
          <w:vertAlign w:val="baseline"/>
        </w:rPr>
        <w:t>26</w:t>
      </w:r>
      <w:r>
        <w:rPr>
          <w:spacing w:val="-5"/>
          <w:w w:val="105"/>
          <w:sz w:val="19"/>
          <w:vertAlign w:val="baseline"/>
        </w:rPr>
        <w:t xml:space="preserve"> </w:t>
      </w:r>
      <w:r>
        <w:rPr>
          <w:w w:val="105"/>
          <w:sz w:val="19"/>
          <w:vertAlign w:val="baseline"/>
        </w:rPr>
        <w:t>CFR</w:t>
      </w:r>
      <w:r>
        <w:rPr>
          <w:spacing w:val="-1"/>
          <w:w w:val="105"/>
          <w:sz w:val="19"/>
          <w:vertAlign w:val="baseline"/>
        </w:rPr>
        <w:t xml:space="preserve"> </w:t>
      </w:r>
      <w:r>
        <w:rPr>
          <w:w w:val="105"/>
          <w:sz w:val="19"/>
          <w:vertAlign w:val="baseline"/>
        </w:rPr>
        <w:t>54.9812-1(c)(4)(i);</w:t>
      </w:r>
      <w:r>
        <w:rPr>
          <w:spacing w:val="-2"/>
          <w:w w:val="105"/>
          <w:sz w:val="19"/>
          <w:vertAlign w:val="baseline"/>
        </w:rPr>
        <w:t xml:space="preserve"> </w:t>
      </w:r>
      <w:r>
        <w:rPr>
          <w:w w:val="105"/>
          <w:sz w:val="19"/>
          <w:vertAlign w:val="baseline"/>
        </w:rPr>
        <w:t>29</w:t>
      </w:r>
      <w:r>
        <w:rPr>
          <w:spacing w:val="-4"/>
          <w:w w:val="105"/>
          <w:sz w:val="19"/>
          <w:vertAlign w:val="baseline"/>
        </w:rPr>
        <w:t xml:space="preserve"> </w:t>
      </w:r>
      <w:r>
        <w:rPr>
          <w:w w:val="105"/>
          <w:sz w:val="19"/>
          <w:vertAlign w:val="baseline"/>
        </w:rPr>
        <w:t>CFR 2590.712(c)(4)(i);</w:t>
      </w:r>
      <w:r>
        <w:rPr>
          <w:spacing w:val="4"/>
          <w:w w:val="105"/>
          <w:sz w:val="19"/>
          <w:vertAlign w:val="baseline"/>
        </w:rPr>
        <w:t xml:space="preserve"> </w:t>
      </w:r>
      <w:r>
        <w:rPr>
          <w:w w:val="105"/>
          <w:sz w:val="19"/>
          <w:vertAlign w:val="baseline"/>
        </w:rPr>
        <w:t>and</w:t>
      </w:r>
      <w:r>
        <w:rPr>
          <w:spacing w:val="-3"/>
          <w:w w:val="105"/>
          <w:sz w:val="19"/>
          <w:vertAlign w:val="baseline"/>
        </w:rPr>
        <w:t xml:space="preserve"> </w:t>
      </w:r>
      <w:r>
        <w:rPr>
          <w:w w:val="105"/>
          <w:sz w:val="19"/>
          <w:vertAlign w:val="baseline"/>
        </w:rPr>
        <w:t>45</w:t>
      </w:r>
      <w:r>
        <w:rPr>
          <w:spacing w:val="3"/>
          <w:w w:val="105"/>
          <w:sz w:val="19"/>
          <w:vertAlign w:val="baseline"/>
        </w:rPr>
        <w:t xml:space="preserve"> </w:t>
      </w:r>
      <w:r>
        <w:rPr>
          <w:w w:val="105"/>
          <w:sz w:val="19"/>
          <w:vertAlign w:val="baseline"/>
        </w:rPr>
        <w:t>CFR</w:t>
      </w:r>
      <w:r>
        <w:rPr>
          <w:spacing w:val="-1"/>
          <w:w w:val="105"/>
          <w:sz w:val="19"/>
          <w:vertAlign w:val="baseline"/>
        </w:rPr>
        <w:t xml:space="preserve"> </w:t>
      </w:r>
      <w:r>
        <w:rPr>
          <w:w w:val="105"/>
          <w:sz w:val="19"/>
          <w:vertAlign w:val="baseline"/>
        </w:rPr>
        <w:t>146.136(c)(4)(i)</w:t>
      </w:r>
      <w:r>
        <w:rPr>
          <w:spacing w:val="3"/>
          <w:w w:val="105"/>
          <w:sz w:val="19"/>
          <w:vertAlign w:val="baseline"/>
        </w:rPr>
        <w:t xml:space="preserve"> </w:t>
      </w:r>
      <w:r>
        <w:rPr>
          <w:w w:val="105"/>
          <w:sz w:val="19"/>
          <w:vertAlign w:val="baseline"/>
        </w:rPr>
        <w:t>and</w:t>
      </w:r>
      <w:r>
        <w:rPr>
          <w:spacing w:val="3"/>
          <w:w w:val="105"/>
          <w:sz w:val="19"/>
          <w:vertAlign w:val="baseline"/>
        </w:rPr>
        <w:t xml:space="preserve"> </w:t>
      </w:r>
      <w:r>
        <w:rPr>
          <w:spacing w:val="-2"/>
          <w:w w:val="105"/>
          <w:sz w:val="19"/>
          <w:vertAlign w:val="baseline"/>
        </w:rPr>
        <w:t>147.160.</w:t>
      </w:r>
    </w:p>
    <w:p>
      <w:pPr>
        <w:spacing w:before="15"/>
        <w:ind w:left="360" w:right="0" w:firstLine="0"/>
        <w:jc w:val="left"/>
        <w:rPr>
          <w:sz w:val="19"/>
        </w:rPr>
      </w:pPr>
      <w:bookmarkStart w:id="6" w:name="_bookmark4"/>
      <w:bookmarkEnd w:id="6"/>
      <w:r>
        <w:rPr>
          <w:w w:val="105"/>
          <w:sz w:val="19"/>
          <w:vertAlign w:val="superscript"/>
        </w:rPr>
        <w:t>5</w:t>
      </w:r>
      <w:r>
        <w:rPr>
          <w:spacing w:val="-3"/>
          <w:w w:val="105"/>
          <w:sz w:val="19"/>
          <w:vertAlign w:val="baseline"/>
        </w:rPr>
        <w:t xml:space="preserve"> </w:t>
      </w:r>
      <w:r>
        <w:rPr>
          <w:w w:val="105"/>
          <w:sz w:val="19"/>
          <w:vertAlign w:val="baseline"/>
        </w:rPr>
        <w:t>Public</w:t>
      </w:r>
      <w:r>
        <w:rPr>
          <w:spacing w:val="-5"/>
          <w:w w:val="105"/>
          <w:sz w:val="19"/>
          <w:vertAlign w:val="baseline"/>
        </w:rPr>
        <w:t xml:space="preserve"> </w:t>
      </w:r>
      <w:r>
        <w:rPr>
          <w:w w:val="105"/>
          <w:sz w:val="19"/>
          <w:vertAlign w:val="baseline"/>
        </w:rPr>
        <w:t>Law</w:t>
      </w:r>
      <w:r>
        <w:rPr>
          <w:spacing w:val="-2"/>
          <w:w w:val="105"/>
          <w:sz w:val="19"/>
          <w:vertAlign w:val="baseline"/>
        </w:rPr>
        <w:t xml:space="preserve"> </w:t>
      </w:r>
      <w:r>
        <w:rPr>
          <w:w w:val="105"/>
          <w:sz w:val="19"/>
          <w:vertAlign w:val="baseline"/>
        </w:rPr>
        <w:t>116-260</w:t>
      </w:r>
      <w:r>
        <w:rPr>
          <w:spacing w:val="4"/>
          <w:w w:val="105"/>
          <w:sz w:val="19"/>
          <w:vertAlign w:val="baseline"/>
        </w:rPr>
        <w:t xml:space="preserve"> </w:t>
      </w:r>
      <w:r>
        <w:rPr>
          <w:w w:val="105"/>
          <w:sz w:val="19"/>
          <w:vertAlign w:val="baseline"/>
        </w:rPr>
        <w:t>(Dec.</w:t>
      </w:r>
      <w:r>
        <w:rPr>
          <w:spacing w:val="-2"/>
          <w:w w:val="105"/>
          <w:sz w:val="19"/>
          <w:vertAlign w:val="baseline"/>
        </w:rPr>
        <w:t xml:space="preserve"> </w:t>
      </w:r>
      <w:r>
        <w:rPr>
          <w:w w:val="105"/>
          <w:sz w:val="19"/>
          <w:vertAlign w:val="baseline"/>
        </w:rPr>
        <w:t>27,</w:t>
      </w:r>
      <w:r>
        <w:rPr>
          <w:spacing w:val="-3"/>
          <w:w w:val="105"/>
          <w:sz w:val="19"/>
          <w:vertAlign w:val="baseline"/>
        </w:rPr>
        <w:t xml:space="preserve"> </w:t>
      </w:r>
      <w:r>
        <w:rPr>
          <w:spacing w:val="-2"/>
          <w:w w:val="105"/>
          <w:sz w:val="19"/>
          <w:vertAlign w:val="baseline"/>
        </w:rPr>
        <w:t>2020).</w:t>
      </w:r>
    </w:p>
    <w:p>
      <w:pPr>
        <w:spacing w:before="7" w:line="256" w:lineRule="auto"/>
        <w:ind w:left="360" w:right="57" w:firstLine="0"/>
        <w:jc w:val="left"/>
        <w:rPr>
          <w:sz w:val="19"/>
        </w:rPr>
      </w:pPr>
      <w:bookmarkStart w:id="7" w:name="_bookmark5"/>
      <w:bookmarkEnd w:id="7"/>
      <w:r>
        <w:rPr>
          <w:sz w:val="19"/>
          <w:vertAlign w:val="superscript"/>
        </w:rPr>
        <w:t>6</w:t>
      </w:r>
      <w:r>
        <w:rPr>
          <w:spacing w:val="68"/>
          <w:sz w:val="19"/>
          <w:vertAlign w:val="baseline"/>
        </w:rPr>
        <w:t xml:space="preserve"> </w:t>
      </w:r>
      <w:r>
        <w:rPr>
          <w:sz w:val="19"/>
          <w:vertAlign w:val="baseline"/>
        </w:rPr>
        <w:t>Available</w:t>
      </w:r>
      <w:r>
        <w:rPr>
          <w:spacing w:val="77"/>
          <w:sz w:val="19"/>
          <w:vertAlign w:val="baseline"/>
        </w:rPr>
        <w:t xml:space="preserve"> </w:t>
      </w:r>
      <w:r>
        <w:rPr>
          <w:sz w:val="19"/>
          <w:vertAlign w:val="baseline"/>
        </w:rPr>
        <w:t>at</w:t>
      </w:r>
      <w:r>
        <w:rPr>
          <w:spacing w:val="76"/>
          <w:sz w:val="19"/>
          <w:vertAlign w:val="baseline"/>
        </w:rPr>
        <w:t xml:space="preserve"> </w:t>
      </w:r>
      <w:hyperlink r:id="rId5">
        <w:r>
          <w:rPr>
            <w:sz w:val="19"/>
            <w:vertAlign w:val="baseline"/>
          </w:rPr>
          <w:t>https://www.cms.gov/CCIIO/Resources/Fact-Sheets-and-FAQs/Downloads/MHPAEA-FAQs-Part-</w:t>
        </w:r>
      </w:hyperlink>
      <w:r>
        <w:rPr>
          <w:spacing w:val="-2"/>
          <w:w w:val="105"/>
          <w:sz w:val="19"/>
          <w:vertAlign w:val="baseline"/>
        </w:rPr>
        <w:t>45.pdf.</w:t>
      </w:r>
    </w:p>
    <w:p>
      <w:pPr>
        <w:spacing w:after="0" w:line="256" w:lineRule="auto"/>
        <w:jc w:val="left"/>
        <w:rPr>
          <w:sz w:val="19"/>
        </w:rPr>
        <w:sectPr>
          <w:pgSz w:w="12240" w:h="15840"/>
          <w:pgMar w:top="1380" w:right="1440" w:bottom="1060" w:left="1080" w:header="0" w:footer="873"/>
          <w:cols w:space="720"/>
        </w:sectPr>
      </w:pPr>
    </w:p>
    <w:p>
      <w:pPr>
        <w:pStyle w:val="BodyText"/>
        <w:spacing w:before="62"/>
        <w:ind w:left="791" w:right="32"/>
      </w:pPr>
      <w:r>
        <w:t>claims denials, data relevant to the NQTL required by State law or private accreditation standards,</w:t>
      </w:r>
      <w:r>
        <w:rPr>
          <w:spacing w:val="-2"/>
        </w:rPr>
        <w:t xml:space="preserve"> </w:t>
      </w:r>
      <w:r>
        <w:t>utilization</w:t>
      </w:r>
      <w:r>
        <w:rPr>
          <w:spacing w:val="-5"/>
        </w:rPr>
        <w:t xml:space="preserve"> </w:t>
      </w:r>
      <w:r>
        <w:t>rates,</w:t>
      </w:r>
      <w:r>
        <w:rPr>
          <w:spacing w:val="-2"/>
        </w:rPr>
        <w:t xml:space="preserve"> </w:t>
      </w:r>
      <w:r>
        <w:t>network</w:t>
      </w:r>
      <w:r>
        <w:rPr>
          <w:spacing w:val="-5"/>
        </w:rPr>
        <w:t xml:space="preserve"> </w:t>
      </w:r>
      <w:r>
        <w:t>adequacy</w:t>
      </w:r>
      <w:r>
        <w:rPr>
          <w:spacing w:val="-5"/>
        </w:rPr>
        <w:t xml:space="preserve"> </w:t>
      </w:r>
      <w:r>
        <w:t>metrics,</w:t>
      </w:r>
      <w:r>
        <w:rPr>
          <w:spacing w:val="-2"/>
        </w:rPr>
        <w:t xml:space="preserve"> </w:t>
      </w:r>
      <w:r>
        <w:t>and</w:t>
      </w:r>
      <w:r>
        <w:rPr>
          <w:spacing w:val="-6"/>
        </w:rPr>
        <w:t xml:space="preserve"> </w:t>
      </w:r>
      <w:r>
        <w:t>provider</w:t>
      </w:r>
      <w:r>
        <w:rPr>
          <w:spacing w:val="-8"/>
        </w:rPr>
        <w:t xml:space="preserve"> </w:t>
      </w:r>
      <w:r>
        <w:t>reimbursement</w:t>
      </w:r>
      <w:r>
        <w:rPr>
          <w:spacing w:val="-8"/>
        </w:rPr>
        <w:t xml:space="preserve"> </w:t>
      </w:r>
      <w:r>
        <w:t>rates,</w:t>
      </w:r>
      <w:r>
        <w:rPr>
          <w:spacing w:val="-2"/>
        </w:rPr>
        <w:t xml:space="preserve"> </w:t>
      </w:r>
      <w:r>
        <w:t>in fulfillment of the existing requirement that they evaluate and document their evaluation as part of the analysis of the application of NQTLs related to network composition.</w:t>
      </w:r>
    </w:p>
    <w:p>
      <w:pPr>
        <w:pStyle w:val="BodyText"/>
        <w:spacing w:before="274"/>
        <w:ind w:left="791" w:right="83"/>
      </w:pPr>
      <w:r>
        <w:t>Additionally, the 2024 final rules codify content requirements for the NQTL comparative analyses required by MHPAEA as amended by the CAA, 2021, clarify when the comparative analyses need to be performed, and outline the timeframes and process for plans</w:t>
      </w:r>
      <w:r>
        <w:rPr>
          <w:spacing w:val="-5"/>
        </w:rPr>
        <w:t xml:space="preserve"> </w:t>
      </w:r>
      <w:r>
        <w:t>and</w:t>
      </w:r>
      <w:r>
        <w:rPr>
          <w:spacing w:val="-4"/>
        </w:rPr>
        <w:t xml:space="preserve"> </w:t>
      </w:r>
      <w:r>
        <w:t>issuers</w:t>
      </w:r>
      <w:r>
        <w:rPr>
          <w:spacing w:val="-5"/>
        </w:rPr>
        <w:t xml:space="preserve"> </w:t>
      </w:r>
      <w:r>
        <w:t>to</w:t>
      </w:r>
      <w:r>
        <w:rPr>
          <w:spacing w:val="-3"/>
        </w:rPr>
        <w:t xml:space="preserve"> </w:t>
      </w:r>
      <w:r>
        <w:t>provide</w:t>
      </w:r>
      <w:r>
        <w:rPr>
          <w:spacing w:val="-4"/>
        </w:rPr>
        <w:t xml:space="preserve"> </w:t>
      </w:r>
      <w:r>
        <w:t>their</w:t>
      </w:r>
      <w:r>
        <w:rPr>
          <w:spacing w:val="-5"/>
        </w:rPr>
        <w:t xml:space="preserve"> </w:t>
      </w:r>
      <w:r>
        <w:t>comparative</w:t>
      </w:r>
      <w:r>
        <w:rPr>
          <w:spacing w:val="-4"/>
        </w:rPr>
        <w:t xml:space="preserve"> </w:t>
      </w:r>
      <w:r>
        <w:t>analyses</w:t>
      </w:r>
      <w:r>
        <w:rPr>
          <w:spacing w:val="-5"/>
        </w:rPr>
        <w:t xml:space="preserve"> </w:t>
      </w:r>
      <w:r>
        <w:t>to</w:t>
      </w:r>
      <w:r>
        <w:rPr>
          <w:spacing w:val="-3"/>
        </w:rPr>
        <w:t xml:space="preserve"> </w:t>
      </w:r>
      <w:r>
        <w:t>the</w:t>
      </w:r>
      <w:r>
        <w:rPr>
          <w:spacing w:val="-4"/>
        </w:rPr>
        <w:t xml:space="preserve"> </w:t>
      </w:r>
      <w:r>
        <w:t>Departments or</w:t>
      </w:r>
      <w:r>
        <w:rPr>
          <w:spacing w:val="-5"/>
        </w:rPr>
        <w:t xml:space="preserve"> </w:t>
      </w:r>
      <w:r>
        <w:t>an</w:t>
      </w:r>
      <w:r>
        <w:rPr>
          <w:spacing w:val="-4"/>
        </w:rPr>
        <w:t xml:space="preserve"> </w:t>
      </w:r>
      <w:r>
        <w:t>applicable State authority upon request.</w:t>
      </w:r>
    </w:p>
    <w:p>
      <w:pPr>
        <w:pStyle w:val="BodyText"/>
        <w:spacing w:before="3"/>
      </w:pPr>
    </w:p>
    <w:p>
      <w:pPr>
        <w:pStyle w:val="BodyText"/>
        <w:ind w:left="720" w:right="32"/>
      </w:pPr>
      <w:r>
        <w:t>The</w:t>
      </w:r>
      <w:r>
        <w:rPr>
          <w:spacing w:val="-4"/>
        </w:rPr>
        <w:t xml:space="preserve"> </w:t>
      </w:r>
      <w:r>
        <w:t>Centers</w:t>
      </w:r>
      <w:r>
        <w:rPr>
          <w:spacing w:val="-5"/>
        </w:rPr>
        <w:t xml:space="preserve"> </w:t>
      </w:r>
      <w:r>
        <w:t>for</w:t>
      </w:r>
      <w:r>
        <w:rPr>
          <w:spacing w:val="-5"/>
        </w:rPr>
        <w:t xml:space="preserve"> </w:t>
      </w:r>
      <w:r>
        <w:t>Medicare</w:t>
      </w:r>
      <w:r>
        <w:rPr>
          <w:spacing w:val="-4"/>
        </w:rPr>
        <w:t xml:space="preserve"> </w:t>
      </w:r>
      <w:r>
        <w:t>&amp;</w:t>
      </w:r>
      <w:r>
        <w:rPr>
          <w:spacing w:val="-6"/>
        </w:rPr>
        <w:t xml:space="preserve"> </w:t>
      </w:r>
      <w:r>
        <w:t>Medicaid</w:t>
      </w:r>
      <w:r>
        <w:rPr>
          <w:spacing w:val="-3"/>
        </w:rPr>
        <w:t xml:space="preserve"> </w:t>
      </w:r>
      <w:r>
        <w:t>Services</w:t>
      </w:r>
      <w:r>
        <w:rPr>
          <w:spacing w:val="-5"/>
        </w:rPr>
        <w:t xml:space="preserve"> </w:t>
      </w:r>
      <w:r>
        <w:t>(CMS)</w:t>
      </w:r>
      <w:r>
        <w:rPr>
          <w:spacing w:val="-5"/>
        </w:rPr>
        <w:t xml:space="preserve"> </w:t>
      </w:r>
      <w:r>
        <w:t>is</w:t>
      </w:r>
      <w:r>
        <w:rPr>
          <w:spacing w:val="-5"/>
        </w:rPr>
        <w:t xml:space="preserve"> </w:t>
      </w:r>
      <w:r>
        <w:t>revising</w:t>
      </w:r>
      <w:r>
        <w:rPr>
          <w:spacing w:val="-3"/>
        </w:rPr>
        <w:t xml:space="preserve"> </w:t>
      </w:r>
      <w:r>
        <w:t>this</w:t>
      </w:r>
      <w:r>
        <w:rPr>
          <w:spacing w:val="-5"/>
        </w:rPr>
        <w:t xml:space="preserve"> </w:t>
      </w:r>
      <w:r>
        <w:t>information</w:t>
      </w:r>
      <w:r>
        <w:rPr>
          <w:spacing w:val="-3"/>
        </w:rPr>
        <w:t xml:space="preserve"> </w:t>
      </w:r>
      <w:r>
        <w:t>collection request</w:t>
      </w:r>
      <w:r>
        <w:rPr>
          <w:spacing w:val="-4"/>
        </w:rPr>
        <w:t xml:space="preserve"> </w:t>
      </w:r>
      <w:r>
        <w:t>(ICR)</w:t>
      </w:r>
      <w:r>
        <w:rPr>
          <w:spacing w:val="-3"/>
        </w:rPr>
        <w:t xml:space="preserve"> </w:t>
      </w:r>
      <w:r>
        <w:t>to</w:t>
      </w:r>
      <w:r>
        <w:rPr>
          <w:spacing w:val="-1"/>
        </w:rPr>
        <w:t xml:space="preserve"> </w:t>
      </w:r>
      <w:r>
        <w:t>account</w:t>
      </w:r>
      <w:r>
        <w:rPr>
          <w:spacing w:val="-4"/>
        </w:rPr>
        <w:t xml:space="preserve"> </w:t>
      </w:r>
      <w:r>
        <w:t>for</w:t>
      </w:r>
      <w:r>
        <w:rPr>
          <w:spacing w:val="-3"/>
        </w:rPr>
        <w:t xml:space="preserve"> </w:t>
      </w:r>
      <w:r>
        <w:t>the</w:t>
      </w:r>
      <w:r>
        <w:rPr>
          <w:spacing w:val="-2"/>
        </w:rPr>
        <w:t xml:space="preserve"> </w:t>
      </w:r>
      <w:r>
        <w:t>burden</w:t>
      </w:r>
      <w:r>
        <w:rPr>
          <w:spacing w:val="-2"/>
        </w:rPr>
        <w:t xml:space="preserve"> </w:t>
      </w:r>
      <w:r>
        <w:t>related</w:t>
      </w:r>
      <w:r>
        <w:rPr>
          <w:spacing w:val="-2"/>
        </w:rPr>
        <w:t xml:space="preserve"> </w:t>
      </w:r>
      <w:r>
        <w:t>to</w:t>
      </w:r>
      <w:r>
        <w:rPr>
          <w:spacing w:val="-1"/>
        </w:rPr>
        <w:t xml:space="preserve"> </w:t>
      </w:r>
      <w:r>
        <w:t>provisions</w:t>
      </w:r>
      <w:r>
        <w:rPr>
          <w:spacing w:val="-2"/>
        </w:rPr>
        <w:t xml:space="preserve"> </w:t>
      </w:r>
      <w:r>
        <w:t>finalized</w:t>
      </w:r>
      <w:r>
        <w:rPr>
          <w:spacing w:val="-1"/>
        </w:rPr>
        <w:t xml:space="preserve"> </w:t>
      </w:r>
      <w:r>
        <w:t>in</w:t>
      </w:r>
      <w:r>
        <w:rPr>
          <w:spacing w:val="-1"/>
        </w:rPr>
        <w:t xml:space="preserve"> </w:t>
      </w:r>
      <w:r>
        <w:t>the</w:t>
      </w:r>
      <w:r>
        <w:rPr>
          <w:spacing w:val="-2"/>
        </w:rPr>
        <w:t xml:space="preserve"> </w:t>
      </w:r>
      <w:r>
        <w:t>2024</w:t>
      </w:r>
      <w:r>
        <w:rPr>
          <w:spacing w:val="-1"/>
        </w:rPr>
        <w:t xml:space="preserve"> </w:t>
      </w:r>
      <w:r>
        <w:t>final</w:t>
      </w:r>
      <w:r>
        <w:rPr>
          <w:spacing w:val="-4"/>
        </w:rPr>
        <w:t xml:space="preserve"> </w:t>
      </w:r>
      <w:r>
        <w:rPr>
          <w:spacing w:val="-2"/>
        </w:rPr>
        <w:t>rules.</w:t>
      </w:r>
    </w:p>
    <w:p>
      <w:pPr>
        <w:pStyle w:val="ListParagraph"/>
        <w:numPr>
          <w:ilvl w:val="0"/>
          <w:numId w:val="2"/>
        </w:numPr>
        <w:tabs>
          <w:tab w:val="left" w:pos="791"/>
        </w:tabs>
        <w:spacing w:before="274" w:after="0" w:line="240" w:lineRule="auto"/>
        <w:ind w:left="791" w:right="0" w:hanging="431"/>
        <w:jc w:val="left"/>
        <w:rPr>
          <w:b/>
          <w:sz w:val="24"/>
        </w:rPr>
      </w:pPr>
      <w:bookmarkStart w:id="8" w:name="B. Justification"/>
      <w:bookmarkEnd w:id="8"/>
      <w:r>
        <w:rPr>
          <w:b/>
          <w:spacing w:val="-2"/>
          <w:sz w:val="24"/>
          <w:u w:val="single"/>
        </w:rPr>
        <w:t>Justification</w:t>
      </w:r>
    </w:p>
    <w:p>
      <w:pPr>
        <w:pStyle w:val="BodyText"/>
        <w:spacing w:before="6"/>
        <w:rPr>
          <w:b/>
        </w:rPr>
      </w:pPr>
    </w:p>
    <w:p>
      <w:pPr>
        <w:pStyle w:val="ListParagraph"/>
        <w:numPr>
          <w:ilvl w:val="1"/>
          <w:numId w:val="2"/>
        </w:numPr>
        <w:tabs>
          <w:tab w:val="left" w:pos="791"/>
        </w:tabs>
        <w:spacing w:before="1" w:after="0" w:line="240" w:lineRule="auto"/>
        <w:ind w:left="791" w:right="0" w:hanging="431"/>
        <w:jc w:val="left"/>
        <w:rPr>
          <w:sz w:val="24"/>
        </w:rPr>
      </w:pPr>
      <w:bookmarkStart w:id="9" w:name="1. Need and Legal Basis"/>
      <w:bookmarkEnd w:id="9"/>
      <w:r>
        <w:rPr>
          <w:sz w:val="24"/>
          <w:u w:val="single"/>
        </w:rPr>
        <w:t>Need and</w:t>
      </w:r>
      <w:r>
        <w:rPr>
          <w:spacing w:val="2"/>
          <w:sz w:val="24"/>
          <w:u w:val="single"/>
        </w:rPr>
        <w:t xml:space="preserve"> </w:t>
      </w:r>
      <w:r>
        <w:rPr>
          <w:sz w:val="24"/>
          <w:u w:val="single"/>
        </w:rPr>
        <w:t>Legal</w:t>
      </w:r>
      <w:r>
        <w:rPr>
          <w:spacing w:val="-7"/>
          <w:sz w:val="24"/>
          <w:u w:val="single"/>
        </w:rPr>
        <w:t xml:space="preserve"> </w:t>
      </w:r>
      <w:r>
        <w:rPr>
          <w:spacing w:val="-4"/>
          <w:sz w:val="24"/>
          <w:u w:val="single"/>
        </w:rPr>
        <w:t>Basis</w:t>
      </w:r>
    </w:p>
    <w:p>
      <w:pPr>
        <w:pStyle w:val="BodyText"/>
        <w:spacing w:before="274"/>
        <w:ind w:left="791" w:right="32"/>
      </w:pPr>
      <w:r>
        <w:t>Section 203 of Title II of Division BB of the CAA, 2021 amended MHPAEA, in part, by expressly requiring group health plans and health insurance issuers offering group or individual</w:t>
      </w:r>
      <w:r>
        <w:rPr>
          <w:spacing w:val="-5"/>
        </w:rPr>
        <w:t xml:space="preserve"> </w:t>
      </w:r>
      <w:r>
        <w:t>health</w:t>
      </w:r>
      <w:r>
        <w:rPr>
          <w:spacing w:val="-3"/>
        </w:rPr>
        <w:t xml:space="preserve"> </w:t>
      </w:r>
      <w:r>
        <w:t>insurance</w:t>
      </w:r>
      <w:r>
        <w:rPr>
          <w:spacing w:val="-4"/>
        </w:rPr>
        <w:t xml:space="preserve"> </w:t>
      </w:r>
      <w:r>
        <w:t>coverage</w:t>
      </w:r>
      <w:r>
        <w:rPr>
          <w:spacing w:val="-4"/>
        </w:rPr>
        <w:t xml:space="preserve"> </w:t>
      </w:r>
      <w:r>
        <w:t>that</w:t>
      </w:r>
      <w:r>
        <w:rPr>
          <w:spacing w:val="-6"/>
        </w:rPr>
        <w:t xml:space="preserve"> </w:t>
      </w:r>
      <w:r>
        <w:t>offer</w:t>
      </w:r>
      <w:r>
        <w:rPr>
          <w:spacing w:val="-5"/>
        </w:rPr>
        <w:t xml:space="preserve"> </w:t>
      </w:r>
      <w:r>
        <w:t>both</w:t>
      </w:r>
      <w:r>
        <w:rPr>
          <w:spacing w:val="-3"/>
        </w:rPr>
        <w:t xml:space="preserve"> </w:t>
      </w:r>
      <w:r>
        <w:t>medical/surgical</w:t>
      </w:r>
      <w:r>
        <w:rPr>
          <w:spacing w:val="-5"/>
        </w:rPr>
        <w:t xml:space="preserve"> </w:t>
      </w:r>
      <w:r>
        <w:t>benefits</w:t>
      </w:r>
      <w:r>
        <w:rPr>
          <w:spacing w:val="-5"/>
        </w:rPr>
        <w:t xml:space="preserve"> </w:t>
      </w:r>
      <w:r>
        <w:t>and</w:t>
      </w:r>
      <w:r>
        <w:rPr>
          <w:spacing w:val="-4"/>
        </w:rPr>
        <w:t xml:space="preserve"> </w:t>
      </w:r>
      <w:r>
        <w:t xml:space="preserve">MH/SUD benefits and that impose NQTLs on MH/SUD benefits to perform and document their comparative analyses of the design and application of NQTLs. Further, beginning 45 days after the date of enactment of the CAA, 2021, these plans and issuers must make their comparative analyses available to the Departments or an applicable State authority, upon </w:t>
      </w:r>
      <w:r>
        <w:rPr>
          <w:spacing w:val="-2"/>
        </w:rPr>
        <w:t>request.</w:t>
      </w:r>
    </w:p>
    <w:p>
      <w:pPr>
        <w:pStyle w:val="BodyText"/>
        <w:spacing w:before="2"/>
      </w:pPr>
    </w:p>
    <w:p>
      <w:pPr>
        <w:pStyle w:val="BodyText"/>
        <w:ind w:left="791" w:right="32"/>
      </w:pPr>
      <w:r>
        <w:t>As described in section A of this supporting statement, the 2024 final rules amend the regulations</w:t>
      </w:r>
      <w:r>
        <w:rPr>
          <w:spacing w:val="-4"/>
        </w:rPr>
        <w:t xml:space="preserve"> </w:t>
      </w:r>
      <w:r>
        <w:t>implementing</w:t>
      </w:r>
      <w:r>
        <w:rPr>
          <w:spacing w:val="-2"/>
        </w:rPr>
        <w:t xml:space="preserve"> </w:t>
      </w:r>
      <w:r>
        <w:t>MHPAEA</w:t>
      </w:r>
      <w:r>
        <w:rPr>
          <w:spacing w:val="-2"/>
        </w:rPr>
        <w:t xml:space="preserve"> </w:t>
      </w:r>
      <w:r>
        <w:t>in</w:t>
      </w:r>
      <w:r>
        <w:rPr>
          <w:spacing w:val="-1"/>
        </w:rPr>
        <w:t xml:space="preserve"> </w:t>
      </w:r>
      <w:r>
        <w:t>45</w:t>
      </w:r>
      <w:r>
        <w:rPr>
          <w:spacing w:val="-9"/>
        </w:rPr>
        <w:t xml:space="preserve"> </w:t>
      </w:r>
      <w:r>
        <w:t>CFR</w:t>
      </w:r>
      <w:r>
        <w:rPr>
          <w:spacing w:val="-6"/>
        </w:rPr>
        <w:t xml:space="preserve"> </w:t>
      </w:r>
      <w:r>
        <w:t>146.136</w:t>
      </w:r>
      <w:r>
        <w:rPr>
          <w:spacing w:val="-9"/>
        </w:rPr>
        <w:t xml:space="preserve"> </w:t>
      </w:r>
      <w:r>
        <w:t>and</w:t>
      </w:r>
      <w:r>
        <w:rPr>
          <w:spacing w:val="-1"/>
        </w:rPr>
        <w:t xml:space="preserve"> </w:t>
      </w:r>
      <w:r>
        <w:t>finalize</w:t>
      </w:r>
      <w:r>
        <w:rPr>
          <w:spacing w:val="-3"/>
        </w:rPr>
        <w:t xml:space="preserve"> </w:t>
      </w:r>
      <w:r>
        <w:t>new regulations</w:t>
      </w:r>
      <w:r>
        <w:rPr>
          <w:spacing w:val="-4"/>
        </w:rPr>
        <w:t xml:space="preserve"> </w:t>
      </w:r>
      <w:r>
        <w:t>for</w:t>
      </w:r>
      <w:r>
        <w:rPr>
          <w:spacing w:val="-4"/>
        </w:rPr>
        <w:t xml:space="preserve"> </w:t>
      </w:r>
      <w:r>
        <w:t>the NQTL comparative analyses required under MHPAEA, as amended by the CAA, 2021, in 45 CFR 146.137.</w:t>
      </w:r>
    </w:p>
    <w:p>
      <w:pPr>
        <w:pStyle w:val="ListParagraph"/>
        <w:numPr>
          <w:ilvl w:val="1"/>
          <w:numId w:val="2"/>
        </w:numPr>
        <w:tabs>
          <w:tab w:val="left" w:pos="791"/>
        </w:tabs>
        <w:spacing w:before="273" w:after="0" w:line="240" w:lineRule="auto"/>
        <w:ind w:left="791" w:right="0" w:hanging="431"/>
        <w:jc w:val="left"/>
        <w:rPr>
          <w:sz w:val="24"/>
        </w:rPr>
      </w:pPr>
      <w:bookmarkStart w:id="10" w:name="2. Information Users"/>
      <w:bookmarkEnd w:id="10"/>
      <w:r>
        <w:rPr>
          <w:sz w:val="24"/>
          <w:u w:val="single"/>
        </w:rPr>
        <w:t>Information</w:t>
      </w:r>
      <w:r>
        <w:rPr>
          <w:spacing w:val="-13"/>
          <w:sz w:val="24"/>
          <w:u w:val="single"/>
        </w:rPr>
        <w:t xml:space="preserve"> </w:t>
      </w:r>
      <w:r>
        <w:rPr>
          <w:spacing w:val="-4"/>
          <w:sz w:val="24"/>
          <w:u w:val="single"/>
        </w:rPr>
        <w:t>Users</w:t>
      </w:r>
    </w:p>
    <w:p>
      <w:pPr>
        <w:pStyle w:val="BodyText"/>
        <w:spacing w:before="275"/>
        <w:ind w:left="791" w:right="57"/>
      </w:pPr>
      <w:r>
        <w:t>CMS will request the comparative analyses from self-funded non-Federal governmental plans and issuers offering group and individual health insurance coverage in direct enforcement</w:t>
      </w:r>
      <w:r>
        <w:rPr>
          <w:spacing w:val="-4"/>
        </w:rPr>
        <w:t xml:space="preserve"> </w:t>
      </w:r>
      <w:r>
        <w:t>States</w:t>
      </w:r>
      <w:r>
        <w:rPr>
          <w:spacing w:val="-3"/>
        </w:rPr>
        <w:t xml:space="preserve"> </w:t>
      </w:r>
      <w:r>
        <w:t>for</w:t>
      </w:r>
      <w:r>
        <w:rPr>
          <w:spacing w:val="-3"/>
        </w:rPr>
        <w:t xml:space="preserve"> </w:t>
      </w:r>
      <w:r>
        <w:t>MHPAEA</w:t>
      </w:r>
      <w:r>
        <w:rPr>
          <w:spacing w:val="-5"/>
        </w:rPr>
        <w:t xml:space="preserve"> </w:t>
      </w:r>
      <w:r>
        <w:t>for</w:t>
      </w:r>
      <w:r>
        <w:rPr>
          <w:spacing w:val="-3"/>
        </w:rPr>
        <w:t xml:space="preserve"> </w:t>
      </w:r>
      <w:r>
        <w:t>reviews</w:t>
      </w:r>
      <w:r>
        <w:rPr>
          <w:spacing w:val="-3"/>
        </w:rPr>
        <w:t xml:space="preserve"> </w:t>
      </w:r>
      <w:r>
        <w:t>related</w:t>
      </w:r>
      <w:r>
        <w:rPr>
          <w:spacing w:val="-2"/>
        </w:rPr>
        <w:t xml:space="preserve"> </w:t>
      </w:r>
      <w:r>
        <w:t>to</w:t>
      </w:r>
      <w:r>
        <w:rPr>
          <w:spacing w:val="-2"/>
        </w:rPr>
        <w:t xml:space="preserve"> </w:t>
      </w:r>
      <w:r>
        <w:t>potential</w:t>
      </w:r>
      <w:r>
        <w:rPr>
          <w:spacing w:val="-4"/>
        </w:rPr>
        <w:t xml:space="preserve"> </w:t>
      </w:r>
      <w:r>
        <w:t>violations</w:t>
      </w:r>
      <w:r>
        <w:rPr>
          <w:spacing w:val="-3"/>
        </w:rPr>
        <w:t xml:space="preserve"> </w:t>
      </w:r>
      <w:r>
        <w:t>of</w:t>
      </w:r>
      <w:r>
        <w:rPr>
          <w:spacing w:val="-3"/>
        </w:rPr>
        <w:t xml:space="preserve"> </w:t>
      </w:r>
      <w:r>
        <w:t>MHPAEA or complaints regarding noncompliance with MHPAEA that concern NQTLs, and any other instances deemed appropriate.</w:t>
      </w:r>
    </w:p>
    <w:p>
      <w:pPr>
        <w:pStyle w:val="BodyText"/>
        <w:spacing w:before="4"/>
      </w:pPr>
    </w:p>
    <w:p>
      <w:pPr>
        <w:pStyle w:val="BodyText"/>
        <w:ind w:left="791" w:right="32"/>
      </w:pPr>
      <w:r>
        <w:t>The</w:t>
      </w:r>
      <w:r>
        <w:rPr>
          <w:spacing w:val="-4"/>
        </w:rPr>
        <w:t xml:space="preserve"> </w:t>
      </w:r>
      <w:r>
        <w:t>CAA,</w:t>
      </w:r>
      <w:r>
        <w:rPr>
          <w:spacing w:val="-7"/>
        </w:rPr>
        <w:t xml:space="preserve"> </w:t>
      </w:r>
      <w:r>
        <w:t>2021</w:t>
      </w:r>
      <w:r>
        <w:rPr>
          <w:spacing w:val="-3"/>
        </w:rPr>
        <w:t xml:space="preserve"> </w:t>
      </w:r>
      <w:r>
        <w:t>also</w:t>
      </w:r>
      <w:r>
        <w:rPr>
          <w:spacing w:val="-3"/>
        </w:rPr>
        <w:t xml:space="preserve"> </w:t>
      </w:r>
      <w:r>
        <w:t>requires</w:t>
      </w:r>
      <w:r>
        <w:rPr>
          <w:spacing w:val="-5"/>
        </w:rPr>
        <w:t xml:space="preserve"> </w:t>
      </w:r>
      <w:r>
        <w:t>the</w:t>
      </w:r>
      <w:r>
        <w:rPr>
          <w:spacing w:val="-4"/>
        </w:rPr>
        <w:t xml:space="preserve"> </w:t>
      </w:r>
      <w:r>
        <w:t>Departments,</w:t>
      </w:r>
      <w:r>
        <w:rPr>
          <w:spacing w:val="-1"/>
        </w:rPr>
        <w:t xml:space="preserve"> </w:t>
      </w:r>
      <w:r>
        <w:t>after</w:t>
      </w:r>
      <w:r>
        <w:rPr>
          <w:spacing w:val="-6"/>
        </w:rPr>
        <w:t xml:space="preserve"> </w:t>
      </w:r>
      <w:r>
        <w:t>review</w:t>
      </w:r>
      <w:r>
        <w:rPr>
          <w:spacing w:val="-2"/>
        </w:rPr>
        <w:t xml:space="preserve"> </w:t>
      </w:r>
      <w:r>
        <w:t>of</w:t>
      </w:r>
      <w:r>
        <w:rPr>
          <w:spacing w:val="-5"/>
        </w:rPr>
        <w:t xml:space="preserve"> </w:t>
      </w:r>
      <w:r>
        <w:t>the</w:t>
      </w:r>
      <w:r>
        <w:rPr>
          <w:spacing w:val="-4"/>
        </w:rPr>
        <w:t xml:space="preserve"> </w:t>
      </w:r>
      <w:r>
        <w:t>comparative</w:t>
      </w:r>
      <w:r>
        <w:rPr>
          <w:spacing w:val="-4"/>
        </w:rPr>
        <w:t xml:space="preserve"> </w:t>
      </w:r>
      <w:r>
        <w:t>analyses,</w:t>
      </w:r>
      <w:r>
        <w:rPr>
          <w:spacing w:val="-1"/>
        </w:rPr>
        <w:t xml:space="preserve"> </w:t>
      </w:r>
      <w:r>
        <w:t>to share information on findings of compliance and noncompliance with the State where the plan is located or the State where the issuer is licensed to do business for the coverage offered by the issuer in the group market.</w:t>
      </w:r>
    </w:p>
    <w:p>
      <w:pPr>
        <w:pStyle w:val="BodyText"/>
        <w:spacing w:before="273"/>
        <w:ind w:left="791"/>
      </w:pPr>
      <w:r>
        <w:t>Additionally,</w:t>
      </w:r>
      <w:r>
        <w:rPr>
          <w:spacing w:val="2"/>
        </w:rPr>
        <w:t xml:space="preserve"> </w:t>
      </w:r>
      <w:r>
        <w:t>not</w:t>
      </w:r>
      <w:r>
        <w:rPr>
          <w:spacing w:val="-2"/>
        </w:rPr>
        <w:t xml:space="preserve"> </w:t>
      </w:r>
      <w:r>
        <w:t>later</w:t>
      </w:r>
      <w:r>
        <w:rPr>
          <w:spacing w:val="-3"/>
        </w:rPr>
        <w:t xml:space="preserve"> </w:t>
      </w:r>
      <w:r>
        <w:t>than</w:t>
      </w:r>
      <w:r>
        <w:rPr>
          <w:spacing w:val="-1"/>
        </w:rPr>
        <w:t xml:space="preserve"> </w:t>
      </w:r>
      <w:r>
        <w:t>one</w:t>
      </w:r>
      <w:r>
        <w:rPr>
          <w:spacing w:val="-1"/>
        </w:rPr>
        <w:t xml:space="preserve"> </w:t>
      </w:r>
      <w:r>
        <w:t>year</w:t>
      </w:r>
      <w:r>
        <w:rPr>
          <w:spacing w:val="-1"/>
        </w:rPr>
        <w:t xml:space="preserve"> </w:t>
      </w:r>
      <w:r>
        <w:t>after</w:t>
      </w:r>
      <w:r>
        <w:rPr>
          <w:spacing w:val="-2"/>
        </w:rPr>
        <w:t xml:space="preserve"> </w:t>
      </w:r>
      <w:r>
        <w:t>enactment</w:t>
      </w:r>
      <w:r>
        <w:rPr>
          <w:spacing w:val="-4"/>
        </w:rPr>
        <w:t xml:space="preserve"> </w:t>
      </w:r>
      <w:r>
        <w:t>of</w:t>
      </w:r>
      <w:r>
        <w:rPr>
          <w:spacing w:val="-2"/>
        </w:rPr>
        <w:t xml:space="preserve"> </w:t>
      </w:r>
      <w:r>
        <w:t>the</w:t>
      </w:r>
      <w:r>
        <w:rPr>
          <w:spacing w:val="-1"/>
        </w:rPr>
        <w:t xml:space="preserve"> </w:t>
      </w:r>
      <w:r>
        <w:t>CAA,</w:t>
      </w:r>
      <w:r>
        <w:rPr>
          <w:spacing w:val="-3"/>
        </w:rPr>
        <w:t xml:space="preserve"> </w:t>
      </w:r>
      <w:r>
        <w:t>2021 and</w:t>
      </w:r>
      <w:r>
        <w:rPr>
          <w:spacing w:val="-8"/>
        </w:rPr>
        <w:t xml:space="preserve"> </w:t>
      </w:r>
      <w:r>
        <w:t>annually</w:t>
      </w:r>
      <w:r>
        <w:rPr>
          <w:spacing w:val="1"/>
        </w:rPr>
        <w:t xml:space="preserve"> </w:t>
      </w:r>
      <w:r>
        <w:rPr>
          <w:spacing w:val="-5"/>
        </w:rPr>
        <w:t>by</w:t>
      </w:r>
    </w:p>
    <w:p>
      <w:pPr>
        <w:pStyle w:val="BodyText"/>
        <w:spacing w:after="0"/>
        <w:sectPr>
          <w:pgSz w:w="12240" w:h="15840"/>
          <w:pgMar w:top="1380" w:right="1440" w:bottom="1060" w:left="1080" w:header="0" w:footer="873"/>
          <w:cols w:space="720"/>
        </w:sectPr>
      </w:pPr>
    </w:p>
    <w:p>
      <w:pPr>
        <w:pStyle w:val="BodyText"/>
        <w:spacing w:before="62"/>
        <w:ind w:left="791" w:right="57"/>
      </w:pPr>
      <w:r>
        <w:t>October</w:t>
      </w:r>
      <w:r>
        <w:rPr>
          <w:spacing w:val="-6"/>
        </w:rPr>
        <w:t xml:space="preserve"> </w:t>
      </w:r>
      <w:r>
        <w:t>1</w:t>
      </w:r>
      <w:r>
        <w:rPr>
          <w:spacing w:val="-3"/>
        </w:rPr>
        <w:t xml:space="preserve"> </w:t>
      </w:r>
      <w:r>
        <w:t>thereafter,</w:t>
      </w:r>
      <w:r>
        <w:rPr>
          <w:spacing w:val="-1"/>
        </w:rPr>
        <w:t xml:space="preserve"> </w:t>
      </w:r>
      <w:r>
        <w:t>the</w:t>
      </w:r>
      <w:r>
        <w:rPr>
          <w:spacing w:val="-4"/>
        </w:rPr>
        <w:t xml:space="preserve"> </w:t>
      </w:r>
      <w:r>
        <w:t>Departments</w:t>
      </w:r>
      <w:r>
        <w:rPr>
          <w:spacing w:val="-5"/>
        </w:rPr>
        <w:t xml:space="preserve"> </w:t>
      </w:r>
      <w:r>
        <w:t>must</w:t>
      </w:r>
      <w:r>
        <w:rPr>
          <w:spacing w:val="-6"/>
        </w:rPr>
        <w:t xml:space="preserve"> </w:t>
      </w:r>
      <w:r>
        <w:t>submit</w:t>
      </w:r>
      <w:r>
        <w:rPr>
          <w:spacing w:val="-6"/>
        </w:rPr>
        <w:t xml:space="preserve"> </w:t>
      </w:r>
      <w:r>
        <w:t>to</w:t>
      </w:r>
      <w:r>
        <w:rPr>
          <w:spacing w:val="-3"/>
        </w:rPr>
        <w:t xml:space="preserve"> </w:t>
      </w:r>
      <w:r>
        <w:t>Congress</w:t>
      </w:r>
      <w:r>
        <w:rPr>
          <w:spacing w:val="-5"/>
        </w:rPr>
        <w:t xml:space="preserve"> </w:t>
      </w:r>
      <w:r>
        <w:t>and</w:t>
      </w:r>
      <w:r>
        <w:rPr>
          <w:spacing w:val="-4"/>
        </w:rPr>
        <w:t xml:space="preserve"> </w:t>
      </w:r>
      <w:r>
        <w:t>make publicly</w:t>
      </w:r>
      <w:r>
        <w:rPr>
          <w:spacing w:val="-3"/>
        </w:rPr>
        <w:t xml:space="preserve"> </w:t>
      </w:r>
      <w:r>
        <w:t>available a report as described in section B.10 below.</w:t>
      </w:r>
    </w:p>
    <w:p>
      <w:pPr>
        <w:pStyle w:val="ListParagraph"/>
        <w:numPr>
          <w:ilvl w:val="1"/>
          <w:numId w:val="2"/>
        </w:numPr>
        <w:tabs>
          <w:tab w:val="left" w:pos="791"/>
        </w:tabs>
        <w:spacing w:before="274" w:after="0" w:line="240" w:lineRule="auto"/>
        <w:ind w:left="791" w:right="0" w:hanging="431"/>
        <w:jc w:val="left"/>
        <w:rPr>
          <w:sz w:val="24"/>
        </w:rPr>
      </w:pPr>
      <w:bookmarkStart w:id="11" w:name="3. Use of Information Technology"/>
      <w:bookmarkEnd w:id="11"/>
      <w:r>
        <w:rPr>
          <w:sz w:val="24"/>
          <w:u w:val="single"/>
        </w:rPr>
        <w:t>Use</w:t>
      </w:r>
      <w:r>
        <w:rPr>
          <w:spacing w:val="-3"/>
          <w:sz w:val="24"/>
          <w:u w:val="single"/>
        </w:rPr>
        <w:t xml:space="preserve"> </w:t>
      </w:r>
      <w:r>
        <w:rPr>
          <w:sz w:val="24"/>
          <w:u w:val="single"/>
        </w:rPr>
        <w:t>of</w:t>
      </w:r>
      <w:r>
        <w:rPr>
          <w:spacing w:val="-4"/>
          <w:sz w:val="24"/>
          <w:u w:val="single"/>
        </w:rPr>
        <w:t xml:space="preserve"> </w:t>
      </w:r>
      <w:r>
        <w:rPr>
          <w:sz w:val="24"/>
          <w:u w:val="single"/>
        </w:rPr>
        <w:t>Information</w:t>
      </w:r>
      <w:r>
        <w:rPr>
          <w:spacing w:val="-1"/>
          <w:sz w:val="24"/>
          <w:u w:val="single"/>
        </w:rPr>
        <w:t xml:space="preserve"> </w:t>
      </w:r>
      <w:r>
        <w:rPr>
          <w:spacing w:val="-2"/>
          <w:sz w:val="24"/>
          <w:u w:val="single"/>
        </w:rPr>
        <w:t>Technology</w:t>
      </w:r>
    </w:p>
    <w:p>
      <w:pPr>
        <w:pStyle w:val="BodyText"/>
        <w:spacing w:before="276"/>
        <w:ind w:left="791"/>
      </w:pPr>
      <w:r>
        <w:t>Plans</w:t>
      </w:r>
      <w:r>
        <w:rPr>
          <w:spacing w:val="-4"/>
        </w:rPr>
        <w:t xml:space="preserve"> </w:t>
      </w:r>
      <w:r>
        <w:t>and</w:t>
      </w:r>
      <w:r>
        <w:rPr>
          <w:spacing w:val="-3"/>
        </w:rPr>
        <w:t xml:space="preserve"> </w:t>
      </w:r>
      <w:r>
        <w:t>issuers</w:t>
      </w:r>
      <w:r>
        <w:rPr>
          <w:spacing w:val="-3"/>
        </w:rPr>
        <w:t xml:space="preserve"> </w:t>
      </w:r>
      <w:r>
        <w:t>must</w:t>
      </w:r>
      <w:r>
        <w:rPr>
          <w:spacing w:val="-5"/>
        </w:rPr>
        <w:t xml:space="preserve"> </w:t>
      </w:r>
      <w:r>
        <w:t>submit</w:t>
      </w:r>
      <w:r>
        <w:rPr>
          <w:spacing w:val="-4"/>
        </w:rPr>
        <w:t xml:space="preserve"> </w:t>
      </w:r>
      <w:r>
        <w:t>all</w:t>
      </w:r>
      <w:r>
        <w:rPr>
          <w:spacing w:val="-4"/>
        </w:rPr>
        <w:t xml:space="preserve"> </w:t>
      </w:r>
      <w:r>
        <w:t>information</w:t>
      </w:r>
      <w:r>
        <w:rPr>
          <w:spacing w:val="-2"/>
        </w:rPr>
        <w:t xml:space="preserve"> </w:t>
      </w:r>
      <w:r>
        <w:t>electronically</w:t>
      </w:r>
      <w:r>
        <w:rPr>
          <w:spacing w:val="-2"/>
        </w:rPr>
        <w:t xml:space="preserve"> </w:t>
      </w:r>
      <w:r>
        <w:t>to</w:t>
      </w:r>
      <w:r>
        <w:rPr>
          <w:spacing w:val="-1"/>
        </w:rPr>
        <w:t xml:space="preserve"> </w:t>
      </w:r>
      <w:r>
        <w:rPr>
          <w:spacing w:val="-4"/>
        </w:rPr>
        <w:t>CMS.</w:t>
      </w:r>
    </w:p>
    <w:p>
      <w:pPr>
        <w:pStyle w:val="BodyText"/>
        <w:spacing w:before="5"/>
      </w:pPr>
    </w:p>
    <w:p>
      <w:pPr>
        <w:pStyle w:val="ListParagraph"/>
        <w:numPr>
          <w:ilvl w:val="1"/>
          <w:numId w:val="2"/>
        </w:numPr>
        <w:tabs>
          <w:tab w:val="left" w:pos="791"/>
        </w:tabs>
        <w:spacing w:before="0" w:after="0" w:line="240" w:lineRule="auto"/>
        <w:ind w:left="791" w:right="0" w:hanging="431"/>
        <w:jc w:val="left"/>
        <w:rPr>
          <w:sz w:val="24"/>
        </w:rPr>
      </w:pPr>
      <w:bookmarkStart w:id="12" w:name="4. Duplication of Efforts"/>
      <w:bookmarkEnd w:id="12"/>
      <w:r>
        <w:rPr>
          <w:sz w:val="24"/>
          <w:u w:val="single"/>
        </w:rPr>
        <w:t>Duplication</w:t>
      </w:r>
      <w:r>
        <w:rPr>
          <w:spacing w:val="-2"/>
          <w:sz w:val="24"/>
          <w:u w:val="single"/>
        </w:rPr>
        <w:t xml:space="preserve"> </w:t>
      </w:r>
      <w:r>
        <w:rPr>
          <w:sz w:val="24"/>
          <w:u w:val="single"/>
        </w:rPr>
        <w:t>of</w:t>
      </w:r>
      <w:r>
        <w:rPr>
          <w:spacing w:val="-3"/>
          <w:sz w:val="24"/>
          <w:u w:val="single"/>
        </w:rPr>
        <w:t xml:space="preserve"> </w:t>
      </w:r>
      <w:r>
        <w:rPr>
          <w:spacing w:val="-2"/>
          <w:sz w:val="24"/>
          <w:u w:val="single"/>
        </w:rPr>
        <w:t>Efforts</w:t>
      </w:r>
    </w:p>
    <w:p>
      <w:pPr>
        <w:pStyle w:val="BodyText"/>
        <w:spacing w:before="275"/>
        <w:ind w:left="791" w:right="32"/>
      </w:pPr>
      <w:r>
        <w:t>DOL</w:t>
      </w:r>
      <w:r>
        <w:rPr>
          <w:spacing w:val="-8"/>
        </w:rPr>
        <w:t xml:space="preserve"> </w:t>
      </w:r>
      <w:r>
        <w:t>may</w:t>
      </w:r>
      <w:r>
        <w:rPr>
          <w:spacing w:val="-4"/>
        </w:rPr>
        <w:t xml:space="preserve"> </w:t>
      </w:r>
      <w:r>
        <w:t>require</w:t>
      </w:r>
      <w:r>
        <w:rPr>
          <w:spacing w:val="-4"/>
        </w:rPr>
        <w:t xml:space="preserve"> </w:t>
      </w:r>
      <w:r>
        <w:t>plans</w:t>
      </w:r>
      <w:r>
        <w:rPr>
          <w:spacing w:val="-5"/>
        </w:rPr>
        <w:t xml:space="preserve"> </w:t>
      </w:r>
      <w:r>
        <w:t>and</w:t>
      </w:r>
      <w:r>
        <w:rPr>
          <w:spacing w:val="-4"/>
        </w:rPr>
        <w:t xml:space="preserve"> </w:t>
      </w:r>
      <w:r>
        <w:t>issuers</w:t>
      </w:r>
      <w:r>
        <w:rPr>
          <w:spacing w:val="-5"/>
        </w:rPr>
        <w:t xml:space="preserve"> </w:t>
      </w:r>
      <w:r>
        <w:t>to</w:t>
      </w:r>
      <w:r>
        <w:rPr>
          <w:spacing w:val="-3"/>
        </w:rPr>
        <w:t xml:space="preserve"> </w:t>
      </w:r>
      <w:r>
        <w:t>provide</w:t>
      </w:r>
      <w:r>
        <w:rPr>
          <w:spacing w:val="-4"/>
        </w:rPr>
        <w:t xml:space="preserve"> </w:t>
      </w:r>
      <w:r>
        <w:t>the</w:t>
      </w:r>
      <w:r>
        <w:rPr>
          <w:spacing w:val="-4"/>
        </w:rPr>
        <w:t xml:space="preserve"> </w:t>
      </w:r>
      <w:r>
        <w:t>comparative</w:t>
      </w:r>
      <w:r>
        <w:rPr>
          <w:spacing w:val="-4"/>
        </w:rPr>
        <w:t xml:space="preserve"> </w:t>
      </w:r>
      <w:r>
        <w:t>analyses</w:t>
      </w:r>
      <w:r>
        <w:rPr>
          <w:spacing w:val="-5"/>
        </w:rPr>
        <w:t xml:space="preserve"> </w:t>
      </w:r>
      <w:r>
        <w:t>information</w:t>
      </w:r>
      <w:r>
        <w:rPr>
          <w:spacing w:val="-3"/>
        </w:rPr>
        <w:t xml:space="preserve"> </w:t>
      </w:r>
      <w:r>
        <w:t>as</w:t>
      </w:r>
      <w:r>
        <w:rPr>
          <w:spacing w:val="-5"/>
        </w:rPr>
        <w:t xml:space="preserve"> </w:t>
      </w:r>
      <w:r>
        <w:t>well. However, only CMS oversees non-Federal governmental health plans and, in direct enforcement States, issuers of individual and group health insurance coverage, therefore there will be no duplication of effort with DOL.</w:t>
      </w:r>
    </w:p>
    <w:p>
      <w:pPr>
        <w:pStyle w:val="BodyText"/>
        <w:spacing w:before="273" w:line="242" w:lineRule="auto"/>
        <w:ind w:left="791" w:right="57"/>
        <w:rPr>
          <w:position w:val="8"/>
          <w:sz w:val="12"/>
        </w:rPr>
      </w:pPr>
      <w:r>
        <w:t>States in which HHS does not perform direct enforcement of MHPAEA with respect to issuers may require issuers to provide the information as well. However, no duplication should</w:t>
      </w:r>
      <w:r>
        <w:rPr>
          <w:spacing w:val="-2"/>
        </w:rPr>
        <w:t xml:space="preserve"> </w:t>
      </w:r>
      <w:r>
        <w:t>occur</w:t>
      </w:r>
      <w:r>
        <w:rPr>
          <w:spacing w:val="-3"/>
        </w:rPr>
        <w:t xml:space="preserve"> </w:t>
      </w:r>
      <w:r>
        <w:t>because</w:t>
      </w:r>
      <w:r>
        <w:rPr>
          <w:spacing w:val="-3"/>
        </w:rPr>
        <w:t xml:space="preserve"> </w:t>
      </w:r>
      <w:r>
        <w:t>CMS</w:t>
      </w:r>
      <w:r>
        <w:rPr>
          <w:spacing w:val="-1"/>
        </w:rPr>
        <w:t xml:space="preserve"> </w:t>
      </w:r>
      <w:r>
        <w:t>will</w:t>
      </w:r>
      <w:r>
        <w:rPr>
          <w:spacing w:val="-4"/>
        </w:rPr>
        <w:t xml:space="preserve"> </w:t>
      </w:r>
      <w:r>
        <w:t>only</w:t>
      </w:r>
      <w:r>
        <w:rPr>
          <w:spacing w:val="-2"/>
        </w:rPr>
        <w:t xml:space="preserve"> </w:t>
      </w:r>
      <w:r>
        <w:t>request</w:t>
      </w:r>
      <w:r>
        <w:rPr>
          <w:spacing w:val="-4"/>
        </w:rPr>
        <w:t xml:space="preserve"> </w:t>
      </w:r>
      <w:r>
        <w:t>information</w:t>
      </w:r>
      <w:r>
        <w:rPr>
          <w:spacing w:val="-2"/>
        </w:rPr>
        <w:t xml:space="preserve"> </w:t>
      </w:r>
      <w:r>
        <w:t>from</w:t>
      </w:r>
      <w:r>
        <w:rPr>
          <w:spacing w:val="-4"/>
        </w:rPr>
        <w:t xml:space="preserve"> </w:t>
      </w:r>
      <w:r>
        <w:t>issuers</w:t>
      </w:r>
      <w:r>
        <w:rPr>
          <w:spacing w:val="-3"/>
        </w:rPr>
        <w:t xml:space="preserve"> </w:t>
      </w:r>
      <w:r>
        <w:t>when</w:t>
      </w:r>
      <w:r>
        <w:rPr>
          <w:spacing w:val="-3"/>
        </w:rPr>
        <w:t xml:space="preserve"> </w:t>
      </w:r>
      <w:r>
        <w:t>CMS</w:t>
      </w:r>
      <w:r>
        <w:rPr>
          <w:spacing w:val="-1"/>
        </w:rPr>
        <w:t xml:space="preserve"> </w:t>
      </w:r>
      <w:r>
        <w:t>has</w:t>
      </w:r>
      <w:r>
        <w:rPr>
          <w:spacing w:val="-3"/>
        </w:rPr>
        <w:t xml:space="preserve"> </w:t>
      </w:r>
      <w:r>
        <w:t>direct enforcement responsibility for MHPAEA in a State.</w:t>
      </w:r>
      <w:hyperlink w:anchor="_bookmark6" w:history="1">
        <w:r>
          <w:rPr>
            <w:position w:val="8"/>
            <w:sz w:val="12"/>
          </w:rPr>
          <w:t>7</w:t>
        </w:r>
      </w:hyperlink>
    </w:p>
    <w:p>
      <w:pPr>
        <w:pStyle w:val="ListParagraph"/>
        <w:numPr>
          <w:ilvl w:val="1"/>
          <w:numId w:val="2"/>
        </w:numPr>
        <w:tabs>
          <w:tab w:val="left" w:pos="791"/>
        </w:tabs>
        <w:spacing w:before="269" w:after="0" w:line="240" w:lineRule="auto"/>
        <w:ind w:left="791" w:right="0" w:hanging="431"/>
        <w:jc w:val="left"/>
        <w:rPr>
          <w:sz w:val="24"/>
        </w:rPr>
      </w:pPr>
      <w:bookmarkStart w:id="13" w:name="5. Small Businesses"/>
      <w:bookmarkEnd w:id="13"/>
      <w:r>
        <w:rPr>
          <w:sz w:val="24"/>
          <w:u w:val="single"/>
        </w:rPr>
        <w:t>Small</w:t>
      </w:r>
      <w:r>
        <w:rPr>
          <w:spacing w:val="-9"/>
          <w:sz w:val="24"/>
          <w:u w:val="single"/>
        </w:rPr>
        <w:t xml:space="preserve"> </w:t>
      </w:r>
      <w:r>
        <w:rPr>
          <w:spacing w:val="-2"/>
          <w:sz w:val="24"/>
          <w:u w:val="single"/>
        </w:rPr>
        <w:t>Businesses</w:t>
      </w:r>
    </w:p>
    <w:p>
      <w:pPr>
        <w:pStyle w:val="BodyText"/>
        <w:spacing w:before="275"/>
        <w:ind w:left="791"/>
      </w:pPr>
      <w:r>
        <w:t>Small</w:t>
      </w:r>
      <w:r>
        <w:rPr>
          <w:spacing w:val="-5"/>
        </w:rPr>
        <w:t xml:space="preserve"> </w:t>
      </w:r>
      <w:r>
        <w:t>businesses</w:t>
      </w:r>
      <w:r>
        <w:rPr>
          <w:spacing w:val="-3"/>
        </w:rPr>
        <w:t xml:space="preserve"> </w:t>
      </w:r>
      <w:r>
        <w:t>are</w:t>
      </w:r>
      <w:r>
        <w:rPr>
          <w:spacing w:val="-3"/>
        </w:rPr>
        <w:t xml:space="preserve"> </w:t>
      </w:r>
      <w:r>
        <w:t>not</w:t>
      </w:r>
      <w:r>
        <w:rPr>
          <w:spacing w:val="-4"/>
        </w:rPr>
        <w:t xml:space="preserve"> </w:t>
      </w:r>
      <w:r>
        <w:t>significantly</w:t>
      </w:r>
      <w:r>
        <w:rPr>
          <w:spacing w:val="-2"/>
        </w:rPr>
        <w:t xml:space="preserve"> </w:t>
      </w:r>
      <w:r>
        <w:t>affected</w:t>
      </w:r>
      <w:r>
        <w:rPr>
          <w:spacing w:val="-3"/>
        </w:rPr>
        <w:t xml:space="preserve"> </w:t>
      </w:r>
      <w:r>
        <w:t>by</w:t>
      </w:r>
      <w:r>
        <w:rPr>
          <w:spacing w:val="-1"/>
        </w:rPr>
        <w:t xml:space="preserve"> </w:t>
      </w:r>
      <w:r>
        <w:t>these</w:t>
      </w:r>
      <w:r>
        <w:rPr>
          <w:spacing w:val="-3"/>
        </w:rPr>
        <w:t xml:space="preserve"> </w:t>
      </w:r>
      <w:r>
        <w:t>information</w:t>
      </w:r>
      <w:r>
        <w:rPr>
          <w:spacing w:val="-1"/>
        </w:rPr>
        <w:t xml:space="preserve"> </w:t>
      </w:r>
      <w:r>
        <w:rPr>
          <w:spacing w:val="-2"/>
        </w:rPr>
        <w:t>collections.</w:t>
      </w:r>
    </w:p>
    <w:p>
      <w:pPr>
        <w:pStyle w:val="ListParagraph"/>
        <w:numPr>
          <w:ilvl w:val="1"/>
          <w:numId w:val="2"/>
        </w:numPr>
        <w:tabs>
          <w:tab w:val="left" w:pos="791"/>
        </w:tabs>
        <w:spacing w:before="275" w:after="0" w:line="240" w:lineRule="auto"/>
        <w:ind w:left="791" w:right="0" w:hanging="431"/>
        <w:jc w:val="left"/>
        <w:rPr>
          <w:sz w:val="24"/>
        </w:rPr>
      </w:pPr>
      <w:bookmarkStart w:id="14" w:name="6. Less Frequent Collection"/>
      <w:bookmarkEnd w:id="14"/>
      <w:r>
        <w:rPr>
          <w:sz w:val="24"/>
          <w:u w:val="single"/>
        </w:rPr>
        <w:t>Less</w:t>
      </w:r>
      <w:r>
        <w:rPr>
          <w:spacing w:val="-3"/>
          <w:sz w:val="24"/>
          <w:u w:val="single"/>
        </w:rPr>
        <w:t xml:space="preserve"> </w:t>
      </w:r>
      <w:r>
        <w:rPr>
          <w:sz w:val="24"/>
          <w:u w:val="single"/>
        </w:rPr>
        <w:t>Frequent</w:t>
      </w:r>
      <w:r>
        <w:rPr>
          <w:spacing w:val="-2"/>
          <w:sz w:val="24"/>
          <w:u w:val="single"/>
        </w:rPr>
        <w:t xml:space="preserve"> Collection</w:t>
      </w:r>
    </w:p>
    <w:p>
      <w:pPr>
        <w:pStyle w:val="BodyText"/>
        <w:spacing w:before="275"/>
        <w:ind w:left="791" w:right="83"/>
      </w:pPr>
      <w:r>
        <w:t>These information collections are required to fulfill the statutory requirements in the CAA, 2021. CMS</w:t>
      </w:r>
      <w:r>
        <w:rPr>
          <w:spacing w:val="-8"/>
        </w:rPr>
        <w:t xml:space="preserve"> </w:t>
      </w:r>
      <w:r>
        <w:t>will</w:t>
      </w:r>
      <w:r>
        <w:rPr>
          <w:spacing w:val="-5"/>
        </w:rPr>
        <w:t xml:space="preserve"> </w:t>
      </w:r>
      <w:r>
        <w:t>not</w:t>
      </w:r>
      <w:r>
        <w:rPr>
          <w:spacing w:val="-5"/>
        </w:rPr>
        <w:t xml:space="preserve"> </w:t>
      </w:r>
      <w:r>
        <w:t>be</w:t>
      </w:r>
      <w:r>
        <w:rPr>
          <w:spacing w:val="-3"/>
        </w:rPr>
        <w:t xml:space="preserve"> </w:t>
      </w:r>
      <w:r>
        <w:t>able</w:t>
      </w:r>
      <w:r>
        <w:rPr>
          <w:spacing w:val="-3"/>
        </w:rPr>
        <w:t xml:space="preserve"> </w:t>
      </w:r>
      <w:r>
        <w:t>to</w:t>
      </w:r>
      <w:r>
        <w:rPr>
          <w:spacing w:val="-2"/>
        </w:rPr>
        <w:t xml:space="preserve"> </w:t>
      </w:r>
      <w:r>
        <w:t>conduct</w:t>
      </w:r>
      <w:r>
        <w:rPr>
          <w:spacing w:val="-5"/>
        </w:rPr>
        <w:t xml:space="preserve"> </w:t>
      </w:r>
      <w:r>
        <w:t>reviews</w:t>
      </w:r>
      <w:r>
        <w:rPr>
          <w:spacing w:val="-4"/>
        </w:rPr>
        <w:t xml:space="preserve"> </w:t>
      </w:r>
      <w:r>
        <w:t>of</w:t>
      </w:r>
      <w:r>
        <w:rPr>
          <w:spacing w:val="-4"/>
        </w:rPr>
        <w:t xml:space="preserve"> </w:t>
      </w:r>
      <w:r>
        <w:t>the</w:t>
      </w:r>
      <w:r>
        <w:rPr>
          <w:spacing w:val="-3"/>
        </w:rPr>
        <w:t xml:space="preserve"> </w:t>
      </w:r>
      <w:r>
        <w:t>NQTL</w:t>
      </w:r>
      <w:r>
        <w:rPr>
          <w:spacing w:val="-1"/>
        </w:rPr>
        <w:t xml:space="preserve"> </w:t>
      </w:r>
      <w:r>
        <w:t>analyses</w:t>
      </w:r>
      <w:r>
        <w:rPr>
          <w:spacing w:val="-4"/>
        </w:rPr>
        <w:t xml:space="preserve"> </w:t>
      </w:r>
      <w:r>
        <w:t>and</w:t>
      </w:r>
      <w:r>
        <w:rPr>
          <w:spacing w:val="-9"/>
        </w:rPr>
        <w:t xml:space="preserve"> </w:t>
      </w:r>
      <w:r>
        <w:t>ensure</w:t>
      </w:r>
      <w:r>
        <w:rPr>
          <w:spacing w:val="-3"/>
        </w:rPr>
        <w:t xml:space="preserve"> </w:t>
      </w:r>
      <w:r>
        <w:t>regulatory compliance without collecting the information from plans and issuers. CMS will also need to perform the comparative analyses reviews, submit the annual report to Congress, and make it available to the public as required by statute.</w:t>
      </w:r>
    </w:p>
    <w:p>
      <w:pPr>
        <w:pStyle w:val="BodyText"/>
        <w:spacing w:before="3"/>
      </w:pPr>
    </w:p>
    <w:p>
      <w:pPr>
        <w:pStyle w:val="ListParagraph"/>
        <w:numPr>
          <w:ilvl w:val="1"/>
          <w:numId w:val="2"/>
        </w:numPr>
        <w:tabs>
          <w:tab w:val="left" w:pos="791"/>
        </w:tabs>
        <w:spacing w:before="1" w:after="0" w:line="240" w:lineRule="auto"/>
        <w:ind w:left="791" w:right="0" w:hanging="431"/>
        <w:jc w:val="left"/>
        <w:rPr>
          <w:sz w:val="24"/>
        </w:rPr>
      </w:pPr>
      <w:bookmarkStart w:id="15" w:name="7. Special Circumstances"/>
      <w:bookmarkEnd w:id="15"/>
      <w:r>
        <w:rPr>
          <w:sz w:val="24"/>
          <w:u w:val="single"/>
        </w:rPr>
        <w:t>Special</w:t>
      </w:r>
      <w:r>
        <w:rPr>
          <w:spacing w:val="-5"/>
          <w:sz w:val="24"/>
          <w:u w:val="single"/>
        </w:rPr>
        <w:t xml:space="preserve"> </w:t>
      </w:r>
      <w:r>
        <w:rPr>
          <w:spacing w:val="-2"/>
          <w:sz w:val="24"/>
          <w:u w:val="single"/>
        </w:rPr>
        <w:t>Circumstances</w:t>
      </w:r>
    </w:p>
    <w:p>
      <w:pPr>
        <w:pStyle w:val="BodyText"/>
        <w:spacing w:before="275"/>
        <w:ind w:left="791"/>
      </w:pPr>
      <w:r>
        <w:t>There</w:t>
      </w:r>
      <w:r>
        <w:rPr>
          <w:spacing w:val="-2"/>
        </w:rPr>
        <w:t xml:space="preserve"> </w:t>
      </w:r>
      <w:r>
        <w:t>are</w:t>
      </w:r>
      <w:r>
        <w:rPr>
          <w:spacing w:val="-1"/>
        </w:rPr>
        <w:t xml:space="preserve"> </w:t>
      </w:r>
      <w:r>
        <w:t>no special</w:t>
      </w:r>
      <w:r>
        <w:rPr>
          <w:spacing w:val="-4"/>
        </w:rPr>
        <w:t xml:space="preserve"> </w:t>
      </w:r>
      <w:r>
        <w:rPr>
          <w:spacing w:val="-2"/>
        </w:rPr>
        <w:t>circumstances.</w:t>
      </w:r>
    </w:p>
    <w:p>
      <w:pPr>
        <w:pStyle w:val="ListParagraph"/>
        <w:numPr>
          <w:ilvl w:val="1"/>
          <w:numId w:val="2"/>
        </w:numPr>
        <w:tabs>
          <w:tab w:val="left" w:pos="791"/>
        </w:tabs>
        <w:spacing w:before="274" w:after="0" w:line="240" w:lineRule="auto"/>
        <w:ind w:left="791" w:right="0" w:hanging="431"/>
        <w:jc w:val="left"/>
        <w:rPr>
          <w:sz w:val="24"/>
        </w:rPr>
      </w:pPr>
      <w:bookmarkStart w:id="16" w:name="8. Federal Register/Outside Consultation"/>
      <w:bookmarkEnd w:id="16"/>
      <w:r>
        <w:rPr>
          <w:sz w:val="24"/>
          <w:u w:val="single"/>
        </w:rPr>
        <w:t>Federal</w:t>
      </w:r>
      <w:r>
        <w:rPr>
          <w:spacing w:val="-8"/>
          <w:sz w:val="24"/>
          <w:u w:val="single"/>
        </w:rPr>
        <w:t xml:space="preserve"> </w:t>
      </w:r>
      <w:r>
        <w:rPr>
          <w:sz w:val="24"/>
          <w:u w:val="single"/>
        </w:rPr>
        <w:t>Register/Outside</w:t>
      </w:r>
      <w:r>
        <w:rPr>
          <w:spacing w:val="-5"/>
          <w:sz w:val="24"/>
          <w:u w:val="single"/>
        </w:rPr>
        <w:t xml:space="preserve"> </w:t>
      </w:r>
      <w:r>
        <w:rPr>
          <w:spacing w:val="-2"/>
          <w:sz w:val="24"/>
          <w:u w:val="single"/>
        </w:rPr>
        <w:t>Consultation</w:t>
      </w:r>
    </w:p>
    <w:p>
      <w:pPr>
        <w:pStyle w:val="BodyText"/>
        <w:spacing w:before="6"/>
      </w:pPr>
    </w:p>
    <w:p>
      <w:pPr>
        <w:pStyle w:val="BodyText"/>
        <w:ind w:left="791" w:right="32"/>
      </w:pPr>
      <w:r>
        <w:t>The proposed regulation “Requirements</w:t>
      </w:r>
      <w:r>
        <w:rPr>
          <w:spacing w:val="-1"/>
        </w:rPr>
        <w:t xml:space="preserve"> </w:t>
      </w:r>
      <w:r>
        <w:t>Related to the Mental</w:t>
      </w:r>
      <w:r>
        <w:rPr>
          <w:spacing w:val="-3"/>
        </w:rPr>
        <w:t xml:space="preserve"> </w:t>
      </w:r>
      <w:r>
        <w:t>Health Parity and Addiction Equity Act” was published in the Federal Register on August 3, 2023 (88 FR 51552), providing the public with a 60-day period to submit written comments on this ICR. The Departments</w:t>
      </w:r>
      <w:r>
        <w:rPr>
          <w:spacing w:val="-4"/>
        </w:rPr>
        <w:t xml:space="preserve"> </w:t>
      </w:r>
      <w:r>
        <w:t>received</w:t>
      </w:r>
      <w:r>
        <w:rPr>
          <w:spacing w:val="-4"/>
        </w:rPr>
        <w:t xml:space="preserve"> </w:t>
      </w:r>
      <w:r>
        <w:t>more</w:t>
      </w:r>
      <w:r>
        <w:rPr>
          <w:spacing w:val="-4"/>
        </w:rPr>
        <w:t xml:space="preserve"> </w:t>
      </w:r>
      <w:r>
        <w:t>than</w:t>
      </w:r>
      <w:r>
        <w:rPr>
          <w:spacing w:val="-4"/>
        </w:rPr>
        <w:t xml:space="preserve"> </w:t>
      </w:r>
      <w:r>
        <w:t>9,500</w:t>
      </w:r>
      <w:r>
        <w:rPr>
          <w:spacing w:val="-3"/>
        </w:rPr>
        <w:t xml:space="preserve"> </w:t>
      </w:r>
      <w:r>
        <w:t>comments</w:t>
      </w:r>
      <w:r>
        <w:rPr>
          <w:spacing w:val="-4"/>
        </w:rPr>
        <w:t xml:space="preserve"> </w:t>
      </w:r>
      <w:r>
        <w:t>on</w:t>
      </w:r>
      <w:r>
        <w:rPr>
          <w:spacing w:val="-3"/>
        </w:rPr>
        <w:t xml:space="preserve"> </w:t>
      </w:r>
      <w:r>
        <w:t>the</w:t>
      </w:r>
      <w:r>
        <w:rPr>
          <w:spacing w:val="-4"/>
        </w:rPr>
        <w:t xml:space="preserve"> </w:t>
      </w:r>
      <w:r>
        <w:t>proposed</w:t>
      </w:r>
      <w:r>
        <w:rPr>
          <w:spacing w:val="-4"/>
        </w:rPr>
        <w:t xml:space="preserve"> </w:t>
      </w:r>
      <w:r>
        <w:t>rules, some</w:t>
      </w:r>
      <w:r>
        <w:rPr>
          <w:spacing w:val="-4"/>
        </w:rPr>
        <w:t xml:space="preserve"> </w:t>
      </w:r>
      <w:r>
        <w:t>of</w:t>
      </w:r>
      <w:r>
        <w:rPr>
          <w:spacing w:val="-4"/>
        </w:rPr>
        <w:t xml:space="preserve"> </w:t>
      </w:r>
      <w:r>
        <w:t>which</w:t>
      </w:r>
      <w:r>
        <w:rPr>
          <w:spacing w:val="-4"/>
        </w:rPr>
        <w:t xml:space="preserve"> </w:t>
      </w:r>
      <w:r>
        <w:t>are related to this ICR. A summary of pertinent comments and responses are included in the Attachment.</w:t>
      </w:r>
      <w:r>
        <w:rPr>
          <w:spacing w:val="80"/>
        </w:rPr>
        <w:t xml:space="preserve"> </w:t>
      </w:r>
      <w:r>
        <w:t>The final rule published</w:t>
      </w:r>
    </w:p>
    <w:p>
      <w:pPr>
        <w:pStyle w:val="ListParagraph"/>
        <w:numPr>
          <w:ilvl w:val="1"/>
          <w:numId w:val="2"/>
        </w:numPr>
        <w:tabs>
          <w:tab w:val="left" w:pos="791"/>
        </w:tabs>
        <w:spacing w:before="273" w:after="0" w:line="240" w:lineRule="auto"/>
        <w:ind w:left="791" w:right="0" w:hanging="431"/>
        <w:jc w:val="left"/>
        <w:rPr>
          <w:sz w:val="24"/>
        </w:rPr>
      </w:pPr>
      <w:bookmarkStart w:id="17" w:name="9. Payments/Gifts to Respondents"/>
      <w:bookmarkEnd w:id="17"/>
      <w:r>
        <w:rPr>
          <w:sz w:val="24"/>
          <w:u w:val="single"/>
        </w:rPr>
        <w:t>Payments/Gifts</w:t>
      </w:r>
      <w:r>
        <w:rPr>
          <w:spacing w:val="-6"/>
          <w:sz w:val="24"/>
          <w:u w:val="single"/>
        </w:rPr>
        <w:t xml:space="preserve"> </w:t>
      </w:r>
      <w:r>
        <w:rPr>
          <w:sz w:val="24"/>
          <w:u w:val="single"/>
        </w:rPr>
        <w:t>to</w:t>
      </w:r>
      <w:r>
        <w:rPr>
          <w:spacing w:val="-3"/>
          <w:sz w:val="24"/>
          <w:u w:val="single"/>
        </w:rPr>
        <w:t xml:space="preserve"> </w:t>
      </w:r>
      <w:r>
        <w:rPr>
          <w:spacing w:val="-2"/>
          <w:sz w:val="24"/>
          <w:u w:val="single"/>
        </w:rPr>
        <w:t>Respondents</w:t>
      </w:r>
    </w:p>
    <w:p>
      <w:pPr>
        <w:pStyle w:val="BodyText"/>
        <w:spacing w:before="8"/>
        <w:rPr>
          <w:sz w:val="16"/>
        </w:rPr>
      </w:pPr>
      <w:r>
        <w:rPr>
          <w:sz w:val="16"/>
        </w:rPr>
        <mc:AlternateContent>
          <mc:Choice Requires="wps">
            <w:drawing>
              <wp:anchor distT="0" distB="0" distL="0" distR="0" simplePos="0" relativeHeight="251662336" behindDoc="1" locked="0" layoutInCell="1" allowOverlap="1">
                <wp:simplePos x="0" y="0"/>
                <wp:positionH relativeFrom="page">
                  <wp:posOffset>914996</wp:posOffset>
                </wp:positionH>
                <wp:positionV relativeFrom="paragraph">
                  <wp:posOffset>137272</wp:posOffset>
                </wp:positionV>
                <wp:extent cx="1830070" cy="5080"/>
                <wp:effectExtent l="0" t="0" r="0" b="0"/>
                <wp:wrapTopAndBottom/>
                <wp:docPr id="4" name="Graphic 4"/>
                <wp:cNvGraphicFramePr/>
                <a:graphic xmlns:a="http://schemas.openxmlformats.org/drawingml/2006/main">
                  <a:graphicData uri="http://schemas.microsoft.com/office/word/2010/wordprocessingShape">
                    <wps:wsp xmlns:wps="http://schemas.microsoft.com/office/word/2010/wordprocessingShape">
                      <wps:cNvSpPr/>
                      <wps:spPr>
                        <a:xfrm>
                          <a:off x="0" y="0"/>
                          <a:ext cx="1830070" cy="5080"/>
                        </a:xfrm>
                        <a:custGeom>
                          <a:avLst/>
                          <a:gdLst/>
                          <a:rect l="l" t="t" r="r" b="b"/>
                          <a:pathLst>
                            <a:path fill="norm" h="5080" w="1830070" stroke="1">
                              <a:moveTo>
                                <a:pt x="1829689" y="0"/>
                              </a:moveTo>
                              <a:lnTo>
                                <a:pt x="0" y="0"/>
                              </a:lnTo>
                              <a:lnTo>
                                <a:pt x="0" y="4483"/>
                              </a:lnTo>
                              <a:lnTo>
                                <a:pt x="1829689" y="4483"/>
                              </a:lnTo>
                              <a:lnTo>
                                <a:pt x="1829689" y="0"/>
                              </a:lnTo>
                              <a:close/>
                            </a:path>
                          </a:pathLst>
                        </a:custGeom>
                        <a:solidFill>
                          <a:srgbClr val="000000"/>
                        </a:solidFill>
                      </wps:spPr>
                      <wps:bodyPr wrap="square" lIns="0" tIns="0" rIns="0" bIns="0" rtlCol="0">
                        <a:prstTxWarp prst="textNoShape">
                          <a:avLst/>
                        </a:prstTxWarp>
                      </wps:bodyPr>
                    </wps:wsp>
                  </a:graphicData>
                </a:graphic>
              </wp:anchor>
            </w:drawing>
          </mc:Choice>
          <mc:Fallback>
            <w:pict>
              <v:rect id="_x0000_s1027" style="width:144.07pt;height:0.35pt;margin-top:10.81pt;margin-left:72.05pt;mso-position-horizontal-relative:page;mso-wrap-distance-left:0;mso-wrap-distance-right:0;position:absolute;z-index:-251653120" filled="t" fillcolor="black" stroked="f">
                <v:fill type="solid"/>
                <w10:wrap type="topAndBottom"/>
              </v:rect>
            </w:pict>
          </mc:Fallback>
        </mc:AlternateContent>
      </w:r>
    </w:p>
    <w:p>
      <w:pPr>
        <w:spacing w:before="98"/>
        <w:ind w:left="360" w:right="0" w:firstLine="0"/>
        <w:jc w:val="left"/>
        <w:rPr>
          <w:sz w:val="19"/>
        </w:rPr>
      </w:pPr>
      <w:bookmarkStart w:id="18" w:name="_bookmark6"/>
      <w:bookmarkEnd w:id="18"/>
      <w:r>
        <w:rPr>
          <w:w w:val="105"/>
          <w:sz w:val="19"/>
          <w:vertAlign w:val="superscript"/>
        </w:rPr>
        <w:t>7</w:t>
      </w:r>
      <w:r>
        <w:rPr>
          <w:spacing w:val="-4"/>
          <w:w w:val="105"/>
          <w:sz w:val="19"/>
          <w:vertAlign w:val="baseline"/>
        </w:rPr>
        <w:t xml:space="preserve"> </w:t>
      </w:r>
      <w:r>
        <w:rPr>
          <w:w w:val="105"/>
          <w:sz w:val="19"/>
          <w:vertAlign w:val="baseline"/>
        </w:rPr>
        <w:t>CMS is</w:t>
      </w:r>
      <w:r>
        <w:rPr>
          <w:spacing w:val="-2"/>
          <w:w w:val="105"/>
          <w:sz w:val="19"/>
          <w:vertAlign w:val="baseline"/>
        </w:rPr>
        <w:t xml:space="preserve"> </w:t>
      </w:r>
      <w:r>
        <w:rPr>
          <w:w w:val="105"/>
          <w:sz w:val="19"/>
          <w:vertAlign w:val="baseline"/>
        </w:rPr>
        <w:t>responsible</w:t>
      </w:r>
      <w:r>
        <w:rPr>
          <w:spacing w:val="1"/>
          <w:w w:val="105"/>
          <w:sz w:val="19"/>
          <w:vertAlign w:val="baseline"/>
        </w:rPr>
        <w:t xml:space="preserve"> </w:t>
      </w:r>
      <w:r>
        <w:rPr>
          <w:w w:val="105"/>
          <w:sz w:val="19"/>
          <w:vertAlign w:val="baseline"/>
        </w:rPr>
        <w:t>for</w:t>
      </w:r>
      <w:r>
        <w:rPr>
          <w:spacing w:val="2"/>
          <w:w w:val="105"/>
          <w:sz w:val="19"/>
          <w:vertAlign w:val="baseline"/>
        </w:rPr>
        <w:t xml:space="preserve"> </w:t>
      </w:r>
      <w:r>
        <w:rPr>
          <w:w w:val="105"/>
          <w:sz w:val="19"/>
          <w:vertAlign w:val="baseline"/>
        </w:rPr>
        <w:t>enforcement</w:t>
      </w:r>
      <w:r>
        <w:rPr>
          <w:spacing w:val="-1"/>
          <w:w w:val="105"/>
          <w:sz w:val="19"/>
          <w:vertAlign w:val="baseline"/>
        </w:rPr>
        <w:t xml:space="preserve"> </w:t>
      </w:r>
      <w:r>
        <w:rPr>
          <w:w w:val="105"/>
          <w:sz w:val="19"/>
          <w:vertAlign w:val="baseline"/>
        </w:rPr>
        <w:t>of</w:t>
      </w:r>
      <w:r>
        <w:rPr>
          <w:spacing w:val="-5"/>
          <w:w w:val="105"/>
          <w:sz w:val="19"/>
          <w:vertAlign w:val="baseline"/>
        </w:rPr>
        <w:t xml:space="preserve"> </w:t>
      </w:r>
      <w:r>
        <w:rPr>
          <w:w w:val="105"/>
          <w:sz w:val="19"/>
          <w:vertAlign w:val="baseline"/>
        </w:rPr>
        <w:t>MHPAEA</w:t>
      </w:r>
      <w:r>
        <w:rPr>
          <w:spacing w:val="3"/>
          <w:w w:val="105"/>
          <w:sz w:val="19"/>
          <w:vertAlign w:val="baseline"/>
        </w:rPr>
        <w:t xml:space="preserve"> </w:t>
      </w:r>
      <w:r>
        <w:rPr>
          <w:w w:val="105"/>
          <w:sz w:val="19"/>
          <w:vertAlign w:val="baseline"/>
        </w:rPr>
        <w:t>with</w:t>
      </w:r>
      <w:r>
        <w:rPr>
          <w:spacing w:val="-3"/>
          <w:w w:val="105"/>
          <w:sz w:val="19"/>
          <w:vertAlign w:val="baseline"/>
        </w:rPr>
        <w:t xml:space="preserve"> </w:t>
      </w:r>
      <w:r>
        <w:rPr>
          <w:w w:val="105"/>
          <w:sz w:val="19"/>
          <w:vertAlign w:val="baseline"/>
        </w:rPr>
        <w:t>regard</w:t>
      </w:r>
      <w:r>
        <w:rPr>
          <w:spacing w:val="-3"/>
          <w:w w:val="105"/>
          <w:sz w:val="19"/>
          <w:vertAlign w:val="baseline"/>
        </w:rPr>
        <w:t xml:space="preserve"> </w:t>
      </w:r>
      <w:r>
        <w:rPr>
          <w:w w:val="105"/>
          <w:sz w:val="19"/>
          <w:vertAlign w:val="baseline"/>
        </w:rPr>
        <w:t>to</w:t>
      </w:r>
      <w:r>
        <w:rPr>
          <w:spacing w:val="3"/>
          <w:w w:val="105"/>
          <w:sz w:val="19"/>
          <w:vertAlign w:val="baseline"/>
        </w:rPr>
        <w:t xml:space="preserve"> </w:t>
      </w:r>
      <w:r>
        <w:rPr>
          <w:w w:val="105"/>
          <w:sz w:val="19"/>
          <w:vertAlign w:val="baseline"/>
        </w:rPr>
        <w:t>issuers</w:t>
      </w:r>
      <w:r>
        <w:rPr>
          <w:spacing w:val="-2"/>
          <w:w w:val="105"/>
          <w:sz w:val="19"/>
          <w:vertAlign w:val="baseline"/>
        </w:rPr>
        <w:t xml:space="preserve"> </w:t>
      </w:r>
      <w:r>
        <w:rPr>
          <w:w w:val="105"/>
          <w:sz w:val="19"/>
          <w:vertAlign w:val="baseline"/>
        </w:rPr>
        <w:t>in</w:t>
      </w:r>
      <w:r>
        <w:rPr>
          <w:spacing w:val="-3"/>
          <w:w w:val="105"/>
          <w:sz w:val="19"/>
          <w:vertAlign w:val="baseline"/>
        </w:rPr>
        <w:t xml:space="preserve"> </w:t>
      </w:r>
      <w:r>
        <w:rPr>
          <w:w w:val="105"/>
          <w:sz w:val="19"/>
          <w:vertAlign w:val="baseline"/>
        </w:rPr>
        <w:t>Texas</w:t>
      </w:r>
      <w:r>
        <w:rPr>
          <w:spacing w:val="-2"/>
          <w:w w:val="105"/>
          <w:sz w:val="19"/>
          <w:vertAlign w:val="baseline"/>
        </w:rPr>
        <w:t xml:space="preserve"> </w:t>
      </w:r>
      <w:r>
        <w:rPr>
          <w:w w:val="105"/>
          <w:sz w:val="19"/>
          <w:vertAlign w:val="baseline"/>
        </w:rPr>
        <w:t>and</w:t>
      </w:r>
      <w:r>
        <w:rPr>
          <w:spacing w:val="-3"/>
          <w:w w:val="105"/>
          <w:sz w:val="19"/>
          <w:vertAlign w:val="baseline"/>
        </w:rPr>
        <w:t xml:space="preserve"> </w:t>
      </w:r>
      <w:r>
        <w:rPr>
          <w:spacing w:val="-2"/>
          <w:w w:val="105"/>
          <w:sz w:val="19"/>
          <w:vertAlign w:val="baseline"/>
        </w:rPr>
        <w:t>Wyoming.</w:t>
      </w:r>
    </w:p>
    <w:p>
      <w:pPr>
        <w:spacing w:after="0"/>
        <w:jc w:val="left"/>
        <w:rPr>
          <w:sz w:val="19"/>
        </w:rPr>
        <w:sectPr>
          <w:pgSz w:w="12240" w:h="15840"/>
          <w:pgMar w:top="1380" w:right="1440" w:bottom="1060" w:left="1080" w:header="0" w:footer="873"/>
          <w:cols w:space="720"/>
        </w:sectPr>
      </w:pPr>
    </w:p>
    <w:p>
      <w:pPr>
        <w:pStyle w:val="BodyText"/>
        <w:spacing w:before="78"/>
        <w:ind w:left="791"/>
      </w:pPr>
      <w:r>
        <w:t>No</w:t>
      </w:r>
      <w:r>
        <w:rPr>
          <w:spacing w:val="-4"/>
        </w:rPr>
        <w:t xml:space="preserve"> </w:t>
      </w:r>
      <w:r>
        <w:t>payments</w:t>
      </w:r>
      <w:r>
        <w:rPr>
          <w:spacing w:val="-4"/>
        </w:rPr>
        <w:t xml:space="preserve"> </w:t>
      </w:r>
      <w:r>
        <w:t>or</w:t>
      </w:r>
      <w:r>
        <w:rPr>
          <w:spacing w:val="-3"/>
        </w:rPr>
        <w:t xml:space="preserve"> </w:t>
      </w:r>
      <w:r>
        <w:t>gifts</w:t>
      </w:r>
      <w:r>
        <w:rPr>
          <w:spacing w:val="-4"/>
        </w:rPr>
        <w:t xml:space="preserve"> </w:t>
      </w:r>
      <w:r>
        <w:t>are</w:t>
      </w:r>
      <w:r>
        <w:rPr>
          <w:spacing w:val="-3"/>
        </w:rPr>
        <w:t xml:space="preserve"> </w:t>
      </w:r>
      <w:r>
        <w:t>associated</w:t>
      </w:r>
      <w:r>
        <w:rPr>
          <w:spacing w:val="-2"/>
        </w:rPr>
        <w:t xml:space="preserve"> </w:t>
      </w:r>
      <w:r>
        <w:t>with</w:t>
      </w:r>
      <w:r>
        <w:rPr>
          <w:spacing w:val="-2"/>
        </w:rPr>
        <w:t xml:space="preserve"> </w:t>
      </w:r>
      <w:r>
        <w:t>these</w:t>
      </w:r>
      <w:r>
        <w:rPr>
          <w:spacing w:val="-3"/>
        </w:rPr>
        <w:t xml:space="preserve"> </w:t>
      </w:r>
      <w:r>
        <w:t>information</w:t>
      </w:r>
      <w:r>
        <w:rPr>
          <w:spacing w:val="-1"/>
        </w:rPr>
        <w:t xml:space="preserve"> </w:t>
      </w:r>
      <w:r>
        <w:rPr>
          <w:spacing w:val="-2"/>
        </w:rPr>
        <w:t>collections.</w:t>
      </w:r>
    </w:p>
    <w:p>
      <w:pPr>
        <w:pStyle w:val="ListParagraph"/>
        <w:numPr>
          <w:ilvl w:val="1"/>
          <w:numId w:val="2"/>
        </w:numPr>
        <w:tabs>
          <w:tab w:val="left" w:pos="660"/>
        </w:tabs>
        <w:spacing w:before="274" w:after="0" w:line="240" w:lineRule="auto"/>
        <w:ind w:left="660" w:right="0" w:hanging="300"/>
        <w:jc w:val="left"/>
        <w:rPr>
          <w:sz w:val="24"/>
        </w:rPr>
      </w:pPr>
      <w:bookmarkStart w:id="19" w:name="10. Confidentiality"/>
      <w:bookmarkEnd w:id="19"/>
      <w:r>
        <w:rPr>
          <w:sz w:val="24"/>
          <w:u w:val="single"/>
        </w:rPr>
        <w:t xml:space="preserve"> ​</w:t>
      </w:r>
      <w:r>
        <w:rPr>
          <w:spacing w:val="10"/>
          <w:sz w:val="24"/>
          <w:u w:val="single"/>
        </w:rPr>
        <w:t xml:space="preserve"> </w:t>
      </w:r>
      <w:r>
        <w:rPr>
          <w:spacing w:val="-2"/>
          <w:sz w:val="24"/>
          <w:u w:val="single"/>
        </w:rPr>
        <w:t>Confidentiality</w:t>
      </w:r>
    </w:p>
    <w:p>
      <w:pPr>
        <w:pStyle w:val="BodyText"/>
        <w:spacing w:before="275"/>
        <w:ind w:left="791" w:right="32"/>
      </w:pPr>
      <w:r>
        <w:t>The</w:t>
      </w:r>
      <w:r>
        <w:rPr>
          <w:spacing w:val="-4"/>
        </w:rPr>
        <w:t xml:space="preserve"> </w:t>
      </w:r>
      <w:r>
        <w:t>CAA,</w:t>
      </w:r>
      <w:r>
        <w:rPr>
          <w:spacing w:val="-6"/>
        </w:rPr>
        <w:t xml:space="preserve"> </w:t>
      </w:r>
      <w:r>
        <w:t>2021</w:t>
      </w:r>
      <w:r>
        <w:rPr>
          <w:spacing w:val="-3"/>
        </w:rPr>
        <w:t xml:space="preserve"> </w:t>
      </w:r>
      <w:r>
        <w:t>requires</w:t>
      </w:r>
      <w:r>
        <w:rPr>
          <w:spacing w:val="-5"/>
        </w:rPr>
        <w:t xml:space="preserve"> </w:t>
      </w:r>
      <w:r>
        <w:t>the</w:t>
      </w:r>
      <w:r>
        <w:rPr>
          <w:spacing w:val="-4"/>
        </w:rPr>
        <w:t xml:space="preserve"> </w:t>
      </w:r>
      <w:r>
        <w:t>Departments, after</w:t>
      </w:r>
      <w:r>
        <w:rPr>
          <w:spacing w:val="-5"/>
        </w:rPr>
        <w:t xml:space="preserve"> </w:t>
      </w:r>
      <w:r>
        <w:t>review</w:t>
      </w:r>
      <w:r>
        <w:rPr>
          <w:spacing w:val="-1"/>
        </w:rPr>
        <w:t xml:space="preserve"> </w:t>
      </w:r>
      <w:r>
        <w:t>of</w:t>
      </w:r>
      <w:r>
        <w:rPr>
          <w:spacing w:val="-5"/>
        </w:rPr>
        <w:t xml:space="preserve"> </w:t>
      </w:r>
      <w:r>
        <w:t>the comparative analyses, to</w:t>
      </w:r>
      <w:r>
        <w:rPr>
          <w:spacing w:val="-3"/>
        </w:rPr>
        <w:t xml:space="preserve"> </w:t>
      </w:r>
      <w:r>
        <w:t>share information on findings of compliance and noncompliance with the State where the group health</w:t>
      </w:r>
      <w:r>
        <w:rPr>
          <w:spacing w:val="-2"/>
        </w:rPr>
        <w:t xml:space="preserve"> </w:t>
      </w:r>
      <w:r>
        <w:t>plan</w:t>
      </w:r>
      <w:r>
        <w:rPr>
          <w:spacing w:val="-3"/>
        </w:rPr>
        <w:t xml:space="preserve"> </w:t>
      </w:r>
      <w:r>
        <w:t>is</w:t>
      </w:r>
      <w:r>
        <w:rPr>
          <w:spacing w:val="-4"/>
        </w:rPr>
        <w:t xml:space="preserve"> </w:t>
      </w:r>
      <w:r>
        <w:t>located</w:t>
      </w:r>
      <w:r>
        <w:rPr>
          <w:spacing w:val="-3"/>
        </w:rPr>
        <w:t xml:space="preserve"> </w:t>
      </w:r>
      <w:r>
        <w:t>or</w:t>
      </w:r>
      <w:r>
        <w:rPr>
          <w:spacing w:val="-4"/>
        </w:rPr>
        <w:t xml:space="preserve"> </w:t>
      </w:r>
      <w:r>
        <w:t>the</w:t>
      </w:r>
      <w:r>
        <w:rPr>
          <w:spacing w:val="-3"/>
        </w:rPr>
        <w:t xml:space="preserve"> </w:t>
      </w:r>
      <w:r>
        <w:t>State</w:t>
      </w:r>
      <w:r>
        <w:rPr>
          <w:spacing w:val="-3"/>
        </w:rPr>
        <w:t xml:space="preserve"> </w:t>
      </w:r>
      <w:r>
        <w:t>where</w:t>
      </w:r>
      <w:r>
        <w:rPr>
          <w:spacing w:val="-3"/>
        </w:rPr>
        <w:t xml:space="preserve"> </w:t>
      </w:r>
      <w:r>
        <w:t>the</w:t>
      </w:r>
      <w:r>
        <w:rPr>
          <w:spacing w:val="-3"/>
        </w:rPr>
        <w:t xml:space="preserve"> </w:t>
      </w:r>
      <w:r>
        <w:t>issuer</w:t>
      </w:r>
      <w:r>
        <w:rPr>
          <w:spacing w:val="-5"/>
        </w:rPr>
        <w:t xml:space="preserve"> </w:t>
      </w:r>
      <w:r>
        <w:t>is</w:t>
      </w:r>
      <w:r>
        <w:rPr>
          <w:spacing w:val="-4"/>
        </w:rPr>
        <w:t xml:space="preserve"> </w:t>
      </w:r>
      <w:r>
        <w:t>licensed</w:t>
      </w:r>
      <w:r>
        <w:rPr>
          <w:spacing w:val="-3"/>
        </w:rPr>
        <w:t xml:space="preserve"> </w:t>
      </w:r>
      <w:r>
        <w:t>to</w:t>
      </w:r>
      <w:r>
        <w:rPr>
          <w:spacing w:val="-2"/>
        </w:rPr>
        <w:t xml:space="preserve"> </w:t>
      </w:r>
      <w:r>
        <w:t>do</w:t>
      </w:r>
      <w:r>
        <w:rPr>
          <w:spacing w:val="-2"/>
        </w:rPr>
        <w:t xml:space="preserve"> </w:t>
      </w:r>
      <w:r>
        <w:t>business</w:t>
      </w:r>
      <w:r>
        <w:rPr>
          <w:spacing w:val="-4"/>
        </w:rPr>
        <w:t xml:space="preserve"> </w:t>
      </w:r>
      <w:r>
        <w:t>for</w:t>
      </w:r>
      <w:r>
        <w:rPr>
          <w:spacing w:val="-4"/>
        </w:rPr>
        <w:t xml:space="preserve"> </w:t>
      </w:r>
      <w:r>
        <w:t>the</w:t>
      </w:r>
      <w:r>
        <w:rPr>
          <w:spacing w:val="-3"/>
        </w:rPr>
        <w:t xml:space="preserve"> </w:t>
      </w:r>
      <w:r>
        <w:t>coverage offered by the issuer in the group market. Additionally, not later than one year after enactment of the CAA, 2021, and annually by October 1 thereafter, the Secretary of HHS must submit to Congress and make publicly available a report that contains:</w:t>
      </w:r>
    </w:p>
    <w:p>
      <w:pPr>
        <w:pStyle w:val="BodyText"/>
        <w:spacing w:before="3"/>
      </w:pPr>
    </w:p>
    <w:p>
      <w:pPr>
        <w:pStyle w:val="ListParagraph"/>
        <w:numPr>
          <w:ilvl w:val="2"/>
          <w:numId w:val="2"/>
        </w:numPr>
        <w:tabs>
          <w:tab w:val="left" w:pos="1079"/>
          <w:tab w:val="left" w:pos="1151"/>
        </w:tabs>
        <w:spacing w:before="1" w:after="0" w:line="240" w:lineRule="auto"/>
        <w:ind w:left="1151" w:right="132" w:hanging="361"/>
        <w:jc w:val="left"/>
        <w:rPr>
          <w:sz w:val="24"/>
        </w:rPr>
      </w:pPr>
      <w:r>
        <w:rPr>
          <w:sz w:val="24"/>
        </w:rPr>
        <w:t>A summary</w:t>
      </w:r>
      <w:r>
        <w:rPr>
          <w:spacing w:val="-3"/>
          <w:sz w:val="24"/>
        </w:rPr>
        <w:t xml:space="preserve"> </w:t>
      </w:r>
      <w:r>
        <w:rPr>
          <w:sz w:val="24"/>
        </w:rPr>
        <w:t>of</w:t>
      </w:r>
      <w:r>
        <w:rPr>
          <w:spacing w:val="-5"/>
          <w:sz w:val="24"/>
        </w:rPr>
        <w:t xml:space="preserve"> </w:t>
      </w:r>
      <w:r>
        <w:rPr>
          <w:sz w:val="24"/>
        </w:rPr>
        <w:t>the</w:t>
      </w:r>
      <w:r>
        <w:rPr>
          <w:spacing w:val="-4"/>
          <w:sz w:val="24"/>
        </w:rPr>
        <w:t xml:space="preserve"> </w:t>
      </w:r>
      <w:r>
        <w:rPr>
          <w:sz w:val="24"/>
        </w:rPr>
        <w:t>comparative</w:t>
      </w:r>
      <w:r>
        <w:rPr>
          <w:spacing w:val="-4"/>
          <w:sz w:val="24"/>
        </w:rPr>
        <w:t xml:space="preserve"> </w:t>
      </w:r>
      <w:r>
        <w:rPr>
          <w:sz w:val="24"/>
        </w:rPr>
        <w:t>analyses</w:t>
      </w:r>
      <w:r>
        <w:rPr>
          <w:spacing w:val="-5"/>
          <w:sz w:val="24"/>
        </w:rPr>
        <w:t xml:space="preserve"> </w:t>
      </w:r>
      <w:r>
        <w:rPr>
          <w:sz w:val="24"/>
        </w:rPr>
        <w:t>requested, including</w:t>
      </w:r>
      <w:r>
        <w:rPr>
          <w:spacing w:val="-3"/>
          <w:sz w:val="24"/>
        </w:rPr>
        <w:t xml:space="preserve"> </w:t>
      </w:r>
      <w:r>
        <w:rPr>
          <w:sz w:val="24"/>
        </w:rPr>
        <w:t>the</w:t>
      </w:r>
      <w:r>
        <w:rPr>
          <w:spacing w:val="-4"/>
          <w:sz w:val="24"/>
        </w:rPr>
        <w:t xml:space="preserve"> </w:t>
      </w:r>
      <w:r>
        <w:rPr>
          <w:sz w:val="24"/>
        </w:rPr>
        <w:t>identity</w:t>
      </w:r>
      <w:r>
        <w:rPr>
          <w:spacing w:val="-3"/>
          <w:sz w:val="24"/>
        </w:rPr>
        <w:t xml:space="preserve"> </w:t>
      </w:r>
      <w:r>
        <w:rPr>
          <w:sz w:val="24"/>
        </w:rPr>
        <w:t>of</w:t>
      </w:r>
      <w:r>
        <w:rPr>
          <w:spacing w:val="-5"/>
          <w:sz w:val="24"/>
        </w:rPr>
        <w:t xml:space="preserve"> </w:t>
      </w:r>
      <w:r>
        <w:rPr>
          <w:sz w:val="24"/>
        </w:rPr>
        <w:t>each</w:t>
      </w:r>
      <w:r>
        <w:rPr>
          <w:spacing w:val="-4"/>
          <w:sz w:val="24"/>
        </w:rPr>
        <w:t xml:space="preserve"> </w:t>
      </w:r>
      <w:r>
        <w:rPr>
          <w:sz w:val="24"/>
        </w:rPr>
        <w:t>plan</w:t>
      </w:r>
      <w:r>
        <w:rPr>
          <w:spacing w:val="-4"/>
          <w:sz w:val="24"/>
        </w:rPr>
        <w:t xml:space="preserve"> </w:t>
      </w:r>
      <w:r>
        <w:rPr>
          <w:sz w:val="24"/>
        </w:rPr>
        <w:t xml:space="preserve">or issuer that is determined not to be in compliance after a final determination by the </w:t>
      </w:r>
      <w:r>
        <w:rPr>
          <w:spacing w:val="-2"/>
          <w:sz w:val="24"/>
        </w:rPr>
        <w:t>Secretary;</w:t>
      </w:r>
    </w:p>
    <w:p>
      <w:pPr>
        <w:pStyle w:val="ListParagraph"/>
        <w:numPr>
          <w:ilvl w:val="2"/>
          <w:numId w:val="2"/>
        </w:numPr>
        <w:tabs>
          <w:tab w:val="left" w:pos="1079"/>
          <w:tab w:val="left" w:pos="1151"/>
        </w:tabs>
        <w:spacing w:before="0" w:after="0" w:line="242" w:lineRule="auto"/>
        <w:ind w:left="1151" w:right="772" w:hanging="361"/>
        <w:jc w:val="left"/>
        <w:rPr>
          <w:sz w:val="24"/>
        </w:rPr>
      </w:pPr>
      <w:r>
        <w:rPr>
          <w:sz w:val="24"/>
        </w:rPr>
        <w:t>The</w:t>
      </w:r>
      <w:r>
        <w:rPr>
          <w:spacing w:val="-4"/>
          <w:sz w:val="24"/>
        </w:rPr>
        <w:t xml:space="preserve"> </w:t>
      </w:r>
      <w:r>
        <w:rPr>
          <w:sz w:val="24"/>
        </w:rPr>
        <w:t>Secretary’s</w:t>
      </w:r>
      <w:r>
        <w:rPr>
          <w:spacing w:val="-5"/>
          <w:sz w:val="24"/>
        </w:rPr>
        <w:t xml:space="preserve"> </w:t>
      </w:r>
      <w:r>
        <w:rPr>
          <w:sz w:val="24"/>
        </w:rPr>
        <w:t>conclusions</w:t>
      </w:r>
      <w:r>
        <w:rPr>
          <w:spacing w:val="-5"/>
          <w:sz w:val="24"/>
        </w:rPr>
        <w:t xml:space="preserve"> </w:t>
      </w:r>
      <w:r>
        <w:rPr>
          <w:sz w:val="24"/>
        </w:rPr>
        <w:t>as</w:t>
      </w:r>
      <w:r>
        <w:rPr>
          <w:spacing w:val="-5"/>
          <w:sz w:val="24"/>
        </w:rPr>
        <w:t xml:space="preserve"> </w:t>
      </w:r>
      <w:r>
        <w:rPr>
          <w:sz w:val="24"/>
        </w:rPr>
        <w:t>to</w:t>
      </w:r>
      <w:r>
        <w:rPr>
          <w:spacing w:val="-3"/>
          <w:sz w:val="24"/>
        </w:rPr>
        <w:t xml:space="preserve"> </w:t>
      </w:r>
      <w:r>
        <w:rPr>
          <w:sz w:val="24"/>
        </w:rPr>
        <w:t>whether</w:t>
      </w:r>
      <w:r>
        <w:rPr>
          <w:spacing w:val="-6"/>
          <w:sz w:val="24"/>
        </w:rPr>
        <w:t xml:space="preserve"> </w:t>
      </w:r>
      <w:r>
        <w:rPr>
          <w:sz w:val="24"/>
        </w:rPr>
        <w:t>each</w:t>
      </w:r>
      <w:r>
        <w:rPr>
          <w:spacing w:val="-4"/>
          <w:sz w:val="24"/>
        </w:rPr>
        <w:t xml:space="preserve"> </w:t>
      </w:r>
      <w:r>
        <w:rPr>
          <w:sz w:val="24"/>
        </w:rPr>
        <w:t>plan</w:t>
      </w:r>
      <w:r>
        <w:rPr>
          <w:spacing w:val="-4"/>
          <w:sz w:val="24"/>
        </w:rPr>
        <w:t xml:space="preserve"> </w:t>
      </w:r>
      <w:r>
        <w:rPr>
          <w:sz w:val="24"/>
        </w:rPr>
        <w:t>or</w:t>
      </w:r>
      <w:r>
        <w:rPr>
          <w:spacing w:val="-5"/>
          <w:sz w:val="24"/>
        </w:rPr>
        <w:t xml:space="preserve"> </w:t>
      </w:r>
      <w:r>
        <w:rPr>
          <w:sz w:val="24"/>
        </w:rPr>
        <w:t>issuer</w:t>
      </w:r>
      <w:r>
        <w:rPr>
          <w:spacing w:val="-5"/>
          <w:sz w:val="24"/>
        </w:rPr>
        <w:t xml:space="preserve"> </w:t>
      </w:r>
      <w:r>
        <w:rPr>
          <w:sz w:val="24"/>
        </w:rPr>
        <w:t>submitted</w:t>
      </w:r>
      <w:r>
        <w:rPr>
          <w:spacing w:val="-4"/>
          <w:sz w:val="24"/>
        </w:rPr>
        <w:t xml:space="preserve"> </w:t>
      </w:r>
      <w:r>
        <w:rPr>
          <w:sz w:val="24"/>
        </w:rPr>
        <w:t>sufficient information for the Secretary to review the comparative analyses requested for compliance with MHPAEA;</w:t>
      </w:r>
    </w:p>
    <w:p>
      <w:pPr>
        <w:pStyle w:val="ListParagraph"/>
        <w:numPr>
          <w:ilvl w:val="2"/>
          <w:numId w:val="2"/>
        </w:numPr>
        <w:tabs>
          <w:tab w:val="left" w:pos="1079"/>
          <w:tab w:val="left" w:pos="1151"/>
        </w:tabs>
        <w:spacing w:before="0" w:after="0" w:line="240" w:lineRule="auto"/>
        <w:ind w:left="1151" w:right="250" w:hanging="361"/>
        <w:jc w:val="both"/>
        <w:rPr>
          <w:sz w:val="24"/>
        </w:rPr>
      </w:pPr>
      <w:r>
        <w:rPr>
          <w:sz w:val="24"/>
        </w:rPr>
        <w:t>For</w:t>
      </w:r>
      <w:r>
        <w:rPr>
          <w:spacing w:val="-4"/>
          <w:sz w:val="24"/>
        </w:rPr>
        <w:t xml:space="preserve"> </w:t>
      </w:r>
      <w:r>
        <w:rPr>
          <w:sz w:val="24"/>
        </w:rPr>
        <w:t>each</w:t>
      </w:r>
      <w:r>
        <w:rPr>
          <w:spacing w:val="-3"/>
          <w:sz w:val="24"/>
        </w:rPr>
        <w:t xml:space="preserve"> </w:t>
      </w:r>
      <w:r>
        <w:rPr>
          <w:sz w:val="24"/>
        </w:rPr>
        <w:t>plan</w:t>
      </w:r>
      <w:r>
        <w:rPr>
          <w:spacing w:val="-3"/>
          <w:sz w:val="24"/>
        </w:rPr>
        <w:t xml:space="preserve"> </w:t>
      </w:r>
      <w:r>
        <w:rPr>
          <w:sz w:val="24"/>
        </w:rPr>
        <w:t>or</w:t>
      </w:r>
      <w:r>
        <w:rPr>
          <w:spacing w:val="-4"/>
          <w:sz w:val="24"/>
        </w:rPr>
        <w:t xml:space="preserve"> </w:t>
      </w:r>
      <w:r>
        <w:rPr>
          <w:sz w:val="24"/>
        </w:rPr>
        <w:t>issuer</w:t>
      </w:r>
      <w:r>
        <w:rPr>
          <w:spacing w:val="-5"/>
          <w:sz w:val="24"/>
        </w:rPr>
        <w:t xml:space="preserve"> </w:t>
      </w:r>
      <w:r>
        <w:rPr>
          <w:sz w:val="24"/>
        </w:rPr>
        <w:t>that</w:t>
      </w:r>
      <w:r>
        <w:rPr>
          <w:spacing w:val="-6"/>
          <w:sz w:val="24"/>
        </w:rPr>
        <w:t xml:space="preserve"> </w:t>
      </w:r>
      <w:r>
        <w:rPr>
          <w:sz w:val="24"/>
        </w:rPr>
        <w:t>submitted</w:t>
      </w:r>
      <w:r>
        <w:rPr>
          <w:spacing w:val="-3"/>
          <w:sz w:val="24"/>
        </w:rPr>
        <w:t xml:space="preserve"> </w:t>
      </w:r>
      <w:r>
        <w:rPr>
          <w:sz w:val="24"/>
        </w:rPr>
        <w:t>sufficient</w:t>
      </w:r>
      <w:r>
        <w:rPr>
          <w:spacing w:val="-5"/>
          <w:sz w:val="24"/>
        </w:rPr>
        <w:t xml:space="preserve"> </w:t>
      </w:r>
      <w:r>
        <w:rPr>
          <w:sz w:val="24"/>
        </w:rPr>
        <w:t>information</w:t>
      </w:r>
      <w:r>
        <w:rPr>
          <w:spacing w:val="-2"/>
          <w:sz w:val="24"/>
        </w:rPr>
        <w:t xml:space="preserve"> </w:t>
      </w:r>
      <w:r>
        <w:rPr>
          <w:sz w:val="24"/>
        </w:rPr>
        <w:t>for</w:t>
      </w:r>
      <w:r>
        <w:rPr>
          <w:spacing w:val="-4"/>
          <w:sz w:val="24"/>
        </w:rPr>
        <w:t xml:space="preserve"> </w:t>
      </w:r>
      <w:r>
        <w:rPr>
          <w:sz w:val="24"/>
        </w:rPr>
        <w:t>the</w:t>
      </w:r>
      <w:r>
        <w:rPr>
          <w:spacing w:val="-3"/>
          <w:sz w:val="24"/>
        </w:rPr>
        <w:t xml:space="preserve"> </w:t>
      </w:r>
      <w:r>
        <w:rPr>
          <w:sz w:val="24"/>
        </w:rPr>
        <w:t>Secretary</w:t>
      </w:r>
      <w:r>
        <w:rPr>
          <w:spacing w:val="-2"/>
          <w:sz w:val="24"/>
        </w:rPr>
        <w:t xml:space="preserve"> </w:t>
      </w:r>
      <w:r>
        <w:rPr>
          <w:sz w:val="24"/>
        </w:rPr>
        <w:t>to</w:t>
      </w:r>
      <w:r>
        <w:rPr>
          <w:spacing w:val="-2"/>
          <w:sz w:val="24"/>
        </w:rPr>
        <w:t xml:space="preserve"> </w:t>
      </w:r>
      <w:r>
        <w:rPr>
          <w:sz w:val="24"/>
        </w:rPr>
        <w:t>review the comparative analyses requested, the Secretary’s conclusion as to whether</w:t>
      </w:r>
      <w:r>
        <w:rPr>
          <w:spacing w:val="-1"/>
          <w:sz w:val="24"/>
        </w:rPr>
        <w:t xml:space="preserve"> </w:t>
      </w:r>
      <w:r>
        <w:rPr>
          <w:sz w:val="24"/>
        </w:rPr>
        <w:t>and why the plan or issuer is in compliance with MHPAEA;</w:t>
      </w:r>
    </w:p>
    <w:p>
      <w:pPr>
        <w:pStyle w:val="ListParagraph"/>
        <w:numPr>
          <w:ilvl w:val="2"/>
          <w:numId w:val="2"/>
        </w:numPr>
        <w:tabs>
          <w:tab w:val="left" w:pos="1079"/>
          <w:tab w:val="left" w:pos="1151"/>
        </w:tabs>
        <w:spacing w:before="0" w:after="0" w:line="240" w:lineRule="auto"/>
        <w:ind w:left="1151" w:right="54" w:hanging="361"/>
        <w:jc w:val="left"/>
        <w:rPr>
          <w:sz w:val="24"/>
        </w:rPr>
      </w:pPr>
      <w:r>
        <w:rPr>
          <w:sz w:val="24"/>
        </w:rPr>
        <w:t>The</w:t>
      </w:r>
      <w:r>
        <w:rPr>
          <w:spacing w:val="-3"/>
          <w:sz w:val="24"/>
        </w:rPr>
        <w:t xml:space="preserve"> </w:t>
      </w:r>
      <w:r>
        <w:rPr>
          <w:sz w:val="24"/>
        </w:rPr>
        <w:t>Secretary’s</w:t>
      </w:r>
      <w:r>
        <w:rPr>
          <w:spacing w:val="-4"/>
          <w:sz w:val="24"/>
        </w:rPr>
        <w:t xml:space="preserve"> </w:t>
      </w:r>
      <w:r>
        <w:rPr>
          <w:sz w:val="24"/>
        </w:rPr>
        <w:t>specifications</w:t>
      </w:r>
      <w:r>
        <w:rPr>
          <w:spacing w:val="-4"/>
          <w:sz w:val="24"/>
        </w:rPr>
        <w:t xml:space="preserve"> </w:t>
      </w:r>
      <w:r>
        <w:rPr>
          <w:sz w:val="24"/>
        </w:rPr>
        <w:t>with</w:t>
      </w:r>
      <w:r>
        <w:rPr>
          <w:spacing w:val="-2"/>
          <w:sz w:val="24"/>
        </w:rPr>
        <w:t xml:space="preserve"> </w:t>
      </w:r>
      <w:r>
        <w:rPr>
          <w:sz w:val="24"/>
        </w:rPr>
        <w:t>respect</w:t>
      </w:r>
      <w:r>
        <w:rPr>
          <w:spacing w:val="-5"/>
          <w:sz w:val="24"/>
        </w:rPr>
        <w:t xml:space="preserve"> </w:t>
      </w:r>
      <w:r>
        <w:rPr>
          <w:sz w:val="24"/>
        </w:rPr>
        <w:t>to</w:t>
      </w:r>
      <w:r>
        <w:rPr>
          <w:spacing w:val="-2"/>
          <w:sz w:val="24"/>
        </w:rPr>
        <w:t xml:space="preserve"> </w:t>
      </w:r>
      <w:r>
        <w:rPr>
          <w:sz w:val="24"/>
        </w:rPr>
        <w:t>the</w:t>
      </w:r>
      <w:r>
        <w:rPr>
          <w:spacing w:val="-3"/>
          <w:sz w:val="24"/>
        </w:rPr>
        <w:t xml:space="preserve"> </w:t>
      </w:r>
      <w:r>
        <w:rPr>
          <w:sz w:val="24"/>
        </w:rPr>
        <w:t>additional</w:t>
      </w:r>
      <w:r>
        <w:rPr>
          <w:spacing w:val="-6"/>
          <w:sz w:val="24"/>
        </w:rPr>
        <w:t xml:space="preserve"> </w:t>
      </w:r>
      <w:r>
        <w:rPr>
          <w:sz w:val="24"/>
        </w:rPr>
        <w:t>information</w:t>
      </w:r>
      <w:r>
        <w:rPr>
          <w:spacing w:val="-2"/>
          <w:sz w:val="24"/>
        </w:rPr>
        <w:t xml:space="preserve"> </w:t>
      </w:r>
      <w:r>
        <w:rPr>
          <w:sz w:val="24"/>
        </w:rPr>
        <w:t>that</w:t>
      </w:r>
      <w:r>
        <w:rPr>
          <w:spacing w:val="-6"/>
          <w:sz w:val="24"/>
        </w:rPr>
        <w:t xml:space="preserve"> </w:t>
      </w:r>
      <w:r>
        <w:rPr>
          <w:sz w:val="24"/>
        </w:rPr>
        <w:t>each</w:t>
      </w:r>
      <w:r>
        <w:rPr>
          <w:spacing w:val="-3"/>
          <w:sz w:val="24"/>
        </w:rPr>
        <w:t xml:space="preserve"> </w:t>
      </w:r>
      <w:r>
        <w:rPr>
          <w:sz w:val="24"/>
        </w:rPr>
        <w:t>plan</w:t>
      </w:r>
      <w:r>
        <w:rPr>
          <w:spacing w:val="-3"/>
          <w:sz w:val="24"/>
        </w:rPr>
        <w:t xml:space="preserve"> </w:t>
      </w:r>
      <w:r>
        <w:rPr>
          <w:sz w:val="24"/>
        </w:rPr>
        <w:t>or issuer that did not submit sufficient information must submit for the Secretary to review the comparative analyses for compliance with MHPAEA; and</w:t>
      </w:r>
    </w:p>
    <w:p>
      <w:pPr>
        <w:pStyle w:val="ListParagraph"/>
        <w:numPr>
          <w:ilvl w:val="2"/>
          <w:numId w:val="2"/>
        </w:numPr>
        <w:tabs>
          <w:tab w:val="left" w:pos="1079"/>
          <w:tab w:val="left" w:pos="1151"/>
        </w:tabs>
        <w:spacing w:before="0" w:after="0" w:line="242" w:lineRule="auto"/>
        <w:ind w:left="1151" w:right="811" w:hanging="361"/>
        <w:jc w:val="left"/>
        <w:rPr>
          <w:sz w:val="24"/>
        </w:rPr>
      </w:pPr>
      <w:r>
        <w:rPr>
          <w:sz w:val="24"/>
        </w:rPr>
        <w:t>The</w:t>
      </w:r>
      <w:r>
        <w:rPr>
          <w:spacing w:val="-4"/>
          <w:sz w:val="24"/>
        </w:rPr>
        <w:t xml:space="preserve"> </w:t>
      </w:r>
      <w:r>
        <w:rPr>
          <w:sz w:val="24"/>
        </w:rPr>
        <w:t>Secretary’s</w:t>
      </w:r>
      <w:r>
        <w:rPr>
          <w:spacing w:val="-5"/>
          <w:sz w:val="24"/>
        </w:rPr>
        <w:t xml:space="preserve"> </w:t>
      </w:r>
      <w:r>
        <w:rPr>
          <w:sz w:val="24"/>
        </w:rPr>
        <w:t>specifications</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actions</w:t>
      </w:r>
      <w:r>
        <w:rPr>
          <w:spacing w:val="-5"/>
          <w:sz w:val="24"/>
        </w:rPr>
        <w:t xml:space="preserve"> </w:t>
      </w:r>
      <w:r>
        <w:rPr>
          <w:sz w:val="24"/>
        </w:rPr>
        <w:t>each</w:t>
      </w:r>
      <w:r>
        <w:rPr>
          <w:spacing w:val="-4"/>
          <w:sz w:val="24"/>
        </w:rPr>
        <w:t xml:space="preserve"> </w:t>
      </w:r>
      <w:r>
        <w:rPr>
          <w:sz w:val="24"/>
        </w:rPr>
        <w:t>plan</w:t>
      </w:r>
      <w:r>
        <w:rPr>
          <w:spacing w:val="-4"/>
          <w:sz w:val="24"/>
        </w:rPr>
        <w:t xml:space="preserve"> </w:t>
      </w:r>
      <w:r>
        <w:rPr>
          <w:sz w:val="24"/>
        </w:rPr>
        <w:t>or</w:t>
      </w:r>
      <w:r>
        <w:rPr>
          <w:spacing w:val="-5"/>
          <w:sz w:val="24"/>
        </w:rPr>
        <w:t xml:space="preserve"> </w:t>
      </w:r>
      <w:r>
        <w:rPr>
          <w:sz w:val="24"/>
        </w:rPr>
        <w:t>issuer</w:t>
      </w:r>
      <w:r>
        <w:rPr>
          <w:spacing w:val="-6"/>
          <w:sz w:val="24"/>
        </w:rPr>
        <w:t xml:space="preserve"> </w:t>
      </w:r>
      <w:r>
        <w:rPr>
          <w:sz w:val="24"/>
        </w:rPr>
        <w:t>that</w:t>
      </w:r>
      <w:r>
        <w:rPr>
          <w:spacing w:val="-6"/>
          <w:sz w:val="24"/>
        </w:rPr>
        <w:t xml:space="preserve"> </w:t>
      </w:r>
      <w:r>
        <w:rPr>
          <w:sz w:val="24"/>
        </w:rPr>
        <w:t>the</w:t>
      </w:r>
      <w:r>
        <w:rPr>
          <w:spacing w:val="-4"/>
          <w:sz w:val="24"/>
        </w:rPr>
        <w:t xml:space="preserve"> </w:t>
      </w:r>
      <w:r>
        <w:rPr>
          <w:sz w:val="24"/>
        </w:rPr>
        <w:t xml:space="preserve">Secretary determined is not in compliance must take to be in compliance with MHPAEA, including the reason the Departments determined the plan or issuer was not in </w:t>
      </w:r>
      <w:r>
        <w:rPr>
          <w:spacing w:val="-2"/>
          <w:sz w:val="24"/>
        </w:rPr>
        <w:t>compliance.</w:t>
      </w:r>
    </w:p>
    <w:p>
      <w:pPr>
        <w:pStyle w:val="ListParagraph"/>
        <w:numPr>
          <w:ilvl w:val="1"/>
          <w:numId w:val="2"/>
        </w:numPr>
        <w:tabs>
          <w:tab w:val="left" w:pos="660"/>
        </w:tabs>
        <w:spacing w:before="261" w:after="0" w:line="240" w:lineRule="auto"/>
        <w:ind w:left="660" w:right="0" w:hanging="300"/>
        <w:jc w:val="left"/>
        <w:rPr>
          <w:sz w:val="24"/>
        </w:rPr>
      </w:pPr>
      <w:bookmarkStart w:id="20" w:name="11. Sensitive Questions"/>
      <w:bookmarkEnd w:id="20"/>
      <w:r>
        <w:rPr>
          <w:spacing w:val="-5"/>
          <w:sz w:val="24"/>
          <w:u w:val="single"/>
        </w:rPr>
        <w:t xml:space="preserve"> </w:t>
      </w:r>
      <w:r>
        <w:rPr>
          <w:sz w:val="24"/>
          <w:u w:val="single"/>
        </w:rPr>
        <w:t>​</w:t>
      </w:r>
      <w:r>
        <w:rPr>
          <w:spacing w:val="8"/>
          <w:sz w:val="24"/>
          <w:u w:val="single"/>
        </w:rPr>
        <w:t xml:space="preserve"> </w:t>
      </w:r>
      <w:r>
        <w:rPr>
          <w:sz w:val="24"/>
          <w:u w:val="single"/>
        </w:rPr>
        <w:t xml:space="preserve">Sensitive </w:t>
      </w:r>
      <w:r>
        <w:rPr>
          <w:spacing w:val="-2"/>
          <w:sz w:val="24"/>
          <w:u w:val="single"/>
        </w:rPr>
        <w:t>Questions</w:t>
      </w:r>
    </w:p>
    <w:p>
      <w:pPr>
        <w:pStyle w:val="BodyText"/>
        <w:spacing w:before="274"/>
        <w:ind w:left="791"/>
      </w:pPr>
      <w:r>
        <w:t>These</w:t>
      </w:r>
      <w:r>
        <w:rPr>
          <w:spacing w:val="-6"/>
        </w:rPr>
        <w:t xml:space="preserve"> </w:t>
      </w:r>
      <w:r>
        <w:t>information</w:t>
      </w:r>
      <w:r>
        <w:rPr>
          <w:spacing w:val="-2"/>
        </w:rPr>
        <w:t xml:space="preserve"> </w:t>
      </w:r>
      <w:r>
        <w:t>collections</w:t>
      </w:r>
      <w:r>
        <w:rPr>
          <w:spacing w:val="-4"/>
        </w:rPr>
        <w:t xml:space="preserve"> </w:t>
      </w:r>
      <w:r>
        <w:t>do</w:t>
      </w:r>
      <w:r>
        <w:rPr>
          <w:spacing w:val="-2"/>
        </w:rPr>
        <w:t xml:space="preserve"> </w:t>
      </w:r>
      <w:r>
        <w:t>not</w:t>
      </w:r>
      <w:r>
        <w:rPr>
          <w:spacing w:val="-5"/>
        </w:rPr>
        <w:t xml:space="preserve"> </w:t>
      </w:r>
      <w:r>
        <w:t>involve</w:t>
      </w:r>
      <w:r>
        <w:rPr>
          <w:spacing w:val="-3"/>
        </w:rPr>
        <w:t xml:space="preserve"> </w:t>
      </w:r>
      <w:r>
        <w:t>any</w:t>
      </w:r>
      <w:r>
        <w:rPr>
          <w:spacing w:val="-3"/>
        </w:rPr>
        <w:t xml:space="preserve"> </w:t>
      </w:r>
      <w:r>
        <w:t>sensitive</w:t>
      </w:r>
      <w:r>
        <w:rPr>
          <w:spacing w:val="-3"/>
        </w:rPr>
        <w:t xml:space="preserve"> </w:t>
      </w:r>
      <w:r>
        <w:rPr>
          <w:spacing w:val="-2"/>
        </w:rPr>
        <w:t>questions.</w:t>
      </w:r>
    </w:p>
    <w:p>
      <w:pPr>
        <w:pStyle w:val="ListParagraph"/>
        <w:numPr>
          <w:ilvl w:val="1"/>
          <w:numId w:val="2"/>
        </w:numPr>
        <w:tabs>
          <w:tab w:val="left" w:pos="660"/>
        </w:tabs>
        <w:spacing w:before="275" w:after="0" w:line="240" w:lineRule="auto"/>
        <w:ind w:left="660" w:right="0" w:hanging="300"/>
        <w:jc w:val="left"/>
        <w:rPr>
          <w:sz w:val="24"/>
        </w:rPr>
      </w:pPr>
      <w:bookmarkStart w:id="21" w:name="12. Burden Estimates (Hours &amp; Wages)"/>
      <w:bookmarkEnd w:id="21"/>
      <w:r>
        <w:rPr>
          <w:spacing w:val="-3"/>
          <w:sz w:val="24"/>
          <w:u w:val="single"/>
        </w:rPr>
        <w:t xml:space="preserve"> </w:t>
      </w:r>
      <w:r>
        <w:rPr>
          <w:sz w:val="24"/>
          <w:u w:val="single"/>
        </w:rPr>
        <w:t>​</w:t>
      </w:r>
      <w:r>
        <w:rPr>
          <w:spacing w:val="7"/>
          <w:sz w:val="24"/>
          <w:u w:val="single"/>
        </w:rPr>
        <w:t xml:space="preserve"> </w:t>
      </w:r>
      <w:r>
        <w:rPr>
          <w:sz w:val="24"/>
          <w:u w:val="single"/>
        </w:rPr>
        <w:t>Burden</w:t>
      </w:r>
      <w:r>
        <w:rPr>
          <w:spacing w:val="-1"/>
          <w:sz w:val="24"/>
          <w:u w:val="single"/>
        </w:rPr>
        <w:t xml:space="preserve"> </w:t>
      </w:r>
      <w:r>
        <w:rPr>
          <w:sz w:val="24"/>
          <w:u w:val="single"/>
        </w:rPr>
        <w:t>Estimates</w:t>
      </w:r>
      <w:r>
        <w:rPr>
          <w:spacing w:val="-2"/>
          <w:sz w:val="24"/>
          <w:u w:val="single"/>
        </w:rPr>
        <w:t xml:space="preserve"> </w:t>
      </w:r>
      <w:r>
        <w:rPr>
          <w:sz w:val="24"/>
          <w:u w:val="single"/>
        </w:rPr>
        <w:t>(Hours</w:t>
      </w:r>
      <w:r>
        <w:rPr>
          <w:spacing w:val="-2"/>
          <w:sz w:val="24"/>
          <w:u w:val="single"/>
        </w:rPr>
        <w:t xml:space="preserve"> </w:t>
      </w:r>
      <w:r>
        <w:rPr>
          <w:sz w:val="24"/>
          <w:u w:val="single"/>
        </w:rPr>
        <w:t>&amp;</w:t>
      </w:r>
      <w:r>
        <w:rPr>
          <w:spacing w:val="-2"/>
          <w:sz w:val="24"/>
          <w:u w:val="single"/>
        </w:rPr>
        <w:t xml:space="preserve"> Wages)</w:t>
      </w:r>
    </w:p>
    <w:p>
      <w:pPr>
        <w:pStyle w:val="BodyText"/>
        <w:spacing w:before="275"/>
        <w:ind w:left="791" w:right="57"/>
      </w:pPr>
      <w:r>
        <w:t>The burden estimates below have been updated based on recent data on the number of issuers, the number of non-Federal governmental plans, and labor and mailing costs. We generally used data from the Bureau of Labor Statistics as the basis for the labor costs for estimating the burden associated with these information collections.</w:t>
      </w:r>
      <w:hyperlink w:anchor="_bookmark7" w:history="1">
        <w:r>
          <w:rPr>
            <w:position w:val="8"/>
            <w:sz w:val="12"/>
          </w:rPr>
          <w:t>8</w:t>
        </w:r>
      </w:hyperlink>
      <w:r>
        <w:rPr>
          <w:spacing w:val="34"/>
          <w:position w:val="8"/>
          <w:sz w:val="12"/>
        </w:rPr>
        <w:t xml:space="preserve"> </w:t>
      </w:r>
      <w:r>
        <w:t>We also assume that it will take a team of lawyers, actuaries, and data analysts to satisfy some of the content requirements for the NQTL</w:t>
      </w:r>
      <w:r>
        <w:rPr>
          <w:spacing w:val="-4"/>
        </w:rPr>
        <w:t xml:space="preserve"> </w:t>
      </w:r>
      <w:r>
        <w:t>comparative analyses required by MHPAEA</w:t>
      </w:r>
      <w:r>
        <w:rPr>
          <w:spacing w:val="-2"/>
        </w:rPr>
        <w:t xml:space="preserve"> </w:t>
      </w:r>
      <w:r>
        <w:t>as amended by the CAA, 2021, and</w:t>
      </w:r>
      <w:r>
        <w:rPr>
          <w:spacing w:val="-9"/>
        </w:rPr>
        <w:t xml:space="preserve"> </w:t>
      </w:r>
      <w:r>
        <w:t>have</w:t>
      </w:r>
      <w:r>
        <w:rPr>
          <w:spacing w:val="-4"/>
        </w:rPr>
        <w:t xml:space="preserve"> </w:t>
      </w:r>
      <w:r>
        <w:t>estimated</w:t>
      </w:r>
      <w:r>
        <w:rPr>
          <w:spacing w:val="-3"/>
        </w:rPr>
        <w:t xml:space="preserve"> </w:t>
      </w:r>
      <w:r>
        <w:t>a</w:t>
      </w:r>
      <w:r>
        <w:rPr>
          <w:spacing w:val="-3"/>
        </w:rPr>
        <w:t xml:space="preserve"> </w:t>
      </w:r>
      <w:r>
        <w:t>composite</w:t>
      </w:r>
      <w:r>
        <w:rPr>
          <w:spacing w:val="-3"/>
        </w:rPr>
        <w:t xml:space="preserve"> </w:t>
      </w:r>
      <w:r>
        <w:t>wage</w:t>
      </w:r>
      <w:r>
        <w:rPr>
          <w:spacing w:val="-4"/>
        </w:rPr>
        <w:t xml:space="preserve"> </w:t>
      </w:r>
      <w:r>
        <w:t>rate.</w:t>
      </w:r>
      <w:hyperlink w:anchor="_bookmark8" w:history="1">
        <w:r>
          <w:rPr>
            <w:position w:val="8"/>
            <w:sz w:val="12"/>
          </w:rPr>
          <w:t>9</w:t>
        </w:r>
      </w:hyperlink>
      <w:r>
        <w:rPr>
          <w:spacing w:val="28"/>
          <w:position w:val="8"/>
          <w:sz w:val="12"/>
        </w:rPr>
        <w:t xml:space="preserve"> </w:t>
      </w:r>
      <w:r>
        <w:t>Table</w:t>
      </w:r>
      <w:r>
        <w:rPr>
          <w:spacing w:val="-3"/>
        </w:rPr>
        <w:t xml:space="preserve"> </w:t>
      </w:r>
      <w:r>
        <w:t>1</w:t>
      </w:r>
      <w:r>
        <w:rPr>
          <w:spacing w:val="-8"/>
        </w:rPr>
        <w:t xml:space="preserve"> </w:t>
      </w:r>
      <w:r>
        <w:t>below presents</w:t>
      </w:r>
      <w:r>
        <w:rPr>
          <w:spacing w:val="-4"/>
        </w:rPr>
        <w:t xml:space="preserve"> </w:t>
      </w:r>
      <w:r>
        <w:t>the</w:t>
      </w:r>
      <w:r>
        <w:rPr>
          <w:spacing w:val="-3"/>
        </w:rPr>
        <w:t xml:space="preserve"> </w:t>
      </w:r>
      <w:r>
        <w:t>adjusted hourly wages accounting for the cost of fringe benefits and other indirect costs.</w:t>
      </w:r>
    </w:p>
    <w:p>
      <w:pPr>
        <w:pStyle w:val="BodyText"/>
        <w:spacing w:before="57"/>
        <w:rPr>
          <w:sz w:val="20"/>
        </w:rPr>
      </w:pPr>
      <w:r>
        <w:rPr>
          <w:sz w:val="20"/>
        </w:rPr>
        <mc:AlternateContent>
          <mc:Choice Requires="wps">
            <w:drawing>
              <wp:anchor distT="0" distB="0" distL="0" distR="0" simplePos="0" relativeHeight="251664384" behindDoc="1" locked="0" layoutInCell="1" allowOverlap="1">
                <wp:simplePos x="0" y="0"/>
                <wp:positionH relativeFrom="page">
                  <wp:posOffset>914996</wp:posOffset>
                </wp:positionH>
                <wp:positionV relativeFrom="paragraph">
                  <wp:posOffset>197907</wp:posOffset>
                </wp:positionV>
                <wp:extent cx="1830070" cy="5080"/>
                <wp:effectExtent l="0" t="0" r="0" b="0"/>
                <wp:wrapTopAndBottom/>
                <wp:docPr id="5" name="Graphic 5"/>
                <wp:cNvGraphicFramePr/>
                <a:graphic xmlns:a="http://schemas.openxmlformats.org/drawingml/2006/main">
                  <a:graphicData uri="http://schemas.microsoft.com/office/word/2010/wordprocessingShape">
                    <wps:wsp xmlns:wps="http://schemas.microsoft.com/office/word/2010/wordprocessingShape">
                      <wps:cNvSpPr/>
                      <wps:spPr>
                        <a:xfrm>
                          <a:off x="0" y="0"/>
                          <a:ext cx="1830070" cy="5080"/>
                        </a:xfrm>
                        <a:custGeom>
                          <a:avLst/>
                          <a:gdLst/>
                          <a:rect l="l" t="t" r="r" b="b"/>
                          <a:pathLst>
                            <a:path fill="norm" h="5080" w="1830070" stroke="1">
                              <a:moveTo>
                                <a:pt x="1829689" y="0"/>
                              </a:moveTo>
                              <a:lnTo>
                                <a:pt x="0" y="0"/>
                              </a:lnTo>
                              <a:lnTo>
                                <a:pt x="0" y="4483"/>
                              </a:lnTo>
                              <a:lnTo>
                                <a:pt x="1829689" y="4483"/>
                              </a:lnTo>
                              <a:lnTo>
                                <a:pt x="1829689" y="0"/>
                              </a:lnTo>
                              <a:close/>
                            </a:path>
                          </a:pathLst>
                        </a:custGeom>
                        <a:solidFill>
                          <a:srgbClr val="000000"/>
                        </a:solidFill>
                      </wps:spPr>
                      <wps:bodyPr wrap="square" lIns="0" tIns="0" rIns="0" bIns="0" rtlCol="0">
                        <a:prstTxWarp prst="textNoShape">
                          <a:avLst/>
                        </a:prstTxWarp>
                      </wps:bodyPr>
                    </wps:wsp>
                  </a:graphicData>
                </a:graphic>
              </wp:anchor>
            </w:drawing>
          </mc:Choice>
          <mc:Fallback>
            <w:pict>
              <v:rect id="_x0000_s1028" style="width:144.07pt;height:0.35pt;margin-top:15.58pt;margin-left:72.05pt;mso-position-horizontal-relative:page;mso-wrap-distance-left:0;mso-wrap-distance-right:0;position:absolute;z-index:-251651072" filled="t" fillcolor="black" stroked="f">
                <v:fill type="solid"/>
                <w10:wrap type="topAndBottom"/>
              </v:rect>
            </w:pict>
          </mc:Fallback>
        </mc:AlternateContent>
      </w:r>
    </w:p>
    <w:p>
      <w:pPr>
        <w:spacing w:before="98"/>
        <w:ind w:left="360" w:right="0" w:firstLine="0"/>
        <w:jc w:val="left"/>
        <w:rPr>
          <w:sz w:val="19"/>
        </w:rPr>
      </w:pPr>
      <w:bookmarkStart w:id="22" w:name="_bookmark7"/>
      <w:bookmarkEnd w:id="22"/>
      <w:r>
        <w:rPr>
          <w:w w:val="105"/>
          <w:sz w:val="19"/>
          <w:vertAlign w:val="superscript"/>
        </w:rPr>
        <w:t>8</w:t>
      </w:r>
      <w:r>
        <w:rPr>
          <w:spacing w:val="-2"/>
          <w:w w:val="105"/>
          <w:sz w:val="19"/>
          <w:vertAlign w:val="baseline"/>
        </w:rPr>
        <w:t xml:space="preserve"> </w:t>
      </w:r>
      <w:r>
        <w:rPr>
          <w:w w:val="105"/>
          <w:sz w:val="19"/>
          <w:vertAlign w:val="baseline"/>
        </w:rPr>
        <w:t>See</w:t>
      </w:r>
      <w:r>
        <w:rPr>
          <w:spacing w:val="-5"/>
          <w:w w:val="105"/>
          <w:sz w:val="19"/>
          <w:vertAlign w:val="baseline"/>
        </w:rPr>
        <w:t xml:space="preserve"> </w:t>
      </w:r>
      <w:r>
        <w:rPr>
          <w:w w:val="105"/>
          <w:sz w:val="19"/>
          <w:vertAlign w:val="baseline"/>
        </w:rPr>
        <w:t>the</w:t>
      </w:r>
      <w:r>
        <w:rPr>
          <w:spacing w:val="-4"/>
          <w:w w:val="105"/>
          <w:sz w:val="19"/>
          <w:vertAlign w:val="baseline"/>
        </w:rPr>
        <w:t xml:space="preserve"> </w:t>
      </w:r>
      <w:r>
        <w:rPr>
          <w:w w:val="105"/>
          <w:sz w:val="19"/>
          <w:vertAlign w:val="baseline"/>
        </w:rPr>
        <w:t>2024</w:t>
      </w:r>
      <w:r>
        <w:rPr>
          <w:spacing w:val="5"/>
          <w:w w:val="105"/>
          <w:sz w:val="19"/>
          <w:vertAlign w:val="baseline"/>
        </w:rPr>
        <w:t xml:space="preserve"> </w:t>
      </w:r>
      <w:r>
        <w:rPr>
          <w:w w:val="105"/>
          <w:sz w:val="19"/>
          <w:vertAlign w:val="baseline"/>
        </w:rPr>
        <w:t>final rules</w:t>
      </w:r>
      <w:r>
        <w:rPr>
          <w:spacing w:val="-1"/>
          <w:w w:val="105"/>
          <w:sz w:val="19"/>
          <w:vertAlign w:val="baseline"/>
        </w:rPr>
        <w:t xml:space="preserve"> </w:t>
      </w:r>
      <w:r>
        <w:rPr>
          <w:w w:val="105"/>
          <w:sz w:val="19"/>
          <w:vertAlign w:val="baseline"/>
        </w:rPr>
        <w:t>for</w:t>
      </w:r>
      <w:r>
        <w:rPr>
          <w:spacing w:val="-3"/>
          <w:w w:val="105"/>
          <w:sz w:val="19"/>
          <w:vertAlign w:val="baseline"/>
        </w:rPr>
        <w:t xml:space="preserve"> </w:t>
      </w:r>
      <w:r>
        <w:rPr>
          <w:spacing w:val="-2"/>
          <w:w w:val="105"/>
          <w:sz w:val="19"/>
          <w:vertAlign w:val="baseline"/>
        </w:rPr>
        <w:t>details.</w:t>
      </w:r>
    </w:p>
    <w:p>
      <w:pPr>
        <w:spacing w:before="7" w:line="256" w:lineRule="auto"/>
        <w:ind w:left="360" w:right="32" w:firstLine="0"/>
        <w:jc w:val="left"/>
        <w:rPr>
          <w:sz w:val="19"/>
        </w:rPr>
      </w:pPr>
      <w:bookmarkStart w:id="23" w:name="_bookmark8"/>
      <w:bookmarkEnd w:id="23"/>
      <w:r>
        <w:rPr>
          <w:w w:val="105"/>
          <w:sz w:val="19"/>
          <w:vertAlign w:val="superscript"/>
        </w:rPr>
        <w:t>9</w:t>
      </w:r>
      <w:r>
        <w:rPr>
          <w:spacing w:val="-4"/>
          <w:w w:val="105"/>
          <w:sz w:val="19"/>
          <w:vertAlign w:val="baseline"/>
        </w:rPr>
        <w:t xml:space="preserve"> </w:t>
      </w:r>
      <w:r>
        <w:rPr>
          <w:w w:val="105"/>
          <w:sz w:val="19"/>
          <w:vertAlign w:val="baseline"/>
        </w:rPr>
        <w:t>The wage rate</w:t>
      </w:r>
      <w:r>
        <w:rPr>
          <w:spacing w:val="-7"/>
          <w:w w:val="105"/>
          <w:sz w:val="19"/>
          <w:vertAlign w:val="baseline"/>
        </w:rPr>
        <w:t xml:space="preserve"> </w:t>
      </w:r>
      <w:r>
        <w:rPr>
          <w:w w:val="105"/>
          <w:sz w:val="19"/>
          <w:vertAlign w:val="baseline"/>
        </w:rPr>
        <w:t>of a</w:t>
      </w:r>
      <w:r>
        <w:rPr>
          <w:spacing w:val="-7"/>
          <w:w w:val="105"/>
          <w:sz w:val="19"/>
          <w:vertAlign w:val="baseline"/>
        </w:rPr>
        <w:t xml:space="preserve"> </w:t>
      </w:r>
      <w:r>
        <w:rPr>
          <w:w w:val="105"/>
          <w:sz w:val="19"/>
          <w:vertAlign w:val="baseline"/>
        </w:rPr>
        <w:t>lawyer, actuary,</w:t>
      </w:r>
      <w:r>
        <w:rPr>
          <w:spacing w:val="-4"/>
          <w:w w:val="105"/>
          <w:sz w:val="19"/>
          <w:vertAlign w:val="baseline"/>
        </w:rPr>
        <w:t xml:space="preserve"> </w:t>
      </w:r>
      <w:r>
        <w:rPr>
          <w:w w:val="105"/>
          <w:sz w:val="19"/>
          <w:vertAlign w:val="baseline"/>
        </w:rPr>
        <w:t>and</w:t>
      </w:r>
      <w:r>
        <w:rPr>
          <w:spacing w:val="-4"/>
          <w:w w:val="105"/>
          <w:sz w:val="19"/>
          <w:vertAlign w:val="baseline"/>
        </w:rPr>
        <w:t xml:space="preserve"> </w:t>
      </w:r>
      <w:r>
        <w:rPr>
          <w:w w:val="105"/>
          <w:sz w:val="19"/>
          <w:vertAlign w:val="baseline"/>
        </w:rPr>
        <w:t>data analyst</w:t>
      </w:r>
      <w:r>
        <w:rPr>
          <w:spacing w:val="-2"/>
          <w:w w:val="105"/>
          <w:sz w:val="19"/>
          <w:vertAlign w:val="baseline"/>
        </w:rPr>
        <w:t xml:space="preserve"> </w:t>
      </w:r>
      <w:r>
        <w:rPr>
          <w:w w:val="105"/>
          <w:sz w:val="19"/>
          <w:vertAlign w:val="baseline"/>
        </w:rPr>
        <w:t>is</w:t>
      </w:r>
      <w:r>
        <w:rPr>
          <w:spacing w:val="-3"/>
          <w:w w:val="105"/>
          <w:sz w:val="19"/>
          <w:vertAlign w:val="baseline"/>
        </w:rPr>
        <w:t xml:space="preserve"> </w:t>
      </w:r>
      <w:r>
        <w:rPr>
          <w:w w:val="105"/>
          <w:sz w:val="19"/>
          <w:vertAlign w:val="baseline"/>
        </w:rPr>
        <w:t>respectively $165.71,</w:t>
      </w:r>
      <w:r>
        <w:rPr>
          <w:spacing w:val="-4"/>
          <w:w w:val="105"/>
          <w:sz w:val="19"/>
          <w:vertAlign w:val="baseline"/>
        </w:rPr>
        <w:t xml:space="preserve"> </w:t>
      </w:r>
      <w:r>
        <w:rPr>
          <w:w w:val="105"/>
          <w:sz w:val="19"/>
          <w:vertAlign w:val="baseline"/>
        </w:rPr>
        <w:t>$177.11, and</w:t>
      </w:r>
      <w:r>
        <w:rPr>
          <w:spacing w:val="-4"/>
          <w:w w:val="105"/>
          <w:sz w:val="19"/>
          <w:vertAlign w:val="baseline"/>
        </w:rPr>
        <w:t xml:space="preserve"> </w:t>
      </w:r>
      <w:r>
        <w:rPr>
          <w:w w:val="105"/>
          <w:sz w:val="19"/>
          <w:vertAlign w:val="baseline"/>
        </w:rPr>
        <w:t>$159.61. The</w:t>
      </w:r>
      <w:r>
        <w:rPr>
          <w:spacing w:val="-7"/>
          <w:w w:val="105"/>
          <w:sz w:val="19"/>
          <w:vertAlign w:val="baseline"/>
        </w:rPr>
        <w:t xml:space="preserve"> </w:t>
      </w:r>
      <w:r>
        <w:rPr>
          <w:w w:val="105"/>
          <w:sz w:val="19"/>
          <w:vertAlign w:val="baseline"/>
        </w:rPr>
        <w:t>composite wage rate is estimated in the following manner: [$165.71 × (1/3) + $177.11 × (1/3) x $159.61 x (1/3) = $167.48].</w:t>
      </w:r>
    </w:p>
    <w:p>
      <w:pPr>
        <w:spacing w:after="0" w:line="256" w:lineRule="auto"/>
        <w:jc w:val="left"/>
        <w:rPr>
          <w:sz w:val="19"/>
        </w:rPr>
        <w:sectPr>
          <w:pgSz w:w="12240" w:h="15840"/>
          <w:pgMar w:top="1640" w:right="1440" w:bottom="1060" w:left="1080" w:header="0" w:footer="873"/>
          <w:cols w:space="720"/>
        </w:sectPr>
      </w:pPr>
    </w:p>
    <w:p>
      <w:pPr>
        <w:pStyle w:val="Heading1"/>
        <w:spacing w:before="78"/>
      </w:pPr>
      <w:r>
        <w:t>TABLE 1:</w:t>
      </w:r>
      <w:r>
        <w:rPr>
          <w:spacing w:val="-9"/>
        </w:rPr>
        <w:t xml:space="preserve"> </w:t>
      </w:r>
      <w:r>
        <w:t>Adjusted Hourly</w:t>
      </w:r>
      <w:r>
        <w:rPr>
          <w:spacing w:val="1"/>
        </w:rPr>
        <w:t xml:space="preserve"> </w:t>
      </w:r>
      <w:r>
        <w:t>Wages</w:t>
      </w:r>
      <w:r>
        <w:rPr>
          <w:spacing w:val="-2"/>
        </w:rPr>
        <w:t xml:space="preserve"> </w:t>
      </w:r>
      <w:r>
        <w:t>Used in</w:t>
      </w:r>
      <w:r>
        <w:rPr>
          <w:spacing w:val="1"/>
        </w:rPr>
        <w:t xml:space="preserve"> </w:t>
      </w:r>
      <w:r>
        <w:t>Burden</w:t>
      </w:r>
      <w:r>
        <w:rPr>
          <w:spacing w:val="2"/>
        </w:rPr>
        <w:t xml:space="preserve"> </w:t>
      </w:r>
      <w:r>
        <w:rPr>
          <w:spacing w:val="-2"/>
        </w:rPr>
        <w:t>Estimates</w:t>
      </w:r>
    </w:p>
    <w:p>
      <w:pPr>
        <w:pStyle w:val="BodyText"/>
        <w:spacing w:before="42"/>
        <w:rPr>
          <w:b/>
          <w:sz w:val="20"/>
        </w:rPr>
      </w:pPr>
    </w:p>
    <w:tbl>
      <w:tblPr>
        <w:tblStyle w:val="TableNormal"/>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55"/>
        <w:gridCol w:w="2282"/>
        <w:gridCol w:w="3115"/>
      </w:tblGrid>
      <w:tr>
        <w:tblPrEx>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35"/>
          <w:jc w:val="left"/>
        </w:trPr>
        <w:tc>
          <w:tcPr>
            <w:tcW w:w="3955" w:type="dxa"/>
            <w:shd w:val="clear" w:color="auto" w:fill="F1F1F1"/>
          </w:tcPr>
          <w:p>
            <w:pPr>
              <w:pStyle w:val="TableParagraph"/>
              <w:spacing w:before="117"/>
              <w:ind w:left="1251"/>
              <w:rPr>
                <w:b/>
                <w:sz w:val="19"/>
              </w:rPr>
            </w:pPr>
            <w:r>
              <w:rPr>
                <w:b/>
                <w:w w:val="105"/>
                <w:sz w:val="19"/>
              </w:rPr>
              <w:t>Occupation</w:t>
            </w:r>
            <w:r>
              <w:rPr>
                <w:b/>
                <w:spacing w:val="-11"/>
                <w:w w:val="105"/>
                <w:sz w:val="19"/>
              </w:rPr>
              <w:t xml:space="preserve"> </w:t>
            </w:r>
            <w:r>
              <w:rPr>
                <w:b/>
                <w:spacing w:val="-4"/>
                <w:w w:val="105"/>
                <w:sz w:val="19"/>
              </w:rPr>
              <w:t>Title</w:t>
            </w:r>
          </w:p>
        </w:tc>
        <w:tc>
          <w:tcPr>
            <w:tcW w:w="2282" w:type="dxa"/>
            <w:shd w:val="clear" w:color="auto" w:fill="F1F1F1"/>
          </w:tcPr>
          <w:p>
            <w:pPr>
              <w:pStyle w:val="TableParagraph"/>
              <w:spacing w:before="117"/>
              <w:ind w:left="4" w:right="4"/>
              <w:jc w:val="center"/>
              <w:rPr>
                <w:b/>
                <w:sz w:val="19"/>
              </w:rPr>
            </w:pPr>
            <w:r>
              <w:rPr>
                <w:b/>
                <w:w w:val="105"/>
                <w:sz w:val="19"/>
              </w:rPr>
              <w:t>Occupational</w:t>
            </w:r>
            <w:r>
              <w:rPr>
                <w:b/>
                <w:spacing w:val="-5"/>
                <w:w w:val="105"/>
                <w:sz w:val="19"/>
              </w:rPr>
              <w:t xml:space="preserve"> </w:t>
            </w:r>
            <w:r>
              <w:rPr>
                <w:b/>
                <w:spacing w:val="-4"/>
                <w:w w:val="105"/>
                <w:sz w:val="19"/>
              </w:rPr>
              <w:t>Code</w:t>
            </w:r>
          </w:p>
        </w:tc>
        <w:tc>
          <w:tcPr>
            <w:tcW w:w="3115" w:type="dxa"/>
            <w:shd w:val="clear" w:color="auto" w:fill="F1F1F1"/>
          </w:tcPr>
          <w:p>
            <w:pPr>
              <w:pStyle w:val="TableParagraph"/>
              <w:spacing w:before="117"/>
              <w:ind w:right="2"/>
              <w:jc w:val="center"/>
              <w:rPr>
                <w:b/>
                <w:sz w:val="19"/>
              </w:rPr>
            </w:pPr>
            <w:r>
              <w:rPr>
                <w:b/>
                <w:w w:val="105"/>
                <w:sz w:val="19"/>
              </w:rPr>
              <w:t>Adjusted</w:t>
            </w:r>
            <w:r>
              <w:rPr>
                <w:b/>
                <w:spacing w:val="-3"/>
                <w:w w:val="105"/>
                <w:sz w:val="19"/>
              </w:rPr>
              <w:t xml:space="preserve"> </w:t>
            </w:r>
            <w:r>
              <w:rPr>
                <w:b/>
                <w:w w:val="105"/>
                <w:sz w:val="19"/>
              </w:rPr>
              <w:t>Hourly</w:t>
            </w:r>
            <w:r>
              <w:rPr>
                <w:b/>
                <w:spacing w:val="-4"/>
                <w:w w:val="105"/>
                <w:sz w:val="19"/>
              </w:rPr>
              <w:t xml:space="preserve"> </w:t>
            </w:r>
            <w:r>
              <w:rPr>
                <w:b/>
                <w:w w:val="105"/>
                <w:sz w:val="19"/>
              </w:rPr>
              <w:t>Wage</w:t>
            </w:r>
            <w:r>
              <w:rPr>
                <w:b/>
                <w:spacing w:val="-1"/>
                <w:w w:val="105"/>
                <w:sz w:val="19"/>
              </w:rPr>
              <w:t xml:space="preserve"> </w:t>
            </w:r>
            <w:r>
              <w:rPr>
                <w:b/>
                <w:spacing w:val="-2"/>
                <w:w w:val="105"/>
                <w:sz w:val="19"/>
              </w:rPr>
              <w:t>($/hr.)</w:t>
            </w:r>
          </w:p>
        </w:tc>
      </w:tr>
      <w:tr>
        <w:tblPrEx>
          <w:tblW w:w="0" w:type="auto"/>
          <w:jc w:val="left"/>
          <w:tblInd w:w="370" w:type="dxa"/>
          <w:tblLayout w:type="fixed"/>
          <w:tblCellMar>
            <w:top w:w="0" w:type="dxa"/>
            <w:left w:w="0" w:type="dxa"/>
            <w:bottom w:w="0" w:type="dxa"/>
            <w:right w:w="0" w:type="dxa"/>
          </w:tblCellMar>
          <w:tblLook w:val="01E0"/>
        </w:tblPrEx>
        <w:trPr>
          <w:trHeight w:val="455"/>
          <w:jc w:val="left"/>
        </w:trPr>
        <w:tc>
          <w:tcPr>
            <w:tcW w:w="3955" w:type="dxa"/>
          </w:tcPr>
          <w:p>
            <w:pPr>
              <w:pStyle w:val="TableParagraph"/>
              <w:spacing w:before="124"/>
              <w:ind w:left="143"/>
              <w:rPr>
                <w:sz w:val="19"/>
              </w:rPr>
            </w:pPr>
            <w:r>
              <w:rPr>
                <w:w w:val="105"/>
                <w:sz w:val="19"/>
              </w:rPr>
              <w:t>General</w:t>
            </w:r>
            <w:r>
              <w:rPr>
                <w:spacing w:val="-4"/>
                <w:w w:val="105"/>
                <w:sz w:val="19"/>
              </w:rPr>
              <w:t xml:space="preserve"> </w:t>
            </w:r>
            <w:r>
              <w:rPr>
                <w:w w:val="105"/>
                <w:sz w:val="19"/>
              </w:rPr>
              <w:t>and</w:t>
            </w:r>
            <w:r>
              <w:rPr>
                <w:spacing w:val="-5"/>
                <w:w w:val="105"/>
                <w:sz w:val="19"/>
              </w:rPr>
              <w:t xml:space="preserve"> </w:t>
            </w:r>
            <w:r>
              <w:rPr>
                <w:w w:val="105"/>
                <w:sz w:val="19"/>
              </w:rPr>
              <w:t>Operations</w:t>
            </w:r>
            <w:r>
              <w:rPr>
                <w:spacing w:val="-4"/>
                <w:w w:val="105"/>
                <w:sz w:val="19"/>
              </w:rPr>
              <w:t xml:space="preserve"> </w:t>
            </w:r>
            <w:r>
              <w:rPr>
                <w:spacing w:val="-2"/>
                <w:w w:val="105"/>
                <w:sz w:val="19"/>
              </w:rPr>
              <w:t>Managers</w:t>
            </w:r>
          </w:p>
        </w:tc>
        <w:tc>
          <w:tcPr>
            <w:tcW w:w="2282" w:type="dxa"/>
          </w:tcPr>
          <w:p>
            <w:pPr>
              <w:pStyle w:val="TableParagraph"/>
              <w:spacing w:before="124"/>
              <w:ind w:left="4" w:right="4"/>
              <w:jc w:val="center"/>
              <w:rPr>
                <w:sz w:val="19"/>
              </w:rPr>
            </w:pPr>
            <w:r>
              <w:rPr>
                <w:sz w:val="19"/>
              </w:rPr>
              <w:t>11-</w:t>
            </w:r>
            <w:r>
              <w:rPr>
                <w:spacing w:val="-4"/>
                <w:sz w:val="19"/>
              </w:rPr>
              <w:t>1021</w:t>
            </w:r>
          </w:p>
        </w:tc>
        <w:tc>
          <w:tcPr>
            <w:tcW w:w="3115" w:type="dxa"/>
          </w:tcPr>
          <w:p>
            <w:pPr>
              <w:pStyle w:val="TableParagraph"/>
              <w:spacing w:before="124"/>
              <w:ind w:left="1" w:right="2"/>
              <w:jc w:val="center"/>
              <w:rPr>
                <w:sz w:val="19"/>
              </w:rPr>
            </w:pPr>
            <w:r>
              <w:rPr>
                <w:spacing w:val="-2"/>
                <w:w w:val="105"/>
                <w:sz w:val="19"/>
              </w:rPr>
              <w:t>$137.67</w:t>
            </w:r>
          </w:p>
        </w:tc>
      </w:tr>
      <w:tr>
        <w:tblPrEx>
          <w:tblW w:w="0" w:type="auto"/>
          <w:jc w:val="left"/>
          <w:tblInd w:w="370" w:type="dxa"/>
          <w:tblLayout w:type="fixed"/>
          <w:tblCellMar>
            <w:top w:w="0" w:type="dxa"/>
            <w:left w:w="0" w:type="dxa"/>
            <w:bottom w:w="0" w:type="dxa"/>
            <w:right w:w="0" w:type="dxa"/>
          </w:tblCellMar>
          <w:tblLook w:val="01E0"/>
        </w:tblPrEx>
        <w:trPr>
          <w:trHeight w:val="462"/>
          <w:jc w:val="left"/>
        </w:trPr>
        <w:tc>
          <w:tcPr>
            <w:tcW w:w="3955" w:type="dxa"/>
          </w:tcPr>
          <w:p>
            <w:pPr>
              <w:pStyle w:val="TableParagraph"/>
              <w:spacing w:before="131"/>
              <w:ind w:left="143"/>
              <w:rPr>
                <w:sz w:val="19"/>
              </w:rPr>
            </w:pPr>
            <w:r>
              <w:rPr>
                <w:w w:val="105"/>
                <w:sz w:val="19"/>
              </w:rPr>
              <w:t>Business</w:t>
            </w:r>
            <w:r>
              <w:rPr>
                <w:spacing w:val="-6"/>
                <w:w w:val="105"/>
                <w:sz w:val="19"/>
              </w:rPr>
              <w:t xml:space="preserve"> </w:t>
            </w:r>
            <w:r>
              <w:rPr>
                <w:w w:val="105"/>
                <w:sz w:val="19"/>
              </w:rPr>
              <w:t>Operations</w:t>
            </w:r>
            <w:r>
              <w:rPr>
                <w:spacing w:val="-6"/>
                <w:w w:val="105"/>
                <w:sz w:val="19"/>
              </w:rPr>
              <w:t xml:space="preserve"> </w:t>
            </w:r>
            <w:r>
              <w:rPr>
                <w:spacing w:val="-2"/>
                <w:w w:val="105"/>
                <w:sz w:val="19"/>
              </w:rPr>
              <w:t>Specialists</w:t>
            </w:r>
          </w:p>
        </w:tc>
        <w:tc>
          <w:tcPr>
            <w:tcW w:w="2282" w:type="dxa"/>
          </w:tcPr>
          <w:p>
            <w:pPr>
              <w:pStyle w:val="TableParagraph"/>
              <w:spacing w:before="131"/>
              <w:ind w:left="4" w:right="4"/>
              <w:jc w:val="center"/>
              <w:rPr>
                <w:sz w:val="19"/>
              </w:rPr>
            </w:pPr>
            <w:r>
              <w:rPr>
                <w:sz w:val="19"/>
              </w:rPr>
              <w:t>13-</w:t>
            </w:r>
            <w:r>
              <w:rPr>
                <w:spacing w:val="-4"/>
                <w:sz w:val="19"/>
              </w:rPr>
              <w:t>1199</w:t>
            </w:r>
          </w:p>
        </w:tc>
        <w:tc>
          <w:tcPr>
            <w:tcW w:w="3115" w:type="dxa"/>
          </w:tcPr>
          <w:p>
            <w:pPr>
              <w:pStyle w:val="TableParagraph"/>
              <w:spacing w:before="131"/>
              <w:ind w:left="1" w:right="2"/>
              <w:jc w:val="center"/>
              <w:rPr>
                <w:sz w:val="19"/>
              </w:rPr>
            </w:pPr>
            <w:r>
              <w:rPr>
                <w:spacing w:val="-2"/>
                <w:w w:val="105"/>
                <w:sz w:val="19"/>
              </w:rPr>
              <w:t>$114.36</w:t>
            </w:r>
          </w:p>
        </w:tc>
      </w:tr>
      <w:tr>
        <w:tblPrEx>
          <w:tblW w:w="0" w:type="auto"/>
          <w:jc w:val="left"/>
          <w:tblInd w:w="370" w:type="dxa"/>
          <w:tblLayout w:type="fixed"/>
          <w:tblCellMar>
            <w:top w:w="0" w:type="dxa"/>
            <w:left w:w="0" w:type="dxa"/>
            <w:bottom w:w="0" w:type="dxa"/>
            <w:right w:w="0" w:type="dxa"/>
          </w:tblCellMar>
          <w:tblLook w:val="01E0"/>
        </w:tblPrEx>
        <w:trPr>
          <w:trHeight w:val="463"/>
          <w:jc w:val="left"/>
        </w:trPr>
        <w:tc>
          <w:tcPr>
            <w:tcW w:w="3955" w:type="dxa"/>
          </w:tcPr>
          <w:p>
            <w:pPr>
              <w:pStyle w:val="TableParagraph"/>
              <w:spacing w:before="125"/>
              <w:ind w:left="143"/>
              <w:rPr>
                <w:sz w:val="19"/>
              </w:rPr>
            </w:pPr>
            <w:r>
              <w:rPr>
                <w:spacing w:val="-2"/>
                <w:w w:val="105"/>
                <w:sz w:val="19"/>
              </w:rPr>
              <w:t>Lawyers</w:t>
            </w:r>
          </w:p>
        </w:tc>
        <w:tc>
          <w:tcPr>
            <w:tcW w:w="2282" w:type="dxa"/>
          </w:tcPr>
          <w:p>
            <w:pPr>
              <w:pStyle w:val="TableParagraph"/>
              <w:spacing w:before="125"/>
              <w:ind w:left="4" w:right="4"/>
              <w:jc w:val="center"/>
              <w:rPr>
                <w:sz w:val="19"/>
              </w:rPr>
            </w:pPr>
            <w:r>
              <w:rPr>
                <w:sz w:val="19"/>
              </w:rPr>
              <w:t>23-</w:t>
            </w:r>
            <w:r>
              <w:rPr>
                <w:spacing w:val="-4"/>
                <w:sz w:val="19"/>
              </w:rPr>
              <w:t>1011</w:t>
            </w:r>
          </w:p>
        </w:tc>
        <w:tc>
          <w:tcPr>
            <w:tcW w:w="3115" w:type="dxa"/>
          </w:tcPr>
          <w:p>
            <w:pPr>
              <w:pStyle w:val="TableParagraph"/>
              <w:spacing w:before="125"/>
              <w:ind w:left="1" w:right="2"/>
              <w:jc w:val="center"/>
              <w:rPr>
                <w:sz w:val="19"/>
              </w:rPr>
            </w:pPr>
            <w:r>
              <w:rPr>
                <w:spacing w:val="-2"/>
                <w:w w:val="105"/>
                <w:sz w:val="19"/>
              </w:rPr>
              <w:t>$165.71</w:t>
            </w:r>
          </w:p>
        </w:tc>
      </w:tr>
      <w:tr>
        <w:tblPrEx>
          <w:tblW w:w="0" w:type="auto"/>
          <w:jc w:val="left"/>
          <w:tblInd w:w="370" w:type="dxa"/>
          <w:tblLayout w:type="fixed"/>
          <w:tblCellMar>
            <w:top w:w="0" w:type="dxa"/>
            <w:left w:w="0" w:type="dxa"/>
            <w:bottom w:w="0" w:type="dxa"/>
            <w:right w:w="0" w:type="dxa"/>
          </w:tblCellMar>
          <w:tblLook w:val="01E0"/>
        </w:tblPrEx>
        <w:trPr>
          <w:trHeight w:val="456"/>
          <w:jc w:val="left"/>
        </w:trPr>
        <w:tc>
          <w:tcPr>
            <w:tcW w:w="3955" w:type="dxa"/>
          </w:tcPr>
          <w:p>
            <w:pPr>
              <w:pStyle w:val="TableParagraph"/>
              <w:spacing w:before="124"/>
              <w:ind w:left="143"/>
              <w:rPr>
                <w:sz w:val="19"/>
              </w:rPr>
            </w:pPr>
            <w:r>
              <w:rPr>
                <w:w w:val="105"/>
                <w:sz w:val="19"/>
              </w:rPr>
              <w:t>Secretaries</w:t>
            </w:r>
            <w:r>
              <w:rPr>
                <w:spacing w:val="-2"/>
                <w:w w:val="105"/>
                <w:sz w:val="19"/>
              </w:rPr>
              <w:t xml:space="preserve"> </w:t>
            </w:r>
            <w:r>
              <w:rPr>
                <w:w w:val="105"/>
                <w:sz w:val="19"/>
              </w:rPr>
              <w:t>and</w:t>
            </w:r>
            <w:r>
              <w:rPr>
                <w:spacing w:val="-3"/>
                <w:w w:val="105"/>
                <w:sz w:val="19"/>
              </w:rPr>
              <w:t xml:space="preserve"> </w:t>
            </w:r>
            <w:r>
              <w:rPr>
                <w:w w:val="105"/>
                <w:sz w:val="19"/>
              </w:rPr>
              <w:t>Administrative</w:t>
            </w:r>
            <w:r>
              <w:rPr>
                <w:spacing w:val="-5"/>
                <w:w w:val="105"/>
                <w:sz w:val="19"/>
              </w:rPr>
              <w:t xml:space="preserve"> </w:t>
            </w:r>
            <w:r>
              <w:rPr>
                <w:spacing w:val="-2"/>
                <w:w w:val="105"/>
                <w:sz w:val="19"/>
              </w:rPr>
              <w:t>Assistants</w:t>
            </w:r>
          </w:p>
        </w:tc>
        <w:tc>
          <w:tcPr>
            <w:tcW w:w="2282" w:type="dxa"/>
          </w:tcPr>
          <w:p>
            <w:pPr>
              <w:pStyle w:val="TableParagraph"/>
              <w:spacing w:before="124"/>
              <w:ind w:left="4" w:right="4"/>
              <w:jc w:val="center"/>
              <w:rPr>
                <w:sz w:val="19"/>
              </w:rPr>
            </w:pPr>
            <w:r>
              <w:rPr>
                <w:sz w:val="19"/>
              </w:rPr>
              <w:t>43-</w:t>
            </w:r>
            <w:r>
              <w:rPr>
                <w:spacing w:val="-4"/>
                <w:sz w:val="19"/>
              </w:rPr>
              <w:t>6014</w:t>
            </w:r>
          </w:p>
        </w:tc>
        <w:tc>
          <w:tcPr>
            <w:tcW w:w="3115" w:type="dxa"/>
          </w:tcPr>
          <w:p>
            <w:pPr>
              <w:pStyle w:val="TableParagraph"/>
              <w:spacing w:before="124"/>
              <w:ind w:left="1" w:right="2"/>
              <w:jc w:val="center"/>
              <w:rPr>
                <w:sz w:val="19"/>
              </w:rPr>
            </w:pPr>
            <w:r>
              <w:rPr>
                <w:spacing w:val="-2"/>
                <w:w w:val="105"/>
                <w:sz w:val="19"/>
              </w:rPr>
              <w:t>$65.99</w:t>
            </w:r>
          </w:p>
        </w:tc>
      </w:tr>
      <w:tr>
        <w:tblPrEx>
          <w:tblW w:w="0" w:type="auto"/>
          <w:jc w:val="left"/>
          <w:tblInd w:w="370" w:type="dxa"/>
          <w:tblLayout w:type="fixed"/>
          <w:tblCellMar>
            <w:top w:w="0" w:type="dxa"/>
            <w:left w:w="0" w:type="dxa"/>
            <w:bottom w:w="0" w:type="dxa"/>
            <w:right w:w="0" w:type="dxa"/>
          </w:tblCellMar>
          <w:tblLook w:val="01E0"/>
        </w:tblPrEx>
        <w:trPr>
          <w:trHeight w:val="463"/>
          <w:jc w:val="left"/>
        </w:trPr>
        <w:tc>
          <w:tcPr>
            <w:tcW w:w="3955" w:type="dxa"/>
          </w:tcPr>
          <w:p>
            <w:pPr>
              <w:pStyle w:val="TableParagraph"/>
              <w:spacing w:before="132"/>
              <w:ind w:left="143"/>
              <w:rPr>
                <w:sz w:val="19"/>
              </w:rPr>
            </w:pPr>
            <w:r>
              <w:rPr>
                <w:spacing w:val="-2"/>
                <w:w w:val="105"/>
                <w:sz w:val="19"/>
              </w:rPr>
              <w:t>Actuaries</w:t>
            </w:r>
          </w:p>
        </w:tc>
        <w:tc>
          <w:tcPr>
            <w:tcW w:w="2282" w:type="dxa"/>
          </w:tcPr>
          <w:p>
            <w:pPr>
              <w:pStyle w:val="TableParagraph"/>
              <w:spacing w:before="132"/>
              <w:ind w:left="4" w:right="4"/>
              <w:jc w:val="center"/>
              <w:rPr>
                <w:sz w:val="19"/>
              </w:rPr>
            </w:pPr>
            <w:r>
              <w:rPr>
                <w:sz w:val="19"/>
              </w:rPr>
              <w:t>15-</w:t>
            </w:r>
            <w:r>
              <w:rPr>
                <w:spacing w:val="-4"/>
                <w:sz w:val="19"/>
              </w:rPr>
              <w:t>2011</w:t>
            </w:r>
          </w:p>
        </w:tc>
        <w:tc>
          <w:tcPr>
            <w:tcW w:w="3115" w:type="dxa"/>
          </w:tcPr>
          <w:p>
            <w:pPr>
              <w:pStyle w:val="TableParagraph"/>
              <w:spacing w:before="132"/>
              <w:ind w:left="1" w:right="2"/>
              <w:jc w:val="center"/>
              <w:rPr>
                <w:sz w:val="19"/>
              </w:rPr>
            </w:pPr>
            <w:r>
              <w:rPr>
                <w:spacing w:val="-2"/>
                <w:w w:val="105"/>
                <w:sz w:val="19"/>
              </w:rPr>
              <w:t>$177.11</w:t>
            </w:r>
          </w:p>
        </w:tc>
      </w:tr>
      <w:tr>
        <w:tblPrEx>
          <w:tblW w:w="0" w:type="auto"/>
          <w:jc w:val="left"/>
          <w:tblInd w:w="370" w:type="dxa"/>
          <w:tblLayout w:type="fixed"/>
          <w:tblCellMar>
            <w:top w:w="0" w:type="dxa"/>
            <w:left w:w="0" w:type="dxa"/>
            <w:bottom w:w="0" w:type="dxa"/>
            <w:right w:w="0" w:type="dxa"/>
          </w:tblCellMar>
          <w:tblLook w:val="01E0"/>
        </w:tblPrEx>
        <w:trPr>
          <w:trHeight w:val="455"/>
          <w:jc w:val="left"/>
        </w:trPr>
        <w:tc>
          <w:tcPr>
            <w:tcW w:w="3955" w:type="dxa"/>
          </w:tcPr>
          <w:p>
            <w:pPr>
              <w:pStyle w:val="TableParagraph"/>
              <w:spacing w:before="124"/>
              <w:ind w:left="143"/>
              <w:rPr>
                <w:sz w:val="19"/>
              </w:rPr>
            </w:pPr>
            <w:r>
              <w:rPr>
                <w:w w:val="105"/>
                <w:sz w:val="19"/>
              </w:rPr>
              <w:t>Data</w:t>
            </w:r>
            <w:r>
              <w:rPr>
                <w:spacing w:val="-5"/>
                <w:w w:val="105"/>
                <w:sz w:val="19"/>
              </w:rPr>
              <w:t xml:space="preserve"> </w:t>
            </w:r>
            <w:r>
              <w:rPr>
                <w:spacing w:val="-2"/>
                <w:w w:val="105"/>
                <w:sz w:val="19"/>
              </w:rPr>
              <w:t>Analysts</w:t>
            </w:r>
          </w:p>
        </w:tc>
        <w:tc>
          <w:tcPr>
            <w:tcW w:w="2282" w:type="dxa"/>
          </w:tcPr>
          <w:p>
            <w:pPr>
              <w:pStyle w:val="TableParagraph"/>
              <w:spacing w:before="124"/>
              <w:ind w:left="4" w:right="4"/>
              <w:jc w:val="center"/>
              <w:rPr>
                <w:sz w:val="19"/>
              </w:rPr>
            </w:pPr>
            <w:r>
              <w:rPr>
                <w:sz w:val="19"/>
              </w:rPr>
              <w:t>15-</w:t>
            </w:r>
            <w:r>
              <w:rPr>
                <w:spacing w:val="-4"/>
                <w:sz w:val="19"/>
              </w:rPr>
              <w:t>1251</w:t>
            </w:r>
          </w:p>
        </w:tc>
        <w:tc>
          <w:tcPr>
            <w:tcW w:w="3115" w:type="dxa"/>
          </w:tcPr>
          <w:p>
            <w:pPr>
              <w:pStyle w:val="TableParagraph"/>
              <w:spacing w:before="124"/>
              <w:ind w:left="1" w:right="2"/>
              <w:jc w:val="center"/>
              <w:rPr>
                <w:sz w:val="19"/>
              </w:rPr>
            </w:pPr>
            <w:r>
              <w:rPr>
                <w:spacing w:val="-2"/>
                <w:w w:val="105"/>
                <w:sz w:val="19"/>
              </w:rPr>
              <w:t>$159.61</w:t>
            </w:r>
          </w:p>
        </w:tc>
      </w:tr>
      <w:tr>
        <w:tblPrEx>
          <w:tblW w:w="0" w:type="auto"/>
          <w:jc w:val="left"/>
          <w:tblInd w:w="370" w:type="dxa"/>
          <w:tblLayout w:type="fixed"/>
          <w:tblCellMar>
            <w:top w:w="0" w:type="dxa"/>
            <w:left w:w="0" w:type="dxa"/>
            <w:bottom w:w="0" w:type="dxa"/>
            <w:right w:w="0" w:type="dxa"/>
          </w:tblCellMar>
          <w:tblLook w:val="01E0"/>
        </w:tblPrEx>
        <w:trPr>
          <w:trHeight w:val="463"/>
          <w:jc w:val="left"/>
        </w:trPr>
        <w:tc>
          <w:tcPr>
            <w:tcW w:w="3955" w:type="dxa"/>
          </w:tcPr>
          <w:p>
            <w:pPr>
              <w:pStyle w:val="TableParagraph"/>
              <w:spacing w:before="131"/>
              <w:ind w:left="143"/>
              <w:rPr>
                <w:sz w:val="19"/>
              </w:rPr>
            </w:pPr>
            <w:r>
              <w:rPr>
                <w:w w:val="105"/>
                <w:sz w:val="19"/>
              </w:rPr>
              <w:t>Composite</w:t>
            </w:r>
            <w:r>
              <w:rPr>
                <w:spacing w:val="-9"/>
                <w:w w:val="105"/>
                <w:sz w:val="19"/>
              </w:rPr>
              <w:t xml:space="preserve"> </w:t>
            </w:r>
            <w:r>
              <w:rPr>
                <w:w w:val="105"/>
                <w:sz w:val="19"/>
              </w:rPr>
              <w:t>(Lawyer,</w:t>
            </w:r>
            <w:r>
              <w:rPr>
                <w:spacing w:val="1"/>
                <w:w w:val="105"/>
                <w:sz w:val="19"/>
              </w:rPr>
              <w:t xml:space="preserve"> </w:t>
            </w:r>
            <w:r>
              <w:rPr>
                <w:w w:val="105"/>
                <w:sz w:val="19"/>
              </w:rPr>
              <w:t>Actuary,</w:t>
            </w:r>
            <w:r>
              <w:rPr>
                <w:spacing w:val="1"/>
                <w:w w:val="105"/>
                <w:sz w:val="19"/>
              </w:rPr>
              <w:t xml:space="preserve"> </w:t>
            </w:r>
            <w:r>
              <w:rPr>
                <w:w w:val="105"/>
                <w:sz w:val="19"/>
              </w:rPr>
              <w:t>Data</w:t>
            </w:r>
            <w:r>
              <w:rPr>
                <w:spacing w:val="-1"/>
                <w:w w:val="105"/>
                <w:sz w:val="19"/>
              </w:rPr>
              <w:t xml:space="preserve"> </w:t>
            </w:r>
            <w:r>
              <w:rPr>
                <w:spacing w:val="-2"/>
                <w:w w:val="105"/>
                <w:sz w:val="19"/>
              </w:rPr>
              <w:t>Analyst)</w:t>
            </w:r>
          </w:p>
        </w:tc>
        <w:tc>
          <w:tcPr>
            <w:tcW w:w="2282" w:type="dxa"/>
          </w:tcPr>
          <w:p>
            <w:pPr>
              <w:pStyle w:val="TableParagraph"/>
              <w:spacing w:before="131"/>
              <w:ind w:right="4"/>
              <w:jc w:val="center"/>
              <w:rPr>
                <w:sz w:val="19"/>
              </w:rPr>
            </w:pPr>
            <w:r>
              <w:rPr>
                <w:spacing w:val="-2"/>
                <w:w w:val="105"/>
                <w:sz w:val="19"/>
              </w:rPr>
              <w:t>Composite</w:t>
            </w:r>
          </w:p>
        </w:tc>
        <w:tc>
          <w:tcPr>
            <w:tcW w:w="3115" w:type="dxa"/>
          </w:tcPr>
          <w:p>
            <w:pPr>
              <w:pStyle w:val="TableParagraph"/>
              <w:spacing w:before="131"/>
              <w:ind w:left="1" w:right="2"/>
              <w:jc w:val="center"/>
              <w:rPr>
                <w:sz w:val="19"/>
              </w:rPr>
            </w:pPr>
            <w:r>
              <w:rPr>
                <w:spacing w:val="-2"/>
                <w:w w:val="105"/>
                <w:sz w:val="19"/>
              </w:rPr>
              <w:t>$167.48</w:t>
            </w:r>
          </w:p>
        </w:tc>
      </w:tr>
    </w:tbl>
    <w:p>
      <w:pPr>
        <w:pStyle w:val="BodyText"/>
        <w:spacing w:before="9"/>
        <w:rPr>
          <w:b/>
        </w:rPr>
      </w:pPr>
    </w:p>
    <w:p>
      <w:pPr>
        <w:pStyle w:val="BodyText"/>
        <w:ind w:left="791"/>
      </w:pPr>
      <w:bookmarkStart w:id="24" w:name="NQTL Comparative Analysis Documentation "/>
      <w:bookmarkEnd w:id="24"/>
      <w:r>
        <w:rPr>
          <w:u w:val="single"/>
        </w:rPr>
        <w:t>NQTL</w:t>
      </w:r>
      <w:r>
        <w:rPr>
          <w:spacing w:val="-9"/>
          <w:u w:val="single"/>
        </w:rPr>
        <w:t xml:space="preserve"> </w:t>
      </w:r>
      <w:r>
        <w:rPr>
          <w:u w:val="single"/>
        </w:rPr>
        <w:t>Comparative</w:t>
      </w:r>
      <w:r>
        <w:rPr>
          <w:spacing w:val="-1"/>
          <w:u w:val="single"/>
        </w:rPr>
        <w:t xml:space="preserve"> </w:t>
      </w:r>
      <w:r>
        <w:rPr>
          <w:u w:val="single"/>
        </w:rPr>
        <w:t>Analysis</w:t>
      </w:r>
      <w:r>
        <w:rPr>
          <w:spacing w:val="-3"/>
          <w:u w:val="single"/>
        </w:rPr>
        <w:t xml:space="preserve"> </w:t>
      </w:r>
      <w:r>
        <w:rPr>
          <w:u w:val="single"/>
        </w:rPr>
        <w:t>Documentation and</w:t>
      </w:r>
      <w:r>
        <w:rPr>
          <w:spacing w:val="-2"/>
          <w:u w:val="single"/>
        </w:rPr>
        <w:t xml:space="preserve"> </w:t>
      </w:r>
      <w:r>
        <w:rPr>
          <w:u w:val="single"/>
        </w:rPr>
        <w:t>Data</w:t>
      </w:r>
      <w:r>
        <w:rPr>
          <w:spacing w:val="-1"/>
          <w:u w:val="single"/>
        </w:rPr>
        <w:t xml:space="preserve"> </w:t>
      </w:r>
      <w:r>
        <w:rPr>
          <w:spacing w:val="-2"/>
          <w:u w:val="single"/>
        </w:rPr>
        <w:t>Requirements:</w:t>
      </w:r>
    </w:p>
    <w:p>
      <w:pPr>
        <w:pStyle w:val="BodyText"/>
        <w:spacing w:before="275"/>
        <w:ind w:left="791" w:right="83"/>
      </w:pPr>
      <w:r>
        <w:t>The CAA, 2021 requires plans and issuers to perform and document comparative analyses for all NQTLs imposed on MH/SUD benefits. For an analysis to be treated as sufficient under the CAA, 2021, it must contain a detailed, written, and reasoned explanation of the specific plan terms and practices at issue, and include the bases for the plan’s or issuer’s conclusion that the NQTLs comply with MHPAEA. We expect that plans and issuers were already conducting NQTL analyses as best practice when creating benefit packages to ensure</w:t>
      </w:r>
      <w:r>
        <w:rPr>
          <w:spacing w:val="-2"/>
        </w:rPr>
        <w:t xml:space="preserve"> </w:t>
      </w:r>
      <w:r>
        <w:t>that</w:t>
      </w:r>
      <w:r>
        <w:rPr>
          <w:spacing w:val="-5"/>
        </w:rPr>
        <w:t xml:space="preserve"> </w:t>
      </w:r>
      <w:r>
        <w:t>the</w:t>
      </w:r>
      <w:r>
        <w:rPr>
          <w:spacing w:val="-2"/>
        </w:rPr>
        <w:t xml:space="preserve"> </w:t>
      </w:r>
      <w:r>
        <w:t>NQTLs</w:t>
      </w:r>
      <w:r>
        <w:rPr>
          <w:spacing w:val="-3"/>
        </w:rPr>
        <w:t xml:space="preserve"> </w:t>
      </w:r>
      <w:r>
        <w:t>are</w:t>
      </w:r>
      <w:r>
        <w:rPr>
          <w:spacing w:val="-2"/>
        </w:rPr>
        <w:t xml:space="preserve"> </w:t>
      </w:r>
      <w:r>
        <w:t>imposed</w:t>
      </w:r>
      <w:r>
        <w:rPr>
          <w:spacing w:val="-2"/>
        </w:rPr>
        <w:t xml:space="preserve"> </w:t>
      </w:r>
      <w:r>
        <w:t>in</w:t>
      </w:r>
      <w:r>
        <w:rPr>
          <w:spacing w:val="-2"/>
        </w:rPr>
        <w:t xml:space="preserve"> </w:t>
      </w:r>
      <w:r>
        <w:t>a</w:t>
      </w:r>
      <w:r>
        <w:rPr>
          <w:spacing w:val="-2"/>
        </w:rPr>
        <w:t xml:space="preserve"> </w:t>
      </w:r>
      <w:r>
        <w:t>manner</w:t>
      </w:r>
      <w:r>
        <w:rPr>
          <w:spacing w:val="-3"/>
        </w:rPr>
        <w:t xml:space="preserve"> </w:t>
      </w:r>
      <w:r>
        <w:t>that</w:t>
      </w:r>
      <w:r>
        <w:rPr>
          <w:spacing w:val="-5"/>
        </w:rPr>
        <w:t xml:space="preserve"> </w:t>
      </w:r>
      <w:r>
        <w:t>is</w:t>
      </w:r>
      <w:r>
        <w:rPr>
          <w:spacing w:val="-3"/>
        </w:rPr>
        <w:t xml:space="preserve"> </w:t>
      </w:r>
      <w:r>
        <w:t>compliant</w:t>
      </w:r>
      <w:r>
        <w:rPr>
          <w:spacing w:val="-4"/>
        </w:rPr>
        <w:t xml:space="preserve"> </w:t>
      </w:r>
      <w:r>
        <w:t>with</w:t>
      </w:r>
      <w:r>
        <w:rPr>
          <w:spacing w:val="-2"/>
        </w:rPr>
        <w:t xml:space="preserve"> </w:t>
      </w:r>
      <w:r>
        <w:t>MHPAEA. Also, the 2024 final rules require that issuers and plans document the action that has been or is being taken by the issuer or plan to mitigate any material</w:t>
      </w:r>
      <w:r>
        <w:rPr>
          <w:spacing w:val="-2"/>
        </w:rPr>
        <w:t xml:space="preserve"> </w:t>
      </w:r>
      <w:r>
        <w:t>differences in access between MH/SUD benefits and medical/surgical benefits as necessary to ensure compliance. As discussed in section A of this supporting statement, the 2024 final rules require plans and issuers to collect and evaluate relevant data as part of each comparative analysis, including but not limited to claims denials, data relevant to the NQTL required by State law or private accreditation standards, utilization rates, network adequacy metrics, and provider reimbursement rates, in fulfillment of the existing requirement that they evaluate and document their evaluation as part of the analysis of the application of NQTLs related to network composition.</w:t>
      </w:r>
    </w:p>
    <w:p>
      <w:pPr>
        <w:pStyle w:val="BodyText"/>
        <w:spacing w:after="0"/>
        <w:sectPr>
          <w:pgSz w:w="12240" w:h="15840"/>
          <w:pgMar w:top="1640" w:right="1440" w:bottom="1060" w:left="1080" w:header="0" w:footer="873"/>
          <w:cols w:space="720"/>
        </w:sectPr>
      </w:pPr>
    </w:p>
    <w:p>
      <w:pPr>
        <w:pStyle w:val="BodyText"/>
        <w:spacing w:before="62"/>
        <w:ind w:left="791"/>
      </w:pPr>
      <w:r>
        <w:t>We</w:t>
      </w:r>
      <w:r>
        <w:rPr>
          <w:spacing w:val="-6"/>
        </w:rPr>
        <w:t xml:space="preserve"> </w:t>
      </w:r>
      <w:r>
        <w:t>estimate</w:t>
      </w:r>
      <w:r>
        <w:rPr>
          <w:spacing w:val="-2"/>
        </w:rPr>
        <w:t xml:space="preserve"> </w:t>
      </w:r>
      <w:r>
        <w:t>there</w:t>
      </w:r>
      <w:r>
        <w:rPr>
          <w:spacing w:val="-2"/>
        </w:rPr>
        <w:t xml:space="preserve"> </w:t>
      </w:r>
      <w:r>
        <w:t>is</w:t>
      </w:r>
      <w:r>
        <w:rPr>
          <w:spacing w:val="-3"/>
        </w:rPr>
        <w:t xml:space="preserve"> </w:t>
      </w:r>
      <w:r>
        <w:t>a</w:t>
      </w:r>
      <w:r>
        <w:rPr>
          <w:spacing w:val="-2"/>
        </w:rPr>
        <w:t xml:space="preserve"> </w:t>
      </w:r>
      <w:r>
        <w:t>total</w:t>
      </w:r>
      <w:r>
        <w:rPr>
          <w:spacing w:val="-5"/>
        </w:rPr>
        <w:t xml:space="preserve"> of:</w:t>
      </w:r>
    </w:p>
    <w:p>
      <w:pPr>
        <w:pStyle w:val="BodyText"/>
        <w:spacing w:before="3"/>
      </w:pPr>
    </w:p>
    <w:p>
      <w:pPr>
        <w:pStyle w:val="ListParagraph"/>
        <w:numPr>
          <w:ilvl w:val="0"/>
          <w:numId w:val="1"/>
        </w:numPr>
        <w:tabs>
          <w:tab w:val="left" w:pos="1512"/>
        </w:tabs>
        <w:spacing w:before="0" w:after="0" w:line="240" w:lineRule="auto"/>
        <w:ind w:left="1512" w:right="347" w:hanging="360"/>
        <w:jc w:val="left"/>
        <w:rPr>
          <w:sz w:val="24"/>
        </w:rPr>
      </w:pPr>
      <w:r>
        <w:rPr>
          <w:sz w:val="24"/>
        </w:rPr>
        <w:t>479</w:t>
      </w:r>
      <w:r>
        <w:rPr>
          <w:spacing w:val="-4"/>
          <w:sz w:val="24"/>
        </w:rPr>
        <w:t xml:space="preserve"> </w:t>
      </w:r>
      <w:r>
        <w:rPr>
          <w:sz w:val="24"/>
        </w:rPr>
        <w:t>health</w:t>
      </w:r>
      <w:r>
        <w:rPr>
          <w:spacing w:val="-4"/>
          <w:sz w:val="24"/>
        </w:rPr>
        <w:t xml:space="preserve"> </w:t>
      </w:r>
      <w:r>
        <w:rPr>
          <w:sz w:val="24"/>
        </w:rPr>
        <w:t>insurance</w:t>
      </w:r>
      <w:r>
        <w:rPr>
          <w:spacing w:val="-5"/>
          <w:sz w:val="24"/>
        </w:rPr>
        <w:t xml:space="preserve"> </w:t>
      </w:r>
      <w:r>
        <w:rPr>
          <w:sz w:val="24"/>
        </w:rPr>
        <w:t>companies</w:t>
      </w:r>
      <w:r>
        <w:rPr>
          <w:spacing w:val="-6"/>
          <w:sz w:val="24"/>
        </w:rPr>
        <w:t xml:space="preserve"> </w:t>
      </w:r>
      <w:r>
        <w:rPr>
          <w:sz w:val="24"/>
        </w:rPr>
        <w:t>nationwide</w:t>
      </w:r>
      <w:hyperlink w:anchor="_bookmark9" w:history="1">
        <w:r>
          <w:rPr>
            <w:position w:val="8"/>
            <w:sz w:val="12"/>
          </w:rPr>
          <w:t>10</w:t>
        </w:r>
      </w:hyperlink>
      <w:r>
        <w:rPr>
          <w:spacing w:val="26"/>
          <w:position w:val="8"/>
          <w:sz w:val="12"/>
        </w:rPr>
        <w:t xml:space="preserve"> </w:t>
      </w:r>
      <w:r>
        <w:rPr>
          <w:sz w:val="24"/>
        </w:rPr>
        <w:t>offering</w:t>
      </w:r>
      <w:r>
        <w:rPr>
          <w:spacing w:val="-4"/>
          <w:sz w:val="24"/>
        </w:rPr>
        <w:t xml:space="preserve"> </w:t>
      </w:r>
      <w:r>
        <w:rPr>
          <w:sz w:val="24"/>
        </w:rPr>
        <w:t>individual</w:t>
      </w:r>
      <w:r>
        <w:rPr>
          <w:spacing w:val="-7"/>
          <w:sz w:val="24"/>
        </w:rPr>
        <w:t xml:space="preserve"> </w:t>
      </w:r>
      <w:r>
        <w:rPr>
          <w:sz w:val="24"/>
        </w:rPr>
        <w:t>and</w:t>
      </w:r>
      <w:r>
        <w:rPr>
          <w:spacing w:val="-5"/>
          <w:sz w:val="24"/>
        </w:rPr>
        <w:t xml:space="preserve"> </w:t>
      </w:r>
      <w:r>
        <w:rPr>
          <w:sz w:val="24"/>
        </w:rPr>
        <w:t>group</w:t>
      </w:r>
      <w:r>
        <w:rPr>
          <w:spacing w:val="-4"/>
          <w:sz w:val="24"/>
        </w:rPr>
        <w:t xml:space="preserve"> </w:t>
      </w:r>
      <w:r>
        <w:rPr>
          <w:sz w:val="24"/>
        </w:rPr>
        <w:t xml:space="preserve">health coverage across the country, with 1,467 issuers (health insurance company/State </w:t>
      </w:r>
      <w:r>
        <w:rPr>
          <w:spacing w:val="-2"/>
          <w:sz w:val="24"/>
        </w:rPr>
        <w:t>combinations);</w:t>
      </w:r>
    </w:p>
    <w:p>
      <w:pPr>
        <w:pStyle w:val="ListParagraph"/>
        <w:numPr>
          <w:ilvl w:val="0"/>
          <w:numId w:val="1"/>
        </w:numPr>
        <w:tabs>
          <w:tab w:val="left" w:pos="1511"/>
        </w:tabs>
        <w:spacing w:before="0" w:after="0" w:line="288" w:lineRule="exact"/>
        <w:ind w:left="1511" w:right="0" w:hanging="360"/>
        <w:jc w:val="left"/>
        <w:rPr>
          <w:sz w:val="24"/>
        </w:rPr>
      </w:pPr>
      <w:r>
        <w:rPr>
          <w:sz w:val="24"/>
        </w:rPr>
        <w:t>32,901</w:t>
      </w:r>
      <w:r>
        <w:rPr>
          <w:spacing w:val="-1"/>
          <w:sz w:val="24"/>
        </w:rPr>
        <w:t xml:space="preserve"> </w:t>
      </w:r>
      <w:r>
        <w:rPr>
          <w:sz w:val="24"/>
        </w:rPr>
        <w:t>self-funded</w:t>
      </w:r>
      <w:r>
        <w:rPr>
          <w:spacing w:val="-1"/>
          <w:sz w:val="24"/>
        </w:rPr>
        <w:t xml:space="preserve"> </w:t>
      </w:r>
      <w:r>
        <w:rPr>
          <w:sz w:val="24"/>
        </w:rPr>
        <w:t>non-Federal</w:t>
      </w:r>
      <w:r>
        <w:rPr>
          <w:spacing w:val="-3"/>
          <w:sz w:val="24"/>
        </w:rPr>
        <w:t xml:space="preserve"> </w:t>
      </w:r>
      <w:r>
        <w:rPr>
          <w:sz w:val="24"/>
        </w:rPr>
        <w:t>governmental</w:t>
      </w:r>
      <w:r>
        <w:rPr>
          <w:spacing w:val="-4"/>
          <w:sz w:val="24"/>
        </w:rPr>
        <w:t xml:space="preserve"> </w:t>
      </w:r>
      <w:r>
        <w:rPr>
          <w:sz w:val="24"/>
        </w:rPr>
        <w:t>plan</w:t>
      </w:r>
      <w:r>
        <w:rPr>
          <w:spacing w:val="-1"/>
          <w:sz w:val="24"/>
        </w:rPr>
        <w:t xml:space="preserve"> </w:t>
      </w:r>
      <w:r>
        <w:rPr>
          <w:sz w:val="24"/>
        </w:rPr>
        <w:t>sponsors;</w:t>
      </w:r>
      <w:r>
        <w:rPr>
          <w:spacing w:val="-3"/>
          <w:sz w:val="24"/>
        </w:rPr>
        <w:t xml:space="preserve"> </w:t>
      </w:r>
      <w:r>
        <w:rPr>
          <w:spacing w:val="-5"/>
          <w:sz w:val="24"/>
        </w:rPr>
        <w:t>and</w:t>
      </w:r>
    </w:p>
    <w:p>
      <w:pPr>
        <w:pStyle w:val="ListParagraph"/>
        <w:numPr>
          <w:ilvl w:val="0"/>
          <w:numId w:val="1"/>
        </w:numPr>
        <w:tabs>
          <w:tab w:val="left" w:pos="1512"/>
        </w:tabs>
        <w:spacing w:before="3" w:after="0" w:line="240" w:lineRule="auto"/>
        <w:ind w:left="1512" w:right="213" w:hanging="360"/>
        <w:jc w:val="left"/>
        <w:rPr>
          <w:sz w:val="24"/>
        </w:rPr>
      </w:pPr>
      <w:r>
        <w:rPr>
          <w:sz w:val="24"/>
        </w:rPr>
        <w:t>205</w:t>
      </w:r>
      <w:r>
        <w:rPr>
          <w:spacing w:val="-2"/>
          <w:sz w:val="24"/>
        </w:rPr>
        <w:t xml:space="preserve"> </w:t>
      </w:r>
      <w:r>
        <w:rPr>
          <w:sz w:val="24"/>
        </w:rPr>
        <w:t>third-party</w:t>
      </w:r>
      <w:r>
        <w:rPr>
          <w:spacing w:val="-3"/>
          <w:sz w:val="24"/>
        </w:rPr>
        <w:t xml:space="preserve"> </w:t>
      </w:r>
      <w:r>
        <w:rPr>
          <w:sz w:val="24"/>
        </w:rPr>
        <w:t>administrators</w:t>
      </w:r>
      <w:r>
        <w:rPr>
          <w:spacing w:val="-5"/>
          <w:sz w:val="24"/>
        </w:rPr>
        <w:t xml:space="preserve"> </w:t>
      </w:r>
      <w:r>
        <w:rPr>
          <w:sz w:val="24"/>
        </w:rPr>
        <w:t>(TPAs)</w:t>
      </w:r>
      <w:r>
        <w:rPr>
          <w:spacing w:val="-5"/>
          <w:sz w:val="24"/>
        </w:rPr>
        <w:t xml:space="preserve"> </w:t>
      </w:r>
      <w:r>
        <w:rPr>
          <w:sz w:val="24"/>
        </w:rPr>
        <w:t>that</w:t>
      </w:r>
      <w:r>
        <w:rPr>
          <w:spacing w:val="-5"/>
          <w:sz w:val="24"/>
        </w:rPr>
        <w:t xml:space="preserve"> </w:t>
      </w:r>
      <w:r>
        <w:rPr>
          <w:sz w:val="24"/>
        </w:rPr>
        <w:t>will</w:t>
      </w:r>
      <w:r>
        <w:rPr>
          <w:spacing w:val="-5"/>
          <w:sz w:val="24"/>
        </w:rPr>
        <w:t xml:space="preserve"> </w:t>
      </w:r>
      <w:r>
        <w:rPr>
          <w:sz w:val="24"/>
        </w:rPr>
        <w:t>provide</w:t>
      </w:r>
      <w:r>
        <w:rPr>
          <w:spacing w:val="-4"/>
          <w:sz w:val="24"/>
        </w:rPr>
        <w:t xml:space="preserve"> </w:t>
      </w:r>
      <w:r>
        <w:rPr>
          <w:sz w:val="24"/>
        </w:rPr>
        <w:t>services</w:t>
      </w:r>
      <w:r>
        <w:rPr>
          <w:spacing w:val="-5"/>
          <w:sz w:val="24"/>
        </w:rPr>
        <w:t xml:space="preserve"> </w:t>
      </w:r>
      <w:r>
        <w:rPr>
          <w:sz w:val="24"/>
        </w:rPr>
        <w:t>to</w:t>
      </w:r>
      <w:r>
        <w:rPr>
          <w:spacing w:val="-3"/>
          <w:sz w:val="24"/>
        </w:rPr>
        <w:t xml:space="preserve"> </w:t>
      </w:r>
      <w:r>
        <w:rPr>
          <w:sz w:val="24"/>
        </w:rPr>
        <w:t>a</w:t>
      </w:r>
      <w:r>
        <w:rPr>
          <w:spacing w:val="-4"/>
          <w:sz w:val="24"/>
        </w:rPr>
        <w:t xml:space="preserve"> </w:t>
      </w:r>
      <w:r>
        <w:rPr>
          <w:sz w:val="24"/>
        </w:rPr>
        <w:t>large</w:t>
      </w:r>
      <w:r>
        <w:rPr>
          <w:spacing w:val="-4"/>
          <w:sz w:val="24"/>
        </w:rPr>
        <w:t xml:space="preserve"> </w:t>
      </w:r>
      <w:r>
        <w:rPr>
          <w:sz w:val="24"/>
        </w:rPr>
        <w:t>subset</w:t>
      </w:r>
      <w:r>
        <w:rPr>
          <w:spacing w:val="-6"/>
          <w:sz w:val="24"/>
        </w:rPr>
        <w:t xml:space="preserve"> </w:t>
      </w:r>
      <w:r>
        <w:rPr>
          <w:sz w:val="24"/>
        </w:rPr>
        <w:t>of group health plans.</w:t>
      </w:r>
    </w:p>
    <w:p>
      <w:pPr>
        <w:pStyle w:val="BodyText"/>
        <w:spacing w:before="273"/>
        <w:ind w:left="791" w:right="302"/>
      </w:pPr>
      <w:r>
        <w:t>Although sponsors of self-funded non-Federal governmental plans are responsible for complying</w:t>
      </w:r>
      <w:r>
        <w:rPr>
          <w:spacing w:val="-2"/>
        </w:rPr>
        <w:t xml:space="preserve"> </w:t>
      </w:r>
      <w:r>
        <w:t>with</w:t>
      </w:r>
      <w:r>
        <w:rPr>
          <w:spacing w:val="-2"/>
        </w:rPr>
        <w:t xml:space="preserve"> </w:t>
      </w:r>
      <w:r>
        <w:t>the</w:t>
      </w:r>
      <w:r>
        <w:rPr>
          <w:spacing w:val="-3"/>
        </w:rPr>
        <w:t xml:space="preserve"> </w:t>
      </w:r>
      <w:r>
        <w:t>CAA, 2021</w:t>
      </w:r>
      <w:r>
        <w:rPr>
          <w:spacing w:val="-8"/>
        </w:rPr>
        <w:t xml:space="preserve"> </w:t>
      </w:r>
      <w:r>
        <w:t>and</w:t>
      </w:r>
      <w:r>
        <w:rPr>
          <w:spacing w:val="-3"/>
        </w:rPr>
        <w:t xml:space="preserve"> </w:t>
      </w:r>
      <w:r>
        <w:t>the</w:t>
      </w:r>
      <w:r>
        <w:rPr>
          <w:spacing w:val="-3"/>
        </w:rPr>
        <w:t xml:space="preserve"> </w:t>
      </w:r>
      <w:r>
        <w:t>2024</w:t>
      </w:r>
      <w:r>
        <w:rPr>
          <w:spacing w:val="-8"/>
        </w:rPr>
        <w:t xml:space="preserve"> </w:t>
      </w:r>
      <w:r>
        <w:t>final</w:t>
      </w:r>
      <w:r>
        <w:rPr>
          <w:spacing w:val="-5"/>
        </w:rPr>
        <w:t xml:space="preserve"> </w:t>
      </w:r>
      <w:r>
        <w:t>rules, we</w:t>
      </w:r>
      <w:r>
        <w:rPr>
          <w:spacing w:val="-3"/>
        </w:rPr>
        <w:t xml:space="preserve"> </w:t>
      </w:r>
      <w:r>
        <w:t>assume</w:t>
      </w:r>
      <w:r>
        <w:rPr>
          <w:spacing w:val="-3"/>
        </w:rPr>
        <w:t xml:space="preserve"> </w:t>
      </w:r>
      <w:r>
        <w:t>that</w:t>
      </w:r>
      <w:r>
        <w:rPr>
          <w:spacing w:val="-5"/>
        </w:rPr>
        <w:t xml:space="preserve"> </w:t>
      </w:r>
      <w:r>
        <w:t>most</w:t>
      </w:r>
      <w:r>
        <w:rPr>
          <w:spacing w:val="-4"/>
        </w:rPr>
        <w:t xml:space="preserve"> </w:t>
      </w:r>
      <w:r>
        <w:t>self-funded non-Federal governmental plan sponsors, will likely seek assistance from their TPAs to comply with the NQTL comparative analysis documentation and data requirements.</w:t>
      </w:r>
    </w:p>
    <w:p>
      <w:pPr>
        <w:pStyle w:val="BodyText"/>
        <w:spacing w:before="5"/>
        <w:ind w:left="791" w:right="32"/>
      </w:pPr>
      <w:r>
        <w:t>Nevertheless, of the 32,901 self-funded non-Federal governmental plan sponsors, we estimate that 505 plan sponsors will collect the data required under the 2024 final rules and document</w:t>
      </w:r>
      <w:r>
        <w:rPr>
          <w:spacing w:val="-6"/>
        </w:rPr>
        <w:t xml:space="preserve"> </w:t>
      </w:r>
      <w:r>
        <w:t>their</w:t>
      </w:r>
      <w:r>
        <w:rPr>
          <w:spacing w:val="-4"/>
        </w:rPr>
        <w:t xml:space="preserve"> </w:t>
      </w:r>
      <w:r>
        <w:t>own</w:t>
      </w:r>
      <w:r>
        <w:rPr>
          <w:spacing w:val="-2"/>
        </w:rPr>
        <w:t xml:space="preserve"> </w:t>
      </w:r>
      <w:r>
        <w:t>required</w:t>
      </w:r>
      <w:r>
        <w:rPr>
          <w:spacing w:val="-3"/>
        </w:rPr>
        <w:t xml:space="preserve"> </w:t>
      </w:r>
      <w:r>
        <w:t>analysis</w:t>
      </w:r>
      <w:r>
        <w:rPr>
          <w:spacing w:val="-4"/>
        </w:rPr>
        <w:t xml:space="preserve"> </w:t>
      </w:r>
      <w:r>
        <w:t>and</w:t>
      </w:r>
      <w:r>
        <w:rPr>
          <w:spacing w:val="-3"/>
        </w:rPr>
        <w:t xml:space="preserve"> </w:t>
      </w:r>
      <w:r>
        <w:t>the</w:t>
      </w:r>
      <w:r>
        <w:rPr>
          <w:spacing w:val="-3"/>
        </w:rPr>
        <w:t xml:space="preserve"> </w:t>
      </w:r>
      <w:r>
        <w:t>remaining</w:t>
      </w:r>
      <w:r>
        <w:rPr>
          <w:spacing w:val="-2"/>
        </w:rPr>
        <w:t xml:space="preserve"> </w:t>
      </w:r>
      <w:r>
        <w:t>29,490</w:t>
      </w:r>
      <w:r>
        <w:rPr>
          <w:spacing w:val="-2"/>
        </w:rPr>
        <w:t xml:space="preserve"> </w:t>
      </w:r>
      <w:r>
        <w:t>plan</w:t>
      </w:r>
      <w:r>
        <w:rPr>
          <w:spacing w:val="-3"/>
        </w:rPr>
        <w:t xml:space="preserve"> </w:t>
      </w:r>
      <w:r>
        <w:t>sponsors</w:t>
      </w:r>
      <w:r>
        <w:rPr>
          <w:spacing w:val="-4"/>
        </w:rPr>
        <w:t xml:space="preserve"> </w:t>
      </w:r>
      <w:r>
        <w:t>will</w:t>
      </w:r>
      <w:r>
        <w:rPr>
          <w:spacing w:val="-5"/>
        </w:rPr>
        <w:t xml:space="preserve"> </w:t>
      </w:r>
      <w:r>
        <w:t>rely</w:t>
      </w:r>
      <w:r>
        <w:rPr>
          <w:spacing w:val="-2"/>
        </w:rPr>
        <w:t xml:space="preserve"> </w:t>
      </w:r>
      <w:r>
        <w:t>on</w:t>
      </w:r>
      <w:r>
        <w:rPr>
          <w:spacing w:val="-2"/>
        </w:rPr>
        <w:t xml:space="preserve"> </w:t>
      </w:r>
      <w:r>
        <w:t>a TPA to collect the data required under the 2024 final rules and document the required analyses. Additionally, we estimate that 2,906 plan sponsors (of the 29,490 plan sponsors) will receive a generic comparative analysis from the TPA that will require customizing to suit the plan’s specific needs.</w:t>
      </w:r>
    </w:p>
    <w:p>
      <w:pPr>
        <w:pStyle w:val="BodyText"/>
        <w:spacing w:before="271" w:line="242" w:lineRule="auto"/>
        <w:ind w:left="791" w:right="32"/>
      </w:pPr>
      <w:r>
        <w:t>As DOL, the Treasury Department and HHS share jurisdiction, HHS will account for 50 percent of the total burden imposed on TPAs (approximately 103 TPAs). As noted in Table 2</w:t>
      </w:r>
      <w:r>
        <w:rPr>
          <w:spacing w:val="-2"/>
        </w:rPr>
        <w:t xml:space="preserve"> </w:t>
      </w:r>
      <w:r>
        <w:t>below,</w:t>
      </w:r>
      <w:r>
        <w:rPr>
          <w:spacing w:val="-5"/>
        </w:rPr>
        <w:t xml:space="preserve"> </w:t>
      </w:r>
      <w:r>
        <w:t>HHS</w:t>
      </w:r>
      <w:r>
        <w:rPr>
          <w:spacing w:val="-5"/>
        </w:rPr>
        <w:t xml:space="preserve"> </w:t>
      </w:r>
      <w:r>
        <w:t>will</w:t>
      </w:r>
      <w:r>
        <w:rPr>
          <w:spacing w:val="-5"/>
        </w:rPr>
        <w:t xml:space="preserve"> </w:t>
      </w:r>
      <w:r>
        <w:t>account</w:t>
      </w:r>
      <w:r>
        <w:rPr>
          <w:spacing w:val="-5"/>
        </w:rPr>
        <w:t xml:space="preserve"> </w:t>
      </w:r>
      <w:r>
        <w:t>for</w:t>
      </w:r>
      <w:r>
        <w:rPr>
          <w:spacing w:val="-4"/>
        </w:rPr>
        <w:t xml:space="preserve"> </w:t>
      </w:r>
      <w:r>
        <w:t>the</w:t>
      </w:r>
      <w:r>
        <w:rPr>
          <w:spacing w:val="-3"/>
        </w:rPr>
        <w:t xml:space="preserve"> </w:t>
      </w:r>
      <w:r>
        <w:t>burden</w:t>
      </w:r>
      <w:r>
        <w:rPr>
          <w:spacing w:val="-3"/>
        </w:rPr>
        <w:t xml:space="preserve"> </w:t>
      </w:r>
      <w:r>
        <w:t>of</w:t>
      </w:r>
      <w:r>
        <w:rPr>
          <w:spacing w:val="-4"/>
        </w:rPr>
        <w:t xml:space="preserve"> </w:t>
      </w:r>
      <w:r>
        <w:t>4,981</w:t>
      </w:r>
      <w:r>
        <w:rPr>
          <w:spacing w:val="-2"/>
        </w:rPr>
        <w:t xml:space="preserve"> </w:t>
      </w:r>
      <w:r>
        <w:t>entities</w:t>
      </w:r>
      <w:r>
        <w:rPr>
          <w:spacing w:val="-1"/>
        </w:rPr>
        <w:t xml:space="preserve"> </w:t>
      </w:r>
      <w:r>
        <w:t>related</w:t>
      </w:r>
      <w:r>
        <w:rPr>
          <w:spacing w:val="-3"/>
        </w:rPr>
        <w:t xml:space="preserve"> </w:t>
      </w:r>
      <w:r>
        <w:t>to</w:t>
      </w:r>
      <w:r>
        <w:rPr>
          <w:spacing w:val="-2"/>
        </w:rPr>
        <w:t xml:space="preserve"> </w:t>
      </w:r>
      <w:r>
        <w:t>the</w:t>
      </w:r>
      <w:r>
        <w:rPr>
          <w:spacing w:val="-3"/>
        </w:rPr>
        <w:t xml:space="preserve"> </w:t>
      </w:r>
      <w:r>
        <w:t>NQTL comparative analyses documentation and data requirements.</w:t>
      </w:r>
    </w:p>
    <w:p>
      <w:pPr>
        <w:pStyle w:val="Heading1"/>
        <w:spacing w:before="269"/>
        <w:ind w:right="32"/>
      </w:pPr>
      <w:r>
        <w:t>TABLE 2:</w:t>
      </w:r>
      <w:r>
        <w:rPr>
          <w:spacing w:val="-12"/>
        </w:rPr>
        <w:t xml:space="preserve"> </w:t>
      </w:r>
      <w:r>
        <w:t>Number</w:t>
      </w:r>
      <w:r>
        <w:rPr>
          <w:spacing w:val="-5"/>
        </w:rPr>
        <w:t xml:space="preserve"> </w:t>
      </w:r>
      <w:r>
        <w:t>of Entities</w:t>
      </w:r>
      <w:r>
        <w:rPr>
          <w:spacing w:val="-6"/>
        </w:rPr>
        <w:t xml:space="preserve"> </w:t>
      </w:r>
      <w:r>
        <w:t>Impacted</w:t>
      </w:r>
      <w:r>
        <w:rPr>
          <w:spacing w:val="-4"/>
        </w:rPr>
        <w:t xml:space="preserve"> </w:t>
      </w:r>
      <w:r>
        <w:t>by</w:t>
      </w:r>
      <w:r>
        <w:rPr>
          <w:spacing w:val="-3"/>
        </w:rPr>
        <w:t xml:space="preserve"> </w:t>
      </w:r>
      <w:r>
        <w:t>the</w:t>
      </w:r>
      <w:r>
        <w:rPr>
          <w:spacing w:val="-1"/>
        </w:rPr>
        <w:t xml:space="preserve"> </w:t>
      </w:r>
      <w:r>
        <w:t>NQTL</w:t>
      </w:r>
      <w:r>
        <w:rPr>
          <w:spacing w:val="-8"/>
        </w:rPr>
        <w:t xml:space="preserve"> </w:t>
      </w:r>
      <w:r>
        <w:t>Comparative</w:t>
      </w:r>
      <w:r>
        <w:rPr>
          <w:spacing w:val="-5"/>
        </w:rPr>
        <w:t xml:space="preserve"> </w:t>
      </w:r>
      <w:r>
        <w:t>Analyses Documentation and Data Requirements (HHS Burden)</w:t>
      </w:r>
    </w:p>
    <w:p>
      <w:pPr>
        <w:pStyle w:val="BodyText"/>
        <w:spacing w:before="43"/>
        <w:rPr>
          <w:b/>
          <w:sz w:val="20"/>
        </w:rPr>
      </w:pPr>
    </w:p>
    <w:tbl>
      <w:tblPr>
        <w:tblStyle w:val="TableNormal"/>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49"/>
        <w:gridCol w:w="1618"/>
      </w:tblGrid>
      <w:tr>
        <w:tblPrEx>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63"/>
          <w:jc w:val="left"/>
        </w:trPr>
        <w:tc>
          <w:tcPr>
            <w:tcW w:w="7649" w:type="dxa"/>
            <w:shd w:val="clear" w:color="auto" w:fill="F1F1F1"/>
          </w:tcPr>
          <w:p>
            <w:pPr>
              <w:pStyle w:val="TableParagraph"/>
              <w:spacing w:before="124"/>
              <w:ind w:left="1"/>
              <w:jc w:val="center"/>
              <w:rPr>
                <w:b/>
                <w:sz w:val="19"/>
              </w:rPr>
            </w:pPr>
            <w:r>
              <w:rPr>
                <w:b/>
                <w:w w:val="105"/>
                <w:sz w:val="19"/>
              </w:rPr>
              <w:t>Entity</w:t>
            </w:r>
            <w:r>
              <w:rPr>
                <w:b/>
                <w:spacing w:val="-8"/>
                <w:w w:val="105"/>
                <w:sz w:val="19"/>
              </w:rPr>
              <w:t xml:space="preserve"> </w:t>
            </w:r>
            <w:r>
              <w:rPr>
                <w:b/>
                <w:spacing w:val="-4"/>
                <w:w w:val="105"/>
                <w:sz w:val="19"/>
              </w:rPr>
              <w:t>Type</w:t>
            </w:r>
          </w:p>
        </w:tc>
        <w:tc>
          <w:tcPr>
            <w:tcW w:w="1618" w:type="dxa"/>
            <w:shd w:val="clear" w:color="auto" w:fill="F1F1F1"/>
          </w:tcPr>
          <w:p>
            <w:pPr>
              <w:pStyle w:val="TableParagraph"/>
              <w:spacing w:line="234" w:lineRule="exact"/>
              <w:ind w:left="482" w:right="328" w:hanging="135"/>
              <w:rPr>
                <w:b/>
                <w:sz w:val="19"/>
              </w:rPr>
            </w:pPr>
            <w:r>
              <w:rPr>
                <w:b/>
                <w:w w:val="105"/>
                <w:sz w:val="19"/>
              </w:rPr>
              <w:t>Number</w:t>
            </w:r>
            <w:r>
              <w:rPr>
                <w:b/>
                <w:spacing w:val="-13"/>
                <w:w w:val="105"/>
                <w:sz w:val="19"/>
              </w:rPr>
              <w:t xml:space="preserve"> </w:t>
            </w:r>
            <w:r>
              <w:rPr>
                <w:b/>
                <w:w w:val="105"/>
                <w:sz w:val="19"/>
              </w:rPr>
              <w:t xml:space="preserve">of </w:t>
            </w:r>
            <w:r>
              <w:rPr>
                <w:b/>
                <w:spacing w:val="-2"/>
                <w:w w:val="105"/>
                <w:sz w:val="19"/>
              </w:rPr>
              <w:t>Entities</w:t>
            </w:r>
          </w:p>
        </w:tc>
      </w:tr>
      <w:tr>
        <w:tblPrEx>
          <w:tblW w:w="0" w:type="auto"/>
          <w:jc w:val="left"/>
          <w:tblInd w:w="370" w:type="dxa"/>
          <w:tblLayout w:type="fixed"/>
          <w:tblCellMar>
            <w:top w:w="0" w:type="dxa"/>
            <w:left w:w="0" w:type="dxa"/>
            <w:bottom w:w="0" w:type="dxa"/>
            <w:right w:w="0" w:type="dxa"/>
          </w:tblCellMar>
          <w:tblLook w:val="01E0"/>
        </w:tblPrEx>
        <w:trPr>
          <w:trHeight w:val="422"/>
          <w:jc w:val="left"/>
        </w:trPr>
        <w:tc>
          <w:tcPr>
            <w:tcW w:w="7649" w:type="dxa"/>
          </w:tcPr>
          <w:p>
            <w:pPr>
              <w:pStyle w:val="TableParagraph"/>
              <w:spacing w:before="105"/>
              <w:ind w:left="107"/>
              <w:rPr>
                <w:sz w:val="19"/>
              </w:rPr>
            </w:pPr>
            <w:r>
              <w:rPr>
                <w:w w:val="105"/>
                <w:sz w:val="19"/>
              </w:rPr>
              <w:t>Issuers</w:t>
            </w:r>
            <w:r>
              <w:rPr>
                <w:spacing w:val="-4"/>
                <w:w w:val="105"/>
                <w:sz w:val="19"/>
              </w:rPr>
              <w:t xml:space="preserve"> </w:t>
            </w:r>
            <w:r>
              <w:rPr>
                <w:w w:val="105"/>
                <w:sz w:val="19"/>
              </w:rPr>
              <w:t>(health</w:t>
            </w:r>
            <w:r>
              <w:rPr>
                <w:spacing w:val="-4"/>
                <w:w w:val="105"/>
                <w:sz w:val="19"/>
              </w:rPr>
              <w:t xml:space="preserve"> </w:t>
            </w:r>
            <w:r>
              <w:rPr>
                <w:w w:val="105"/>
                <w:sz w:val="19"/>
              </w:rPr>
              <w:t>insurance</w:t>
            </w:r>
            <w:r>
              <w:rPr>
                <w:spacing w:val="3"/>
                <w:w w:val="105"/>
                <w:sz w:val="19"/>
              </w:rPr>
              <w:t xml:space="preserve"> </w:t>
            </w:r>
            <w:r>
              <w:rPr>
                <w:w w:val="105"/>
                <w:sz w:val="19"/>
              </w:rPr>
              <w:t>company/State</w:t>
            </w:r>
            <w:r>
              <w:rPr>
                <w:spacing w:val="-7"/>
                <w:w w:val="105"/>
                <w:sz w:val="19"/>
              </w:rPr>
              <w:t xml:space="preserve"> </w:t>
            </w:r>
            <w:r>
              <w:rPr>
                <w:spacing w:val="-2"/>
                <w:w w:val="105"/>
                <w:sz w:val="19"/>
              </w:rPr>
              <w:t>combinations)</w:t>
            </w:r>
          </w:p>
        </w:tc>
        <w:tc>
          <w:tcPr>
            <w:tcW w:w="1618" w:type="dxa"/>
          </w:tcPr>
          <w:p>
            <w:pPr>
              <w:pStyle w:val="TableParagraph"/>
              <w:spacing w:before="105"/>
              <w:ind w:left="6" w:right="7"/>
              <w:jc w:val="center"/>
              <w:rPr>
                <w:sz w:val="19"/>
              </w:rPr>
            </w:pPr>
            <w:r>
              <w:rPr>
                <w:spacing w:val="-2"/>
                <w:w w:val="105"/>
                <w:sz w:val="19"/>
              </w:rPr>
              <w:t>1,467</w:t>
            </w:r>
          </w:p>
        </w:tc>
      </w:tr>
      <w:tr>
        <w:tblPrEx>
          <w:tblW w:w="0" w:type="auto"/>
          <w:jc w:val="left"/>
          <w:tblInd w:w="370" w:type="dxa"/>
          <w:tblLayout w:type="fixed"/>
          <w:tblCellMar>
            <w:top w:w="0" w:type="dxa"/>
            <w:left w:w="0" w:type="dxa"/>
            <w:bottom w:w="0" w:type="dxa"/>
            <w:right w:w="0" w:type="dxa"/>
          </w:tblCellMar>
          <w:tblLook w:val="01E0"/>
        </w:tblPrEx>
        <w:trPr>
          <w:trHeight w:val="462"/>
          <w:jc w:val="left"/>
        </w:trPr>
        <w:tc>
          <w:tcPr>
            <w:tcW w:w="7649" w:type="dxa"/>
          </w:tcPr>
          <w:p>
            <w:pPr>
              <w:pStyle w:val="TableParagraph"/>
              <w:spacing w:line="232" w:lineRule="exact"/>
              <w:ind w:left="107"/>
              <w:rPr>
                <w:sz w:val="19"/>
              </w:rPr>
            </w:pPr>
            <w:r>
              <w:rPr>
                <w:w w:val="105"/>
                <w:sz w:val="19"/>
              </w:rPr>
              <w:t>Self-funded</w:t>
            </w:r>
            <w:r>
              <w:rPr>
                <w:spacing w:val="-7"/>
                <w:w w:val="105"/>
                <w:sz w:val="19"/>
              </w:rPr>
              <w:t xml:space="preserve"> </w:t>
            </w:r>
            <w:r>
              <w:rPr>
                <w:w w:val="105"/>
                <w:sz w:val="19"/>
              </w:rPr>
              <w:t>non-Federal</w:t>
            </w:r>
            <w:r>
              <w:rPr>
                <w:spacing w:val="-5"/>
                <w:w w:val="105"/>
                <w:sz w:val="19"/>
              </w:rPr>
              <w:t xml:space="preserve"> </w:t>
            </w:r>
            <w:r>
              <w:rPr>
                <w:w w:val="105"/>
                <w:sz w:val="19"/>
              </w:rPr>
              <w:t>governmental</w:t>
            </w:r>
            <w:r>
              <w:rPr>
                <w:spacing w:val="-5"/>
                <w:w w:val="105"/>
                <w:sz w:val="19"/>
              </w:rPr>
              <w:t xml:space="preserve"> </w:t>
            </w:r>
            <w:r>
              <w:rPr>
                <w:w w:val="105"/>
                <w:sz w:val="19"/>
              </w:rPr>
              <w:t>plans</w:t>
            </w:r>
            <w:r>
              <w:rPr>
                <w:spacing w:val="-6"/>
                <w:w w:val="105"/>
                <w:sz w:val="19"/>
              </w:rPr>
              <w:t xml:space="preserve"> </w:t>
            </w:r>
            <w:r>
              <w:rPr>
                <w:w w:val="105"/>
                <w:sz w:val="19"/>
              </w:rPr>
              <w:t>that will</w:t>
            </w:r>
            <w:r>
              <w:rPr>
                <w:spacing w:val="-5"/>
                <w:w w:val="105"/>
                <w:sz w:val="19"/>
              </w:rPr>
              <w:t xml:space="preserve"> </w:t>
            </w:r>
            <w:r>
              <w:rPr>
                <w:w w:val="105"/>
                <w:sz w:val="19"/>
              </w:rPr>
              <w:t>conduct</w:t>
            </w:r>
            <w:r>
              <w:rPr>
                <w:spacing w:val="-5"/>
                <w:w w:val="105"/>
                <w:sz w:val="19"/>
              </w:rPr>
              <w:t xml:space="preserve"> </w:t>
            </w:r>
            <w:r>
              <w:rPr>
                <w:w w:val="105"/>
                <w:sz w:val="19"/>
              </w:rPr>
              <w:t>the</w:t>
            </w:r>
            <w:r>
              <w:rPr>
                <w:spacing w:val="-3"/>
                <w:w w:val="105"/>
                <w:sz w:val="19"/>
              </w:rPr>
              <w:t xml:space="preserve"> </w:t>
            </w:r>
            <w:r>
              <w:rPr>
                <w:w w:val="105"/>
                <w:sz w:val="19"/>
              </w:rPr>
              <w:t>comparative</w:t>
            </w:r>
            <w:r>
              <w:rPr>
                <w:spacing w:val="-3"/>
                <w:w w:val="105"/>
                <w:sz w:val="19"/>
              </w:rPr>
              <w:t xml:space="preserve"> </w:t>
            </w:r>
            <w:r>
              <w:rPr>
                <w:w w:val="105"/>
                <w:sz w:val="19"/>
              </w:rPr>
              <w:t xml:space="preserve">analysis </w:t>
            </w:r>
            <w:r>
              <w:rPr>
                <w:spacing w:val="-2"/>
                <w:w w:val="105"/>
                <w:sz w:val="19"/>
              </w:rPr>
              <w:t>themselves</w:t>
            </w:r>
          </w:p>
        </w:tc>
        <w:tc>
          <w:tcPr>
            <w:tcW w:w="1618" w:type="dxa"/>
          </w:tcPr>
          <w:p>
            <w:pPr>
              <w:pStyle w:val="TableParagraph"/>
              <w:spacing w:before="131"/>
              <w:ind w:left="7" w:right="1"/>
              <w:jc w:val="center"/>
              <w:rPr>
                <w:sz w:val="19"/>
              </w:rPr>
            </w:pPr>
            <w:r>
              <w:rPr>
                <w:spacing w:val="-5"/>
                <w:w w:val="105"/>
                <w:sz w:val="19"/>
              </w:rPr>
              <w:t>505</w:t>
            </w:r>
          </w:p>
        </w:tc>
      </w:tr>
      <w:tr>
        <w:tblPrEx>
          <w:tblW w:w="0" w:type="auto"/>
          <w:jc w:val="left"/>
          <w:tblInd w:w="370" w:type="dxa"/>
          <w:tblLayout w:type="fixed"/>
          <w:tblCellMar>
            <w:top w:w="0" w:type="dxa"/>
            <w:left w:w="0" w:type="dxa"/>
            <w:bottom w:w="0" w:type="dxa"/>
            <w:right w:w="0" w:type="dxa"/>
          </w:tblCellMar>
          <w:tblLook w:val="01E0"/>
        </w:tblPrEx>
        <w:trPr>
          <w:trHeight w:val="454"/>
          <w:jc w:val="left"/>
        </w:trPr>
        <w:tc>
          <w:tcPr>
            <w:tcW w:w="7649" w:type="dxa"/>
          </w:tcPr>
          <w:p>
            <w:pPr>
              <w:pStyle w:val="TableParagraph"/>
              <w:spacing w:line="220" w:lineRule="atLeast"/>
              <w:ind w:left="107"/>
              <w:rPr>
                <w:sz w:val="19"/>
              </w:rPr>
            </w:pPr>
            <w:r>
              <w:rPr>
                <w:w w:val="105"/>
                <w:sz w:val="19"/>
              </w:rPr>
              <w:t>Self-funded</w:t>
            </w:r>
            <w:r>
              <w:rPr>
                <w:spacing w:val="-4"/>
                <w:w w:val="105"/>
                <w:sz w:val="19"/>
              </w:rPr>
              <w:t xml:space="preserve"> </w:t>
            </w:r>
            <w:r>
              <w:rPr>
                <w:w w:val="105"/>
                <w:sz w:val="19"/>
              </w:rPr>
              <w:t>non-Federal</w:t>
            </w:r>
            <w:r>
              <w:rPr>
                <w:spacing w:val="-2"/>
                <w:w w:val="105"/>
                <w:sz w:val="19"/>
              </w:rPr>
              <w:t xml:space="preserve"> </w:t>
            </w:r>
            <w:r>
              <w:rPr>
                <w:w w:val="105"/>
                <w:sz w:val="19"/>
              </w:rPr>
              <w:t>governmental</w:t>
            </w:r>
            <w:r>
              <w:rPr>
                <w:spacing w:val="-2"/>
                <w:w w:val="105"/>
                <w:sz w:val="19"/>
              </w:rPr>
              <w:t xml:space="preserve"> </w:t>
            </w:r>
            <w:r>
              <w:rPr>
                <w:w w:val="105"/>
                <w:sz w:val="19"/>
              </w:rPr>
              <w:t>plans</w:t>
            </w:r>
            <w:r>
              <w:rPr>
                <w:spacing w:val="-3"/>
                <w:w w:val="105"/>
                <w:sz w:val="19"/>
              </w:rPr>
              <w:t xml:space="preserve"> </w:t>
            </w:r>
            <w:r>
              <w:rPr>
                <w:w w:val="105"/>
                <w:sz w:val="19"/>
              </w:rPr>
              <w:t>that will</w:t>
            </w:r>
            <w:r>
              <w:rPr>
                <w:spacing w:val="-2"/>
                <w:w w:val="105"/>
                <w:sz w:val="19"/>
              </w:rPr>
              <w:t xml:space="preserve"> </w:t>
            </w:r>
            <w:r>
              <w:rPr>
                <w:w w:val="105"/>
                <w:sz w:val="19"/>
              </w:rPr>
              <w:t>initially</w:t>
            </w:r>
            <w:r>
              <w:rPr>
                <w:spacing w:val="-4"/>
                <w:w w:val="105"/>
                <w:sz w:val="19"/>
              </w:rPr>
              <w:t xml:space="preserve"> </w:t>
            </w:r>
            <w:r>
              <w:rPr>
                <w:w w:val="105"/>
                <w:sz w:val="19"/>
              </w:rPr>
              <w:t>receive</w:t>
            </w:r>
            <w:r>
              <w:rPr>
                <w:spacing w:val="-1"/>
                <w:w w:val="105"/>
                <w:sz w:val="19"/>
              </w:rPr>
              <w:t xml:space="preserve"> </w:t>
            </w:r>
            <w:r>
              <w:rPr>
                <w:w w:val="105"/>
                <w:sz w:val="19"/>
              </w:rPr>
              <w:t>a</w:t>
            </w:r>
            <w:r>
              <w:rPr>
                <w:spacing w:val="-7"/>
                <w:w w:val="105"/>
                <w:sz w:val="19"/>
              </w:rPr>
              <w:t xml:space="preserve"> </w:t>
            </w:r>
            <w:r>
              <w:rPr>
                <w:w w:val="105"/>
                <w:sz w:val="19"/>
              </w:rPr>
              <w:t>generic comparative analysis from a TPA that will require customizing to suit the plan’s specific needs</w:t>
            </w:r>
          </w:p>
        </w:tc>
        <w:tc>
          <w:tcPr>
            <w:tcW w:w="1618" w:type="dxa"/>
          </w:tcPr>
          <w:p>
            <w:pPr>
              <w:pStyle w:val="TableParagraph"/>
              <w:spacing w:before="123"/>
              <w:ind w:left="6" w:right="7"/>
              <w:jc w:val="center"/>
              <w:rPr>
                <w:sz w:val="19"/>
              </w:rPr>
            </w:pPr>
            <w:r>
              <w:rPr>
                <w:spacing w:val="-2"/>
                <w:w w:val="105"/>
                <w:sz w:val="19"/>
              </w:rPr>
              <w:t>2,906</w:t>
            </w:r>
          </w:p>
        </w:tc>
      </w:tr>
      <w:tr>
        <w:tblPrEx>
          <w:tblW w:w="0" w:type="auto"/>
          <w:jc w:val="left"/>
          <w:tblInd w:w="370" w:type="dxa"/>
          <w:tblLayout w:type="fixed"/>
          <w:tblCellMar>
            <w:top w:w="0" w:type="dxa"/>
            <w:left w:w="0" w:type="dxa"/>
            <w:bottom w:w="0" w:type="dxa"/>
            <w:right w:w="0" w:type="dxa"/>
          </w:tblCellMar>
          <w:tblLook w:val="01E0"/>
        </w:tblPrEx>
        <w:trPr>
          <w:trHeight w:val="435"/>
          <w:jc w:val="left"/>
        </w:trPr>
        <w:tc>
          <w:tcPr>
            <w:tcW w:w="7649" w:type="dxa"/>
          </w:tcPr>
          <w:p>
            <w:pPr>
              <w:pStyle w:val="TableParagraph"/>
              <w:spacing w:before="118"/>
              <w:ind w:left="107"/>
              <w:rPr>
                <w:sz w:val="19"/>
              </w:rPr>
            </w:pPr>
            <w:r>
              <w:rPr>
                <w:spacing w:val="-4"/>
                <w:w w:val="105"/>
                <w:sz w:val="19"/>
              </w:rPr>
              <w:t>TPAs</w:t>
            </w:r>
          </w:p>
        </w:tc>
        <w:tc>
          <w:tcPr>
            <w:tcW w:w="1618" w:type="dxa"/>
          </w:tcPr>
          <w:p>
            <w:pPr>
              <w:pStyle w:val="TableParagraph"/>
              <w:spacing w:before="118"/>
              <w:ind w:left="7" w:right="1"/>
              <w:jc w:val="center"/>
              <w:rPr>
                <w:sz w:val="19"/>
              </w:rPr>
            </w:pPr>
            <w:r>
              <w:rPr>
                <w:spacing w:val="-5"/>
                <w:w w:val="105"/>
                <w:sz w:val="19"/>
              </w:rPr>
              <w:t>103</w:t>
            </w:r>
          </w:p>
        </w:tc>
      </w:tr>
      <w:tr>
        <w:tblPrEx>
          <w:tblW w:w="0" w:type="auto"/>
          <w:jc w:val="left"/>
          <w:tblInd w:w="370" w:type="dxa"/>
          <w:tblLayout w:type="fixed"/>
          <w:tblCellMar>
            <w:top w:w="0" w:type="dxa"/>
            <w:left w:w="0" w:type="dxa"/>
            <w:bottom w:w="0" w:type="dxa"/>
            <w:right w:w="0" w:type="dxa"/>
          </w:tblCellMar>
          <w:tblLook w:val="01E0"/>
        </w:tblPrEx>
        <w:trPr>
          <w:trHeight w:val="434"/>
          <w:jc w:val="left"/>
        </w:trPr>
        <w:tc>
          <w:tcPr>
            <w:tcW w:w="7649" w:type="dxa"/>
            <w:shd w:val="clear" w:color="auto" w:fill="F1F1F1"/>
          </w:tcPr>
          <w:p>
            <w:pPr>
              <w:pStyle w:val="TableParagraph"/>
              <w:spacing w:before="110"/>
              <w:ind w:right="108"/>
              <w:jc w:val="right"/>
              <w:rPr>
                <w:b/>
                <w:sz w:val="19"/>
              </w:rPr>
            </w:pPr>
            <w:r>
              <w:rPr>
                <w:b/>
                <w:spacing w:val="-2"/>
                <w:w w:val="105"/>
                <w:sz w:val="19"/>
              </w:rPr>
              <w:t>Total</w:t>
            </w:r>
          </w:p>
        </w:tc>
        <w:tc>
          <w:tcPr>
            <w:tcW w:w="1618" w:type="dxa"/>
            <w:shd w:val="clear" w:color="auto" w:fill="F1F1F1"/>
          </w:tcPr>
          <w:p>
            <w:pPr>
              <w:pStyle w:val="TableParagraph"/>
              <w:spacing w:before="110"/>
              <w:ind w:left="6" w:right="7"/>
              <w:jc w:val="center"/>
              <w:rPr>
                <w:b/>
                <w:sz w:val="19"/>
              </w:rPr>
            </w:pPr>
            <w:r>
              <w:rPr>
                <w:b/>
                <w:spacing w:val="-2"/>
                <w:w w:val="105"/>
                <w:sz w:val="19"/>
              </w:rPr>
              <w:t>4,981</w:t>
            </w:r>
          </w:p>
        </w:tc>
      </w:tr>
    </w:tbl>
    <w:p>
      <w:pPr>
        <w:pStyle w:val="BodyText"/>
        <w:spacing w:before="2"/>
        <w:rPr>
          <w:b/>
        </w:rPr>
      </w:pPr>
    </w:p>
    <w:p>
      <w:pPr>
        <w:pStyle w:val="BodyText"/>
        <w:ind w:left="791"/>
      </w:pPr>
      <w:r>
        <w:t>To</w:t>
      </w:r>
      <w:r>
        <w:rPr>
          <w:spacing w:val="-2"/>
        </w:rPr>
        <w:t xml:space="preserve"> </w:t>
      </w:r>
      <w:r>
        <w:t>meet</w:t>
      </w:r>
      <w:r>
        <w:rPr>
          <w:spacing w:val="-3"/>
        </w:rPr>
        <w:t xml:space="preserve"> </w:t>
      </w:r>
      <w:r>
        <w:t>the NQTL</w:t>
      </w:r>
      <w:r>
        <w:rPr>
          <w:spacing w:val="-7"/>
        </w:rPr>
        <w:t xml:space="preserve"> </w:t>
      </w:r>
      <w:r>
        <w:t>comparative</w:t>
      </w:r>
      <w:r>
        <w:rPr>
          <w:spacing w:val="-2"/>
        </w:rPr>
        <w:t xml:space="preserve"> </w:t>
      </w:r>
      <w:r>
        <w:t>analysis documentation</w:t>
      </w:r>
      <w:r>
        <w:rPr>
          <w:spacing w:val="-1"/>
        </w:rPr>
        <w:t xml:space="preserve"> </w:t>
      </w:r>
      <w:r>
        <w:t>and</w:t>
      </w:r>
      <w:r>
        <w:rPr>
          <w:spacing w:val="-2"/>
        </w:rPr>
        <w:t xml:space="preserve"> </w:t>
      </w:r>
      <w:r>
        <w:t>data</w:t>
      </w:r>
      <w:r>
        <w:rPr>
          <w:spacing w:val="-2"/>
        </w:rPr>
        <w:t xml:space="preserve"> </w:t>
      </w:r>
      <w:r>
        <w:t>requirements,</w:t>
      </w:r>
      <w:r>
        <w:rPr>
          <w:spacing w:val="2"/>
        </w:rPr>
        <w:t xml:space="preserve"> </w:t>
      </w:r>
      <w:r>
        <w:rPr>
          <w:spacing w:val="-5"/>
        </w:rPr>
        <w:t>CMS</w:t>
      </w:r>
    </w:p>
    <w:p>
      <w:pPr>
        <w:pStyle w:val="BodyText"/>
        <w:spacing w:before="111"/>
        <w:rPr>
          <w:sz w:val="20"/>
        </w:rPr>
      </w:pPr>
      <w:r>
        <w:rPr>
          <w:sz w:val="20"/>
        </w:rPr>
        <mc:AlternateContent>
          <mc:Choice Requires="wps">
            <w:drawing>
              <wp:anchor distT="0" distB="0" distL="0" distR="0" simplePos="0" relativeHeight="251666432" behindDoc="1" locked="0" layoutInCell="1" allowOverlap="1">
                <wp:simplePos x="0" y="0"/>
                <wp:positionH relativeFrom="page">
                  <wp:posOffset>914996</wp:posOffset>
                </wp:positionH>
                <wp:positionV relativeFrom="paragraph">
                  <wp:posOffset>231804</wp:posOffset>
                </wp:positionV>
                <wp:extent cx="1830070" cy="5080"/>
                <wp:effectExtent l="0" t="0" r="0" b="0"/>
                <wp:wrapTopAndBottom/>
                <wp:docPr id="6" name="Graphic 6"/>
                <wp:cNvGraphicFramePr/>
                <a:graphic xmlns:a="http://schemas.openxmlformats.org/drawingml/2006/main">
                  <a:graphicData uri="http://schemas.microsoft.com/office/word/2010/wordprocessingShape">
                    <wps:wsp xmlns:wps="http://schemas.microsoft.com/office/word/2010/wordprocessingShape">
                      <wps:cNvSpPr/>
                      <wps:spPr>
                        <a:xfrm>
                          <a:off x="0" y="0"/>
                          <a:ext cx="1830070" cy="5080"/>
                        </a:xfrm>
                        <a:custGeom>
                          <a:avLst/>
                          <a:gdLst/>
                          <a:rect l="l" t="t" r="r" b="b"/>
                          <a:pathLst>
                            <a:path fill="norm" h="5080" w="1830070" stroke="1">
                              <a:moveTo>
                                <a:pt x="1829689" y="0"/>
                              </a:moveTo>
                              <a:lnTo>
                                <a:pt x="0" y="0"/>
                              </a:lnTo>
                              <a:lnTo>
                                <a:pt x="0" y="4483"/>
                              </a:lnTo>
                              <a:lnTo>
                                <a:pt x="1829689" y="4483"/>
                              </a:lnTo>
                              <a:lnTo>
                                <a:pt x="1829689" y="0"/>
                              </a:lnTo>
                              <a:close/>
                            </a:path>
                          </a:pathLst>
                        </a:custGeom>
                        <a:solidFill>
                          <a:srgbClr val="000000"/>
                        </a:solidFill>
                      </wps:spPr>
                      <wps:bodyPr wrap="square" lIns="0" tIns="0" rIns="0" bIns="0" rtlCol="0">
                        <a:prstTxWarp prst="textNoShape">
                          <a:avLst/>
                        </a:prstTxWarp>
                      </wps:bodyPr>
                    </wps:wsp>
                  </a:graphicData>
                </a:graphic>
              </wp:anchor>
            </w:drawing>
          </mc:Choice>
          <mc:Fallback>
            <w:pict>
              <v:rect id="_x0000_s1029" style="width:144.07pt;height:0.35pt;margin-top:18.25pt;margin-left:72.05pt;mso-position-horizontal-relative:page;mso-wrap-distance-left:0;mso-wrap-distance-right:0;position:absolute;z-index:-251649024" filled="t" fillcolor="black" stroked="f">
                <v:fill type="solid"/>
                <w10:wrap type="topAndBottom"/>
              </v:rect>
            </w:pict>
          </mc:Fallback>
        </mc:AlternateContent>
      </w:r>
    </w:p>
    <w:p>
      <w:pPr>
        <w:spacing w:before="98" w:line="252" w:lineRule="auto"/>
        <w:ind w:left="360" w:right="83" w:firstLine="0"/>
        <w:jc w:val="left"/>
        <w:rPr>
          <w:sz w:val="19"/>
        </w:rPr>
      </w:pPr>
      <w:bookmarkStart w:id="25" w:name="_bookmark9"/>
      <w:bookmarkEnd w:id="25"/>
      <w:r>
        <w:rPr>
          <w:w w:val="105"/>
          <w:sz w:val="19"/>
          <w:vertAlign w:val="superscript"/>
        </w:rPr>
        <w:t>10</w:t>
      </w:r>
      <w:r>
        <w:rPr>
          <w:spacing w:val="-2"/>
          <w:w w:val="105"/>
          <w:sz w:val="19"/>
          <w:vertAlign w:val="baseline"/>
        </w:rPr>
        <w:t xml:space="preserve"> </w:t>
      </w:r>
      <w:r>
        <w:rPr>
          <w:w w:val="105"/>
          <w:sz w:val="19"/>
          <w:vertAlign w:val="baseline"/>
        </w:rPr>
        <w:t>For</w:t>
      </w:r>
      <w:r>
        <w:rPr>
          <w:spacing w:val="-4"/>
          <w:w w:val="105"/>
          <w:sz w:val="19"/>
          <w:vertAlign w:val="baseline"/>
        </w:rPr>
        <w:t xml:space="preserve"> </w:t>
      </w:r>
      <w:r>
        <w:rPr>
          <w:w w:val="105"/>
          <w:sz w:val="19"/>
          <w:vertAlign w:val="baseline"/>
        </w:rPr>
        <w:t>purposes of</w:t>
      </w:r>
      <w:r>
        <w:rPr>
          <w:spacing w:val="-4"/>
          <w:w w:val="105"/>
          <w:sz w:val="19"/>
          <w:vertAlign w:val="baseline"/>
        </w:rPr>
        <w:t xml:space="preserve"> </w:t>
      </w:r>
      <w:r>
        <w:rPr>
          <w:w w:val="105"/>
          <w:sz w:val="19"/>
          <w:vertAlign w:val="baseline"/>
        </w:rPr>
        <w:t>this ICR,</w:t>
      </w:r>
      <w:r>
        <w:rPr>
          <w:spacing w:val="-2"/>
          <w:w w:val="105"/>
          <w:sz w:val="19"/>
          <w:vertAlign w:val="baseline"/>
        </w:rPr>
        <w:t xml:space="preserve"> </w:t>
      </w:r>
      <w:r>
        <w:rPr>
          <w:i/>
          <w:w w:val="105"/>
          <w:sz w:val="19"/>
          <w:vertAlign w:val="baseline"/>
        </w:rPr>
        <w:t>health</w:t>
      </w:r>
      <w:r>
        <w:rPr>
          <w:i/>
          <w:spacing w:val="-2"/>
          <w:w w:val="105"/>
          <w:sz w:val="19"/>
          <w:vertAlign w:val="baseline"/>
        </w:rPr>
        <w:t xml:space="preserve"> </w:t>
      </w:r>
      <w:r>
        <w:rPr>
          <w:i/>
          <w:w w:val="105"/>
          <w:sz w:val="19"/>
          <w:vertAlign w:val="baseline"/>
        </w:rPr>
        <w:t>insurance company</w:t>
      </w:r>
      <w:r>
        <w:rPr>
          <w:i/>
          <w:spacing w:val="-2"/>
          <w:w w:val="105"/>
          <w:sz w:val="19"/>
          <w:vertAlign w:val="baseline"/>
        </w:rPr>
        <w:t xml:space="preserve"> </w:t>
      </w:r>
      <w:r>
        <w:rPr>
          <w:w w:val="105"/>
          <w:sz w:val="19"/>
          <w:vertAlign w:val="baseline"/>
        </w:rPr>
        <w:t>refers</w:t>
      </w:r>
      <w:r>
        <w:rPr>
          <w:spacing w:val="-1"/>
          <w:w w:val="105"/>
          <w:sz w:val="19"/>
          <w:vertAlign w:val="baseline"/>
        </w:rPr>
        <w:t xml:space="preserve"> </w:t>
      </w:r>
      <w:r>
        <w:rPr>
          <w:w w:val="105"/>
          <w:sz w:val="19"/>
          <w:vertAlign w:val="baseline"/>
        </w:rPr>
        <w:t>to a</w:t>
      </w:r>
      <w:r>
        <w:rPr>
          <w:spacing w:val="-5"/>
          <w:w w:val="105"/>
          <w:sz w:val="19"/>
          <w:vertAlign w:val="baseline"/>
        </w:rPr>
        <w:t xml:space="preserve"> </w:t>
      </w:r>
      <w:r>
        <w:rPr>
          <w:w w:val="105"/>
          <w:sz w:val="19"/>
          <w:vertAlign w:val="baseline"/>
        </w:rPr>
        <w:t>single</w:t>
      </w:r>
      <w:r>
        <w:rPr>
          <w:spacing w:val="-5"/>
          <w:w w:val="105"/>
          <w:sz w:val="19"/>
          <w:vertAlign w:val="baseline"/>
        </w:rPr>
        <w:t xml:space="preserve"> </w:t>
      </w:r>
      <w:r>
        <w:rPr>
          <w:w w:val="105"/>
          <w:sz w:val="19"/>
          <w:vertAlign w:val="baseline"/>
        </w:rPr>
        <w:t>entity</w:t>
      </w:r>
      <w:r>
        <w:rPr>
          <w:spacing w:val="-2"/>
          <w:w w:val="105"/>
          <w:sz w:val="19"/>
          <w:vertAlign w:val="baseline"/>
        </w:rPr>
        <w:t xml:space="preserve"> </w:t>
      </w:r>
      <w:r>
        <w:rPr>
          <w:w w:val="105"/>
          <w:sz w:val="19"/>
          <w:vertAlign w:val="baseline"/>
        </w:rPr>
        <w:t>that offers</w:t>
      </w:r>
      <w:r>
        <w:rPr>
          <w:spacing w:val="-1"/>
          <w:w w:val="105"/>
          <w:sz w:val="19"/>
          <w:vertAlign w:val="baseline"/>
        </w:rPr>
        <w:t xml:space="preserve"> </w:t>
      </w:r>
      <w:r>
        <w:rPr>
          <w:w w:val="105"/>
          <w:sz w:val="19"/>
          <w:vertAlign w:val="baseline"/>
        </w:rPr>
        <w:t>health</w:t>
      </w:r>
      <w:r>
        <w:rPr>
          <w:spacing w:val="-2"/>
          <w:w w:val="105"/>
          <w:sz w:val="19"/>
          <w:vertAlign w:val="baseline"/>
        </w:rPr>
        <w:t xml:space="preserve"> </w:t>
      </w:r>
      <w:r>
        <w:rPr>
          <w:w w:val="105"/>
          <w:sz w:val="19"/>
          <w:vertAlign w:val="baseline"/>
        </w:rPr>
        <w:t>insurance</w:t>
      </w:r>
      <w:r>
        <w:rPr>
          <w:spacing w:val="-5"/>
          <w:w w:val="105"/>
          <w:sz w:val="19"/>
          <w:vertAlign w:val="baseline"/>
        </w:rPr>
        <w:t xml:space="preserve"> </w:t>
      </w:r>
      <w:r>
        <w:rPr>
          <w:w w:val="105"/>
          <w:sz w:val="19"/>
          <w:vertAlign w:val="baseline"/>
        </w:rPr>
        <w:t>coverage in one</w:t>
      </w:r>
      <w:r>
        <w:rPr>
          <w:spacing w:val="-2"/>
          <w:w w:val="105"/>
          <w:sz w:val="19"/>
          <w:vertAlign w:val="baseline"/>
        </w:rPr>
        <w:t xml:space="preserve"> </w:t>
      </w:r>
      <w:r>
        <w:rPr>
          <w:w w:val="105"/>
          <w:sz w:val="19"/>
          <w:vertAlign w:val="baseline"/>
        </w:rPr>
        <w:t>or</w:t>
      </w:r>
      <w:r>
        <w:rPr>
          <w:spacing w:val="-1"/>
          <w:w w:val="105"/>
          <w:sz w:val="19"/>
          <w:vertAlign w:val="baseline"/>
        </w:rPr>
        <w:t xml:space="preserve"> </w:t>
      </w:r>
      <w:r>
        <w:rPr>
          <w:w w:val="105"/>
          <w:sz w:val="19"/>
          <w:vertAlign w:val="baseline"/>
        </w:rPr>
        <w:t>multiple</w:t>
      </w:r>
      <w:r>
        <w:rPr>
          <w:spacing w:val="-2"/>
          <w:w w:val="105"/>
          <w:sz w:val="19"/>
          <w:vertAlign w:val="baseline"/>
        </w:rPr>
        <w:t xml:space="preserve"> </w:t>
      </w:r>
      <w:r>
        <w:rPr>
          <w:w w:val="105"/>
          <w:sz w:val="19"/>
          <w:vertAlign w:val="baseline"/>
        </w:rPr>
        <w:t>states, which might own or</w:t>
      </w:r>
      <w:r>
        <w:rPr>
          <w:spacing w:val="-1"/>
          <w:w w:val="105"/>
          <w:sz w:val="19"/>
          <w:vertAlign w:val="baseline"/>
        </w:rPr>
        <w:t xml:space="preserve"> </w:t>
      </w:r>
      <w:r>
        <w:rPr>
          <w:w w:val="105"/>
          <w:sz w:val="19"/>
          <w:vertAlign w:val="baseline"/>
        </w:rPr>
        <w:t>be affiliated with one</w:t>
      </w:r>
      <w:r>
        <w:rPr>
          <w:spacing w:val="-2"/>
          <w:w w:val="105"/>
          <w:sz w:val="19"/>
          <w:vertAlign w:val="baseline"/>
        </w:rPr>
        <w:t xml:space="preserve"> </w:t>
      </w:r>
      <w:r>
        <w:rPr>
          <w:w w:val="105"/>
          <w:sz w:val="19"/>
          <w:vertAlign w:val="baseline"/>
        </w:rPr>
        <w:t>or</w:t>
      </w:r>
      <w:r>
        <w:rPr>
          <w:spacing w:val="-1"/>
          <w:w w:val="105"/>
          <w:sz w:val="19"/>
          <w:vertAlign w:val="baseline"/>
        </w:rPr>
        <w:t xml:space="preserve"> </w:t>
      </w:r>
      <w:r>
        <w:rPr>
          <w:w w:val="105"/>
          <w:sz w:val="19"/>
          <w:vertAlign w:val="baseline"/>
        </w:rPr>
        <w:t>multiple entities that are</w:t>
      </w:r>
      <w:r>
        <w:rPr>
          <w:spacing w:val="-2"/>
          <w:w w:val="105"/>
          <w:sz w:val="19"/>
          <w:vertAlign w:val="baseline"/>
        </w:rPr>
        <w:t xml:space="preserve"> </w:t>
      </w:r>
      <w:r>
        <w:rPr>
          <w:w w:val="105"/>
          <w:sz w:val="19"/>
          <w:vertAlign w:val="baseline"/>
        </w:rPr>
        <w:t>separately required to</w:t>
      </w:r>
      <w:r>
        <w:rPr>
          <w:spacing w:val="-1"/>
          <w:w w:val="105"/>
          <w:sz w:val="19"/>
          <w:vertAlign w:val="baseline"/>
        </w:rPr>
        <w:t xml:space="preserve"> </w:t>
      </w:r>
      <w:r>
        <w:rPr>
          <w:w w:val="105"/>
          <w:sz w:val="19"/>
          <w:vertAlign w:val="baseline"/>
        </w:rPr>
        <w:t>be</w:t>
      </w:r>
      <w:r>
        <w:rPr>
          <w:spacing w:val="-4"/>
          <w:w w:val="105"/>
          <w:sz w:val="19"/>
          <w:vertAlign w:val="baseline"/>
        </w:rPr>
        <w:t xml:space="preserve"> </w:t>
      </w:r>
      <w:r>
        <w:rPr>
          <w:w w:val="105"/>
          <w:sz w:val="19"/>
          <w:vertAlign w:val="baseline"/>
        </w:rPr>
        <w:t>licensed</w:t>
      </w:r>
      <w:r>
        <w:rPr>
          <w:spacing w:val="-1"/>
          <w:w w:val="105"/>
          <w:sz w:val="19"/>
          <w:vertAlign w:val="baseline"/>
        </w:rPr>
        <w:t xml:space="preserve"> </w:t>
      </w:r>
      <w:r>
        <w:rPr>
          <w:w w:val="105"/>
          <w:sz w:val="19"/>
          <w:vertAlign w:val="baseline"/>
        </w:rPr>
        <w:t>to engage</w:t>
      </w:r>
      <w:r>
        <w:rPr>
          <w:spacing w:val="-4"/>
          <w:w w:val="105"/>
          <w:sz w:val="19"/>
          <w:vertAlign w:val="baseline"/>
        </w:rPr>
        <w:t xml:space="preserve"> </w:t>
      </w:r>
      <w:r>
        <w:rPr>
          <w:w w:val="105"/>
          <w:sz w:val="19"/>
          <w:vertAlign w:val="baseline"/>
        </w:rPr>
        <w:t>in</w:t>
      </w:r>
      <w:r>
        <w:rPr>
          <w:spacing w:val="-1"/>
          <w:w w:val="105"/>
          <w:sz w:val="19"/>
          <w:vertAlign w:val="baseline"/>
        </w:rPr>
        <w:t xml:space="preserve"> </w:t>
      </w:r>
      <w:r>
        <w:rPr>
          <w:w w:val="105"/>
          <w:sz w:val="19"/>
          <w:vertAlign w:val="baseline"/>
        </w:rPr>
        <w:t>the</w:t>
      </w:r>
      <w:r>
        <w:rPr>
          <w:spacing w:val="-4"/>
          <w:w w:val="105"/>
          <w:sz w:val="19"/>
          <w:vertAlign w:val="baseline"/>
        </w:rPr>
        <w:t xml:space="preserve"> </w:t>
      </w:r>
      <w:r>
        <w:rPr>
          <w:w w:val="105"/>
          <w:sz w:val="19"/>
          <w:vertAlign w:val="baseline"/>
        </w:rPr>
        <w:t>business of</w:t>
      </w:r>
      <w:r>
        <w:rPr>
          <w:spacing w:val="-3"/>
          <w:w w:val="105"/>
          <w:sz w:val="19"/>
          <w:vertAlign w:val="baseline"/>
        </w:rPr>
        <w:t xml:space="preserve"> </w:t>
      </w:r>
      <w:r>
        <w:rPr>
          <w:w w:val="105"/>
          <w:sz w:val="19"/>
          <w:vertAlign w:val="baseline"/>
        </w:rPr>
        <w:t>insurance</w:t>
      </w:r>
      <w:r>
        <w:rPr>
          <w:spacing w:val="-4"/>
          <w:w w:val="105"/>
          <w:sz w:val="19"/>
          <w:vertAlign w:val="baseline"/>
        </w:rPr>
        <w:t xml:space="preserve"> </w:t>
      </w:r>
      <w:r>
        <w:rPr>
          <w:w w:val="105"/>
          <w:sz w:val="19"/>
          <w:vertAlign w:val="baseline"/>
        </w:rPr>
        <w:t>in</w:t>
      </w:r>
      <w:r>
        <w:rPr>
          <w:spacing w:val="-1"/>
          <w:w w:val="105"/>
          <w:sz w:val="19"/>
          <w:vertAlign w:val="baseline"/>
        </w:rPr>
        <w:t xml:space="preserve"> </w:t>
      </w:r>
      <w:r>
        <w:rPr>
          <w:w w:val="105"/>
          <w:sz w:val="19"/>
          <w:vertAlign w:val="baseline"/>
        </w:rPr>
        <w:t>each</w:t>
      </w:r>
      <w:r>
        <w:rPr>
          <w:spacing w:val="-1"/>
          <w:w w:val="105"/>
          <w:sz w:val="19"/>
          <w:vertAlign w:val="baseline"/>
        </w:rPr>
        <w:t xml:space="preserve"> </w:t>
      </w:r>
      <w:r>
        <w:rPr>
          <w:w w:val="105"/>
          <w:sz w:val="19"/>
          <w:vertAlign w:val="baseline"/>
        </w:rPr>
        <w:t>such</w:t>
      </w:r>
      <w:r>
        <w:rPr>
          <w:spacing w:val="-1"/>
          <w:w w:val="105"/>
          <w:sz w:val="19"/>
          <w:vertAlign w:val="baseline"/>
        </w:rPr>
        <w:t xml:space="preserve"> </w:t>
      </w:r>
      <w:r>
        <w:rPr>
          <w:w w:val="105"/>
          <w:sz w:val="19"/>
          <w:vertAlign w:val="baseline"/>
        </w:rPr>
        <w:t xml:space="preserve">State. </w:t>
      </w:r>
      <w:r>
        <w:rPr>
          <w:i/>
          <w:w w:val="105"/>
          <w:sz w:val="19"/>
          <w:vertAlign w:val="baseline"/>
        </w:rPr>
        <w:t>Health</w:t>
      </w:r>
      <w:r>
        <w:rPr>
          <w:i/>
          <w:spacing w:val="-1"/>
          <w:w w:val="105"/>
          <w:sz w:val="19"/>
          <w:vertAlign w:val="baseline"/>
        </w:rPr>
        <w:t xml:space="preserve"> </w:t>
      </w:r>
      <w:r>
        <w:rPr>
          <w:i/>
          <w:w w:val="105"/>
          <w:sz w:val="19"/>
          <w:vertAlign w:val="baseline"/>
        </w:rPr>
        <w:t xml:space="preserve">insurance issuer </w:t>
      </w:r>
      <w:r>
        <w:rPr>
          <w:w w:val="105"/>
          <w:sz w:val="19"/>
          <w:vertAlign w:val="baseline"/>
        </w:rPr>
        <w:t>or</w:t>
      </w:r>
      <w:r>
        <w:rPr>
          <w:spacing w:val="-3"/>
          <w:w w:val="105"/>
          <w:sz w:val="19"/>
          <w:vertAlign w:val="baseline"/>
        </w:rPr>
        <w:t xml:space="preserve"> </w:t>
      </w:r>
      <w:r>
        <w:rPr>
          <w:i/>
          <w:w w:val="105"/>
          <w:sz w:val="19"/>
          <w:vertAlign w:val="baseline"/>
        </w:rPr>
        <w:t xml:space="preserve">issuer </w:t>
      </w:r>
      <w:r>
        <w:rPr>
          <w:w w:val="105"/>
          <w:sz w:val="19"/>
          <w:vertAlign w:val="baseline"/>
        </w:rPr>
        <w:t>means an insurance</w:t>
      </w:r>
      <w:r>
        <w:rPr>
          <w:spacing w:val="-7"/>
          <w:w w:val="105"/>
          <w:sz w:val="19"/>
          <w:vertAlign w:val="baseline"/>
        </w:rPr>
        <w:t xml:space="preserve"> </w:t>
      </w:r>
      <w:r>
        <w:rPr>
          <w:w w:val="105"/>
          <w:sz w:val="19"/>
          <w:vertAlign w:val="baseline"/>
        </w:rPr>
        <w:t>company,</w:t>
      </w:r>
      <w:r>
        <w:rPr>
          <w:spacing w:val="-4"/>
          <w:w w:val="105"/>
          <w:sz w:val="19"/>
          <w:vertAlign w:val="baseline"/>
        </w:rPr>
        <w:t xml:space="preserve"> </w:t>
      </w:r>
      <w:r>
        <w:rPr>
          <w:w w:val="105"/>
          <w:sz w:val="19"/>
          <w:vertAlign w:val="baseline"/>
        </w:rPr>
        <w:t>insurance</w:t>
      </w:r>
      <w:r>
        <w:rPr>
          <w:spacing w:val="-7"/>
          <w:w w:val="105"/>
          <w:sz w:val="19"/>
          <w:vertAlign w:val="baseline"/>
        </w:rPr>
        <w:t xml:space="preserve"> </w:t>
      </w:r>
      <w:r>
        <w:rPr>
          <w:w w:val="105"/>
          <w:sz w:val="19"/>
          <w:vertAlign w:val="baseline"/>
        </w:rPr>
        <w:t>service,</w:t>
      </w:r>
      <w:r>
        <w:rPr>
          <w:spacing w:val="-4"/>
          <w:w w:val="105"/>
          <w:sz w:val="19"/>
          <w:vertAlign w:val="baseline"/>
        </w:rPr>
        <w:t xml:space="preserve"> </w:t>
      </w:r>
      <w:r>
        <w:rPr>
          <w:w w:val="105"/>
          <w:sz w:val="19"/>
          <w:vertAlign w:val="baseline"/>
        </w:rPr>
        <w:t>or</w:t>
      </w:r>
      <w:r>
        <w:rPr>
          <w:spacing w:val="-6"/>
          <w:w w:val="105"/>
          <w:sz w:val="19"/>
          <w:vertAlign w:val="baseline"/>
        </w:rPr>
        <w:t xml:space="preserve"> </w:t>
      </w:r>
      <w:r>
        <w:rPr>
          <w:w w:val="105"/>
          <w:sz w:val="19"/>
          <w:vertAlign w:val="baseline"/>
        </w:rPr>
        <w:t>insurance</w:t>
      </w:r>
      <w:r>
        <w:rPr>
          <w:spacing w:val="-7"/>
          <w:w w:val="105"/>
          <w:sz w:val="19"/>
          <w:vertAlign w:val="baseline"/>
        </w:rPr>
        <w:t xml:space="preserve"> </w:t>
      </w:r>
      <w:r>
        <w:rPr>
          <w:w w:val="105"/>
          <w:sz w:val="19"/>
          <w:vertAlign w:val="baseline"/>
        </w:rPr>
        <w:t>organization</w:t>
      </w:r>
      <w:r>
        <w:rPr>
          <w:spacing w:val="-4"/>
          <w:w w:val="105"/>
          <w:sz w:val="19"/>
          <w:vertAlign w:val="baseline"/>
        </w:rPr>
        <w:t xml:space="preserve"> </w:t>
      </w:r>
      <w:r>
        <w:rPr>
          <w:w w:val="105"/>
          <w:sz w:val="19"/>
          <w:vertAlign w:val="baseline"/>
        </w:rPr>
        <w:t>(including an HMO)</w:t>
      </w:r>
      <w:r>
        <w:rPr>
          <w:spacing w:val="-6"/>
          <w:w w:val="105"/>
          <w:sz w:val="19"/>
          <w:vertAlign w:val="baseline"/>
        </w:rPr>
        <w:t xml:space="preserve"> </w:t>
      </w:r>
      <w:r>
        <w:rPr>
          <w:w w:val="105"/>
          <w:sz w:val="19"/>
          <w:vertAlign w:val="baseline"/>
        </w:rPr>
        <w:t>that</w:t>
      </w:r>
      <w:r>
        <w:rPr>
          <w:spacing w:val="-2"/>
          <w:w w:val="105"/>
          <w:sz w:val="19"/>
          <w:vertAlign w:val="baseline"/>
        </w:rPr>
        <w:t xml:space="preserve"> </w:t>
      </w:r>
      <w:r>
        <w:rPr>
          <w:w w:val="105"/>
          <w:sz w:val="19"/>
          <w:vertAlign w:val="baseline"/>
        </w:rPr>
        <w:t>is</w:t>
      </w:r>
      <w:r>
        <w:rPr>
          <w:spacing w:val="-3"/>
          <w:w w:val="105"/>
          <w:sz w:val="19"/>
          <w:vertAlign w:val="baseline"/>
        </w:rPr>
        <w:t xml:space="preserve"> </w:t>
      </w:r>
      <w:r>
        <w:rPr>
          <w:w w:val="105"/>
          <w:sz w:val="19"/>
          <w:vertAlign w:val="baseline"/>
        </w:rPr>
        <w:t>required to</w:t>
      </w:r>
      <w:r>
        <w:rPr>
          <w:spacing w:val="-4"/>
          <w:w w:val="105"/>
          <w:sz w:val="19"/>
          <w:vertAlign w:val="baseline"/>
        </w:rPr>
        <w:t xml:space="preserve"> </w:t>
      </w:r>
      <w:r>
        <w:rPr>
          <w:w w:val="105"/>
          <w:sz w:val="19"/>
          <w:vertAlign w:val="baseline"/>
        </w:rPr>
        <w:t>be licensed to engage in the business of insurance in a State and that is subject to State law that regulates insurance.</w:t>
      </w:r>
    </w:p>
    <w:p>
      <w:pPr>
        <w:spacing w:after="0" w:line="252" w:lineRule="auto"/>
        <w:jc w:val="left"/>
        <w:rPr>
          <w:sz w:val="19"/>
        </w:rPr>
        <w:sectPr>
          <w:pgSz w:w="12240" w:h="15840"/>
          <w:pgMar w:top="1380" w:right="1440" w:bottom="1060" w:left="1080" w:header="0" w:footer="873"/>
          <w:cols w:space="720"/>
        </w:sectPr>
      </w:pPr>
    </w:p>
    <w:p>
      <w:pPr>
        <w:pStyle w:val="BodyText"/>
        <w:spacing w:before="62"/>
        <w:ind w:left="791" w:right="15"/>
      </w:pPr>
      <w:r>
        <w:t>expects that each issuer, self-funded non-Federal governmental plan sponsor conducting their own analysis, and TPA will require a team of lawyers, actuaries, and</w:t>
      </w:r>
      <w:r>
        <w:rPr>
          <w:spacing w:val="-2"/>
        </w:rPr>
        <w:t xml:space="preserve"> </w:t>
      </w:r>
      <w:r>
        <w:t>data analyst (at a composite hourly labor cost of $167.48) and, on average, perform 10 NQTL comparative analyses. This is based on the Departments’ experience in reviewing comparative analyses and in response to commenters’ concerns that the Departments previously underestimated the</w:t>
      </w:r>
      <w:r>
        <w:rPr>
          <w:spacing w:val="-3"/>
        </w:rPr>
        <w:t xml:space="preserve"> </w:t>
      </w:r>
      <w:r>
        <w:t>number</w:t>
      </w:r>
      <w:r>
        <w:rPr>
          <w:spacing w:val="-5"/>
        </w:rPr>
        <w:t xml:space="preserve"> </w:t>
      </w:r>
      <w:r>
        <w:t>of</w:t>
      </w:r>
      <w:r>
        <w:rPr>
          <w:spacing w:val="-4"/>
        </w:rPr>
        <w:t xml:space="preserve"> </w:t>
      </w:r>
      <w:r>
        <w:t>NQTLs.</w:t>
      </w:r>
      <w:r>
        <w:rPr>
          <w:spacing w:val="-3"/>
        </w:rPr>
        <w:t xml:space="preserve"> </w:t>
      </w:r>
      <w:r>
        <w:t>Once</w:t>
      </w:r>
      <w:r>
        <w:rPr>
          <w:spacing w:val="-11"/>
        </w:rPr>
        <w:t xml:space="preserve"> </w:t>
      </w:r>
      <w:r>
        <w:t>the</w:t>
      </w:r>
      <w:r>
        <w:rPr>
          <w:spacing w:val="-3"/>
        </w:rPr>
        <w:t xml:space="preserve"> </w:t>
      </w:r>
      <w:r>
        <w:t>comparative</w:t>
      </w:r>
      <w:r>
        <w:rPr>
          <w:spacing w:val="-3"/>
        </w:rPr>
        <w:t xml:space="preserve"> </w:t>
      </w:r>
      <w:r>
        <w:t>analyses</w:t>
      </w:r>
      <w:r>
        <w:rPr>
          <w:spacing w:val="-4"/>
        </w:rPr>
        <w:t xml:space="preserve"> </w:t>
      </w:r>
      <w:r>
        <w:t>are</w:t>
      </w:r>
      <w:r>
        <w:rPr>
          <w:spacing w:val="-3"/>
        </w:rPr>
        <w:t xml:space="preserve"> </w:t>
      </w:r>
      <w:r>
        <w:t>performed</w:t>
      </w:r>
      <w:r>
        <w:rPr>
          <w:spacing w:val="-3"/>
        </w:rPr>
        <w:t xml:space="preserve"> </w:t>
      </w:r>
      <w:r>
        <w:t>and</w:t>
      </w:r>
      <w:r>
        <w:rPr>
          <w:spacing w:val="-3"/>
        </w:rPr>
        <w:t xml:space="preserve"> </w:t>
      </w:r>
      <w:r>
        <w:t>documented, plans and</w:t>
      </w:r>
      <w:r>
        <w:rPr>
          <w:spacing w:val="-3"/>
        </w:rPr>
        <w:t xml:space="preserve"> </w:t>
      </w:r>
      <w:r>
        <w:t>issuers</w:t>
      </w:r>
      <w:r>
        <w:rPr>
          <w:spacing w:val="-4"/>
        </w:rPr>
        <w:t xml:space="preserve"> </w:t>
      </w:r>
      <w:r>
        <w:t>will</w:t>
      </w:r>
      <w:r>
        <w:rPr>
          <w:spacing w:val="-5"/>
        </w:rPr>
        <w:t xml:space="preserve"> </w:t>
      </w:r>
      <w:r>
        <w:t>need</w:t>
      </w:r>
      <w:r>
        <w:rPr>
          <w:spacing w:val="-2"/>
        </w:rPr>
        <w:t xml:space="preserve"> </w:t>
      </w:r>
      <w:r>
        <w:t>to</w:t>
      </w:r>
      <w:r>
        <w:rPr>
          <w:spacing w:val="-2"/>
        </w:rPr>
        <w:t xml:space="preserve"> </w:t>
      </w:r>
      <w:r>
        <w:t>update</w:t>
      </w:r>
      <w:r>
        <w:rPr>
          <w:spacing w:val="-3"/>
        </w:rPr>
        <w:t xml:space="preserve"> </w:t>
      </w:r>
      <w:r>
        <w:t>the</w:t>
      </w:r>
      <w:r>
        <w:rPr>
          <w:spacing w:val="-3"/>
        </w:rPr>
        <w:t xml:space="preserve"> </w:t>
      </w:r>
      <w:r>
        <w:t>analyses</w:t>
      </w:r>
      <w:r>
        <w:rPr>
          <w:spacing w:val="-4"/>
        </w:rPr>
        <w:t xml:space="preserve"> </w:t>
      </w:r>
      <w:r>
        <w:t>in</w:t>
      </w:r>
      <w:r>
        <w:rPr>
          <w:spacing w:val="-2"/>
        </w:rPr>
        <w:t xml:space="preserve"> </w:t>
      </w:r>
      <w:r>
        <w:t>subsequent years</w:t>
      </w:r>
      <w:r>
        <w:rPr>
          <w:spacing w:val="-4"/>
        </w:rPr>
        <w:t xml:space="preserve"> </w:t>
      </w:r>
      <w:r>
        <w:t>when</w:t>
      </w:r>
      <w:r>
        <w:rPr>
          <w:spacing w:val="-3"/>
        </w:rPr>
        <w:t xml:space="preserve"> </w:t>
      </w:r>
      <w:r>
        <w:t>making</w:t>
      </w:r>
      <w:r>
        <w:rPr>
          <w:spacing w:val="-2"/>
        </w:rPr>
        <w:t xml:space="preserve"> </w:t>
      </w:r>
      <w:r>
        <w:t>changes</w:t>
      </w:r>
      <w:r>
        <w:rPr>
          <w:spacing w:val="-4"/>
        </w:rPr>
        <w:t xml:space="preserve"> </w:t>
      </w:r>
      <w:r>
        <w:t>to</w:t>
      </w:r>
      <w:r>
        <w:rPr>
          <w:spacing w:val="-2"/>
        </w:rPr>
        <w:t xml:space="preserve"> </w:t>
      </w:r>
      <w:r>
        <w:t>the terms</w:t>
      </w:r>
      <w:r>
        <w:rPr>
          <w:spacing w:val="-2"/>
        </w:rPr>
        <w:t xml:space="preserve"> </w:t>
      </w:r>
      <w:r>
        <w:t>of</w:t>
      </w:r>
      <w:r>
        <w:rPr>
          <w:spacing w:val="-2"/>
        </w:rPr>
        <w:t xml:space="preserve"> </w:t>
      </w:r>
      <w:r>
        <w:t>the</w:t>
      </w:r>
      <w:r>
        <w:rPr>
          <w:spacing w:val="-1"/>
        </w:rPr>
        <w:t xml:space="preserve"> </w:t>
      </w:r>
      <w:r>
        <w:t>plan</w:t>
      </w:r>
      <w:r>
        <w:rPr>
          <w:spacing w:val="-1"/>
        </w:rPr>
        <w:t xml:space="preserve"> </w:t>
      </w:r>
      <w:r>
        <w:t>or</w:t>
      </w:r>
      <w:r>
        <w:rPr>
          <w:spacing w:val="-2"/>
        </w:rPr>
        <w:t xml:space="preserve"> </w:t>
      </w:r>
      <w:r>
        <w:t>coverage, including changes</w:t>
      </w:r>
      <w:r>
        <w:rPr>
          <w:spacing w:val="-2"/>
        </w:rPr>
        <w:t xml:space="preserve"> </w:t>
      </w:r>
      <w:r>
        <w:t>to the</w:t>
      </w:r>
      <w:r>
        <w:rPr>
          <w:spacing w:val="-1"/>
        </w:rPr>
        <w:t xml:space="preserve"> </w:t>
      </w:r>
      <w:r>
        <w:t>way</w:t>
      </w:r>
      <w:r>
        <w:rPr>
          <w:spacing w:val="-1"/>
        </w:rPr>
        <w:t xml:space="preserve"> </w:t>
      </w:r>
      <w:r>
        <w:t>NQTLs</w:t>
      </w:r>
      <w:r>
        <w:rPr>
          <w:spacing w:val="-2"/>
        </w:rPr>
        <w:t xml:space="preserve"> </w:t>
      </w:r>
      <w:r>
        <w:t>are</w:t>
      </w:r>
      <w:r>
        <w:rPr>
          <w:spacing w:val="-1"/>
        </w:rPr>
        <w:t xml:space="preserve"> </w:t>
      </w:r>
      <w:r>
        <w:t>applied</w:t>
      </w:r>
      <w:r>
        <w:rPr>
          <w:spacing w:val="-1"/>
        </w:rPr>
        <w:t xml:space="preserve"> </w:t>
      </w:r>
      <w:r>
        <w:t>to MH/SUD or medical/surgical benefits.</w:t>
      </w:r>
    </w:p>
    <w:p>
      <w:pPr>
        <w:pStyle w:val="BodyText"/>
        <w:spacing w:before="1"/>
      </w:pPr>
    </w:p>
    <w:p>
      <w:pPr>
        <w:pStyle w:val="BodyText"/>
        <w:spacing w:before="1"/>
        <w:ind w:left="791" w:right="153"/>
      </w:pPr>
      <w:r>
        <w:t>As noted in Table 3, we assume that in the first year issuers, self-funded non-Federal governmental plans that will conduct the comparative analysis themselves, and TPAs will require</w:t>
      </w:r>
      <w:r>
        <w:rPr>
          <w:spacing w:val="-2"/>
        </w:rPr>
        <w:t xml:space="preserve"> </w:t>
      </w:r>
      <w:r>
        <w:t>60</w:t>
      </w:r>
      <w:r>
        <w:rPr>
          <w:spacing w:val="-1"/>
        </w:rPr>
        <w:t xml:space="preserve"> </w:t>
      </w:r>
      <w:r>
        <w:t>hours</w:t>
      </w:r>
      <w:r>
        <w:rPr>
          <w:spacing w:val="-3"/>
        </w:rPr>
        <w:t xml:space="preserve"> </w:t>
      </w:r>
      <w:r>
        <w:t>per</w:t>
      </w:r>
      <w:r>
        <w:rPr>
          <w:spacing w:val="-4"/>
        </w:rPr>
        <w:t xml:space="preserve"> </w:t>
      </w:r>
      <w:r>
        <w:t>NQTL</w:t>
      </w:r>
      <w:r>
        <w:rPr>
          <w:spacing w:val="-4"/>
        </w:rPr>
        <w:t xml:space="preserve"> </w:t>
      </w:r>
      <w:r>
        <w:t>with</w:t>
      </w:r>
      <w:r>
        <w:rPr>
          <w:spacing w:val="-1"/>
        </w:rPr>
        <w:t xml:space="preserve"> </w:t>
      </w:r>
      <w:r>
        <w:t>an</w:t>
      </w:r>
      <w:r>
        <w:rPr>
          <w:spacing w:val="-2"/>
        </w:rPr>
        <w:t xml:space="preserve"> </w:t>
      </w:r>
      <w:r>
        <w:t>equivalent</w:t>
      </w:r>
      <w:r>
        <w:rPr>
          <w:spacing w:val="-5"/>
        </w:rPr>
        <w:t xml:space="preserve"> </w:t>
      </w:r>
      <w:r>
        <w:t>cost</w:t>
      </w:r>
      <w:r>
        <w:rPr>
          <w:spacing w:val="-4"/>
        </w:rPr>
        <w:t xml:space="preserve"> </w:t>
      </w:r>
      <w:r>
        <w:t>of</w:t>
      </w:r>
      <w:r>
        <w:rPr>
          <w:spacing w:val="-3"/>
        </w:rPr>
        <w:t xml:space="preserve"> </w:t>
      </w:r>
      <w:r>
        <w:t>$100,488.</w:t>
      </w:r>
      <w:hyperlink w:anchor="_bookmark10" w:history="1">
        <w:r>
          <w:rPr>
            <w:vertAlign w:val="superscript"/>
          </w:rPr>
          <w:t>11</w:t>
        </w:r>
      </w:hyperlink>
      <w:r>
        <w:rPr>
          <w:vertAlign w:val="baseline"/>
        </w:rPr>
        <w:t xml:space="preserve"> Whereas</w:t>
      </w:r>
      <w:r>
        <w:rPr>
          <w:spacing w:val="-3"/>
          <w:vertAlign w:val="baseline"/>
        </w:rPr>
        <w:t xml:space="preserve"> </w:t>
      </w:r>
      <w:r>
        <w:rPr>
          <w:vertAlign w:val="baseline"/>
        </w:rPr>
        <w:t>the</w:t>
      </w:r>
      <w:r>
        <w:rPr>
          <w:spacing w:val="-2"/>
          <w:vertAlign w:val="baseline"/>
        </w:rPr>
        <w:t xml:space="preserve"> </w:t>
      </w:r>
      <w:r>
        <w:rPr>
          <w:vertAlign w:val="baseline"/>
        </w:rPr>
        <w:t>self-funded non-Federal governmental plans that will initially receive a generic comparative analysis from a TPA that will require customizing to suit the plan’s specific needs will require 30 hours per NQTL with an equivalent cost of $50,244.</w:t>
      </w:r>
      <w:hyperlink w:anchor="_bookmark11" w:history="1">
        <w:r>
          <w:rPr>
            <w:vertAlign w:val="superscript"/>
          </w:rPr>
          <w:t>12</w:t>
        </w:r>
      </w:hyperlink>
    </w:p>
    <w:p>
      <w:pPr>
        <w:pStyle w:val="BodyText"/>
        <w:spacing w:before="3"/>
      </w:pPr>
    </w:p>
    <w:p>
      <w:pPr>
        <w:pStyle w:val="BodyText"/>
        <w:ind w:left="791"/>
      </w:pPr>
      <w:r>
        <w:t>In subsequent years, we assume that reviewing and revising their comparative analysis will require</w:t>
      </w:r>
      <w:r>
        <w:rPr>
          <w:spacing w:val="-2"/>
        </w:rPr>
        <w:t xml:space="preserve"> </w:t>
      </w:r>
      <w:r>
        <w:t>12</w:t>
      </w:r>
      <w:r>
        <w:rPr>
          <w:spacing w:val="-2"/>
        </w:rPr>
        <w:t xml:space="preserve"> </w:t>
      </w:r>
      <w:r>
        <w:t>hours</w:t>
      </w:r>
      <w:r>
        <w:rPr>
          <w:spacing w:val="-4"/>
        </w:rPr>
        <w:t xml:space="preserve"> </w:t>
      </w:r>
      <w:r>
        <w:t>per</w:t>
      </w:r>
      <w:r>
        <w:rPr>
          <w:spacing w:val="-5"/>
        </w:rPr>
        <w:t xml:space="preserve"> </w:t>
      </w:r>
      <w:r>
        <w:t>NQTL</w:t>
      </w:r>
      <w:r>
        <w:rPr>
          <w:spacing w:val="-5"/>
        </w:rPr>
        <w:t xml:space="preserve"> </w:t>
      </w:r>
      <w:r>
        <w:t>for</w:t>
      </w:r>
      <w:r>
        <w:rPr>
          <w:spacing w:val="-4"/>
        </w:rPr>
        <w:t xml:space="preserve"> </w:t>
      </w:r>
      <w:r>
        <w:t>issuers, self-funded</w:t>
      </w:r>
      <w:r>
        <w:rPr>
          <w:spacing w:val="-3"/>
        </w:rPr>
        <w:t xml:space="preserve"> </w:t>
      </w:r>
      <w:r>
        <w:t>non-Federal</w:t>
      </w:r>
      <w:r>
        <w:rPr>
          <w:spacing w:val="-5"/>
        </w:rPr>
        <w:t xml:space="preserve"> </w:t>
      </w:r>
      <w:r>
        <w:t>governmental</w:t>
      </w:r>
      <w:r>
        <w:rPr>
          <w:spacing w:val="-6"/>
        </w:rPr>
        <w:t xml:space="preserve"> </w:t>
      </w:r>
      <w:r>
        <w:t>plans</w:t>
      </w:r>
      <w:r>
        <w:rPr>
          <w:spacing w:val="-4"/>
        </w:rPr>
        <w:t xml:space="preserve"> </w:t>
      </w:r>
      <w:r>
        <w:t>that</w:t>
      </w:r>
      <w:r>
        <w:rPr>
          <w:spacing w:val="-5"/>
        </w:rPr>
        <w:t xml:space="preserve"> </w:t>
      </w:r>
      <w:r>
        <w:t>will conduct the comparative analysis themselves, and TPAs, with an equivalent cost of</w:t>
      </w:r>
    </w:p>
    <w:p>
      <w:pPr>
        <w:pStyle w:val="BodyText"/>
        <w:ind w:left="791" w:right="302"/>
      </w:pPr>
      <w:r>
        <w:t>$20,098.</w:t>
      </w:r>
      <w:hyperlink w:anchor="_bookmark12" w:history="1">
        <w:r>
          <w:rPr>
            <w:vertAlign w:val="superscript"/>
          </w:rPr>
          <w:t>13</w:t>
        </w:r>
      </w:hyperlink>
      <w:r>
        <w:rPr>
          <w:vertAlign w:val="baseline"/>
        </w:rPr>
        <w:t xml:space="preserve"> Whereas it will require 6 hours per NQTL for self-funded non-Federal governmental</w:t>
      </w:r>
      <w:r>
        <w:rPr>
          <w:spacing w:val="-5"/>
          <w:vertAlign w:val="baseline"/>
        </w:rPr>
        <w:t xml:space="preserve"> </w:t>
      </w:r>
      <w:r>
        <w:rPr>
          <w:vertAlign w:val="baseline"/>
        </w:rPr>
        <w:t>plans</w:t>
      </w:r>
      <w:r>
        <w:rPr>
          <w:spacing w:val="-4"/>
          <w:vertAlign w:val="baseline"/>
        </w:rPr>
        <w:t xml:space="preserve"> </w:t>
      </w:r>
      <w:r>
        <w:rPr>
          <w:vertAlign w:val="baseline"/>
        </w:rPr>
        <w:t>that</w:t>
      </w:r>
      <w:r>
        <w:rPr>
          <w:spacing w:val="-5"/>
          <w:vertAlign w:val="baseline"/>
        </w:rPr>
        <w:t xml:space="preserve"> </w:t>
      </w:r>
      <w:r>
        <w:rPr>
          <w:vertAlign w:val="baseline"/>
        </w:rPr>
        <w:t>will</w:t>
      </w:r>
      <w:r>
        <w:rPr>
          <w:spacing w:val="-5"/>
          <w:vertAlign w:val="baseline"/>
        </w:rPr>
        <w:t xml:space="preserve"> </w:t>
      </w:r>
      <w:r>
        <w:rPr>
          <w:vertAlign w:val="baseline"/>
        </w:rPr>
        <w:t>initially</w:t>
      </w:r>
      <w:r>
        <w:rPr>
          <w:spacing w:val="-2"/>
          <w:vertAlign w:val="baseline"/>
        </w:rPr>
        <w:t xml:space="preserve"> </w:t>
      </w:r>
      <w:r>
        <w:rPr>
          <w:vertAlign w:val="baseline"/>
        </w:rPr>
        <w:t>receive</w:t>
      </w:r>
      <w:r>
        <w:rPr>
          <w:spacing w:val="-3"/>
          <w:vertAlign w:val="baseline"/>
        </w:rPr>
        <w:t xml:space="preserve"> </w:t>
      </w:r>
      <w:r>
        <w:rPr>
          <w:vertAlign w:val="baseline"/>
        </w:rPr>
        <w:t>a</w:t>
      </w:r>
      <w:r>
        <w:rPr>
          <w:spacing w:val="-3"/>
          <w:vertAlign w:val="baseline"/>
        </w:rPr>
        <w:t xml:space="preserve"> </w:t>
      </w:r>
      <w:r>
        <w:rPr>
          <w:vertAlign w:val="baseline"/>
        </w:rPr>
        <w:t>generic</w:t>
      </w:r>
      <w:r>
        <w:rPr>
          <w:spacing w:val="-3"/>
          <w:vertAlign w:val="baseline"/>
        </w:rPr>
        <w:t xml:space="preserve"> </w:t>
      </w:r>
      <w:r>
        <w:rPr>
          <w:vertAlign w:val="baseline"/>
        </w:rPr>
        <w:t>comparative</w:t>
      </w:r>
      <w:r>
        <w:rPr>
          <w:spacing w:val="-3"/>
          <w:vertAlign w:val="baseline"/>
        </w:rPr>
        <w:t xml:space="preserve"> </w:t>
      </w:r>
      <w:r>
        <w:rPr>
          <w:vertAlign w:val="baseline"/>
        </w:rPr>
        <w:t>analysis</w:t>
      </w:r>
      <w:r>
        <w:rPr>
          <w:spacing w:val="-4"/>
          <w:vertAlign w:val="baseline"/>
        </w:rPr>
        <w:t xml:space="preserve"> </w:t>
      </w:r>
      <w:r>
        <w:rPr>
          <w:vertAlign w:val="baseline"/>
        </w:rPr>
        <w:t>from</w:t>
      </w:r>
      <w:r>
        <w:rPr>
          <w:spacing w:val="-5"/>
          <w:vertAlign w:val="baseline"/>
        </w:rPr>
        <w:t xml:space="preserve"> </w:t>
      </w:r>
      <w:r>
        <w:rPr>
          <w:vertAlign w:val="baseline"/>
        </w:rPr>
        <w:t>a</w:t>
      </w:r>
      <w:r>
        <w:rPr>
          <w:spacing w:val="-3"/>
          <w:vertAlign w:val="baseline"/>
        </w:rPr>
        <w:t xml:space="preserve"> </w:t>
      </w:r>
      <w:r>
        <w:rPr>
          <w:vertAlign w:val="baseline"/>
        </w:rPr>
        <w:t>TPA that will require customizing to suit the plan’s specific needs, with an equivalent cost of</w:t>
      </w:r>
    </w:p>
    <w:p>
      <w:pPr>
        <w:pStyle w:val="BodyText"/>
        <w:spacing w:line="274" w:lineRule="exact"/>
        <w:ind w:left="791"/>
      </w:pPr>
      <w:r>
        <w:rPr>
          <w:spacing w:val="-2"/>
        </w:rPr>
        <w:t>$10,049.</w:t>
      </w:r>
      <w:hyperlink w:anchor="_bookmark13" w:history="1">
        <w:r>
          <w:rPr>
            <w:spacing w:val="-2"/>
            <w:vertAlign w:val="superscript"/>
          </w:rPr>
          <w:t>14</w:t>
        </w:r>
      </w:hyperlink>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0"/>
        </w:rPr>
      </w:pPr>
      <w:r>
        <w:rPr>
          <w:sz w:val="20"/>
        </w:rPr>
        <mc:AlternateContent>
          <mc:Choice Requires="wps">
            <w:drawing>
              <wp:anchor distT="0" distB="0" distL="0" distR="0" simplePos="0" relativeHeight="251668480" behindDoc="1" locked="0" layoutInCell="1" allowOverlap="1">
                <wp:simplePos x="0" y="0"/>
                <wp:positionH relativeFrom="page">
                  <wp:posOffset>914996</wp:posOffset>
                </wp:positionH>
                <wp:positionV relativeFrom="paragraph">
                  <wp:posOffset>167121</wp:posOffset>
                </wp:positionV>
                <wp:extent cx="1830070" cy="5080"/>
                <wp:effectExtent l="0" t="0" r="0" b="0"/>
                <wp:wrapTopAndBottom/>
                <wp:docPr id="7" name="Graphic 7"/>
                <wp:cNvGraphicFramePr/>
                <a:graphic xmlns:a="http://schemas.openxmlformats.org/drawingml/2006/main">
                  <a:graphicData uri="http://schemas.microsoft.com/office/word/2010/wordprocessingShape">
                    <wps:wsp xmlns:wps="http://schemas.microsoft.com/office/word/2010/wordprocessingShape">
                      <wps:cNvSpPr/>
                      <wps:spPr>
                        <a:xfrm>
                          <a:off x="0" y="0"/>
                          <a:ext cx="1830070" cy="5080"/>
                        </a:xfrm>
                        <a:custGeom>
                          <a:avLst/>
                          <a:gdLst/>
                          <a:rect l="l" t="t" r="r" b="b"/>
                          <a:pathLst>
                            <a:path fill="norm" h="5080" w="1830070" stroke="1">
                              <a:moveTo>
                                <a:pt x="1829689" y="0"/>
                              </a:moveTo>
                              <a:lnTo>
                                <a:pt x="0" y="0"/>
                              </a:lnTo>
                              <a:lnTo>
                                <a:pt x="0" y="4483"/>
                              </a:lnTo>
                              <a:lnTo>
                                <a:pt x="1829689" y="4483"/>
                              </a:lnTo>
                              <a:lnTo>
                                <a:pt x="1829689" y="0"/>
                              </a:lnTo>
                              <a:close/>
                            </a:path>
                          </a:pathLst>
                        </a:custGeom>
                        <a:solidFill>
                          <a:srgbClr val="000000"/>
                        </a:solidFill>
                      </wps:spPr>
                      <wps:bodyPr wrap="square" lIns="0" tIns="0" rIns="0" bIns="0" rtlCol="0">
                        <a:prstTxWarp prst="textNoShape">
                          <a:avLst/>
                        </a:prstTxWarp>
                      </wps:bodyPr>
                    </wps:wsp>
                  </a:graphicData>
                </a:graphic>
              </wp:anchor>
            </w:drawing>
          </mc:Choice>
          <mc:Fallback>
            <w:pict>
              <v:rect id="_x0000_s1030" style="width:144.07pt;height:0.35pt;margin-top:13.16pt;margin-left:72.05pt;mso-position-horizontal-relative:page;mso-wrap-distance-left:0;mso-wrap-distance-right:0;position:absolute;z-index:-251646976" filled="t" fillcolor="black" stroked="f">
                <v:fill type="solid"/>
                <w10:wrap type="topAndBottom"/>
              </v:rect>
            </w:pict>
          </mc:Fallback>
        </mc:AlternateContent>
      </w:r>
    </w:p>
    <w:p>
      <w:pPr>
        <w:spacing w:before="98" w:line="256" w:lineRule="auto"/>
        <w:ind w:left="360" w:right="32" w:firstLine="0"/>
        <w:jc w:val="left"/>
        <w:rPr>
          <w:sz w:val="19"/>
        </w:rPr>
      </w:pPr>
      <w:bookmarkStart w:id="26" w:name="_bookmark10"/>
      <w:bookmarkEnd w:id="26"/>
      <w:r>
        <w:rPr>
          <w:w w:val="105"/>
          <w:sz w:val="19"/>
          <w:vertAlign w:val="superscript"/>
        </w:rPr>
        <w:t>11</w:t>
      </w:r>
      <w:r>
        <w:rPr>
          <w:spacing w:val="-3"/>
          <w:w w:val="105"/>
          <w:sz w:val="19"/>
          <w:vertAlign w:val="baseline"/>
        </w:rPr>
        <w:t xml:space="preserve"> </w:t>
      </w:r>
      <w:r>
        <w:rPr>
          <w:w w:val="105"/>
          <w:sz w:val="19"/>
          <w:vertAlign w:val="baseline"/>
        </w:rPr>
        <w:t>The</w:t>
      </w:r>
      <w:r>
        <w:rPr>
          <w:spacing w:val="-6"/>
          <w:w w:val="105"/>
          <w:sz w:val="19"/>
          <w:vertAlign w:val="baseline"/>
        </w:rPr>
        <w:t xml:space="preserve"> </w:t>
      </w:r>
      <w:r>
        <w:rPr>
          <w:w w:val="105"/>
          <w:sz w:val="19"/>
          <w:vertAlign w:val="baseline"/>
        </w:rPr>
        <w:t>burden</w:t>
      </w:r>
      <w:r>
        <w:rPr>
          <w:spacing w:val="-3"/>
          <w:w w:val="105"/>
          <w:sz w:val="19"/>
          <w:vertAlign w:val="baseline"/>
        </w:rPr>
        <w:t xml:space="preserve"> </w:t>
      </w:r>
      <w:r>
        <w:rPr>
          <w:w w:val="105"/>
          <w:sz w:val="19"/>
          <w:vertAlign w:val="baseline"/>
        </w:rPr>
        <w:t>is estimated</w:t>
      </w:r>
      <w:r>
        <w:rPr>
          <w:spacing w:val="-3"/>
          <w:w w:val="105"/>
          <w:sz w:val="19"/>
          <w:vertAlign w:val="baseline"/>
        </w:rPr>
        <w:t xml:space="preserve"> </w:t>
      </w:r>
      <w:r>
        <w:rPr>
          <w:w w:val="105"/>
          <w:sz w:val="19"/>
          <w:vertAlign w:val="baseline"/>
        </w:rPr>
        <w:t>as follows: (1</w:t>
      </w:r>
      <w:r>
        <w:rPr>
          <w:spacing w:val="-3"/>
          <w:w w:val="105"/>
          <w:sz w:val="19"/>
          <w:vertAlign w:val="baseline"/>
        </w:rPr>
        <w:t xml:space="preserve"> </w:t>
      </w:r>
      <w:r>
        <w:rPr>
          <w:w w:val="105"/>
          <w:sz w:val="19"/>
          <w:vertAlign w:val="baseline"/>
        </w:rPr>
        <w:t>plan</w:t>
      </w:r>
      <w:r>
        <w:rPr>
          <w:spacing w:val="-3"/>
          <w:w w:val="105"/>
          <w:sz w:val="19"/>
          <w:vertAlign w:val="baseline"/>
        </w:rPr>
        <w:t xml:space="preserve"> </w:t>
      </w:r>
      <w:r>
        <w:rPr>
          <w:w w:val="105"/>
          <w:sz w:val="19"/>
          <w:vertAlign w:val="baseline"/>
        </w:rPr>
        <w:t>or</w:t>
      </w:r>
      <w:r>
        <w:rPr>
          <w:spacing w:val="-5"/>
          <w:w w:val="105"/>
          <w:sz w:val="19"/>
          <w:vertAlign w:val="baseline"/>
        </w:rPr>
        <w:t xml:space="preserve"> </w:t>
      </w:r>
      <w:r>
        <w:rPr>
          <w:w w:val="105"/>
          <w:sz w:val="19"/>
          <w:vertAlign w:val="baseline"/>
        </w:rPr>
        <w:t>issuer</w:t>
      </w:r>
      <w:r>
        <w:rPr>
          <w:spacing w:val="-3"/>
          <w:w w:val="105"/>
          <w:sz w:val="19"/>
          <w:vertAlign w:val="baseline"/>
        </w:rPr>
        <w:t xml:space="preserve"> </w:t>
      </w:r>
      <w:r>
        <w:rPr>
          <w:w w:val="105"/>
          <w:sz w:val="19"/>
          <w:vertAlign w:val="baseline"/>
        </w:rPr>
        <w:t>×</w:t>
      </w:r>
      <w:r>
        <w:rPr>
          <w:spacing w:val="-1"/>
          <w:w w:val="105"/>
          <w:sz w:val="19"/>
          <w:vertAlign w:val="baseline"/>
        </w:rPr>
        <w:t xml:space="preserve"> </w:t>
      </w:r>
      <w:r>
        <w:rPr>
          <w:w w:val="105"/>
          <w:sz w:val="19"/>
          <w:vertAlign w:val="baseline"/>
        </w:rPr>
        <w:t>10 NQTLs</w:t>
      </w:r>
      <w:r>
        <w:rPr>
          <w:spacing w:val="-2"/>
          <w:w w:val="105"/>
          <w:sz w:val="19"/>
          <w:vertAlign w:val="baseline"/>
        </w:rPr>
        <w:t xml:space="preserve"> </w:t>
      </w:r>
      <w:r>
        <w:rPr>
          <w:w w:val="105"/>
          <w:sz w:val="19"/>
          <w:vertAlign w:val="baseline"/>
        </w:rPr>
        <w:t>x</w:t>
      </w:r>
      <w:r>
        <w:rPr>
          <w:spacing w:val="-2"/>
          <w:w w:val="105"/>
          <w:sz w:val="19"/>
          <w:vertAlign w:val="baseline"/>
        </w:rPr>
        <w:t xml:space="preserve"> </w:t>
      </w:r>
      <w:r>
        <w:rPr>
          <w:w w:val="105"/>
          <w:sz w:val="19"/>
          <w:vertAlign w:val="baseline"/>
        </w:rPr>
        <w:t>60</w:t>
      </w:r>
      <w:r>
        <w:rPr>
          <w:spacing w:val="-2"/>
          <w:w w:val="105"/>
          <w:sz w:val="19"/>
          <w:vertAlign w:val="baseline"/>
        </w:rPr>
        <w:t xml:space="preserve"> </w:t>
      </w:r>
      <w:r>
        <w:rPr>
          <w:w w:val="105"/>
          <w:sz w:val="19"/>
          <w:vertAlign w:val="baseline"/>
        </w:rPr>
        <w:t>hours</w:t>
      </w:r>
      <w:r>
        <w:rPr>
          <w:spacing w:val="-2"/>
          <w:w w:val="105"/>
          <w:sz w:val="19"/>
          <w:vertAlign w:val="baseline"/>
        </w:rPr>
        <w:t xml:space="preserve"> </w:t>
      </w:r>
      <w:r>
        <w:rPr>
          <w:w w:val="105"/>
          <w:sz w:val="19"/>
          <w:vertAlign w:val="baseline"/>
        </w:rPr>
        <w:t>for</w:t>
      </w:r>
      <w:r>
        <w:rPr>
          <w:spacing w:val="-5"/>
          <w:w w:val="105"/>
          <w:sz w:val="19"/>
          <w:vertAlign w:val="baseline"/>
        </w:rPr>
        <w:t xml:space="preserve"> </w:t>
      </w:r>
      <w:r>
        <w:rPr>
          <w:w w:val="105"/>
          <w:sz w:val="19"/>
          <w:vertAlign w:val="baseline"/>
        </w:rPr>
        <w:t>a team</w:t>
      </w:r>
      <w:r>
        <w:rPr>
          <w:spacing w:val="-1"/>
          <w:w w:val="105"/>
          <w:sz w:val="19"/>
          <w:vertAlign w:val="baseline"/>
        </w:rPr>
        <w:t xml:space="preserve"> </w:t>
      </w:r>
      <w:r>
        <w:rPr>
          <w:w w:val="105"/>
          <w:sz w:val="19"/>
          <w:vertAlign w:val="baseline"/>
        </w:rPr>
        <w:t>of</w:t>
      </w:r>
      <w:r>
        <w:rPr>
          <w:spacing w:val="-5"/>
          <w:w w:val="105"/>
          <w:sz w:val="19"/>
          <w:vertAlign w:val="baseline"/>
        </w:rPr>
        <w:t xml:space="preserve"> </w:t>
      </w:r>
      <w:r>
        <w:rPr>
          <w:w w:val="105"/>
          <w:sz w:val="19"/>
          <w:vertAlign w:val="baseline"/>
        </w:rPr>
        <w:t>lawyers,</w:t>
      </w:r>
      <w:r>
        <w:rPr>
          <w:spacing w:val="-3"/>
          <w:w w:val="105"/>
          <w:sz w:val="19"/>
          <w:vertAlign w:val="baseline"/>
        </w:rPr>
        <w:t xml:space="preserve"> </w:t>
      </w:r>
      <w:r>
        <w:rPr>
          <w:w w:val="105"/>
          <w:sz w:val="19"/>
          <w:vertAlign w:val="baseline"/>
        </w:rPr>
        <w:t>actuaries,</w:t>
      </w:r>
      <w:r>
        <w:rPr>
          <w:spacing w:val="-3"/>
          <w:w w:val="105"/>
          <w:sz w:val="19"/>
          <w:vertAlign w:val="baseline"/>
        </w:rPr>
        <w:t xml:space="preserve"> </w:t>
      </w:r>
      <w:r>
        <w:rPr>
          <w:w w:val="105"/>
          <w:sz w:val="19"/>
          <w:vertAlign w:val="baseline"/>
        </w:rPr>
        <w:t>and data analysts x a composite wage rate of $167.48) = $100,488.</w:t>
      </w:r>
    </w:p>
    <w:p>
      <w:pPr>
        <w:spacing w:before="0" w:line="210" w:lineRule="exact"/>
        <w:ind w:left="360" w:right="0" w:firstLine="0"/>
        <w:jc w:val="left"/>
        <w:rPr>
          <w:sz w:val="19"/>
        </w:rPr>
      </w:pPr>
      <w:bookmarkStart w:id="27" w:name="_bookmark11"/>
      <w:bookmarkEnd w:id="27"/>
      <w:r>
        <w:rPr>
          <w:w w:val="105"/>
          <w:sz w:val="19"/>
          <w:vertAlign w:val="superscript"/>
        </w:rPr>
        <w:t>12</w:t>
      </w:r>
      <w:r>
        <w:rPr>
          <w:spacing w:val="-3"/>
          <w:w w:val="105"/>
          <w:sz w:val="19"/>
          <w:vertAlign w:val="baseline"/>
        </w:rPr>
        <w:t xml:space="preserve"> </w:t>
      </w:r>
      <w:r>
        <w:rPr>
          <w:w w:val="105"/>
          <w:sz w:val="19"/>
          <w:vertAlign w:val="baseline"/>
        </w:rPr>
        <w:t>The</w:t>
      </w:r>
      <w:r>
        <w:rPr>
          <w:spacing w:val="-6"/>
          <w:w w:val="105"/>
          <w:sz w:val="19"/>
          <w:vertAlign w:val="baseline"/>
        </w:rPr>
        <w:t xml:space="preserve"> </w:t>
      </w:r>
      <w:r>
        <w:rPr>
          <w:w w:val="105"/>
          <w:sz w:val="19"/>
          <w:vertAlign w:val="baseline"/>
        </w:rPr>
        <w:t>burden</w:t>
      </w:r>
      <w:r>
        <w:rPr>
          <w:spacing w:val="-3"/>
          <w:w w:val="105"/>
          <w:sz w:val="19"/>
          <w:vertAlign w:val="baseline"/>
        </w:rPr>
        <w:t xml:space="preserve"> </w:t>
      </w:r>
      <w:r>
        <w:rPr>
          <w:w w:val="105"/>
          <w:sz w:val="19"/>
          <w:vertAlign w:val="baseline"/>
        </w:rPr>
        <w:t>is</w:t>
      </w:r>
      <w:r>
        <w:rPr>
          <w:spacing w:val="5"/>
          <w:w w:val="105"/>
          <w:sz w:val="19"/>
          <w:vertAlign w:val="baseline"/>
        </w:rPr>
        <w:t xml:space="preserve"> </w:t>
      </w:r>
      <w:r>
        <w:rPr>
          <w:w w:val="105"/>
          <w:sz w:val="19"/>
          <w:vertAlign w:val="baseline"/>
        </w:rPr>
        <w:t>estimated</w:t>
      </w:r>
      <w:r>
        <w:rPr>
          <w:spacing w:val="-2"/>
          <w:w w:val="105"/>
          <w:sz w:val="19"/>
          <w:vertAlign w:val="baseline"/>
        </w:rPr>
        <w:t xml:space="preserve"> </w:t>
      </w:r>
      <w:r>
        <w:rPr>
          <w:w w:val="105"/>
          <w:sz w:val="19"/>
          <w:vertAlign w:val="baseline"/>
        </w:rPr>
        <w:t>as</w:t>
      </w:r>
      <w:r>
        <w:rPr>
          <w:spacing w:val="5"/>
          <w:w w:val="105"/>
          <w:sz w:val="19"/>
          <w:vertAlign w:val="baseline"/>
        </w:rPr>
        <w:t xml:space="preserve"> </w:t>
      </w:r>
      <w:r>
        <w:rPr>
          <w:w w:val="105"/>
          <w:sz w:val="19"/>
          <w:vertAlign w:val="baseline"/>
        </w:rPr>
        <w:t>follows:</w:t>
      </w:r>
      <w:r>
        <w:rPr>
          <w:spacing w:val="6"/>
          <w:w w:val="105"/>
          <w:sz w:val="19"/>
          <w:vertAlign w:val="baseline"/>
        </w:rPr>
        <w:t xml:space="preserve"> </w:t>
      </w:r>
      <w:r>
        <w:rPr>
          <w:w w:val="105"/>
          <w:sz w:val="19"/>
          <w:vertAlign w:val="baseline"/>
        </w:rPr>
        <w:t>(1</w:t>
      </w:r>
      <w:r>
        <w:rPr>
          <w:spacing w:val="-3"/>
          <w:w w:val="105"/>
          <w:sz w:val="19"/>
          <w:vertAlign w:val="baseline"/>
        </w:rPr>
        <w:t xml:space="preserve"> </w:t>
      </w:r>
      <w:r>
        <w:rPr>
          <w:w w:val="105"/>
          <w:sz w:val="19"/>
          <w:vertAlign w:val="baseline"/>
        </w:rPr>
        <w:t>plan</w:t>
      </w:r>
      <w:r>
        <w:rPr>
          <w:spacing w:val="-2"/>
          <w:w w:val="105"/>
          <w:sz w:val="19"/>
          <w:vertAlign w:val="baseline"/>
        </w:rPr>
        <w:t xml:space="preserve"> </w:t>
      </w:r>
      <w:r>
        <w:rPr>
          <w:w w:val="105"/>
          <w:sz w:val="19"/>
          <w:vertAlign w:val="baseline"/>
        </w:rPr>
        <w:t>×</w:t>
      </w:r>
      <w:r>
        <w:rPr>
          <w:spacing w:val="-1"/>
          <w:w w:val="105"/>
          <w:sz w:val="19"/>
          <w:vertAlign w:val="baseline"/>
        </w:rPr>
        <w:t xml:space="preserve"> </w:t>
      </w:r>
      <w:r>
        <w:rPr>
          <w:w w:val="105"/>
          <w:sz w:val="19"/>
          <w:vertAlign w:val="baseline"/>
        </w:rPr>
        <w:t>10</w:t>
      </w:r>
      <w:r>
        <w:rPr>
          <w:spacing w:val="5"/>
          <w:w w:val="105"/>
          <w:sz w:val="19"/>
          <w:vertAlign w:val="baseline"/>
        </w:rPr>
        <w:t xml:space="preserve"> </w:t>
      </w:r>
      <w:r>
        <w:rPr>
          <w:w w:val="105"/>
          <w:sz w:val="19"/>
          <w:vertAlign w:val="baseline"/>
        </w:rPr>
        <w:t>NQTLs</w:t>
      </w:r>
      <w:r>
        <w:rPr>
          <w:spacing w:val="-1"/>
          <w:w w:val="105"/>
          <w:sz w:val="19"/>
          <w:vertAlign w:val="baseline"/>
        </w:rPr>
        <w:t xml:space="preserve"> </w:t>
      </w:r>
      <w:r>
        <w:rPr>
          <w:w w:val="105"/>
          <w:sz w:val="19"/>
          <w:vertAlign w:val="baseline"/>
        </w:rPr>
        <w:t>x</w:t>
      </w:r>
      <w:r>
        <w:rPr>
          <w:spacing w:val="5"/>
          <w:w w:val="105"/>
          <w:sz w:val="19"/>
          <w:vertAlign w:val="baseline"/>
        </w:rPr>
        <w:t xml:space="preserve"> </w:t>
      </w:r>
      <w:r>
        <w:rPr>
          <w:w w:val="105"/>
          <w:sz w:val="19"/>
          <w:vertAlign w:val="baseline"/>
        </w:rPr>
        <w:t>30</w:t>
      </w:r>
      <w:r>
        <w:rPr>
          <w:spacing w:val="-3"/>
          <w:w w:val="105"/>
          <w:sz w:val="19"/>
          <w:vertAlign w:val="baseline"/>
        </w:rPr>
        <w:t xml:space="preserve"> </w:t>
      </w:r>
      <w:r>
        <w:rPr>
          <w:w w:val="105"/>
          <w:sz w:val="19"/>
          <w:vertAlign w:val="baseline"/>
        </w:rPr>
        <w:t>hours</w:t>
      </w:r>
      <w:r>
        <w:rPr>
          <w:spacing w:val="-2"/>
          <w:w w:val="105"/>
          <w:sz w:val="19"/>
          <w:vertAlign w:val="baseline"/>
        </w:rPr>
        <w:t xml:space="preserve"> </w:t>
      </w:r>
      <w:r>
        <w:rPr>
          <w:w w:val="105"/>
          <w:sz w:val="19"/>
          <w:vertAlign w:val="baseline"/>
        </w:rPr>
        <w:t>for</w:t>
      </w:r>
      <w:r>
        <w:rPr>
          <w:spacing w:val="2"/>
          <w:w w:val="105"/>
          <w:sz w:val="19"/>
          <w:vertAlign w:val="baseline"/>
        </w:rPr>
        <w:t xml:space="preserve"> </w:t>
      </w:r>
      <w:r>
        <w:rPr>
          <w:w w:val="105"/>
          <w:sz w:val="19"/>
          <w:vertAlign w:val="baseline"/>
        </w:rPr>
        <w:t>a</w:t>
      </w:r>
      <w:r>
        <w:rPr>
          <w:spacing w:val="-3"/>
          <w:w w:val="105"/>
          <w:sz w:val="19"/>
          <w:vertAlign w:val="baseline"/>
        </w:rPr>
        <w:t xml:space="preserve"> </w:t>
      </w:r>
      <w:r>
        <w:rPr>
          <w:w w:val="105"/>
          <w:sz w:val="19"/>
          <w:vertAlign w:val="baseline"/>
        </w:rPr>
        <w:t>team</w:t>
      </w:r>
      <w:r>
        <w:rPr>
          <w:spacing w:val="-1"/>
          <w:w w:val="105"/>
          <w:sz w:val="19"/>
          <w:vertAlign w:val="baseline"/>
        </w:rPr>
        <w:t xml:space="preserve"> </w:t>
      </w:r>
      <w:r>
        <w:rPr>
          <w:w w:val="105"/>
          <w:sz w:val="19"/>
          <w:vertAlign w:val="baseline"/>
        </w:rPr>
        <w:t>of</w:t>
      </w:r>
      <w:r>
        <w:rPr>
          <w:spacing w:val="-5"/>
          <w:w w:val="105"/>
          <w:sz w:val="19"/>
          <w:vertAlign w:val="baseline"/>
        </w:rPr>
        <w:t xml:space="preserve"> </w:t>
      </w:r>
      <w:r>
        <w:rPr>
          <w:w w:val="105"/>
          <w:sz w:val="19"/>
          <w:vertAlign w:val="baseline"/>
        </w:rPr>
        <w:t>lawyers,</w:t>
      </w:r>
      <w:r>
        <w:rPr>
          <w:spacing w:val="-3"/>
          <w:w w:val="105"/>
          <w:sz w:val="19"/>
          <w:vertAlign w:val="baseline"/>
        </w:rPr>
        <w:t xml:space="preserve"> </w:t>
      </w:r>
      <w:r>
        <w:rPr>
          <w:w w:val="105"/>
          <w:sz w:val="19"/>
          <w:vertAlign w:val="baseline"/>
        </w:rPr>
        <w:t>actuaries,</w:t>
      </w:r>
      <w:r>
        <w:rPr>
          <w:spacing w:val="4"/>
          <w:w w:val="105"/>
          <w:sz w:val="19"/>
          <w:vertAlign w:val="baseline"/>
        </w:rPr>
        <w:t xml:space="preserve"> </w:t>
      </w:r>
      <w:r>
        <w:rPr>
          <w:w w:val="105"/>
          <w:sz w:val="19"/>
          <w:vertAlign w:val="baseline"/>
        </w:rPr>
        <w:t>and</w:t>
      </w:r>
      <w:r>
        <w:rPr>
          <w:spacing w:val="-2"/>
          <w:w w:val="105"/>
          <w:sz w:val="19"/>
          <w:vertAlign w:val="baseline"/>
        </w:rPr>
        <w:t xml:space="preserve"> </w:t>
      </w:r>
      <w:r>
        <w:rPr>
          <w:spacing w:val="-4"/>
          <w:w w:val="105"/>
          <w:sz w:val="19"/>
          <w:vertAlign w:val="baseline"/>
        </w:rPr>
        <w:t>data</w:t>
      </w:r>
    </w:p>
    <w:p>
      <w:pPr>
        <w:spacing w:before="14"/>
        <w:ind w:left="360" w:right="0" w:firstLine="0"/>
        <w:jc w:val="left"/>
        <w:rPr>
          <w:sz w:val="19"/>
        </w:rPr>
      </w:pPr>
      <w:r>
        <w:rPr>
          <w:w w:val="105"/>
          <w:sz w:val="19"/>
        </w:rPr>
        <w:t>analysts</w:t>
      </w:r>
      <w:r>
        <w:rPr>
          <w:spacing w:val="6"/>
          <w:w w:val="105"/>
          <w:sz w:val="19"/>
        </w:rPr>
        <w:t xml:space="preserve"> </w:t>
      </w:r>
      <w:r>
        <w:rPr>
          <w:w w:val="105"/>
          <w:sz w:val="19"/>
        </w:rPr>
        <w:t>x</w:t>
      </w:r>
      <w:r>
        <w:rPr>
          <w:spacing w:val="-2"/>
          <w:w w:val="105"/>
          <w:sz w:val="19"/>
        </w:rPr>
        <w:t xml:space="preserve"> </w:t>
      </w:r>
      <w:r>
        <w:rPr>
          <w:w w:val="105"/>
          <w:sz w:val="19"/>
        </w:rPr>
        <w:t>a</w:t>
      </w:r>
      <w:r>
        <w:rPr>
          <w:spacing w:val="3"/>
          <w:w w:val="105"/>
          <w:sz w:val="19"/>
        </w:rPr>
        <w:t xml:space="preserve"> </w:t>
      </w:r>
      <w:r>
        <w:rPr>
          <w:w w:val="105"/>
          <w:sz w:val="19"/>
        </w:rPr>
        <w:t>composite</w:t>
      </w:r>
      <w:r>
        <w:rPr>
          <w:spacing w:val="-5"/>
          <w:w w:val="105"/>
          <w:sz w:val="19"/>
        </w:rPr>
        <w:t xml:space="preserve"> </w:t>
      </w:r>
      <w:r>
        <w:rPr>
          <w:w w:val="105"/>
          <w:sz w:val="19"/>
        </w:rPr>
        <w:t>wage</w:t>
      </w:r>
      <w:r>
        <w:rPr>
          <w:spacing w:val="-5"/>
          <w:w w:val="105"/>
          <w:sz w:val="19"/>
        </w:rPr>
        <w:t xml:space="preserve"> </w:t>
      </w:r>
      <w:r>
        <w:rPr>
          <w:w w:val="105"/>
          <w:sz w:val="19"/>
        </w:rPr>
        <w:t>rate</w:t>
      </w:r>
      <w:r>
        <w:rPr>
          <w:spacing w:val="-4"/>
          <w:w w:val="105"/>
          <w:sz w:val="19"/>
        </w:rPr>
        <w:t xml:space="preserve"> </w:t>
      </w:r>
      <w:r>
        <w:rPr>
          <w:w w:val="105"/>
          <w:sz w:val="19"/>
        </w:rPr>
        <w:t>of $167.48)</w:t>
      </w:r>
      <w:r>
        <w:rPr>
          <w:spacing w:val="-3"/>
          <w:w w:val="105"/>
          <w:sz w:val="19"/>
        </w:rPr>
        <w:t xml:space="preserve"> </w:t>
      </w:r>
      <w:r>
        <w:rPr>
          <w:w w:val="105"/>
          <w:sz w:val="19"/>
        </w:rPr>
        <w:t xml:space="preserve">= </w:t>
      </w:r>
      <w:r>
        <w:rPr>
          <w:spacing w:val="-2"/>
          <w:w w:val="105"/>
          <w:sz w:val="19"/>
        </w:rPr>
        <w:t>$50,244.</w:t>
      </w:r>
    </w:p>
    <w:p>
      <w:pPr>
        <w:spacing w:before="8" w:line="256" w:lineRule="auto"/>
        <w:ind w:left="360" w:right="32" w:firstLine="0"/>
        <w:jc w:val="left"/>
        <w:rPr>
          <w:sz w:val="19"/>
        </w:rPr>
      </w:pPr>
      <w:bookmarkStart w:id="28" w:name="_bookmark12"/>
      <w:bookmarkEnd w:id="28"/>
      <w:r>
        <w:rPr>
          <w:w w:val="105"/>
          <w:sz w:val="19"/>
          <w:vertAlign w:val="superscript"/>
        </w:rPr>
        <w:t>13</w:t>
      </w:r>
      <w:r>
        <w:rPr>
          <w:spacing w:val="-3"/>
          <w:w w:val="105"/>
          <w:sz w:val="19"/>
          <w:vertAlign w:val="baseline"/>
        </w:rPr>
        <w:t xml:space="preserve"> </w:t>
      </w:r>
      <w:r>
        <w:rPr>
          <w:w w:val="105"/>
          <w:sz w:val="19"/>
          <w:vertAlign w:val="baseline"/>
        </w:rPr>
        <w:t>The</w:t>
      </w:r>
      <w:r>
        <w:rPr>
          <w:spacing w:val="-6"/>
          <w:w w:val="105"/>
          <w:sz w:val="19"/>
          <w:vertAlign w:val="baseline"/>
        </w:rPr>
        <w:t xml:space="preserve"> </w:t>
      </w:r>
      <w:r>
        <w:rPr>
          <w:w w:val="105"/>
          <w:sz w:val="19"/>
          <w:vertAlign w:val="baseline"/>
        </w:rPr>
        <w:t>burden</w:t>
      </w:r>
      <w:r>
        <w:rPr>
          <w:spacing w:val="-3"/>
          <w:w w:val="105"/>
          <w:sz w:val="19"/>
          <w:vertAlign w:val="baseline"/>
        </w:rPr>
        <w:t xml:space="preserve"> </w:t>
      </w:r>
      <w:r>
        <w:rPr>
          <w:w w:val="105"/>
          <w:sz w:val="19"/>
          <w:vertAlign w:val="baseline"/>
        </w:rPr>
        <w:t>is estimated</w:t>
      </w:r>
      <w:r>
        <w:rPr>
          <w:spacing w:val="-3"/>
          <w:w w:val="105"/>
          <w:sz w:val="19"/>
          <w:vertAlign w:val="baseline"/>
        </w:rPr>
        <w:t xml:space="preserve"> </w:t>
      </w:r>
      <w:r>
        <w:rPr>
          <w:w w:val="105"/>
          <w:sz w:val="19"/>
          <w:vertAlign w:val="baseline"/>
        </w:rPr>
        <w:t>as follows: (1</w:t>
      </w:r>
      <w:r>
        <w:rPr>
          <w:spacing w:val="-3"/>
          <w:w w:val="105"/>
          <w:sz w:val="19"/>
          <w:vertAlign w:val="baseline"/>
        </w:rPr>
        <w:t xml:space="preserve"> </w:t>
      </w:r>
      <w:r>
        <w:rPr>
          <w:w w:val="105"/>
          <w:sz w:val="19"/>
          <w:vertAlign w:val="baseline"/>
        </w:rPr>
        <w:t>plan</w:t>
      </w:r>
      <w:r>
        <w:rPr>
          <w:spacing w:val="-3"/>
          <w:w w:val="105"/>
          <w:sz w:val="19"/>
          <w:vertAlign w:val="baseline"/>
        </w:rPr>
        <w:t xml:space="preserve"> </w:t>
      </w:r>
      <w:r>
        <w:rPr>
          <w:w w:val="105"/>
          <w:sz w:val="19"/>
          <w:vertAlign w:val="baseline"/>
        </w:rPr>
        <w:t>or</w:t>
      </w:r>
      <w:r>
        <w:rPr>
          <w:spacing w:val="-5"/>
          <w:w w:val="105"/>
          <w:sz w:val="19"/>
          <w:vertAlign w:val="baseline"/>
        </w:rPr>
        <w:t xml:space="preserve"> </w:t>
      </w:r>
      <w:r>
        <w:rPr>
          <w:w w:val="105"/>
          <w:sz w:val="19"/>
          <w:vertAlign w:val="baseline"/>
        </w:rPr>
        <w:t>issuer</w:t>
      </w:r>
      <w:r>
        <w:rPr>
          <w:spacing w:val="-3"/>
          <w:w w:val="105"/>
          <w:sz w:val="19"/>
          <w:vertAlign w:val="baseline"/>
        </w:rPr>
        <w:t xml:space="preserve"> </w:t>
      </w:r>
      <w:r>
        <w:rPr>
          <w:w w:val="105"/>
          <w:sz w:val="19"/>
          <w:vertAlign w:val="baseline"/>
        </w:rPr>
        <w:t>×</w:t>
      </w:r>
      <w:r>
        <w:rPr>
          <w:spacing w:val="-1"/>
          <w:w w:val="105"/>
          <w:sz w:val="19"/>
          <w:vertAlign w:val="baseline"/>
        </w:rPr>
        <w:t xml:space="preserve"> </w:t>
      </w:r>
      <w:r>
        <w:rPr>
          <w:w w:val="105"/>
          <w:sz w:val="19"/>
          <w:vertAlign w:val="baseline"/>
        </w:rPr>
        <w:t>10 NQTLs</w:t>
      </w:r>
      <w:r>
        <w:rPr>
          <w:spacing w:val="-2"/>
          <w:w w:val="105"/>
          <w:sz w:val="19"/>
          <w:vertAlign w:val="baseline"/>
        </w:rPr>
        <w:t xml:space="preserve"> </w:t>
      </w:r>
      <w:r>
        <w:rPr>
          <w:w w:val="105"/>
          <w:sz w:val="19"/>
          <w:vertAlign w:val="baseline"/>
        </w:rPr>
        <w:t>x</w:t>
      </w:r>
      <w:r>
        <w:rPr>
          <w:spacing w:val="-2"/>
          <w:w w:val="105"/>
          <w:sz w:val="19"/>
          <w:vertAlign w:val="baseline"/>
        </w:rPr>
        <w:t xml:space="preserve"> </w:t>
      </w:r>
      <w:r>
        <w:rPr>
          <w:w w:val="105"/>
          <w:sz w:val="19"/>
          <w:vertAlign w:val="baseline"/>
        </w:rPr>
        <w:t>12</w:t>
      </w:r>
      <w:r>
        <w:rPr>
          <w:spacing w:val="-2"/>
          <w:w w:val="105"/>
          <w:sz w:val="19"/>
          <w:vertAlign w:val="baseline"/>
        </w:rPr>
        <w:t xml:space="preserve"> </w:t>
      </w:r>
      <w:r>
        <w:rPr>
          <w:w w:val="105"/>
          <w:sz w:val="19"/>
          <w:vertAlign w:val="baseline"/>
        </w:rPr>
        <w:t>hours</w:t>
      </w:r>
      <w:r>
        <w:rPr>
          <w:spacing w:val="-2"/>
          <w:w w:val="105"/>
          <w:sz w:val="19"/>
          <w:vertAlign w:val="baseline"/>
        </w:rPr>
        <w:t xml:space="preserve"> </w:t>
      </w:r>
      <w:r>
        <w:rPr>
          <w:w w:val="105"/>
          <w:sz w:val="19"/>
          <w:vertAlign w:val="baseline"/>
        </w:rPr>
        <w:t>for</w:t>
      </w:r>
      <w:r>
        <w:rPr>
          <w:spacing w:val="-5"/>
          <w:w w:val="105"/>
          <w:sz w:val="19"/>
          <w:vertAlign w:val="baseline"/>
        </w:rPr>
        <w:t xml:space="preserve"> </w:t>
      </w:r>
      <w:r>
        <w:rPr>
          <w:w w:val="105"/>
          <w:sz w:val="19"/>
          <w:vertAlign w:val="baseline"/>
        </w:rPr>
        <w:t>a team</w:t>
      </w:r>
      <w:r>
        <w:rPr>
          <w:spacing w:val="-1"/>
          <w:w w:val="105"/>
          <w:sz w:val="19"/>
          <w:vertAlign w:val="baseline"/>
        </w:rPr>
        <w:t xml:space="preserve"> </w:t>
      </w:r>
      <w:r>
        <w:rPr>
          <w:w w:val="105"/>
          <w:sz w:val="19"/>
          <w:vertAlign w:val="baseline"/>
        </w:rPr>
        <w:t>of</w:t>
      </w:r>
      <w:r>
        <w:rPr>
          <w:spacing w:val="-5"/>
          <w:w w:val="105"/>
          <w:sz w:val="19"/>
          <w:vertAlign w:val="baseline"/>
        </w:rPr>
        <w:t xml:space="preserve"> </w:t>
      </w:r>
      <w:r>
        <w:rPr>
          <w:w w:val="105"/>
          <w:sz w:val="19"/>
          <w:vertAlign w:val="baseline"/>
        </w:rPr>
        <w:t>lawyers,</w:t>
      </w:r>
      <w:r>
        <w:rPr>
          <w:spacing w:val="-3"/>
          <w:w w:val="105"/>
          <w:sz w:val="19"/>
          <w:vertAlign w:val="baseline"/>
        </w:rPr>
        <w:t xml:space="preserve"> </w:t>
      </w:r>
      <w:r>
        <w:rPr>
          <w:w w:val="105"/>
          <w:sz w:val="19"/>
          <w:vertAlign w:val="baseline"/>
        </w:rPr>
        <w:t>actuaries,</w:t>
      </w:r>
      <w:r>
        <w:rPr>
          <w:spacing w:val="-3"/>
          <w:w w:val="105"/>
          <w:sz w:val="19"/>
          <w:vertAlign w:val="baseline"/>
        </w:rPr>
        <w:t xml:space="preserve"> </w:t>
      </w:r>
      <w:r>
        <w:rPr>
          <w:w w:val="105"/>
          <w:sz w:val="19"/>
          <w:vertAlign w:val="baseline"/>
        </w:rPr>
        <w:t>and data analysts x a composite wage rate of $167.48) = $20,098.</w:t>
      </w:r>
    </w:p>
    <w:p>
      <w:pPr>
        <w:spacing w:before="0" w:line="210" w:lineRule="exact"/>
        <w:ind w:left="360" w:right="0" w:firstLine="0"/>
        <w:jc w:val="left"/>
        <w:rPr>
          <w:sz w:val="19"/>
        </w:rPr>
      </w:pPr>
      <w:bookmarkStart w:id="29" w:name="_bookmark13"/>
      <w:bookmarkEnd w:id="29"/>
      <w:r>
        <w:rPr>
          <w:w w:val="105"/>
          <w:sz w:val="19"/>
          <w:vertAlign w:val="superscript"/>
        </w:rPr>
        <w:t>14</w:t>
      </w:r>
      <w:r>
        <w:rPr>
          <w:spacing w:val="-3"/>
          <w:w w:val="105"/>
          <w:sz w:val="19"/>
          <w:vertAlign w:val="baseline"/>
        </w:rPr>
        <w:t xml:space="preserve"> </w:t>
      </w:r>
      <w:r>
        <w:rPr>
          <w:w w:val="105"/>
          <w:sz w:val="19"/>
          <w:vertAlign w:val="baseline"/>
        </w:rPr>
        <w:t>The</w:t>
      </w:r>
      <w:r>
        <w:rPr>
          <w:spacing w:val="-5"/>
          <w:w w:val="105"/>
          <w:sz w:val="19"/>
          <w:vertAlign w:val="baseline"/>
        </w:rPr>
        <w:t xml:space="preserve"> </w:t>
      </w:r>
      <w:r>
        <w:rPr>
          <w:w w:val="105"/>
          <w:sz w:val="19"/>
          <w:vertAlign w:val="baseline"/>
        </w:rPr>
        <w:t>burden</w:t>
      </w:r>
      <w:r>
        <w:rPr>
          <w:spacing w:val="-3"/>
          <w:w w:val="105"/>
          <w:sz w:val="19"/>
          <w:vertAlign w:val="baseline"/>
        </w:rPr>
        <w:t xml:space="preserve"> </w:t>
      </w:r>
      <w:r>
        <w:rPr>
          <w:w w:val="105"/>
          <w:sz w:val="19"/>
          <w:vertAlign w:val="baseline"/>
        </w:rPr>
        <w:t>is</w:t>
      </w:r>
      <w:r>
        <w:rPr>
          <w:spacing w:val="6"/>
          <w:w w:val="105"/>
          <w:sz w:val="19"/>
          <w:vertAlign w:val="baseline"/>
        </w:rPr>
        <w:t xml:space="preserve"> </w:t>
      </w:r>
      <w:r>
        <w:rPr>
          <w:w w:val="105"/>
          <w:sz w:val="19"/>
          <w:vertAlign w:val="baseline"/>
        </w:rPr>
        <w:t>estimated</w:t>
      </w:r>
      <w:r>
        <w:rPr>
          <w:spacing w:val="-3"/>
          <w:w w:val="105"/>
          <w:sz w:val="19"/>
          <w:vertAlign w:val="baseline"/>
        </w:rPr>
        <w:t xml:space="preserve"> </w:t>
      </w:r>
      <w:r>
        <w:rPr>
          <w:w w:val="105"/>
          <w:sz w:val="19"/>
          <w:vertAlign w:val="baseline"/>
        </w:rPr>
        <w:t>as</w:t>
      </w:r>
      <w:r>
        <w:rPr>
          <w:spacing w:val="6"/>
          <w:w w:val="105"/>
          <w:sz w:val="19"/>
          <w:vertAlign w:val="baseline"/>
        </w:rPr>
        <w:t xml:space="preserve"> </w:t>
      </w:r>
      <w:r>
        <w:rPr>
          <w:w w:val="105"/>
          <w:sz w:val="19"/>
          <w:vertAlign w:val="baseline"/>
        </w:rPr>
        <w:t>follows:</w:t>
      </w:r>
      <w:r>
        <w:rPr>
          <w:spacing w:val="6"/>
          <w:w w:val="105"/>
          <w:sz w:val="19"/>
          <w:vertAlign w:val="baseline"/>
        </w:rPr>
        <w:t xml:space="preserve"> </w:t>
      </w:r>
      <w:r>
        <w:rPr>
          <w:w w:val="105"/>
          <w:sz w:val="19"/>
          <w:vertAlign w:val="baseline"/>
        </w:rPr>
        <w:t>(1</w:t>
      </w:r>
      <w:r>
        <w:rPr>
          <w:spacing w:val="-3"/>
          <w:w w:val="105"/>
          <w:sz w:val="19"/>
          <w:vertAlign w:val="baseline"/>
        </w:rPr>
        <w:t xml:space="preserve"> </w:t>
      </w:r>
      <w:r>
        <w:rPr>
          <w:w w:val="105"/>
          <w:sz w:val="19"/>
          <w:vertAlign w:val="baseline"/>
        </w:rPr>
        <w:t>plan</w:t>
      </w:r>
      <w:r>
        <w:rPr>
          <w:spacing w:val="-1"/>
          <w:w w:val="105"/>
          <w:sz w:val="19"/>
          <w:vertAlign w:val="baseline"/>
        </w:rPr>
        <w:t xml:space="preserve"> </w:t>
      </w:r>
      <w:r>
        <w:rPr>
          <w:w w:val="105"/>
          <w:sz w:val="19"/>
          <w:vertAlign w:val="baseline"/>
        </w:rPr>
        <w:t>×</w:t>
      </w:r>
      <w:r>
        <w:rPr>
          <w:spacing w:val="-1"/>
          <w:w w:val="105"/>
          <w:sz w:val="19"/>
          <w:vertAlign w:val="baseline"/>
        </w:rPr>
        <w:t xml:space="preserve"> </w:t>
      </w:r>
      <w:r>
        <w:rPr>
          <w:w w:val="105"/>
          <w:sz w:val="19"/>
          <w:vertAlign w:val="baseline"/>
        </w:rPr>
        <w:t>10</w:t>
      </w:r>
      <w:r>
        <w:rPr>
          <w:spacing w:val="6"/>
          <w:w w:val="105"/>
          <w:sz w:val="19"/>
          <w:vertAlign w:val="baseline"/>
        </w:rPr>
        <w:t xml:space="preserve"> </w:t>
      </w:r>
      <w:r>
        <w:rPr>
          <w:w w:val="105"/>
          <w:sz w:val="19"/>
          <w:vertAlign w:val="baseline"/>
        </w:rPr>
        <w:t>NQTLs</w:t>
      </w:r>
      <w:r>
        <w:rPr>
          <w:spacing w:val="-2"/>
          <w:w w:val="105"/>
          <w:sz w:val="19"/>
          <w:vertAlign w:val="baseline"/>
        </w:rPr>
        <w:t xml:space="preserve"> </w:t>
      </w:r>
      <w:r>
        <w:rPr>
          <w:w w:val="105"/>
          <w:sz w:val="19"/>
          <w:vertAlign w:val="baseline"/>
        </w:rPr>
        <w:t>x</w:t>
      </w:r>
      <w:r>
        <w:rPr>
          <w:spacing w:val="6"/>
          <w:w w:val="105"/>
          <w:sz w:val="19"/>
          <w:vertAlign w:val="baseline"/>
        </w:rPr>
        <w:t xml:space="preserve"> </w:t>
      </w:r>
      <w:r>
        <w:rPr>
          <w:w w:val="105"/>
          <w:sz w:val="19"/>
          <w:vertAlign w:val="baseline"/>
        </w:rPr>
        <w:t>6</w:t>
      </w:r>
      <w:r>
        <w:rPr>
          <w:spacing w:val="-3"/>
          <w:w w:val="105"/>
          <w:sz w:val="19"/>
          <w:vertAlign w:val="baseline"/>
        </w:rPr>
        <w:t xml:space="preserve"> </w:t>
      </w:r>
      <w:r>
        <w:rPr>
          <w:w w:val="105"/>
          <w:sz w:val="19"/>
          <w:vertAlign w:val="baseline"/>
        </w:rPr>
        <w:t>hours</w:t>
      </w:r>
      <w:r>
        <w:rPr>
          <w:spacing w:val="-1"/>
          <w:w w:val="105"/>
          <w:sz w:val="19"/>
          <w:vertAlign w:val="baseline"/>
        </w:rPr>
        <w:t xml:space="preserve"> </w:t>
      </w:r>
      <w:r>
        <w:rPr>
          <w:w w:val="105"/>
          <w:sz w:val="19"/>
          <w:vertAlign w:val="baseline"/>
        </w:rPr>
        <w:t>for</w:t>
      </w:r>
      <w:r>
        <w:rPr>
          <w:spacing w:val="-5"/>
          <w:w w:val="105"/>
          <w:sz w:val="19"/>
          <w:vertAlign w:val="baseline"/>
        </w:rPr>
        <w:t xml:space="preserve"> </w:t>
      </w:r>
      <w:r>
        <w:rPr>
          <w:w w:val="105"/>
          <w:sz w:val="19"/>
          <w:vertAlign w:val="baseline"/>
        </w:rPr>
        <w:t>a</w:t>
      </w:r>
      <w:r>
        <w:rPr>
          <w:spacing w:val="-3"/>
          <w:w w:val="105"/>
          <w:sz w:val="19"/>
          <w:vertAlign w:val="baseline"/>
        </w:rPr>
        <w:t xml:space="preserve"> </w:t>
      </w:r>
      <w:r>
        <w:rPr>
          <w:w w:val="105"/>
          <w:sz w:val="19"/>
          <w:vertAlign w:val="baseline"/>
        </w:rPr>
        <w:t>team of</w:t>
      </w:r>
      <w:r>
        <w:rPr>
          <w:spacing w:val="-5"/>
          <w:w w:val="105"/>
          <w:sz w:val="19"/>
          <w:vertAlign w:val="baseline"/>
        </w:rPr>
        <w:t xml:space="preserve"> </w:t>
      </w:r>
      <w:r>
        <w:rPr>
          <w:w w:val="105"/>
          <w:sz w:val="19"/>
          <w:vertAlign w:val="baseline"/>
        </w:rPr>
        <w:t>lawyers,</w:t>
      </w:r>
      <w:r>
        <w:rPr>
          <w:spacing w:val="5"/>
          <w:w w:val="105"/>
          <w:sz w:val="19"/>
          <w:vertAlign w:val="baseline"/>
        </w:rPr>
        <w:t xml:space="preserve"> </w:t>
      </w:r>
      <w:r>
        <w:rPr>
          <w:w w:val="105"/>
          <w:sz w:val="19"/>
          <w:vertAlign w:val="baseline"/>
        </w:rPr>
        <w:t>actuaries,</w:t>
      </w:r>
      <w:r>
        <w:rPr>
          <w:spacing w:val="-3"/>
          <w:w w:val="105"/>
          <w:sz w:val="19"/>
          <w:vertAlign w:val="baseline"/>
        </w:rPr>
        <w:t xml:space="preserve"> </w:t>
      </w:r>
      <w:r>
        <w:rPr>
          <w:w w:val="105"/>
          <w:sz w:val="19"/>
          <w:vertAlign w:val="baseline"/>
        </w:rPr>
        <w:t>and</w:t>
      </w:r>
      <w:r>
        <w:rPr>
          <w:spacing w:val="-2"/>
          <w:w w:val="105"/>
          <w:sz w:val="19"/>
          <w:vertAlign w:val="baseline"/>
        </w:rPr>
        <w:t xml:space="preserve"> </w:t>
      </w:r>
      <w:r>
        <w:rPr>
          <w:spacing w:val="-4"/>
          <w:w w:val="105"/>
          <w:sz w:val="19"/>
          <w:vertAlign w:val="baseline"/>
        </w:rPr>
        <w:t>data</w:t>
      </w:r>
    </w:p>
    <w:p>
      <w:pPr>
        <w:spacing w:before="15"/>
        <w:ind w:left="360" w:right="0" w:firstLine="0"/>
        <w:jc w:val="left"/>
        <w:rPr>
          <w:sz w:val="19"/>
        </w:rPr>
      </w:pPr>
      <w:r>
        <w:rPr>
          <w:w w:val="105"/>
          <w:sz w:val="19"/>
        </w:rPr>
        <w:t>analysts</w:t>
      </w:r>
      <w:r>
        <w:rPr>
          <w:spacing w:val="6"/>
          <w:w w:val="105"/>
          <w:sz w:val="19"/>
        </w:rPr>
        <w:t xml:space="preserve"> </w:t>
      </w:r>
      <w:r>
        <w:rPr>
          <w:w w:val="105"/>
          <w:sz w:val="19"/>
        </w:rPr>
        <w:t>x</w:t>
      </w:r>
      <w:r>
        <w:rPr>
          <w:spacing w:val="-2"/>
          <w:w w:val="105"/>
          <w:sz w:val="19"/>
        </w:rPr>
        <w:t xml:space="preserve"> </w:t>
      </w:r>
      <w:r>
        <w:rPr>
          <w:w w:val="105"/>
          <w:sz w:val="19"/>
        </w:rPr>
        <w:t>a</w:t>
      </w:r>
      <w:r>
        <w:rPr>
          <w:spacing w:val="3"/>
          <w:w w:val="105"/>
          <w:sz w:val="19"/>
        </w:rPr>
        <w:t xml:space="preserve"> </w:t>
      </w:r>
      <w:r>
        <w:rPr>
          <w:w w:val="105"/>
          <w:sz w:val="19"/>
        </w:rPr>
        <w:t>composite</w:t>
      </w:r>
      <w:r>
        <w:rPr>
          <w:spacing w:val="-5"/>
          <w:w w:val="105"/>
          <w:sz w:val="19"/>
        </w:rPr>
        <w:t xml:space="preserve"> </w:t>
      </w:r>
      <w:r>
        <w:rPr>
          <w:w w:val="105"/>
          <w:sz w:val="19"/>
        </w:rPr>
        <w:t>wage</w:t>
      </w:r>
      <w:r>
        <w:rPr>
          <w:spacing w:val="-5"/>
          <w:w w:val="105"/>
          <w:sz w:val="19"/>
        </w:rPr>
        <w:t xml:space="preserve"> </w:t>
      </w:r>
      <w:r>
        <w:rPr>
          <w:w w:val="105"/>
          <w:sz w:val="19"/>
        </w:rPr>
        <w:t>rate</w:t>
      </w:r>
      <w:r>
        <w:rPr>
          <w:spacing w:val="-4"/>
          <w:w w:val="105"/>
          <w:sz w:val="19"/>
        </w:rPr>
        <w:t xml:space="preserve"> </w:t>
      </w:r>
      <w:r>
        <w:rPr>
          <w:w w:val="105"/>
          <w:sz w:val="19"/>
        </w:rPr>
        <w:t>of $167.48)</w:t>
      </w:r>
      <w:r>
        <w:rPr>
          <w:spacing w:val="-3"/>
          <w:w w:val="105"/>
          <w:sz w:val="19"/>
        </w:rPr>
        <w:t xml:space="preserve"> </w:t>
      </w:r>
      <w:r>
        <w:rPr>
          <w:w w:val="105"/>
          <w:sz w:val="19"/>
        </w:rPr>
        <w:t xml:space="preserve">= </w:t>
      </w:r>
      <w:r>
        <w:rPr>
          <w:spacing w:val="-2"/>
          <w:w w:val="105"/>
          <w:sz w:val="19"/>
        </w:rPr>
        <w:t>$10,049.</w:t>
      </w:r>
    </w:p>
    <w:p>
      <w:pPr>
        <w:spacing w:after="0"/>
        <w:jc w:val="left"/>
        <w:rPr>
          <w:sz w:val="19"/>
        </w:rPr>
        <w:sectPr>
          <w:pgSz w:w="12240" w:h="15840"/>
          <w:pgMar w:top="1380" w:right="1440" w:bottom="1060" w:left="1080" w:header="0" w:footer="873"/>
          <w:cols w:space="720"/>
        </w:sectPr>
      </w:pPr>
    </w:p>
    <w:p>
      <w:pPr>
        <w:pStyle w:val="Heading1"/>
        <w:ind w:right="302"/>
      </w:pPr>
      <w:r>
        <w:t>TABLE 3:</w:t>
      </w:r>
      <w:r>
        <w:rPr>
          <w:spacing w:val="-10"/>
        </w:rPr>
        <w:t xml:space="preserve"> </w:t>
      </w:r>
      <w:r>
        <w:t>Burden Hours</w:t>
      </w:r>
      <w:r>
        <w:rPr>
          <w:spacing w:val="-10"/>
        </w:rPr>
        <w:t xml:space="preserve"> </w:t>
      </w:r>
      <w:r>
        <w:t>for</w:t>
      </w:r>
      <w:r>
        <w:rPr>
          <w:spacing w:val="-2"/>
        </w:rPr>
        <w:t xml:space="preserve"> </w:t>
      </w:r>
      <w:r>
        <w:t>Self-funded</w:t>
      </w:r>
      <w:r>
        <w:rPr>
          <w:spacing w:val="-7"/>
        </w:rPr>
        <w:t xml:space="preserve"> </w:t>
      </w:r>
      <w:r>
        <w:t>Non-Federal</w:t>
      </w:r>
      <w:r>
        <w:rPr>
          <w:spacing w:val="-4"/>
        </w:rPr>
        <w:t xml:space="preserve"> </w:t>
      </w:r>
      <w:r>
        <w:t>Governmental</w:t>
      </w:r>
      <w:r>
        <w:rPr>
          <w:spacing w:val="-11"/>
        </w:rPr>
        <w:t xml:space="preserve"> </w:t>
      </w:r>
      <w:r>
        <w:t xml:space="preserve">Plans, TPAs, and Issuers Related to the NQTL Comparative Analyses Documentation and Data </w:t>
      </w:r>
      <w:r>
        <w:rPr>
          <w:spacing w:val="-2"/>
        </w:rPr>
        <w:t>Requirements</w:t>
      </w:r>
    </w:p>
    <w:p>
      <w:pPr>
        <w:pStyle w:val="BodyText"/>
        <w:spacing w:before="42"/>
        <w:rPr>
          <w:b/>
          <w:sz w:val="20"/>
        </w:rPr>
      </w:pPr>
    </w:p>
    <w:tbl>
      <w:tblPr>
        <w:tblStyle w:val="TableNormal"/>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27"/>
        <w:gridCol w:w="1257"/>
        <w:gridCol w:w="1173"/>
        <w:gridCol w:w="1780"/>
      </w:tblGrid>
      <w:tr>
        <w:tblPrEx>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63"/>
          <w:jc w:val="left"/>
        </w:trPr>
        <w:tc>
          <w:tcPr>
            <w:tcW w:w="5127" w:type="dxa"/>
            <w:shd w:val="clear" w:color="auto" w:fill="F1F1F1"/>
          </w:tcPr>
          <w:p>
            <w:pPr>
              <w:pStyle w:val="TableParagraph"/>
              <w:spacing w:before="132"/>
              <w:ind w:right="3"/>
              <w:jc w:val="center"/>
              <w:rPr>
                <w:b/>
                <w:sz w:val="19"/>
              </w:rPr>
            </w:pPr>
            <w:r>
              <w:rPr>
                <w:b/>
                <w:w w:val="105"/>
                <w:sz w:val="19"/>
              </w:rPr>
              <w:t>Entity</w:t>
            </w:r>
            <w:r>
              <w:rPr>
                <w:b/>
                <w:spacing w:val="-8"/>
                <w:w w:val="105"/>
                <w:sz w:val="19"/>
              </w:rPr>
              <w:t xml:space="preserve"> </w:t>
            </w:r>
            <w:r>
              <w:rPr>
                <w:b/>
                <w:spacing w:val="-4"/>
                <w:w w:val="105"/>
                <w:sz w:val="19"/>
              </w:rPr>
              <w:t>Type</w:t>
            </w:r>
          </w:p>
        </w:tc>
        <w:tc>
          <w:tcPr>
            <w:tcW w:w="1257" w:type="dxa"/>
            <w:shd w:val="clear" w:color="auto" w:fill="F1F1F1"/>
          </w:tcPr>
          <w:p>
            <w:pPr>
              <w:pStyle w:val="TableParagraph"/>
              <w:spacing w:line="232" w:lineRule="exact"/>
              <w:ind w:left="299" w:right="150" w:hanging="135"/>
              <w:rPr>
                <w:b/>
                <w:sz w:val="19"/>
              </w:rPr>
            </w:pPr>
            <w:r>
              <w:rPr>
                <w:b/>
                <w:w w:val="105"/>
                <w:sz w:val="19"/>
              </w:rPr>
              <w:t>Number</w:t>
            </w:r>
            <w:r>
              <w:rPr>
                <w:b/>
                <w:spacing w:val="-13"/>
                <w:w w:val="105"/>
                <w:sz w:val="19"/>
              </w:rPr>
              <w:t xml:space="preserve"> </w:t>
            </w:r>
            <w:r>
              <w:rPr>
                <w:b/>
                <w:w w:val="105"/>
                <w:sz w:val="19"/>
              </w:rPr>
              <w:t xml:space="preserve">of </w:t>
            </w:r>
            <w:r>
              <w:rPr>
                <w:b/>
                <w:spacing w:val="-2"/>
                <w:w w:val="105"/>
                <w:sz w:val="19"/>
              </w:rPr>
              <w:t>Entities</w:t>
            </w:r>
          </w:p>
        </w:tc>
        <w:tc>
          <w:tcPr>
            <w:tcW w:w="1173" w:type="dxa"/>
            <w:shd w:val="clear" w:color="auto" w:fill="F1F1F1"/>
          </w:tcPr>
          <w:p>
            <w:pPr>
              <w:pStyle w:val="TableParagraph"/>
              <w:spacing w:line="232" w:lineRule="exact"/>
              <w:ind w:left="271" w:right="112" w:hanging="142"/>
              <w:rPr>
                <w:b/>
                <w:sz w:val="19"/>
              </w:rPr>
            </w:pPr>
            <w:r>
              <w:rPr>
                <w:b/>
                <w:spacing w:val="-2"/>
                <w:w w:val="105"/>
                <w:sz w:val="19"/>
              </w:rPr>
              <w:t>Number</w:t>
            </w:r>
            <w:r>
              <w:rPr>
                <w:b/>
                <w:spacing w:val="-11"/>
                <w:w w:val="105"/>
                <w:sz w:val="19"/>
              </w:rPr>
              <w:t xml:space="preserve"> </w:t>
            </w:r>
            <w:r>
              <w:rPr>
                <w:b/>
                <w:spacing w:val="-2"/>
                <w:w w:val="105"/>
                <w:sz w:val="19"/>
              </w:rPr>
              <w:t>of NQTLs</w:t>
            </w:r>
          </w:p>
        </w:tc>
        <w:tc>
          <w:tcPr>
            <w:tcW w:w="1780" w:type="dxa"/>
            <w:shd w:val="clear" w:color="auto" w:fill="F1F1F1"/>
          </w:tcPr>
          <w:p>
            <w:pPr>
              <w:pStyle w:val="TableParagraph"/>
              <w:spacing w:line="232" w:lineRule="exact"/>
              <w:ind w:left="432" w:hanging="297"/>
              <w:rPr>
                <w:b/>
                <w:sz w:val="19"/>
              </w:rPr>
            </w:pPr>
            <w:r>
              <w:rPr>
                <w:b/>
                <w:w w:val="105"/>
                <w:sz w:val="19"/>
              </w:rPr>
              <w:t>Number</w:t>
            </w:r>
            <w:r>
              <w:rPr>
                <w:b/>
                <w:spacing w:val="-13"/>
                <w:w w:val="105"/>
                <w:sz w:val="19"/>
              </w:rPr>
              <w:t xml:space="preserve"> </w:t>
            </w:r>
            <w:r>
              <w:rPr>
                <w:b/>
                <w:w w:val="105"/>
                <w:sz w:val="19"/>
              </w:rPr>
              <w:t>of</w:t>
            </w:r>
            <w:r>
              <w:rPr>
                <w:b/>
                <w:spacing w:val="-12"/>
                <w:w w:val="105"/>
                <w:sz w:val="19"/>
              </w:rPr>
              <w:t xml:space="preserve"> </w:t>
            </w:r>
            <w:r>
              <w:rPr>
                <w:b/>
                <w:w w:val="105"/>
                <w:sz w:val="19"/>
              </w:rPr>
              <w:t>Hours per NQTL</w:t>
            </w:r>
          </w:p>
        </w:tc>
      </w:tr>
      <w:tr>
        <w:tblPrEx>
          <w:tblW w:w="0" w:type="auto"/>
          <w:jc w:val="left"/>
          <w:tblInd w:w="370" w:type="dxa"/>
          <w:tblLayout w:type="fixed"/>
          <w:tblCellMar>
            <w:top w:w="0" w:type="dxa"/>
            <w:left w:w="0" w:type="dxa"/>
            <w:bottom w:w="0" w:type="dxa"/>
            <w:right w:w="0" w:type="dxa"/>
          </w:tblCellMar>
          <w:tblLook w:val="01E0"/>
        </w:tblPrEx>
        <w:trPr>
          <w:trHeight w:val="285"/>
          <w:jc w:val="left"/>
        </w:trPr>
        <w:tc>
          <w:tcPr>
            <w:tcW w:w="9337" w:type="dxa"/>
            <w:gridSpan w:val="4"/>
          </w:tcPr>
          <w:p>
            <w:pPr>
              <w:pStyle w:val="TableParagraph"/>
              <w:spacing w:before="39"/>
              <w:ind w:left="107"/>
              <w:rPr>
                <w:b/>
                <w:sz w:val="19"/>
              </w:rPr>
            </w:pPr>
            <w:r>
              <w:rPr>
                <w:b/>
                <w:w w:val="105"/>
                <w:sz w:val="19"/>
              </w:rPr>
              <w:t>Year</w:t>
            </w:r>
            <w:r>
              <w:rPr>
                <w:b/>
                <w:spacing w:val="-8"/>
                <w:w w:val="105"/>
                <w:sz w:val="19"/>
              </w:rPr>
              <w:t xml:space="preserve"> </w:t>
            </w:r>
            <w:r>
              <w:rPr>
                <w:b/>
                <w:spacing w:val="-10"/>
                <w:w w:val="105"/>
                <w:sz w:val="19"/>
              </w:rPr>
              <w:t>1</w:t>
            </w:r>
          </w:p>
        </w:tc>
      </w:tr>
      <w:tr>
        <w:tblPrEx>
          <w:tblW w:w="0" w:type="auto"/>
          <w:jc w:val="left"/>
          <w:tblInd w:w="370" w:type="dxa"/>
          <w:tblLayout w:type="fixed"/>
          <w:tblCellMar>
            <w:top w:w="0" w:type="dxa"/>
            <w:left w:w="0" w:type="dxa"/>
            <w:bottom w:w="0" w:type="dxa"/>
            <w:right w:w="0" w:type="dxa"/>
          </w:tblCellMar>
          <w:tblLook w:val="01E0"/>
        </w:tblPrEx>
        <w:trPr>
          <w:trHeight w:val="448"/>
          <w:jc w:val="left"/>
        </w:trPr>
        <w:tc>
          <w:tcPr>
            <w:tcW w:w="5127" w:type="dxa"/>
          </w:tcPr>
          <w:p>
            <w:pPr>
              <w:pStyle w:val="TableParagraph"/>
              <w:spacing w:before="117"/>
              <w:ind w:right="110"/>
              <w:jc w:val="right"/>
              <w:rPr>
                <w:sz w:val="19"/>
              </w:rPr>
            </w:pPr>
            <w:r>
              <w:rPr>
                <w:w w:val="105"/>
                <w:sz w:val="19"/>
              </w:rPr>
              <w:t>Issuers</w:t>
            </w:r>
            <w:r>
              <w:rPr>
                <w:spacing w:val="-4"/>
                <w:w w:val="105"/>
                <w:sz w:val="19"/>
              </w:rPr>
              <w:t xml:space="preserve"> </w:t>
            </w:r>
            <w:r>
              <w:rPr>
                <w:w w:val="105"/>
                <w:sz w:val="19"/>
              </w:rPr>
              <w:t>(health</w:t>
            </w:r>
            <w:r>
              <w:rPr>
                <w:spacing w:val="-4"/>
                <w:w w:val="105"/>
                <w:sz w:val="19"/>
              </w:rPr>
              <w:t xml:space="preserve"> </w:t>
            </w:r>
            <w:r>
              <w:rPr>
                <w:w w:val="105"/>
                <w:sz w:val="19"/>
              </w:rPr>
              <w:t>insurance</w:t>
            </w:r>
            <w:r>
              <w:rPr>
                <w:spacing w:val="-1"/>
                <w:w w:val="105"/>
                <w:sz w:val="19"/>
              </w:rPr>
              <w:t xml:space="preserve"> </w:t>
            </w:r>
            <w:r>
              <w:rPr>
                <w:w w:val="105"/>
                <w:sz w:val="19"/>
              </w:rPr>
              <w:t>company/State</w:t>
            </w:r>
            <w:r>
              <w:rPr>
                <w:spacing w:val="-7"/>
                <w:w w:val="105"/>
                <w:sz w:val="19"/>
              </w:rPr>
              <w:t xml:space="preserve"> </w:t>
            </w:r>
            <w:r>
              <w:rPr>
                <w:spacing w:val="-2"/>
                <w:w w:val="105"/>
                <w:sz w:val="19"/>
              </w:rPr>
              <w:t>combinations)</w:t>
            </w:r>
          </w:p>
        </w:tc>
        <w:tc>
          <w:tcPr>
            <w:tcW w:w="1257" w:type="dxa"/>
          </w:tcPr>
          <w:p>
            <w:pPr>
              <w:pStyle w:val="TableParagraph"/>
              <w:spacing w:before="117"/>
              <w:ind w:left="7"/>
              <w:jc w:val="center"/>
              <w:rPr>
                <w:sz w:val="19"/>
              </w:rPr>
            </w:pPr>
            <w:r>
              <w:rPr>
                <w:spacing w:val="-2"/>
                <w:w w:val="105"/>
                <w:sz w:val="19"/>
              </w:rPr>
              <w:t>1,467</w:t>
            </w:r>
          </w:p>
        </w:tc>
        <w:tc>
          <w:tcPr>
            <w:tcW w:w="1173" w:type="dxa"/>
          </w:tcPr>
          <w:p>
            <w:pPr>
              <w:pStyle w:val="TableParagraph"/>
              <w:spacing w:before="117"/>
              <w:ind w:left="14"/>
              <w:jc w:val="center"/>
              <w:rPr>
                <w:sz w:val="19"/>
              </w:rPr>
            </w:pPr>
            <w:r>
              <w:rPr>
                <w:spacing w:val="-5"/>
                <w:w w:val="105"/>
                <w:sz w:val="19"/>
              </w:rPr>
              <w:t>10</w:t>
            </w:r>
          </w:p>
        </w:tc>
        <w:tc>
          <w:tcPr>
            <w:tcW w:w="1780" w:type="dxa"/>
          </w:tcPr>
          <w:p>
            <w:pPr>
              <w:pStyle w:val="TableParagraph"/>
              <w:spacing w:before="117"/>
              <w:ind w:left="786"/>
              <w:rPr>
                <w:sz w:val="19"/>
              </w:rPr>
            </w:pPr>
            <w:r>
              <w:rPr>
                <w:spacing w:val="-5"/>
                <w:w w:val="105"/>
                <w:sz w:val="19"/>
              </w:rPr>
              <w:t>60</w:t>
            </w:r>
          </w:p>
        </w:tc>
      </w:tr>
      <w:tr>
        <w:tblPrEx>
          <w:tblW w:w="0" w:type="auto"/>
          <w:jc w:val="left"/>
          <w:tblInd w:w="370" w:type="dxa"/>
          <w:tblLayout w:type="fixed"/>
          <w:tblCellMar>
            <w:top w:w="0" w:type="dxa"/>
            <w:left w:w="0" w:type="dxa"/>
            <w:bottom w:w="0" w:type="dxa"/>
            <w:right w:w="0" w:type="dxa"/>
          </w:tblCellMar>
          <w:tblLook w:val="01E0"/>
        </w:tblPrEx>
        <w:trPr>
          <w:trHeight w:val="456"/>
          <w:jc w:val="left"/>
        </w:trPr>
        <w:tc>
          <w:tcPr>
            <w:tcW w:w="5127" w:type="dxa"/>
          </w:tcPr>
          <w:p>
            <w:pPr>
              <w:pStyle w:val="TableParagraph"/>
              <w:spacing w:line="220" w:lineRule="atLeast"/>
              <w:ind w:left="1414" w:hanging="692"/>
              <w:rPr>
                <w:sz w:val="19"/>
              </w:rPr>
            </w:pPr>
            <w:r>
              <w:rPr>
                <w:w w:val="105"/>
                <w:sz w:val="19"/>
              </w:rPr>
              <w:t>Self-funded</w:t>
            </w:r>
            <w:r>
              <w:rPr>
                <w:spacing w:val="-9"/>
                <w:w w:val="105"/>
                <w:sz w:val="19"/>
              </w:rPr>
              <w:t xml:space="preserve"> </w:t>
            </w:r>
            <w:r>
              <w:rPr>
                <w:w w:val="105"/>
                <w:sz w:val="19"/>
              </w:rPr>
              <w:t>non-Federal</w:t>
            </w:r>
            <w:r>
              <w:rPr>
                <w:spacing w:val="-8"/>
                <w:w w:val="105"/>
                <w:sz w:val="19"/>
              </w:rPr>
              <w:t xml:space="preserve"> </w:t>
            </w:r>
            <w:r>
              <w:rPr>
                <w:w w:val="105"/>
                <w:sz w:val="19"/>
              </w:rPr>
              <w:t>governmental</w:t>
            </w:r>
            <w:r>
              <w:rPr>
                <w:spacing w:val="-8"/>
                <w:w w:val="105"/>
                <w:sz w:val="19"/>
              </w:rPr>
              <w:t xml:space="preserve"> </w:t>
            </w:r>
            <w:r>
              <w:rPr>
                <w:w w:val="105"/>
                <w:sz w:val="19"/>
              </w:rPr>
              <w:t>plans</w:t>
            </w:r>
            <w:r>
              <w:rPr>
                <w:spacing w:val="-9"/>
                <w:w w:val="105"/>
                <w:sz w:val="19"/>
              </w:rPr>
              <w:t xml:space="preserve"> </w:t>
            </w:r>
            <w:r>
              <w:rPr>
                <w:w w:val="105"/>
                <w:sz w:val="19"/>
              </w:rPr>
              <w:t>that</w:t>
            </w:r>
            <w:r>
              <w:rPr>
                <w:spacing w:val="-2"/>
                <w:w w:val="105"/>
                <w:sz w:val="19"/>
              </w:rPr>
              <w:t xml:space="preserve"> </w:t>
            </w:r>
            <w:r>
              <w:rPr>
                <w:w w:val="105"/>
                <w:sz w:val="19"/>
              </w:rPr>
              <w:t>will conduct</w:t>
            </w:r>
            <w:r>
              <w:rPr>
                <w:spacing w:val="-3"/>
                <w:w w:val="105"/>
                <w:sz w:val="19"/>
              </w:rPr>
              <w:t xml:space="preserve"> </w:t>
            </w:r>
            <w:r>
              <w:rPr>
                <w:w w:val="105"/>
                <w:sz w:val="19"/>
              </w:rPr>
              <w:t>the comparative</w:t>
            </w:r>
            <w:r>
              <w:rPr>
                <w:spacing w:val="-7"/>
                <w:w w:val="105"/>
                <w:sz w:val="19"/>
              </w:rPr>
              <w:t xml:space="preserve"> </w:t>
            </w:r>
            <w:r>
              <w:rPr>
                <w:w w:val="105"/>
                <w:sz w:val="19"/>
              </w:rPr>
              <w:t>analysis</w:t>
            </w:r>
            <w:r>
              <w:rPr>
                <w:spacing w:val="-3"/>
                <w:w w:val="105"/>
                <w:sz w:val="19"/>
              </w:rPr>
              <w:t xml:space="preserve"> </w:t>
            </w:r>
            <w:r>
              <w:rPr>
                <w:spacing w:val="-2"/>
                <w:w w:val="105"/>
                <w:sz w:val="19"/>
              </w:rPr>
              <w:t>themselves</w:t>
            </w:r>
          </w:p>
        </w:tc>
        <w:tc>
          <w:tcPr>
            <w:tcW w:w="1257" w:type="dxa"/>
          </w:tcPr>
          <w:p>
            <w:pPr>
              <w:pStyle w:val="TableParagraph"/>
              <w:spacing w:before="125"/>
              <w:ind w:left="7" w:right="7"/>
              <w:jc w:val="center"/>
              <w:rPr>
                <w:sz w:val="19"/>
              </w:rPr>
            </w:pPr>
            <w:r>
              <w:rPr>
                <w:spacing w:val="-5"/>
                <w:w w:val="105"/>
                <w:sz w:val="19"/>
              </w:rPr>
              <w:t>505</w:t>
            </w:r>
          </w:p>
        </w:tc>
        <w:tc>
          <w:tcPr>
            <w:tcW w:w="1173" w:type="dxa"/>
          </w:tcPr>
          <w:p>
            <w:pPr>
              <w:pStyle w:val="TableParagraph"/>
              <w:spacing w:before="125"/>
              <w:ind w:left="14"/>
              <w:jc w:val="center"/>
              <w:rPr>
                <w:sz w:val="19"/>
              </w:rPr>
            </w:pPr>
            <w:r>
              <w:rPr>
                <w:spacing w:val="-5"/>
                <w:w w:val="105"/>
                <w:sz w:val="19"/>
              </w:rPr>
              <w:t>10</w:t>
            </w:r>
          </w:p>
        </w:tc>
        <w:tc>
          <w:tcPr>
            <w:tcW w:w="1780" w:type="dxa"/>
          </w:tcPr>
          <w:p>
            <w:pPr>
              <w:pStyle w:val="TableParagraph"/>
              <w:spacing w:before="125"/>
              <w:ind w:left="786"/>
              <w:rPr>
                <w:sz w:val="19"/>
              </w:rPr>
            </w:pPr>
            <w:r>
              <w:rPr>
                <w:spacing w:val="-5"/>
                <w:w w:val="105"/>
                <w:sz w:val="19"/>
              </w:rPr>
              <w:t>60</w:t>
            </w:r>
          </w:p>
        </w:tc>
      </w:tr>
      <w:tr>
        <w:tblPrEx>
          <w:tblW w:w="0" w:type="auto"/>
          <w:jc w:val="left"/>
          <w:tblInd w:w="370" w:type="dxa"/>
          <w:tblLayout w:type="fixed"/>
          <w:tblCellMar>
            <w:top w:w="0" w:type="dxa"/>
            <w:left w:w="0" w:type="dxa"/>
            <w:bottom w:w="0" w:type="dxa"/>
            <w:right w:w="0" w:type="dxa"/>
          </w:tblCellMar>
          <w:tblLook w:val="01E0"/>
        </w:tblPrEx>
        <w:trPr>
          <w:trHeight w:val="689"/>
          <w:jc w:val="left"/>
        </w:trPr>
        <w:tc>
          <w:tcPr>
            <w:tcW w:w="5127" w:type="dxa"/>
          </w:tcPr>
          <w:p>
            <w:pPr>
              <w:pStyle w:val="TableParagraph"/>
              <w:spacing w:before="11"/>
              <w:ind w:left="256" w:firstLine="466"/>
              <w:rPr>
                <w:sz w:val="19"/>
              </w:rPr>
            </w:pPr>
            <w:r>
              <w:rPr>
                <w:w w:val="105"/>
                <w:sz w:val="19"/>
              </w:rPr>
              <w:t>Self-funded</w:t>
            </w:r>
            <w:r>
              <w:rPr>
                <w:spacing w:val="-5"/>
                <w:w w:val="105"/>
                <w:sz w:val="19"/>
              </w:rPr>
              <w:t xml:space="preserve"> </w:t>
            </w:r>
            <w:r>
              <w:rPr>
                <w:w w:val="105"/>
                <w:sz w:val="19"/>
              </w:rPr>
              <w:t>non-Federal</w:t>
            </w:r>
            <w:r>
              <w:rPr>
                <w:spacing w:val="-2"/>
                <w:w w:val="105"/>
                <w:sz w:val="19"/>
              </w:rPr>
              <w:t xml:space="preserve"> </w:t>
            </w:r>
            <w:r>
              <w:rPr>
                <w:w w:val="105"/>
                <w:sz w:val="19"/>
              </w:rPr>
              <w:t>governmental</w:t>
            </w:r>
            <w:r>
              <w:rPr>
                <w:spacing w:val="-2"/>
                <w:w w:val="105"/>
                <w:sz w:val="19"/>
              </w:rPr>
              <w:t xml:space="preserve"> </w:t>
            </w:r>
            <w:r>
              <w:rPr>
                <w:w w:val="105"/>
                <w:sz w:val="19"/>
              </w:rPr>
              <w:t>plans</w:t>
            </w:r>
            <w:r>
              <w:rPr>
                <w:spacing w:val="-3"/>
                <w:w w:val="105"/>
                <w:sz w:val="19"/>
              </w:rPr>
              <w:t xml:space="preserve"> </w:t>
            </w:r>
            <w:r>
              <w:rPr>
                <w:w w:val="105"/>
                <w:sz w:val="19"/>
              </w:rPr>
              <w:t>that</w:t>
            </w:r>
            <w:r>
              <w:rPr>
                <w:spacing w:val="4"/>
                <w:w w:val="105"/>
                <w:sz w:val="19"/>
              </w:rPr>
              <w:t xml:space="preserve"> </w:t>
            </w:r>
            <w:r>
              <w:rPr>
                <w:spacing w:val="-4"/>
                <w:w w:val="105"/>
                <w:sz w:val="19"/>
              </w:rPr>
              <w:t>will</w:t>
            </w:r>
          </w:p>
          <w:p>
            <w:pPr>
              <w:pStyle w:val="TableParagraph"/>
              <w:spacing w:line="220" w:lineRule="atLeast"/>
              <w:ind w:left="150" w:firstLine="105"/>
              <w:rPr>
                <w:sz w:val="19"/>
              </w:rPr>
            </w:pPr>
            <w:r>
              <w:rPr>
                <w:w w:val="105"/>
                <w:sz w:val="19"/>
              </w:rPr>
              <w:t>initially</w:t>
            </w:r>
            <w:r>
              <w:rPr>
                <w:spacing w:val="-7"/>
                <w:w w:val="105"/>
                <w:sz w:val="19"/>
              </w:rPr>
              <w:t xml:space="preserve"> </w:t>
            </w:r>
            <w:r>
              <w:rPr>
                <w:w w:val="105"/>
                <w:sz w:val="19"/>
              </w:rPr>
              <w:t>receive</w:t>
            </w:r>
            <w:r>
              <w:rPr>
                <w:spacing w:val="-3"/>
                <w:w w:val="105"/>
                <w:sz w:val="19"/>
              </w:rPr>
              <w:t xml:space="preserve"> </w:t>
            </w:r>
            <w:r>
              <w:rPr>
                <w:w w:val="105"/>
                <w:sz w:val="19"/>
              </w:rPr>
              <w:t>a</w:t>
            </w:r>
            <w:r>
              <w:rPr>
                <w:spacing w:val="-9"/>
                <w:w w:val="105"/>
                <w:sz w:val="19"/>
              </w:rPr>
              <w:t xml:space="preserve"> </w:t>
            </w:r>
            <w:r>
              <w:rPr>
                <w:w w:val="105"/>
                <w:sz w:val="19"/>
              </w:rPr>
              <w:t>generic comparative</w:t>
            </w:r>
            <w:r>
              <w:rPr>
                <w:spacing w:val="-3"/>
                <w:w w:val="105"/>
                <w:sz w:val="19"/>
              </w:rPr>
              <w:t xml:space="preserve"> </w:t>
            </w:r>
            <w:r>
              <w:rPr>
                <w:w w:val="105"/>
                <w:sz w:val="19"/>
              </w:rPr>
              <w:t>analysis</w:t>
            </w:r>
            <w:r>
              <w:rPr>
                <w:spacing w:val="-6"/>
                <w:w w:val="105"/>
                <w:sz w:val="19"/>
              </w:rPr>
              <w:t xml:space="preserve"> </w:t>
            </w:r>
            <w:r>
              <w:rPr>
                <w:w w:val="105"/>
                <w:sz w:val="19"/>
              </w:rPr>
              <w:t>from a</w:t>
            </w:r>
            <w:r>
              <w:rPr>
                <w:spacing w:val="-9"/>
                <w:w w:val="105"/>
                <w:sz w:val="19"/>
              </w:rPr>
              <w:t xml:space="preserve"> </w:t>
            </w:r>
            <w:r>
              <w:rPr>
                <w:w w:val="105"/>
                <w:sz w:val="19"/>
              </w:rPr>
              <w:t>TPA that</w:t>
            </w:r>
            <w:r>
              <w:rPr>
                <w:spacing w:val="-2"/>
                <w:w w:val="105"/>
                <w:sz w:val="19"/>
              </w:rPr>
              <w:t xml:space="preserve"> </w:t>
            </w:r>
            <w:r>
              <w:rPr>
                <w:w w:val="105"/>
                <w:sz w:val="19"/>
              </w:rPr>
              <w:t>will</w:t>
            </w:r>
            <w:r>
              <w:rPr>
                <w:spacing w:val="-2"/>
                <w:w w:val="105"/>
                <w:sz w:val="19"/>
              </w:rPr>
              <w:t xml:space="preserve"> </w:t>
            </w:r>
            <w:r>
              <w:rPr>
                <w:w w:val="105"/>
                <w:sz w:val="19"/>
              </w:rPr>
              <w:t>require customizing</w:t>
            </w:r>
            <w:r>
              <w:rPr>
                <w:spacing w:val="-3"/>
                <w:w w:val="105"/>
                <w:sz w:val="19"/>
              </w:rPr>
              <w:t xml:space="preserve"> </w:t>
            </w:r>
            <w:r>
              <w:rPr>
                <w:w w:val="105"/>
                <w:sz w:val="19"/>
              </w:rPr>
              <w:t>to</w:t>
            </w:r>
            <w:r>
              <w:rPr>
                <w:spacing w:val="-4"/>
                <w:w w:val="105"/>
                <w:sz w:val="19"/>
              </w:rPr>
              <w:t xml:space="preserve"> </w:t>
            </w:r>
            <w:r>
              <w:rPr>
                <w:w w:val="105"/>
                <w:sz w:val="19"/>
              </w:rPr>
              <w:t>suit</w:t>
            </w:r>
            <w:r>
              <w:rPr>
                <w:spacing w:val="-2"/>
                <w:w w:val="105"/>
                <w:sz w:val="19"/>
              </w:rPr>
              <w:t xml:space="preserve"> </w:t>
            </w:r>
            <w:r>
              <w:rPr>
                <w:w w:val="105"/>
                <w:sz w:val="19"/>
              </w:rPr>
              <w:t>the</w:t>
            </w:r>
            <w:r>
              <w:rPr>
                <w:spacing w:val="1"/>
                <w:w w:val="105"/>
                <w:sz w:val="19"/>
              </w:rPr>
              <w:t xml:space="preserve"> </w:t>
            </w:r>
            <w:r>
              <w:rPr>
                <w:w w:val="105"/>
                <w:sz w:val="19"/>
              </w:rPr>
              <w:t>plan’s</w:t>
            </w:r>
            <w:r>
              <w:rPr>
                <w:spacing w:val="-3"/>
                <w:w w:val="105"/>
                <w:sz w:val="19"/>
              </w:rPr>
              <w:t xml:space="preserve"> </w:t>
            </w:r>
            <w:r>
              <w:rPr>
                <w:w w:val="105"/>
                <w:sz w:val="19"/>
              </w:rPr>
              <w:t>specific</w:t>
            </w:r>
            <w:r>
              <w:rPr>
                <w:spacing w:val="-6"/>
                <w:w w:val="105"/>
                <w:sz w:val="19"/>
              </w:rPr>
              <w:t xml:space="preserve"> </w:t>
            </w:r>
            <w:r>
              <w:rPr>
                <w:spacing w:val="-2"/>
                <w:w w:val="105"/>
                <w:sz w:val="19"/>
              </w:rPr>
              <w:t>needs</w:t>
            </w:r>
          </w:p>
        </w:tc>
        <w:tc>
          <w:tcPr>
            <w:tcW w:w="1257" w:type="dxa"/>
          </w:tcPr>
          <w:p>
            <w:pPr>
              <w:pStyle w:val="TableParagraph"/>
              <w:spacing w:before="26"/>
              <w:rPr>
                <w:b/>
                <w:sz w:val="19"/>
              </w:rPr>
            </w:pPr>
          </w:p>
          <w:p>
            <w:pPr>
              <w:pStyle w:val="TableParagraph"/>
              <w:ind w:left="7"/>
              <w:jc w:val="center"/>
              <w:rPr>
                <w:sz w:val="19"/>
              </w:rPr>
            </w:pPr>
            <w:r>
              <w:rPr>
                <w:spacing w:val="-2"/>
                <w:w w:val="105"/>
                <w:sz w:val="19"/>
              </w:rPr>
              <w:t>2,906</w:t>
            </w:r>
          </w:p>
        </w:tc>
        <w:tc>
          <w:tcPr>
            <w:tcW w:w="1173" w:type="dxa"/>
          </w:tcPr>
          <w:p>
            <w:pPr>
              <w:pStyle w:val="TableParagraph"/>
              <w:spacing w:before="26"/>
              <w:rPr>
                <w:b/>
                <w:sz w:val="19"/>
              </w:rPr>
            </w:pPr>
          </w:p>
          <w:p>
            <w:pPr>
              <w:pStyle w:val="TableParagraph"/>
              <w:ind w:left="14"/>
              <w:jc w:val="center"/>
              <w:rPr>
                <w:sz w:val="19"/>
              </w:rPr>
            </w:pPr>
            <w:r>
              <w:rPr>
                <w:spacing w:val="-5"/>
                <w:w w:val="105"/>
                <w:sz w:val="19"/>
              </w:rPr>
              <w:t>10</w:t>
            </w:r>
          </w:p>
        </w:tc>
        <w:tc>
          <w:tcPr>
            <w:tcW w:w="1780" w:type="dxa"/>
          </w:tcPr>
          <w:p>
            <w:pPr>
              <w:pStyle w:val="TableParagraph"/>
              <w:spacing w:before="26"/>
              <w:rPr>
                <w:b/>
                <w:sz w:val="19"/>
              </w:rPr>
            </w:pPr>
          </w:p>
          <w:p>
            <w:pPr>
              <w:pStyle w:val="TableParagraph"/>
              <w:ind w:left="786"/>
              <w:rPr>
                <w:sz w:val="19"/>
              </w:rPr>
            </w:pPr>
            <w:r>
              <w:rPr>
                <w:spacing w:val="-5"/>
                <w:w w:val="105"/>
                <w:sz w:val="19"/>
              </w:rPr>
              <w:t>30</w:t>
            </w:r>
          </w:p>
        </w:tc>
      </w:tr>
      <w:tr>
        <w:tblPrEx>
          <w:tblW w:w="0" w:type="auto"/>
          <w:jc w:val="left"/>
          <w:tblInd w:w="370" w:type="dxa"/>
          <w:tblLayout w:type="fixed"/>
          <w:tblCellMar>
            <w:top w:w="0" w:type="dxa"/>
            <w:left w:w="0" w:type="dxa"/>
            <w:bottom w:w="0" w:type="dxa"/>
            <w:right w:w="0" w:type="dxa"/>
          </w:tblCellMar>
          <w:tblLook w:val="01E0"/>
        </w:tblPrEx>
        <w:trPr>
          <w:trHeight w:val="448"/>
          <w:jc w:val="left"/>
        </w:trPr>
        <w:tc>
          <w:tcPr>
            <w:tcW w:w="5127" w:type="dxa"/>
          </w:tcPr>
          <w:p>
            <w:pPr>
              <w:pStyle w:val="TableParagraph"/>
              <w:spacing w:before="124"/>
              <w:ind w:right="107"/>
              <w:jc w:val="right"/>
              <w:rPr>
                <w:sz w:val="19"/>
              </w:rPr>
            </w:pPr>
            <w:r>
              <w:rPr>
                <w:spacing w:val="-4"/>
                <w:w w:val="105"/>
                <w:sz w:val="19"/>
              </w:rPr>
              <w:t>TPAs</w:t>
            </w:r>
          </w:p>
        </w:tc>
        <w:tc>
          <w:tcPr>
            <w:tcW w:w="1257" w:type="dxa"/>
          </w:tcPr>
          <w:p>
            <w:pPr>
              <w:pStyle w:val="TableParagraph"/>
              <w:spacing w:before="124"/>
              <w:ind w:left="7" w:right="7"/>
              <w:jc w:val="center"/>
              <w:rPr>
                <w:sz w:val="19"/>
              </w:rPr>
            </w:pPr>
            <w:r>
              <w:rPr>
                <w:spacing w:val="-5"/>
                <w:w w:val="105"/>
                <w:sz w:val="19"/>
              </w:rPr>
              <w:t>103</w:t>
            </w:r>
          </w:p>
        </w:tc>
        <w:tc>
          <w:tcPr>
            <w:tcW w:w="1173" w:type="dxa"/>
          </w:tcPr>
          <w:p>
            <w:pPr>
              <w:pStyle w:val="TableParagraph"/>
              <w:spacing w:before="124"/>
              <w:ind w:left="14"/>
              <w:jc w:val="center"/>
              <w:rPr>
                <w:sz w:val="19"/>
              </w:rPr>
            </w:pPr>
            <w:r>
              <w:rPr>
                <w:spacing w:val="-5"/>
                <w:w w:val="105"/>
                <w:sz w:val="19"/>
              </w:rPr>
              <w:t>10</w:t>
            </w:r>
          </w:p>
        </w:tc>
        <w:tc>
          <w:tcPr>
            <w:tcW w:w="1780" w:type="dxa"/>
          </w:tcPr>
          <w:p>
            <w:pPr>
              <w:pStyle w:val="TableParagraph"/>
              <w:spacing w:before="124"/>
              <w:ind w:left="786"/>
              <w:rPr>
                <w:sz w:val="19"/>
              </w:rPr>
            </w:pPr>
            <w:r>
              <w:rPr>
                <w:spacing w:val="-5"/>
                <w:w w:val="105"/>
                <w:sz w:val="19"/>
              </w:rPr>
              <w:t>60</w:t>
            </w:r>
          </w:p>
        </w:tc>
      </w:tr>
      <w:tr>
        <w:tblPrEx>
          <w:tblW w:w="0" w:type="auto"/>
          <w:jc w:val="left"/>
          <w:tblInd w:w="370" w:type="dxa"/>
          <w:tblLayout w:type="fixed"/>
          <w:tblCellMar>
            <w:top w:w="0" w:type="dxa"/>
            <w:left w:w="0" w:type="dxa"/>
            <w:bottom w:w="0" w:type="dxa"/>
            <w:right w:w="0" w:type="dxa"/>
          </w:tblCellMar>
          <w:tblLook w:val="01E0"/>
        </w:tblPrEx>
        <w:trPr>
          <w:trHeight w:val="230"/>
          <w:jc w:val="left"/>
        </w:trPr>
        <w:tc>
          <w:tcPr>
            <w:tcW w:w="9337" w:type="dxa"/>
            <w:gridSpan w:val="4"/>
          </w:tcPr>
          <w:p>
            <w:pPr>
              <w:pStyle w:val="TableParagraph"/>
              <w:spacing w:before="11" w:line="198" w:lineRule="exact"/>
              <w:ind w:left="107"/>
              <w:rPr>
                <w:b/>
                <w:sz w:val="19"/>
              </w:rPr>
            </w:pPr>
            <w:r>
              <w:rPr>
                <w:b/>
                <w:sz w:val="19"/>
              </w:rPr>
              <w:t>Subsequent</w:t>
            </w:r>
            <w:r>
              <w:rPr>
                <w:b/>
                <w:spacing w:val="42"/>
                <w:sz w:val="19"/>
              </w:rPr>
              <w:t xml:space="preserve"> </w:t>
            </w:r>
            <w:r>
              <w:rPr>
                <w:b/>
                <w:spacing w:val="-2"/>
                <w:sz w:val="19"/>
              </w:rPr>
              <w:t>Years</w:t>
            </w:r>
          </w:p>
        </w:tc>
      </w:tr>
      <w:tr>
        <w:tblPrEx>
          <w:tblW w:w="0" w:type="auto"/>
          <w:jc w:val="left"/>
          <w:tblInd w:w="370" w:type="dxa"/>
          <w:tblLayout w:type="fixed"/>
          <w:tblCellMar>
            <w:top w:w="0" w:type="dxa"/>
            <w:left w:w="0" w:type="dxa"/>
            <w:bottom w:w="0" w:type="dxa"/>
            <w:right w:w="0" w:type="dxa"/>
          </w:tblCellMar>
          <w:tblLook w:val="01E0"/>
        </w:tblPrEx>
        <w:trPr>
          <w:trHeight w:val="442"/>
          <w:jc w:val="left"/>
        </w:trPr>
        <w:tc>
          <w:tcPr>
            <w:tcW w:w="5127" w:type="dxa"/>
          </w:tcPr>
          <w:p>
            <w:pPr>
              <w:pStyle w:val="TableParagraph"/>
              <w:spacing w:before="117"/>
              <w:ind w:right="110"/>
              <w:jc w:val="right"/>
              <w:rPr>
                <w:sz w:val="19"/>
              </w:rPr>
            </w:pPr>
            <w:r>
              <w:rPr>
                <w:w w:val="105"/>
                <w:sz w:val="19"/>
              </w:rPr>
              <w:t>Issuers</w:t>
            </w:r>
            <w:r>
              <w:rPr>
                <w:spacing w:val="-4"/>
                <w:w w:val="105"/>
                <w:sz w:val="19"/>
              </w:rPr>
              <w:t xml:space="preserve"> </w:t>
            </w:r>
            <w:r>
              <w:rPr>
                <w:w w:val="105"/>
                <w:sz w:val="19"/>
              </w:rPr>
              <w:t>(health</w:t>
            </w:r>
            <w:r>
              <w:rPr>
                <w:spacing w:val="-4"/>
                <w:w w:val="105"/>
                <w:sz w:val="19"/>
              </w:rPr>
              <w:t xml:space="preserve"> </w:t>
            </w:r>
            <w:r>
              <w:rPr>
                <w:w w:val="105"/>
                <w:sz w:val="19"/>
              </w:rPr>
              <w:t>insurance</w:t>
            </w:r>
            <w:r>
              <w:rPr>
                <w:spacing w:val="-1"/>
                <w:w w:val="105"/>
                <w:sz w:val="19"/>
              </w:rPr>
              <w:t xml:space="preserve"> </w:t>
            </w:r>
            <w:r>
              <w:rPr>
                <w:w w:val="105"/>
                <w:sz w:val="19"/>
              </w:rPr>
              <w:t>company/State</w:t>
            </w:r>
            <w:r>
              <w:rPr>
                <w:spacing w:val="-7"/>
                <w:w w:val="105"/>
                <w:sz w:val="19"/>
              </w:rPr>
              <w:t xml:space="preserve"> </w:t>
            </w:r>
            <w:r>
              <w:rPr>
                <w:spacing w:val="-2"/>
                <w:w w:val="105"/>
                <w:sz w:val="19"/>
              </w:rPr>
              <w:t>combinations)</w:t>
            </w:r>
          </w:p>
        </w:tc>
        <w:tc>
          <w:tcPr>
            <w:tcW w:w="1257" w:type="dxa"/>
          </w:tcPr>
          <w:p>
            <w:pPr>
              <w:pStyle w:val="TableParagraph"/>
              <w:spacing w:before="117"/>
              <w:ind w:left="7"/>
              <w:jc w:val="center"/>
              <w:rPr>
                <w:sz w:val="19"/>
              </w:rPr>
            </w:pPr>
            <w:r>
              <w:rPr>
                <w:spacing w:val="-2"/>
                <w:w w:val="105"/>
                <w:sz w:val="19"/>
              </w:rPr>
              <w:t>1,467</w:t>
            </w:r>
          </w:p>
        </w:tc>
        <w:tc>
          <w:tcPr>
            <w:tcW w:w="1173" w:type="dxa"/>
          </w:tcPr>
          <w:p>
            <w:pPr>
              <w:pStyle w:val="TableParagraph"/>
              <w:spacing w:before="117"/>
              <w:ind w:left="14"/>
              <w:jc w:val="center"/>
              <w:rPr>
                <w:sz w:val="19"/>
              </w:rPr>
            </w:pPr>
            <w:r>
              <w:rPr>
                <w:spacing w:val="-5"/>
                <w:w w:val="105"/>
                <w:sz w:val="19"/>
              </w:rPr>
              <w:t>10</w:t>
            </w:r>
          </w:p>
        </w:tc>
        <w:tc>
          <w:tcPr>
            <w:tcW w:w="1780" w:type="dxa"/>
          </w:tcPr>
          <w:p>
            <w:pPr>
              <w:pStyle w:val="TableParagraph"/>
              <w:spacing w:before="117"/>
              <w:ind w:left="786"/>
              <w:rPr>
                <w:sz w:val="19"/>
              </w:rPr>
            </w:pPr>
            <w:r>
              <w:rPr>
                <w:spacing w:val="-5"/>
                <w:w w:val="105"/>
                <w:sz w:val="19"/>
              </w:rPr>
              <w:t>12</w:t>
            </w:r>
          </w:p>
        </w:tc>
      </w:tr>
      <w:tr>
        <w:tblPrEx>
          <w:tblW w:w="0" w:type="auto"/>
          <w:jc w:val="left"/>
          <w:tblInd w:w="370" w:type="dxa"/>
          <w:tblLayout w:type="fixed"/>
          <w:tblCellMar>
            <w:top w:w="0" w:type="dxa"/>
            <w:left w:w="0" w:type="dxa"/>
            <w:bottom w:w="0" w:type="dxa"/>
            <w:right w:w="0" w:type="dxa"/>
          </w:tblCellMar>
          <w:tblLook w:val="01E0"/>
        </w:tblPrEx>
        <w:trPr>
          <w:trHeight w:val="463"/>
          <w:jc w:val="left"/>
        </w:trPr>
        <w:tc>
          <w:tcPr>
            <w:tcW w:w="5127" w:type="dxa"/>
          </w:tcPr>
          <w:p>
            <w:pPr>
              <w:pStyle w:val="TableParagraph"/>
              <w:spacing w:line="232" w:lineRule="exact"/>
              <w:ind w:left="1414" w:hanging="692"/>
              <w:rPr>
                <w:sz w:val="19"/>
              </w:rPr>
            </w:pPr>
            <w:r>
              <w:rPr>
                <w:w w:val="105"/>
                <w:sz w:val="19"/>
              </w:rPr>
              <w:t>Self-funded</w:t>
            </w:r>
            <w:r>
              <w:rPr>
                <w:spacing w:val="-9"/>
                <w:w w:val="105"/>
                <w:sz w:val="19"/>
              </w:rPr>
              <w:t xml:space="preserve"> </w:t>
            </w:r>
            <w:r>
              <w:rPr>
                <w:w w:val="105"/>
                <w:sz w:val="19"/>
              </w:rPr>
              <w:t>non-Federal</w:t>
            </w:r>
            <w:r>
              <w:rPr>
                <w:spacing w:val="-8"/>
                <w:w w:val="105"/>
                <w:sz w:val="19"/>
              </w:rPr>
              <w:t xml:space="preserve"> </w:t>
            </w:r>
            <w:r>
              <w:rPr>
                <w:w w:val="105"/>
                <w:sz w:val="19"/>
              </w:rPr>
              <w:t>governmental</w:t>
            </w:r>
            <w:r>
              <w:rPr>
                <w:spacing w:val="-8"/>
                <w:w w:val="105"/>
                <w:sz w:val="19"/>
              </w:rPr>
              <w:t xml:space="preserve"> </w:t>
            </w:r>
            <w:r>
              <w:rPr>
                <w:w w:val="105"/>
                <w:sz w:val="19"/>
              </w:rPr>
              <w:t>plans</w:t>
            </w:r>
            <w:r>
              <w:rPr>
                <w:spacing w:val="-8"/>
                <w:w w:val="105"/>
                <w:sz w:val="19"/>
              </w:rPr>
              <w:t xml:space="preserve"> </w:t>
            </w:r>
            <w:r>
              <w:rPr>
                <w:w w:val="105"/>
                <w:sz w:val="19"/>
              </w:rPr>
              <w:t>that</w:t>
            </w:r>
            <w:r>
              <w:rPr>
                <w:spacing w:val="-2"/>
                <w:w w:val="105"/>
                <w:sz w:val="19"/>
              </w:rPr>
              <w:t xml:space="preserve"> </w:t>
            </w:r>
            <w:r>
              <w:rPr>
                <w:w w:val="105"/>
                <w:sz w:val="19"/>
              </w:rPr>
              <w:t>will conduct</w:t>
            </w:r>
            <w:r>
              <w:rPr>
                <w:spacing w:val="-3"/>
                <w:w w:val="105"/>
                <w:sz w:val="19"/>
              </w:rPr>
              <w:t xml:space="preserve"> </w:t>
            </w:r>
            <w:r>
              <w:rPr>
                <w:w w:val="105"/>
                <w:sz w:val="19"/>
              </w:rPr>
              <w:t>the comparative</w:t>
            </w:r>
            <w:r>
              <w:rPr>
                <w:spacing w:val="-7"/>
                <w:w w:val="105"/>
                <w:sz w:val="19"/>
              </w:rPr>
              <w:t xml:space="preserve"> </w:t>
            </w:r>
            <w:r>
              <w:rPr>
                <w:w w:val="105"/>
                <w:sz w:val="19"/>
              </w:rPr>
              <w:t>analysis</w:t>
            </w:r>
            <w:r>
              <w:rPr>
                <w:spacing w:val="-3"/>
                <w:w w:val="105"/>
                <w:sz w:val="19"/>
              </w:rPr>
              <w:t xml:space="preserve"> </w:t>
            </w:r>
            <w:r>
              <w:rPr>
                <w:spacing w:val="-2"/>
                <w:w w:val="105"/>
                <w:sz w:val="19"/>
              </w:rPr>
              <w:t>themselves</w:t>
            </w:r>
          </w:p>
        </w:tc>
        <w:tc>
          <w:tcPr>
            <w:tcW w:w="1257" w:type="dxa"/>
          </w:tcPr>
          <w:p>
            <w:pPr>
              <w:pStyle w:val="TableParagraph"/>
              <w:spacing w:before="131"/>
              <w:ind w:left="7" w:right="7"/>
              <w:jc w:val="center"/>
              <w:rPr>
                <w:sz w:val="19"/>
              </w:rPr>
            </w:pPr>
            <w:r>
              <w:rPr>
                <w:spacing w:val="-5"/>
                <w:w w:val="105"/>
                <w:sz w:val="19"/>
              </w:rPr>
              <w:t>505</w:t>
            </w:r>
          </w:p>
        </w:tc>
        <w:tc>
          <w:tcPr>
            <w:tcW w:w="1173" w:type="dxa"/>
          </w:tcPr>
          <w:p>
            <w:pPr>
              <w:pStyle w:val="TableParagraph"/>
              <w:spacing w:before="131"/>
              <w:ind w:left="14"/>
              <w:jc w:val="center"/>
              <w:rPr>
                <w:sz w:val="19"/>
              </w:rPr>
            </w:pPr>
            <w:r>
              <w:rPr>
                <w:spacing w:val="-5"/>
                <w:w w:val="105"/>
                <w:sz w:val="19"/>
              </w:rPr>
              <w:t>10</w:t>
            </w:r>
          </w:p>
        </w:tc>
        <w:tc>
          <w:tcPr>
            <w:tcW w:w="1780" w:type="dxa"/>
          </w:tcPr>
          <w:p>
            <w:pPr>
              <w:pStyle w:val="TableParagraph"/>
              <w:spacing w:before="131"/>
              <w:ind w:left="786"/>
              <w:rPr>
                <w:sz w:val="19"/>
              </w:rPr>
            </w:pPr>
            <w:r>
              <w:rPr>
                <w:spacing w:val="-5"/>
                <w:w w:val="105"/>
                <w:sz w:val="19"/>
              </w:rPr>
              <w:t>12</w:t>
            </w:r>
          </w:p>
        </w:tc>
      </w:tr>
      <w:tr>
        <w:tblPrEx>
          <w:tblW w:w="0" w:type="auto"/>
          <w:jc w:val="left"/>
          <w:tblInd w:w="370" w:type="dxa"/>
          <w:tblLayout w:type="fixed"/>
          <w:tblCellMar>
            <w:top w:w="0" w:type="dxa"/>
            <w:left w:w="0" w:type="dxa"/>
            <w:bottom w:w="0" w:type="dxa"/>
            <w:right w:w="0" w:type="dxa"/>
          </w:tblCellMar>
          <w:tblLook w:val="01E0"/>
        </w:tblPrEx>
        <w:trPr>
          <w:trHeight w:val="688"/>
          <w:jc w:val="left"/>
        </w:trPr>
        <w:tc>
          <w:tcPr>
            <w:tcW w:w="5127" w:type="dxa"/>
          </w:tcPr>
          <w:p>
            <w:pPr>
              <w:pStyle w:val="TableParagraph"/>
              <w:spacing w:before="10" w:line="247" w:lineRule="auto"/>
              <w:ind w:left="256" w:firstLine="466"/>
              <w:rPr>
                <w:sz w:val="19"/>
              </w:rPr>
            </w:pPr>
            <w:r>
              <w:rPr>
                <w:w w:val="105"/>
                <w:sz w:val="19"/>
              </w:rPr>
              <w:t>Self-funded</w:t>
            </w:r>
            <w:r>
              <w:rPr>
                <w:spacing w:val="-8"/>
                <w:w w:val="105"/>
                <w:sz w:val="19"/>
              </w:rPr>
              <w:t xml:space="preserve"> </w:t>
            </w:r>
            <w:r>
              <w:rPr>
                <w:w w:val="105"/>
                <w:sz w:val="19"/>
              </w:rPr>
              <w:t>non-Federal</w:t>
            </w:r>
            <w:r>
              <w:rPr>
                <w:spacing w:val="-6"/>
                <w:w w:val="105"/>
                <w:sz w:val="19"/>
              </w:rPr>
              <w:t xml:space="preserve"> </w:t>
            </w:r>
            <w:r>
              <w:rPr>
                <w:w w:val="105"/>
                <w:sz w:val="19"/>
              </w:rPr>
              <w:t>governmental</w:t>
            </w:r>
            <w:r>
              <w:rPr>
                <w:spacing w:val="-6"/>
                <w:w w:val="105"/>
                <w:sz w:val="19"/>
              </w:rPr>
              <w:t xml:space="preserve"> </w:t>
            </w:r>
            <w:r>
              <w:rPr>
                <w:w w:val="105"/>
                <w:sz w:val="19"/>
              </w:rPr>
              <w:t>plans</w:t>
            </w:r>
            <w:r>
              <w:rPr>
                <w:spacing w:val="-7"/>
                <w:w w:val="105"/>
                <w:sz w:val="19"/>
              </w:rPr>
              <w:t xml:space="preserve"> </w:t>
            </w:r>
            <w:r>
              <w:rPr>
                <w:w w:val="105"/>
                <w:sz w:val="19"/>
              </w:rPr>
              <w:t>that will initially</w:t>
            </w:r>
            <w:r>
              <w:rPr>
                <w:spacing w:val="-5"/>
                <w:w w:val="105"/>
                <w:sz w:val="19"/>
              </w:rPr>
              <w:t xml:space="preserve"> </w:t>
            </w:r>
            <w:r>
              <w:rPr>
                <w:w w:val="105"/>
                <w:sz w:val="19"/>
              </w:rPr>
              <w:t>receive a</w:t>
            </w:r>
            <w:r>
              <w:rPr>
                <w:spacing w:val="-7"/>
                <w:w w:val="105"/>
                <w:sz w:val="19"/>
              </w:rPr>
              <w:t xml:space="preserve"> </w:t>
            </w:r>
            <w:r>
              <w:rPr>
                <w:w w:val="105"/>
                <w:sz w:val="19"/>
              </w:rPr>
              <w:t>generic</w:t>
            </w:r>
            <w:r>
              <w:rPr>
                <w:spacing w:val="4"/>
                <w:w w:val="105"/>
                <w:sz w:val="19"/>
              </w:rPr>
              <w:t xml:space="preserve"> </w:t>
            </w:r>
            <w:r>
              <w:rPr>
                <w:w w:val="105"/>
                <w:sz w:val="19"/>
              </w:rPr>
              <w:t>comparative</w:t>
            </w:r>
            <w:r>
              <w:rPr>
                <w:spacing w:val="-1"/>
                <w:w w:val="105"/>
                <w:sz w:val="19"/>
              </w:rPr>
              <w:t xml:space="preserve"> </w:t>
            </w:r>
            <w:r>
              <w:rPr>
                <w:w w:val="105"/>
                <w:sz w:val="19"/>
              </w:rPr>
              <w:t>analysis</w:t>
            </w:r>
            <w:r>
              <w:rPr>
                <w:spacing w:val="-3"/>
                <w:w w:val="105"/>
                <w:sz w:val="19"/>
              </w:rPr>
              <w:t xml:space="preserve"> </w:t>
            </w:r>
            <w:r>
              <w:rPr>
                <w:w w:val="105"/>
                <w:sz w:val="19"/>
              </w:rPr>
              <w:t>from</w:t>
            </w:r>
            <w:r>
              <w:rPr>
                <w:spacing w:val="8"/>
                <w:w w:val="105"/>
                <w:sz w:val="19"/>
              </w:rPr>
              <w:t xml:space="preserve"> </w:t>
            </w:r>
            <w:r>
              <w:rPr>
                <w:w w:val="105"/>
                <w:sz w:val="19"/>
              </w:rPr>
              <w:t>a</w:t>
            </w:r>
            <w:r>
              <w:rPr>
                <w:spacing w:val="-7"/>
                <w:w w:val="105"/>
                <w:sz w:val="19"/>
              </w:rPr>
              <w:t xml:space="preserve"> </w:t>
            </w:r>
            <w:r>
              <w:rPr>
                <w:spacing w:val="-5"/>
                <w:w w:val="105"/>
                <w:sz w:val="19"/>
              </w:rPr>
              <w:t>TPA</w:t>
            </w:r>
          </w:p>
          <w:p>
            <w:pPr>
              <w:pStyle w:val="TableParagraph"/>
              <w:spacing w:before="10" w:line="198" w:lineRule="exact"/>
              <w:ind w:left="150"/>
              <w:rPr>
                <w:sz w:val="19"/>
              </w:rPr>
            </w:pPr>
            <w:r>
              <w:rPr>
                <w:w w:val="105"/>
                <w:sz w:val="19"/>
              </w:rPr>
              <w:t>that</w:t>
            </w:r>
            <w:r>
              <w:rPr>
                <w:spacing w:val="-2"/>
                <w:w w:val="105"/>
                <w:sz w:val="19"/>
              </w:rPr>
              <w:t xml:space="preserve"> </w:t>
            </w:r>
            <w:r>
              <w:rPr>
                <w:w w:val="105"/>
                <w:sz w:val="19"/>
              </w:rPr>
              <w:t>will</w:t>
            </w:r>
            <w:r>
              <w:rPr>
                <w:spacing w:val="-2"/>
                <w:w w:val="105"/>
                <w:sz w:val="19"/>
              </w:rPr>
              <w:t xml:space="preserve"> </w:t>
            </w:r>
            <w:r>
              <w:rPr>
                <w:w w:val="105"/>
                <w:sz w:val="19"/>
              </w:rPr>
              <w:t>require customizing</w:t>
            </w:r>
            <w:r>
              <w:rPr>
                <w:spacing w:val="-3"/>
                <w:w w:val="105"/>
                <w:sz w:val="19"/>
              </w:rPr>
              <w:t xml:space="preserve"> </w:t>
            </w:r>
            <w:r>
              <w:rPr>
                <w:w w:val="105"/>
                <w:sz w:val="19"/>
              </w:rPr>
              <w:t>to</w:t>
            </w:r>
            <w:r>
              <w:rPr>
                <w:spacing w:val="-4"/>
                <w:w w:val="105"/>
                <w:sz w:val="19"/>
              </w:rPr>
              <w:t xml:space="preserve"> </w:t>
            </w:r>
            <w:r>
              <w:rPr>
                <w:w w:val="105"/>
                <w:sz w:val="19"/>
              </w:rPr>
              <w:t>suit</w:t>
            </w:r>
            <w:r>
              <w:rPr>
                <w:spacing w:val="-2"/>
                <w:w w:val="105"/>
                <w:sz w:val="19"/>
              </w:rPr>
              <w:t xml:space="preserve"> </w:t>
            </w:r>
            <w:r>
              <w:rPr>
                <w:w w:val="105"/>
                <w:sz w:val="19"/>
              </w:rPr>
              <w:t>the</w:t>
            </w:r>
            <w:r>
              <w:rPr>
                <w:spacing w:val="1"/>
                <w:w w:val="105"/>
                <w:sz w:val="19"/>
              </w:rPr>
              <w:t xml:space="preserve"> </w:t>
            </w:r>
            <w:r>
              <w:rPr>
                <w:w w:val="105"/>
                <w:sz w:val="19"/>
              </w:rPr>
              <w:t>plan’s</w:t>
            </w:r>
            <w:r>
              <w:rPr>
                <w:spacing w:val="-3"/>
                <w:w w:val="105"/>
                <w:sz w:val="19"/>
              </w:rPr>
              <w:t xml:space="preserve"> </w:t>
            </w:r>
            <w:r>
              <w:rPr>
                <w:w w:val="105"/>
                <w:sz w:val="19"/>
              </w:rPr>
              <w:t>specific</w:t>
            </w:r>
            <w:r>
              <w:rPr>
                <w:spacing w:val="-6"/>
                <w:w w:val="105"/>
                <w:sz w:val="19"/>
              </w:rPr>
              <w:t xml:space="preserve"> </w:t>
            </w:r>
            <w:r>
              <w:rPr>
                <w:spacing w:val="-2"/>
                <w:w w:val="105"/>
                <w:sz w:val="19"/>
              </w:rPr>
              <w:t>needs</w:t>
            </w:r>
          </w:p>
        </w:tc>
        <w:tc>
          <w:tcPr>
            <w:tcW w:w="1257" w:type="dxa"/>
          </w:tcPr>
          <w:p>
            <w:pPr>
              <w:pStyle w:val="TableParagraph"/>
              <w:spacing w:before="18"/>
              <w:rPr>
                <w:b/>
                <w:sz w:val="19"/>
              </w:rPr>
            </w:pPr>
          </w:p>
          <w:p>
            <w:pPr>
              <w:pStyle w:val="TableParagraph"/>
              <w:ind w:left="7"/>
              <w:jc w:val="center"/>
              <w:rPr>
                <w:sz w:val="19"/>
              </w:rPr>
            </w:pPr>
            <w:r>
              <w:rPr>
                <w:spacing w:val="-2"/>
                <w:w w:val="105"/>
                <w:sz w:val="19"/>
              </w:rPr>
              <w:t>2,906</w:t>
            </w:r>
          </w:p>
        </w:tc>
        <w:tc>
          <w:tcPr>
            <w:tcW w:w="1173" w:type="dxa"/>
          </w:tcPr>
          <w:p>
            <w:pPr>
              <w:pStyle w:val="TableParagraph"/>
              <w:spacing w:before="18"/>
              <w:rPr>
                <w:b/>
                <w:sz w:val="19"/>
              </w:rPr>
            </w:pPr>
          </w:p>
          <w:p>
            <w:pPr>
              <w:pStyle w:val="TableParagraph"/>
              <w:ind w:left="14"/>
              <w:jc w:val="center"/>
              <w:rPr>
                <w:sz w:val="19"/>
              </w:rPr>
            </w:pPr>
            <w:r>
              <w:rPr>
                <w:spacing w:val="-5"/>
                <w:w w:val="105"/>
                <w:sz w:val="19"/>
              </w:rPr>
              <w:t>10</w:t>
            </w:r>
          </w:p>
        </w:tc>
        <w:tc>
          <w:tcPr>
            <w:tcW w:w="1780" w:type="dxa"/>
          </w:tcPr>
          <w:p>
            <w:pPr>
              <w:pStyle w:val="TableParagraph"/>
              <w:spacing w:before="18"/>
              <w:rPr>
                <w:b/>
                <w:sz w:val="19"/>
              </w:rPr>
            </w:pPr>
          </w:p>
          <w:p>
            <w:pPr>
              <w:pStyle w:val="TableParagraph"/>
              <w:ind w:left="835"/>
              <w:rPr>
                <w:sz w:val="19"/>
              </w:rPr>
            </w:pPr>
            <w:r>
              <w:rPr>
                <w:spacing w:val="-10"/>
                <w:w w:val="105"/>
                <w:sz w:val="19"/>
              </w:rPr>
              <w:t>6</w:t>
            </w:r>
          </w:p>
        </w:tc>
      </w:tr>
      <w:tr>
        <w:tblPrEx>
          <w:tblW w:w="0" w:type="auto"/>
          <w:jc w:val="left"/>
          <w:tblInd w:w="370" w:type="dxa"/>
          <w:tblLayout w:type="fixed"/>
          <w:tblCellMar>
            <w:top w:w="0" w:type="dxa"/>
            <w:left w:w="0" w:type="dxa"/>
            <w:bottom w:w="0" w:type="dxa"/>
            <w:right w:w="0" w:type="dxa"/>
          </w:tblCellMar>
          <w:tblLook w:val="01E0"/>
        </w:tblPrEx>
        <w:trPr>
          <w:trHeight w:val="448"/>
          <w:jc w:val="left"/>
        </w:trPr>
        <w:tc>
          <w:tcPr>
            <w:tcW w:w="5127" w:type="dxa"/>
          </w:tcPr>
          <w:p>
            <w:pPr>
              <w:pStyle w:val="TableParagraph"/>
              <w:spacing w:before="117"/>
              <w:ind w:right="107"/>
              <w:jc w:val="right"/>
              <w:rPr>
                <w:sz w:val="19"/>
              </w:rPr>
            </w:pPr>
            <w:r>
              <w:rPr>
                <w:spacing w:val="-4"/>
                <w:w w:val="105"/>
                <w:sz w:val="19"/>
              </w:rPr>
              <w:t>TPAs</w:t>
            </w:r>
          </w:p>
        </w:tc>
        <w:tc>
          <w:tcPr>
            <w:tcW w:w="1257" w:type="dxa"/>
          </w:tcPr>
          <w:p>
            <w:pPr>
              <w:pStyle w:val="TableParagraph"/>
              <w:spacing w:before="117"/>
              <w:ind w:left="7" w:right="7"/>
              <w:jc w:val="center"/>
              <w:rPr>
                <w:sz w:val="19"/>
              </w:rPr>
            </w:pPr>
            <w:r>
              <w:rPr>
                <w:spacing w:val="-5"/>
                <w:w w:val="105"/>
                <w:sz w:val="19"/>
              </w:rPr>
              <w:t>103</w:t>
            </w:r>
          </w:p>
        </w:tc>
        <w:tc>
          <w:tcPr>
            <w:tcW w:w="1173" w:type="dxa"/>
          </w:tcPr>
          <w:p>
            <w:pPr>
              <w:pStyle w:val="TableParagraph"/>
              <w:spacing w:before="117"/>
              <w:ind w:left="14"/>
              <w:jc w:val="center"/>
              <w:rPr>
                <w:sz w:val="19"/>
              </w:rPr>
            </w:pPr>
            <w:r>
              <w:rPr>
                <w:spacing w:val="-5"/>
                <w:w w:val="105"/>
                <w:sz w:val="19"/>
              </w:rPr>
              <w:t>10</w:t>
            </w:r>
          </w:p>
        </w:tc>
        <w:tc>
          <w:tcPr>
            <w:tcW w:w="1780" w:type="dxa"/>
          </w:tcPr>
          <w:p>
            <w:pPr>
              <w:pStyle w:val="TableParagraph"/>
              <w:spacing w:before="117"/>
              <w:ind w:left="786"/>
              <w:rPr>
                <w:sz w:val="19"/>
              </w:rPr>
            </w:pPr>
            <w:r>
              <w:rPr>
                <w:spacing w:val="-5"/>
                <w:w w:val="105"/>
                <w:sz w:val="19"/>
              </w:rPr>
              <w:t>12</w:t>
            </w:r>
          </w:p>
        </w:tc>
      </w:tr>
    </w:tbl>
    <w:p>
      <w:pPr>
        <w:pStyle w:val="BodyText"/>
        <w:spacing w:before="3"/>
        <w:rPr>
          <w:b/>
        </w:rPr>
      </w:pPr>
    </w:p>
    <w:p>
      <w:pPr>
        <w:pStyle w:val="BodyText"/>
        <w:ind w:left="791" w:right="32"/>
      </w:pPr>
      <w:r>
        <w:t>In summary, we estimate that for all 4,981 entities, the total burden in the first year will be 2,116,800 hours with an equivalent cost of approximately $354.5 million.</w:t>
      </w:r>
      <w:hyperlink w:anchor="_bookmark14" w:history="1">
        <w:r>
          <w:rPr>
            <w:vertAlign w:val="superscript"/>
          </w:rPr>
          <w:t>15</w:t>
        </w:r>
      </w:hyperlink>
      <w:r>
        <w:rPr>
          <w:vertAlign w:val="baseline"/>
        </w:rPr>
        <w:t xml:space="preserve"> In subsequent years, we estimate the total annual burden for all issuers, plan sponsors, and TPAs</w:t>
      </w:r>
      <w:r>
        <w:rPr>
          <w:spacing w:val="-1"/>
          <w:vertAlign w:val="baseline"/>
        </w:rPr>
        <w:t xml:space="preserve"> </w:t>
      </w:r>
      <w:r>
        <w:rPr>
          <w:vertAlign w:val="baseline"/>
        </w:rPr>
        <w:t>will be 423,360 hours, with an equivalent cost of approximately $70.9 million.</w:t>
      </w:r>
      <w:hyperlink w:anchor="_bookmark15" w:history="1">
        <w:r>
          <w:rPr>
            <w:vertAlign w:val="superscript"/>
          </w:rPr>
          <w:t>16</w:t>
        </w:r>
      </w:hyperlink>
      <w:r>
        <w:rPr>
          <w:vertAlign w:val="baseline"/>
        </w:rPr>
        <w:t xml:space="preserve"> We estimate the average</w:t>
      </w:r>
      <w:r>
        <w:rPr>
          <w:spacing w:val="-4"/>
          <w:vertAlign w:val="baseline"/>
        </w:rPr>
        <w:t xml:space="preserve"> </w:t>
      </w:r>
      <w:r>
        <w:rPr>
          <w:vertAlign w:val="baseline"/>
        </w:rPr>
        <w:t>burden</w:t>
      </w:r>
      <w:r>
        <w:rPr>
          <w:spacing w:val="-3"/>
          <w:vertAlign w:val="baseline"/>
        </w:rPr>
        <w:t xml:space="preserve"> </w:t>
      </w:r>
      <w:r>
        <w:rPr>
          <w:vertAlign w:val="baseline"/>
        </w:rPr>
        <w:t>over</w:t>
      </w:r>
      <w:r>
        <w:rPr>
          <w:spacing w:val="-5"/>
          <w:vertAlign w:val="baseline"/>
        </w:rPr>
        <w:t xml:space="preserve"> </w:t>
      </w:r>
      <w:r>
        <w:rPr>
          <w:vertAlign w:val="baseline"/>
        </w:rPr>
        <w:t>3</w:t>
      </w:r>
      <w:r>
        <w:rPr>
          <w:spacing w:val="-2"/>
          <w:vertAlign w:val="baseline"/>
        </w:rPr>
        <w:t xml:space="preserve"> </w:t>
      </w:r>
      <w:r>
        <w:rPr>
          <w:vertAlign w:val="baseline"/>
        </w:rPr>
        <w:t>years</w:t>
      </w:r>
      <w:r>
        <w:rPr>
          <w:spacing w:val="-4"/>
          <w:vertAlign w:val="baseline"/>
        </w:rPr>
        <w:t xml:space="preserve"> </w:t>
      </w:r>
      <w:r>
        <w:rPr>
          <w:vertAlign w:val="baseline"/>
        </w:rPr>
        <w:t>will</w:t>
      </w:r>
      <w:r>
        <w:rPr>
          <w:spacing w:val="-5"/>
          <w:vertAlign w:val="baseline"/>
        </w:rPr>
        <w:t xml:space="preserve"> </w:t>
      </w:r>
      <w:r>
        <w:rPr>
          <w:vertAlign w:val="baseline"/>
        </w:rPr>
        <w:t>be</w:t>
      </w:r>
      <w:r>
        <w:rPr>
          <w:spacing w:val="-3"/>
          <w:vertAlign w:val="baseline"/>
        </w:rPr>
        <w:t xml:space="preserve"> </w:t>
      </w:r>
      <w:r>
        <w:rPr>
          <w:vertAlign w:val="baseline"/>
        </w:rPr>
        <w:t>approximately</w:t>
      </w:r>
      <w:r>
        <w:rPr>
          <w:spacing w:val="-2"/>
          <w:vertAlign w:val="baseline"/>
        </w:rPr>
        <w:t xml:space="preserve"> </w:t>
      </w:r>
      <w:r>
        <w:rPr>
          <w:vertAlign w:val="baseline"/>
        </w:rPr>
        <w:t>987,840</w:t>
      </w:r>
      <w:r>
        <w:rPr>
          <w:spacing w:val="-2"/>
          <w:vertAlign w:val="baseline"/>
        </w:rPr>
        <w:t xml:space="preserve"> </w:t>
      </w:r>
      <w:r>
        <w:rPr>
          <w:vertAlign w:val="baseline"/>
        </w:rPr>
        <w:t>hours, with</w:t>
      </w:r>
      <w:r>
        <w:rPr>
          <w:spacing w:val="-2"/>
          <w:vertAlign w:val="baseline"/>
        </w:rPr>
        <w:t xml:space="preserve"> </w:t>
      </w:r>
      <w:r>
        <w:rPr>
          <w:vertAlign w:val="baseline"/>
        </w:rPr>
        <w:t>an</w:t>
      </w:r>
      <w:r>
        <w:rPr>
          <w:spacing w:val="-9"/>
          <w:vertAlign w:val="baseline"/>
        </w:rPr>
        <w:t xml:space="preserve"> </w:t>
      </w:r>
      <w:r>
        <w:rPr>
          <w:vertAlign w:val="baseline"/>
        </w:rPr>
        <w:t>equivalent</w:t>
      </w:r>
      <w:r>
        <w:rPr>
          <w:spacing w:val="-5"/>
          <w:vertAlign w:val="baseline"/>
        </w:rPr>
        <w:t xml:space="preserve"> </w:t>
      </w:r>
      <w:r>
        <w:rPr>
          <w:vertAlign w:val="baseline"/>
        </w:rPr>
        <w:t>cost</w:t>
      </w:r>
      <w:r>
        <w:rPr>
          <w:spacing w:val="-5"/>
          <w:vertAlign w:val="baseline"/>
        </w:rPr>
        <w:t xml:space="preserve"> </w:t>
      </w:r>
      <w:r>
        <w:rPr>
          <w:vertAlign w:val="baseline"/>
        </w:rPr>
        <w:t>of approximately $165.4 million.</w:t>
      </w:r>
    </w:p>
    <w:p>
      <w:pPr>
        <w:pStyle w:val="BodyText"/>
        <w:rPr>
          <w:sz w:val="20"/>
        </w:rPr>
      </w:pPr>
    </w:p>
    <w:p>
      <w:pPr>
        <w:pStyle w:val="BodyText"/>
        <w:rPr>
          <w:sz w:val="20"/>
        </w:rPr>
      </w:pPr>
    </w:p>
    <w:p>
      <w:pPr>
        <w:pStyle w:val="BodyText"/>
        <w:rPr>
          <w:sz w:val="20"/>
        </w:rPr>
      </w:pPr>
    </w:p>
    <w:p>
      <w:pPr>
        <w:pStyle w:val="BodyText"/>
        <w:spacing w:before="32"/>
        <w:rPr>
          <w:sz w:val="20"/>
        </w:rPr>
      </w:pPr>
      <w:r>
        <w:rPr>
          <w:sz w:val="20"/>
        </w:rPr>
        <mc:AlternateContent>
          <mc:Choice Requires="wps">
            <w:drawing>
              <wp:anchor distT="0" distB="0" distL="0" distR="0" simplePos="0" relativeHeight="251670528" behindDoc="1" locked="0" layoutInCell="1" allowOverlap="1">
                <wp:simplePos x="0" y="0"/>
                <wp:positionH relativeFrom="page">
                  <wp:posOffset>914996</wp:posOffset>
                </wp:positionH>
                <wp:positionV relativeFrom="paragraph">
                  <wp:posOffset>181878</wp:posOffset>
                </wp:positionV>
                <wp:extent cx="1830070" cy="5080"/>
                <wp:effectExtent l="0" t="0" r="0" b="0"/>
                <wp:wrapTopAndBottom/>
                <wp:docPr id="8" name="Graphic 8"/>
                <wp:cNvGraphicFramePr/>
                <a:graphic xmlns:a="http://schemas.openxmlformats.org/drawingml/2006/main">
                  <a:graphicData uri="http://schemas.microsoft.com/office/word/2010/wordprocessingShape">
                    <wps:wsp xmlns:wps="http://schemas.microsoft.com/office/word/2010/wordprocessingShape">
                      <wps:cNvSpPr/>
                      <wps:spPr>
                        <a:xfrm>
                          <a:off x="0" y="0"/>
                          <a:ext cx="1830070" cy="5080"/>
                        </a:xfrm>
                        <a:custGeom>
                          <a:avLst/>
                          <a:gdLst/>
                          <a:rect l="l" t="t" r="r" b="b"/>
                          <a:pathLst>
                            <a:path fill="norm" h="5080" w="1830070" stroke="1">
                              <a:moveTo>
                                <a:pt x="1829689" y="0"/>
                              </a:moveTo>
                              <a:lnTo>
                                <a:pt x="0" y="0"/>
                              </a:lnTo>
                              <a:lnTo>
                                <a:pt x="0" y="4482"/>
                              </a:lnTo>
                              <a:lnTo>
                                <a:pt x="1829689" y="4482"/>
                              </a:lnTo>
                              <a:lnTo>
                                <a:pt x="1829689" y="0"/>
                              </a:lnTo>
                              <a:close/>
                            </a:path>
                          </a:pathLst>
                        </a:custGeom>
                        <a:solidFill>
                          <a:srgbClr val="000000"/>
                        </a:solidFill>
                      </wps:spPr>
                      <wps:bodyPr wrap="square" lIns="0" tIns="0" rIns="0" bIns="0" rtlCol="0">
                        <a:prstTxWarp prst="textNoShape">
                          <a:avLst/>
                        </a:prstTxWarp>
                      </wps:bodyPr>
                    </wps:wsp>
                  </a:graphicData>
                </a:graphic>
              </wp:anchor>
            </w:drawing>
          </mc:Choice>
          <mc:Fallback>
            <w:pict>
              <v:rect id="_x0000_s1031" style="width:144.07pt;height:0.35pt;margin-top:14.32pt;margin-left:72.05pt;mso-position-horizontal-relative:page;mso-wrap-distance-left:0;mso-wrap-distance-right:0;position:absolute;z-index:-251644928" filled="t" fillcolor="black" stroked="f">
                <v:fill type="solid"/>
                <w10:wrap type="topAndBottom"/>
              </v:rect>
            </w:pict>
          </mc:Fallback>
        </mc:AlternateContent>
      </w:r>
    </w:p>
    <w:p>
      <w:pPr>
        <w:spacing w:before="91" w:line="254" w:lineRule="auto"/>
        <w:ind w:left="360" w:right="83" w:firstLine="0"/>
        <w:jc w:val="left"/>
        <w:rPr>
          <w:sz w:val="19"/>
        </w:rPr>
      </w:pPr>
      <w:bookmarkStart w:id="30" w:name="_bookmark14"/>
      <w:bookmarkEnd w:id="30"/>
      <w:r>
        <w:rPr>
          <w:w w:val="105"/>
          <w:sz w:val="19"/>
          <w:vertAlign w:val="superscript"/>
        </w:rPr>
        <w:t>15</w:t>
      </w:r>
      <w:r>
        <w:rPr>
          <w:w w:val="105"/>
          <w:sz w:val="19"/>
          <w:vertAlign w:val="baseline"/>
        </w:rPr>
        <w:t xml:space="preserve"> The burden is estimated as follows: (1,467 issuers × 10 NQTLs x 60 hours for a team of lawyers, actuaries, and data analysts)</w:t>
      </w:r>
      <w:r>
        <w:rPr>
          <w:spacing w:val="-6"/>
          <w:w w:val="105"/>
          <w:sz w:val="19"/>
          <w:vertAlign w:val="baseline"/>
        </w:rPr>
        <w:t xml:space="preserve"> </w:t>
      </w:r>
      <w:r>
        <w:rPr>
          <w:w w:val="105"/>
          <w:sz w:val="19"/>
          <w:vertAlign w:val="baseline"/>
        </w:rPr>
        <w:t>+ ([505</w:t>
      </w:r>
      <w:r>
        <w:rPr>
          <w:spacing w:val="-3"/>
          <w:w w:val="105"/>
          <w:sz w:val="19"/>
          <w:vertAlign w:val="baseline"/>
        </w:rPr>
        <w:t xml:space="preserve"> </w:t>
      </w:r>
      <w:r>
        <w:rPr>
          <w:w w:val="105"/>
          <w:sz w:val="19"/>
          <w:vertAlign w:val="baseline"/>
        </w:rPr>
        <w:t>self-funded</w:t>
      </w:r>
      <w:r>
        <w:rPr>
          <w:spacing w:val="-4"/>
          <w:w w:val="105"/>
          <w:sz w:val="19"/>
          <w:vertAlign w:val="baseline"/>
        </w:rPr>
        <w:t xml:space="preserve"> </w:t>
      </w:r>
      <w:r>
        <w:rPr>
          <w:w w:val="105"/>
          <w:sz w:val="19"/>
          <w:vertAlign w:val="baseline"/>
        </w:rPr>
        <w:t>non-Federal</w:t>
      </w:r>
      <w:r>
        <w:rPr>
          <w:spacing w:val="-2"/>
          <w:w w:val="105"/>
          <w:sz w:val="19"/>
          <w:vertAlign w:val="baseline"/>
        </w:rPr>
        <w:t xml:space="preserve"> </w:t>
      </w:r>
      <w:r>
        <w:rPr>
          <w:w w:val="105"/>
          <w:sz w:val="19"/>
          <w:vertAlign w:val="baseline"/>
        </w:rPr>
        <w:t>governmental</w:t>
      </w:r>
      <w:r>
        <w:rPr>
          <w:spacing w:val="-2"/>
          <w:w w:val="105"/>
          <w:sz w:val="19"/>
          <w:vertAlign w:val="baseline"/>
        </w:rPr>
        <w:t xml:space="preserve"> </w:t>
      </w:r>
      <w:r>
        <w:rPr>
          <w:w w:val="105"/>
          <w:sz w:val="19"/>
          <w:vertAlign w:val="baseline"/>
        </w:rPr>
        <w:t>plans</w:t>
      </w:r>
      <w:r>
        <w:rPr>
          <w:spacing w:val="-3"/>
          <w:w w:val="105"/>
          <w:sz w:val="19"/>
          <w:vertAlign w:val="baseline"/>
        </w:rPr>
        <w:t xml:space="preserve"> </w:t>
      </w:r>
      <w:r>
        <w:rPr>
          <w:w w:val="105"/>
          <w:sz w:val="19"/>
          <w:vertAlign w:val="baseline"/>
        </w:rPr>
        <w:t>+</w:t>
      </w:r>
      <w:r>
        <w:rPr>
          <w:spacing w:val="-2"/>
          <w:w w:val="105"/>
          <w:sz w:val="19"/>
          <w:vertAlign w:val="baseline"/>
        </w:rPr>
        <w:t xml:space="preserve"> </w:t>
      </w:r>
      <w:r>
        <w:rPr>
          <w:w w:val="105"/>
          <w:sz w:val="19"/>
          <w:vertAlign w:val="baseline"/>
        </w:rPr>
        <w:t>103 TPAs]</w:t>
      </w:r>
      <w:r>
        <w:rPr>
          <w:spacing w:val="-6"/>
          <w:w w:val="105"/>
          <w:sz w:val="19"/>
          <w:vertAlign w:val="baseline"/>
        </w:rPr>
        <w:t xml:space="preserve"> </w:t>
      </w:r>
      <w:r>
        <w:rPr>
          <w:w w:val="105"/>
          <w:sz w:val="19"/>
          <w:vertAlign w:val="baseline"/>
        </w:rPr>
        <w:t>× 10</w:t>
      </w:r>
      <w:r>
        <w:rPr>
          <w:spacing w:val="-4"/>
          <w:w w:val="105"/>
          <w:sz w:val="19"/>
          <w:vertAlign w:val="baseline"/>
        </w:rPr>
        <w:t xml:space="preserve"> </w:t>
      </w:r>
      <w:r>
        <w:rPr>
          <w:w w:val="105"/>
          <w:sz w:val="19"/>
          <w:vertAlign w:val="baseline"/>
        </w:rPr>
        <w:t>NQTLs</w:t>
      </w:r>
      <w:r>
        <w:rPr>
          <w:spacing w:val="-3"/>
          <w:w w:val="105"/>
          <w:sz w:val="19"/>
          <w:vertAlign w:val="baseline"/>
        </w:rPr>
        <w:t xml:space="preserve"> </w:t>
      </w:r>
      <w:r>
        <w:rPr>
          <w:w w:val="105"/>
          <w:sz w:val="19"/>
          <w:vertAlign w:val="baseline"/>
        </w:rPr>
        <w:t>x</w:t>
      </w:r>
      <w:r>
        <w:rPr>
          <w:spacing w:val="-4"/>
          <w:w w:val="105"/>
          <w:sz w:val="19"/>
          <w:vertAlign w:val="baseline"/>
        </w:rPr>
        <w:t xml:space="preserve"> </w:t>
      </w:r>
      <w:r>
        <w:rPr>
          <w:w w:val="105"/>
          <w:sz w:val="19"/>
          <w:vertAlign w:val="baseline"/>
        </w:rPr>
        <w:t>60 hours for</w:t>
      </w:r>
      <w:r>
        <w:rPr>
          <w:spacing w:val="-6"/>
          <w:w w:val="105"/>
          <w:sz w:val="19"/>
          <w:vertAlign w:val="baseline"/>
        </w:rPr>
        <w:t xml:space="preserve"> </w:t>
      </w:r>
      <w:r>
        <w:rPr>
          <w:w w:val="105"/>
          <w:sz w:val="19"/>
          <w:vertAlign w:val="baseline"/>
        </w:rPr>
        <w:t>a</w:t>
      </w:r>
      <w:r>
        <w:rPr>
          <w:spacing w:val="-7"/>
          <w:w w:val="105"/>
          <w:sz w:val="19"/>
          <w:vertAlign w:val="baseline"/>
        </w:rPr>
        <w:t xml:space="preserve"> </w:t>
      </w:r>
      <w:r>
        <w:rPr>
          <w:w w:val="105"/>
          <w:sz w:val="19"/>
          <w:vertAlign w:val="baseline"/>
        </w:rPr>
        <w:t>team of lawyers, actuaries, and data analysts) + (2,906 self-funded non-Federal governmental plans × 10 NQTLs x 30 hours for a team of lawyers, actuaries, and data analysts) = 2,116,800 hours. A composite median labor rate of</w:t>
      </w:r>
    </w:p>
    <w:p>
      <w:pPr>
        <w:spacing w:before="0" w:line="252" w:lineRule="auto"/>
        <w:ind w:left="360" w:right="106" w:firstLine="0"/>
        <w:jc w:val="both"/>
        <w:rPr>
          <w:sz w:val="19"/>
        </w:rPr>
      </w:pPr>
      <w:r>
        <w:rPr>
          <w:w w:val="105"/>
          <w:sz w:val="19"/>
        </w:rPr>
        <w:t>$167.48</w:t>
      </w:r>
      <w:r>
        <w:rPr>
          <w:spacing w:val="-3"/>
          <w:w w:val="105"/>
          <w:sz w:val="19"/>
        </w:rPr>
        <w:t xml:space="preserve"> </w:t>
      </w:r>
      <w:r>
        <w:rPr>
          <w:w w:val="105"/>
          <w:sz w:val="19"/>
        </w:rPr>
        <w:t>is applied</w:t>
      </w:r>
      <w:r>
        <w:rPr>
          <w:spacing w:val="-4"/>
          <w:w w:val="105"/>
          <w:sz w:val="19"/>
        </w:rPr>
        <w:t xml:space="preserve"> </w:t>
      </w:r>
      <w:r>
        <w:rPr>
          <w:w w:val="105"/>
          <w:sz w:val="19"/>
        </w:rPr>
        <w:t>in</w:t>
      </w:r>
      <w:r>
        <w:rPr>
          <w:spacing w:val="-4"/>
          <w:w w:val="105"/>
          <w:sz w:val="19"/>
        </w:rPr>
        <w:t xml:space="preserve"> </w:t>
      </w:r>
      <w:r>
        <w:rPr>
          <w:w w:val="105"/>
          <w:sz w:val="19"/>
        </w:rPr>
        <w:t>the calculation</w:t>
      </w:r>
      <w:r>
        <w:rPr>
          <w:spacing w:val="-4"/>
          <w:w w:val="105"/>
          <w:sz w:val="19"/>
        </w:rPr>
        <w:t xml:space="preserve"> </w:t>
      </w:r>
      <w:r>
        <w:rPr>
          <w:w w:val="105"/>
          <w:sz w:val="19"/>
        </w:rPr>
        <w:t>as:</w:t>
      </w:r>
      <w:r>
        <w:rPr>
          <w:spacing w:val="-2"/>
          <w:w w:val="105"/>
          <w:sz w:val="19"/>
        </w:rPr>
        <w:t xml:space="preserve"> </w:t>
      </w:r>
      <w:r>
        <w:rPr>
          <w:w w:val="105"/>
          <w:sz w:val="19"/>
        </w:rPr>
        <w:t>(1,467</w:t>
      </w:r>
      <w:r>
        <w:rPr>
          <w:spacing w:val="-4"/>
          <w:w w:val="105"/>
          <w:sz w:val="19"/>
        </w:rPr>
        <w:t xml:space="preserve"> </w:t>
      </w:r>
      <w:r>
        <w:rPr>
          <w:w w:val="105"/>
          <w:sz w:val="19"/>
        </w:rPr>
        <w:t>issuers</w:t>
      </w:r>
      <w:r>
        <w:rPr>
          <w:spacing w:val="-1"/>
          <w:w w:val="105"/>
          <w:sz w:val="19"/>
        </w:rPr>
        <w:t xml:space="preserve"> </w:t>
      </w:r>
      <w:r>
        <w:rPr>
          <w:w w:val="105"/>
          <w:sz w:val="19"/>
        </w:rPr>
        <w:t>×</w:t>
      </w:r>
      <w:r>
        <w:rPr>
          <w:spacing w:val="-2"/>
          <w:w w:val="105"/>
          <w:sz w:val="19"/>
        </w:rPr>
        <w:t xml:space="preserve"> </w:t>
      </w:r>
      <w:r>
        <w:rPr>
          <w:w w:val="105"/>
          <w:sz w:val="19"/>
        </w:rPr>
        <w:t>10 NQTLs</w:t>
      </w:r>
      <w:r>
        <w:rPr>
          <w:spacing w:val="-3"/>
          <w:w w:val="105"/>
          <w:sz w:val="19"/>
        </w:rPr>
        <w:t xml:space="preserve"> </w:t>
      </w:r>
      <w:r>
        <w:rPr>
          <w:w w:val="105"/>
          <w:sz w:val="19"/>
        </w:rPr>
        <w:t>x 60</w:t>
      </w:r>
      <w:r>
        <w:rPr>
          <w:spacing w:val="-3"/>
          <w:w w:val="105"/>
          <w:sz w:val="19"/>
        </w:rPr>
        <w:t xml:space="preserve"> </w:t>
      </w:r>
      <w:r>
        <w:rPr>
          <w:w w:val="105"/>
          <w:sz w:val="19"/>
        </w:rPr>
        <w:t>hours</w:t>
      </w:r>
      <w:r>
        <w:rPr>
          <w:spacing w:val="-3"/>
          <w:w w:val="105"/>
          <w:sz w:val="19"/>
        </w:rPr>
        <w:t xml:space="preserve"> </w:t>
      </w:r>
      <w:r>
        <w:rPr>
          <w:w w:val="105"/>
          <w:sz w:val="19"/>
        </w:rPr>
        <w:t>for a</w:t>
      </w:r>
      <w:r>
        <w:rPr>
          <w:spacing w:val="-5"/>
          <w:w w:val="105"/>
          <w:sz w:val="19"/>
        </w:rPr>
        <w:t xml:space="preserve"> </w:t>
      </w:r>
      <w:r>
        <w:rPr>
          <w:w w:val="105"/>
          <w:sz w:val="19"/>
        </w:rPr>
        <w:t>team of</w:t>
      </w:r>
      <w:r>
        <w:rPr>
          <w:spacing w:val="-6"/>
          <w:w w:val="105"/>
          <w:sz w:val="19"/>
        </w:rPr>
        <w:t xml:space="preserve"> </w:t>
      </w:r>
      <w:r>
        <w:rPr>
          <w:w w:val="105"/>
          <w:sz w:val="19"/>
        </w:rPr>
        <w:t>lawyers, actuaries,</w:t>
      </w:r>
      <w:r>
        <w:rPr>
          <w:spacing w:val="-4"/>
          <w:w w:val="105"/>
          <w:sz w:val="19"/>
        </w:rPr>
        <w:t xml:space="preserve"> </w:t>
      </w:r>
      <w:r>
        <w:rPr>
          <w:w w:val="105"/>
          <w:sz w:val="19"/>
        </w:rPr>
        <w:t>and data analysts</w:t>
      </w:r>
      <w:r>
        <w:rPr>
          <w:spacing w:val="-2"/>
          <w:w w:val="105"/>
          <w:sz w:val="19"/>
        </w:rPr>
        <w:t xml:space="preserve"> </w:t>
      </w:r>
      <w:r>
        <w:rPr>
          <w:w w:val="105"/>
          <w:sz w:val="19"/>
        </w:rPr>
        <w:t>×</w:t>
      </w:r>
      <w:r>
        <w:rPr>
          <w:spacing w:val="-2"/>
          <w:w w:val="105"/>
          <w:sz w:val="19"/>
        </w:rPr>
        <w:t xml:space="preserve"> </w:t>
      </w:r>
      <w:r>
        <w:rPr>
          <w:w w:val="105"/>
          <w:sz w:val="19"/>
        </w:rPr>
        <w:t>$167.48)</w:t>
      </w:r>
      <w:r>
        <w:rPr>
          <w:spacing w:val="-6"/>
          <w:w w:val="105"/>
          <w:sz w:val="19"/>
        </w:rPr>
        <w:t xml:space="preserve"> </w:t>
      </w:r>
      <w:r>
        <w:rPr>
          <w:w w:val="105"/>
          <w:sz w:val="19"/>
        </w:rPr>
        <w:t>+ ([505</w:t>
      </w:r>
      <w:r>
        <w:rPr>
          <w:spacing w:val="-3"/>
          <w:w w:val="105"/>
          <w:sz w:val="19"/>
        </w:rPr>
        <w:t xml:space="preserve"> </w:t>
      </w:r>
      <w:r>
        <w:rPr>
          <w:w w:val="105"/>
          <w:sz w:val="19"/>
        </w:rPr>
        <w:t>self-funded</w:t>
      </w:r>
      <w:r>
        <w:rPr>
          <w:spacing w:val="-4"/>
          <w:w w:val="105"/>
          <w:sz w:val="19"/>
        </w:rPr>
        <w:t xml:space="preserve"> </w:t>
      </w:r>
      <w:r>
        <w:rPr>
          <w:w w:val="105"/>
          <w:sz w:val="19"/>
        </w:rPr>
        <w:t>non-Federal</w:t>
      </w:r>
      <w:r>
        <w:rPr>
          <w:spacing w:val="-2"/>
          <w:w w:val="105"/>
          <w:sz w:val="19"/>
        </w:rPr>
        <w:t xml:space="preserve"> </w:t>
      </w:r>
      <w:r>
        <w:rPr>
          <w:w w:val="105"/>
          <w:sz w:val="19"/>
        </w:rPr>
        <w:t>governmental</w:t>
      </w:r>
      <w:r>
        <w:rPr>
          <w:spacing w:val="-2"/>
          <w:w w:val="105"/>
          <w:sz w:val="19"/>
        </w:rPr>
        <w:t xml:space="preserve"> </w:t>
      </w:r>
      <w:r>
        <w:rPr>
          <w:w w:val="105"/>
          <w:sz w:val="19"/>
        </w:rPr>
        <w:t>plans +</w:t>
      </w:r>
      <w:r>
        <w:rPr>
          <w:spacing w:val="-2"/>
          <w:w w:val="105"/>
          <w:sz w:val="19"/>
        </w:rPr>
        <w:t xml:space="preserve"> </w:t>
      </w:r>
      <w:r>
        <w:rPr>
          <w:w w:val="105"/>
          <w:sz w:val="19"/>
        </w:rPr>
        <w:t>103 TPAs]</w:t>
      </w:r>
      <w:r>
        <w:rPr>
          <w:spacing w:val="-4"/>
          <w:w w:val="105"/>
          <w:sz w:val="19"/>
        </w:rPr>
        <w:t xml:space="preserve"> </w:t>
      </w:r>
      <w:r>
        <w:rPr>
          <w:w w:val="105"/>
          <w:sz w:val="19"/>
        </w:rPr>
        <w:t>×</w:t>
      </w:r>
      <w:r>
        <w:rPr>
          <w:spacing w:val="-2"/>
          <w:w w:val="105"/>
          <w:sz w:val="19"/>
        </w:rPr>
        <w:t xml:space="preserve"> </w:t>
      </w:r>
      <w:r>
        <w:rPr>
          <w:w w:val="105"/>
          <w:sz w:val="19"/>
        </w:rPr>
        <w:t>10</w:t>
      </w:r>
      <w:r>
        <w:rPr>
          <w:spacing w:val="-3"/>
          <w:w w:val="105"/>
          <w:sz w:val="19"/>
        </w:rPr>
        <w:t xml:space="preserve"> </w:t>
      </w:r>
      <w:r>
        <w:rPr>
          <w:w w:val="105"/>
          <w:sz w:val="19"/>
        </w:rPr>
        <w:t>NQTLs</w:t>
      </w:r>
      <w:r>
        <w:rPr>
          <w:spacing w:val="-3"/>
          <w:w w:val="105"/>
          <w:sz w:val="19"/>
        </w:rPr>
        <w:t xml:space="preserve"> </w:t>
      </w:r>
      <w:r>
        <w:rPr>
          <w:w w:val="105"/>
          <w:sz w:val="19"/>
        </w:rPr>
        <w:t>x</w:t>
      </w:r>
      <w:r>
        <w:rPr>
          <w:spacing w:val="-3"/>
          <w:w w:val="105"/>
          <w:sz w:val="19"/>
        </w:rPr>
        <w:t xml:space="preserve"> </w:t>
      </w:r>
      <w:r>
        <w:rPr>
          <w:w w:val="105"/>
          <w:sz w:val="19"/>
        </w:rPr>
        <w:t>60 hours for a</w:t>
      </w:r>
      <w:r>
        <w:rPr>
          <w:spacing w:val="-5"/>
          <w:w w:val="105"/>
          <w:sz w:val="19"/>
        </w:rPr>
        <w:t xml:space="preserve"> </w:t>
      </w:r>
      <w:r>
        <w:rPr>
          <w:w w:val="105"/>
          <w:sz w:val="19"/>
        </w:rPr>
        <w:t>team</w:t>
      </w:r>
      <w:r>
        <w:rPr>
          <w:spacing w:val="-1"/>
          <w:w w:val="105"/>
          <w:sz w:val="19"/>
        </w:rPr>
        <w:t xml:space="preserve"> </w:t>
      </w:r>
      <w:r>
        <w:rPr>
          <w:w w:val="105"/>
          <w:sz w:val="19"/>
        </w:rPr>
        <w:t>of</w:t>
      </w:r>
      <w:r>
        <w:rPr>
          <w:spacing w:val="-5"/>
          <w:w w:val="105"/>
          <w:sz w:val="19"/>
        </w:rPr>
        <w:t xml:space="preserve"> </w:t>
      </w:r>
      <w:r>
        <w:rPr>
          <w:w w:val="105"/>
          <w:sz w:val="19"/>
        </w:rPr>
        <w:t>lawyers, actuaries,</w:t>
      </w:r>
      <w:r>
        <w:rPr>
          <w:spacing w:val="-3"/>
          <w:w w:val="105"/>
          <w:sz w:val="19"/>
        </w:rPr>
        <w:t xml:space="preserve"> </w:t>
      </w:r>
      <w:r>
        <w:rPr>
          <w:w w:val="105"/>
          <w:sz w:val="19"/>
        </w:rPr>
        <w:t>and</w:t>
      </w:r>
      <w:r>
        <w:rPr>
          <w:spacing w:val="-3"/>
          <w:w w:val="105"/>
          <w:sz w:val="19"/>
        </w:rPr>
        <w:t xml:space="preserve"> </w:t>
      </w:r>
      <w:r>
        <w:rPr>
          <w:w w:val="105"/>
          <w:sz w:val="19"/>
        </w:rPr>
        <w:t>data analysts ×</w:t>
      </w:r>
      <w:r>
        <w:rPr>
          <w:spacing w:val="-1"/>
          <w:w w:val="105"/>
          <w:sz w:val="19"/>
        </w:rPr>
        <w:t xml:space="preserve"> </w:t>
      </w:r>
      <w:r>
        <w:rPr>
          <w:w w:val="105"/>
          <w:sz w:val="19"/>
        </w:rPr>
        <w:t>$167.48)</w:t>
      </w:r>
      <w:r>
        <w:rPr>
          <w:spacing w:val="-4"/>
          <w:w w:val="105"/>
          <w:sz w:val="19"/>
        </w:rPr>
        <w:t xml:space="preserve"> </w:t>
      </w:r>
      <w:r>
        <w:rPr>
          <w:w w:val="105"/>
          <w:sz w:val="19"/>
        </w:rPr>
        <w:t>+ (2,906 self-funded</w:t>
      </w:r>
      <w:r>
        <w:rPr>
          <w:spacing w:val="-3"/>
          <w:w w:val="105"/>
          <w:sz w:val="19"/>
        </w:rPr>
        <w:t xml:space="preserve"> </w:t>
      </w:r>
      <w:r>
        <w:rPr>
          <w:w w:val="105"/>
          <w:sz w:val="19"/>
        </w:rPr>
        <w:t>non-Federal</w:t>
      </w:r>
      <w:r>
        <w:rPr>
          <w:spacing w:val="-1"/>
          <w:w w:val="105"/>
          <w:sz w:val="19"/>
        </w:rPr>
        <w:t xml:space="preserve"> </w:t>
      </w:r>
      <w:r>
        <w:rPr>
          <w:w w:val="105"/>
          <w:sz w:val="19"/>
        </w:rPr>
        <w:t>governmental</w:t>
      </w:r>
      <w:r>
        <w:rPr>
          <w:spacing w:val="-1"/>
          <w:w w:val="105"/>
          <w:sz w:val="19"/>
        </w:rPr>
        <w:t xml:space="preserve"> </w:t>
      </w:r>
      <w:r>
        <w:rPr>
          <w:w w:val="105"/>
          <w:sz w:val="19"/>
        </w:rPr>
        <w:t>plans</w:t>
      </w:r>
    </w:p>
    <w:p>
      <w:pPr>
        <w:spacing w:before="0" w:line="215" w:lineRule="exact"/>
        <w:ind w:left="360" w:right="0" w:firstLine="0"/>
        <w:jc w:val="both"/>
        <w:rPr>
          <w:sz w:val="19"/>
        </w:rPr>
      </w:pPr>
      <w:r>
        <w:rPr>
          <w:w w:val="105"/>
          <w:sz w:val="19"/>
        </w:rPr>
        <w:t>×</w:t>
      </w:r>
      <w:r>
        <w:rPr>
          <w:spacing w:val="-2"/>
          <w:w w:val="105"/>
          <w:sz w:val="19"/>
        </w:rPr>
        <w:t xml:space="preserve"> </w:t>
      </w:r>
      <w:r>
        <w:rPr>
          <w:w w:val="105"/>
          <w:sz w:val="19"/>
        </w:rPr>
        <w:t>10</w:t>
      </w:r>
      <w:r>
        <w:rPr>
          <w:spacing w:val="-3"/>
          <w:w w:val="105"/>
          <w:sz w:val="19"/>
        </w:rPr>
        <w:t xml:space="preserve"> </w:t>
      </w:r>
      <w:r>
        <w:rPr>
          <w:w w:val="105"/>
          <w:sz w:val="19"/>
        </w:rPr>
        <w:t>NQTLs</w:t>
      </w:r>
      <w:r>
        <w:rPr>
          <w:spacing w:val="-2"/>
          <w:w w:val="105"/>
          <w:sz w:val="19"/>
        </w:rPr>
        <w:t xml:space="preserve"> </w:t>
      </w:r>
      <w:r>
        <w:rPr>
          <w:w w:val="105"/>
          <w:sz w:val="19"/>
        </w:rPr>
        <w:t>x</w:t>
      </w:r>
      <w:r>
        <w:rPr>
          <w:spacing w:val="6"/>
          <w:w w:val="105"/>
          <w:sz w:val="19"/>
        </w:rPr>
        <w:t xml:space="preserve"> </w:t>
      </w:r>
      <w:r>
        <w:rPr>
          <w:w w:val="105"/>
          <w:sz w:val="19"/>
        </w:rPr>
        <w:t>30</w:t>
      </w:r>
      <w:r>
        <w:rPr>
          <w:spacing w:val="-3"/>
          <w:w w:val="105"/>
          <w:sz w:val="19"/>
        </w:rPr>
        <w:t xml:space="preserve"> </w:t>
      </w:r>
      <w:r>
        <w:rPr>
          <w:w w:val="105"/>
          <w:sz w:val="19"/>
        </w:rPr>
        <w:t>hours</w:t>
      </w:r>
      <w:r>
        <w:rPr>
          <w:spacing w:val="-3"/>
          <w:w w:val="105"/>
          <w:sz w:val="19"/>
        </w:rPr>
        <w:t xml:space="preserve"> </w:t>
      </w:r>
      <w:r>
        <w:rPr>
          <w:w w:val="105"/>
          <w:sz w:val="19"/>
        </w:rPr>
        <w:t>for</w:t>
      </w:r>
      <w:r>
        <w:rPr>
          <w:spacing w:val="2"/>
          <w:w w:val="105"/>
          <w:sz w:val="19"/>
        </w:rPr>
        <w:t xml:space="preserve"> </w:t>
      </w:r>
      <w:r>
        <w:rPr>
          <w:w w:val="105"/>
          <w:sz w:val="19"/>
        </w:rPr>
        <w:t>a</w:t>
      </w:r>
      <w:r>
        <w:rPr>
          <w:spacing w:val="-6"/>
          <w:w w:val="105"/>
          <w:sz w:val="19"/>
        </w:rPr>
        <w:t xml:space="preserve"> </w:t>
      </w:r>
      <w:r>
        <w:rPr>
          <w:w w:val="105"/>
          <w:sz w:val="19"/>
        </w:rPr>
        <w:t>team</w:t>
      </w:r>
      <w:r>
        <w:rPr>
          <w:spacing w:val="-1"/>
          <w:w w:val="105"/>
          <w:sz w:val="19"/>
        </w:rPr>
        <w:t xml:space="preserve"> </w:t>
      </w:r>
      <w:r>
        <w:rPr>
          <w:w w:val="105"/>
          <w:sz w:val="19"/>
        </w:rPr>
        <w:t>of</w:t>
      </w:r>
      <w:r>
        <w:rPr>
          <w:spacing w:val="2"/>
          <w:w w:val="105"/>
          <w:sz w:val="19"/>
        </w:rPr>
        <w:t xml:space="preserve"> </w:t>
      </w:r>
      <w:r>
        <w:rPr>
          <w:w w:val="105"/>
          <w:sz w:val="19"/>
        </w:rPr>
        <w:t>lawyers,</w:t>
      </w:r>
      <w:r>
        <w:rPr>
          <w:spacing w:val="-3"/>
          <w:w w:val="105"/>
          <w:sz w:val="19"/>
        </w:rPr>
        <w:t xml:space="preserve"> </w:t>
      </w:r>
      <w:r>
        <w:rPr>
          <w:w w:val="105"/>
          <w:sz w:val="19"/>
        </w:rPr>
        <w:t>actuaries,</w:t>
      </w:r>
      <w:r>
        <w:rPr>
          <w:spacing w:val="-3"/>
          <w:w w:val="105"/>
          <w:sz w:val="19"/>
        </w:rPr>
        <w:t xml:space="preserve"> </w:t>
      </w:r>
      <w:r>
        <w:rPr>
          <w:w w:val="105"/>
          <w:sz w:val="19"/>
        </w:rPr>
        <w:t>and</w:t>
      </w:r>
      <w:r>
        <w:rPr>
          <w:spacing w:val="-3"/>
          <w:w w:val="105"/>
          <w:sz w:val="19"/>
        </w:rPr>
        <w:t xml:space="preserve"> </w:t>
      </w:r>
      <w:r>
        <w:rPr>
          <w:w w:val="105"/>
          <w:sz w:val="19"/>
        </w:rPr>
        <w:t>data analysts</w:t>
      </w:r>
      <w:r>
        <w:rPr>
          <w:spacing w:val="12"/>
          <w:w w:val="105"/>
          <w:sz w:val="19"/>
        </w:rPr>
        <w:t xml:space="preserve"> </w:t>
      </w:r>
      <w:r>
        <w:rPr>
          <w:w w:val="105"/>
          <w:sz w:val="19"/>
        </w:rPr>
        <w:t>x</w:t>
      </w:r>
      <w:r>
        <w:rPr>
          <w:spacing w:val="-3"/>
          <w:w w:val="105"/>
          <w:sz w:val="19"/>
        </w:rPr>
        <w:t xml:space="preserve"> </w:t>
      </w:r>
      <w:r>
        <w:rPr>
          <w:w w:val="105"/>
          <w:sz w:val="19"/>
        </w:rPr>
        <w:t>$167.48)</w:t>
      </w:r>
      <w:r>
        <w:rPr>
          <w:spacing w:val="-5"/>
          <w:w w:val="105"/>
          <w:sz w:val="19"/>
        </w:rPr>
        <w:t xml:space="preserve"> </w:t>
      </w:r>
      <w:r>
        <w:rPr>
          <w:w w:val="105"/>
          <w:sz w:val="19"/>
        </w:rPr>
        <w:t>=</w:t>
      </w:r>
      <w:r>
        <w:rPr>
          <w:spacing w:val="5"/>
          <w:w w:val="105"/>
          <w:sz w:val="19"/>
        </w:rPr>
        <w:t xml:space="preserve"> </w:t>
      </w:r>
      <w:r>
        <w:rPr>
          <w:spacing w:val="-2"/>
          <w:w w:val="105"/>
          <w:sz w:val="19"/>
        </w:rPr>
        <w:t>$354,521,644.</w:t>
      </w:r>
    </w:p>
    <w:p>
      <w:pPr>
        <w:spacing w:before="13" w:line="254" w:lineRule="auto"/>
        <w:ind w:left="360" w:right="83" w:firstLine="0"/>
        <w:jc w:val="left"/>
        <w:rPr>
          <w:sz w:val="19"/>
        </w:rPr>
      </w:pPr>
      <w:bookmarkStart w:id="31" w:name="_bookmark15"/>
      <w:bookmarkEnd w:id="31"/>
      <w:r>
        <w:rPr>
          <w:w w:val="105"/>
          <w:sz w:val="19"/>
          <w:vertAlign w:val="superscript"/>
        </w:rPr>
        <w:t>16</w:t>
      </w:r>
      <w:r>
        <w:rPr>
          <w:w w:val="105"/>
          <w:sz w:val="19"/>
          <w:vertAlign w:val="baseline"/>
        </w:rPr>
        <w:t xml:space="preserve"> The burden is estimated as follows: (1,467 issuers × 10 NQTLs x 12 hours for a team of lawyers, actuaries, and data analysts)</w:t>
      </w:r>
      <w:r>
        <w:rPr>
          <w:spacing w:val="-6"/>
          <w:w w:val="105"/>
          <w:sz w:val="19"/>
          <w:vertAlign w:val="baseline"/>
        </w:rPr>
        <w:t xml:space="preserve"> </w:t>
      </w:r>
      <w:r>
        <w:rPr>
          <w:w w:val="105"/>
          <w:sz w:val="19"/>
          <w:vertAlign w:val="baseline"/>
        </w:rPr>
        <w:t>+ ([505</w:t>
      </w:r>
      <w:r>
        <w:rPr>
          <w:spacing w:val="-3"/>
          <w:w w:val="105"/>
          <w:sz w:val="19"/>
          <w:vertAlign w:val="baseline"/>
        </w:rPr>
        <w:t xml:space="preserve"> </w:t>
      </w:r>
      <w:r>
        <w:rPr>
          <w:w w:val="105"/>
          <w:sz w:val="19"/>
          <w:vertAlign w:val="baseline"/>
        </w:rPr>
        <w:t>self-funded</w:t>
      </w:r>
      <w:r>
        <w:rPr>
          <w:spacing w:val="-4"/>
          <w:w w:val="105"/>
          <w:sz w:val="19"/>
          <w:vertAlign w:val="baseline"/>
        </w:rPr>
        <w:t xml:space="preserve"> </w:t>
      </w:r>
      <w:r>
        <w:rPr>
          <w:w w:val="105"/>
          <w:sz w:val="19"/>
          <w:vertAlign w:val="baseline"/>
        </w:rPr>
        <w:t>non-Federal</w:t>
      </w:r>
      <w:r>
        <w:rPr>
          <w:spacing w:val="-2"/>
          <w:w w:val="105"/>
          <w:sz w:val="19"/>
          <w:vertAlign w:val="baseline"/>
        </w:rPr>
        <w:t xml:space="preserve"> </w:t>
      </w:r>
      <w:r>
        <w:rPr>
          <w:w w:val="105"/>
          <w:sz w:val="19"/>
          <w:vertAlign w:val="baseline"/>
        </w:rPr>
        <w:t>governmental</w:t>
      </w:r>
      <w:r>
        <w:rPr>
          <w:spacing w:val="-2"/>
          <w:w w:val="105"/>
          <w:sz w:val="19"/>
          <w:vertAlign w:val="baseline"/>
        </w:rPr>
        <w:t xml:space="preserve"> </w:t>
      </w:r>
      <w:r>
        <w:rPr>
          <w:w w:val="105"/>
          <w:sz w:val="19"/>
          <w:vertAlign w:val="baseline"/>
        </w:rPr>
        <w:t>plans +</w:t>
      </w:r>
      <w:r>
        <w:rPr>
          <w:spacing w:val="-2"/>
          <w:w w:val="105"/>
          <w:sz w:val="19"/>
          <w:vertAlign w:val="baseline"/>
        </w:rPr>
        <w:t xml:space="preserve"> </w:t>
      </w:r>
      <w:r>
        <w:rPr>
          <w:w w:val="105"/>
          <w:sz w:val="19"/>
          <w:vertAlign w:val="baseline"/>
        </w:rPr>
        <w:t>103 TPAs]</w:t>
      </w:r>
      <w:r>
        <w:rPr>
          <w:spacing w:val="-4"/>
          <w:w w:val="105"/>
          <w:sz w:val="19"/>
          <w:vertAlign w:val="baseline"/>
        </w:rPr>
        <w:t xml:space="preserve"> </w:t>
      </w:r>
      <w:r>
        <w:rPr>
          <w:w w:val="105"/>
          <w:sz w:val="19"/>
          <w:vertAlign w:val="baseline"/>
        </w:rPr>
        <w:t>× 10</w:t>
      </w:r>
      <w:r>
        <w:rPr>
          <w:spacing w:val="-4"/>
          <w:w w:val="105"/>
          <w:sz w:val="19"/>
          <w:vertAlign w:val="baseline"/>
        </w:rPr>
        <w:t xml:space="preserve"> </w:t>
      </w:r>
      <w:r>
        <w:rPr>
          <w:w w:val="105"/>
          <w:sz w:val="19"/>
          <w:vertAlign w:val="baseline"/>
        </w:rPr>
        <w:t>NQTLs</w:t>
      </w:r>
      <w:r>
        <w:rPr>
          <w:spacing w:val="-3"/>
          <w:w w:val="105"/>
          <w:sz w:val="19"/>
          <w:vertAlign w:val="baseline"/>
        </w:rPr>
        <w:t xml:space="preserve"> </w:t>
      </w:r>
      <w:r>
        <w:rPr>
          <w:w w:val="105"/>
          <w:sz w:val="19"/>
          <w:vertAlign w:val="baseline"/>
        </w:rPr>
        <w:t>x</w:t>
      </w:r>
      <w:r>
        <w:rPr>
          <w:spacing w:val="-3"/>
          <w:w w:val="105"/>
          <w:sz w:val="19"/>
          <w:vertAlign w:val="baseline"/>
        </w:rPr>
        <w:t xml:space="preserve"> </w:t>
      </w:r>
      <w:r>
        <w:rPr>
          <w:w w:val="105"/>
          <w:sz w:val="19"/>
          <w:vertAlign w:val="baseline"/>
        </w:rPr>
        <w:t>12 hours for</w:t>
      </w:r>
      <w:r>
        <w:rPr>
          <w:spacing w:val="-6"/>
          <w:w w:val="105"/>
          <w:sz w:val="19"/>
          <w:vertAlign w:val="baseline"/>
        </w:rPr>
        <w:t xml:space="preserve"> </w:t>
      </w:r>
      <w:r>
        <w:rPr>
          <w:w w:val="105"/>
          <w:sz w:val="19"/>
          <w:vertAlign w:val="baseline"/>
        </w:rPr>
        <w:t>a</w:t>
      </w:r>
      <w:r>
        <w:rPr>
          <w:spacing w:val="-6"/>
          <w:w w:val="105"/>
          <w:sz w:val="19"/>
          <w:vertAlign w:val="baseline"/>
        </w:rPr>
        <w:t xml:space="preserve"> </w:t>
      </w:r>
      <w:r>
        <w:rPr>
          <w:w w:val="105"/>
          <w:sz w:val="19"/>
          <w:vertAlign w:val="baseline"/>
        </w:rPr>
        <w:t>team of lawyers, actuaries, and data analysts) + (2,906 self-funded non-Federal governmental plans × 10 NQTLs x 6 hours for a team of lawyers, actuaries, and data analysts) = 423,360 hours. A composite median labor rate of</w:t>
      </w:r>
    </w:p>
    <w:p>
      <w:pPr>
        <w:spacing w:before="0" w:line="252" w:lineRule="auto"/>
        <w:ind w:left="360" w:right="106" w:firstLine="0"/>
        <w:jc w:val="both"/>
        <w:rPr>
          <w:sz w:val="19"/>
        </w:rPr>
      </w:pPr>
      <w:r>
        <w:rPr>
          <w:w w:val="105"/>
          <w:sz w:val="19"/>
        </w:rPr>
        <w:t>$167.48</w:t>
      </w:r>
      <w:r>
        <w:rPr>
          <w:spacing w:val="-3"/>
          <w:w w:val="105"/>
          <w:sz w:val="19"/>
        </w:rPr>
        <w:t xml:space="preserve"> </w:t>
      </w:r>
      <w:r>
        <w:rPr>
          <w:w w:val="105"/>
          <w:sz w:val="19"/>
        </w:rPr>
        <w:t>is applied</w:t>
      </w:r>
      <w:r>
        <w:rPr>
          <w:spacing w:val="-4"/>
          <w:w w:val="105"/>
          <w:sz w:val="19"/>
        </w:rPr>
        <w:t xml:space="preserve"> </w:t>
      </w:r>
      <w:r>
        <w:rPr>
          <w:w w:val="105"/>
          <w:sz w:val="19"/>
        </w:rPr>
        <w:t>in</w:t>
      </w:r>
      <w:r>
        <w:rPr>
          <w:spacing w:val="-4"/>
          <w:w w:val="105"/>
          <w:sz w:val="19"/>
        </w:rPr>
        <w:t xml:space="preserve"> </w:t>
      </w:r>
      <w:r>
        <w:rPr>
          <w:w w:val="105"/>
          <w:sz w:val="19"/>
        </w:rPr>
        <w:t>the calculation</w:t>
      </w:r>
      <w:r>
        <w:rPr>
          <w:spacing w:val="-4"/>
          <w:w w:val="105"/>
          <w:sz w:val="19"/>
        </w:rPr>
        <w:t xml:space="preserve"> </w:t>
      </w:r>
      <w:r>
        <w:rPr>
          <w:w w:val="105"/>
          <w:sz w:val="19"/>
        </w:rPr>
        <w:t>as:</w:t>
      </w:r>
      <w:r>
        <w:rPr>
          <w:spacing w:val="-2"/>
          <w:w w:val="105"/>
          <w:sz w:val="19"/>
        </w:rPr>
        <w:t xml:space="preserve"> </w:t>
      </w:r>
      <w:r>
        <w:rPr>
          <w:w w:val="105"/>
          <w:sz w:val="19"/>
        </w:rPr>
        <w:t>(1,467</w:t>
      </w:r>
      <w:r>
        <w:rPr>
          <w:spacing w:val="-4"/>
          <w:w w:val="105"/>
          <w:sz w:val="19"/>
        </w:rPr>
        <w:t xml:space="preserve"> </w:t>
      </w:r>
      <w:r>
        <w:rPr>
          <w:w w:val="105"/>
          <w:sz w:val="19"/>
        </w:rPr>
        <w:t>issuers</w:t>
      </w:r>
      <w:r>
        <w:rPr>
          <w:spacing w:val="-1"/>
          <w:w w:val="105"/>
          <w:sz w:val="19"/>
        </w:rPr>
        <w:t xml:space="preserve"> </w:t>
      </w:r>
      <w:r>
        <w:rPr>
          <w:w w:val="105"/>
          <w:sz w:val="19"/>
        </w:rPr>
        <w:t>×</w:t>
      </w:r>
      <w:r>
        <w:rPr>
          <w:spacing w:val="-2"/>
          <w:w w:val="105"/>
          <w:sz w:val="19"/>
        </w:rPr>
        <w:t xml:space="preserve"> </w:t>
      </w:r>
      <w:r>
        <w:rPr>
          <w:w w:val="105"/>
          <w:sz w:val="19"/>
        </w:rPr>
        <w:t>10 NQTLs</w:t>
      </w:r>
      <w:r>
        <w:rPr>
          <w:spacing w:val="-3"/>
          <w:w w:val="105"/>
          <w:sz w:val="19"/>
        </w:rPr>
        <w:t xml:space="preserve"> </w:t>
      </w:r>
      <w:r>
        <w:rPr>
          <w:w w:val="105"/>
          <w:sz w:val="19"/>
        </w:rPr>
        <w:t>x 12</w:t>
      </w:r>
      <w:r>
        <w:rPr>
          <w:spacing w:val="-3"/>
          <w:w w:val="105"/>
          <w:sz w:val="19"/>
        </w:rPr>
        <w:t xml:space="preserve"> </w:t>
      </w:r>
      <w:r>
        <w:rPr>
          <w:w w:val="105"/>
          <w:sz w:val="19"/>
        </w:rPr>
        <w:t>hours</w:t>
      </w:r>
      <w:r>
        <w:rPr>
          <w:spacing w:val="-3"/>
          <w:w w:val="105"/>
          <w:sz w:val="19"/>
        </w:rPr>
        <w:t xml:space="preserve"> </w:t>
      </w:r>
      <w:r>
        <w:rPr>
          <w:w w:val="105"/>
          <w:sz w:val="19"/>
        </w:rPr>
        <w:t>for a</w:t>
      </w:r>
      <w:r>
        <w:rPr>
          <w:spacing w:val="-5"/>
          <w:w w:val="105"/>
          <w:sz w:val="19"/>
        </w:rPr>
        <w:t xml:space="preserve"> </w:t>
      </w:r>
      <w:r>
        <w:rPr>
          <w:w w:val="105"/>
          <w:sz w:val="19"/>
        </w:rPr>
        <w:t>team of</w:t>
      </w:r>
      <w:r>
        <w:rPr>
          <w:spacing w:val="-6"/>
          <w:w w:val="105"/>
          <w:sz w:val="19"/>
        </w:rPr>
        <w:t xml:space="preserve"> </w:t>
      </w:r>
      <w:r>
        <w:rPr>
          <w:w w:val="105"/>
          <w:sz w:val="19"/>
        </w:rPr>
        <w:t>lawyers, actuaries,</w:t>
      </w:r>
      <w:r>
        <w:rPr>
          <w:spacing w:val="-4"/>
          <w:w w:val="105"/>
          <w:sz w:val="19"/>
        </w:rPr>
        <w:t xml:space="preserve"> </w:t>
      </w:r>
      <w:r>
        <w:rPr>
          <w:w w:val="105"/>
          <w:sz w:val="19"/>
        </w:rPr>
        <w:t>and data analysts</w:t>
      </w:r>
      <w:r>
        <w:rPr>
          <w:spacing w:val="-2"/>
          <w:w w:val="105"/>
          <w:sz w:val="19"/>
        </w:rPr>
        <w:t xml:space="preserve"> </w:t>
      </w:r>
      <w:r>
        <w:rPr>
          <w:w w:val="105"/>
          <w:sz w:val="19"/>
        </w:rPr>
        <w:t>×</w:t>
      </w:r>
      <w:r>
        <w:rPr>
          <w:spacing w:val="-2"/>
          <w:w w:val="105"/>
          <w:sz w:val="19"/>
        </w:rPr>
        <w:t xml:space="preserve"> </w:t>
      </w:r>
      <w:r>
        <w:rPr>
          <w:w w:val="105"/>
          <w:sz w:val="19"/>
        </w:rPr>
        <w:t>$167.48)</w:t>
      </w:r>
      <w:r>
        <w:rPr>
          <w:spacing w:val="-6"/>
          <w:w w:val="105"/>
          <w:sz w:val="19"/>
        </w:rPr>
        <w:t xml:space="preserve"> </w:t>
      </w:r>
      <w:r>
        <w:rPr>
          <w:w w:val="105"/>
          <w:sz w:val="19"/>
        </w:rPr>
        <w:t>+ ([505</w:t>
      </w:r>
      <w:r>
        <w:rPr>
          <w:spacing w:val="-3"/>
          <w:w w:val="105"/>
          <w:sz w:val="19"/>
        </w:rPr>
        <w:t xml:space="preserve"> </w:t>
      </w:r>
      <w:r>
        <w:rPr>
          <w:w w:val="105"/>
          <w:sz w:val="19"/>
        </w:rPr>
        <w:t>self-funded</w:t>
      </w:r>
      <w:r>
        <w:rPr>
          <w:spacing w:val="-4"/>
          <w:w w:val="105"/>
          <w:sz w:val="19"/>
        </w:rPr>
        <w:t xml:space="preserve"> </w:t>
      </w:r>
      <w:r>
        <w:rPr>
          <w:w w:val="105"/>
          <w:sz w:val="19"/>
        </w:rPr>
        <w:t>non-Federal</w:t>
      </w:r>
      <w:r>
        <w:rPr>
          <w:spacing w:val="-2"/>
          <w:w w:val="105"/>
          <w:sz w:val="19"/>
        </w:rPr>
        <w:t xml:space="preserve"> </w:t>
      </w:r>
      <w:r>
        <w:rPr>
          <w:w w:val="105"/>
          <w:sz w:val="19"/>
        </w:rPr>
        <w:t>governmental</w:t>
      </w:r>
      <w:r>
        <w:rPr>
          <w:spacing w:val="-2"/>
          <w:w w:val="105"/>
          <w:sz w:val="19"/>
        </w:rPr>
        <w:t xml:space="preserve"> </w:t>
      </w:r>
      <w:r>
        <w:rPr>
          <w:w w:val="105"/>
          <w:sz w:val="19"/>
        </w:rPr>
        <w:t>plans +</w:t>
      </w:r>
      <w:r>
        <w:rPr>
          <w:spacing w:val="-2"/>
          <w:w w:val="105"/>
          <w:sz w:val="19"/>
        </w:rPr>
        <w:t xml:space="preserve"> </w:t>
      </w:r>
      <w:r>
        <w:rPr>
          <w:w w:val="105"/>
          <w:sz w:val="19"/>
        </w:rPr>
        <w:t>103 TPAs]</w:t>
      </w:r>
      <w:r>
        <w:rPr>
          <w:spacing w:val="-4"/>
          <w:w w:val="105"/>
          <w:sz w:val="19"/>
        </w:rPr>
        <w:t xml:space="preserve"> </w:t>
      </w:r>
      <w:r>
        <w:rPr>
          <w:w w:val="105"/>
          <w:sz w:val="19"/>
        </w:rPr>
        <w:t>×</w:t>
      </w:r>
      <w:r>
        <w:rPr>
          <w:spacing w:val="-2"/>
          <w:w w:val="105"/>
          <w:sz w:val="19"/>
        </w:rPr>
        <w:t xml:space="preserve"> </w:t>
      </w:r>
      <w:r>
        <w:rPr>
          <w:w w:val="105"/>
          <w:sz w:val="19"/>
        </w:rPr>
        <w:t>10</w:t>
      </w:r>
      <w:r>
        <w:rPr>
          <w:spacing w:val="-3"/>
          <w:w w:val="105"/>
          <w:sz w:val="19"/>
        </w:rPr>
        <w:t xml:space="preserve"> </w:t>
      </w:r>
      <w:r>
        <w:rPr>
          <w:w w:val="105"/>
          <w:sz w:val="19"/>
        </w:rPr>
        <w:t>NQTLs</w:t>
      </w:r>
      <w:r>
        <w:rPr>
          <w:spacing w:val="-3"/>
          <w:w w:val="105"/>
          <w:sz w:val="19"/>
        </w:rPr>
        <w:t xml:space="preserve"> </w:t>
      </w:r>
      <w:r>
        <w:rPr>
          <w:w w:val="105"/>
          <w:sz w:val="19"/>
        </w:rPr>
        <w:t>x</w:t>
      </w:r>
      <w:r>
        <w:rPr>
          <w:spacing w:val="-3"/>
          <w:w w:val="105"/>
          <w:sz w:val="19"/>
        </w:rPr>
        <w:t xml:space="preserve"> </w:t>
      </w:r>
      <w:r>
        <w:rPr>
          <w:w w:val="105"/>
          <w:sz w:val="19"/>
        </w:rPr>
        <w:t>12 hours for a</w:t>
      </w:r>
      <w:r>
        <w:rPr>
          <w:spacing w:val="-5"/>
          <w:w w:val="105"/>
          <w:sz w:val="19"/>
        </w:rPr>
        <w:t xml:space="preserve"> </w:t>
      </w:r>
      <w:r>
        <w:rPr>
          <w:w w:val="105"/>
          <w:sz w:val="19"/>
        </w:rPr>
        <w:t>team</w:t>
      </w:r>
      <w:r>
        <w:rPr>
          <w:spacing w:val="-1"/>
          <w:w w:val="105"/>
          <w:sz w:val="19"/>
        </w:rPr>
        <w:t xml:space="preserve"> </w:t>
      </w:r>
      <w:r>
        <w:rPr>
          <w:w w:val="105"/>
          <w:sz w:val="19"/>
        </w:rPr>
        <w:t>of</w:t>
      </w:r>
      <w:r>
        <w:rPr>
          <w:spacing w:val="-5"/>
          <w:w w:val="105"/>
          <w:sz w:val="19"/>
        </w:rPr>
        <w:t xml:space="preserve"> </w:t>
      </w:r>
      <w:r>
        <w:rPr>
          <w:w w:val="105"/>
          <w:sz w:val="19"/>
        </w:rPr>
        <w:t>lawyers, actuaries,</w:t>
      </w:r>
      <w:r>
        <w:rPr>
          <w:spacing w:val="-3"/>
          <w:w w:val="105"/>
          <w:sz w:val="19"/>
        </w:rPr>
        <w:t xml:space="preserve"> </w:t>
      </w:r>
      <w:r>
        <w:rPr>
          <w:w w:val="105"/>
          <w:sz w:val="19"/>
        </w:rPr>
        <w:t>and</w:t>
      </w:r>
      <w:r>
        <w:rPr>
          <w:spacing w:val="-3"/>
          <w:w w:val="105"/>
          <w:sz w:val="19"/>
        </w:rPr>
        <w:t xml:space="preserve"> </w:t>
      </w:r>
      <w:r>
        <w:rPr>
          <w:w w:val="105"/>
          <w:sz w:val="19"/>
        </w:rPr>
        <w:t>data analysts ×</w:t>
      </w:r>
      <w:r>
        <w:rPr>
          <w:spacing w:val="-1"/>
          <w:w w:val="105"/>
          <w:sz w:val="19"/>
        </w:rPr>
        <w:t xml:space="preserve"> </w:t>
      </w:r>
      <w:r>
        <w:rPr>
          <w:w w:val="105"/>
          <w:sz w:val="19"/>
        </w:rPr>
        <w:t>$167.48)</w:t>
      </w:r>
      <w:r>
        <w:rPr>
          <w:spacing w:val="-4"/>
          <w:w w:val="105"/>
          <w:sz w:val="19"/>
        </w:rPr>
        <w:t xml:space="preserve"> </w:t>
      </w:r>
      <w:r>
        <w:rPr>
          <w:w w:val="105"/>
          <w:sz w:val="19"/>
        </w:rPr>
        <w:t>+ (2,906 self-funded</w:t>
      </w:r>
      <w:r>
        <w:rPr>
          <w:spacing w:val="-3"/>
          <w:w w:val="105"/>
          <w:sz w:val="19"/>
        </w:rPr>
        <w:t xml:space="preserve"> </w:t>
      </w:r>
      <w:r>
        <w:rPr>
          <w:w w:val="105"/>
          <w:sz w:val="19"/>
        </w:rPr>
        <w:t>non-Federal</w:t>
      </w:r>
      <w:r>
        <w:rPr>
          <w:spacing w:val="-1"/>
          <w:w w:val="105"/>
          <w:sz w:val="19"/>
        </w:rPr>
        <w:t xml:space="preserve"> </w:t>
      </w:r>
      <w:r>
        <w:rPr>
          <w:w w:val="105"/>
          <w:sz w:val="19"/>
        </w:rPr>
        <w:t>governmental</w:t>
      </w:r>
      <w:r>
        <w:rPr>
          <w:spacing w:val="-1"/>
          <w:w w:val="105"/>
          <w:sz w:val="19"/>
        </w:rPr>
        <w:t xml:space="preserve"> </w:t>
      </w:r>
      <w:r>
        <w:rPr>
          <w:w w:val="105"/>
          <w:sz w:val="19"/>
        </w:rPr>
        <w:t>plans</w:t>
      </w:r>
    </w:p>
    <w:p>
      <w:pPr>
        <w:spacing w:before="0"/>
        <w:ind w:left="360" w:right="0" w:firstLine="0"/>
        <w:jc w:val="both"/>
        <w:rPr>
          <w:sz w:val="19"/>
        </w:rPr>
      </w:pPr>
      <w:r>
        <w:rPr>
          <w:w w:val="105"/>
          <w:sz w:val="19"/>
        </w:rPr>
        <w:t>×</w:t>
      </w:r>
      <w:r>
        <w:rPr>
          <w:spacing w:val="-2"/>
          <w:w w:val="105"/>
          <w:sz w:val="19"/>
        </w:rPr>
        <w:t xml:space="preserve"> </w:t>
      </w:r>
      <w:r>
        <w:rPr>
          <w:w w:val="105"/>
          <w:sz w:val="19"/>
        </w:rPr>
        <w:t>10</w:t>
      </w:r>
      <w:r>
        <w:rPr>
          <w:spacing w:val="-3"/>
          <w:w w:val="105"/>
          <w:sz w:val="19"/>
        </w:rPr>
        <w:t xml:space="preserve"> </w:t>
      </w:r>
      <w:r>
        <w:rPr>
          <w:w w:val="105"/>
          <w:sz w:val="19"/>
        </w:rPr>
        <w:t>NQTLs</w:t>
      </w:r>
      <w:r>
        <w:rPr>
          <w:spacing w:val="-2"/>
          <w:w w:val="105"/>
          <w:sz w:val="19"/>
        </w:rPr>
        <w:t xml:space="preserve"> </w:t>
      </w:r>
      <w:r>
        <w:rPr>
          <w:w w:val="105"/>
          <w:sz w:val="19"/>
        </w:rPr>
        <w:t>x</w:t>
      </w:r>
      <w:r>
        <w:rPr>
          <w:spacing w:val="6"/>
          <w:w w:val="105"/>
          <w:sz w:val="19"/>
        </w:rPr>
        <w:t xml:space="preserve"> </w:t>
      </w:r>
      <w:r>
        <w:rPr>
          <w:w w:val="105"/>
          <w:sz w:val="19"/>
        </w:rPr>
        <w:t>6</w:t>
      </w:r>
      <w:r>
        <w:rPr>
          <w:spacing w:val="-3"/>
          <w:w w:val="105"/>
          <w:sz w:val="19"/>
        </w:rPr>
        <w:t xml:space="preserve"> </w:t>
      </w:r>
      <w:r>
        <w:rPr>
          <w:w w:val="105"/>
          <w:sz w:val="19"/>
        </w:rPr>
        <w:t>hours</w:t>
      </w:r>
      <w:r>
        <w:rPr>
          <w:spacing w:val="-2"/>
          <w:w w:val="105"/>
          <w:sz w:val="19"/>
        </w:rPr>
        <w:t xml:space="preserve"> </w:t>
      </w:r>
      <w:r>
        <w:rPr>
          <w:w w:val="105"/>
          <w:sz w:val="19"/>
        </w:rPr>
        <w:t>for</w:t>
      </w:r>
      <w:r>
        <w:rPr>
          <w:spacing w:val="-5"/>
          <w:w w:val="105"/>
          <w:sz w:val="19"/>
        </w:rPr>
        <w:t xml:space="preserve"> </w:t>
      </w:r>
      <w:r>
        <w:rPr>
          <w:w w:val="105"/>
          <w:sz w:val="19"/>
        </w:rPr>
        <w:t>a</w:t>
      </w:r>
      <w:r>
        <w:rPr>
          <w:spacing w:val="1"/>
          <w:w w:val="105"/>
          <w:sz w:val="19"/>
        </w:rPr>
        <w:t xml:space="preserve"> </w:t>
      </w:r>
      <w:r>
        <w:rPr>
          <w:w w:val="105"/>
          <w:sz w:val="19"/>
        </w:rPr>
        <w:t>team</w:t>
      </w:r>
      <w:r>
        <w:rPr>
          <w:spacing w:val="-1"/>
          <w:w w:val="105"/>
          <w:sz w:val="19"/>
        </w:rPr>
        <w:t xml:space="preserve"> </w:t>
      </w:r>
      <w:r>
        <w:rPr>
          <w:w w:val="105"/>
          <w:sz w:val="19"/>
        </w:rPr>
        <w:t>of</w:t>
      </w:r>
      <w:r>
        <w:rPr>
          <w:spacing w:val="-5"/>
          <w:w w:val="105"/>
          <w:sz w:val="19"/>
        </w:rPr>
        <w:t xml:space="preserve"> </w:t>
      </w:r>
      <w:r>
        <w:rPr>
          <w:w w:val="105"/>
          <w:sz w:val="19"/>
        </w:rPr>
        <w:t>lawyers,</w:t>
      </w:r>
      <w:r>
        <w:rPr>
          <w:spacing w:val="-3"/>
          <w:w w:val="105"/>
          <w:sz w:val="19"/>
        </w:rPr>
        <w:t xml:space="preserve"> </w:t>
      </w:r>
      <w:r>
        <w:rPr>
          <w:w w:val="105"/>
          <w:sz w:val="19"/>
        </w:rPr>
        <w:t>actuaries,</w:t>
      </w:r>
      <w:r>
        <w:rPr>
          <w:spacing w:val="4"/>
          <w:w w:val="105"/>
          <w:sz w:val="19"/>
        </w:rPr>
        <w:t xml:space="preserve"> </w:t>
      </w:r>
      <w:r>
        <w:rPr>
          <w:w w:val="105"/>
          <w:sz w:val="19"/>
        </w:rPr>
        <w:t>and</w:t>
      </w:r>
      <w:r>
        <w:rPr>
          <w:spacing w:val="3"/>
          <w:w w:val="105"/>
          <w:sz w:val="19"/>
        </w:rPr>
        <w:t xml:space="preserve"> </w:t>
      </w:r>
      <w:r>
        <w:rPr>
          <w:w w:val="105"/>
          <w:sz w:val="19"/>
        </w:rPr>
        <w:t>data</w:t>
      </w:r>
      <w:r>
        <w:rPr>
          <w:spacing w:val="-5"/>
          <w:w w:val="105"/>
          <w:sz w:val="19"/>
        </w:rPr>
        <w:t xml:space="preserve"> </w:t>
      </w:r>
      <w:r>
        <w:rPr>
          <w:w w:val="105"/>
          <w:sz w:val="19"/>
        </w:rPr>
        <w:t>analysts</w:t>
      </w:r>
      <w:r>
        <w:rPr>
          <w:spacing w:val="4"/>
          <w:w w:val="105"/>
          <w:sz w:val="19"/>
        </w:rPr>
        <w:t xml:space="preserve"> </w:t>
      </w:r>
      <w:r>
        <w:rPr>
          <w:w w:val="105"/>
          <w:sz w:val="19"/>
        </w:rPr>
        <w:t>x</w:t>
      </w:r>
      <w:r>
        <w:rPr>
          <w:spacing w:val="4"/>
          <w:w w:val="105"/>
          <w:sz w:val="19"/>
        </w:rPr>
        <w:t xml:space="preserve"> </w:t>
      </w:r>
      <w:r>
        <w:rPr>
          <w:w w:val="105"/>
          <w:sz w:val="19"/>
        </w:rPr>
        <w:t>$167.48)</w:t>
      </w:r>
      <w:r>
        <w:rPr>
          <w:spacing w:val="-5"/>
          <w:w w:val="105"/>
          <w:sz w:val="19"/>
        </w:rPr>
        <w:t xml:space="preserve"> </w:t>
      </w:r>
      <w:r>
        <w:rPr>
          <w:w w:val="105"/>
          <w:sz w:val="19"/>
        </w:rPr>
        <w:t>=</w:t>
      </w:r>
      <w:r>
        <w:rPr>
          <w:spacing w:val="-1"/>
          <w:w w:val="105"/>
          <w:sz w:val="19"/>
        </w:rPr>
        <w:t xml:space="preserve"> </w:t>
      </w:r>
      <w:r>
        <w:rPr>
          <w:spacing w:val="-2"/>
          <w:w w:val="105"/>
          <w:sz w:val="19"/>
        </w:rPr>
        <w:t>$70,904,333.</w:t>
      </w:r>
    </w:p>
    <w:p>
      <w:pPr>
        <w:spacing w:after="0"/>
        <w:jc w:val="both"/>
        <w:rPr>
          <w:sz w:val="19"/>
        </w:rPr>
        <w:sectPr>
          <w:pgSz w:w="12240" w:h="15840"/>
          <w:pgMar w:top="1380" w:right="1440" w:bottom="1060" w:left="1080" w:header="0" w:footer="873"/>
          <w:cols w:space="720"/>
        </w:sectPr>
      </w:pPr>
    </w:p>
    <w:p>
      <w:pPr>
        <w:pStyle w:val="Heading1"/>
        <w:ind w:right="32"/>
      </w:pPr>
      <w:r>
        <w:t>TABLE 4:</w:t>
      </w:r>
      <w:r>
        <w:rPr>
          <w:spacing w:val="-10"/>
        </w:rPr>
        <w:t xml:space="preserve"> </w:t>
      </w:r>
      <w:r>
        <w:t>Annual</w:t>
      </w:r>
      <w:r>
        <w:rPr>
          <w:spacing w:val="-4"/>
        </w:rPr>
        <w:t xml:space="preserve"> </w:t>
      </w:r>
      <w:r>
        <w:t>Burden</w:t>
      </w:r>
      <w:r>
        <w:rPr>
          <w:spacing w:val="-7"/>
        </w:rPr>
        <w:t xml:space="preserve"> </w:t>
      </w:r>
      <w:r>
        <w:t>for</w:t>
      </w:r>
      <w:r>
        <w:rPr>
          <w:spacing w:val="-2"/>
        </w:rPr>
        <w:t xml:space="preserve"> </w:t>
      </w:r>
      <w:r>
        <w:t>Self-funded</w:t>
      </w:r>
      <w:r>
        <w:rPr>
          <w:spacing w:val="-7"/>
        </w:rPr>
        <w:t xml:space="preserve"> </w:t>
      </w:r>
      <w:r>
        <w:t>Non-Federal</w:t>
      </w:r>
      <w:r>
        <w:rPr>
          <w:spacing w:val="-4"/>
        </w:rPr>
        <w:t xml:space="preserve"> </w:t>
      </w:r>
      <w:r>
        <w:t>Governmental</w:t>
      </w:r>
      <w:r>
        <w:rPr>
          <w:spacing w:val="-4"/>
        </w:rPr>
        <w:t xml:space="preserve"> </w:t>
      </w:r>
      <w:r>
        <w:t xml:space="preserve">Plans, TPAs, and Issuers Related to the NQTL Comparative Analyses Documentation and Data </w:t>
      </w:r>
      <w:r>
        <w:rPr>
          <w:spacing w:val="-2"/>
        </w:rPr>
        <w:t>Requirements</w:t>
      </w:r>
    </w:p>
    <w:p>
      <w:pPr>
        <w:pStyle w:val="BodyText"/>
        <w:spacing w:before="42"/>
        <w:rPr>
          <w:b/>
          <w:sz w:val="20"/>
        </w:rPr>
      </w:pPr>
    </w:p>
    <w:tbl>
      <w:tblPr>
        <w:tblStyle w:val="TableNormal"/>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0"/>
        <w:gridCol w:w="1709"/>
        <w:gridCol w:w="1631"/>
        <w:gridCol w:w="1956"/>
        <w:gridCol w:w="2514"/>
      </w:tblGrid>
      <w:tr>
        <w:tblPrEx>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96"/>
          <w:jc w:val="left"/>
        </w:trPr>
        <w:tc>
          <w:tcPr>
            <w:tcW w:w="1540" w:type="dxa"/>
            <w:shd w:val="clear" w:color="auto" w:fill="F1F1F1"/>
          </w:tcPr>
          <w:p>
            <w:pPr>
              <w:pStyle w:val="TableParagraph"/>
              <w:spacing w:before="26"/>
              <w:rPr>
                <w:b/>
                <w:sz w:val="19"/>
              </w:rPr>
            </w:pPr>
          </w:p>
          <w:p>
            <w:pPr>
              <w:pStyle w:val="TableParagraph"/>
              <w:ind w:left="8"/>
              <w:jc w:val="center"/>
              <w:rPr>
                <w:b/>
                <w:sz w:val="19"/>
              </w:rPr>
            </w:pPr>
            <w:r>
              <w:rPr>
                <w:b/>
                <w:spacing w:val="-4"/>
                <w:w w:val="105"/>
                <w:sz w:val="19"/>
              </w:rPr>
              <w:t>Year</w:t>
            </w:r>
          </w:p>
        </w:tc>
        <w:tc>
          <w:tcPr>
            <w:tcW w:w="1709" w:type="dxa"/>
            <w:shd w:val="clear" w:color="auto" w:fill="F1F1F1"/>
          </w:tcPr>
          <w:p>
            <w:pPr>
              <w:pStyle w:val="TableParagraph"/>
              <w:spacing w:before="132" w:line="247" w:lineRule="auto"/>
              <w:ind w:left="312" w:firstLine="77"/>
              <w:rPr>
                <w:b/>
                <w:sz w:val="19"/>
              </w:rPr>
            </w:pPr>
            <w:r>
              <w:rPr>
                <w:b/>
                <w:w w:val="105"/>
                <w:sz w:val="19"/>
              </w:rPr>
              <w:t xml:space="preserve">Number of </w:t>
            </w:r>
            <w:r>
              <w:rPr>
                <w:b/>
                <w:spacing w:val="-2"/>
                <w:sz w:val="19"/>
              </w:rPr>
              <w:t>Respondents</w:t>
            </w:r>
          </w:p>
        </w:tc>
        <w:tc>
          <w:tcPr>
            <w:tcW w:w="1631" w:type="dxa"/>
            <w:shd w:val="clear" w:color="auto" w:fill="F1F1F1"/>
          </w:tcPr>
          <w:p>
            <w:pPr>
              <w:pStyle w:val="TableParagraph"/>
              <w:spacing w:before="132" w:line="247" w:lineRule="auto"/>
              <w:ind w:left="383" w:right="344" w:hanging="29"/>
              <w:rPr>
                <w:b/>
                <w:sz w:val="19"/>
              </w:rPr>
            </w:pPr>
            <w:r>
              <w:rPr>
                <w:b/>
                <w:w w:val="105"/>
                <w:sz w:val="19"/>
              </w:rPr>
              <w:t>Number</w:t>
            </w:r>
            <w:r>
              <w:rPr>
                <w:b/>
                <w:spacing w:val="-13"/>
                <w:w w:val="105"/>
                <w:sz w:val="19"/>
              </w:rPr>
              <w:t xml:space="preserve"> </w:t>
            </w:r>
            <w:r>
              <w:rPr>
                <w:b/>
                <w:w w:val="105"/>
                <w:sz w:val="19"/>
              </w:rPr>
              <w:t xml:space="preserve">of </w:t>
            </w:r>
            <w:r>
              <w:rPr>
                <w:b/>
                <w:spacing w:val="-2"/>
                <w:w w:val="105"/>
                <w:sz w:val="19"/>
              </w:rPr>
              <w:t>Responses</w:t>
            </w:r>
          </w:p>
        </w:tc>
        <w:tc>
          <w:tcPr>
            <w:tcW w:w="1956" w:type="dxa"/>
            <w:shd w:val="clear" w:color="auto" w:fill="F1F1F1"/>
          </w:tcPr>
          <w:p>
            <w:pPr>
              <w:pStyle w:val="TableParagraph"/>
              <w:spacing w:line="232" w:lineRule="exact"/>
              <w:ind w:left="29" w:right="25"/>
              <w:jc w:val="center"/>
              <w:rPr>
                <w:b/>
                <w:sz w:val="19"/>
              </w:rPr>
            </w:pPr>
            <w:r>
              <w:rPr>
                <w:b/>
                <w:w w:val="105"/>
                <w:sz w:val="19"/>
              </w:rPr>
              <w:t>Total</w:t>
            </w:r>
            <w:r>
              <w:rPr>
                <w:b/>
                <w:spacing w:val="-13"/>
                <w:w w:val="105"/>
                <w:sz w:val="19"/>
              </w:rPr>
              <w:t xml:space="preserve"> </w:t>
            </w:r>
            <w:r>
              <w:rPr>
                <w:b/>
                <w:w w:val="105"/>
                <w:sz w:val="19"/>
              </w:rPr>
              <w:t xml:space="preserve">Estimated Annual Burden </w:t>
            </w:r>
            <w:r>
              <w:rPr>
                <w:b/>
                <w:spacing w:val="-2"/>
                <w:w w:val="105"/>
                <w:sz w:val="19"/>
              </w:rPr>
              <w:t>(hours)</w:t>
            </w:r>
          </w:p>
        </w:tc>
        <w:tc>
          <w:tcPr>
            <w:tcW w:w="2514" w:type="dxa"/>
            <w:shd w:val="clear" w:color="auto" w:fill="F1F1F1"/>
          </w:tcPr>
          <w:p>
            <w:pPr>
              <w:pStyle w:val="TableParagraph"/>
              <w:spacing w:before="132" w:line="247" w:lineRule="auto"/>
              <w:ind w:left="1062" w:hanging="777"/>
              <w:rPr>
                <w:b/>
                <w:sz w:val="19"/>
              </w:rPr>
            </w:pPr>
            <w:r>
              <w:rPr>
                <w:b/>
                <w:w w:val="105"/>
                <w:sz w:val="19"/>
              </w:rPr>
              <w:t>Total</w:t>
            </w:r>
            <w:r>
              <w:rPr>
                <w:b/>
                <w:spacing w:val="-13"/>
                <w:w w:val="105"/>
                <w:sz w:val="19"/>
              </w:rPr>
              <w:t xml:space="preserve"> </w:t>
            </w:r>
            <w:r>
              <w:rPr>
                <w:b/>
                <w:w w:val="105"/>
                <w:sz w:val="19"/>
              </w:rPr>
              <w:t>Estimated</w:t>
            </w:r>
            <w:r>
              <w:rPr>
                <w:b/>
                <w:spacing w:val="-12"/>
                <w:w w:val="105"/>
                <w:sz w:val="19"/>
              </w:rPr>
              <w:t xml:space="preserve"> </w:t>
            </w:r>
            <w:r>
              <w:rPr>
                <w:b/>
                <w:w w:val="105"/>
                <w:sz w:val="19"/>
              </w:rPr>
              <w:t xml:space="preserve">Labor </w:t>
            </w:r>
            <w:r>
              <w:rPr>
                <w:b/>
                <w:spacing w:val="-4"/>
                <w:w w:val="105"/>
                <w:sz w:val="19"/>
              </w:rPr>
              <w:t>Cost</w:t>
            </w:r>
          </w:p>
        </w:tc>
      </w:tr>
      <w:tr>
        <w:tblPrEx>
          <w:tblW w:w="0" w:type="auto"/>
          <w:jc w:val="left"/>
          <w:tblInd w:w="370" w:type="dxa"/>
          <w:tblLayout w:type="fixed"/>
          <w:tblCellMar>
            <w:top w:w="0" w:type="dxa"/>
            <w:left w:w="0" w:type="dxa"/>
            <w:bottom w:w="0" w:type="dxa"/>
            <w:right w:w="0" w:type="dxa"/>
          </w:tblCellMar>
          <w:tblLook w:val="01E0"/>
        </w:tblPrEx>
        <w:trPr>
          <w:trHeight w:val="230"/>
          <w:jc w:val="left"/>
        </w:trPr>
        <w:tc>
          <w:tcPr>
            <w:tcW w:w="1540" w:type="dxa"/>
          </w:tcPr>
          <w:p>
            <w:pPr>
              <w:pStyle w:val="TableParagraph"/>
              <w:spacing w:before="11" w:line="198" w:lineRule="exact"/>
              <w:ind w:left="8" w:right="3"/>
              <w:jc w:val="center"/>
              <w:rPr>
                <w:sz w:val="19"/>
              </w:rPr>
            </w:pPr>
            <w:r>
              <w:rPr>
                <w:w w:val="105"/>
                <w:sz w:val="19"/>
              </w:rPr>
              <w:t>Year</w:t>
            </w:r>
            <w:r>
              <w:rPr>
                <w:spacing w:val="-10"/>
                <w:w w:val="105"/>
                <w:sz w:val="19"/>
              </w:rPr>
              <w:t xml:space="preserve"> 1</w:t>
            </w:r>
          </w:p>
        </w:tc>
        <w:tc>
          <w:tcPr>
            <w:tcW w:w="1709" w:type="dxa"/>
          </w:tcPr>
          <w:p>
            <w:pPr>
              <w:pStyle w:val="TableParagraph"/>
              <w:spacing w:before="11" w:line="198" w:lineRule="exact"/>
              <w:ind w:left="5"/>
              <w:jc w:val="center"/>
              <w:rPr>
                <w:sz w:val="19"/>
              </w:rPr>
            </w:pPr>
            <w:r>
              <w:rPr>
                <w:spacing w:val="-2"/>
                <w:w w:val="105"/>
                <w:sz w:val="19"/>
              </w:rPr>
              <w:t>4,981</w:t>
            </w:r>
          </w:p>
        </w:tc>
        <w:tc>
          <w:tcPr>
            <w:tcW w:w="1631" w:type="dxa"/>
          </w:tcPr>
          <w:p>
            <w:pPr>
              <w:pStyle w:val="TableParagraph"/>
              <w:spacing w:before="11" w:line="198" w:lineRule="exact"/>
              <w:ind w:left="13"/>
              <w:jc w:val="center"/>
              <w:rPr>
                <w:sz w:val="19"/>
              </w:rPr>
            </w:pPr>
            <w:r>
              <w:rPr>
                <w:spacing w:val="-2"/>
                <w:w w:val="105"/>
                <w:sz w:val="19"/>
              </w:rPr>
              <w:t>4,981</w:t>
            </w:r>
          </w:p>
        </w:tc>
        <w:tc>
          <w:tcPr>
            <w:tcW w:w="1956" w:type="dxa"/>
          </w:tcPr>
          <w:p>
            <w:pPr>
              <w:pStyle w:val="TableParagraph"/>
              <w:spacing w:before="11" w:line="198" w:lineRule="exact"/>
              <w:ind w:left="32" w:right="25"/>
              <w:jc w:val="center"/>
              <w:rPr>
                <w:sz w:val="19"/>
              </w:rPr>
            </w:pPr>
            <w:r>
              <w:rPr>
                <w:spacing w:val="-2"/>
                <w:w w:val="105"/>
                <w:sz w:val="19"/>
              </w:rPr>
              <w:t>2,116,800</w:t>
            </w:r>
          </w:p>
        </w:tc>
        <w:tc>
          <w:tcPr>
            <w:tcW w:w="2514" w:type="dxa"/>
          </w:tcPr>
          <w:p>
            <w:pPr>
              <w:pStyle w:val="TableParagraph"/>
              <w:spacing w:before="11" w:line="198" w:lineRule="exact"/>
              <w:ind w:left="8"/>
              <w:jc w:val="center"/>
              <w:rPr>
                <w:sz w:val="19"/>
              </w:rPr>
            </w:pPr>
            <w:r>
              <w:rPr>
                <w:spacing w:val="-2"/>
                <w:w w:val="105"/>
                <w:sz w:val="19"/>
              </w:rPr>
              <w:t>$354,521,664</w:t>
            </w:r>
          </w:p>
        </w:tc>
      </w:tr>
      <w:tr>
        <w:tblPrEx>
          <w:tblW w:w="0" w:type="auto"/>
          <w:jc w:val="left"/>
          <w:tblInd w:w="370" w:type="dxa"/>
          <w:tblLayout w:type="fixed"/>
          <w:tblCellMar>
            <w:top w:w="0" w:type="dxa"/>
            <w:left w:w="0" w:type="dxa"/>
            <w:bottom w:w="0" w:type="dxa"/>
            <w:right w:w="0" w:type="dxa"/>
          </w:tblCellMar>
          <w:tblLook w:val="01E0"/>
        </w:tblPrEx>
        <w:trPr>
          <w:trHeight w:val="230"/>
          <w:jc w:val="left"/>
        </w:trPr>
        <w:tc>
          <w:tcPr>
            <w:tcW w:w="1540" w:type="dxa"/>
          </w:tcPr>
          <w:p>
            <w:pPr>
              <w:pStyle w:val="TableParagraph"/>
              <w:spacing w:before="11" w:line="198" w:lineRule="exact"/>
              <w:ind w:left="8" w:right="3"/>
              <w:jc w:val="center"/>
              <w:rPr>
                <w:sz w:val="19"/>
              </w:rPr>
            </w:pPr>
            <w:r>
              <w:rPr>
                <w:w w:val="105"/>
                <w:sz w:val="19"/>
              </w:rPr>
              <w:t>Year</w:t>
            </w:r>
            <w:r>
              <w:rPr>
                <w:spacing w:val="-10"/>
                <w:w w:val="105"/>
                <w:sz w:val="19"/>
              </w:rPr>
              <w:t xml:space="preserve"> 2</w:t>
            </w:r>
          </w:p>
        </w:tc>
        <w:tc>
          <w:tcPr>
            <w:tcW w:w="1709" w:type="dxa"/>
          </w:tcPr>
          <w:p>
            <w:pPr>
              <w:pStyle w:val="TableParagraph"/>
              <w:spacing w:before="11" w:line="198" w:lineRule="exact"/>
              <w:ind w:left="5"/>
              <w:jc w:val="center"/>
              <w:rPr>
                <w:sz w:val="19"/>
              </w:rPr>
            </w:pPr>
            <w:r>
              <w:rPr>
                <w:spacing w:val="-2"/>
                <w:w w:val="105"/>
                <w:sz w:val="19"/>
              </w:rPr>
              <w:t>4,981</w:t>
            </w:r>
          </w:p>
        </w:tc>
        <w:tc>
          <w:tcPr>
            <w:tcW w:w="1631" w:type="dxa"/>
          </w:tcPr>
          <w:p>
            <w:pPr>
              <w:pStyle w:val="TableParagraph"/>
              <w:spacing w:before="11" w:line="198" w:lineRule="exact"/>
              <w:ind w:left="13"/>
              <w:jc w:val="center"/>
              <w:rPr>
                <w:sz w:val="19"/>
              </w:rPr>
            </w:pPr>
            <w:r>
              <w:rPr>
                <w:spacing w:val="-2"/>
                <w:w w:val="105"/>
                <w:sz w:val="19"/>
              </w:rPr>
              <w:t>4,981</w:t>
            </w:r>
          </w:p>
        </w:tc>
        <w:tc>
          <w:tcPr>
            <w:tcW w:w="1956" w:type="dxa"/>
          </w:tcPr>
          <w:p>
            <w:pPr>
              <w:pStyle w:val="TableParagraph"/>
              <w:spacing w:before="11" w:line="198" w:lineRule="exact"/>
              <w:ind w:left="29" w:right="29"/>
              <w:jc w:val="center"/>
              <w:rPr>
                <w:sz w:val="19"/>
              </w:rPr>
            </w:pPr>
            <w:r>
              <w:rPr>
                <w:spacing w:val="-2"/>
                <w:w w:val="105"/>
                <w:sz w:val="19"/>
              </w:rPr>
              <w:t>423,360</w:t>
            </w:r>
          </w:p>
        </w:tc>
        <w:tc>
          <w:tcPr>
            <w:tcW w:w="2514" w:type="dxa"/>
          </w:tcPr>
          <w:p>
            <w:pPr>
              <w:pStyle w:val="TableParagraph"/>
              <w:spacing w:before="11" w:line="198" w:lineRule="exact"/>
              <w:ind w:left="8"/>
              <w:jc w:val="center"/>
              <w:rPr>
                <w:sz w:val="19"/>
              </w:rPr>
            </w:pPr>
            <w:r>
              <w:rPr>
                <w:spacing w:val="-2"/>
                <w:w w:val="105"/>
                <w:sz w:val="19"/>
              </w:rPr>
              <w:t>$70,904,333</w:t>
            </w:r>
          </w:p>
        </w:tc>
      </w:tr>
      <w:tr>
        <w:tblPrEx>
          <w:tblW w:w="0" w:type="auto"/>
          <w:jc w:val="left"/>
          <w:tblInd w:w="370" w:type="dxa"/>
          <w:tblLayout w:type="fixed"/>
          <w:tblCellMar>
            <w:top w:w="0" w:type="dxa"/>
            <w:left w:w="0" w:type="dxa"/>
            <w:bottom w:w="0" w:type="dxa"/>
            <w:right w:w="0" w:type="dxa"/>
          </w:tblCellMar>
          <w:tblLook w:val="01E0"/>
        </w:tblPrEx>
        <w:trPr>
          <w:trHeight w:val="230"/>
          <w:jc w:val="left"/>
        </w:trPr>
        <w:tc>
          <w:tcPr>
            <w:tcW w:w="1540" w:type="dxa"/>
          </w:tcPr>
          <w:p>
            <w:pPr>
              <w:pStyle w:val="TableParagraph"/>
              <w:spacing w:before="12" w:line="198" w:lineRule="exact"/>
              <w:ind w:left="8" w:right="3"/>
              <w:jc w:val="center"/>
              <w:rPr>
                <w:sz w:val="19"/>
              </w:rPr>
            </w:pPr>
            <w:r>
              <w:rPr>
                <w:w w:val="105"/>
                <w:sz w:val="19"/>
              </w:rPr>
              <w:t>Year</w:t>
            </w:r>
            <w:r>
              <w:rPr>
                <w:spacing w:val="-10"/>
                <w:w w:val="105"/>
                <w:sz w:val="19"/>
              </w:rPr>
              <w:t xml:space="preserve"> 3</w:t>
            </w:r>
          </w:p>
        </w:tc>
        <w:tc>
          <w:tcPr>
            <w:tcW w:w="1709" w:type="dxa"/>
          </w:tcPr>
          <w:p>
            <w:pPr>
              <w:pStyle w:val="TableParagraph"/>
              <w:spacing w:before="12" w:line="198" w:lineRule="exact"/>
              <w:ind w:left="5"/>
              <w:jc w:val="center"/>
              <w:rPr>
                <w:sz w:val="19"/>
              </w:rPr>
            </w:pPr>
            <w:r>
              <w:rPr>
                <w:spacing w:val="-2"/>
                <w:w w:val="105"/>
                <w:sz w:val="19"/>
              </w:rPr>
              <w:t>4,981</w:t>
            </w:r>
          </w:p>
        </w:tc>
        <w:tc>
          <w:tcPr>
            <w:tcW w:w="1631" w:type="dxa"/>
          </w:tcPr>
          <w:p>
            <w:pPr>
              <w:pStyle w:val="TableParagraph"/>
              <w:spacing w:before="12" w:line="198" w:lineRule="exact"/>
              <w:ind w:left="13"/>
              <w:jc w:val="center"/>
              <w:rPr>
                <w:sz w:val="19"/>
              </w:rPr>
            </w:pPr>
            <w:r>
              <w:rPr>
                <w:spacing w:val="-2"/>
                <w:w w:val="105"/>
                <w:sz w:val="19"/>
              </w:rPr>
              <w:t>4,981</w:t>
            </w:r>
          </w:p>
        </w:tc>
        <w:tc>
          <w:tcPr>
            <w:tcW w:w="1956" w:type="dxa"/>
          </w:tcPr>
          <w:p>
            <w:pPr>
              <w:pStyle w:val="TableParagraph"/>
              <w:spacing w:before="12" w:line="198" w:lineRule="exact"/>
              <w:ind w:left="29" w:right="29"/>
              <w:jc w:val="center"/>
              <w:rPr>
                <w:sz w:val="19"/>
              </w:rPr>
            </w:pPr>
            <w:r>
              <w:rPr>
                <w:spacing w:val="-2"/>
                <w:w w:val="105"/>
                <w:sz w:val="19"/>
              </w:rPr>
              <w:t>423,360</w:t>
            </w:r>
          </w:p>
        </w:tc>
        <w:tc>
          <w:tcPr>
            <w:tcW w:w="2514" w:type="dxa"/>
          </w:tcPr>
          <w:p>
            <w:pPr>
              <w:pStyle w:val="TableParagraph"/>
              <w:spacing w:before="12" w:line="198" w:lineRule="exact"/>
              <w:ind w:left="8"/>
              <w:jc w:val="center"/>
              <w:rPr>
                <w:sz w:val="19"/>
              </w:rPr>
            </w:pPr>
            <w:r>
              <w:rPr>
                <w:spacing w:val="-2"/>
                <w:w w:val="105"/>
                <w:sz w:val="19"/>
              </w:rPr>
              <w:t>$70,904,333</w:t>
            </w:r>
          </w:p>
        </w:tc>
      </w:tr>
      <w:tr>
        <w:tblPrEx>
          <w:tblW w:w="0" w:type="auto"/>
          <w:jc w:val="left"/>
          <w:tblInd w:w="370" w:type="dxa"/>
          <w:tblLayout w:type="fixed"/>
          <w:tblCellMar>
            <w:top w:w="0" w:type="dxa"/>
            <w:left w:w="0" w:type="dxa"/>
            <w:bottom w:w="0" w:type="dxa"/>
            <w:right w:w="0" w:type="dxa"/>
          </w:tblCellMar>
          <w:tblLook w:val="01E0"/>
        </w:tblPrEx>
        <w:trPr>
          <w:trHeight w:val="230"/>
          <w:jc w:val="left"/>
        </w:trPr>
        <w:tc>
          <w:tcPr>
            <w:tcW w:w="1540" w:type="dxa"/>
            <w:shd w:val="clear" w:color="auto" w:fill="F1F1F1"/>
          </w:tcPr>
          <w:p>
            <w:pPr>
              <w:pStyle w:val="TableParagraph"/>
              <w:spacing w:before="11" w:line="198" w:lineRule="exact"/>
              <w:ind w:left="8" w:right="7"/>
              <w:jc w:val="center"/>
              <w:rPr>
                <w:b/>
                <w:sz w:val="19"/>
              </w:rPr>
            </w:pPr>
            <w:r>
              <w:rPr>
                <w:b/>
                <w:w w:val="105"/>
                <w:sz w:val="19"/>
              </w:rPr>
              <w:t>3-year</w:t>
            </w:r>
            <w:r>
              <w:rPr>
                <w:b/>
                <w:spacing w:val="-3"/>
                <w:w w:val="105"/>
                <w:sz w:val="19"/>
              </w:rPr>
              <w:t xml:space="preserve"> </w:t>
            </w:r>
            <w:r>
              <w:rPr>
                <w:b/>
                <w:spacing w:val="-2"/>
                <w:w w:val="105"/>
                <w:sz w:val="19"/>
              </w:rPr>
              <w:t>Average</w:t>
            </w:r>
          </w:p>
        </w:tc>
        <w:tc>
          <w:tcPr>
            <w:tcW w:w="1709" w:type="dxa"/>
            <w:shd w:val="clear" w:color="auto" w:fill="F1F1F1"/>
          </w:tcPr>
          <w:p>
            <w:pPr>
              <w:pStyle w:val="TableParagraph"/>
              <w:spacing w:before="11" w:line="198" w:lineRule="exact"/>
              <w:ind w:left="5"/>
              <w:jc w:val="center"/>
              <w:rPr>
                <w:b/>
                <w:sz w:val="19"/>
              </w:rPr>
            </w:pPr>
            <w:r>
              <w:rPr>
                <w:b/>
                <w:spacing w:val="-2"/>
                <w:w w:val="105"/>
                <w:sz w:val="19"/>
              </w:rPr>
              <w:t>4,981</w:t>
            </w:r>
          </w:p>
        </w:tc>
        <w:tc>
          <w:tcPr>
            <w:tcW w:w="1631" w:type="dxa"/>
            <w:shd w:val="clear" w:color="auto" w:fill="F1F1F1"/>
          </w:tcPr>
          <w:p>
            <w:pPr>
              <w:pStyle w:val="TableParagraph"/>
              <w:spacing w:before="11" w:line="198" w:lineRule="exact"/>
              <w:ind w:left="13"/>
              <w:jc w:val="center"/>
              <w:rPr>
                <w:b/>
                <w:sz w:val="19"/>
              </w:rPr>
            </w:pPr>
            <w:r>
              <w:rPr>
                <w:b/>
                <w:spacing w:val="-2"/>
                <w:w w:val="105"/>
                <w:sz w:val="19"/>
              </w:rPr>
              <w:t>4,981</w:t>
            </w:r>
          </w:p>
        </w:tc>
        <w:tc>
          <w:tcPr>
            <w:tcW w:w="1956" w:type="dxa"/>
            <w:shd w:val="clear" w:color="auto" w:fill="F1F1F1"/>
          </w:tcPr>
          <w:p>
            <w:pPr>
              <w:pStyle w:val="TableParagraph"/>
              <w:spacing w:before="11" w:line="198" w:lineRule="exact"/>
              <w:ind w:left="29" w:right="29"/>
              <w:jc w:val="center"/>
              <w:rPr>
                <w:b/>
                <w:sz w:val="19"/>
              </w:rPr>
            </w:pPr>
            <w:r>
              <w:rPr>
                <w:b/>
                <w:spacing w:val="-2"/>
                <w:w w:val="105"/>
                <w:sz w:val="19"/>
              </w:rPr>
              <w:t>987,840</w:t>
            </w:r>
          </w:p>
        </w:tc>
        <w:tc>
          <w:tcPr>
            <w:tcW w:w="2514" w:type="dxa"/>
            <w:shd w:val="clear" w:color="auto" w:fill="F1F1F1"/>
          </w:tcPr>
          <w:p>
            <w:pPr>
              <w:pStyle w:val="TableParagraph"/>
              <w:spacing w:before="11" w:line="198" w:lineRule="exact"/>
              <w:ind w:left="8"/>
              <w:jc w:val="center"/>
              <w:rPr>
                <w:sz w:val="19"/>
              </w:rPr>
            </w:pPr>
            <w:r>
              <w:rPr>
                <w:spacing w:val="-2"/>
                <w:w w:val="105"/>
                <w:sz w:val="19"/>
              </w:rPr>
              <w:t>$165,443,443</w:t>
            </w:r>
          </w:p>
        </w:tc>
      </w:tr>
    </w:tbl>
    <w:p>
      <w:pPr>
        <w:pStyle w:val="BodyText"/>
        <w:spacing w:before="275"/>
        <w:ind w:left="791"/>
      </w:pPr>
      <w:bookmarkStart w:id="32" w:name="Initial Submission of Comparative Analys"/>
      <w:bookmarkEnd w:id="32"/>
      <w:r>
        <w:rPr>
          <w:u w:val="single"/>
        </w:rPr>
        <w:t>Initial</w:t>
      </w:r>
      <w:r>
        <w:rPr>
          <w:spacing w:val="-7"/>
          <w:u w:val="single"/>
        </w:rPr>
        <w:t xml:space="preserve"> </w:t>
      </w:r>
      <w:r>
        <w:rPr>
          <w:u w:val="single"/>
        </w:rPr>
        <w:t>Submission</w:t>
      </w:r>
      <w:r>
        <w:rPr>
          <w:spacing w:val="-3"/>
          <w:u w:val="single"/>
        </w:rPr>
        <w:t xml:space="preserve"> </w:t>
      </w:r>
      <w:r>
        <w:rPr>
          <w:u w:val="single"/>
        </w:rPr>
        <w:t>of</w:t>
      </w:r>
      <w:r>
        <w:rPr>
          <w:spacing w:val="-5"/>
          <w:u w:val="single"/>
        </w:rPr>
        <w:t xml:space="preserve"> </w:t>
      </w:r>
      <w:r>
        <w:rPr>
          <w:u w:val="single"/>
        </w:rPr>
        <w:t>Comparative</w:t>
      </w:r>
      <w:r>
        <w:rPr>
          <w:spacing w:val="-4"/>
          <w:u w:val="single"/>
        </w:rPr>
        <w:t xml:space="preserve"> </w:t>
      </w:r>
      <w:r>
        <w:rPr>
          <w:spacing w:val="-2"/>
          <w:u w:val="single"/>
        </w:rPr>
        <w:t>Analyses:</w:t>
      </w:r>
    </w:p>
    <w:p>
      <w:pPr>
        <w:pStyle w:val="BodyText"/>
        <w:spacing w:before="275"/>
        <w:ind w:left="791"/>
      </w:pPr>
      <w:r>
        <w:t>Under</w:t>
      </w:r>
      <w:r>
        <w:rPr>
          <w:spacing w:val="-5"/>
        </w:rPr>
        <w:t xml:space="preserve"> </w:t>
      </w:r>
      <w:r>
        <w:t>the</w:t>
      </w:r>
      <w:r>
        <w:rPr>
          <w:spacing w:val="-2"/>
        </w:rPr>
        <w:t xml:space="preserve"> </w:t>
      </w:r>
      <w:r>
        <w:t>CAA,</w:t>
      </w:r>
      <w:r>
        <w:rPr>
          <w:spacing w:val="-6"/>
        </w:rPr>
        <w:t xml:space="preserve"> </w:t>
      </w:r>
      <w:r>
        <w:t>2021,</w:t>
      </w:r>
      <w:r>
        <w:rPr>
          <w:spacing w:val="-6"/>
        </w:rPr>
        <w:t xml:space="preserve"> </w:t>
      </w:r>
      <w:r>
        <w:t>plans</w:t>
      </w:r>
      <w:r>
        <w:rPr>
          <w:spacing w:val="-4"/>
        </w:rPr>
        <w:t xml:space="preserve"> </w:t>
      </w:r>
      <w:r>
        <w:t>and</w:t>
      </w:r>
      <w:r>
        <w:rPr>
          <w:spacing w:val="-3"/>
        </w:rPr>
        <w:t xml:space="preserve"> </w:t>
      </w:r>
      <w:r>
        <w:t>issuers</w:t>
      </w:r>
      <w:r>
        <w:rPr>
          <w:spacing w:val="-4"/>
        </w:rPr>
        <w:t xml:space="preserve"> </w:t>
      </w:r>
      <w:r>
        <w:t>must</w:t>
      </w:r>
      <w:r>
        <w:rPr>
          <w:spacing w:val="-5"/>
        </w:rPr>
        <w:t xml:space="preserve"> </w:t>
      </w:r>
      <w:r>
        <w:t>submit</w:t>
      </w:r>
      <w:r>
        <w:rPr>
          <w:spacing w:val="-5"/>
        </w:rPr>
        <w:t xml:space="preserve"> </w:t>
      </w:r>
      <w:r>
        <w:t>their</w:t>
      </w:r>
      <w:r>
        <w:rPr>
          <w:spacing w:val="-4"/>
        </w:rPr>
        <w:t xml:space="preserve"> </w:t>
      </w:r>
      <w:r>
        <w:t>comparative</w:t>
      </w:r>
      <w:r>
        <w:rPr>
          <w:spacing w:val="-3"/>
        </w:rPr>
        <w:t xml:space="preserve"> </w:t>
      </w:r>
      <w:r>
        <w:t>analysis</w:t>
      </w:r>
      <w:r>
        <w:rPr>
          <w:spacing w:val="-4"/>
        </w:rPr>
        <w:t xml:space="preserve"> </w:t>
      </w:r>
      <w:r>
        <w:t>with</w:t>
      </w:r>
      <w:r>
        <w:rPr>
          <w:spacing w:val="-2"/>
        </w:rPr>
        <w:t xml:space="preserve"> </w:t>
      </w:r>
      <w:r>
        <w:t>respect to each NQTL imposed on MH/SUD benefits when requested by CMS. CMS will only request this information from issuers in States where CMS has direct enforcement responsibility for MHPAEA. The CAA, 2021 requires CMS to collect not fewer than 20 comparative analyses per year, but it also provides that CMS shall request that a plan or issuer submit the comparative analyses for plans that involve potential MHPAEA violations or complaints regarding noncompliance with MHPAEA that</w:t>
      </w:r>
      <w:r>
        <w:rPr>
          <w:spacing w:val="-1"/>
        </w:rPr>
        <w:t xml:space="preserve"> </w:t>
      </w:r>
      <w:r>
        <w:t>concern NQTLs, and any</w:t>
      </w:r>
      <w:r>
        <w:rPr>
          <w:spacing w:val="-5"/>
        </w:rPr>
        <w:t xml:space="preserve"> </w:t>
      </w:r>
      <w:r>
        <w:t>other instances</w:t>
      </w:r>
      <w:r>
        <w:rPr>
          <w:spacing w:val="-1"/>
        </w:rPr>
        <w:t xml:space="preserve"> </w:t>
      </w:r>
      <w:r>
        <w:t>in which CMS determines</w:t>
      </w:r>
      <w:r>
        <w:rPr>
          <w:spacing w:val="-1"/>
        </w:rPr>
        <w:t xml:space="preserve"> </w:t>
      </w:r>
      <w:r>
        <w:t>appropriate. Thus,</w:t>
      </w:r>
      <w:r>
        <w:rPr>
          <w:spacing w:val="-3"/>
        </w:rPr>
        <w:t xml:space="preserve"> </w:t>
      </w:r>
      <w:r>
        <w:t>CMS expects</w:t>
      </w:r>
      <w:r>
        <w:rPr>
          <w:spacing w:val="-1"/>
        </w:rPr>
        <w:t xml:space="preserve"> </w:t>
      </w:r>
      <w:r>
        <w:t>to request</w:t>
      </w:r>
      <w:r>
        <w:rPr>
          <w:spacing w:val="-2"/>
        </w:rPr>
        <w:t xml:space="preserve"> </w:t>
      </w:r>
      <w:r>
        <w:t>comparative analyses from at least 20 plans or issuers each year.</w:t>
      </w:r>
    </w:p>
    <w:p>
      <w:pPr>
        <w:pStyle w:val="BodyText"/>
        <w:spacing w:before="1"/>
      </w:pPr>
    </w:p>
    <w:p>
      <w:pPr>
        <w:pStyle w:val="BodyText"/>
        <w:ind w:left="791" w:right="57"/>
      </w:pPr>
      <w:r>
        <w:t>We</w:t>
      </w:r>
      <w:r>
        <w:rPr>
          <w:spacing w:val="-4"/>
        </w:rPr>
        <w:t xml:space="preserve"> </w:t>
      </w:r>
      <w:r>
        <w:t>estimate</w:t>
      </w:r>
      <w:r>
        <w:rPr>
          <w:spacing w:val="-3"/>
        </w:rPr>
        <w:t xml:space="preserve"> </w:t>
      </w:r>
      <w:r>
        <w:t>that</w:t>
      </w:r>
      <w:r>
        <w:rPr>
          <w:spacing w:val="-5"/>
        </w:rPr>
        <w:t xml:space="preserve"> </w:t>
      </w:r>
      <w:r>
        <w:t>for</w:t>
      </w:r>
      <w:r>
        <w:rPr>
          <w:spacing w:val="-4"/>
        </w:rPr>
        <w:t xml:space="preserve"> </w:t>
      </w:r>
      <w:r>
        <w:t>each</w:t>
      </w:r>
      <w:r>
        <w:rPr>
          <w:spacing w:val="-3"/>
        </w:rPr>
        <w:t xml:space="preserve"> </w:t>
      </w:r>
      <w:r>
        <w:t>plan</w:t>
      </w:r>
      <w:r>
        <w:rPr>
          <w:spacing w:val="-3"/>
        </w:rPr>
        <w:t xml:space="preserve"> </w:t>
      </w:r>
      <w:r>
        <w:t>sponsor</w:t>
      </w:r>
      <w:r>
        <w:rPr>
          <w:spacing w:val="-4"/>
        </w:rPr>
        <w:t xml:space="preserve"> </w:t>
      </w:r>
      <w:r>
        <w:t>or</w:t>
      </w:r>
      <w:r>
        <w:rPr>
          <w:spacing w:val="-4"/>
        </w:rPr>
        <w:t xml:space="preserve"> </w:t>
      </w:r>
      <w:r>
        <w:t>issuer, a</w:t>
      </w:r>
      <w:r>
        <w:rPr>
          <w:spacing w:val="-3"/>
        </w:rPr>
        <w:t xml:space="preserve"> </w:t>
      </w:r>
      <w:r>
        <w:t>business</w:t>
      </w:r>
      <w:r>
        <w:rPr>
          <w:spacing w:val="-4"/>
        </w:rPr>
        <w:t xml:space="preserve"> </w:t>
      </w:r>
      <w:r>
        <w:t>operations</w:t>
      </w:r>
      <w:r>
        <w:rPr>
          <w:spacing w:val="-4"/>
        </w:rPr>
        <w:t xml:space="preserve"> </w:t>
      </w:r>
      <w:r>
        <w:t>specialist</w:t>
      </w:r>
      <w:r>
        <w:rPr>
          <w:spacing w:val="-5"/>
        </w:rPr>
        <w:t xml:space="preserve"> </w:t>
      </w:r>
      <w:r>
        <w:t>will</w:t>
      </w:r>
      <w:r>
        <w:rPr>
          <w:spacing w:val="-5"/>
        </w:rPr>
        <w:t xml:space="preserve"> </w:t>
      </w:r>
      <w:r>
        <w:t>need</w:t>
      </w:r>
      <w:r>
        <w:rPr>
          <w:spacing w:val="-2"/>
        </w:rPr>
        <w:t xml:space="preserve"> </w:t>
      </w:r>
      <w:r>
        <w:t>4 hours</w:t>
      </w:r>
      <w:r>
        <w:rPr>
          <w:spacing w:val="-1"/>
        </w:rPr>
        <w:t xml:space="preserve"> </w:t>
      </w:r>
      <w:r>
        <w:t>(at</w:t>
      </w:r>
      <w:r>
        <w:rPr>
          <w:spacing w:val="-3"/>
        </w:rPr>
        <w:t xml:space="preserve"> </w:t>
      </w:r>
      <w:r>
        <w:t>an hourly labor</w:t>
      </w:r>
      <w:r>
        <w:rPr>
          <w:spacing w:val="-2"/>
        </w:rPr>
        <w:t xml:space="preserve"> </w:t>
      </w:r>
      <w:r>
        <w:t>cost</w:t>
      </w:r>
      <w:r>
        <w:rPr>
          <w:spacing w:val="-2"/>
        </w:rPr>
        <w:t xml:space="preserve"> </w:t>
      </w:r>
      <w:r>
        <w:t>of</w:t>
      </w:r>
      <w:r>
        <w:rPr>
          <w:spacing w:val="-1"/>
        </w:rPr>
        <w:t xml:space="preserve"> </w:t>
      </w:r>
      <w:r>
        <w:t>$114.36)</w:t>
      </w:r>
      <w:r>
        <w:rPr>
          <w:spacing w:val="-1"/>
        </w:rPr>
        <w:t xml:space="preserve"> </w:t>
      </w:r>
      <w:r>
        <w:t>and a general</w:t>
      </w:r>
      <w:r>
        <w:rPr>
          <w:spacing w:val="-3"/>
        </w:rPr>
        <w:t xml:space="preserve"> </w:t>
      </w:r>
      <w:r>
        <w:t>and operations</w:t>
      </w:r>
      <w:r>
        <w:rPr>
          <w:spacing w:val="-1"/>
        </w:rPr>
        <w:t xml:space="preserve"> </w:t>
      </w:r>
      <w:r>
        <w:t>manager</w:t>
      </w:r>
      <w:r>
        <w:rPr>
          <w:spacing w:val="-1"/>
        </w:rPr>
        <w:t xml:space="preserve"> </w:t>
      </w:r>
      <w:r>
        <w:t>will</w:t>
      </w:r>
      <w:r>
        <w:rPr>
          <w:spacing w:val="-2"/>
        </w:rPr>
        <w:t xml:space="preserve"> </w:t>
      </w:r>
      <w:r>
        <w:t>need 1 hour (at an hourly labor cost of $137.67) on average to gather and submit the documents (including the</w:t>
      </w:r>
      <w:r>
        <w:rPr>
          <w:spacing w:val="-1"/>
        </w:rPr>
        <w:t xml:space="preserve"> </w:t>
      </w:r>
      <w:r>
        <w:t>additional</w:t>
      </w:r>
      <w:r>
        <w:rPr>
          <w:spacing w:val="-4"/>
        </w:rPr>
        <w:t xml:space="preserve"> </w:t>
      </w:r>
      <w:r>
        <w:t>documentation that</w:t>
      </w:r>
      <w:r>
        <w:rPr>
          <w:spacing w:val="-4"/>
        </w:rPr>
        <w:t xml:space="preserve"> </w:t>
      </w:r>
      <w:r>
        <w:t>is</w:t>
      </w:r>
      <w:r>
        <w:rPr>
          <w:spacing w:val="-2"/>
        </w:rPr>
        <w:t xml:space="preserve"> </w:t>
      </w:r>
      <w:r>
        <w:t>required</w:t>
      </w:r>
      <w:r>
        <w:rPr>
          <w:spacing w:val="-1"/>
        </w:rPr>
        <w:t xml:space="preserve"> </w:t>
      </w:r>
      <w:r>
        <w:t>under</w:t>
      </w:r>
      <w:r>
        <w:rPr>
          <w:spacing w:val="-3"/>
        </w:rPr>
        <w:t xml:space="preserve"> </w:t>
      </w:r>
      <w:r>
        <w:t>the</w:t>
      </w:r>
      <w:r>
        <w:rPr>
          <w:spacing w:val="-1"/>
        </w:rPr>
        <w:t xml:space="preserve"> </w:t>
      </w:r>
      <w:r>
        <w:t>2024 final</w:t>
      </w:r>
      <w:r>
        <w:rPr>
          <w:spacing w:val="-4"/>
        </w:rPr>
        <w:t xml:space="preserve"> </w:t>
      </w:r>
      <w:r>
        <w:t>rules)</w:t>
      </w:r>
      <w:r>
        <w:rPr>
          <w:spacing w:val="-2"/>
        </w:rPr>
        <w:t xml:space="preserve"> </w:t>
      </w:r>
      <w:r>
        <w:t>to CMS. We estimate the total</w:t>
      </w:r>
      <w:r>
        <w:rPr>
          <w:spacing w:val="-2"/>
        </w:rPr>
        <w:t xml:space="preserve"> </w:t>
      </w:r>
      <w:r>
        <w:t>burden for each plan or issuer will</w:t>
      </w:r>
      <w:r>
        <w:rPr>
          <w:spacing w:val="-1"/>
        </w:rPr>
        <w:t xml:space="preserve"> </w:t>
      </w:r>
      <w:r>
        <w:t>be 5 hours, with an equivalent</w:t>
      </w:r>
      <w:r>
        <w:rPr>
          <w:spacing w:val="-2"/>
        </w:rPr>
        <w:t xml:space="preserve"> </w:t>
      </w:r>
      <w:r>
        <w:t>cost of approximately $595. For 20 plans or issuers, we estimate the total annual burden will be 100 hours, with an equivalent cost of approximately $11,902.</w:t>
      </w:r>
    </w:p>
    <w:p>
      <w:pPr>
        <w:pStyle w:val="BodyText"/>
        <w:spacing w:before="2"/>
      </w:pPr>
    </w:p>
    <w:p>
      <w:pPr>
        <w:pStyle w:val="Heading1"/>
        <w:spacing w:before="1"/>
        <w:ind w:right="57"/>
      </w:pPr>
      <w:r>
        <w:t>TABLE 5:</w:t>
      </w:r>
      <w:r>
        <w:rPr>
          <w:spacing w:val="-10"/>
        </w:rPr>
        <w:t xml:space="preserve"> </w:t>
      </w:r>
      <w:r>
        <w:t>Annual</w:t>
      </w:r>
      <w:r>
        <w:rPr>
          <w:spacing w:val="-4"/>
        </w:rPr>
        <w:t xml:space="preserve"> </w:t>
      </w:r>
      <w:r>
        <w:t>Burden</w:t>
      </w:r>
      <w:r>
        <w:rPr>
          <w:spacing w:val="-7"/>
        </w:rPr>
        <w:t xml:space="preserve"> </w:t>
      </w:r>
      <w:r>
        <w:t>for</w:t>
      </w:r>
      <w:r>
        <w:rPr>
          <w:spacing w:val="-2"/>
        </w:rPr>
        <w:t xml:space="preserve"> </w:t>
      </w:r>
      <w:r>
        <w:t>Self-Funded</w:t>
      </w:r>
      <w:r>
        <w:rPr>
          <w:spacing w:val="-8"/>
        </w:rPr>
        <w:t xml:space="preserve"> </w:t>
      </w:r>
      <w:r>
        <w:t>Non-Federal</w:t>
      </w:r>
      <w:r>
        <w:rPr>
          <w:spacing w:val="-4"/>
        </w:rPr>
        <w:t xml:space="preserve"> </w:t>
      </w:r>
      <w:r>
        <w:t>Governmental</w:t>
      </w:r>
      <w:r>
        <w:rPr>
          <w:spacing w:val="-4"/>
        </w:rPr>
        <w:t xml:space="preserve"> </w:t>
      </w:r>
      <w:r>
        <w:t>Plans</w:t>
      </w:r>
      <w:r>
        <w:rPr>
          <w:spacing w:val="-2"/>
        </w:rPr>
        <w:t xml:space="preserve"> </w:t>
      </w:r>
      <w:r>
        <w:t>and Issuers Related to Initial Submission of Comparative Analyses</w:t>
      </w:r>
    </w:p>
    <w:p>
      <w:pPr>
        <w:pStyle w:val="BodyText"/>
        <w:spacing w:before="42"/>
        <w:rPr>
          <w:b/>
          <w:sz w:val="20"/>
        </w:rPr>
      </w:pPr>
    </w:p>
    <w:tbl>
      <w:tblPr>
        <w:tblStyle w:val="TableNormal"/>
        <w:tblW w:w="0" w:type="auto"/>
        <w:jc w:val="left"/>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2"/>
        <w:gridCol w:w="2225"/>
        <w:gridCol w:w="2232"/>
        <w:gridCol w:w="2232"/>
      </w:tblGrid>
      <w:tr>
        <w:tblPrEx>
          <w:tblW w:w="0" w:type="auto"/>
          <w:jc w:val="left"/>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63"/>
          <w:jc w:val="left"/>
        </w:trPr>
        <w:tc>
          <w:tcPr>
            <w:tcW w:w="2232" w:type="dxa"/>
            <w:shd w:val="clear" w:color="auto" w:fill="F1F1F1"/>
          </w:tcPr>
          <w:p>
            <w:pPr>
              <w:pStyle w:val="TableParagraph"/>
              <w:spacing w:line="232" w:lineRule="exact"/>
              <w:ind w:left="567" w:firstLine="84"/>
              <w:rPr>
                <w:b/>
                <w:sz w:val="19"/>
              </w:rPr>
            </w:pPr>
            <w:r>
              <w:rPr>
                <w:b/>
                <w:w w:val="105"/>
                <w:sz w:val="19"/>
              </w:rPr>
              <w:t xml:space="preserve">Number of </w:t>
            </w:r>
            <w:r>
              <w:rPr>
                <w:b/>
                <w:spacing w:val="-2"/>
                <w:sz w:val="19"/>
              </w:rPr>
              <w:t>Respondents</w:t>
            </w:r>
          </w:p>
        </w:tc>
        <w:tc>
          <w:tcPr>
            <w:tcW w:w="2225" w:type="dxa"/>
            <w:shd w:val="clear" w:color="auto" w:fill="F1F1F1"/>
          </w:tcPr>
          <w:p>
            <w:pPr>
              <w:pStyle w:val="TableParagraph"/>
              <w:spacing w:before="131"/>
              <w:ind w:left="6" w:right="3"/>
              <w:jc w:val="center"/>
              <w:rPr>
                <w:b/>
                <w:sz w:val="19"/>
              </w:rPr>
            </w:pPr>
            <w:r>
              <w:rPr>
                <w:b/>
                <w:w w:val="105"/>
                <w:sz w:val="19"/>
              </w:rPr>
              <w:t>Number</w:t>
            </w:r>
            <w:r>
              <w:rPr>
                <w:b/>
                <w:spacing w:val="-7"/>
                <w:w w:val="105"/>
                <w:sz w:val="19"/>
              </w:rPr>
              <w:t xml:space="preserve"> </w:t>
            </w:r>
            <w:r>
              <w:rPr>
                <w:b/>
                <w:w w:val="105"/>
                <w:sz w:val="19"/>
              </w:rPr>
              <w:t xml:space="preserve">of </w:t>
            </w:r>
            <w:r>
              <w:rPr>
                <w:b/>
                <w:spacing w:val="-2"/>
                <w:w w:val="105"/>
                <w:sz w:val="19"/>
              </w:rPr>
              <w:t>Responses</w:t>
            </w:r>
          </w:p>
        </w:tc>
        <w:tc>
          <w:tcPr>
            <w:tcW w:w="2232" w:type="dxa"/>
            <w:shd w:val="clear" w:color="auto" w:fill="F1F1F1"/>
          </w:tcPr>
          <w:p>
            <w:pPr>
              <w:pStyle w:val="TableParagraph"/>
              <w:spacing w:line="232" w:lineRule="exact"/>
              <w:ind w:left="122" w:firstLine="310"/>
              <w:rPr>
                <w:b/>
                <w:sz w:val="19"/>
              </w:rPr>
            </w:pPr>
            <w:r>
              <w:rPr>
                <w:b/>
                <w:w w:val="105"/>
                <w:sz w:val="19"/>
              </w:rPr>
              <w:t>Total Estimated Annual</w:t>
            </w:r>
            <w:r>
              <w:rPr>
                <w:b/>
                <w:spacing w:val="-13"/>
                <w:w w:val="105"/>
                <w:sz w:val="19"/>
              </w:rPr>
              <w:t xml:space="preserve"> </w:t>
            </w:r>
            <w:r>
              <w:rPr>
                <w:b/>
                <w:w w:val="105"/>
                <w:sz w:val="19"/>
              </w:rPr>
              <w:t>Burden</w:t>
            </w:r>
            <w:r>
              <w:rPr>
                <w:b/>
                <w:spacing w:val="-12"/>
                <w:w w:val="105"/>
                <w:sz w:val="19"/>
              </w:rPr>
              <w:t xml:space="preserve"> </w:t>
            </w:r>
            <w:r>
              <w:rPr>
                <w:b/>
                <w:w w:val="105"/>
                <w:sz w:val="19"/>
              </w:rPr>
              <w:t>(hours)</w:t>
            </w:r>
          </w:p>
        </w:tc>
        <w:tc>
          <w:tcPr>
            <w:tcW w:w="2232" w:type="dxa"/>
            <w:shd w:val="clear" w:color="auto" w:fill="F1F1F1"/>
          </w:tcPr>
          <w:p>
            <w:pPr>
              <w:pStyle w:val="TableParagraph"/>
              <w:spacing w:line="232" w:lineRule="exact"/>
              <w:ind w:left="926" w:hanging="784"/>
              <w:rPr>
                <w:b/>
                <w:sz w:val="19"/>
              </w:rPr>
            </w:pPr>
            <w:r>
              <w:rPr>
                <w:b/>
                <w:w w:val="105"/>
                <w:sz w:val="19"/>
              </w:rPr>
              <w:t>Total</w:t>
            </w:r>
            <w:r>
              <w:rPr>
                <w:b/>
                <w:spacing w:val="-13"/>
                <w:w w:val="105"/>
                <w:sz w:val="19"/>
              </w:rPr>
              <w:t xml:space="preserve"> </w:t>
            </w:r>
            <w:r>
              <w:rPr>
                <w:b/>
                <w:w w:val="105"/>
                <w:sz w:val="19"/>
              </w:rPr>
              <w:t>Estimated</w:t>
            </w:r>
            <w:r>
              <w:rPr>
                <w:b/>
                <w:spacing w:val="-12"/>
                <w:w w:val="105"/>
                <w:sz w:val="19"/>
              </w:rPr>
              <w:t xml:space="preserve"> </w:t>
            </w:r>
            <w:r>
              <w:rPr>
                <w:b/>
                <w:w w:val="105"/>
                <w:sz w:val="19"/>
              </w:rPr>
              <w:t xml:space="preserve">Labor </w:t>
            </w:r>
            <w:r>
              <w:rPr>
                <w:b/>
                <w:spacing w:val="-4"/>
                <w:w w:val="105"/>
                <w:sz w:val="19"/>
              </w:rPr>
              <w:t>Cost</w:t>
            </w:r>
          </w:p>
        </w:tc>
      </w:tr>
      <w:tr>
        <w:tblPrEx>
          <w:tblW w:w="0" w:type="auto"/>
          <w:jc w:val="left"/>
          <w:tblInd w:w="801" w:type="dxa"/>
          <w:tblLayout w:type="fixed"/>
          <w:tblCellMar>
            <w:top w:w="0" w:type="dxa"/>
            <w:left w:w="0" w:type="dxa"/>
            <w:bottom w:w="0" w:type="dxa"/>
            <w:right w:w="0" w:type="dxa"/>
          </w:tblCellMar>
          <w:tblLook w:val="01E0"/>
        </w:tblPrEx>
        <w:trPr>
          <w:trHeight w:val="229"/>
          <w:jc w:val="left"/>
        </w:trPr>
        <w:tc>
          <w:tcPr>
            <w:tcW w:w="2232" w:type="dxa"/>
          </w:tcPr>
          <w:p>
            <w:pPr>
              <w:pStyle w:val="TableParagraph"/>
              <w:spacing w:before="11" w:line="198" w:lineRule="exact"/>
              <w:ind w:left="13" w:right="13"/>
              <w:jc w:val="center"/>
              <w:rPr>
                <w:sz w:val="19"/>
              </w:rPr>
            </w:pPr>
            <w:r>
              <w:rPr>
                <w:spacing w:val="-5"/>
                <w:w w:val="105"/>
                <w:sz w:val="19"/>
              </w:rPr>
              <w:t>20</w:t>
            </w:r>
          </w:p>
        </w:tc>
        <w:tc>
          <w:tcPr>
            <w:tcW w:w="2225" w:type="dxa"/>
          </w:tcPr>
          <w:p>
            <w:pPr>
              <w:pStyle w:val="TableParagraph"/>
              <w:spacing w:before="11" w:line="198" w:lineRule="exact"/>
              <w:ind w:left="6"/>
              <w:jc w:val="center"/>
              <w:rPr>
                <w:sz w:val="19"/>
              </w:rPr>
            </w:pPr>
            <w:r>
              <w:rPr>
                <w:spacing w:val="-5"/>
                <w:w w:val="105"/>
                <w:sz w:val="19"/>
              </w:rPr>
              <w:t>20</w:t>
            </w:r>
          </w:p>
        </w:tc>
        <w:tc>
          <w:tcPr>
            <w:tcW w:w="2232" w:type="dxa"/>
          </w:tcPr>
          <w:p>
            <w:pPr>
              <w:pStyle w:val="TableParagraph"/>
              <w:spacing w:before="11" w:line="198" w:lineRule="exact"/>
              <w:ind w:left="18" w:right="5"/>
              <w:jc w:val="center"/>
              <w:rPr>
                <w:sz w:val="19"/>
              </w:rPr>
            </w:pPr>
            <w:r>
              <w:rPr>
                <w:spacing w:val="-5"/>
                <w:w w:val="105"/>
                <w:sz w:val="19"/>
              </w:rPr>
              <w:t>100</w:t>
            </w:r>
          </w:p>
        </w:tc>
        <w:tc>
          <w:tcPr>
            <w:tcW w:w="2232" w:type="dxa"/>
          </w:tcPr>
          <w:p>
            <w:pPr>
              <w:pStyle w:val="TableParagraph"/>
              <w:spacing w:before="11" w:line="198" w:lineRule="exact"/>
              <w:ind w:left="13" w:right="8"/>
              <w:jc w:val="center"/>
              <w:rPr>
                <w:sz w:val="19"/>
              </w:rPr>
            </w:pPr>
            <w:r>
              <w:rPr>
                <w:spacing w:val="-2"/>
                <w:w w:val="105"/>
                <w:sz w:val="19"/>
              </w:rPr>
              <w:t>$11,902</w:t>
            </w:r>
          </w:p>
        </w:tc>
      </w:tr>
    </w:tbl>
    <w:p>
      <w:pPr>
        <w:pStyle w:val="BodyText"/>
        <w:spacing w:before="274"/>
        <w:ind w:left="791"/>
      </w:pPr>
      <w:bookmarkStart w:id="33" w:name="Submission of Additional Documentation f"/>
      <w:bookmarkEnd w:id="33"/>
      <w:r>
        <w:rPr>
          <w:u w:val="single"/>
        </w:rPr>
        <w:t>Submission</w:t>
      </w:r>
      <w:r>
        <w:rPr>
          <w:spacing w:val="-5"/>
          <w:u w:val="single"/>
        </w:rPr>
        <w:t xml:space="preserve"> </w:t>
      </w:r>
      <w:r>
        <w:rPr>
          <w:u w:val="single"/>
        </w:rPr>
        <w:t>of</w:t>
      </w:r>
      <w:r>
        <w:rPr>
          <w:spacing w:val="-4"/>
          <w:u w:val="single"/>
        </w:rPr>
        <w:t xml:space="preserve"> </w:t>
      </w:r>
      <w:r>
        <w:rPr>
          <w:u w:val="single"/>
        </w:rPr>
        <w:t>Additional</w:t>
      </w:r>
      <w:r>
        <w:rPr>
          <w:spacing w:val="-5"/>
          <w:u w:val="single"/>
        </w:rPr>
        <w:t xml:space="preserve"> </w:t>
      </w:r>
      <w:r>
        <w:rPr>
          <w:u w:val="single"/>
        </w:rPr>
        <w:t>Documentation</w:t>
      </w:r>
      <w:r>
        <w:rPr>
          <w:spacing w:val="-2"/>
          <w:u w:val="single"/>
        </w:rPr>
        <w:t xml:space="preserve"> </w:t>
      </w:r>
      <w:r>
        <w:rPr>
          <w:u w:val="single"/>
        </w:rPr>
        <w:t>for</w:t>
      </w:r>
      <w:r>
        <w:rPr>
          <w:spacing w:val="-4"/>
          <w:u w:val="single"/>
        </w:rPr>
        <w:t xml:space="preserve"> </w:t>
      </w:r>
      <w:r>
        <w:rPr>
          <w:u w:val="single"/>
        </w:rPr>
        <w:t>Comparative</w:t>
      </w:r>
      <w:r>
        <w:rPr>
          <w:spacing w:val="-3"/>
          <w:u w:val="single"/>
        </w:rPr>
        <w:t xml:space="preserve"> </w:t>
      </w:r>
      <w:r>
        <w:rPr>
          <w:spacing w:val="-2"/>
          <w:u w:val="single"/>
        </w:rPr>
        <w:t>Analyses:</w:t>
      </w:r>
    </w:p>
    <w:p>
      <w:pPr>
        <w:pStyle w:val="BodyText"/>
        <w:spacing w:before="6"/>
      </w:pPr>
    </w:p>
    <w:p>
      <w:pPr>
        <w:pStyle w:val="BodyText"/>
        <w:spacing w:before="1"/>
        <w:ind w:left="791" w:right="32"/>
      </w:pPr>
      <w:r>
        <w:t>Based on previous experience, we assume that upon review, all plans and issuers will be found to have not submitted sufficient documentation and will have to provide additional documentation. This</w:t>
      </w:r>
      <w:r>
        <w:rPr>
          <w:spacing w:val="-5"/>
        </w:rPr>
        <w:t xml:space="preserve"> </w:t>
      </w:r>
      <w:r>
        <w:t>is</w:t>
      </w:r>
      <w:r>
        <w:rPr>
          <w:spacing w:val="-5"/>
        </w:rPr>
        <w:t xml:space="preserve"> </w:t>
      </w:r>
      <w:r>
        <w:t>likely</w:t>
      </w:r>
      <w:r>
        <w:rPr>
          <w:spacing w:val="-3"/>
        </w:rPr>
        <w:t xml:space="preserve"> </w:t>
      </w:r>
      <w:r>
        <w:t>an</w:t>
      </w:r>
      <w:r>
        <w:rPr>
          <w:spacing w:val="-4"/>
        </w:rPr>
        <w:t xml:space="preserve"> </w:t>
      </w:r>
      <w:r>
        <w:t>overestimation, since</w:t>
      </w:r>
      <w:r>
        <w:rPr>
          <w:spacing w:val="-5"/>
        </w:rPr>
        <w:t xml:space="preserve"> </w:t>
      </w:r>
      <w:r>
        <w:t>we</w:t>
      </w:r>
      <w:r>
        <w:rPr>
          <w:spacing w:val="-4"/>
        </w:rPr>
        <w:t xml:space="preserve"> </w:t>
      </w:r>
      <w:r>
        <w:t>anticipate</w:t>
      </w:r>
      <w:r>
        <w:rPr>
          <w:spacing w:val="-4"/>
        </w:rPr>
        <w:t xml:space="preserve"> </w:t>
      </w:r>
      <w:r>
        <w:t>that</w:t>
      </w:r>
      <w:r>
        <w:rPr>
          <w:spacing w:val="-7"/>
        </w:rPr>
        <w:t xml:space="preserve"> </w:t>
      </w:r>
      <w:r>
        <w:t>the</w:t>
      </w:r>
      <w:r>
        <w:rPr>
          <w:spacing w:val="-4"/>
        </w:rPr>
        <w:t xml:space="preserve"> </w:t>
      </w:r>
      <w:r>
        <w:t>2024</w:t>
      </w:r>
      <w:r>
        <w:rPr>
          <w:spacing w:val="-3"/>
        </w:rPr>
        <w:t xml:space="preserve"> </w:t>
      </w:r>
      <w:r>
        <w:t>final</w:t>
      </w:r>
      <w:r>
        <w:rPr>
          <w:spacing w:val="-7"/>
        </w:rPr>
        <w:t xml:space="preserve"> </w:t>
      </w:r>
      <w:r>
        <w:t>rules will</w:t>
      </w:r>
      <w:r>
        <w:rPr>
          <w:spacing w:val="-4"/>
        </w:rPr>
        <w:t xml:space="preserve"> </w:t>
      </w:r>
      <w:r>
        <w:t>provide</w:t>
      </w:r>
      <w:r>
        <w:rPr>
          <w:spacing w:val="-2"/>
        </w:rPr>
        <w:t xml:space="preserve"> </w:t>
      </w:r>
      <w:r>
        <w:t>clarity</w:t>
      </w:r>
      <w:r>
        <w:rPr>
          <w:spacing w:val="-1"/>
        </w:rPr>
        <w:t xml:space="preserve"> </w:t>
      </w:r>
      <w:r>
        <w:t>and</w:t>
      </w:r>
      <w:r>
        <w:rPr>
          <w:spacing w:val="-2"/>
        </w:rPr>
        <w:t xml:space="preserve"> </w:t>
      </w:r>
      <w:r>
        <w:t>lead</w:t>
      </w:r>
      <w:r>
        <w:rPr>
          <w:spacing w:val="-1"/>
        </w:rPr>
        <w:t xml:space="preserve"> </w:t>
      </w:r>
      <w:r>
        <w:t>to</w:t>
      </w:r>
      <w:r>
        <w:rPr>
          <w:spacing w:val="-1"/>
        </w:rPr>
        <w:t xml:space="preserve"> </w:t>
      </w:r>
      <w:r>
        <w:t>better</w:t>
      </w:r>
      <w:r>
        <w:rPr>
          <w:spacing w:val="-4"/>
        </w:rPr>
        <w:t xml:space="preserve"> </w:t>
      </w:r>
      <w:r>
        <w:t>compliance</w:t>
      </w:r>
      <w:r>
        <w:rPr>
          <w:spacing w:val="-2"/>
        </w:rPr>
        <w:t xml:space="preserve"> </w:t>
      </w:r>
      <w:r>
        <w:t>with</w:t>
      </w:r>
      <w:r>
        <w:rPr>
          <w:spacing w:val="-1"/>
        </w:rPr>
        <w:t xml:space="preserve"> </w:t>
      </w:r>
      <w:r>
        <w:t>the</w:t>
      </w:r>
      <w:r>
        <w:rPr>
          <w:spacing w:val="-2"/>
        </w:rPr>
        <w:t xml:space="preserve"> </w:t>
      </w:r>
      <w:r>
        <w:t>documentation</w:t>
      </w:r>
      <w:r>
        <w:rPr>
          <w:spacing w:val="-1"/>
        </w:rPr>
        <w:t xml:space="preserve"> </w:t>
      </w:r>
      <w:r>
        <w:t>requirements. We estimate</w:t>
      </w:r>
      <w:r>
        <w:rPr>
          <w:spacing w:val="-2"/>
        </w:rPr>
        <w:t xml:space="preserve"> </w:t>
      </w:r>
      <w:r>
        <w:t>that</w:t>
      </w:r>
      <w:r>
        <w:rPr>
          <w:spacing w:val="-4"/>
        </w:rPr>
        <w:t xml:space="preserve"> </w:t>
      </w:r>
      <w:r>
        <w:t>for</w:t>
      </w:r>
      <w:r>
        <w:rPr>
          <w:spacing w:val="-3"/>
        </w:rPr>
        <w:t xml:space="preserve"> </w:t>
      </w:r>
      <w:r>
        <w:t>each</w:t>
      </w:r>
      <w:r>
        <w:rPr>
          <w:spacing w:val="-2"/>
        </w:rPr>
        <w:t xml:space="preserve"> </w:t>
      </w:r>
      <w:r>
        <w:t>plan</w:t>
      </w:r>
      <w:r>
        <w:rPr>
          <w:spacing w:val="-2"/>
        </w:rPr>
        <w:t xml:space="preserve"> </w:t>
      </w:r>
      <w:r>
        <w:t>or</w:t>
      </w:r>
      <w:r>
        <w:rPr>
          <w:spacing w:val="-3"/>
        </w:rPr>
        <w:t xml:space="preserve"> </w:t>
      </w:r>
      <w:r>
        <w:t>issuer, a</w:t>
      </w:r>
      <w:r>
        <w:rPr>
          <w:spacing w:val="-2"/>
        </w:rPr>
        <w:t xml:space="preserve"> </w:t>
      </w:r>
      <w:r>
        <w:t>business</w:t>
      </w:r>
      <w:r>
        <w:rPr>
          <w:spacing w:val="-3"/>
        </w:rPr>
        <w:t xml:space="preserve"> </w:t>
      </w:r>
      <w:r>
        <w:t>operations</w:t>
      </w:r>
      <w:r>
        <w:rPr>
          <w:spacing w:val="-3"/>
        </w:rPr>
        <w:t xml:space="preserve"> </w:t>
      </w:r>
      <w:r>
        <w:t>specialist</w:t>
      </w:r>
      <w:r>
        <w:rPr>
          <w:spacing w:val="-4"/>
        </w:rPr>
        <w:t xml:space="preserve"> </w:t>
      </w:r>
      <w:r>
        <w:t>will</w:t>
      </w:r>
      <w:r>
        <w:rPr>
          <w:spacing w:val="-4"/>
        </w:rPr>
        <w:t xml:space="preserve"> </w:t>
      </w:r>
      <w:r>
        <w:t>need</w:t>
      </w:r>
      <w:r>
        <w:rPr>
          <w:spacing w:val="-1"/>
        </w:rPr>
        <w:t xml:space="preserve"> </w:t>
      </w:r>
      <w:r>
        <w:t>4</w:t>
      </w:r>
      <w:r>
        <w:rPr>
          <w:spacing w:val="-1"/>
        </w:rPr>
        <w:t xml:space="preserve"> </w:t>
      </w:r>
      <w:r>
        <w:t>hours</w:t>
      </w:r>
      <w:r>
        <w:rPr>
          <w:spacing w:val="-3"/>
        </w:rPr>
        <w:t xml:space="preserve"> </w:t>
      </w:r>
      <w:r>
        <w:t>(at</w:t>
      </w:r>
      <w:r>
        <w:rPr>
          <w:spacing w:val="-5"/>
        </w:rPr>
        <w:t xml:space="preserve"> </w:t>
      </w:r>
      <w:r>
        <w:t>an hourly labor cost of $114.36) and a general and operations manager will need 1 hour (at an hourly labor cost of $137.67) on average to gather and submit the additional documents to</w:t>
      </w:r>
    </w:p>
    <w:p>
      <w:pPr>
        <w:pStyle w:val="BodyText"/>
        <w:spacing w:after="0"/>
        <w:sectPr>
          <w:pgSz w:w="12240" w:h="15840"/>
          <w:pgMar w:top="1380" w:right="1440" w:bottom="1060" w:left="1080" w:header="0" w:footer="873"/>
          <w:cols w:space="720"/>
        </w:sectPr>
      </w:pPr>
    </w:p>
    <w:p>
      <w:pPr>
        <w:pStyle w:val="BodyText"/>
        <w:spacing w:before="62"/>
        <w:ind w:left="791" w:right="83"/>
      </w:pPr>
      <w:r>
        <w:t>CMS. We estimate the total burden for each plan or issuer will be 5 hours, with an equivalent</w:t>
      </w:r>
      <w:r>
        <w:rPr>
          <w:spacing w:val="-5"/>
        </w:rPr>
        <w:t xml:space="preserve"> </w:t>
      </w:r>
      <w:r>
        <w:t>cost</w:t>
      </w:r>
      <w:r>
        <w:rPr>
          <w:spacing w:val="-5"/>
        </w:rPr>
        <w:t xml:space="preserve"> </w:t>
      </w:r>
      <w:r>
        <w:t>of</w:t>
      </w:r>
      <w:r>
        <w:rPr>
          <w:spacing w:val="-4"/>
        </w:rPr>
        <w:t xml:space="preserve"> </w:t>
      </w:r>
      <w:r>
        <w:t>approximately</w:t>
      </w:r>
      <w:r>
        <w:rPr>
          <w:spacing w:val="-2"/>
        </w:rPr>
        <w:t xml:space="preserve"> </w:t>
      </w:r>
      <w:r>
        <w:t>$595. For</w:t>
      </w:r>
      <w:r>
        <w:rPr>
          <w:spacing w:val="-4"/>
        </w:rPr>
        <w:t xml:space="preserve"> </w:t>
      </w:r>
      <w:r>
        <w:t>20</w:t>
      </w:r>
      <w:r>
        <w:rPr>
          <w:spacing w:val="-8"/>
        </w:rPr>
        <w:t xml:space="preserve"> </w:t>
      </w:r>
      <w:r>
        <w:t>plans</w:t>
      </w:r>
      <w:r>
        <w:rPr>
          <w:spacing w:val="-4"/>
        </w:rPr>
        <w:t xml:space="preserve"> </w:t>
      </w:r>
      <w:r>
        <w:t>or</w:t>
      </w:r>
      <w:r>
        <w:rPr>
          <w:spacing w:val="-4"/>
        </w:rPr>
        <w:t xml:space="preserve"> </w:t>
      </w:r>
      <w:r>
        <w:t>issuers, we</w:t>
      </w:r>
      <w:r>
        <w:rPr>
          <w:spacing w:val="-3"/>
        </w:rPr>
        <w:t xml:space="preserve"> </w:t>
      </w:r>
      <w:r>
        <w:t>estimate</w:t>
      </w:r>
      <w:r>
        <w:rPr>
          <w:spacing w:val="-3"/>
        </w:rPr>
        <w:t xml:space="preserve"> </w:t>
      </w:r>
      <w:r>
        <w:t>the</w:t>
      </w:r>
      <w:r>
        <w:rPr>
          <w:spacing w:val="-3"/>
        </w:rPr>
        <w:t xml:space="preserve"> </w:t>
      </w:r>
      <w:r>
        <w:t>total</w:t>
      </w:r>
      <w:r>
        <w:rPr>
          <w:spacing w:val="-6"/>
        </w:rPr>
        <w:t xml:space="preserve"> </w:t>
      </w:r>
      <w:r>
        <w:t>annual burden will be 100 hours, with an equivalent cost of approximately $11,902.</w:t>
      </w:r>
    </w:p>
    <w:p>
      <w:pPr>
        <w:pStyle w:val="Heading1"/>
        <w:spacing w:before="274"/>
        <w:ind w:right="32"/>
      </w:pPr>
      <w:r>
        <w:t>TABLE 6: Annual Burden for Self-Funded Non-Federal Governmental Plans and Issuers</w:t>
      </w:r>
      <w:r>
        <w:rPr>
          <w:spacing w:val="-4"/>
        </w:rPr>
        <w:t xml:space="preserve"> </w:t>
      </w:r>
      <w:r>
        <w:t>Related</w:t>
      </w:r>
      <w:r>
        <w:rPr>
          <w:spacing w:val="-2"/>
        </w:rPr>
        <w:t xml:space="preserve"> </w:t>
      </w:r>
      <w:r>
        <w:t>to</w:t>
      </w:r>
      <w:r>
        <w:rPr>
          <w:spacing w:val="-2"/>
        </w:rPr>
        <w:t xml:space="preserve"> </w:t>
      </w:r>
      <w:r>
        <w:t>Submission of</w:t>
      </w:r>
      <w:r>
        <w:rPr>
          <w:spacing w:val="2"/>
        </w:rPr>
        <w:t xml:space="preserve"> </w:t>
      </w:r>
      <w:r>
        <w:t>Additional</w:t>
      </w:r>
      <w:r>
        <w:rPr>
          <w:spacing w:val="-5"/>
        </w:rPr>
        <w:t xml:space="preserve"> </w:t>
      </w:r>
      <w:r>
        <w:t>Documentation</w:t>
      </w:r>
      <w:r>
        <w:rPr>
          <w:spacing w:val="-1"/>
        </w:rPr>
        <w:t xml:space="preserve"> </w:t>
      </w:r>
      <w:r>
        <w:t>for</w:t>
      </w:r>
      <w:r>
        <w:rPr>
          <w:spacing w:val="-9"/>
        </w:rPr>
        <w:t xml:space="preserve"> </w:t>
      </w:r>
      <w:r>
        <w:t>Comparative</w:t>
      </w:r>
      <w:r>
        <w:rPr>
          <w:spacing w:val="-2"/>
        </w:rPr>
        <w:t xml:space="preserve"> Analyses</w:t>
      </w:r>
    </w:p>
    <w:p>
      <w:pPr>
        <w:pStyle w:val="BodyText"/>
        <w:spacing w:before="49"/>
        <w:rPr>
          <w:b/>
          <w:sz w:val="20"/>
        </w:rPr>
      </w:pPr>
    </w:p>
    <w:tbl>
      <w:tblPr>
        <w:tblStyle w:val="TableNormal"/>
        <w:tblW w:w="0" w:type="auto"/>
        <w:jc w:val="left"/>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2"/>
        <w:gridCol w:w="2225"/>
        <w:gridCol w:w="2232"/>
        <w:gridCol w:w="2232"/>
      </w:tblGrid>
      <w:tr>
        <w:tblPrEx>
          <w:tblW w:w="0" w:type="auto"/>
          <w:jc w:val="left"/>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56"/>
          <w:jc w:val="left"/>
        </w:trPr>
        <w:tc>
          <w:tcPr>
            <w:tcW w:w="2232" w:type="dxa"/>
            <w:shd w:val="clear" w:color="auto" w:fill="F1F1F1"/>
          </w:tcPr>
          <w:p>
            <w:pPr>
              <w:pStyle w:val="TableParagraph"/>
              <w:spacing w:line="220" w:lineRule="atLeast"/>
              <w:ind w:left="567" w:firstLine="84"/>
              <w:rPr>
                <w:b/>
                <w:sz w:val="19"/>
              </w:rPr>
            </w:pPr>
            <w:r>
              <w:rPr>
                <w:b/>
                <w:w w:val="105"/>
                <w:sz w:val="19"/>
              </w:rPr>
              <w:t xml:space="preserve">Number of </w:t>
            </w:r>
            <w:r>
              <w:rPr>
                <w:b/>
                <w:spacing w:val="-2"/>
                <w:sz w:val="19"/>
              </w:rPr>
              <w:t>Respondents</w:t>
            </w:r>
          </w:p>
        </w:tc>
        <w:tc>
          <w:tcPr>
            <w:tcW w:w="2225" w:type="dxa"/>
            <w:shd w:val="clear" w:color="auto" w:fill="F1F1F1"/>
          </w:tcPr>
          <w:p>
            <w:pPr>
              <w:pStyle w:val="TableParagraph"/>
              <w:spacing w:before="124"/>
              <w:ind w:left="6" w:right="3"/>
              <w:jc w:val="center"/>
              <w:rPr>
                <w:b/>
                <w:sz w:val="19"/>
              </w:rPr>
            </w:pPr>
            <w:r>
              <w:rPr>
                <w:b/>
                <w:w w:val="105"/>
                <w:sz w:val="19"/>
              </w:rPr>
              <w:t>Number</w:t>
            </w:r>
            <w:r>
              <w:rPr>
                <w:b/>
                <w:spacing w:val="-7"/>
                <w:w w:val="105"/>
                <w:sz w:val="19"/>
              </w:rPr>
              <w:t xml:space="preserve"> </w:t>
            </w:r>
            <w:r>
              <w:rPr>
                <w:b/>
                <w:w w:val="105"/>
                <w:sz w:val="19"/>
              </w:rPr>
              <w:t xml:space="preserve">of </w:t>
            </w:r>
            <w:r>
              <w:rPr>
                <w:b/>
                <w:spacing w:val="-2"/>
                <w:w w:val="105"/>
                <w:sz w:val="19"/>
              </w:rPr>
              <w:t>Responses</w:t>
            </w:r>
          </w:p>
        </w:tc>
        <w:tc>
          <w:tcPr>
            <w:tcW w:w="2232" w:type="dxa"/>
            <w:shd w:val="clear" w:color="auto" w:fill="F1F1F1"/>
          </w:tcPr>
          <w:p>
            <w:pPr>
              <w:pStyle w:val="TableParagraph"/>
              <w:spacing w:line="220" w:lineRule="atLeast"/>
              <w:ind w:left="122" w:firstLine="310"/>
              <w:rPr>
                <w:b/>
                <w:sz w:val="19"/>
              </w:rPr>
            </w:pPr>
            <w:r>
              <w:rPr>
                <w:b/>
                <w:w w:val="105"/>
                <w:sz w:val="19"/>
              </w:rPr>
              <w:t>Total Estimated Annual</w:t>
            </w:r>
            <w:r>
              <w:rPr>
                <w:b/>
                <w:spacing w:val="-13"/>
                <w:w w:val="105"/>
                <w:sz w:val="19"/>
              </w:rPr>
              <w:t xml:space="preserve"> </w:t>
            </w:r>
            <w:r>
              <w:rPr>
                <w:b/>
                <w:w w:val="105"/>
                <w:sz w:val="19"/>
              </w:rPr>
              <w:t>Burden</w:t>
            </w:r>
            <w:r>
              <w:rPr>
                <w:b/>
                <w:spacing w:val="-12"/>
                <w:w w:val="105"/>
                <w:sz w:val="19"/>
              </w:rPr>
              <w:t xml:space="preserve"> </w:t>
            </w:r>
            <w:r>
              <w:rPr>
                <w:b/>
                <w:w w:val="105"/>
                <w:sz w:val="19"/>
              </w:rPr>
              <w:t>(hours)</w:t>
            </w:r>
          </w:p>
        </w:tc>
        <w:tc>
          <w:tcPr>
            <w:tcW w:w="2232" w:type="dxa"/>
            <w:shd w:val="clear" w:color="auto" w:fill="F1F1F1"/>
          </w:tcPr>
          <w:p>
            <w:pPr>
              <w:pStyle w:val="TableParagraph"/>
              <w:spacing w:line="220" w:lineRule="atLeast"/>
              <w:ind w:left="926" w:hanging="784"/>
              <w:rPr>
                <w:b/>
                <w:sz w:val="19"/>
              </w:rPr>
            </w:pPr>
            <w:r>
              <w:rPr>
                <w:b/>
                <w:w w:val="105"/>
                <w:sz w:val="19"/>
              </w:rPr>
              <w:t>Total</w:t>
            </w:r>
            <w:r>
              <w:rPr>
                <w:b/>
                <w:spacing w:val="-13"/>
                <w:w w:val="105"/>
                <w:sz w:val="19"/>
              </w:rPr>
              <w:t xml:space="preserve"> </w:t>
            </w:r>
            <w:r>
              <w:rPr>
                <w:b/>
                <w:w w:val="105"/>
                <w:sz w:val="19"/>
              </w:rPr>
              <w:t>Estimated</w:t>
            </w:r>
            <w:r>
              <w:rPr>
                <w:b/>
                <w:spacing w:val="-12"/>
                <w:w w:val="105"/>
                <w:sz w:val="19"/>
              </w:rPr>
              <w:t xml:space="preserve"> </w:t>
            </w:r>
            <w:r>
              <w:rPr>
                <w:b/>
                <w:w w:val="105"/>
                <w:sz w:val="19"/>
              </w:rPr>
              <w:t xml:space="preserve">Labor </w:t>
            </w:r>
            <w:r>
              <w:rPr>
                <w:b/>
                <w:spacing w:val="-4"/>
                <w:w w:val="105"/>
                <w:sz w:val="19"/>
              </w:rPr>
              <w:t>Cost</w:t>
            </w:r>
          </w:p>
        </w:tc>
      </w:tr>
      <w:tr>
        <w:tblPrEx>
          <w:tblW w:w="0" w:type="auto"/>
          <w:jc w:val="left"/>
          <w:tblInd w:w="801" w:type="dxa"/>
          <w:tblLayout w:type="fixed"/>
          <w:tblCellMar>
            <w:top w:w="0" w:type="dxa"/>
            <w:left w:w="0" w:type="dxa"/>
            <w:bottom w:w="0" w:type="dxa"/>
            <w:right w:w="0" w:type="dxa"/>
          </w:tblCellMar>
          <w:tblLook w:val="01E0"/>
        </w:tblPrEx>
        <w:trPr>
          <w:trHeight w:val="236"/>
          <w:jc w:val="left"/>
        </w:trPr>
        <w:tc>
          <w:tcPr>
            <w:tcW w:w="2232" w:type="dxa"/>
          </w:tcPr>
          <w:p>
            <w:pPr>
              <w:pStyle w:val="TableParagraph"/>
              <w:spacing w:before="11" w:line="205" w:lineRule="exact"/>
              <w:ind w:left="13" w:right="13"/>
              <w:jc w:val="center"/>
              <w:rPr>
                <w:sz w:val="19"/>
              </w:rPr>
            </w:pPr>
            <w:r>
              <w:rPr>
                <w:spacing w:val="-5"/>
                <w:w w:val="105"/>
                <w:sz w:val="19"/>
              </w:rPr>
              <w:t>20</w:t>
            </w:r>
          </w:p>
        </w:tc>
        <w:tc>
          <w:tcPr>
            <w:tcW w:w="2225" w:type="dxa"/>
          </w:tcPr>
          <w:p>
            <w:pPr>
              <w:pStyle w:val="TableParagraph"/>
              <w:spacing w:before="11" w:line="205" w:lineRule="exact"/>
              <w:ind w:left="6"/>
              <w:jc w:val="center"/>
              <w:rPr>
                <w:sz w:val="19"/>
              </w:rPr>
            </w:pPr>
            <w:r>
              <w:rPr>
                <w:spacing w:val="-5"/>
                <w:w w:val="105"/>
                <w:sz w:val="19"/>
              </w:rPr>
              <w:t>20</w:t>
            </w:r>
          </w:p>
        </w:tc>
        <w:tc>
          <w:tcPr>
            <w:tcW w:w="2232" w:type="dxa"/>
          </w:tcPr>
          <w:p>
            <w:pPr>
              <w:pStyle w:val="TableParagraph"/>
              <w:spacing w:before="11" w:line="205" w:lineRule="exact"/>
              <w:ind w:left="18" w:right="5"/>
              <w:jc w:val="center"/>
              <w:rPr>
                <w:sz w:val="19"/>
              </w:rPr>
            </w:pPr>
            <w:r>
              <w:rPr>
                <w:spacing w:val="-5"/>
                <w:w w:val="105"/>
                <w:sz w:val="19"/>
              </w:rPr>
              <w:t>100</w:t>
            </w:r>
          </w:p>
        </w:tc>
        <w:tc>
          <w:tcPr>
            <w:tcW w:w="2232" w:type="dxa"/>
          </w:tcPr>
          <w:p>
            <w:pPr>
              <w:pStyle w:val="TableParagraph"/>
              <w:spacing w:before="11" w:line="205" w:lineRule="exact"/>
              <w:ind w:left="13" w:right="8"/>
              <w:jc w:val="center"/>
              <w:rPr>
                <w:sz w:val="19"/>
              </w:rPr>
            </w:pPr>
            <w:r>
              <w:rPr>
                <w:spacing w:val="-2"/>
                <w:w w:val="105"/>
                <w:sz w:val="19"/>
              </w:rPr>
              <w:t>$11,902</w:t>
            </w:r>
          </w:p>
        </w:tc>
      </w:tr>
    </w:tbl>
    <w:p>
      <w:pPr>
        <w:pStyle w:val="BodyText"/>
        <w:spacing w:before="275"/>
        <w:ind w:left="791" w:right="35"/>
      </w:pPr>
      <w:r>
        <w:t>In instances</w:t>
      </w:r>
      <w:r>
        <w:rPr>
          <w:spacing w:val="-1"/>
        </w:rPr>
        <w:t xml:space="preserve"> </w:t>
      </w:r>
      <w:r>
        <w:t>where CMS, upon review of</w:t>
      </w:r>
      <w:r>
        <w:rPr>
          <w:spacing w:val="-1"/>
        </w:rPr>
        <w:t xml:space="preserve"> </w:t>
      </w:r>
      <w:r>
        <w:t>documentation submitted, determines</w:t>
      </w:r>
      <w:r>
        <w:rPr>
          <w:spacing w:val="-1"/>
        </w:rPr>
        <w:t xml:space="preserve"> </w:t>
      </w:r>
      <w:r>
        <w:t>that</w:t>
      </w:r>
      <w:r>
        <w:rPr>
          <w:spacing w:val="-3"/>
        </w:rPr>
        <w:t xml:space="preserve"> </w:t>
      </w:r>
      <w:r>
        <w:t>the plan or issuer is not in compliance with MHPAEA, the CAA, 2021 requires the plan or issuer to specify the actions the plan or issuer will take to come into compliance and submit additional</w:t>
      </w:r>
      <w:r>
        <w:rPr>
          <w:spacing w:val="-4"/>
        </w:rPr>
        <w:t xml:space="preserve"> </w:t>
      </w:r>
      <w:r>
        <w:t>comparative</w:t>
      </w:r>
      <w:r>
        <w:rPr>
          <w:spacing w:val="-2"/>
        </w:rPr>
        <w:t xml:space="preserve"> </w:t>
      </w:r>
      <w:r>
        <w:t>analyses</w:t>
      </w:r>
      <w:r>
        <w:rPr>
          <w:spacing w:val="-3"/>
        </w:rPr>
        <w:t xml:space="preserve"> </w:t>
      </w:r>
      <w:r>
        <w:t>that</w:t>
      </w:r>
      <w:r>
        <w:rPr>
          <w:spacing w:val="-4"/>
        </w:rPr>
        <w:t xml:space="preserve"> </w:t>
      </w:r>
      <w:r>
        <w:t>demonstrate</w:t>
      </w:r>
      <w:r>
        <w:rPr>
          <w:spacing w:val="-2"/>
        </w:rPr>
        <w:t xml:space="preserve"> </w:t>
      </w:r>
      <w:r>
        <w:t>compliance</w:t>
      </w:r>
      <w:r>
        <w:rPr>
          <w:spacing w:val="-2"/>
        </w:rPr>
        <w:t xml:space="preserve"> </w:t>
      </w:r>
      <w:r>
        <w:t>not</w:t>
      </w:r>
      <w:r>
        <w:rPr>
          <w:spacing w:val="-4"/>
        </w:rPr>
        <w:t xml:space="preserve"> </w:t>
      </w:r>
      <w:r>
        <w:t>later</w:t>
      </w:r>
      <w:r>
        <w:rPr>
          <w:spacing w:val="-3"/>
        </w:rPr>
        <w:t xml:space="preserve"> </w:t>
      </w:r>
      <w:r>
        <w:t>than</w:t>
      </w:r>
      <w:r>
        <w:rPr>
          <w:spacing w:val="-1"/>
        </w:rPr>
        <w:t xml:space="preserve"> </w:t>
      </w:r>
      <w:r>
        <w:t>45</w:t>
      </w:r>
      <w:r>
        <w:rPr>
          <w:spacing w:val="-1"/>
        </w:rPr>
        <w:t xml:space="preserve"> </w:t>
      </w:r>
      <w:r>
        <w:t>days</w:t>
      </w:r>
      <w:r>
        <w:rPr>
          <w:spacing w:val="-3"/>
        </w:rPr>
        <w:t xml:space="preserve"> </w:t>
      </w:r>
      <w:r>
        <w:t>after</w:t>
      </w:r>
      <w:r>
        <w:rPr>
          <w:spacing w:val="-4"/>
        </w:rPr>
        <w:t xml:space="preserve"> </w:t>
      </w:r>
      <w:r>
        <w:t>the initial</w:t>
      </w:r>
      <w:r>
        <w:rPr>
          <w:spacing w:val="-6"/>
        </w:rPr>
        <w:t xml:space="preserve"> </w:t>
      </w:r>
      <w:r>
        <w:t>determination</w:t>
      </w:r>
      <w:r>
        <w:rPr>
          <w:spacing w:val="-2"/>
        </w:rPr>
        <w:t xml:space="preserve"> </w:t>
      </w:r>
      <w:r>
        <w:t>of</w:t>
      </w:r>
      <w:r>
        <w:rPr>
          <w:spacing w:val="-4"/>
        </w:rPr>
        <w:t xml:space="preserve"> </w:t>
      </w:r>
      <w:r>
        <w:t>noncompliance. Based</w:t>
      </w:r>
      <w:r>
        <w:rPr>
          <w:spacing w:val="-3"/>
        </w:rPr>
        <w:t xml:space="preserve"> </w:t>
      </w:r>
      <w:r>
        <w:t>on the</w:t>
      </w:r>
      <w:r>
        <w:rPr>
          <w:spacing w:val="-3"/>
        </w:rPr>
        <w:t xml:space="preserve"> </w:t>
      </w:r>
      <w:r>
        <w:t>potential</w:t>
      </w:r>
      <w:r>
        <w:rPr>
          <w:spacing w:val="-6"/>
        </w:rPr>
        <w:t xml:space="preserve"> </w:t>
      </w:r>
      <w:r>
        <w:t>impact</w:t>
      </w:r>
      <w:r>
        <w:rPr>
          <w:spacing w:val="-6"/>
        </w:rPr>
        <w:t xml:space="preserve"> </w:t>
      </w:r>
      <w:r>
        <w:t>of</w:t>
      </w:r>
      <w:r>
        <w:rPr>
          <w:spacing w:val="-4"/>
        </w:rPr>
        <w:t xml:space="preserve"> </w:t>
      </w:r>
      <w:r>
        <w:t>the</w:t>
      </w:r>
      <w:r>
        <w:rPr>
          <w:spacing w:val="-3"/>
        </w:rPr>
        <w:t xml:space="preserve"> </w:t>
      </w:r>
      <w:r>
        <w:t>2024</w:t>
      </w:r>
      <w:r>
        <w:rPr>
          <w:spacing w:val="-2"/>
        </w:rPr>
        <w:t xml:space="preserve"> </w:t>
      </w:r>
      <w:r>
        <w:t>final</w:t>
      </w:r>
      <w:r>
        <w:rPr>
          <w:spacing w:val="-6"/>
        </w:rPr>
        <w:t xml:space="preserve"> </w:t>
      </w:r>
      <w:r>
        <w:t>rules and previous experience,</w:t>
      </w:r>
      <w:hyperlink w:anchor="_bookmark16" w:history="1">
        <w:r>
          <w:rPr>
            <w:position w:val="8"/>
            <w:sz w:val="12"/>
          </w:rPr>
          <w:t>17</w:t>
        </w:r>
      </w:hyperlink>
      <w:r>
        <w:rPr>
          <w:spacing w:val="40"/>
          <w:position w:val="8"/>
          <w:sz w:val="12"/>
        </w:rPr>
        <w:t xml:space="preserve"> </w:t>
      </w:r>
      <w:r>
        <w:t>we expect that 18 issuers and plan sponsors will be found to be non-compliant</w:t>
      </w:r>
      <w:r>
        <w:rPr>
          <w:spacing w:val="-6"/>
        </w:rPr>
        <w:t xml:space="preserve"> </w:t>
      </w:r>
      <w:r>
        <w:t>with</w:t>
      </w:r>
      <w:r>
        <w:rPr>
          <w:spacing w:val="-2"/>
        </w:rPr>
        <w:t xml:space="preserve"> </w:t>
      </w:r>
      <w:r>
        <w:t>the</w:t>
      </w:r>
      <w:r>
        <w:rPr>
          <w:spacing w:val="-3"/>
        </w:rPr>
        <w:t xml:space="preserve"> </w:t>
      </w:r>
      <w:r>
        <w:t>MHPAEA NQTL</w:t>
      </w:r>
      <w:r>
        <w:rPr>
          <w:spacing w:val="-8"/>
        </w:rPr>
        <w:t xml:space="preserve"> </w:t>
      </w:r>
      <w:r>
        <w:t>requirements</w:t>
      </w:r>
      <w:r>
        <w:rPr>
          <w:spacing w:val="-4"/>
        </w:rPr>
        <w:t xml:space="preserve"> </w:t>
      </w:r>
      <w:r>
        <w:t>and</w:t>
      </w:r>
      <w:r>
        <w:rPr>
          <w:spacing w:val="-3"/>
        </w:rPr>
        <w:t xml:space="preserve"> </w:t>
      </w:r>
      <w:r>
        <w:t>will</w:t>
      </w:r>
      <w:r>
        <w:rPr>
          <w:spacing w:val="-5"/>
        </w:rPr>
        <w:t xml:space="preserve"> </w:t>
      </w:r>
      <w:r>
        <w:t>need</w:t>
      </w:r>
      <w:r>
        <w:rPr>
          <w:spacing w:val="-2"/>
        </w:rPr>
        <w:t xml:space="preserve"> </w:t>
      </w:r>
      <w:r>
        <w:t>to</w:t>
      </w:r>
      <w:r>
        <w:rPr>
          <w:spacing w:val="-2"/>
        </w:rPr>
        <w:t xml:space="preserve"> </w:t>
      </w:r>
      <w:r>
        <w:t>complete</w:t>
      </w:r>
      <w:r>
        <w:rPr>
          <w:spacing w:val="-3"/>
        </w:rPr>
        <w:t xml:space="preserve"> </w:t>
      </w:r>
      <w:r>
        <w:t>corrective actions to bring the NQTL into compliance.</w:t>
      </w:r>
    </w:p>
    <w:p>
      <w:pPr>
        <w:pStyle w:val="BodyText"/>
        <w:spacing w:before="2"/>
      </w:pPr>
    </w:p>
    <w:p>
      <w:pPr>
        <w:pStyle w:val="BodyText"/>
        <w:spacing w:before="1"/>
        <w:ind w:left="791" w:right="32"/>
      </w:pPr>
      <w:r>
        <w:t>We estimate that for each such plan or issuer, a business operations specialist will need 36 hours (at an hourly labor cost of $114.36) and a general or operations manager will need 4 hours (at an hourly labor cost of $137.67) on average to prepare and submit documentation demonstrating compliance</w:t>
      </w:r>
      <w:r>
        <w:rPr>
          <w:spacing w:val="-1"/>
        </w:rPr>
        <w:t xml:space="preserve"> </w:t>
      </w:r>
      <w:r>
        <w:t>to CMS. We</w:t>
      </w:r>
      <w:r>
        <w:rPr>
          <w:spacing w:val="-2"/>
        </w:rPr>
        <w:t xml:space="preserve"> </w:t>
      </w:r>
      <w:r>
        <w:t>estimate</w:t>
      </w:r>
      <w:r>
        <w:rPr>
          <w:spacing w:val="-1"/>
        </w:rPr>
        <w:t xml:space="preserve"> </w:t>
      </w:r>
      <w:r>
        <w:t>the</w:t>
      </w:r>
      <w:r>
        <w:rPr>
          <w:spacing w:val="-1"/>
        </w:rPr>
        <w:t xml:space="preserve"> </w:t>
      </w:r>
      <w:r>
        <w:t>total</w:t>
      </w:r>
      <w:r>
        <w:rPr>
          <w:spacing w:val="-4"/>
        </w:rPr>
        <w:t xml:space="preserve"> </w:t>
      </w:r>
      <w:r>
        <w:t>burden</w:t>
      </w:r>
      <w:r>
        <w:rPr>
          <w:spacing w:val="-1"/>
        </w:rPr>
        <w:t xml:space="preserve"> </w:t>
      </w:r>
      <w:r>
        <w:t>for</w:t>
      </w:r>
      <w:r>
        <w:rPr>
          <w:spacing w:val="-2"/>
        </w:rPr>
        <w:t xml:space="preserve"> </w:t>
      </w:r>
      <w:r>
        <w:t>each</w:t>
      </w:r>
      <w:r>
        <w:rPr>
          <w:spacing w:val="-1"/>
        </w:rPr>
        <w:t xml:space="preserve"> </w:t>
      </w:r>
      <w:r>
        <w:t>plan</w:t>
      </w:r>
      <w:r>
        <w:rPr>
          <w:spacing w:val="-1"/>
        </w:rPr>
        <w:t xml:space="preserve"> </w:t>
      </w:r>
      <w:r>
        <w:t>or</w:t>
      </w:r>
      <w:r>
        <w:rPr>
          <w:spacing w:val="-2"/>
        </w:rPr>
        <w:t xml:space="preserve"> </w:t>
      </w:r>
      <w:r>
        <w:t>issuer</w:t>
      </w:r>
      <w:r>
        <w:rPr>
          <w:spacing w:val="-3"/>
        </w:rPr>
        <w:t xml:space="preserve"> </w:t>
      </w:r>
      <w:r>
        <w:t>will be</w:t>
      </w:r>
      <w:r>
        <w:rPr>
          <w:spacing w:val="-3"/>
        </w:rPr>
        <w:t xml:space="preserve"> </w:t>
      </w:r>
      <w:r>
        <w:t>40</w:t>
      </w:r>
      <w:r>
        <w:rPr>
          <w:spacing w:val="-2"/>
        </w:rPr>
        <w:t xml:space="preserve"> </w:t>
      </w:r>
      <w:r>
        <w:t>hours,</w:t>
      </w:r>
      <w:r>
        <w:rPr>
          <w:spacing w:val="-6"/>
        </w:rPr>
        <w:t xml:space="preserve"> </w:t>
      </w:r>
      <w:r>
        <w:t>with</w:t>
      </w:r>
      <w:r>
        <w:rPr>
          <w:spacing w:val="-2"/>
        </w:rPr>
        <w:t xml:space="preserve"> </w:t>
      </w:r>
      <w:r>
        <w:t>an</w:t>
      </w:r>
      <w:r>
        <w:rPr>
          <w:spacing w:val="-3"/>
        </w:rPr>
        <w:t xml:space="preserve"> </w:t>
      </w:r>
      <w:r>
        <w:t>equivalent</w:t>
      </w:r>
      <w:r>
        <w:rPr>
          <w:spacing w:val="-6"/>
        </w:rPr>
        <w:t xml:space="preserve"> </w:t>
      </w:r>
      <w:r>
        <w:t>cost</w:t>
      </w:r>
      <w:r>
        <w:rPr>
          <w:spacing w:val="-5"/>
        </w:rPr>
        <w:t xml:space="preserve"> </w:t>
      </w:r>
      <w:r>
        <w:t>of</w:t>
      </w:r>
      <w:r>
        <w:rPr>
          <w:spacing w:val="-4"/>
        </w:rPr>
        <w:t xml:space="preserve"> </w:t>
      </w:r>
      <w:r>
        <w:t>approximately</w:t>
      </w:r>
      <w:r>
        <w:rPr>
          <w:spacing w:val="-2"/>
        </w:rPr>
        <w:t xml:space="preserve"> </w:t>
      </w:r>
      <w:r>
        <w:t>$4,668</w:t>
      </w:r>
      <w:r>
        <w:rPr>
          <w:spacing w:val="-2"/>
        </w:rPr>
        <w:t xml:space="preserve"> </w:t>
      </w:r>
      <w:r>
        <w:t>and</w:t>
      </w:r>
      <w:r>
        <w:rPr>
          <w:spacing w:val="-3"/>
        </w:rPr>
        <w:t xml:space="preserve"> </w:t>
      </w:r>
      <w:r>
        <w:t>for 18</w:t>
      </w:r>
      <w:r>
        <w:rPr>
          <w:spacing w:val="-1"/>
        </w:rPr>
        <w:t xml:space="preserve"> </w:t>
      </w:r>
      <w:r>
        <w:t>plans</w:t>
      </w:r>
      <w:r>
        <w:rPr>
          <w:spacing w:val="-4"/>
        </w:rPr>
        <w:t xml:space="preserve"> </w:t>
      </w:r>
      <w:r>
        <w:t>or</w:t>
      </w:r>
      <w:r>
        <w:rPr>
          <w:spacing w:val="-4"/>
        </w:rPr>
        <w:t xml:space="preserve"> </w:t>
      </w:r>
      <w:r>
        <w:t>issuers, the total burden will be 720 hours with an equivalent cost of approximately $84,018.</w:t>
      </w:r>
    </w:p>
    <w:p>
      <w:pPr>
        <w:pStyle w:val="Heading1"/>
        <w:spacing w:before="271"/>
        <w:ind w:right="57"/>
      </w:pPr>
      <w:r>
        <w:t>TABLE 7:</w:t>
      </w:r>
      <w:r>
        <w:rPr>
          <w:spacing w:val="-10"/>
        </w:rPr>
        <w:t xml:space="preserve"> </w:t>
      </w:r>
      <w:r>
        <w:t>Annual</w:t>
      </w:r>
      <w:r>
        <w:rPr>
          <w:spacing w:val="-4"/>
        </w:rPr>
        <w:t xml:space="preserve"> </w:t>
      </w:r>
      <w:r>
        <w:t>Burden</w:t>
      </w:r>
      <w:r>
        <w:rPr>
          <w:spacing w:val="-7"/>
        </w:rPr>
        <w:t xml:space="preserve"> </w:t>
      </w:r>
      <w:r>
        <w:t>for</w:t>
      </w:r>
      <w:r>
        <w:rPr>
          <w:spacing w:val="-2"/>
        </w:rPr>
        <w:t xml:space="preserve"> </w:t>
      </w:r>
      <w:r>
        <w:t>Self-Funded</w:t>
      </w:r>
      <w:r>
        <w:rPr>
          <w:spacing w:val="-8"/>
        </w:rPr>
        <w:t xml:space="preserve"> </w:t>
      </w:r>
      <w:r>
        <w:t>Non-Federal</w:t>
      </w:r>
      <w:r>
        <w:rPr>
          <w:spacing w:val="-4"/>
        </w:rPr>
        <w:t xml:space="preserve"> </w:t>
      </w:r>
      <w:r>
        <w:t>Governmental</w:t>
      </w:r>
      <w:r>
        <w:rPr>
          <w:spacing w:val="-4"/>
        </w:rPr>
        <w:t xml:space="preserve"> </w:t>
      </w:r>
      <w:r>
        <w:t>Plans</w:t>
      </w:r>
      <w:r>
        <w:rPr>
          <w:spacing w:val="-2"/>
        </w:rPr>
        <w:t xml:space="preserve"> </w:t>
      </w:r>
      <w:r>
        <w:t>and Issuers Related to Corrective Action Plans</w:t>
      </w:r>
    </w:p>
    <w:p>
      <w:pPr>
        <w:pStyle w:val="BodyText"/>
        <w:spacing w:before="50"/>
        <w:rPr>
          <w:b/>
          <w:sz w:val="20"/>
        </w:rPr>
      </w:pPr>
    </w:p>
    <w:tbl>
      <w:tblPr>
        <w:tblStyle w:val="TableNormal"/>
        <w:tblW w:w="0" w:type="auto"/>
        <w:jc w:val="left"/>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13"/>
        <w:gridCol w:w="1801"/>
        <w:gridCol w:w="2924"/>
        <w:gridCol w:w="2183"/>
      </w:tblGrid>
      <w:tr>
        <w:tblPrEx>
          <w:tblW w:w="0" w:type="auto"/>
          <w:jc w:val="left"/>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55"/>
          <w:jc w:val="left"/>
        </w:trPr>
        <w:tc>
          <w:tcPr>
            <w:tcW w:w="2013" w:type="dxa"/>
            <w:shd w:val="clear" w:color="auto" w:fill="F1F1F1"/>
          </w:tcPr>
          <w:p>
            <w:pPr>
              <w:pStyle w:val="TableParagraph"/>
              <w:spacing w:line="220" w:lineRule="atLeast"/>
              <w:ind w:left="461" w:firstLine="77"/>
              <w:rPr>
                <w:b/>
                <w:sz w:val="19"/>
              </w:rPr>
            </w:pPr>
            <w:r>
              <w:rPr>
                <w:b/>
                <w:w w:val="105"/>
                <w:sz w:val="19"/>
              </w:rPr>
              <w:t xml:space="preserve">Number of </w:t>
            </w:r>
            <w:r>
              <w:rPr>
                <w:b/>
                <w:spacing w:val="-2"/>
                <w:sz w:val="19"/>
              </w:rPr>
              <w:t>Respondents</w:t>
            </w:r>
          </w:p>
        </w:tc>
        <w:tc>
          <w:tcPr>
            <w:tcW w:w="1801" w:type="dxa"/>
            <w:shd w:val="clear" w:color="auto" w:fill="F1F1F1"/>
          </w:tcPr>
          <w:p>
            <w:pPr>
              <w:pStyle w:val="TableParagraph"/>
              <w:spacing w:line="220" w:lineRule="atLeast"/>
              <w:ind w:left="461" w:right="426" w:hanging="29"/>
              <w:rPr>
                <w:b/>
                <w:sz w:val="19"/>
              </w:rPr>
            </w:pPr>
            <w:r>
              <w:rPr>
                <w:b/>
                <w:w w:val="105"/>
                <w:sz w:val="19"/>
              </w:rPr>
              <w:t>Number</w:t>
            </w:r>
            <w:r>
              <w:rPr>
                <w:b/>
                <w:spacing w:val="-13"/>
                <w:w w:val="105"/>
                <w:sz w:val="19"/>
              </w:rPr>
              <w:t xml:space="preserve"> </w:t>
            </w:r>
            <w:r>
              <w:rPr>
                <w:b/>
                <w:w w:val="105"/>
                <w:sz w:val="19"/>
              </w:rPr>
              <w:t xml:space="preserve">of </w:t>
            </w:r>
            <w:r>
              <w:rPr>
                <w:b/>
                <w:spacing w:val="-2"/>
                <w:w w:val="105"/>
                <w:sz w:val="19"/>
              </w:rPr>
              <w:t>Responses</w:t>
            </w:r>
          </w:p>
        </w:tc>
        <w:tc>
          <w:tcPr>
            <w:tcW w:w="2924" w:type="dxa"/>
            <w:shd w:val="clear" w:color="auto" w:fill="F1F1F1"/>
          </w:tcPr>
          <w:p>
            <w:pPr>
              <w:pStyle w:val="TableParagraph"/>
              <w:spacing w:line="220" w:lineRule="atLeast"/>
              <w:ind w:left="800" w:right="429" w:hanging="368"/>
              <w:rPr>
                <w:b/>
                <w:sz w:val="19"/>
              </w:rPr>
            </w:pPr>
            <w:r>
              <w:rPr>
                <w:b/>
                <w:w w:val="105"/>
                <w:sz w:val="19"/>
              </w:rPr>
              <w:t>Total</w:t>
            </w:r>
            <w:r>
              <w:rPr>
                <w:b/>
                <w:spacing w:val="-13"/>
                <w:w w:val="105"/>
                <w:sz w:val="19"/>
              </w:rPr>
              <w:t xml:space="preserve"> </w:t>
            </w:r>
            <w:r>
              <w:rPr>
                <w:b/>
                <w:w w:val="105"/>
                <w:sz w:val="19"/>
              </w:rPr>
              <w:t>Estimated</w:t>
            </w:r>
            <w:r>
              <w:rPr>
                <w:b/>
                <w:spacing w:val="-12"/>
                <w:w w:val="105"/>
                <w:sz w:val="19"/>
              </w:rPr>
              <w:t xml:space="preserve"> </w:t>
            </w:r>
            <w:r>
              <w:rPr>
                <w:b/>
                <w:w w:val="105"/>
                <w:sz w:val="19"/>
              </w:rPr>
              <w:t>Annual Burden (hours)</w:t>
            </w:r>
          </w:p>
        </w:tc>
        <w:tc>
          <w:tcPr>
            <w:tcW w:w="2183" w:type="dxa"/>
            <w:shd w:val="clear" w:color="auto" w:fill="F1F1F1"/>
          </w:tcPr>
          <w:p>
            <w:pPr>
              <w:pStyle w:val="TableParagraph"/>
              <w:spacing w:line="220" w:lineRule="atLeast"/>
              <w:ind w:left="898" w:hanging="784"/>
              <w:rPr>
                <w:b/>
                <w:sz w:val="19"/>
              </w:rPr>
            </w:pPr>
            <w:r>
              <w:rPr>
                <w:b/>
                <w:w w:val="105"/>
                <w:sz w:val="19"/>
              </w:rPr>
              <w:t>Total</w:t>
            </w:r>
            <w:r>
              <w:rPr>
                <w:b/>
                <w:spacing w:val="-13"/>
                <w:w w:val="105"/>
                <w:sz w:val="19"/>
              </w:rPr>
              <w:t xml:space="preserve"> </w:t>
            </w:r>
            <w:r>
              <w:rPr>
                <w:b/>
                <w:w w:val="105"/>
                <w:sz w:val="19"/>
              </w:rPr>
              <w:t>Estimated</w:t>
            </w:r>
            <w:r>
              <w:rPr>
                <w:b/>
                <w:spacing w:val="-12"/>
                <w:w w:val="105"/>
                <w:sz w:val="19"/>
              </w:rPr>
              <w:t xml:space="preserve"> </w:t>
            </w:r>
            <w:r>
              <w:rPr>
                <w:b/>
                <w:w w:val="105"/>
                <w:sz w:val="19"/>
              </w:rPr>
              <w:t xml:space="preserve">Labor </w:t>
            </w:r>
            <w:r>
              <w:rPr>
                <w:b/>
                <w:spacing w:val="-4"/>
                <w:w w:val="105"/>
                <w:sz w:val="19"/>
              </w:rPr>
              <w:t>Cost</w:t>
            </w:r>
          </w:p>
        </w:tc>
      </w:tr>
      <w:tr>
        <w:tblPrEx>
          <w:tblW w:w="0" w:type="auto"/>
          <w:jc w:val="left"/>
          <w:tblInd w:w="801" w:type="dxa"/>
          <w:tblLayout w:type="fixed"/>
          <w:tblCellMar>
            <w:top w:w="0" w:type="dxa"/>
            <w:left w:w="0" w:type="dxa"/>
            <w:bottom w:w="0" w:type="dxa"/>
            <w:right w:w="0" w:type="dxa"/>
          </w:tblCellMar>
          <w:tblLook w:val="01E0"/>
        </w:tblPrEx>
        <w:trPr>
          <w:trHeight w:val="237"/>
          <w:jc w:val="left"/>
        </w:trPr>
        <w:tc>
          <w:tcPr>
            <w:tcW w:w="2013" w:type="dxa"/>
          </w:tcPr>
          <w:p>
            <w:pPr>
              <w:pStyle w:val="TableParagraph"/>
              <w:spacing w:before="11" w:line="205" w:lineRule="exact"/>
              <w:ind w:left="6"/>
              <w:jc w:val="center"/>
              <w:rPr>
                <w:sz w:val="19"/>
              </w:rPr>
            </w:pPr>
            <w:r>
              <w:rPr>
                <w:spacing w:val="-5"/>
                <w:w w:val="105"/>
                <w:sz w:val="19"/>
              </w:rPr>
              <w:t>18</w:t>
            </w:r>
          </w:p>
        </w:tc>
        <w:tc>
          <w:tcPr>
            <w:tcW w:w="1801" w:type="dxa"/>
          </w:tcPr>
          <w:p>
            <w:pPr>
              <w:pStyle w:val="TableParagraph"/>
              <w:spacing w:before="11" w:line="205" w:lineRule="exact"/>
              <w:ind w:left="7"/>
              <w:jc w:val="center"/>
              <w:rPr>
                <w:sz w:val="19"/>
              </w:rPr>
            </w:pPr>
            <w:r>
              <w:rPr>
                <w:spacing w:val="-5"/>
                <w:w w:val="105"/>
                <w:sz w:val="19"/>
              </w:rPr>
              <w:t>18</w:t>
            </w:r>
          </w:p>
        </w:tc>
        <w:tc>
          <w:tcPr>
            <w:tcW w:w="2924" w:type="dxa"/>
          </w:tcPr>
          <w:p>
            <w:pPr>
              <w:pStyle w:val="TableParagraph"/>
              <w:spacing w:before="11" w:line="205" w:lineRule="exact"/>
              <w:jc w:val="center"/>
              <w:rPr>
                <w:sz w:val="19"/>
              </w:rPr>
            </w:pPr>
            <w:r>
              <w:rPr>
                <w:spacing w:val="-5"/>
                <w:w w:val="105"/>
                <w:sz w:val="19"/>
              </w:rPr>
              <w:t>720</w:t>
            </w:r>
          </w:p>
        </w:tc>
        <w:tc>
          <w:tcPr>
            <w:tcW w:w="2183" w:type="dxa"/>
          </w:tcPr>
          <w:p>
            <w:pPr>
              <w:pStyle w:val="TableParagraph"/>
              <w:spacing w:before="11" w:line="205" w:lineRule="exact"/>
              <w:ind w:right="1"/>
              <w:jc w:val="center"/>
              <w:rPr>
                <w:sz w:val="19"/>
              </w:rPr>
            </w:pPr>
            <w:r>
              <w:rPr>
                <w:spacing w:val="-2"/>
                <w:w w:val="105"/>
                <w:sz w:val="19"/>
              </w:rPr>
              <w:t>$84,018</w:t>
            </w:r>
          </w:p>
        </w:tc>
      </w:tr>
    </w:tbl>
    <w:p>
      <w:pPr>
        <w:pStyle w:val="BodyText"/>
        <w:spacing w:before="275"/>
        <w:ind w:left="791" w:right="24"/>
      </w:pPr>
      <w:r>
        <w:t>Following the 45-day corrective action period, if CMS makes a final determination that the plan or issuer is still not in compliance, not later than 7 days after such determination, the plan</w:t>
      </w:r>
      <w:r>
        <w:rPr>
          <w:spacing w:val="-2"/>
        </w:rPr>
        <w:t xml:space="preserve"> </w:t>
      </w:r>
      <w:r>
        <w:t>or</w:t>
      </w:r>
      <w:r>
        <w:rPr>
          <w:spacing w:val="-3"/>
        </w:rPr>
        <w:t xml:space="preserve"> </w:t>
      </w:r>
      <w:r>
        <w:t>issuer</w:t>
      </w:r>
      <w:r>
        <w:rPr>
          <w:spacing w:val="-4"/>
        </w:rPr>
        <w:t xml:space="preserve"> </w:t>
      </w:r>
      <w:r>
        <w:t>must</w:t>
      </w:r>
      <w:r>
        <w:rPr>
          <w:spacing w:val="-4"/>
        </w:rPr>
        <w:t xml:space="preserve"> </w:t>
      </w:r>
      <w:r>
        <w:t>notify</w:t>
      </w:r>
      <w:r>
        <w:rPr>
          <w:spacing w:val="-1"/>
        </w:rPr>
        <w:t xml:space="preserve"> </w:t>
      </w:r>
      <w:r>
        <w:t>all</w:t>
      </w:r>
      <w:r>
        <w:rPr>
          <w:spacing w:val="-4"/>
        </w:rPr>
        <w:t xml:space="preserve"> </w:t>
      </w:r>
      <w:r>
        <w:t>individuals</w:t>
      </w:r>
      <w:r>
        <w:rPr>
          <w:spacing w:val="-3"/>
        </w:rPr>
        <w:t xml:space="preserve"> </w:t>
      </w:r>
      <w:r>
        <w:t>enrolled</w:t>
      </w:r>
      <w:r>
        <w:rPr>
          <w:spacing w:val="-2"/>
        </w:rPr>
        <w:t xml:space="preserve"> </w:t>
      </w:r>
      <w:r>
        <w:t>in</w:t>
      </w:r>
      <w:r>
        <w:rPr>
          <w:spacing w:val="-1"/>
        </w:rPr>
        <w:t xml:space="preserve"> </w:t>
      </w:r>
      <w:r>
        <w:t>the</w:t>
      </w:r>
      <w:r>
        <w:rPr>
          <w:spacing w:val="-2"/>
        </w:rPr>
        <w:t xml:space="preserve"> </w:t>
      </w:r>
      <w:r>
        <w:t>plan</w:t>
      </w:r>
      <w:r>
        <w:rPr>
          <w:spacing w:val="-2"/>
        </w:rPr>
        <w:t xml:space="preserve"> </w:t>
      </w:r>
      <w:r>
        <w:t>or</w:t>
      </w:r>
      <w:r>
        <w:rPr>
          <w:spacing w:val="-3"/>
        </w:rPr>
        <w:t xml:space="preserve"> </w:t>
      </w:r>
      <w:r>
        <w:t>coverage</w:t>
      </w:r>
      <w:r>
        <w:rPr>
          <w:spacing w:val="-3"/>
        </w:rPr>
        <w:t xml:space="preserve"> </w:t>
      </w:r>
      <w:r>
        <w:t>that</w:t>
      </w:r>
      <w:r>
        <w:rPr>
          <w:spacing w:val="-5"/>
        </w:rPr>
        <w:t xml:space="preserve"> </w:t>
      </w:r>
      <w:r>
        <w:t>the</w:t>
      </w:r>
      <w:r>
        <w:rPr>
          <w:spacing w:val="-2"/>
        </w:rPr>
        <w:t xml:space="preserve"> </w:t>
      </w:r>
      <w:r>
        <w:t>coverage</w:t>
      </w:r>
      <w:r>
        <w:rPr>
          <w:spacing w:val="-3"/>
        </w:rPr>
        <w:t xml:space="preserve"> </w:t>
      </w:r>
      <w:r>
        <w:t>is determined</w:t>
      </w:r>
      <w:r>
        <w:rPr>
          <w:spacing w:val="-3"/>
        </w:rPr>
        <w:t xml:space="preserve"> </w:t>
      </w:r>
      <w:r>
        <w:t>to</w:t>
      </w:r>
      <w:r>
        <w:rPr>
          <w:spacing w:val="-3"/>
        </w:rPr>
        <w:t xml:space="preserve"> </w:t>
      </w:r>
      <w:r>
        <w:t>be</w:t>
      </w:r>
      <w:r>
        <w:rPr>
          <w:spacing w:val="-3"/>
        </w:rPr>
        <w:t xml:space="preserve"> </w:t>
      </w:r>
      <w:r>
        <w:t>noncompliant</w:t>
      </w:r>
      <w:r>
        <w:rPr>
          <w:spacing w:val="-6"/>
        </w:rPr>
        <w:t xml:space="preserve"> </w:t>
      </w:r>
      <w:r>
        <w:t>with</w:t>
      </w:r>
      <w:r>
        <w:rPr>
          <w:spacing w:val="-3"/>
        </w:rPr>
        <w:t xml:space="preserve"> </w:t>
      </w:r>
      <w:r>
        <w:t>MHPAEA.</w:t>
      </w:r>
      <w:r>
        <w:rPr>
          <w:spacing w:val="-6"/>
        </w:rPr>
        <w:t xml:space="preserve"> </w:t>
      </w:r>
      <w:r>
        <w:t>We</w:t>
      </w:r>
      <w:r>
        <w:rPr>
          <w:spacing w:val="-4"/>
        </w:rPr>
        <w:t xml:space="preserve"> </w:t>
      </w:r>
      <w:r>
        <w:t>anticipate</w:t>
      </w:r>
      <w:r>
        <w:rPr>
          <w:spacing w:val="-3"/>
        </w:rPr>
        <w:t xml:space="preserve"> </w:t>
      </w:r>
      <w:r>
        <w:t>that</w:t>
      </w:r>
      <w:r>
        <w:rPr>
          <w:spacing w:val="-6"/>
        </w:rPr>
        <w:t xml:space="preserve"> </w:t>
      </w:r>
      <w:r>
        <w:t>issuers</w:t>
      </w:r>
      <w:r>
        <w:rPr>
          <w:spacing w:val="-4"/>
        </w:rPr>
        <w:t xml:space="preserve"> </w:t>
      </w:r>
      <w:r>
        <w:t>and</w:t>
      </w:r>
      <w:r>
        <w:rPr>
          <w:spacing w:val="-3"/>
        </w:rPr>
        <w:t xml:space="preserve"> </w:t>
      </w:r>
      <w:r>
        <w:t>plan</w:t>
      </w:r>
      <w:r>
        <w:rPr>
          <w:spacing w:val="-3"/>
        </w:rPr>
        <w:t xml:space="preserve"> </w:t>
      </w:r>
      <w:r>
        <w:t>sponsors will take corrective action to become compliant with MHPAEA NQTL requirements. If a plan or issuer is still not in compliance, we estimate that it will take a lawyer (at an hourly labor cost of $165.71) 1 hour to prepare the required notice that will be sent to all</w:t>
      </w:r>
      <w:r>
        <w:rPr>
          <w:spacing w:val="40"/>
        </w:rPr>
        <w:t xml:space="preserve"> </w:t>
      </w:r>
      <w:r>
        <w:t>individuals enrolled in the plan or coverage for a cost of approximately $166.</w:t>
      </w:r>
    </w:p>
    <w:p>
      <w:pPr>
        <w:pStyle w:val="BodyText"/>
        <w:rPr>
          <w:sz w:val="20"/>
        </w:rPr>
      </w:pPr>
    </w:p>
    <w:p>
      <w:pPr>
        <w:pStyle w:val="BodyText"/>
        <w:rPr>
          <w:sz w:val="20"/>
        </w:rPr>
      </w:pPr>
    </w:p>
    <w:p>
      <w:pPr>
        <w:pStyle w:val="BodyText"/>
        <w:spacing w:before="85"/>
        <w:rPr>
          <w:sz w:val="20"/>
        </w:rPr>
      </w:pPr>
      <w:r>
        <w:rPr>
          <w:sz w:val="20"/>
        </w:rPr>
        <mc:AlternateContent>
          <mc:Choice Requires="wps">
            <w:drawing>
              <wp:anchor distT="0" distB="0" distL="0" distR="0" simplePos="0" relativeHeight="251672576" behindDoc="1" locked="0" layoutInCell="1" allowOverlap="1">
                <wp:simplePos x="0" y="0"/>
                <wp:positionH relativeFrom="page">
                  <wp:posOffset>914996</wp:posOffset>
                </wp:positionH>
                <wp:positionV relativeFrom="paragraph">
                  <wp:posOffset>215281</wp:posOffset>
                </wp:positionV>
                <wp:extent cx="1830070" cy="5080"/>
                <wp:effectExtent l="0" t="0" r="0" b="0"/>
                <wp:wrapTopAndBottom/>
                <wp:docPr id="9" name="Graphic 9"/>
                <wp:cNvGraphicFramePr/>
                <a:graphic xmlns:a="http://schemas.openxmlformats.org/drawingml/2006/main">
                  <a:graphicData uri="http://schemas.microsoft.com/office/word/2010/wordprocessingShape">
                    <wps:wsp xmlns:wps="http://schemas.microsoft.com/office/word/2010/wordprocessingShape">
                      <wps:cNvSpPr/>
                      <wps:spPr>
                        <a:xfrm>
                          <a:off x="0" y="0"/>
                          <a:ext cx="1830070" cy="5080"/>
                        </a:xfrm>
                        <a:custGeom>
                          <a:avLst/>
                          <a:gdLst/>
                          <a:rect l="l" t="t" r="r" b="b"/>
                          <a:pathLst>
                            <a:path fill="norm" h="5080" w="1830070" stroke="1">
                              <a:moveTo>
                                <a:pt x="1829689" y="0"/>
                              </a:moveTo>
                              <a:lnTo>
                                <a:pt x="0" y="0"/>
                              </a:lnTo>
                              <a:lnTo>
                                <a:pt x="0" y="4483"/>
                              </a:lnTo>
                              <a:lnTo>
                                <a:pt x="1829689" y="4483"/>
                              </a:lnTo>
                              <a:lnTo>
                                <a:pt x="1829689" y="0"/>
                              </a:lnTo>
                              <a:close/>
                            </a:path>
                          </a:pathLst>
                        </a:custGeom>
                        <a:solidFill>
                          <a:srgbClr val="000000"/>
                        </a:solidFill>
                      </wps:spPr>
                      <wps:bodyPr wrap="square" lIns="0" tIns="0" rIns="0" bIns="0" rtlCol="0">
                        <a:prstTxWarp prst="textNoShape">
                          <a:avLst/>
                        </a:prstTxWarp>
                      </wps:bodyPr>
                    </wps:wsp>
                  </a:graphicData>
                </a:graphic>
              </wp:anchor>
            </w:drawing>
          </mc:Choice>
          <mc:Fallback>
            <w:pict>
              <v:rect id="_x0000_s1032" style="width:144.07pt;height:0.35pt;margin-top:16.95pt;margin-left:72.05pt;mso-position-horizontal-relative:page;mso-wrap-distance-left:0;mso-wrap-distance-right:0;position:absolute;z-index:-251642880" filled="t" fillcolor="black" stroked="f">
                <v:fill type="solid"/>
                <w10:wrap type="topAndBottom"/>
              </v:rect>
            </w:pict>
          </mc:Fallback>
        </mc:AlternateContent>
      </w:r>
    </w:p>
    <w:p>
      <w:pPr>
        <w:spacing w:before="98" w:line="252" w:lineRule="auto"/>
        <w:ind w:left="360" w:right="53" w:firstLine="0"/>
        <w:jc w:val="left"/>
        <w:rPr>
          <w:sz w:val="19"/>
        </w:rPr>
      </w:pPr>
      <w:bookmarkStart w:id="34" w:name="_bookmark16"/>
      <w:bookmarkEnd w:id="34"/>
      <w:r>
        <w:rPr>
          <w:w w:val="105"/>
          <w:sz w:val="19"/>
          <w:vertAlign w:val="superscript"/>
        </w:rPr>
        <w:t>17</w:t>
      </w:r>
      <w:r>
        <w:rPr>
          <w:spacing w:val="-2"/>
          <w:w w:val="105"/>
          <w:sz w:val="19"/>
          <w:vertAlign w:val="baseline"/>
        </w:rPr>
        <w:t xml:space="preserve"> </w:t>
      </w:r>
      <w:r>
        <w:rPr>
          <w:w w:val="105"/>
          <w:sz w:val="19"/>
          <w:vertAlign w:val="baseline"/>
        </w:rPr>
        <w:t>See</w:t>
      </w:r>
      <w:r>
        <w:rPr>
          <w:spacing w:val="-5"/>
          <w:w w:val="105"/>
          <w:sz w:val="19"/>
          <w:vertAlign w:val="baseline"/>
        </w:rPr>
        <w:t xml:space="preserve"> </w:t>
      </w:r>
      <w:r>
        <w:rPr>
          <w:w w:val="105"/>
          <w:sz w:val="19"/>
          <w:vertAlign w:val="baseline"/>
        </w:rPr>
        <w:t>the</w:t>
      </w:r>
      <w:r>
        <w:rPr>
          <w:spacing w:val="-4"/>
          <w:w w:val="105"/>
          <w:sz w:val="19"/>
          <w:vertAlign w:val="baseline"/>
        </w:rPr>
        <w:t xml:space="preserve"> </w:t>
      </w:r>
      <w:r>
        <w:rPr>
          <w:w w:val="105"/>
          <w:sz w:val="19"/>
          <w:vertAlign w:val="baseline"/>
        </w:rPr>
        <w:t>2022 MHPAEA</w:t>
      </w:r>
      <w:r>
        <w:rPr>
          <w:spacing w:val="-3"/>
          <w:w w:val="105"/>
          <w:sz w:val="19"/>
          <w:vertAlign w:val="baseline"/>
        </w:rPr>
        <w:t xml:space="preserve"> </w:t>
      </w:r>
      <w:r>
        <w:rPr>
          <w:w w:val="105"/>
          <w:sz w:val="19"/>
          <w:vertAlign w:val="baseline"/>
        </w:rPr>
        <w:t>Report to</w:t>
      </w:r>
      <w:r>
        <w:rPr>
          <w:spacing w:val="-2"/>
          <w:w w:val="105"/>
          <w:sz w:val="19"/>
          <w:vertAlign w:val="baseline"/>
        </w:rPr>
        <w:t xml:space="preserve"> </w:t>
      </w:r>
      <w:r>
        <w:rPr>
          <w:w w:val="105"/>
          <w:sz w:val="19"/>
          <w:vertAlign w:val="baseline"/>
        </w:rPr>
        <w:t>Congress, available</w:t>
      </w:r>
      <w:r>
        <w:rPr>
          <w:spacing w:val="-5"/>
          <w:w w:val="105"/>
          <w:sz w:val="19"/>
          <w:vertAlign w:val="baseline"/>
        </w:rPr>
        <w:t xml:space="preserve"> </w:t>
      </w:r>
      <w:r>
        <w:rPr>
          <w:w w:val="105"/>
          <w:sz w:val="19"/>
          <w:vertAlign w:val="baseline"/>
        </w:rPr>
        <w:t xml:space="preserve">at: </w:t>
      </w:r>
      <w:hyperlink r:id="rId6">
        <w:r>
          <w:rPr>
            <w:w w:val="105"/>
            <w:sz w:val="19"/>
            <w:vertAlign w:val="baseline"/>
          </w:rPr>
          <w:t>https://www.dol.gov/sites/dolgov/files/EBSA/laws-and-</w:t>
        </w:r>
      </w:hyperlink>
      <w:r>
        <w:rPr>
          <w:spacing w:val="-2"/>
          <w:w w:val="105"/>
          <w:sz w:val="19"/>
          <w:vertAlign w:val="baseline"/>
        </w:rPr>
        <w:t>regulations/laws/mental-health-parity/report-to-congress-2022-realizing-parity-reducing-stigma-and-raising-awareness.pdf.</w:t>
      </w:r>
    </w:p>
    <w:p>
      <w:pPr>
        <w:spacing w:after="0" w:line="252" w:lineRule="auto"/>
        <w:jc w:val="left"/>
        <w:rPr>
          <w:sz w:val="19"/>
        </w:rPr>
        <w:sectPr>
          <w:pgSz w:w="12240" w:h="15840"/>
          <w:pgMar w:top="1380" w:right="1440" w:bottom="1060" w:left="1080" w:header="0" w:footer="873"/>
          <w:cols w:space="720"/>
        </w:sectPr>
      </w:pPr>
    </w:p>
    <w:p>
      <w:pPr>
        <w:pStyle w:val="Heading1"/>
        <w:ind w:right="57"/>
      </w:pPr>
      <w:r>
        <w:t>TABLE 8:</w:t>
      </w:r>
      <w:r>
        <w:rPr>
          <w:spacing w:val="-10"/>
        </w:rPr>
        <w:t xml:space="preserve"> </w:t>
      </w:r>
      <w:r>
        <w:t>Annual</w:t>
      </w:r>
      <w:r>
        <w:rPr>
          <w:spacing w:val="-4"/>
        </w:rPr>
        <w:t xml:space="preserve"> </w:t>
      </w:r>
      <w:r>
        <w:t>Burden</w:t>
      </w:r>
      <w:r>
        <w:rPr>
          <w:spacing w:val="-7"/>
        </w:rPr>
        <w:t xml:space="preserve"> </w:t>
      </w:r>
      <w:r>
        <w:t>for</w:t>
      </w:r>
      <w:r>
        <w:rPr>
          <w:spacing w:val="-2"/>
        </w:rPr>
        <w:t xml:space="preserve"> </w:t>
      </w:r>
      <w:r>
        <w:t>Self-Funded</w:t>
      </w:r>
      <w:r>
        <w:rPr>
          <w:spacing w:val="-8"/>
        </w:rPr>
        <w:t xml:space="preserve"> </w:t>
      </w:r>
      <w:r>
        <w:t>Non-Federal</w:t>
      </w:r>
      <w:r>
        <w:rPr>
          <w:spacing w:val="-4"/>
        </w:rPr>
        <w:t xml:space="preserve"> </w:t>
      </w:r>
      <w:r>
        <w:t>Governmental</w:t>
      </w:r>
      <w:r>
        <w:rPr>
          <w:spacing w:val="-4"/>
        </w:rPr>
        <w:t xml:space="preserve"> </w:t>
      </w:r>
      <w:r>
        <w:t>Plans</w:t>
      </w:r>
      <w:r>
        <w:rPr>
          <w:spacing w:val="-2"/>
        </w:rPr>
        <w:t xml:space="preserve"> </w:t>
      </w:r>
      <w:r>
        <w:t>and Issuers Related to Notification of Non-Compliance</w:t>
      </w:r>
    </w:p>
    <w:p>
      <w:pPr>
        <w:pStyle w:val="BodyText"/>
        <w:spacing w:before="42" w:after="1"/>
        <w:rPr>
          <w:b/>
          <w:sz w:val="20"/>
        </w:rPr>
      </w:pPr>
    </w:p>
    <w:tbl>
      <w:tblPr>
        <w:tblStyle w:val="TableNormal"/>
        <w:tblW w:w="0" w:type="auto"/>
        <w:jc w:val="left"/>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2"/>
        <w:gridCol w:w="2225"/>
        <w:gridCol w:w="2232"/>
        <w:gridCol w:w="2232"/>
      </w:tblGrid>
      <w:tr>
        <w:tblPrEx>
          <w:tblW w:w="0" w:type="auto"/>
          <w:jc w:val="left"/>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63"/>
          <w:jc w:val="left"/>
        </w:trPr>
        <w:tc>
          <w:tcPr>
            <w:tcW w:w="2232" w:type="dxa"/>
            <w:shd w:val="clear" w:color="auto" w:fill="F1F1F1"/>
          </w:tcPr>
          <w:p>
            <w:pPr>
              <w:pStyle w:val="TableParagraph"/>
              <w:spacing w:line="234" w:lineRule="exact"/>
              <w:ind w:left="567" w:firstLine="84"/>
              <w:rPr>
                <w:b/>
                <w:sz w:val="19"/>
              </w:rPr>
            </w:pPr>
            <w:r>
              <w:rPr>
                <w:b/>
                <w:w w:val="105"/>
                <w:sz w:val="19"/>
              </w:rPr>
              <w:t xml:space="preserve">Number of </w:t>
            </w:r>
            <w:r>
              <w:rPr>
                <w:b/>
                <w:spacing w:val="-2"/>
                <w:sz w:val="19"/>
              </w:rPr>
              <w:t>Respondents</w:t>
            </w:r>
          </w:p>
        </w:tc>
        <w:tc>
          <w:tcPr>
            <w:tcW w:w="2225" w:type="dxa"/>
            <w:shd w:val="clear" w:color="auto" w:fill="F1F1F1"/>
          </w:tcPr>
          <w:p>
            <w:pPr>
              <w:pStyle w:val="TableParagraph"/>
              <w:spacing w:before="131"/>
              <w:ind w:left="6" w:right="3"/>
              <w:jc w:val="center"/>
              <w:rPr>
                <w:b/>
                <w:sz w:val="19"/>
              </w:rPr>
            </w:pPr>
            <w:r>
              <w:rPr>
                <w:b/>
                <w:w w:val="105"/>
                <w:sz w:val="19"/>
              </w:rPr>
              <w:t>Number</w:t>
            </w:r>
            <w:r>
              <w:rPr>
                <w:b/>
                <w:spacing w:val="-7"/>
                <w:w w:val="105"/>
                <w:sz w:val="19"/>
              </w:rPr>
              <w:t xml:space="preserve"> </w:t>
            </w:r>
            <w:r>
              <w:rPr>
                <w:b/>
                <w:w w:val="105"/>
                <w:sz w:val="19"/>
              </w:rPr>
              <w:t xml:space="preserve">of </w:t>
            </w:r>
            <w:r>
              <w:rPr>
                <w:b/>
                <w:spacing w:val="-2"/>
                <w:w w:val="105"/>
                <w:sz w:val="19"/>
              </w:rPr>
              <w:t>Responses</w:t>
            </w:r>
          </w:p>
        </w:tc>
        <w:tc>
          <w:tcPr>
            <w:tcW w:w="2232" w:type="dxa"/>
            <w:shd w:val="clear" w:color="auto" w:fill="F1F1F1"/>
          </w:tcPr>
          <w:p>
            <w:pPr>
              <w:pStyle w:val="TableParagraph"/>
              <w:spacing w:line="234" w:lineRule="exact"/>
              <w:ind w:left="122" w:firstLine="310"/>
              <w:rPr>
                <w:b/>
                <w:sz w:val="19"/>
              </w:rPr>
            </w:pPr>
            <w:r>
              <w:rPr>
                <w:b/>
                <w:w w:val="105"/>
                <w:sz w:val="19"/>
              </w:rPr>
              <w:t>Total Estimated Annual</w:t>
            </w:r>
            <w:r>
              <w:rPr>
                <w:b/>
                <w:spacing w:val="-13"/>
                <w:w w:val="105"/>
                <w:sz w:val="19"/>
              </w:rPr>
              <w:t xml:space="preserve"> </w:t>
            </w:r>
            <w:r>
              <w:rPr>
                <w:b/>
                <w:w w:val="105"/>
                <w:sz w:val="19"/>
              </w:rPr>
              <w:t>Burden</w:t>
            </w:r>
            <w:r>
              <w:rPr>
                <w:b/>
                <w:spacing w:val="-12"/>
                <w:w w:val="105"/>
                <w:sz w:val="19"/>
              </w:rPr>
              <w:t xml:space="preserve"> </w:t>
            </w:r>
            <w:r>
              <w:rPr>
                <w:b/>
                <w:w w:val="105"/>
                <w:sz w:val="19"/>
              </w:rPr>
              <w:t>(hours)</w:t>
            </w:r>
          </w:p>
        </w:tc>
        <w:tc>
          <w:tcPr>
            <w:tcW w:w="2232" w:type="dxa"/>
            <w:shd w:val="clear" w:color="auto" w:fill="F1F1F1"/>
          </w:tcPr>
          <w:p>
            <w:pPr>
              <w:pStyle w:val="TableParagraph"/>
              <w:spacing w:line="234" w:lineRule="exact"/>
              <w:ind w:left="926" w:hanging="784"/>
              <w:rPr>
                <w:b/>
                <w:sz w:val="19"/>
              </w:rPr>
            </w:pPr>
            <w:r>
              <w:rPr>
                <w:b/>
                <w:w w:val="105"/>
                <w:sz w:val="19"/>
              </w:rPr>
              <w:t>Total</w:t>
            </w:r>
            <w:r>
              <w:rPr>
                <w:b/>
                <w:spacing w:val="-13"/>
                <w:w w:val="105"/>
                <w:sz w:val="19"/>
              </w:rPr>
              <w:t xml:space="preserve"> </w:t>
            </w:r>
            <w:r>
              <w:rPr>
                <w:b/>
                <w:w w:val="105"/>
                <w:sz w:val="19"/>
              </w:rPr>
              <w:t>Estimated</w:t>
            </w:r>
            <w:r>
              <w:rPr>
                <w:b/>
                <w:spacing w:val="-12"/>
                <w:w w:val="105"/>
                <w:sz w:val="19"/>
              </w:rPr>
              <w:t xml:space="preserve"> </w:t>
            </w:r>
            <w:r>
              <w:rPr>
                <w:b/>
                <w:w w:val="105"/>
                <w:sz w:val="19"/>
              </w:rPr>
              <w:t xml:space="preserve">Labor </w:t>
            </w:r>
            <w:r>
              <w:rPr>
                <w:b/>
                <w:spacing w:val="-4"/>
                <w:w w:val="105"/>
                <w:sz w:val="19"/>
              </w:rPr>
              <w:t>Cost</w:t>
            </w:r>
          </w:p>
        </w:tc>
      </w:tr>
      <w:tr>
        <w:tblPrEx>
          <w:tblW w:w="0" w:type="auto"/>
          <w:jc w:val="left"/>
          <w:tblInd w:w="801" w:type="dxa"/>
          <w:tblLayout w:type="fixed"/>
          <w:tblCellMar>
            <w:top w:w="0" w:type="dxa"/>
            <w:left w:w="0" w:type="dxa"/>
            <w:bottom w:w="0" w:type="dxa"/>
            <w:right w:w="0" w:type="dxa"/>
          </w:tblCellMar>
          <w:tblLook w:val="01E0"/>
        </w:tblPrEx>
        <w:trPr>
          <w:trHeight w:val="225"/>
          <w:jc w:val="left"/>
        </w:trPr>
        <w:tc>
          <w:tcPr>
            <w:tcW w:w="2232" w:type="dxa"/>
          </w:tcPr>
          <w:p>
            <w:pPr>
              <w:pStyle w:val="TableParagraph"/>
              <w:spacing w:before="7" w:line="198" w:lineRule="exact"/>
              <w:ind w:left="13" w:right="13"/>
              <w:jc w:val="center"/>
              <w:rPr>
                <w:sz w:val="19"/>
              </w:rPr>
            </w:pPr>
            <w:r>
              <w:rPr>
                <w:spacing w:val="-10"/>
                <w:w w:val="105"/>
                <w:sz w:val="19"/>
              </w:rPr>
              <w:t>1</w:t>
            </w:r>
          </w:p>
        </w:tc>
        <w:tc>
          <w:tcPr>
            <w:tcW w:w="2225" w:type="dxa"/>
          </w:tcPr>
          <w:p>
            <w:pPr>
              <w:pStyle w:val="TableParagraph"/>
              <w:spacing w:before="7" w:line="198" w:lineRule="exact"/>
              <w:ind w:left="6"/>
              <w:jc w:val="center"/>
              <w:rPr>
                <w:sz w:val="19"/>
              </w:rPr>
            </w:pPr>
            <w:r>
              <w:rPr>
                <w:spacing w:val="-10"/>
                <w:w w:val="105"/>
                <w:sz w:val="19"/>
              </w:rPr>
              <w:t>1</w:t>
            </w:r>
          </w:p>
        </w:tc>
        <w:tc>
          <w:tcPr>
            <w:tcW w:w="2232" w:type="dxa"/>
          </w:tcPr>
          <w:p>
            <w:pPr>
              <w:pStyle w:val="TableParagraph"/>
              <w:spacing w:before="7" w:line="198" w:lineRule="exact"/>
              <w:ind w:left="18" w:right="5"/>
              <w:jc w:val="center"/>
              <w:rPr>
                <w:sz w:val="19"/>
              </w:rPr>
            </w:pPr>
            <w:r>
              <w:rPr>
                <w:spacing w:val="-10"/>
                <w:w w:val="105"/>
                <w:sz w:val="19"/>
              </w:rPr>
              <w:t>1</w:t>
            </w:r>
          </w:p>
        </w:tc>
        <w:tc>
          <w:tcPr>
            <w:tcW w:w="2232" w:type="dxa"/>
          </w:tcPr>
          <w:p>
            <w:pPr>
              <w:pStyle w:val="TableParagraph"/>
              <w:spacing w:before="7" w:line="198" w:lineRule="exact"/>
              <w:ind w:left="17" w:right="5"/>
              <w:jc w:val="center"/>
              <w:rPr>
                <w:sz w:val="19"/>
              </w:rPr>
            </w:pPr>
            <w:r>
              <w:rPr>
                <w:spacing w:val="-4"/>
                <w:w w:val="105"/>
                <w:sz w:val="19"/>
              </w:rPr>
              <w:t>$166</w:t>
            </w:r>
          </w:p>
        </w:tc>
      </w:tr>
    </w:tbl>
    <w:p>
      <w:pPr>
        <w:pStyle w:val="BodyText"/>
        <w:spacing w:before="274"/>
        <w:ind w:left="791"/>
      </w:pPr>
      <w:bookmarkStart w:id="35" w:name="Submission to States Upon Request:"/>
      <w:bookmarkEnd w:id="35"/>
      <w:r>
        <w:rPr>
          <w:u w:val="single"/>
        </w:rPr>
        <w:t>Submission</w:t>
      </w:r>
      <w:r>
        <w:rPr>
          <w:spacing w:val="-2"/>
          <w:u w:val="single"/>
        </w:rPr>
        <w:t xml:space="preserve"> </w:t>
      </w:r>
      <w:r>
        <w:rPr>
          <w:u w:val="single"/>
        </w:rPr>
        <w:t>to</w:t>
      </w:r>
      <w:r>
        <w:rPr>
          <w:spacing w:val="-1"/>
          <w:u w:val="single"/>
        </w:rPr>
        <w:t xml:space="preserve"> </w:t>
      </w:r>
      <w:r>
        <w:rPr>
          <w:u w:val="single"/>
        </w:rPr>
        <w:t>States</w:t>
      </w:r>
      <w:r>
        <w:rPr>
          <w:spacing w:val="-3"/>
          <w:u w:val="single"/>
        </w:rPr>
        <w:t xml:space="preserve"> </w:t>
      </w:r>
      <w:r>
        <w:rPr>
          <w:u w:val="single"/>
        </w:rPr>
        <w:t>Upon</w:t>
      </w:r>
      <w:r>
        <w:rPr>
          <w:spacing w:val="-1"/>
          <w:u w:val="single"/>
        </w:rPr>
        <w:t xml:space="preserve"> </w:t>
      </w:r>
      <w:r>
        <w:rPr>
          <w:spacing w:val="-2"/>
          <w:u w:val="single"/>
        </w:rPr>
        <w:t>Request:</w:t>
      </w:r>
    </w:p>
    <w:p>
      <w:pPr>
        <w:pStyle w:val="BodyText"/>
        <w:spacing w:before="6"/>
      </w:pPr>
    </w:p>
    <w:p>
      <w:pPr>
        <w:pStyle w:val="BodyText"/>
        <w:spacing w:before="1"/>
        <w:ind w:left="791" w:right="36"/>
      </w:pPr>
      <w:r>
        <w:t>Under the CAA, 2021, plans and issuers must be prepared to submit their comparative analysis with respect to each NQTL imposed on MH/SUD benefits when requested by the applicable State authority. Of the 48 States and the District of Columbia that enforce MHPAEA, we are unable to estimate how many States will request this information and</w:t>
      </w:r>
      <w:r>
        <w:rPr>
          <w:spacing w:val="40"/>
        </w:rPr>
        <w:t xml:space="preserve"> </w:t>
      </w:r>
      <w:r>
        <w:t>how</w:t>
      </w:r>
      <w:r>
        <w:rPr>
          <w:spacing w:val="-2"/>
        </w:rPr>
        <w:t xml:space="preserve"> </w:t>
      </w:r>
      <w:r>
        <w:t>often.</w:t>
      </w:r>
      <w:r>
        <w:rPr>
          <w:spacing w:val="-2"/>
        </w:rPr>
        <w:t xml:space="preserve"> </w:t>
      </w:r>
      <w:r>
        <w:t>However,</w:t>
      </w:r>
      <w:r>
        <w:rPr>
          <w:spacing w:val="-2"/>
        </w:rPr>
        <w:t xml:space="preserve"> </w:t>
      </w:r>
      <w:r>
        <w:t>the</w:t>
      </w:r>
      <w:r>
        <w:rPr>
          <w:spacing w:val="-5"/>
        </w:rPr>
        <w:t xml:space="preserve"> </w:t>
      </w:r>
      <w:r>
        <w:t>cost</w:t>
      </w:r>
      <w:r>
        <w:rPr>
          <w:spacing w:val="-7"/>
        </w:rPr>
        <w:t xml:space="preserve"> </w:t>
      </w:r>
      <w:r>
        <w:t>of</w:t>
      </w:r>
      <w:r>
        <w:rPr>
          <w:spacing w:val="-6"/>
        </w:rPr>
        <w:t xml:space="preserve"> </w:t>
      </w:r>
      <w:r>
        <w:t>submitting</w:t>
      </w:r>
      <w:r>
        <w:rPr>
          <w:spacing w:val="-4"/>
        </w:rPr>
        <w:t xml:space="preserve"> </w:t>
      </w:r>
      <w:r>
        <w:t>the</w:t>
      </w:r>
      <w:r>
        <w:rPr>
          <w:spacing w:val="-5"/>
        </w:rPr>
        <w:t xml:space="preserve"> </w:t>
      </w:r>
      <w:r>
        <w:t>information</w:t>
      </w:r>
      <w:r>
        <w:rPr>
          <w:spacing w:val="-4"/>
        </w:rPr>
        <w:t xml:space="preserve"> </w:t>
      </w:r>
      <w:r>
        <w:t>to</w:t>
      </w:r>
      <w:r>
        <w:rPr>
          <w:spacing w:val="-4"/>
        </w:rPr>
        <w:t xml:space="preserve"> </w:t>
      </w:r>
      <w:r>
        <w:t>state</w:t>
      </w:r>
      <w:r>
        <w:rPr>
          <w:spacing w:val="-5"/>
        </w:rPr>
        <w:t xml:space="preserve"> </w:t>
      </w:r>
      <w:r>
        <w:t>authorities</w:t>
      </w:r>
      <w:r>
        <w:rPr>
          <w:spacing w:val="-6"/>
        </w:rPr>
        <w:t xml:space="preserve"> </w:t>
      </w:r>
      <w:r>
        <w:t>electronically will be minimal.</w:t>
      </w:r>
    </w:p>
    <w:p>
      <w:pPr>
        <w:pStyle w:val="BodyText"/>
        <w:spacing w:before="271"/>
        <w:ind w:left="791"/>
      </w:pPr>
      <w:bookmarkStart w:id="36" w:name="Request for Comparative Analyses by Part"/>
      <w:bookmarkEnd w:id="36"/>
      <w:r>
        <w:rPr>
          <w:u w:val="single"/>
        </w:rPr>
        <w:t>Request</w:t>
      </w:r>
      <w:r>
        <w:rPr>
          <w:spacing w:val="-8"/>
          <w:u w:val="single"/>
        </w:rPr>
        <w:t xml:space="preserve"> </w:t>
      </w:r>
      <w:r>
        <w:rPr>
          <w:u w:val="single"/>
        </w:rPr>
        <w:t>for</w:t>
      </w:r>
      <w:r>
        <w:rPr>
          <w:spacing w:val="-4"/>
          <w:u w:val="single"/>
        </w:rPr>
        <w:t xml:space="preserve"> </w:t>
      </w:r>
      <w:r>
        <w:rPr>
          <w:u w:val="single"/>
        </w:rPr>
        <w:t>Comparative</w:t>
      </w:r>
      <w:r>
        <w:rPr>
          <w:spacing w:val="-3"/>
          <w:u w:val="single"/>
        </w:rPr>
        <w:t xml:space="preserve"> </w:t>
      </w:r>
      <w:r>
        <w:rPr>
          <w:u w:val="single"/>
        </w:rPr>
        <w:t>Analyses</w:t>
      </w:r>
      <w:r>
        <w:rPr>
          <w:spacing w:val="-4"/>
          <w:u w:val="single"/>
        </w:rPr>
        <w:t xml:space="preserve"> </w:t>
      </w:r>
      <w:r>
        <w:rPr>
          <w:u w:val="single"/>
        </w:rPr>
        <w:t>by</w:t>
      </w:r>
      <w:r>
        <w:rPr>
          <w:spacing w:val="-3"/>
          <w:u w:val="single"/>
        </w:rPr>
        <w:t xml:space="preserve"> </w:t>
      </w:r>
      <w:r>
        <w:rPr>
          <w:u w:val="single"/>
        </w:rPr>
        <w:t>Participants, Beneficiaries,</w:t>
      </w:r>
      <w:r>
        <w:rPr>
          <w:spacing w:val="1"/>
          <w:u w:val="single"/>
        </w:rPr>
        <w:t xml:space="preserve"> </w:t>
      </w:r>
      <w:r>
        <w:rPr>
          <w:u w:val="single"/>
        </w:rPr>
        <w:t>and</w:t>
      </w:r>
      <w:r>
        <w:rPr>
          <w:spacing w:val="-3"/>
          <w:u w:val="single"/>
        </w:rPr>
        <w:t xml:space="preserve"> </w:t>
      </w:r>
      <w:r>
        <w:rPr>
          <w:spacing w:val="-2"/>
          <w:u w:val="single"/>
        </w:rPr>
        <w:t>Enrollees:</w:t>
      </w:r>
    </w:p>
    <w:p>
      <w:pPr>
        <w:pStyle w:val="BodyText"/>
        <w:spacing w:before="275"/>
        <w:ind w:left="791" w:right="57"/>
      </w:pPr>
      <w:r>
        <w:t>The 2024 final rules require plans and issuers to make the comparative analyses and other applicable information required by the CAA, 2021 available upon request to participants, beneficiaries,</w:t>
      </w:r>
      <w:r>
        <w:rPr>
          <w:spacing w:val="-1"/>
        </w:rPr>
        <w:t xml:space="preserve"> </w:t>
      </w:r>
      <w:r>
        <w:t>and</w:t>
      </w:r>
      <w:r>
        <w:rPr>
          <w:spacing w:val="-5"/>
        </w:rPr>
        <w:t xml:space="preserve"> </w:t>
      </w:r>
      <w:r>
        <w:t>enrollees</w:t>
      </w:r>
      <w:r>
        <w:rPr>
          <w:spacing w:val="-6"/>
        </w:rPr>
        <w:t xml:space="preserve"> </w:t>
      </w:r>
      <w:r>
        <w:t>in</w:t>
      </w:r>
      <w:r>
        <w:rPr>
          <w:spacing w:val="-4"/>
        </w:rPr>
        <w:t xml:space="preserve"> </w:t>
      </w:r>
      <w:r>
        <w:t>non-grandfathered</w:t>
      </w:r>
      <w:r>
        <w:rPr>
          <w:spacing w:val="-5"/>
        </w:rPr>
        <w:t xml:space="preserve"> </w:t>
      </w:r>
      <w:r>
        <w:t>group</w:t>
      </w:r>
      <w:r>
        <w:rPr>
          <w:spacing w:val="-4"/>
        </w:rPr>
        <w:t xml:space="preserve"> </w:t>
      </w:r>
      <w:r>
        <w:t>health</w:t>
      </w:r>
      <w:r>
        <w:rPr>
          <w:spacing w:val="-4"/>
        </w:rPr>
        <w:t xml:space="preserve"> </w:t>
      </w:r>
      <w:r>
        <w:t>plans</w:t>
      </w:r>
      <w:r>
        <w:rPr>
          <w:spacing w:val="-6"/>
        </w:rPr>
        <w:t xml:space="preserve"> </w:t>
      </w:r>
      <w:r>
        <w:t>and</w:t>
      </w:r>
      <w:r>
        <w:rPr>
          <w:spacing w:val="-5"/>
        </w:rPr>
        <w:t xml:space="preserve"> </w:t>
      </w:r>
      <w:r>
        <w:t xml:space="preserve">non-grandfathered group or individual health insurance coverage who have received an adverse benefit </w:t>
      </w:r>
      <w:r>
        <w:rPr>
          <w:spacing w:val="-2"/>
        </w:rPr>
        <w:t>determination.</w:t>
      </w:r>
    </w:p>
    <w:p>
      <w:pPr>
        <w:pStyle w:val="BodyText"/>
        <w:spacing w:before="4"/>
      </w:pPr>
    </w:p>
    <w:p>
      <w:pPr>
        <w:pStyle w:val="BodyText"/>
        <w:ind w:left="791" w:right="113"/>
      </w:pPr>
      <w:r>
        <w:t>We estimate that each non-Federal governmental plan and each issuer will receive one request annually and that</w:t>
      </w:r>
      <w:r>
        <w:rPr>
          <w:spacing w:val="-1"/>
        </w:rPr>
        <w:t xml:space="preserve"> </w:t>
      </w:r>
      <w:r>
        <w:t>plans and issuers will annually incur a burden of 5 minutes for an administrative assistant (at an hourly labor cost of $65.99) to prepare and send the comparative analyses to each requesting participant, beneficiary, or enrollee. For 90,887 non-Federal</w:t>
      </w:r>
      <w:r>
        <w:rPr>
          <w:spacing w:val="-5"/>
        </w:rPr>
        <w:t xml:space="preserve"> </w:t>
      </w:r>
      <w:r>
        <w:t>governmental</w:t>
      </w:r>
      <w:r>
        <w:rPr>
          <w:spacing w:val="-4"/>
        </w:rPr>
        <w:t xml:space="preserve"> </w:t>
      </w:r>
      <w:r>
        <w:t>plans</w:t>
      </w:r>
      <w:r>
        <w:rPr>
          <w:spacing w:val="-3"/>
        </w:rPr>
        <w:t xml:space="preserve"> </w:t>
      </w:r>
      <w:r>
        <w:t>and</w:t>
      </w:r>
      <w:r>
        <w:rPr>
          <w:spacing w:val="-2"/>
        </w:rPr>
        <w:t xml:space="preserve"> </w:t>
      </w:r>
      <w:r>
        <w:t>1,467</w:t>
      </w:r>
      <w:r>
        <w:rPr>
          <w:spacing w:val="-2"/>
        </w:rPr>
        <w:t xml:space="preserve"> </w:t>
      </w:r>
      <w:r>
        <w:t>issuers, this</w:t>
      </w:r>
      <w:r>
        <w:rPr>
          <w:spacing w:val="-3"/>
        </w:rPr>
        <w:t xml:space="preserve"> </w:t>
      </w:r>
      <w:r>
        <w:t>will</w:t>
      </w:r>
      <w:r>
        <w:rPr>
          <w:spacing w:val="-4"/>
        </w:rPr>
        <w:t xml:space="preserve"> </w:t>
      </w:r>
      <w:r>
        <w:t>result</w:t>
      </w:r>
      <w:r>
        <w:rPr>
          <w:spacing w:val="-4"/>
        </w:rPr>
        <w:t xml:space="preserve"> </w:t>
      </w:r>
      <w:r>
        <w:t>in</w:t>
      </w:r>
      <w:r>
        <w:rPr>
          <w:spacing w:val="-2"/>
        </w:rPr>
        <w:t xml:space="preserve"> </w:t>
      </w:r>
      <w:r>
        <w:t>a</w:t>
      </w:r>
      <w:r>
        <w:rPr>
          <w:spacing w:val="-2"/>
        </w:rPr>
        <w:t xml:space="preserve"> </w:t>
      </w:r>
      <w:r>
        <w:t>total burden</w:t>
      </w:r>
      <w:r>
        <w:rPr>
          <w:spacing w:val="-2"/>
        </w:rPr>
        <w:t xml:space="preserve"> </w:t>
      </w:r>
      <w:r>
        <w:t>of</w:t>
      </w:r>
      <w:r>
        <w:rPr>
          <w:spacing w:val="-3"/>
        </w:rPr>
        <w:t xml:space="preserve"> </w:t>
      </w:r>
      <w:r>
        <w:t>7,696 hours annually with an equivalent cost of approximately $507,859.</w:t>
      </w:r>
    </w:p>
    <w:p>
      <w:pPr>
        <w:pStyle w:val="BodyText"/>
        <w:spacing w:before="3"/>
      </w:pPr>
    </w:p>
    <w:p>
      <w:pPr>
        <w:pStyle w:val="Heading1"/>
        <w:spacing w:before="0"/>
        <w:ind w:right="153"/>
      </w:pPr>
      <w:r>
        <w:t>TABLE 9:</w:t>
      </w:r>
      <w:r>
        <w:rPr>
          <w:spacing w:val="-10"/>
        </w:rPr>
        <w:t xml:space="preserve"> </w:t>
      </w:r>
      <w:r>
        <w:t>Annual</w:t>
      </w:r>
      <w:r>
        <w:rPr>
          <w:spacing w:val="-5"/>
        </w:rPr>
        <w:t xml:space="preserve"> </w:t>
      </w:r>
      <w:r>
        <w:t>Burden</w:t>
      </w:r>
      <w:r>
        <w:rPr>
          <w:spacing w:val="-7"/>
        </w:rPr>
        <w:t xml:space="preserve"> </w:t>
      </w:r>
      <w:r>
        <w:t>for</w:t>
      </w:r>
      <w:r>
        <w:rPr>
          <w:spacing w:val="-9"/>
        </w:rPr>
        <w:t xml:space="preserve"> </w:t>
      </w:r>
      <w:r>
        <w:t>Non-Federal</w:t>
      </w:r>
      <w:r>
        <w:rPr>
          <w:spacing w:val="-5"/>
        </w:rPr>
        <w:t xml:space="preserve"> </w:t>
      </w:r>
      <w:r>
        <w:t>Governmental</w:t>
      </w:r>
      <w:r>
        <w:rPr>
          <w:spacing w:val="-5"/>
        </w:rPr>
        <w:t xml:space="preserve"> </w:t>
      </w:r>
      <w:r>
        <w:t>Plans</w:t>
      </w:r>
      <w:r>
        <w:rPr>
          <w:spacing w:val="-3"/>
        </w:rPr>
        <w:t xml:space="preserve"> </w:t>
      </w:r>
      <w:r>
        <w:t>and</w:t>
      </w:r>
      <w:r>
        <w:rPr>
          <w:spacing w:val="-1"/>
        </w:rPr>
        <w:t xml:space="preserve"> </w:t>
      </w:r>
      <w:r>
        <w:t>Issuers</w:t>
      </w:r>
      <w:r>
        <w:rPr>
          <w:spacing w:val="-4"/>
        </w:rPr>
        <w:t xml:space="preserve"> </w:t>
      </w:r>
      <w:r>
        <w:t>Related to Requests for Comparative Analyses by Participants, Beneficiaries, and Enrollees</w:t>
      </w:r>
    </w:p>
    <w:p>
      <w:pPr>
        <w:pStyle w:val="BodyText"/>
        <w:spacing w:before="42"/>
        <w:rPr>
          <w:b/>
          <w:sz w:val="20"/>
        </w:rPr>
      </w:pPr>
    </w:p>
    <w:tbl>
      <w:tblPr>
        <w:tblStyle w:val="TableNormal"/>
        <w:tblW w:w="0" w:type="auto"/>
        <w:jc w:val="left"/>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2"/>
        <w:gridCol w:w="2225"/>
        <w:gridCol w:w="2232"/>
        <w:gridCol w:w="2232"/>
      </w:tblGrid>
      <w:tr>
        <w:tblPrEx>
          <w:tblW w:w="0" w:type="auto"/>
          <w:jc w:val="left"/>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63"/>
          <w:jc w:val="left"/>
        </w:trPr>
        <w:tc>
          <w:tcPr>
            <w:tcW w:w="2232" w:type="dxa"/>
            <w:shd w:val="clear" w:color="auto" w:fill="F1F1F1"/>
          </w:tcPr>
          <w:p>
            <w:pPr>
              <w:pStyle w:val="TableParagraph"/>
              <w:spacing w:line="232" w:lineRule="exact"/>
              <w:ind w:left="567" w:firstLine="84"/>
              <w:rPr>
                <w:b/>
                <w:sz w:val="19"/>
              </w:rPr>
            </w:pPr>
            <w:r>
              <w:rPr>
                <w:b/>
                <w:w w:val="105"/>
                <w:sz w:val="19"/>
              </w:rPr>
              <w:t xml:space="preserve">Number of </w:t>
            </w:r>
            <w:r>
              <w:rPr>
                <w:b/>
                <w:spacing w:val="-2"/>
                <w:sz w:val="19"/>
              </w:rPr>
              <w:t>Respondents</w:t>
            </w:r>
          </w:p>
        </w:tc>
        <w:tc>
          <w:tcPr>
            <w:tcW w:w="2225" w:type="dxa"/>
            <w:shd w:val="clear" w:color="auto" w:fill="F1F1F1"/>
          </w:tcPr>
          <w:p>
            <w:pPr>
              <w:pStyle w:val="TableParagraph"/>
              <w:spacing w:before="124"/>
              <w:ind w:left="6" w:right="3"/>
              <w:jc w:val="center"/>
              <w:rPr>
                <w:b/>
                <w:sz w:val="19"/>
              </w:rPr>
            </w:pPr>
            <w:r>
              <w:rPr>
                <w:b/>
                <w:w w:val="105"/>
                <w:sz w:val="19"/>
              </w:rPr>
              <w:t>Number</w:t>
            </w:r>
            <w:r>
              <w:rPr>
                <w:b/>
                <w:spacing w:val="-7"/>
                <w:w w:val="105"/>
                <w:sz w:val="19"/>
              </w:rPr>
              <w:t xml:space="preserve"> </w:t>
            </w:r>
            <w:r>
              <w:rPr>
                <w:b/>
                <w:w w:val="105"/>
                <w:sz w:val="19"/>
              </w:rPr>
              <w:t xml:space="preserve">of </w:t>
            </w:r>
            <w:r>
              <w:rPr>
                <w:b/>
                <w:spacing w:val="-2"/>
                <w:w w:val="105"/>
                <w:sz w:val="19"/>
              </w:rPr>
              <w:t>Responses</w:t>
            </w:r>
          </w:p>
        </w:tc>
        <w:tc>
          <w:tcPr>
            <w:tcW w:w="2232" w:type="dxa"/>
            <w:shd w:val="clear" w:color="auto" w:fill="F1F1F1"/>
          </w:tcPr>
          <w:p>
            <w:pPr>
              <w:pStyle w:val="TableParagraph"/>
              <w:spacing w:line="232" w:lineRule="exact"/>
              <w:ind w:left="122" w:firstLine="310"/>
              <w:rPr>
                <w:b/>
                <w:sz w:val="19"/>
              </w:rPr>
            </w:pPr>
            <w:r>
              <w:rPr>
                <w:b/>
                <w:w w:val="105"/>
                <w:sz w:val="19"/>
              </w:rPr>
              <w:t>Total Estimated Annual</w:t>
            </w:r>
            <w:r>
              <w:rPr>
                <w:b/>
                <w:spacing w:val="-13"/>
                <w:w w:val="105"/>
                <w:sz w:val="19"/>
              </w:rPr>
              <w:t xml:space="preserve"> </w:t>
            </w:r>
            <w:r>
              <w:rPr>
                <w:b/>
                <w:w w:val="105"/>
                <w:sz w:val="19"/>
              </w:rPr>
              <w:t>Burden</w:t>
            </w:r>
            <w:r>
              <w:rPr>
                <w:b/>
                <w:spacing w:val="-12"/>
                <w:w w:val="105"/>
                <w:sz w:val="19"/>
              </w:rPr>
              <w:t xml:space="preserve"> </w:t>
            </w:r>
            <w:r>
              <w:rPr>
                <w:b/>
                <w:w w:val="105"/>
                <w:sz w:val="19"/>
              </w:rPr>
              <w:t>(hours)</w:t>
            </w:r>
          </w:p>
        </w:tc>
        <w:tc>
          <w:tcPr>
            <w:tcW w:w="2232" w:type="dxa"/>
            <w:shd w:val="clear" w:color="auto" w:fill="F1F1F1"/>
          </w:tcPr>
          <w:p>
            <w:pPr>
              <w:pStyle w:val="TableParagraph"/>
              <w:spacing w:line="232" w:lineRule="exact"/>
              <w:ind w:left="926" w:hanging="784"/>
              <w:rPr>
                <w:b/>
                <w:sz w:val="19"/>
              </w:rPr>
            </w:pPr>
            <w:r>
              <w:rPr>
                <w:b/>
                <w:w w:val="105"/>
                <w:sz w:val="19"/>
              </w:rPr>
              <w:t>Total</w:t>
            </w:r>
            <w:r>
              <w:rPr>
                <w:b/>
                <w:spacing w:val="-13"/>
                <w:w w:val="105"/>
                <w:sz w:val="19"/>
              </w:rPr>
              <w:t xml:space="preserve"> </w:t>
            </w:r>
            <w:r>
              <w:rPr>
                <w:b/>
                <w:w w:val="105"/>
                <w:sz w:val="19"/>
              </w:rPr>
              <w:t>Estimated</w:t>
            </w:r>
            <w:r>
              <w:rPr>
                <w:b/>
                <w:spacing w:val="-12"/>
                <w:w w:val="105"/>
                <w:sz w:val="19"/>
              </w:rPr>
              <w:t xml:space="preserve"> </w:t>
            </w:r>
            <w:r>
              <w:rPr>
                <w:b/>
                <w:w w:val="105"/>
                <w:sz w:val="19"/>
              </w:rPr>
              <w:t xml:space="preserve">Labor </w:t>
            </w:r>
            <w:r>
              <w:rPr>
                <w:b/>
                <w:spacing w:val="-4"/>
                <w:w w:val="105"/>
                <w:sz w:val="19"/>
              </w:rPr>
              <w:t>Cost</w:t>
            </w:r>
          </w:p>
        </w:tc>
      </w:tr>
      <w:tr>
        <w:tblPrEx>
          <w:tblW w:w="0" w:type="auto"/>
          <w:jc w:val="left"/>
          <w:tblInd w:w="801" w:type="dxa"/>
          <w:tblLayout w:type="fixed"/>
          <w:tblCellMar>
            <w:top w:w="0" w:type="dxa"/>
            <w:left w:w="0" w:type="dxa"/>
            <w:bottom w:w="0" w:type="dxa"/>
            <w:right w:w="0" w:type="dxa"/>
          </w:tblCellMar>
          <w:tblLook w:val="01E0"/>
        </w:tblPrEx>
        <w:trPr>
          <w:trHeight w:val="229"/>
          <w:jc w:val="left"/>
        </w:trPr>
        <w:tc>
          <w:tcPr>
            <w:tcW w:w="2232" w:type="dxa"/>
          </w:tcPr>
          <w:p>
            <w:pPr>
              <w:pStyle w:val="TableParagraph"/>
              <w:spacing w:before="10" w:line="198" w:lineRule="exact"/>
              <w:ind w:left="13" w:right="18"/>
              <w:jc w:val="center"/>
              <w:rPr>
                <w:sz w:val="19"/>
              </w:rPr>
            </w:pPr>
            <w:r>
              <w:rPr>
                <w:spacing w:val="-2"/>
                <w:w w:val="105"/>
                <w:sz w:val="19"/>
              </w:rPr>
              <w:t>92,354</w:t>
            </w:r>
          </w:p>
        </w:tc>
        <w:tc>
          <w:tcPr>
            <w:tcW w:w="2225" w:type="dxa"/>
          </w:tcPr>
          <w:p>
            <w:pPr>
              <w:pStyle w:val="TableParagraph"/>
              <w:spacing w:before="10" w:line="198" w:lineRule="exact"/>
              <w:ind w:left="6" w:right="6"/>
              <w:jc w:val="center"/>
              <w:rPr>
                <w:sz w:val="19"/>
              </w:rPr>
            </w:pPr>
            <w:r>
              <w:rPr>
                <w:spacing w:val="-2"/>
                <w:w w:val="105"/>
                <w:sz w:val="19"/>
              </w:rPr>
              <w:t>92,354</w:t>
            </w:r>
          </w:p>
        </w:tc>
        <w:tc>
          <w:tcPr>
            <w:tcW w:w="2232" w:type="dxa"/>
          </w:tcPr>
          <w:p>
            <w:pPr>
              <w:pStyle w:val="TableParagraph"/>
              <w:spacing w:before="10" w:line="198" w:lineRule="exact"/>
              <w:ind w:left="13" w:right="7"/>
              <w:jc w:val="center"/>
              <w:rPr>
                <w:sz w:val="19"/>
              </w:rPr>
            </w:pPr>
            <w:r>
              <w:rPr>
                <w:spacing w:val="-2"/>
                <w:w w:val="105"/>
                <w:sz w:val="19"/>
              </w:rPr>
              <w:t>7,696</w:t>
            </w:r>
          </w:p>
        </w:tc>
        <w:tc>
          <w:tcPr>
            <w:tcW w:w="2232" w:type="dxa"/>
          </w:tcPr>
          <w:p>
            <w:pPr>
              <w:pStyle w:val="TableParagraph"/>
              <w:spacing w:before="10" w:line="198" w:lineRule="exact"/>
              <w:ind w:left="743"/>
              <w:rPr>
                <w:sz w:val="19"/>
              </w:rPr>
            </w:pPr>
            <w:r>
              <w:rPr>
                <w:spacing w:val="-2"/>
                <w:w w:val="105"/>
                <w:sz w:val="19"/>
              </w:rPr>
              <w:t>$507,859</w:t>
            </w:r>
          </w:p>
        </w:tc>
      </w:tr>
    </w:tbl>
    <w:p>
      <w:pPr>
        <w:pStyle w:val="BodyText"/>
        <w:spacing w:before="274"/>
        <w:ind w:left="791"/>
      </w:pPr>
      <w:r>
        <w:rPr>
          <w:u w:val="single"/>
        </w:rPr>
        <w:t>Recordkeeping</w:t>
      </w:r>
      <w:r>
        <w:rPr>
          <w:spacing w:val="-7"/>
          <w:u w:val="single"/>
        </w:rPr>
        <w:t xml:space="preserve"> </w:t>
      </w:r>
      <w:r>
        <w:rPr>
          <w:spacing w:val="-2"/>
          <w:u w:val="single"/>
        </w:rPr>
        <w:t>Requirement:</w:t>
      </w:r>
    </w:p>
    <w:p>
      <w:pPr>
        <w:pStyle w:val="BodyText"/>
        <w:spacing w:before="275"/>
        <w:ind w:left="791"/>
      </w:pPr>
      <w:r>
        <w:t>We expect that plans and issuers already maintain records as part of their regular business practices. We therefore estimate a minimal additional burden associated with recordkeeping requirements. We estimate that each non-Federal governmental plan nationwide or issuer will annually incur a burden of 5 minutes, on average, for an administrative assistant (at an hourly labor cost of $66.99) to meet the additional recordkeeping requirements. For all 90,887</w:t>
      </w:r>
      <w:r>
        <w:rPr>
          <w:spacing w:val="-2"/>
        </w:rPr>
        <w:t xml:space="preserve"> </w:t>
      </w:r>
      <w:r>
        <w:t>non-Federal</w:t>
      </w:r>
      <w:r>
        <w:rPr>
          <w:spacing w:val="-5"/>
        </w:rPr>
        <w:t xml:space="preserve"> </w:t>
      </w:r>
      <w:r>
        <w:t>governmental</w:t>
      </w:r>
      <w:r>
        <w:rPr>
          <w:spacing w:val="-4"/>
        </w:rPr>
        <w:t xml:space="preserve"> </w:t>
      </w:r>
      <w:r>
        <w:t>plans</w:t>
      </w:r>
      <w:r>
        <w:rPr>
          <w:spacing w:val="-4"/>
        </w:rPr>
        <w:t xml:space="preserve"> </w:t>
      </w:r>
      <w:r>
        <w:t>and</w:t>
      </w:r>
      <w:r>
        <w:rPr>
          <w:spacing w:val="-3"/>
        </w:rPr>
        <w:t xml:space="preserve"> </w:t>
      </w:r>
      <w:r>
        <w:t>1,467</w:t>
      </w:r>
      <w:r>
        <w:rPr>
          <w:spacing w:val="-2"/>
        </w:rPr>
        <w:t xml:space="preserve"> </w:t>
      </w:r>
      <w:r>
        <w:t>issuers, this</w:t>
      </w:r>
      <w:r>
        <w:rPr>
          <w:spacing w:val="-4"/>
        </w:rPr>
        <w:t xml:space="preserve"> </w:t>
      </w:r>
      <w:r>
        <w:t>will</w:t>
      </w:r>
      <w:r>
        <w:rPr>
          <w:spacing w:val="-4"/>
        </w:rPr>
        <w:t xml:space="preserve"> </w:t>
      </w:r>
      <w:r>
        <w:t>result</w:t>
      </w:r>
      <w:r>
        <w:rPr>
          <w:spacing w:val="-4"/>
        </w:rPr>
        <w:t xml:space="preserve"> </w:t>
      </w:r>
      <w:r>
        <w:t>in</w:t>
      </w:r>
      <w:r>
        <w:rPr>
          <w:spacing w:val="-2"/>
        </w:rPr>
        <w:t xml:space="preserve"> </w:t>
      </w:r>
      <w:r>
        <w:t>a</w:t>
      </w:r>
      <w:r>
        <w:rPr>
          <w:spacing w:val="-3"/>
        </w:rPr>
        <w:t xml:space="preserve"> </w:t>
      </w:r>
      <w:r>
        <w:t>total</w:t>
      </w:r>
      <w:r>
        <w:rPr>
          <w:spacing w:val="-5"/>
        </w:rPr>
        <w:t xml:space="preserve"> </w:t>
      </w:r>
      <w:r>
        <w:t>burden</w:t>
      </w:r>
      <w:r>
        <w:rPr>
          <w:spacing w:val="-3"/>
        </w:rPr>
        <w:t xml:space="preserve"> </w:t>
      </w:r>
      <w:r>
        <w:t>of approximately 7,696 hours annually with an equivalent cost of approximately $507,859.</w:t>
      </w:r>
    </w:p>
    <w:p>
      <w:pPr>
        <w:pStyle w:val="BodyText"/>
        <w:spacing w:after="0"/>
        <w:sectPr>
          <w:pgSz w:w="12240" w:h="15840"/>
          <w:pgMar w:top="1380" w:right="1440" w:bottom="1060" w:left="1080" w:header="0" w:footer="873"/>
          <w:cols w:space="720"/>
        </w:sectPr>
      </w:pPr>
    </w:p>
    <w:p>
      <w:pPr>
        <w:pStyle w:val="Heading1"/>
        <w:spacing w:before="78"/>
        <w:ind w:right="32"/>
      </w:pPr>
      <w:r>
        <w:t>TABLE 10:</w:t>
      </w:r>
      <w:r>
        <w:rPr>
          <w:spacing w:val="-10"/>
        </w:rPr>
        <w:t xml:space="preserve"> </w:t>
      </w:r>
      <w:r>
        <w:t>Annual</w:t>
      </w:r>
      <w:r>
        <w:rPr>
          <w:spacing w:val="-4"/>
        </w:rPr>
        <w:t xml:space="preserve"> </w:t>
      </w:r>
      <w:r>
        <w:t>Burden</w:t>
      </w:r>
      <w:r>
        <w:rPr>
          <w:spacing w:val="-7"/>
        </w:rPr>
        <w:t xml:space="preserve"> </w:t>
      </w:r>
      <w:r>
        <w:t>for</w:t>
      </w:r>
      <w:r>
        <w:rPr>
          <w:spacing w:val="-9"/>
        </w:rPr>
        <w:t xml:space="preserve"> </w:t>
      </w:r>
      <w:r>
        <w:t>Non-Federal</w:t>
      </w:r>
      <w:r>
        <w:rPr>
          <w:spacing w:val="-4"/>
        </w:rPr>
        <w:t xml:space="preserve"> </w:t>
      </w:r>
      <w:r>
        <w:t>Governmental</w:t>
      </w:r>
      <w:r>
        <w:rPr>
          <w:spacing w:val="-4"/>
        </w:rPr>
        <w:t xml:space="preserve"> </w:t>
      </w:r>
      <w:r>
        <w:t>Plans</w:t>
      </w:r>
      <w:r>
        <w:rPr>
          <w:spacing w:val="-2"/>
        </w:rPr>
        <w:t xml:space="preserve"> </w:t>
      </w:r>
      <w:r>
        <w:t>and Issuers</w:t>
      </w:r>
      <w:r>
        <w:rPr>
          <w:spacing w:val="-3"/>
        </w:rPr>
        <w:t xml:space="preserve"> </w:t>
      </w:r>
      <w:r>
        <w:t>Related to Recordkeeping Requirement</w:t>
      </w:r>
    </w:p>
    <w:p>
      <w:pPr>
        <w:pStyle w:val="BodyText"/>
        <w:spacing w:before="42"/>
        <w:rPr>
          <w:b/>
          <w:sz w:val="20"/>
        </w:rPr>
      </w:pPr>
    </w:p>
    <w:tbl>
      <w:tblPr>
        <w:tblStyle w:val="TableNormal"/>
        <w:tblW w:w="0" w:type="auto"/>
        <w:jc w:val="left"/>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2"/>
        <w:gridCol w:w="2225"/>
        <w:gridCol w:w="2232"/>
        <w:gridCol w:w="2232"/>
      </w:tblGrid>
      <w:tr>
        <w:tblPrEx>
          <w:tblW w:w="0" w:type="auto"/>
          <w:jc w:val="left"/>
          <w:tblInd w:w="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63"/>
          <w:jc w:val="left"/>
        </w:trPr>
        <w:tc>
          <w:tcPr>
            <w:tcW w:w="2232" w:type="dxa"/>
            <w:shd w:val="clear" w:color="auto" w:fill="F1F1F1"/>
          </w:tcPr>
          <w:p>
            <w:pPr>
              <w:pStyle w:val="TableParagraph"/>
              <w:spacing w:line="232" w:lineRule="exact"/>
              <w:ind w:left="567" w:firstLine="84"/>
              <w:rPr>
                <w:b/>
                <w:sz w:val="19"/>
              </w:rPr>
            </w:pPr>
            <w:r>
              <w:rPr>
                <w:b/>
                <w:w w:val="105"/>
                <w:sz w:val="19"/>
              </w:rPr>
              <w:t xml:space="preserve">Number of </w:t>
            </w:r>
            <w:r>
              <w:rPr>
                <w:b/>
                <w:spacing w:val="-2"/>
                <w:sz w:val="19"/>
              </w:rPr>
              <w:t>Respondents</w:t>
            </w:r>
          </w:p>
        </w:tc>
        <w:tc>
          <w:tcPr>
            <w:tcW w:w="2225" w:type="dxa"/>
            <w:shd w:val="clear" w:color="auto" w:fill="F1F1F1"/>
          </w:tcPr>
          <w:p>
            <w:pPr>
              <w:pStyle w:val="TableParagraph"/>
              <w:spacing w:before="132"/>
              <w:ind w:left="6" w:right="3"/>
              <w:jc w:val="center"/>
              <w:rPr>
                <w:b/>
                <w:sz w:val="19"/>
              </w:rPr>
            </w:pPr>
            <w:r>
              <w:rPr>
                <w:b/>
                <w:w w:val="105"/>
                <w:sz w:val="19"/>
              </w:rPr>
              <w:t>Number</w:t>
            </w:r>
            <w:r>
              <w:rPr>
                <w:b/>
                <w:spacing w:val="-7"/>
                <w:w w:val="105"/>
                <w:sz w:val="19"/>
              </w:rPr>
              <w:t xml:space="preserve"> </w:t>
            </w:r>
            <w:r>
              <w:rPr>
                <w:b/>
                <w:w w:val="105"/>
                <w:sz w:val="19"/>
              </w:rPr>
              <w:t xml:space="preserve">of </w:t>
            </w:r>
            <w:r>
              <w:rPr>
                <w:b/>
                <w:spacing w:val="-2"/>
                <w:w w:val="105"/>
                <w:sz w:val="19"/>
              </w:rPr>
              <w:t>Responses</w:t>
            </w:r>
          </w:p>
        </w:tc>
        <w:tc>
          <w:tcPr>
            <w:tcW w:w="2232" w:type="dxa"/>
            <w:shd w:val="clear" w:color="auto" w:fill="F1F1F1"/>
          </w:tcPr>
          <w:p>
            <w:pPr>
              <w:pStyle w:val="TableParagraph"/>
              <w:spacing w:line="232" w:lineRule="exact"/>
              <w:ind w:left="122" w:firstLine="310"/>
              <w:rPr>
                <w:b/>
                <w:sz w:val="19"/>
              </w:rPr>
            </w:pPr>
            <w:r>
              <w:rPr>
                <w:b/>
                <w:w w:val="105"/>
                <w:sz w:val="19"/>
              </w:rPr>
              <w:t>Total Estimated Annual</w:t>
            </w:r>
            <w:r>
              <w:rPr>
                <w:b/>
                <w:spacing w:val="-13"/>
                <w:w w:val="105"/>
                <w:sz w:val="19"/>
              </w:rPr>
              <w:t xml:space="preserve"> </w:t>
            </w:r>
            <w:r>
              <w:rPr>
                <w:b/>
                <w:w w:val="105"/>
                <w:sz w:val="19"/>
              </w:rPr>
              <w:t>Burden</w:t>
            </w:r>
            <w:r>
              <w:rPr>
                <w:b/>
                <w:spacing w:val="-12"/>
                <w:w w:val="105"/>
                <w:sz w:val="19"/>
              </w:rPr>
              <w:t xml:space="preserve"> </w:t>
            </w:r>
            <w:r>
              <w:rPr>
                <w:b/>
                <w:w w:val="105"/>
                <w:sz w:val="19"/>
              </w:rPr>
              <w:t>(hours)</w:t>
            </w:r>
          </w:p>
        </w:tc>
        <w:tc>
          <w:tcPr>
            <w:tcW w:w="2232" w:type="dxa"/>
            <w:shd w:val="clear" w:color="auto" w:fill="F1F1F1"/>
          </w:tcPr>
          <w:p>
            <w:pPr>
              <w:pStyle w:val="TableParagraph"/>
              <w:spacing w:line="232" w:lineRule="exact"/>
              <w:ind w:left="926" w:hanging="784"/>
              <w:rPr>
                <w:b/>
                <w:sz w:val="19"/>
              </w:rPr>
            </w:pPr>
            <w:r>
              <w:rPr>
                <w:b/>
                <w:w w:val="105"/>
                <w:sz w:val="19"/>
              </w:rPr>
              <w:t>Total</w:t>
            </w:r>
            <w:r>
              <w:rPr>
                <w:b/>
                <w:spacing w:val="-13"/>
                <w:w w:val="105"/>
                <w:sz w:val="19"/>
              </w:rPr>
              <w:t xml:space="preserve"> </w:t>
            </w:r>
            <w:r>
              <w:rPr>
                <w:b/>
                <w:w w:val="105"/>
                <w:sz w:val="19"/>
              </w:rPr>
              <w:t>Estimated</w:t>
            </w:r>
            <w:r>
              <w:rPr>
                <w:b/>
                <w:spacing w:val="-12"/>
                <w:w w:val="105"/>
                <w:sz w:val="19"/>
              </w:rPr>
              <w:t xml:space="preserve"> </w:t>
            </w:r>
            <w:r>
              <w:rPr>
                <w:b/>
                <w:w w:val="105"/>
                <w:sz w:val="19"/>
              </w:rPr>
              <w:t xml:space="preserve">Labor </w:t>
            </w:r>
            <w:r>
              <w:rPr>
                <w:b/>
                <w:spacing w:val="-4"/>
                <w:w w:val="105"/>
                <w:sz w:val="19"/>
              </w:rPr>
              <w:t>Cost</w:t>
            </w:r>
          </w:p>
        </w:tc>
      </w:tr>
      <w:tr>
        <w:tblPrEx>
          <w:tblW w:w="0" w:type="auto"/>
          <w:jc w:val="left"/>
          <w:tblInd w:w="801" w:type="dxa"/>
          <w:tblLayout w:type="fixed"/>
          <w:tblCellMar>
            <w:top w:w="0" w:type="dxa"/>
            <w:left w:w="0" w:type="dxa"/>
            <w:bottom w:w="0" w:type="dxa"/>
            <w:right w:w="0" w:type="dxa"/>
          </w:tblCellMar>
          <w:tblLook w:val="01E0"/>
        </w:tblPrEx>
        <w:trPr>
          <w:trHeight w:val="229"/>
          <w:jc w:val="left"/>
        </w:trPr>
        <w:tc>
          <w:tcPr>
            <w:tcW w:w="2232" w:type="dxa"/>
          </w:tcPr>
          <w:p>
            <w:pPr>
              <w:pStyle w:val="TableParagraph"/>
              <w:spacing w:before="11" w:line="198" w:lineRule="exact"/>
              <w:ind w:left="13" w:right="18"/>
              <w:jc w:val="center"/>
              <w:rPr>
                <w:sz w:val="19"/>
              </w:rPr>
            </w:pPr>
            <w:r>
              <w:rPr>
                <w:spacing w:val="-2"/>
                <w:w w:val="105"/>
                <w:sz w:val="19"/>
              </w:rPr>
              <w:t>92,354</w:t>
            </w:r>
          </w:p>
        </w:tc>
        <w:tc>
          <w:tcPr>
            <w:tcW w:w="2225" w:type="dxa"/>
          </w:tcPr>
          <w:p>
            <w:pPr>
              <w:pStyle w:val="TableParagraph"/>
              <w:spacing w:before="11" w:line="198" w:lineRule="exact"/>
              <w:ind w:left="6" w:right="6"/>
              <w:jc w:val="center"/>
              <w:rPr>
                <w:sz w:val="19"/>
              </w:rPr>
            </w:pPr>
            <w:r>
              <w:rPr>
                <w:spacing w:val="-2"/>
                <w:w w:val="105"/>
                <w:sz w:val="19"/>
              </w:rPr>
              <w:t>92,354</w:t>
            </w:r>
          </w:p>
        </w:tc>
        <w:tc>
          <w:tcPr>
            <w:tcW w:w="2232" w:type="dxa"/>
          </w:tcPr>
          <w:p>
            <w:pPr>
              <w:pStyle w:val="TableParagraph"/>
              <w:spacing w:before="11" w:line="198" w:lineRule="exact"/>
              <w:ind w:left="13" w:right="7"/>
              <w:jc w:val="center"/>
              <w:rPr>
                <w:sz w:val="19"/>
              </w:rPr>
            </w:pPr>
            <w:r>
              <w:rPr>
                <w:spacing w:val="-2"/>
                <w:w w:val="105"/>
                <w:sz w:val="19"/>
              </w:rPr>
              <w:t>7,696</w:t>
            </w:r>
          </w:p>
        </w:tc>
        <w:tc>
          <w:tcPr>
            <w:tcW w:w="2232" w:type="dxa"/>
          </w:tcPr>
          <w:p>
            <w:pPr>
              <w:pStyle w:val="TableParagraph"/>
              <w:spacing w:before="11" w:line="198" w:lineRule="exact"/>
              <w:ind w:left="743"/>
              <w:rPr>
                <w:sz w:val="19"/>
              </w:rPr>
            </w:pPr>
            <w:r>
              <w:rPr>
                <w:spacing w:val="-2"/>
                <w:w w:val="105"/>
                <w:sz w:val="19"/>
              </w:rPr>
              <w:t>$507,859</w:t>
            </w:r>
          </w:p>
        </w:tc>
      </w:tr>
    </w:tbl>
    <w:p>
      <w:pPr>
        <w:spacing w:before="274"/>
        <w:ind w:left="791" w:right="0" w:firstLine="0"/>
        <w:jc w:val="left"/>
        <w:rPr>
          <w:b/>
          <w:sz w:val="24"/>
        </w:rPr>
      </w:pPr>
      <w:r>
        <w:rPr>
          <w:b/>
          <w:sz w:val="24"/>
        </w:rPr>
        <w:t>TABLE</w:t>
      </w:r>
      <w:r>
        <w:rPr>
          <w:b/>
          <w:spacing w:val="5"/>
          <w:sz w:val="24"/>
        </w:rPr>
        <w:t xml:space="preserve"> </w:t>
      </w:r>
      <w:r>
        <w:rPr>
          <w:b/>
          <w:sz w:val="24"/>
        </w:rPr>
        <w:t>11:</w:t>
      </w:r>
      <w:r>
        <w:rPr>
          <w:b/>
          <w:spacing w:val="-7"/>
          <w:sz w:val="24"/>
        </w:rPr>
        <w:t xml:space="preserve"> </w:t>
      </w:r>
      <w:r>
        <w:rPr>
          <w:b/>
          <w:sz w:val="24"/>
        </w:rPr>
        <w:t>Estimated</w:t>
      </w:r>
      <w:r>
        <w:rPr>
          <w:b/>
          <w:spacing w:val="2"/>
          <w:sz w:val="24"/>
        </w:rPr>
        <w:t xml:space="preserve"> </w:t>
      </w:r>
      <w:r>
        <w:rPr>
          <w:b/>
          <w:sz w:val="24"/>
        </w:rPr>
        <w:t>Annual</w:t>
      </w:r>
      <w:r>
        <w:rPr>
          <w:b/>
          <w:spacing w:val="-6"/>
          <w:sz w:val="24"/>
        </w:rPr>
        <w:t xml:space="preserve"> </w:t>
      </w:r>
      <w:r>
        <w:rPr>
          <w:b/>
          <w:sz w:val="24"/>
        </w:rPr>
        <w:t>Average</w:t>
      </w:r>
      <w:r>
        <w:rPr>
          <w:b/>
          <w:spacing w:val="1"/>
          <w:sz w:val="24"/>
        </w:rPr>
        <w:t xml:space="preserve"> </w:t>
      </w:r>
      <w:r>
        <w:rPr>
          <w:b/>
          <w:spacing w:val="-2"/>
          <w:sz w:val="24"/>
        </w:rPr>
        <w:t>Burden</w:t>
      </w:r>
    </w:p>
    <w:p>
      <w:pPr>
        <w:pStyle w:val="BodyText"/>
        <w:spacing w:before="50" w:after="1"/>
        <w:rPr>
          <w:b/>
          <w:sz w:val="20"/>
        </w:rPr>
      </w:pPr>
    </w:p>
    <w:tbl>
      <w:tblPr>
        <w:tblStyle w:val="TableNormal"/>
        <w:tblW w:w="0" w:type="auto"/>
        <w:jc w:val="left"/>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3"/>
        <w:gridCol w:w="1441"/>
        <w:gridCol w:w="1349"/>
        <w:gridCol w:w="1172"/>
        <w:gridCol w:w="1165"/>
        <w:gridCol w:w="1264"/>
        <w:gridCol w:w="1702"/>
      </w:tblGrid>
      <w:tr>
        <w:tblPrEx>
          <w:tblW w:w="0" w:type="auto"/>
          <w:jc w:val="left"/>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915"/>
          <w:jc w:val="left"/>
        </w:trPr>
        <w:tc>
          <w:tcPr>
            <w:tcW w:w="1533" w:type="dxa"/>
            <w:shd w:val="clear" w:color="auto" w:fill="F1F1F1"/>
          </w:tcPr>
          <w:p>
            <w:pPr>
              <w:pStyle w:val="TableParagraph"/>
              <w:spacing w:before="19"/>
              <w:rPr>
                <w:b/>
                <w:sz w:val="19"/>
              </w:rPr>
            </w:pPr>
          </w:p>
          <w:p>
            <w:pPr>
              <w:pStyle w:val="TableParagraph"/>
              <w:spacing w:line="256" w:lineRule="auto"/>
              <w:ind w:left="327" w:hanging="85"/>
              <w:rPr>
                <w:b/>
                <w:sz w:val="19"/>
              </w:rPr>
            </w:pPr>
            <w:r>
              <w:rPr>
                <w:b/>
                <w:spacing w:val="-2"/>
                <w:sz w:val="19"/>
              </w:rPr>
              <w:t xml:space="preserve">Information </w:t>
            </w:r>
            <w:r>
              <w:rPr>
                <w:b/>
                <w:spacing w:val="-2"/>
                <w:w w:val="105"/>
                <w:sz w:val="19"/>
              </w:rPr>
              <w:t>Collection</w:t>
            </w:r>
          </w:p>
        </w:tc>
        <w:tc>
          <w:tcPr>
            <w:tcW w:w="1441" w:type="dxa"/>
            <w:shd w:val="clear" w:color="auto" w:fill="F1F1F1"/>
          </w:tcPr>
          <w:p>
            <w:pPr>
              <w:pStyle w:val="TableParagraph"/>
              <w:spacing w:before="19"/>
              <w:rPr>
                <w:b/>
                <w:sz w:val="19"/>
              </w:rPr>
            </w:pPr>
          </w:p>
          <w:p>
            <w:pPr>
              <w:pStyle w:val="TableParagraph"/>
              <w:spacing w:line="256" w:lineRule="auto"/>
              <w:ind w:left="213" w:firstLine="176"/>
              <w:rPr>
                <w:b/>
                <w:sz w:val="19"/>
              </w:rPr>
            </w:pPr>
            <w:r>
              <w:rPr>
                <w:b/>
                <w:w w:val="105"/>
                <w:sz w:val="19"/>
              </w:rPr>
              <w:t xml:space="preserve">Type of </w:t>
            </w:r>
            <w:r>
              <w:rPr>
                <w:b/>
                <w:spacing w:val="-2"/>
                <w:sz w:val="19"/>
              </w:rPr>
              <w:t>Respondent</w:t>
            </w:r>
          </w:p>
        </w:tc>
        <w:tc>
          <w:tcPr>
            <w:tcW w:w="1349" w:type="dxa"/>
            <w:shd w:val="clear" w:color="auto" w:fill="F1F1F1"/>
          </w:tcPr>
          <w:p>
            <w:pPr>
              <w:pStyle w:val="TableParagraph"/>
              <w:spacing w:before="19"/>
              <w:rPr>
                <w:b/>
                <w:sz w:val="19"/>
              </w:rPr>
            </w:pPr>
          </w:p>
          <w:p>
            <w:pPr>
              <w:pStyle w:val="TableParagraph"/>
              <w:spacing w:line="256" w:lineRule="auto"/>
              <w:ind w:left="128" w:firstLine="84"/>
              <w:rPr>
                <w:b/>
                <w:sz w:val="19"/>
              </w:rPr>
            </w:pPr>
            <w:r>
              <w:rPr>
                <w:b/>
                <w:w w:val="105"/>
                <w:sz w:val="19"/>
              </w:rPr>
              <w:t xml:space="preserve">Number of </w:t>
            </w:r>
            <w:r>
              <w:rPr>
                <w:b/>
                <w:spacing w:val="-2"/>
                <w:sz w:val="19"/>
              </w:rPr>
              <w:t>Respondents</w:t>
            </w:r>
          </w:p>
        </w:tc>
        <w:tc>
          <w:tcPr>
            <w:tcW w:w="1172" w:type="dxa"/>
            <w:shd w:val="clear" w:color="auto" w:fill="F1F1F1"/>
          </w:tcPr>
          <w:p>
            <w:pPr>
              <w:pStyle w:val="TableParagraph"/>
              <w:spacing w:before="19"/>
              <w:rPr>
                <w:b/>
                <w:sz w:val="19"/>
              </w:rPr>
            </w:pPr>
          </w:p>
          <w:p>
            <w:pPr>
              <w:pStyle w:val="TableParagraph"/>
              <w:spacing w:line="256" w:lineRule="auto"/>
              <w:ind w:left="143" w:right="108" w:hanging="22"/>
              <w:rPr>
                <w:b/>
                <w:sz w:val="19"/>
              </w:rPr>
            </w:pPr>
            <w:r>
              <w:rPr>
                <w:b/>
                <w:w w:val="105"/>
                <w:sz w:val="19"/>
              </w:rPr>
              <w:t>Number</w:t>
            </w:r>
            <w:r>
              <w:rPr>
                <w:b/>
                <w:spacing w:val="-13"/>
                <w:w w:val="105"/>
                <w:sz w:val="19"/>
              </w:rPr>
              <w:t xml:space="preserve"> </w:t>
            </w:r>
            <w:r>
              <w:rPr>
                <w:b/>
                <w:w w:val="105"/>
                <w:sz w:val="19"/>
              </w:rPr>
              <w:t xml:space="preserve">of </w:t>
            </w:r>
            <w:r>
              <w:rPr>
                <w:b/>
                <w:spacing w:val="-2"/>
                <w:w w:val="105"/>
                <w:sz w:val="19"/>
              </w:rPr>
              <w:t>Responses</w:t>
            </w:r>
          </w:p>
        </w:tc>
        <w:tc>
          <w:tcPr>
            <w:tcW w:w="1165" w:type="dxa"/>
            <w:shd w:val="clear" w:color="auto" w:fill="F1F1F1"/>
          </w:tcPr>
          <w:p>
            <w:pPr>
              <w:pStyle w:val="TableParagraph"/>
              <w:spacing w:before="11" w:line="252" w:lineRule="auto"/>
              <w:ind w:left="21" w:right="10"/>
              <w:jc w:val="center"/>
              <w:rPr>
                <w:b/>
                <w:sz w:val="19"/>
              </w:rPr>
            </w:pPr>
            <w:r>
              <w:rPr>
                <w:b/>
                <w:spacing w:val="-2"/>
                <w:w w:val="105"/>
                <w:sz w:val="19"/>
              </w:rPr>
              <w:t xml:space="preserve">Average Burden </w:t>
            </w:r>
            <w:r>
              <w:rPr>
                <w:b/>
                <w:w w:val="105"/>
                <w:sz w:val="19"/>
              </w:rPr>
              <w:t>Hours</w:t>
            </w:r>
            <w:r>
              <w:rPr>
                <w:b/>
                <w:spacing w:val="-6"/>
                <w:w w:val="105"/>
                <w:sz w:val="19"/>
              </w:rPr>
              <w:t xml:space="preserve"> </w:t>
            </w:r>
            <w:r>
              <w:rPr>
                <w:b/>
                <w:spacing w:val="-5"/>
                <w:w w:val="105"/>
                <w:sz w:val="19"/>
              </w:rPr>
              <w:t>Per</w:t>
            </w:r>
          </w:p>
          <w:p>
            <w:pPr>
              <w:pStyle w:val="TableParagraph"/>
              <w:spacing w:line="195" w:lineRule="exact"/>
              <w:ind w:left="21" w:right="12"/>
              <w:jc w:val="center"/>
              <w:rPr>
                <w:b/>
                <w:sz w:val="19"/>
              </w:rPr>
            </w:pPr>
            <w:r>
              <w:rPr>
                <w:b/>
                <w:spacing w:val="-2"/>
                <w:w w:val="105"/>
                <w:sz w:val="19"/>
              </w:rPr>
              <w:t>Response</w:t>
            </w:r>
          </w:p>
        </w:tc>
        <w:tc>
          <w:tcPr>
            <w:tcW w:w="1264" w:type="dxa"/>
            <w:shd w:val="clear" w:color="auto" w:fill="F1F1F1"/>
          </w:tcPr>
          <w:p>
            <w:pPr>
              <w:pStyle w:val="TableParagraph"/>
              <w:spacing w:before="11" w:line="252" w:lineRule="auto"/>
              <w:ind w:left="313" w:right="299" w:firstLine="8"/>
              <w:jc w:val="center"/>
              <w:rPr>
                <w:b/>
                <w:sz w:val="19"/>
              </w:rPr>
            </w:pPr>
            <w:r>
              <w:rPr>
                <w:b/>
                <w:spacing w:val="-2"/>
                <w:w w:val="105"/>
                <w:sz w:val="19"/>
              </w:rPr>
              <w:t xml:space="preserve">Total </w:t>
            </w:r>
            <w:r>
              <w:rPr>
                <w:b/>
                <w:spacing w:val="-2"/>
                <w:sz w:val="19"/>
              </w:rPr>
              <w:t xml:space="preserve">Burden </w:t>
            </w:r>
            <w:r>
              <w:rPr>
                <w:b/>
                <w:spacing w:val="-4"/>
                <w:w w:val="105"/>
                <w:sz w:val="19"/>
              </w:rPr>
              <w:t>Hours</w:t>
            </w:r>
          </w:p>
          <w:p>
            <w:pPr>
              <w:pStyle w:val="TableParagraph"/>
              <w:spacing w:line="195" w:lineRule="exact"/>
              <w:ind w:left="22" w:right="13"/>
              <w:jc w:val="center"/>
              <w:rPr>
                <w:b/>
                <w:sz w:val="19"/>
              </w:rPr>
            </w:pPr>
            <w:r>
              <w:rPr>
                <w:b/>
                <w:spacing w:val="-2"/>
                <w:w w:val="105"/>
                <w:sz w:val="19"/>
              </w:rPr>
              <w:t>(rounded)</w:t>
            </w:r>
          </w:p>
        </w:tc>
        <w:tc>
          <w:tcPr>
            <w:tcW w:w="1702" w:type="dxa"/>
            <w:shd w:val="clear" w:color="auto" w:fill="F1F1F1"/>
          </w:tcPr>
          <w:p>
            <w:pPr>
              <w:pStyle w:val="TableParagraph"/>
              <w:spacing w:before="19"/>
              <w:rPr>
                <w:b/>
                <w:sz w:val="19"/>
              </w:rPr>
            </w:pPr>
          </w:p>
          <w:p>
            <w:pPr>
              <w:pStyle w:val="TableParagraph"/>
              <w:spacing w:line="256" w:lineRule="auto"/>
              <w:ind w:left="426" w:hanging="311"/>
              <w:rPr>
                <w:b/>
                <w:sz w:val="19"/>
              </w:rPr>
            </w:pPr>
            <w:r>
              <w:rPr>
                <w:b/>
                <w:w w:val="105"/>
                <w:sz w:val="19"/>
              </w:rPr>
              <w:t>Total</w:t>
            </w:r>
            <w:r>
              <w:rPr>
                <w:b/>
                <w:spacing w:val="-13"/>
                <w:w w:val="105"/>
                <w:sz w:val="19"/>
              </w:rPr>
              <w:t xml:space="preserve"> </w:t>
            </w:r>
            <w:r>
              <w:rPr>
                <w:b/>
                <w:w w:val="105"/>
                <w:sz w:val="19"/>
              </w:rPr>
              <w:t>Labor</w:t>
            </w:r>
            <w:r>
              <w:rPr>
                <w:b/>
                <w:spacing w:val="-12"/>
                <w:w w:val="105"/>
                <w:sz w:val="19"/>
              </w:rPr>
              <w:t xml:space="preserve"> </w:t>
            </w:r>
            <w:r>
              <w:rPr>
                <w:b/>
                <w:w w:val="105"/>
                <w:sz w:val="19"/>
              </w:rPr>
              <w:t xml:space="preserve">Cost </w:t>
            </w:r>
            <w:r>
              <w:rPr>
                <w:b/>
                <w:spacing w:val="-2"/>
                <w:w w:val="105"/>
                <w:sz w:val="19"/>
              </w:rPr>
              <w:t>(rounded)</w:t>
            </w:r>
          </w:p>
        </w:tc>
      </w:tr>
      <w:tr>
        <w:tblPrEx>
          <w:tblW w:w="0" w:type="auto"/>
          <w:jc w:val="left"/>
          <w:tblInd w:w="95" w:type="dxa"/>
          <w:tblLayout w:type="fixed"/>
          <w:tblCellMar>
            <w:top w:w="0" w:type="dxa"/>
            <w:left w:w="0" w:type="dxa"/>
            <w:bottom w:w="0" w:type="dxa"/>
            <w:right w:w="0" w:type="dxa"/>
          </w:tblCellMar>
          <w:tblLook w:val="01E0"/>
        </w:tblPrEx>
        <w:trPr>
          <w:trHeight w:val="1380"/>
          <w:jc w:val="left"/>
        </w:trPr>
        <w:tc>
          <w:tcPr>
            <w:tcW w:w="1533" w:type="dxa"/>
          </w:tcPr>
          <w:p>
            <w:pPr>
              <w:pStyle w:val="TableParagraph"/>
              <w:spacing w:before="11"/>
              <w:ind w:left="108"/>
              <w:rPr>
                <w:sz w:val="19"/>
              </w:rPr>
            </w:pPr>
            <w:r>
              <w:rPr>
                <w:spacing w:val="-4"/>
                <w:w w:val="105"/>
                <w:sz w:val="19"/>
              </w:rPr>
              <w:t>NQTL</w:t>
            </w:r>
          </w:p>
          <w:p>
            <w:pPr>
              <w:pStyle w:val="TableParagraph"/>
              <w:spacing w:before="15" w:line="252" w:lineRule="auto"/>
              <w:ind w:left="108"/>
              <w:rPr>
                <w:sz w:val="19"/>
              </w:rPr>
            </w:pPr>
            <w:r>
              <w:rPr>
                <w:spacing w:val="-2"/>
                <w:w w:val="105"/>
                <w:sz w:val="19"/>
              </w:rPr>
              <w:t xml:space="preserve">Comparative Analyses </w:t>
            </w:r>
            <w:r>
              <w:rPr>
                <w:spacing w:val="-2"/>
                <w:sz w:val="19"/>
              </w:rPr>
              <w:t>Documentation</w:t>
            </w:r>
          </w:p>
          <w:p>
            <w:pPr>
              <w:pStyle w:val="TableParagraph"/>
              <w:spacing w:line="226" w:lineRule="exact"/>
              <w:ind w:left="108"/>
              <w:rPr>
                <w:sz w:val="19"/>
              </w:rPr>
            </w:pPr>
            <w:r>
              <w:rPr>
                <w:w w:val="105"/>
                <w:sz w:val="19"/>
              </w:rPr>
              <w:t xml:space="preserve">and Data </w:t>
            </w:r>
            <w:r>
              <w:rPr>
                <w:spacing w:val="-2"/>
                <w:sz w:val="19"/>
              </w:rPr>
              <w:t>Requirements</w:t>
            </w:r>
          </w:p>
        </w:tc>
        <w:tc>
          <w:tcPr>
            <w:tcW w:w="1441" w:type="dxa"/>
          </w:tcPr>
          <w:p>
            <w:pPr>
              <w:pStyle w:val="TableParagraph"/>
              <w:spacing w:before="131" w:line="252" w:lineRule="auto"/>
              <w:ind w:left="121" w:right="123" w:hanging="3"/>
              <w:jc w:val="center"/>
              <w:rPr>
                <w:sz w:val="19"/>
              </w:rPr>
            </w:pPr>
            <w:r>
              <w:rPr>
                <w:w w:val="105"/>
                <w:sz w:val="19"/>
              </w:rPr>
              <w:t>Issuers, Self-Funded Non-</w:t>
            </w:r>
            <w:r>
              <w:rPr>
                <w:spacing w:val="-2"/>
                <w:w w:val="105"/>
                <w:sz w:val="19"/>
              </w:rPr>
              <w:t xml:space="preserve">Federal Governmental </w:t>
            </w:r>
            <w:r>
              <w:rPr>
                <w:w w:val="105"/>
                <w:sz w:val="19"/>
              </w:rPr>
              <w:t>Plans,</w:t>
            </w:r>
            <w:r>
              <w:rPr>
                <w:spacing w:val="-5"/>
                <w:w w:val="105"/>
                <w:sz w:val="19"/>
              </w:rPr>
              <w:t xml:space="preserve"> </w:t>
            </w:r>
            <w:r>
              <w:rPr>
                <w:w w:val="105"/>
                <w:sz w:val="19"/>
              </w:rPr>
              <w:t>&amp;</w:t>
            </w:r>
            <w:r>
              <w:rPr>
                <w:spacing w:val="-2"/>
                <w:w w:val="105"/>
                <w:sz w:val="19"/>
              </w:rPr>
              <w:t xml:space="preserve"> </w:t>
            </w:r>
            <w:r>
              <w:rPr>
                <w:spacing w:val="-4"/>
                <w:w w:val="105"/>
                <w:sz w:val="19"/>
              </w:rPr>
              <w:t>TPAs</w:t>
            </w:r>
          </w:p>
        </w:tc>
        <w:tc>
          <w:tcPr>
            <w:tcW w:w="1349" w:type="dxa"/>
          </w:tcPr>
          <w:p>
            <w:pPr>
              <w:pStyle w:val="TableParagraph"/>
              <w:rPr>
                <w:b/>
                <w:sz w:val="19"/>
              </w:rPr>
            </w:pPr>
          </w:p>
          <w:p>
            <w:pPr>
              <w:pStyle w:val="TableParagraph"/>
              <w:spacing w:before="153"/>
              <w:rPr>
                <w:b/>
                <w:sz w:val="19"/>
              </w:rPr>
            </w:pPr>
          </w:p>
          <w:p>
            <w:pPr>
              <w:pStyle w:val="TableParagraph"/>
              <w:ind w:left="6" w:right="7"/>
              <w:jc w:val="center"/>
              <w:rPr>
                <w:sz w:val="19"/>
              </w:rPr>
            </w:pPr>
            <w:r>
              <w:rPr>
                <w:spacing w:val="-2"/>
                <w:w w:val="105"/>
                <w:sz w:val="19"/>
              </w:rPr>
              <w:t>4,981</w:t>
            </w:r>
          </w:p>
        </w:tc>
        <w:tc>
          <w:tcPr>
            <w:tcW w:w="1172" w:type="dxa"/>
          </w:tcPr>
          <w:p>
            <w:pPr>
              <w:pStyle w:val="TableParagraph"/>
              <w:rPr>
                <w:b/>
                <w:sz w:val="19"/>
              </w:rPr>
            </w:pPr>
          </w:p>
          <w:p>
            <w:pPr>
              <w:pStyle w:val="TableParagraph"/>
              <w:spacing w:before="153"/>
              <w:rPr>
                <w:b/>
                <w:sz w:val="19"/>
              </w:rPr>
            </w:pPr>
          </w:p>
          <w:p>
            <w:pPr>
              <w:pStyle w:val="TableParagraph"/>
              <w:ind w:right="5"/>
              <w:jc w:val="center"/>
              <w:rPr>
                <w:sz w:val="19"/>
              </w:rPr>
            </w:pPr>
            <w:r>
              <w:rPr>
                <w:spacing w:val="-2"/>
                <w:w w:val="105"/>
                <w:sz w:val="19"/>
              </w:rPr>
              <w:t>4,981</w:t>
            </w:r>
          </w:p>
        </w:tc>
        <w:tc>
          <w:tcPr>
            <w:tcW w:w="1165" w:type="dxa"/>
          </w:tcPr>
          <w:p>
            <w:pPr>
              <w:pStyle w:val="TableParagraph"/>
              <w:rPr>
                <w:b/>
                <w:sz w:val="19"/>
              </w:rPr>
            </w:pPr>
          </w:p>
          <w:p>
            <w:pPr>
              <w:pStyle w:val="TableParagraph"/>
              <w:spacing w:before="153"/>
              <w:rPr>
                <w:b/>
                <w:sz w:val="19"/>
              </w:rPr>
            </w:pPr>
          </w:p>
          <w:p>
            <w:pPr>
              <w:pStyle w:val="TableParagraph"/>
              <w:ind w:left="21" w:right="15"/>
              <w:jc w:val="center"/>
              <w:rPr>
                <w:sz w:val="19"/>
              </w:rPr>
            </w:pPr>
            <w:r>
              <w:rPr>
                <w:spacing w:val="-5"/>
                <w:w w:val="105"/>
                <w:sz w:val="19"/>
              </w:rPr>
              <w:t>198</w:t>
            </w:r>
          </w:p>
        </w:tc>
        <w:tc>
          <w:tcPr>
            <w:tcW w:w="1264" w:type="dxa"/>
          </w:tcPr>
          <w:p>
            <w:pPr>
              <w:pStyle w:val="TableParagraph"/>
              <w:rPr>
                <w:b/>
                <w:sz w:val="19"/>
              </w:rPr>
            </w:pPr>
          </w:p>
          <w:p>
            <w:pPr>
              <w:pStyle w:val="TableParagraph"/>
              <w:spacing w:before="153"/>
              <w:rPr>
                <w:b/>
                <w:sz w:val="19"/>
              </w:rPr>
            </w:pPr>
          </w:p>
          <w:p>
            <w:pPr>
              <w:pStyle w:val="TableParagraph"/>
              <w:ind w:left="22" w:right="7"/>
              <w:jc w:val="center"/>
              <w:rPr>
                <w:sz w:val="19"/>
              </w:rPr>
            </w:pPr>
            <w:r>
              <w:rPr>
                <w:spacing w:val="-2"/>
                <w:w w:val="105"/>
                <w:sz w:val="19"/>
              </w:rPr>
              <w:t>987,840</w:t>
            </w:r>
          </w:p>
        </w:tc>
        <w:tc>
          <w:tcPr>
            <w:tcW w:w="1702" w:type="dxa"/>
          </w:tcPr>
          <w:p>
            <w:pPr>
              <w:pStyle w:val="TableParagraph"/>
              <w:rPr>
                <w:b/>
                <w:sz w:val="19"/>
              </w:rPr>
            </w:pPr>
          </w:p>
          <w:p>
            <w:pPr>
              <w:pStyle w:val="TableParagraph"/>
              <w:spacing w:before="153"/>
              <w:rPr>
                <w:b/>
                <w:sz w:val="19"/>
              </w:rPr>
            </w:pPr>
          </w:p>
          <w:p>
            <w:pPr>
              <w:pStyle w:val="TableParagraph"/>
              <w:ind w:left="8" w:right="8"/>
              <w:jc w:val="center"/>
              <w:rPr>
                <w:sz w:val="19"/>
              </w:rPr>
            </w:pPr>
            <w:r>
              <w:rPr>
                <w:spacing w:val="-2"/>
                <w:w w:val="105"/>
                <w:sz w:val="19"/>
              </w:rPr>
              <w:t>$165,443,443</w:t>
            </w:r>
          </w:p>
        </w:tc>
      </w:tr>
      <w:tr>
        <w:tblPrEx>
          <w:tblW w:w="0" w:type="auto"/>
          <w:jc w:val="left"/>
          <w:tblInd w:w="95" w:type="dxa"/>
          <w:tblLayout w:type="fixed"/>
          <w:tblCellMar>
            <w:top w:w="0" w:type="dxa"/>
            <w:left w:w="0" w:type="dxa"/>
            <w:bottom w:w="0" w:type="dxa"/>
            <w:right w:w="0" w:type="dxa"/>
          </w:tblCellMar>
          <w:tblLook w:val="01E0"/>
        </w:tblPrEx>
        <w:trPr>
          <w:trHeight w:val="1151"/>
          <w:jc w:val="left"/>
        </w:trPr>
        <w:tc>
          <w:tcPr>
            <w:tcW w:w="1533" w:type="dxa"/>
          </w:tcPr>
          <w:p>
            <w:pPr>
              <w:pStyle w:val="TableParagraph"/>
              <w:spacing w:before="128" w:line="252" w:lineRule="auto"/>
              <w:ind w:left="108" w:right="260"/>
              <w:rPr>
                <w:sz w:val="19"/>
              </w:rPr>
            </w:pPr>
            <w:r>
              <w:rPr>
                <w:spacing w:val="-2"/>
                <w:w w:val="105"/>
                <w:sz w:val="19"/>
              </w:rPr>
              <w:t xml:space="preserve">Initial </w:t>
            </w:r>
            <w:r>
              <w:rPr>
                <w:w w:val="105"/>
                <w:sz w:val="19"/>
              </w:rPr>
              <w:t>Submission</w:t>
            </w:r>
            <w:r>
              <w:rPr>
                <w:spacing w:val="-13"/>
                <w:w w:val="105"/>
                <w:sz w:val="19"/>
              </w:rPr>
              <w:t xml:space="preserve"> </w:t>
            </w:r>
            <w:r>
              <w:rPr>
                <w:w w:val="105"/>
                <w:sz w:val="19"/>
              </w:rPr>
              <w:t xml:space="preserve">of </w:t>
            </w:r>
            <w:r>
              <w:rPr>
                <w:spacing w:val="-2"/>
                <w:w w:val="105"/>
                <w:sz w:val="19"/>
              </w:rPr>
              <w:t>Comparative Analyses</w:t>
            </w:r>
          </w:p>
        </w:tc>
        <w:tc>
          <w:tcPr>
            <w:tcW w:w="1441" w:type="dxa"/>
          </w:tcPr>
          <w:p>
            <w:pPr>
              <w:pStyle w:val="TableParagraph"/>
              <w:spacing w:before="8" w:line="254" w:lineRule="auto"/>
              <w:ind w:left="37" w:right="41"/>
              <w:jc w:val="center"/>
              <w:rPr>
                <w:sz w:val="19"/>
              </w:rPr>
            </w:pPr>
            <w:r>
              <w:rPr>
                <w:w w:val="105"/>
                <w:sz w:val="19"/>
              </w:rPr>
              <w:t>Issuers</w:t>
            </w:r>
            <w:r>
              <w:rPr>
                <w:spacing w:val="-13"/>
                <w:w w:val="105"/>
                <w:sz w:val="19"/>
              </w:rPr>
              <w:t xml:space="preserve"> </w:t>
            </w:r>
            <w:r>
              <w:rPr>
                <w:w w:val="105"/>
                <w:sz w:val="19"/>
              </w:rPr>
              <w:t>&amp;</w:t>
            </w:r>
            <w:r>
              <w:rPr>
                <w:spacing w:val="-12"/>
                <w:w w:val="105"/>
                <w:sz w:val="19"/>
              </w:rPr>
              <w:t xml:space="preserve"> </w:t>
            </w:r>
            <w:r>
              <w:rPr>
                <w:w w:val="105"/>
                <w:sz w:val="19"/>
              </w:rPr>
              <w:t>Self-Funded Non-</w:t>
            </w:r>
            <w:r>
              <w:rPr>
                <w:spacing w:val="-2"/>
                <w:w w:val="105"/>
                <w:sz w:val="19"/>
              </w:rPr>
              <w:t>Federal Governmental</w:t>
            </w:r>
          </w:p>
          <w:p>
            <w:pPr>
              <w:pStyle w:val="TableParagraph"/>
              <w:spacing w:line="197" w:lineRule="exact"/>
              <w:ind w:left="37" w:right="32"/>
              <w:jc w:val="center"/>
              <w:rPr>
                <w:sz w:val="19"/>
              </w:rPr>
            </w:pPr>
            <w:r>
              <w:rPr>
                <w:spacing w:val="-4"/>
                <w:w w:val="105"/>
                <w:sz w:val="19"/>
              </w:rPr>
              <w:t>Plans</w:t>
            </w:r>
          </w:p>
        </w:tc>
        <w:tc>
          <w:tcPr>
            <w:tcW w:w="1349" w:type="dxa"/>
          </w:tcPr>
          <w:p>
            <w:pPr>
              <w:pStyle w:val="TableParagraph"/>
              <w:rPr>
                <w:b/>
                <w:sz w:val="19"/>
              </w:rPr>
            </w:pPr>
          </w:p>
          <w:p>
            <w:pPr>
              <w:pStyle w:val="TableParagraph"/>
              <w:spacing w:before="30"/>
              <w:rPr>
                <w:b/>
                <w:sz w:val="19"/>
              </w:rPr>
            </w:pPr>
          </w:p>
          <w:p>
            <w:pPr>
              <w:pStyle w:val="TableParagraph"/>
              <w:ind w:left="7" w:right="1"/>
              <w:jc w:val="center"/>
              <w:rPr>
                <w:sz w:val="19"/>
              </w:rPr>
            </w:pPr>
            <w:r>
              <w:rPr>
                <w:spacing w:val="-5"/>
                <w:w w:val="105"/>
                <w:sz w:val="19"/>
              </w:rPr>
              <w:t>20</w:t>
            </w:r>
          </w:p>
        </w:tc>
        <w:tc>
          <w:tcPr>
            <w:tcW w:w="1172" w:type="dxa"/>
          </w:tcPr>
          <w:p>
            <w:pPr>
              <w:pStyle w:val="TableParagraph"/>
              <w:rPr>
                <w:b/>
                <w:sz w:val="19"/>
              </w:rPr>
            </w:pPr>
          </w:p>
          <w:p>
            <w:pPr>
              <w:pStyle w:val="TableParagraph"/>
              <w:spacing w:before="30"/>
              <w:rPr>
                <w:b/>
                <w:sz w:val="19"/>
              </w:rPr>
            </w:pPr>
          </w:p>
          <w:p>
            <w:pPr>
              <w:pStyle w:val="TableParagraph"/>
              <w:ind w:left="5" w:right="5"/>
              <w:jc w:val="center"/>
              <w:rPr>
                <w:sz w:val="19"/>
              </w:rPr>
            </w:pPr>
            <w:r>
              <w:rPr>
                <w:spacing w:val="-5"/>
                <w:w w:val="105"/>
                <w:sz w:val="19"/>
              </w:rPr>
              <w:t>20</w:t>
            </w:r>
          </w:p>
        </w:tc>
        <w:tc>
          <w:tcPr>
            <w:tcW w:w="1165" w:type="dxa"/>
          </w:tcPr>
          <w:p>
            <w:pPr>
              <w:pStyle w:val="TableParagraph"/>
              <w:rPr>
                <w:b/>
                <w:sz w:val="19"/>
              </w:rPr>
            </w:pPr>
          </w:p>
          <w:p>
            <w:pPr>
              <w:pStyle w:val="TableParagraph"/>
              <w:spacing w:before="30"/>
              <w:rPr>
                <w:b/>
                <w:sz w:val="19"/>
              </w:rPr>
            </w:pPr>
          </w:p>
          <w:p>
            <w:pPr>
              <w:pStyle w:val="TableParagraph"/>
              <w:ind w:left="21" w:right="14"/>
              <w:jc w:val="center"/>
              <w:rPr>
                <w:sz w:val="19"/>
              </w:rPr>
            </w:pPr>
            <w:r>
              <w:rPr>
                <w:spacing w:val="-10"/>
                <w:w w:val="105"/>
                <w:sz w:val="19"/>
              </w:rPr>
              <w:t>5</w:t>
            </w:r>
          </w:p>
        </w:tc>
        <w:tc>
          <w:tcPr>
            <w:tcW w:w="1264" w:type="dxa"/>
          </w:tcPr>
          <w:p>
            <w:pPr>
              <w:pStyle w:val="TableParagraph"/>
              <w:rPr>
                <w:b/>
                <w:sz w:val="19"/>
              </w:rPr>
            </w:pPr>
          </w:p>
          <w:p>
            <w:pPr>
              <w:pStyle w:val="TableParagraph"/>
              <w:spacing w:before="30"/>
              <w:rPr>
                <w:b/>
                <w:sz w:val="19"/>
              </w:rPr>
            </w:pPr>
          </w:p>
          <w:p>
            <w:pPr>
              <w:pStyle w:val="TableParagraph"/>
              <w:ind w:left="22" w:right="14"/>
              <w:jc w:val="center"/>
              <w:rPr>
                <w:sz w:val="19"/>
              </w:rPr>
            </w:pPr>
            <w:r>
              <w:rPr>
                <w:spacing w:val="-5"/>
                <w:w w:val="105"/>
                <w:sz w:val="19"/>
              </w:rPr>
              <w:t>100</w:t>
            </w:r>
          </w:p>
        </w:tc>
        <w:tc>
          <w:tcPr>
            <w:tcW w:w="1702" w:type="dxa"/>
          </w:tcPr>
          <w:p>
            <w:pPr>
              <w:pStyle w:val="TableParagraph"/>
              <w:rPr>
                <w:b/>
                <w:sz w:val="19"/>
              </w:rPr>
            </w:pPr>
          </w:p>
          <w:p>
            <w:pPr>
              <w:pStyle w:val="TableParagraph"/>
              <w:spacing w:before="30"/>
              <w:rPr>
                <w:b/>
                <w:sz w:val="19"/>
              </w:rPr>
            </w:pPr>
          </w:p>
          <w:p>
            <w:pPr>
              <w:pStyle w:val="TableParagraph"/>
              <w:ind w:left="8" w:right="8"/>
              <w:jc w:val="center"/>
              <w:rPr>
                <w:sz w:val="19"/>
              </w:rPr>
            </w:pPr>
            <w:r>
              <w:rPr>
                <w:spacing w:val="-2"/>
                <w:w w:val="105"/>
                <w:sz w:val="19"/>
              </w:rPr>
              <w:t>$11,902</w:t>
            </w:r>
          </w:p>
        </w:tc>
      </w:tr>
      <w:tr>
        <w:tblPrEx>
          <w:tblW w:w="0" w:type="auto"/>
          <w:jc w:val="left"/>
          <w:tblInd w:w="95" w:type="dxa"/>
          <w:tblLayout w:type="fixed"/>
          <w:tblCellMar>
            <w:top w:w="0" w:type="dxa"/>
            <w:left w:w="0" w:type="dxa"/>
            <w:bottom w:w="0" w:type="dxa"/>
            <w:right w:w="0" w:type="dxa"/>
          </w:tblCellMar>
          <w:tblLook w:val="01E0"/>
        </w:tblPrEx>
        <w:trPr>
          <w:trHeight w:val="1381"/>
          <w:jc w:val="left"/>
        </w:trPr>
        <w:tc>
          <w:tcPr>
            <w:tcW w:w="1533" w:type="dxa"/>
          </w:tcPr>
          <w:p>
            <w:pPr>
              <w:pStyle w:val="TableParagraph"/>
              <w:spacing w:before="11" w:line="252" w:lineRule="auto"/>
              <w:ind w:left="108" w:right="185"/>
              <w:rPr>
                <w:sz w:val="19"/>
              </w:rPr>
            </w:pPr>
            <w:r>
              <w:rPr>
                <w:w w:val="105"/>
                <w:sz w:val="19"/>
              </w:rPr>
              <w:t xml:space="preserve">Submission of </w:t>
            </w:r>
            <w:r>
              <w:rPr>
                <w:spacing w:val="-2"/>
                <w:w w:val="105"/>
                <w:sz w:val="19"/>
              </w:rPr>
              <w:t xml:space="preserve">Additional </w:t>
            </w:r>
            <w:r>
              <w:rPr>
                <w:spacing w:val="-2"/>
                <w:sz w:val="19"/>
              </w:rPr>
              <w:t xml:space="preserve">Documentation </w:t>
            </w:r>
            <w:r>
              <w:rPr>
                <w:spacing w:val="-4"/>
                <w:w w:val="105"/>
                <w:sz w:val="19"/>
              </w:rPr>
              <w:t xml:space="preserve">for </w:t>
            </w:r>
            <w:r>
              <w:rPr>
                <w:spacing w:val="-2"/>
                <w:w w:val="105"/>
                <w:sz w:val="19"/>
              </w:rPr>
              <w:t>Comparative</w:t>
            </w:r>
          </w:p>
          <w:p>
            <w:pPr>
              <w:pStyle w:val="TableParagraph"/>
              <w:spacing w:before="5" w:line="198" w:lineRule="exact"/>
              <w:ind w:left="108"/>
              <w:rPr>
                <w:sz w:val="19"/>
              </w:rPr>
            </w:pPr>
            <w:r>
              <w:rPr>
                <w:spacing w:val="-2"/>
                <w:w w:val="105"/>
                <w:sz w:val="19"/>
              </w:rPr>
              <w:t>Analyses</w:t>
            </w:r>
          </w:p>
        </w:tc>
        <w:tc>
          <w:tcPr>
            <w:tcW w:w="1441" w:type="dxa"/>
          </w:tcPr>
          <w:p>
            <w:pPr>
              <w:pStyle w:val="TableParagraph"/>
              <w:spacing w:before="124" w:line="252" w:lineRule="auto"/>
              <w:ind w:left="37" w:right="41"/>
              <w:jc w:val="center"/>
              <w:rPr>
                <w:sz w:val="19"/>
              </w:rPr>
            </w:pPr>
            <w:r>
              <w:rPr>
                <w:w w:val="105"/>
                <w:sz w:val="19"/>
              </w:rPr>
              <w:t>Issuers</w:t>
            </w:r>
            <w:r>
              <w:rPr>
                <w:spacing w:val="-13"/>
                <w:w w:val="105"/>
                <w:sz w:val="19"/>
              </w:rPr>
              <w:t xml:space="preserve"> </w:t>
            </w:r>
            <w:r>
              <w:rPr>
                <w:w w:val="105"/>
                <w:sz w:val="19"/>
              </w:rPr>
              <w:t>&amp;</w:t>
            </w:r>
            <w:r>
              <w:rPr>
                <w:spacing w:val="-12"/>
                <w:w w:val="105"/>
                <w:sz w:val="19"/>
              </w:rPr>
              <w:t xml:space="preserve"> </w:t>
            </w:r>
            <w:r>
              <w:rPr>
                <w:w w:val="105"/>
                <w:sz w:val="19"/>
              </w:rPr>
              <w:t>Self-Funded Non-</w:t>
            </w:r>
            <w:r>
              <w:rPr>
                <w:spacing w:val="-2"/>
                <w:w w:val="105"/>
                <w:sz w:val="19"/>
              </w:rPr>
              <w:t xml:space="preserve">Federal Governmental </w:t>
            </w:r>
            <w:r>
              <w:rPr>
                <w:spacing w:val="-4"/>
                <w:w w:val="105"/>
                <w:sz w:val="19"/>
              </w:rPr>
              <w:t>Plans</w:t>
            </w:r>
          </w:p>
        </w:tc>
        <w:tc>
          <w:tcPr>
            <w:tcW w:w="1349" w:type="dxa"/>
          </w:tcPr>
          <w:p>
            <w:pPr>
              <w:pStyle w:val="TableParagraph"/>
              <w:rPr>
                <w:b/>
                <w:sz w:val="19"/>
              </w:rPr>
            </w:pPr>
          </w:p>
          <w:p>
            <w:pPr>
              <w:pStyle w:val="TableParagraph"/>
              <w:spacing w:before="146"/>
              <w:rPr>
                <w:b/>
                <w:sz w:val="19"/>
              </w:rPr>
            </w:pPr>
          </w:p>
          <w:p>
            <w:pPr>
              <w:pStyle w:val="TableParagraph"/>
              <w:spacing w:before="1"/>
              <w:ind w:left="7" w:right="1"/>
              <w:jc w:val="center"/>
              <w:rPr>
                <w:sz w:val="19"/>
              </w:rPr>
            </w:pPr>
            <w:r>
              <w:rPr>
                <w:spacing w:val="-5"/>
                <w:w w:val="105"/>
                <w:sz w:val="19"/>
              </w:rPr>
              <w:t>20</w:t>
            </w:r>
          </w:p>
        </w:tc>
        <w:tc>
          <w:tcPr>
            <w:tcW w:w="1172" w:type="dxa"/>
          </w:tcPr>
          <w:p>
            <w:pPr>
              <w:pStyle w:val="TableParagraph"/>
              <w:rPr>
                <w:b/>
                <w:sz w:val="19"/>
              </w:rPr>
            </w:pPr>
          </w:p>
          <w:p>
            <w:pPr>
              <w:pStyle w:val="TableParagraph"/>
              <w:spacing w:before="146"/>
              <w:rPr>
                <w:b/>
                <w:sz w:val="19"/>
              </w:rPr>
            </w:pPr>
          </w:p>
          <w:p>
            <w:pPr>
              <w:pStyle w:val="TableParagraph"/>
              <w:spacing w:before="1"/>
              <w:ind w:left="5" w:right="5"/>
              <w:jc w:val="center"/>
              <w:rPr>
                <w:sz w:val="19"/>
              </w:rPr>
            </w:pPr>
            <w:r>
              <w:rPr>
                <w:spacing w:val="-5"/>
                <w:w w:val="105"/>
                <w:sz w:val="19"/>
              </w:rPr>
              <w:t>20</w:t>
            </w:r>
          </w:p>
        </w:tc>
        <w:tc>
          <w:tcPr>
            <w:tcW w:w="1165" w:type="dxa"/>
          </w:tcPr>
          <w:p>
            <w:pPr>
              <w:pStyle w:val="TableParagraph"/>
              <w:rPr>
                <w:b/>
                <w:sz w:val="19"/>
              </w:rPr>
            </w:pPr>
          </w:p>
          <w:p>
            <w:pPr>
              <w:pStyle w:val="TableParagraph"/>
              <w:spacing w:before="146"/>
              <w:rPr>
                <w:b/>
                <w:sz w:val="19"/>
              </w:rPr>
            </w:pPr>
          </w:p>
          <w:p>
            <w:pPr>
              <w:pStyle w:val="TableParagraph"/>
              <w:spacing w:before="1"/>
              <w:ind w:left="21" w:right="14"/>
              <w:jc w:val="center"/>
              <w:rPr>
                <w:sz w:val="19"/>
              </w:rPr>
            </w:pPr>
            <w:r>
              <w:rPr>
                <w:spacing w:val="-10"/>
                <w:w w:val="105"/>
                <w:sz w:val="19"/>
              </w:rPr>
              <w:t>5</w:t>
            </w:r>
          </w:p>
        </w:tc>
        <w:tc>
          <w:tcPr>
            <w:tcW w:w="1264" w:type="dxa"/>
          </w:tcPr>
          <w:p>
            <w:pPr>
              <w:pStyle w:val="TableParagraph"/>
              <w:rPr>
                <w:b/>
                <w:sz w:val="19"/>
              </w:rPr>
            </w:pPr>
          </w:p>
          <w:p>
            <w:pPr>
              <w:pStyle w:val="TableParagraph"/>
              <w:spacing w:before="146"/>
              <w:rPr>
                <w:b/>
                <w:sz w:val="19"/>
              </w:rPr>
            </w:pPr>
          </w:p>
          <w:p>
            <w:pPr>
              <w:pStyle w:val="TableParagraph"/>
              <w:spacing w:before="1"/>
              <w:ind w:left="22" w:right="14"/>
              <w:jc w:val="center"/>
              <w:rPr>
                <w:sz w:val="19"/>
              </w:rPr>
            </w:pPr>
            <w:r>
              <w:rPr>
                <w:spacing w:val="-5"/>
                <w:w w:val="105"/>
                <w:sz w:val="19"/>
              </w:rPr>
              <w:t>100</w:t>
            </w:r>
          </w:p>
        </w:tc>
        <w:tc>
          <w:tcPr>
            <w:tcW w:w="1702" w:type="dxa"/>
          </w:tcPr>
          <w:p>
            <w:pPr>
              <w:pStyle w:val="TableParagraph"/>
              <w:rPr>
                <w:b/>
                <w:sz w:val="19"/>
              </w:rPr>
            </w:pPr>
          </w:p>
          <w:p>
            <w:pPr>
              <w:pStyle w:val="TableParagraph"/>
              <w:spacing w:before="146"/>
              <w:rPr>
                <w:b/>
                <w:sz w:val="19"/>
              </w:rPr>
            </w:pPr>
          </w:p>
          <w:p>
            <w:pPr>
              <w:pStyle w:val="TableParagraph"/>
              <w:spacing w:before="1"/>
              <w:ind w:left="8" w:right="8"/>
              <w:jc w:val="center"/>
              <w:rPr>
                <w:sz w:val="19"/>
              </w:rPr>
            </w:pPr>
            <w:r>
              <w:rPr>
                <w:spacing w:val="-2"/>
                <w:w w:val="105"/>
                <w:sz w:val="19"/>
              </w:rPr>
              <w:t>$11,902</w:t>
            </w:r>
          </w:p>
        </w:tc>
      </w:tr>
      <w:tr>
        <w:tblPrEx>
          <w:tblW w:w="0" w:type="auto"/>
          <w:jc w:val="left"/>
          <w:tblInd w:w="95" w:type="dxa"/>
          <w:tblLayout w:type="fixed"/>
          <w:tblCellMar>
            <w:top w:w="0" w:type="dxa"/>
            <w:left w:w="0" w:type="dxa"/>
            <w:bottom w:w="0" w:type="dxa"/>
            <w:right w:w="0" w:type="dxa"/>
          </w:tblCellMar>
          <w:tblLook w:val="01E0"/>
        </w:tblPrEx>
        <w:trPr>
          <w:trHeight w:val="1148"/>
          <w:jc w:val="left"/>
        </w:trPr>
        <w:tc>
          <w:tcPr>
            <w:tcW w:w="1533" w:type="dxa"/>
          </w:tcPr>
          <w:p>
            <w:pPr>
              <w:pStyle w:val="TableParagraph"/>
              <w:spacing w:before="132"/>
              <w:rPr>
                <w:b/>
                <w:sz w:val="19"/>
              </w:rPr>
            </w:pPr>
          </w:p>
          <w:p>
            <w:pPr>
              <w:pStyle w:val="TableParagraph"/>
              <w:spacing w:line="256" w:lineRule="auto"/>
              <w:ind w:left="108" w:right="260"/>
              <w:rPr>
                <w:sz w:val="19"/>
              </w:rPr>
            </w:pPr>
            <w:r>
              <w:rPr>
                <w:spacing w:val="-2"/>
                <w:sz w:val="19"/>
              </w:rPr>
              <w:t xml:space="preserve">Corrective </w:t>
            </w:r>
            <w:r>
              <w:rPr>
                <w:spacing w:val="-2"/>
                <w:w w:val="105"/>
                <w:sz w:val="19"/>
              </w:rPr>
              <w:t>Actions</w:t>
            </w:r>
          </w:p>
        </w:tc>
        <w:tc>
          <w:tcPr>
            <w:tcW w:w="1441" w:type="dxa"/>
          </w:tcPr>
          <w:p>
            <w:pPr>
              <w:pStyle w:val="TableParagraph"/>
              <w:spacing w:before="11" w:line="252" w:lineRule="auto"/>
              <w:ind w:left="37" w:right="41"/>
              <w:jc w:val="center"/>
              <w:rPr>
                <w:sz w:val="19"/>
              </w:rPr>
            </w:pPr>
            <w:r>
              <w:rPr>
                <w:w w:val="105"/>
                <w:sz w:val="19"/>
              </w:rPr>
              <w:t>Issuers</w:t>
            </w:r>
            <w:r>
              <w:rPr>
                <w:spacing w:val="-13"/>
                <w:w w:val="105"/>
                <w:sz w:val="19"/>
              </w:rPr>
              <w:t xml:space="preserve"> </w:t>
            </w:r>
            <w:r>
              <w:rPr>
                <w:w w:val="105"/>
                <w:sz w:val="19"/>
              </w:rPr>
              <w:t>&amp;</w:t>
            </w:r>
            <w:r>
              <w:rPr>
                <w:spacing w:val="-12"/>
                <w:w w:val="105"/>
                <w:sz w:val="19"/>
              </w:rPr>
              <w:t xml:space="preserve"> </w:t>
            </w:r>
            <w:r>
              <w:rPr>
                <w:w w:val="105"/>
                <w:sz w:val="19"/>
              </w:rPr>
              <w:t>Self-Funded Non-</w:t>
            </w:r>
            <w:r>
              <w:rPr>
                <w:spacing w:val="-2"/>
                <w:w w:val="105"/>
                <w:sz w:val="19"/>
              </w:rPr>
              <w:t>Federal Governmental</w:t>
            </w:r>
          </w:p>
          <w:p>
            <w:pPr>
              <w:pStyle w:val="TableParagraph"/>
              <w:spacing w:before="1" w:line="198" w:lineRule="exact"/>
              <w:ind w:left="37" w:right="32"/>
              <w:jc w:val="center"/>
              <w:rPr>
                <w:sz w:val="19"/>
              </w:rPr>
            </w:pPr>
            <w:r>
              <w:rPr>
                <w:spacing w:val="-4"/>
                <w:w w:val="105"/>
                <w:sz w:val="19"/>
              </w:rPr>
              <w:t>Plans</w:t>
            </w:r>
          </w:p>
        </w:tc>
        <w:tc>
          <w:tcPr>
            <w:tcW w:w="1349" w:type="dxa"/>
          </w:tcPr>
          <w:p>
            <w:pPr>
              <w:pStyle w:val="TableParagraph"/>
              <w:rPr>
                <w:b/>
                <w:sz w:val="19"/>
              </w:rPr>
            </w:pPr>
          </w:p>
          <w:p>
            <w:pPr>
              <w:pStyle w:val="TableParagraph"/>
              <w:spacing w:before="33"/>
              <w:rPr>
                <w:b/>
                <w:sz w:val="19"/>
              </w:rPr>
            </w:pPr>
          </w:p>
          <w:p>
            <w:pPr>
              <w:pStyle w:val="TableParagraph"/>
              <w:spacing w:before="1"/>
              <w:ind w:left="7" w:right="1"/>
              <w:jc w:val="center"/>
              <w:rPr>
                <w:sz w:val="19"/>
              </w:rPr>
            </w:pPr>
            <w:r>
              <w:rPr>
                <w:spacing w:val="-5"/>
                <w:w w:val="105"/>
                <w:sz w:val="19"/>
              </w:rPr>
              <w:t>18</w:t>
            </w:r>
          </w:p>
        </w:tc>
        <w:tc>
          <w:tcPr>
            <w:tcW w:w="1172" w:type="dxa"/>
          </w:tcPr>
          <w:p>
            <w:pPr>
              <w:pStyle w:val="TableParagraph"/>
              <w:rPr>
                <w:b/>
                <w:sz w:val="19"/>
              </w:rPr>
            </w:pPr>
          </w:p>
          <w:p>
            <w:pPr>
              <w:pStyle w:val="TableParagraph"/>
              <w:spacing w:before="33"/>
              <w:rPr>
                <w:b/>
                <w:sz w:val="19"/>
              </w:rPr>
            </w:pPr>
          </w:p>
          <w:p>
            <w:pPr>
              <w:pStyle w:val="TableParagraph"/>
              <w:spacing w:before="1"/>
              <w:ind w:left="5" w:right="5"/>
              <w:jc w:val="center"/>
              <w:rPr>
                <w:sz w:val="19"/>
              </w:rPr>
            </w:pPr>
            <w:r>
              <w:rPr>
                <w:spacing w:val="-5"/>
                <w:w w:val="105"/>
                <w:sz w:val="19"/>
              </w:rPr>
              <w:t>18</w:t>
            </w:r>
          </w:p>
        </w:tc>
        <w:tc>
          <w:tcPr>
            <w:tcW w:w="1165" w:type="dxa"/>
          </w:tcPr>
          <w:p>
            <w:pPr>
              <w:pStyle w:val="TableParagraph"/>
              <w:rPr>
                <w:b/>
                <w:sz w:val="19"/>
              </w:rPr>
            </w:pPr>
          </w:p>
          <w:p>
            <w:pPr>
              <w:pStyle w:val="TableParagraph"/>
              <w:spacing w:before="33"/>
              <w:rPr>
                <w:b/>
                <w:sz w:val="19"/>
              </w:rPr>
            </w:pPr>
          </w:p>
          <w:p>
            <w:pPr>
              <w:pStyle w:val="TableParagraph"/>
              <w:spacing w:before="1"/>
              <w:ind w:left="21" w:right="15"/>
              <w:jc w:val="center"/>
              <w:rPr>
                <w:sz w:val="19"/>
              </w:rPr>
            </w:pPr>
            <w:r>
              <w:rPr>
                <w:spacing w:val="-5"/>
                <w:w w:val="105"/>
                <w:sz w:val="19"/>
              </w:rPr>
              <w:t>40</w:t>
            </w:r>
          </w:p>
        </w:tc>
        <w:tc>
          <w:tcPr>
            <w:tcW w:w="1264" w:type="dxa"/>
          </w:tcPr>
          <w:p>
            <w:pPr>
              <w:pStyle w:val="TableParagraph"/>
              <w:rPr>
                <w:b/>
                <w:sz w:val="19"/>
              </w:rPr>
            </w:pPr>
          </w:p>
          <w:p>
            <w:pPr>
              <w:pStyle w:val="TableParagraph"/>
              <w:spacing w:before="33"/>
              <w:rPr>
                <w:b/>
                <w:sz w:val="19"/>
              </w:rPr>
            </w:pPr>
          </w:p>
          <w:p>
            <w:pPr>
              <w:pStyle w:val="TableParagraph"/>
              <w:spacing w:before="1"/>
              <w:ind w:left="22" w:right="14"/>
              <w:jc w:val="center"/>
              <w:rPr>
                <w:sz w:val="19"/>
              </w:rPr>
            </w:pPr>
            <w:r>
              <w:rPr>
                <w:spacing w:val="-5"/>
                <w:w w:val="105"/>
                <w:sz w:val="19"/>
              </w:rPr>
              <w:t>720</w:t>
            </w:r>
          </w:p>
        </w:tc>
        <w:tc>
          <w:tcPr>
            <w:tcW w:w="1702" w:type="dxa"/>
          </w:tcPr>
          <w:p>
            <w:pPr>
              <w:pStyle w:val="TableParagraph"/>
              <w:rPr>
                <w:b/>
                <w:sz w:val="19"/>
              </w:rPr>
            </w:pPr>
          </w:p>
          <w:p>
            <w:pPr>
              <w:pStyle w:val="TableParagraph"/>
              <w:spacing w:before="33"/>
              <w:rPr>
                <w:b/>
                <w:sz w:val="19"/>
              </w:rPr>
            </w:pPr>
          </w:p>
          <w:p>
            <w:pPr>
              <w:pStyle w:val="TableParagraph"/>
              <w:spacing w:before="1"/>
              <w:ind w:left="8" w:right="8"/>
              <w:jc w:val="center"/>
              <w:rPr>
                <w:sz w:val="19"/>
              </w:rPr>
            </w:pPr>
            <w:r>
              <w:rPr>
                <w:spacing w:val="-2"/>
                <w:w w:val="105"/>
                <w:sz w:val="19"/>
              </w:rPr>
              <w:t>$84,018</w:t>
            </w:r>
          </w:p>
        </w:tc>
      </w:tr>
      <w:tr>
        <w:tblPrEx>
          <w:tblW w:w="0" w:type="auto"/>
          <w:jc w:val="left"/>
          <w:tblInd w:w="95" w:type="dxa"/>
          <w:tblLayout w:type="fixed"/>
          <w:tblCellMar>
            <w:top w:w="0" w:type="dxa"/>
            <w:left w:w="0" w:type="dxa"/>
            <w:bottom w:w="0" w:type="dxa"/>
            <w:right w:w="0" w:type="dxa"/>
          </w:tblCellMar>
          <w:tblLook w:val="01E0"/>
        </w:tblPrEx>
        <w:trPr>
          <w:trHeight w:val="1148"/>
          <w:jc w:val="left"/>
        </w:trPr>
        <w:tc>
          <w:tcPr>
            <w:tcW w:w="1533" w:type="dxa"/>
          </w:tcPr>
          <w:p>
            <w:pPr>
              <w:pStyle w:val="TableParagraph"/>
              <w:spacing w:before="139"/>
              <w:rPr>
                <w:b/>
                <w:sz w:val="19"/>
              </w:rPr>
            </w:pPr>
          </w:p>
          <w:p>
            <w:pPr>
              <w:pStyle w:val="TableParagraph"/>
              <w:spacing w:line="247" w:lineRule="auto"/>
              <w:ind w:left="108"/>
              <w:rPr>
                <w:sz w:val="19"/>
              </w:rPr>
            </w:pPr>
            <w:r>
              <w:rPr>
                <w:w w:val="105"/>
                <w:sz w:val="19"/>
              </w:rPr>
              <w:t xml:space="preserve">Notification of </w:t>
            </w:r>
            <w:r>
              <w:rPr>
                <w:spacing w:val="-2"/>
                <w:sz w:val="19"/>
              </w:rPr>
              <w:t>Noncompliance</w:t>
            </w:r>
          </w:p>
        </w:tc>
        <w:tc>
          <w:tcPr>
            <w:tcW w:w="1441" w:type="dxa"/>
          </w:tcPr>
          <w:p>
            <w:pPr>
              <w:pStyle w:val="TableParagraph"/>
              <w:spacing w:before="11" w:line="252" w:lineRule="auto"/>
              <w:ind w:left="150" w:right="144" w:hanging="2"/>
              <w:jc w:val="center"/>
              <w:rPr>
                <w:sz w:val="19"/>
              </w:rPr>
            </w:pPr>
            <w:r>
              <w:rPr>
                <w:w w:val="105"/>
                <w:sz w:val="19"/>
              </w:rPr>
              <w:t>Issuer</w:t>
            </w:r>
            <w:r>
              <w:rPr>
                <w:spacing w:val="-13"/>
                <w:w w:val="105"/>
                <w:sz w:val="19"/>
              </w:rPr>
              <w:t xml:space="preserve"> </w:t>
            </w:r>
            <w:r>
              <w:rPr>
                <w:w w:val="105"/>
                <w:sz w:val="19"/>
              </w:rPr>
              <w:t>or</w:t>
            </w:r>
            <w:r>
              <w:rPr>
                <w:spacing w:val="-12"/>
                <w:w w:val="105"/>
                <w:sz w:val="19"/>
              </w:rPr>
              <w:t xml:space="preserve"> </w:t>
            </w:r>
            <w:r>
              <w:rPr>
                <w:w w:val="105"/>
                <w:sz w:val="19"/>
              </w:rPr>
              <w:t>Self-Funded Non-</w:t>
            </w:r>
            <w:r>
              <w:rPr>
                <w:spacing w:val="-2"/>
                <w:w w:val="105"/>
                <w:sz w:val="19"/>
              </w:rPr>
              <w:t>Federal</w:t>
            </w:r>
          </w:p>
          <w:p>
            <w:pPr>
              <w:pStyle w:val="TableParagraph"/>
              <w:spacing w:line="226" w:lineRule="exact"/>
              <w:ind w:left="37" w:right="31"/>
              <w:jc w:val="center"/>
              <w:rPr>
                <w:sz w:val="19"/>
              </w:rPr>
            </w:pPr>
            <w:r>
              <w:rPr>
                <w:spacing w:val="-2"/>
                <w:sz w:val="19"/>
              </w:rPr>
              <w:t xml:space="preserve">Governmental </w:t>
            </w:r>
            <w:r>
              <w:rPr>
                <w:spacing w:val="-4"/>
                <w:w w:val="105"/>
                <w:sz w:val="19"/>
              </w:rPr>
              <w:t>Plan</w:t>
            </w:r>
          </w:p>
        </w:tc>
        <w:tc>
          <w:tcPr>
            <w:tcW w:w="1349" w:type="dxa"/>
          </w:tcPr>
          <w:p>
            <w:pPr>
              <w:pStyle w:val="TableParagraph"/>
              <w:rPr>
                <w:b/>
                <w:sz w:val="19"/>
              </w:rPr>
            </w:pPr>
          </w:p>
          <w:p>
            <w:pPr>
              <w:pStyle w:val="TableParagraph"/>
              <w:spacing w:before="34"/>
              <w:rPr>
                <w:b/>
                <w:sz w:val="19"/>
              </w:rPr>
            </w:pPr>
          </w:p>
          <w:p>
            <w:pPr>
              <w:pStyle w:val="TableParagraph"/>
              <w:ind w:left="7" w:right="1"/>
              <w:jc w:val="center"/>
              <w:rPr>
                <w:sz w:val="19"/>
              </w:rPr>
            </w:pPr>
            <w:r>
              <w:rPr>
                <w:spacing w:val="-10"/>
                <w:w w:val="105"/>
                <w:sz w:val="19"/>
              </w:rPr>
              <w:t>1</w:t>
            </w:r>
          </w:p>
        </w:tc>
        <w:tc>
          <w:tcPr>
            <w:tcW w:w="1172" w:type="dxa"/>
          </w:tcPr>
          <w:p>
            <w:pPr>
              <w:pStyle w:val="TableParagraph"/>
              <w:rPr>
                <w:b/>
                <w:sz w:val="19"/>
              </w:rPr>
            </w:pPr>
          </w:p>
          <w:p>
            <w:pPr>
              <w:pStyle w:val="TableParagraph"/>
              <w:spacing w:before="34"/>
              <w:rPr>
                <w:b/>
                <w:sz w:val="19"/>
              </w:rPr>
            </w:pPr>
          </w:p>
          <w:p>
            <w:pPr>
              <w:pStyle w:val="TableParagraph"/>
              <w:ind w:left="5" w:right="5"/>
              <w:jc w:val="center"/>
              <w:rPr>
                <w:sz w:val="19"/>
              </w:rPr>
            </w:pPr>
            <w:r>
              <w:rPr>
                <w:spacing w:val="-10"/>
                <w:w w:val="105"/>
                <w:sz w:val="19"/>
              </w:rPr>
              <w:t>1</w:t>
            </w:r>
          </w:p>
        </w:tc>
        <w:tc>
          <w:tcPr>
            <w:tcW w:w="1165" w:type="dxa"/>
          </w:tcPr>
          <w:p>
            <w:pPr>
              <w:pStyle w:val="TableParagraph"/>
              <w:rPr>
                <w:b/>
                <w:sz w:val="19"/>
              </w:rPr>
            </w:pPr>
          </w:p>
          <w:p>
            <w:pPr>
              <w:pStyle w:val="TableParagraph"/>
              <w:spacing w:before="34"/>
              <w:rPr>
                <w:b/>
                <w:sz w:val="19"/>
              </w:rPr>
            </w:pPr>
          </w:p>
          <w:p>
            <w:pPr>
              <w:pStyle w:val="TableParagraph"/>
              <w:ind w:left="21" w:right="14"/>
              <w:jc w:val="center"/>
              <w:rPr>
                <w:sz w:val="19"/>
              </w:rPr>
            </w:pPr>
            <w:r>
              <w:rPr>
                <w:spacing w:val="-10"/>
                <w:w w:val="105"/>
                <w:sz w:val="19"/>
              </w:rPr>
              <w:t>1</w:t>
            </w:r>
          </w:p>
        </w:tc>
        <w:tc>
          <w:tcPr>
            <w:tcW w:w="1264" w:type="dxa"/>
          </w:tcPr>
          <w:p>
            <w:pPr>
              <w:pStyle w:val="TableParagraph"/>
              <w:rPr>
                <w:b/>
                <w:sz w:val="19"/>
              </w:rPr>
            </w:pPr>
          </w:p>
          <w:p>
            <w:pPr>
              <w:pStyle w:val="TableParagraph"/>
              <w:spacing w:before="34"/>
              <w:rPr>
                <w:b/>
                <w:sz w:val="19"/>
              </w:rPr>
            </w:pPr>
          </w:p>
          <w:p>
            <w:pPr>
              <w:pStyle w:val="TableParagraph"/>
              <w:ind w:left="22"/>
              <w:jc w:val="center"/>
              <w:rPr>
                <w:sz w:val="19"/>
              </w:rPr>
            </w:pPr>
            <w:r>
              <w:rPr>
                <w:spacing w:val="-10"/>
                <w:w w:val="105"/>
                <w:sz w:val="19"/>
              </w:rPr>
              <w:t>1</w:t>
            </w:r>
          </w:p>
        </w:tc>
        <w:tc>
          <w:tcPr>
            <w:tcW w:w="1702" w:type="dxa"/>
          </w:tcPr>
          <w:p>
            <w:pPr>
              <w:pStyle w:val="TableParagraph"/>
              <w:rPr>
                <w:b/>
                <w:sz w:val="19"/>
              </w:rPr>
            </w:pPr>
          </w:p>
          <w:p>
            <w:pPr>
              <w:pStyle w:val="TableParagraph"/>
              <w:spacing w:before="34"/>
              <w:rPr>
                <w:b/>
                <w:sz w:val="19"/>
              </w:rPr>
            </w:pPr>
          </w:p>
          <w:p>
            <w:pPr>
              <w:pStyle w:val="TableParagraph"/>
              <w:ind w:left="8"/>
              <w:jc w:val="center"/>
              <w:rPr>
                <w:sz w:val="19"/>
              </w:rPr>
            </w:pPr>
            <w:r>
              <w:rPr>
                <w:spacing w:val="-4"/>
                <w:w w:val="105"/>
                <w:sz w:val="19"/>
              </w:rPr>
              <w:t>$166</w:t>
            </w:r>
          </w:p>
        </w:tc>
      </w:tr>
      <w:tr>
        <w:tblPrEx>
          <w:tblW w:w="0" w:type="auto"/>
          <w:jc w:val="left"/>
          <w:tblInd w:w="95" w:type="dxa"/>
          <w:tblLayout w:type="fixed"/>
          <w:tblCellMar>
            <w:top w:w="0" w:type="dxa"/>
            <w:left w:w="0" w:type="dxa"/>
            <w:bottom w:w="0" w:type="dxa"/>
            <w:right w:w="0" w:type="dxa"/>
          </w:tblCellMar>
          <w:tblLook w:val="01E0"/>
        </w:tblPrEx>
        <w:trPr>
          <w:trHeight w:val="919"/>
          <w:jc w:val="left"/>
        </w:trPr>
        <w:tc>
          <w:tcPr>
            <w:tcW w:w="1533" w:type="dxa"/>
          </w:tcPr>
          <w:p>
            <w:pPr>
              <w:pStyle w:val="TableParagraph"/>
              <w:spacing w:before="9" w:line="252" w:lineRule="auto"/>
              <w:ind w:left="108"/>
              <w:rPr>
                <w:sz w:val="19"/>
              </w:rPr>
            </w:pPr>
            <w:r>
              <w:rPr>
                <w:spacing w:val="-2"/>
                <w:w w:val="105"/>
                <w:sz w:val="19"/>
              </w:rPr>
              <w:t xml:space="preserve">Consumer </w:t>
            </w:r>
            <w:r>
              <w:rPr>
                <w:w w:val="105"/>
                <w:sz w:val="19"/>
              </w:rPr>
              <w:t>Requests</w:t>
            </w:r>
            <w:r>
              <w:rPr>
                <w:spacing w:val="-13"/>
                <w:w w:val="105"/>
                <w:sz w:val="19"/>
              </w:rPr>
              <w:t xml:space="preserve"> </w:t>
            </w:r>
            <w:r>
              <w:rPr>
                <w:w w:val="105"/>
                <w:sz w:val="19"/>
              </w:rPr>
              <w:t xml:space="preserve">for </w:t>
            </w:r>
            <w:r>
              <w:rPr>
                <w:spacing w:val="-2"/>
                <w:sz w:val="19"/>
              </w:rPr>
              <w:t>Comparative</w:t>
            </w:r>
          </w:p>
          <w:p>
            <w:pPr>
              <w:pStyle w:val="TableParagraph"/>
              <w:spacing w:before="3" w:line="198" w:lineRule="exact"/>
              <w:ind w:left="108"/>
              <w:rPr>
                <w:sz w:val="19"/>
              </w:rPr>
            </w:pPr>
            <w:r>
              <w:rPr>
                <w:spacing w:val="-2"/>
                <w:w w:val="105"/>
                <w:sz w:val="19"/>
              </w:rPr>
              <w:t>Analyses</w:t>
            </w:r>
          </w:p>
        </w:tc>
        <w:tc>
          <w:tcPr>
            <w:tcW w:w="1441" w:type="dxa"/>
          </w:tcPr>
          <w:p>
            <w:pPr>
              <w:pStyle w:val="TableParagraph"/>
              <w:spacing w:before="9" w:line="252" w:lineRule="auto"/>
              <w:ind w:left="37" w:right="33"/>
              <w:jc w:val="center"/>
              <w:rPr>
                <w:sz w:val="19"/>
              </w:rPr>
            </w:pPr>
            <w:r>
              <w:rPr>
                <w:w w:val="105"/>
                <w:sz w:val="19"/>
              </w:rPr>
              <w:t>Issuers</w:t>
            </w:r>
            <w:r>
              <w:rPr>
                <w:spacing w:val="-13"/>
                <w:w w:val="105"/>
                <w:sz w:val="19"/>
              </w:rPr>
              <w:t xml:space="preserve"> </w:t>
            </w:r>
            <w:r>
              <w:rPr>
                <w:w w:val="105"/>
                <w:sz w:val="19"/>
              </w:rPr>
              <w:t>&amp;</w:t>
            </w:r>
            <w:r>
              <w:rPr>
                <w:spacing w:val="-12"/>
                <w:w w:val="105"/>
                <w:sz w:val="19"/>
              </w:rPr>
              <w:t xml:space="preserve"> </w:t>
            </w:r>
            <w:r>
              <w:rPr>
                <w:w w:val="105"/>
                <w:sz w:val="19"/>
              </w:rPr>
              <w:t>Non-</w:t>
            </w:r>
            <w:r>
              <w:rPr>
                <w:spacing w:val="-2"/>
                <w:w w:val="105"/>
                <w:sz w:val="19"/>
              </w:rPr>
              <w:t>Federal Governmental</w:t>
            </w:r>
          </w:p>
          <w:p>
            <w:pPr>
              <w:pStyle w:val="TableParagraph"/>
              <w:spacing w:before="3" w:line="198" w:lineRule="exact"/>
              <w:ind w:left="37" w:right="32"/>
              <w:jc w:val="center"/>
              <w:rPr>
                <w:sz w:val="19"/>
              </w:rPr>
            </w:pPr>
            <w:r>
              <w:rPr>
                <w:spacing w:val="-4"/>
                <w:w w:val="105"/>
                <w:sz w:val="19"/>
              </w:rPr>
              <w:t>Plans</w:t>
            </w:r>
          </w:p>
        </w:tc>
        <w:tc>
          <w:tcPr>
            <w:tcW w:w="1349" w:type="dxa"/>
          </w:tcPr>
          <w:p>
            <w:pPr>
              <w:pStyle w:val="TableParagraph"/>
              <w:spacing w:before="136"/>
              <w:rPr>
                <w:b/>
                <w:sz w:val="19"/>
              </w:rPr>
            </w:pPr>
          </w:p>
          <w:p>
            <w:pPr>
              <w:pStyle w:val="TableParagraph"/>
              <w:ind w:left="6" w:right="7"/>
              <w:jc w:val="center"/>
              <w:rPr>
                <w:sz w:val="19"/>
              </w:rPr>
            </w:pPr>
            <w:r>
              <w:rPr>
                <w:spacing w:val="-2"/>
                <w:w w:val="105"/>
                <w:sz w:val="19"/>
              </w:rPr>
              <w:t>92,354</w:t>
            </w:r>
          </w:p>
        </w:tc>
        <w:tc>
          <w:tcPr>
            <w:tcW w:w="1172" w:type="dxa"/>
          </w:tcPr>
          <w:p>
            <w:pPr>
              <w:pStyle w:val="TableParagraph"/>
              <w:spacing w:before="136"/>
              <w:rPr>
                <w:b/>
                <w:sz w:val="19"/>
              </w:rPr>
            </w:pPr>
          </w:p>
          <w:p>
            <w:pPr>
              <w:pStyle w:val="TableParagraph"/>
              <w:ind w:right="5"/>
              <w:jc w:val="center"/>
              <w:rPr>
                <w:sz w:val="19"/>
              </w:rPr>
            </w:pPr>
            <w:r>
              <w:rPr>
                <w:spacing w:val="-2"/>
                <w:w w:val="105"/>
                <w:sz w:val="19"/>
              </w:rPr>
              <w:t>92,354</w:t>
            </w:r>
          </w:p>
        </w:tc>
        <w:tc>
          <w:tcPr>
            <w:tcW w:w="1165" w:type="dxa"/>
          </w:tcPr>
          <w:p>
            <w:pPr>
              <w:pStyle w:val="TableParagraph"/>
              <w:spacing w:before="136"/>
              <w:rPr>
                <w:b/>
                <w:sz w:val="19"/>
              </w:rPr>
            </w:pPr>
          </w:p>
          <w:p>
            <w:pPr>
              <w:pStyle w:val="TableParagraph"/>
              <w:ind w:left="24" w:right="10"/>
              <w:jc w:val="center"/>
              <w:rPr>
                <w:sz w:val="19"/>
              </w:rPr>
            </w:pPr>
            <w:r>
              <w:rPr>
                <w:spacing w:val="-5"/>
                <w:w w:val="105"/>
                <w:sz w:val="19"/>
              </w:rPr>
              <w:t>0.1</w:t>
            </w:r>
          </w:p>
        </w:tc>
        <w:tc>
          <w:tcPr>
            <w:tcW w:w="1264" w:type="dxa"/>
          </w:tcPr>
          <w:p>
            <w:pPr>
              <w:pStyle w:val="TableParagraph"/>
              <w:spacing w:before="136"/>
              <w:rPr>
                <w:b/>
                <w:sz w:val="19"/>
              </w:rPr>
            </w:pPr>
          </w:p>
          <w:p>
            <w:pPr>
              <w:pStyle w:val="TableParagraph"/>
              <w:ind w:left="22" w:right="7"/>
              <w:jc w:val="center"/>
              <w:rPr>
                <w:sz w:val="19"/>
              </w:rPr>
            </w:pPr>
            <w:r>
              <w:rPr>
                <w:spacing w:val="-2"/>
                <w:w w:val="105"/>
                <w:sz w:val="19"/>
              </w:rPr>
              <w:t>7,696</w:t>
            </w:r>
          </w:p>
        </w:tc>
        <w:tc>
          <w:tcPr>
            <w:tcW w:w="1702" w:type="dxa"/>
          </w:tcPr>
          <w:p>
            <w:pPr>
              <w:pStyle w:val="TableParagraph"/>
              <w:spacing w:before="136"/>
              <w:rPr>
                <w:b/>
                <w:sz w:val="19"/>
              </w:rPr>
            </w:pPr>
          </w:p>
          <w:p>
            <w:pPr>
              <w:pStyle w:val="TableParagraph"/>
              <w:ind w:left="8" w:right="8"/>
              <w:jc w:val="center"/>
              <w:rPr>
                <w:sz w:val="19"/>
              </w:rPr>
            </w:pPr>
            <w:r>
              <w:rPr>
                <w:spacing w:val="-2"/>
                <w:w w:val="105"/>
                <w:sz w:val="19"/>
              </w:rPr>
              <w:t>$507,859</w:t>
            </w:r>
          </w:p>
        </w:tc>
      </w:tr>
      <w:tr>
        <w:tblPrEx>
          <w:tblW w:w="0" w:type="auto"/>
          <w:jc w:val="left"/>
          <w:tblInd w:w="95" w:type="dxa"/>
          <w:tblLayout w:type="fixed"/>
          <w:tblCellMar>
            <w:top w:w="0" w:type="dxa"/>
            <w:left w:w="0" w:type="dxa"/>
            <w:bottom w:w="0" w:type="dxa"/>
            <w:right w:w="0" w:type="dxa"/>
          </w:tblCellMar>
          <w:tblLook w:val="01E0"/>
        </w:tblPrEx>
        <w:trPr>
          <w:trHeight w:val="922"/>
          <w:jc w:val="left"/>
        </w:trPr>
        <w:tc>
          <w:tcPr>
            <w:tcW w:w="1533" w:type="dxa"/>
          </w:tcPr>
          <w:p>
            <w:pPr>
              <w:pStyle w:val="TableParagraph"/>
              <w:spacing w:before="19"/>
              <w:rPr>
                <w:b/>
                <w:sz w:val="19"/>
              </w:rPr>
            </w:pPr>
          </w:p>
          <w:p>
            <w:pPr>
              <w:pStyle w:val="TableParagraph"/>
              <w:spacing w:line="256" w:lineRule="auto"/>
              <w:ind w:left="108"/>
              <w:rPr>
                <w:sz w:val="19"/>
              </w:rPr>
            </w:pPr>
            <w:r>
              <w:rPr>
                <w:spacing w:val="-2"/>
                <w:sz w:val="19"/>
              </w:rPr>
              <w:t xml:space="preserve">Recordkeeping </w:t>
            </w:r>
            <w:r>
              <w:rPr>
                <w:spacing w:val="-2"/>
                <w:w w:val="105"/>
                <w:sz w:val="19"/>
              </w:rPr>
              <w:t>Requirement</w:t>
            </w:r>
          </w:p>
        </w:tc>
        <w:tc>
          <w:tcPr>
            <w:tcW w:w="1441" w:type="dxa"/>
          </w:tcPr>
          <w:p>
            <w:pPr>
              <w:pStyle w:val="TableParagraph"/>
              <w:spacing w:before="11" w:line="252" w:lineRule="auto"/>
              <w:ind w:left="37" w:right="33"/>
              <w:jc w:val="center"/>
              <w:rPr>
                <w:sz w:val="19"/>
              </w:rPr>
            </w:pPr>
            <w:r>
              <w:rPr>
                <w:w w:val="105"/>
                <w:sz w:val="19"/>
              </w:rPr>
              <w:t>Issuers</w:t>
            </w:r>
            <w:r>
              <w:rPr>
                <w:spacing w:val="-13"/>
                <w:w w:val="105"/>
                <w:sz w:val="19"/>
              </w:rPr>
              <w:t xml:space="preserve"> </w:t>
            </w:r>
            <w:r>
              <w:rPr>
                <w:w w:val="105"/>
                <w:sz w:val="19"/>
              </w:rPr>
              <w:t>&amp;</w:t>
            </w:r>
            <w:r>
              <w:rPr>
                <w:spacing w:val="-12"/>
                <w:w w:val="105"/>
                <w:sz w:val="19"/>
              </w:rPr>
              <w:t xml:space="preserve"> </w:t>
            </w:r>
            <w:r>
              <w:rPr>
                <w:w w:val="105"/>
                <w:sz w:val="19"/>
              </w:rPr>
              <w:t>Non-</w:t>
            </w:r>
            <w:r>
              <w:rPr>
                <w:spacing w:val="-2"/>
                <w:w w:val="105"/>
                <w:sz w:val="19"/>
              </w:rPr>
              <w:t>Federal Governmental</w:t>
            </w:r>
          </w:p>
          <w:p>
            <w:pPr>
              <w:pStyle w:val="TableParagraph"/>
              <w:spacing w:before="4" w:line="198" w:lineRule="exact"/>
              <w:ind w:left="37" w:right="32"/>
              <w:jc w:val="center"/>
              <w:rPr>
                <w:sz w:val="19"/>
              </w:rPr>
            </w:pPr>
            <w:r>
              <w:rPr>
                <w:spacing w:val="-4"/>
                <w:w w:val="105"/>
                <w:sz w:val="19"/>
              </w:rPr>
              <w:t>Plans</w:t>
            </w:r>
          </w:p>
        </w:tc>
        <w:tc>
          <w:tcPr>
            <w:tcW w:w="1349" w:type="dxa"/>
          </w:tcPr>
          <w:p>
            <w:pPr>
              <w:pStyle w:val="TableParagraph"/>
              <w:spacing w:before="139"/>
              <w:rPr>
                <w:b/>
                <w:sz w:val="19"/>
              </w:rPr>
            </w:pPr>
          </w:p>
          <w:p>
            <w:pPr>
              <w:pStyle w:val="TableParagraph"/>
              <w:ind w:left="6" w:right="7"/>
              <w:jc w:val="center"/>
              <w:rPr>
                <w:sz w:val="19"/>
              </w:rPr>
            </w:pPr>
            <w:r>
              <w:rPr>
                <w:spacing w:val="-2"/>
                <w:w w:val="105"/>
                <w:sz w:val="19"/>
              </w:rPr>
              <w:t>92,354</w:t>
            </w:r>
          </w:p>
        </w:tc>
        <w:tc>
          <w:tcPr>
            <w:tcW w:w="1172" w:type="dxa"/>
          </w:tcPr>
          <w:p>
            <w:pPr>
              <w:pStyle w:val="TableParagraph"/>
              <w:spacing w:before="139"/>
              <w:rPr>
                <w:b/>
                <w:sz w:val="19"/>
              </w:rPr>
            </w:pPr>
          </w:p>
          <w:p>
            <w:pPr>
              <w:pStyle w:val="TableParagraph"/>
              <w:ind w:right="5"/>
              <w:jc w:val="center"/>
              <w:rPr>
                <w:sz w:val="19"/>
              </w:rPr>
            </w:pPr>
            <w:r>
              <w:rPr>
                <w:spacing w:val="-2"/>
                <w:w w:val="105"/>
                <w:sz w:val="19"/>
              </w:rPr>
              <w:t>92,354</w:t>
            </w:r>
          </w:p>
        </w:tc>
        <w:tc>
          <w:tcPr>
            <w:tcW w:w="1165" w:type="dxa"/>
          </w:tcPr>
          <w:p>
            <w:pPr>
              <w:pStyle w:val="TableParagraph"/>
              <w:spacing w:before="139"/>
              <w:rPr>
                <w:b/>
                <w:sz w:val="19"/>
              </w:rPr>
            </w:pPr>
          </w:p>
          <w:p>
            <w:pPr>
              <w:pStyle w:val="TableParagraph"/>
              <w:ind w:left="24" w:right="10"/>
              <w:jc w:val="center"/>
              <w:rPr>
                <w:sz w:val="19"/>
              </w:rPr>
            </w:pPr>
            <w:r>
              <w:rPr>
                <w:spacing w:val="-5"/>
                <w:w w:val="105"/>
                <w:sz w:val="19"/>
              </w:rPr>
              <w:t>0.1</w:t>
            </w:r>
          </w:p>
        </w:tc>
        <w:tc>
          <w:tcPr>
            <w:tcW w:w="1264" w:type="dxa"/>
          </w:tcPr>
          <w:p>
            <w:pPr>
              <w:pStyle w:val="TableParagraph"/>
              <w:spacing w:before="139"/>
              <w:rPr>
                <w:b/>
                <w:sz w:val="19"/>
              </w:rPr>
            </w:pPr>
          </w:p>
          <w:p>
            <w:pPr>
              <w:pStyle w:val="TableParagraph"/>
              <w:ind w:left="22" w:right="7"/>
              <w:jc w:val="center"/>
              <w:rPr>
                <w:sz w:val="19"/>
              </w:rPr>
            </w:pPr>
            <w:r>
              <w:rPr>
                <w:spacing w:val="-2"/>
                <w:w w:val="105"/>
                <w:sz w:val="19"/>
              </w:rPr>
              <w:t>7,696</w:t>
            </w:r>
          </w:p>
        </w:tc>
        <w:tc>
          <w:tcPr>
            <w:tcW w:w="1702" w:type="dxa"/>
          </w:tcPr>
          <w:p>
            <w:pPr>
              <w:pStyle w:val="TableParagraph"/>
              <w:spacing w:before="139"/>
              <w:rPr>
                <w:b/>
                <w:sz w:val="19"/>
              </w:rPr>
            </w:pPr>
          </w:p>
          <w:p>
            <w:pPr>
              <w:pStyle w:val="TableParagraph"/>
              <w:ind w:left="8" w:right="8"/>
              <w:jc w:val="center"/>
              <w:rPr>
                <w:sz w:val="19"/>
              </w:rPr>
            </w:pPr>
            <w:r>
              <w:rPr>
                <w:spacing w:val="-2"/>
                <w:w w:val="105"/>
                <w:sz w:val="19"/>
              </w:rPr>
              <w:t>$507,859</w:t>
            </w:r>
          </w:p>
        </w:tc>
      </w:tr>
      <w:tr>
        <w:tblPrEx>
          <w:tblW w:w="0" w:type="auto"/>
          <w:jc w:val="left"/>
          <w:tblInd w:w="95" w:type="dxa"/>
          <w:tblLayout w:type="fixed"/>
          <w:tblCellMar>
            <w:top w:w="0" w:type="dxa"/>
            <w:left w:w="0" w:type="dxa"/>
            <w:bottom w:w="0" w:type="dxa"/>
            <w:right w:w="0" w:type="dxa"/>
          </w:tblCellMar>
          <w:tblLook w:val="01E0"/>
        </w:tblPrEx>
        <w:trPr>
          <w:trHeight w:val="441"/>
          <w:jc w:val="left"/>
        </w:trPr>
        <w:tc>
          <w:tcPr>
            <w:tcW w:w="1533" w:type="dxa"/>
            <w:shd w:val="clear" w:color="auto" w:fill="F1F1F1"/>
          </w:tcPr>
          <w:p>
            <w:pPr>
              <w:pStyle w:val="TableParagraph"/>
              <w:spacing w:before="117"/>
              <w:ind w:right="7"/>
              <w:jc w:val="center"/>
              <w:rPr>
                <w:b/>
                <w:sz w:val="19"/>
              </w:rPr>
            </w:pPr>
            <w:r>
              <w:rPr>
                <w:b/>
                <w:spacing w:val="-2"/>
                <w:w w:val="105"/>
                <w:sz w:val="19"/>
              </w:rPr>
              <w:t>Total</w:t>
            </w:r>
          </w:p>
        </w:tc>
        <w:tc>
          <w:tcPr>
            <w:tcW w:w="1441" w:type="dxa"/>
            <w:shd w:val="clear" w:color="auto" w:fill="F1F1F1"/>
          </w:tcPr>
          <w:p>
            <w:pPr>
              <w:pStyle w:val="TableParagraph"/>
              <w:rPr>
                <w:sz w:val="20"/>
              </w:rPr>
            </w:pPr>
          </w:p>
        </w:tc>
        <w:tc>
          <w:tcPr>
            <w:tcW w:w="1349" w:type="dxa"/>
            <w:shd w:val="clear" w:color="auto" w:fill="F1F1F1"/>
          </w:tcPr>
          <w:p>
            <w:pPr>
              <w:pStyle w:val="TableParagraph"/>
              <w:spacing w:before="117"/>
              <w:ind w:left="6" w:right="6"/>
              <w:jc w:val="center"/>
              <w:rPr>
                <w:b/>
                <w:sz w:val="19"/>
              </w:rPr>
            </w:pPr>
            <w:r>
              <w:rPr>
                <w:b/>
                <w:spacing w:val="-2"/>
                <w:w w:val="105"/>
                <w:sz w:val="19"/>
              </w:rPr>
              <w:t>92,457*</w:t>
            </w:r>
          </w:p>
        </w:tc>
        <w:tc>
          <w:tcPr>
            <w:tcW w:w="1172" w:type="dxa"/>
            <w:shd w:val="clear" w:color="auto" w:fill="F1F1F1"/>
          </w:tcPr>
          <w:p>
            <w:pPr>
              <w:pStyle w:val="TableParagraph"/>
              <w:spacing w:before="117"/>
              <w:ind w:right="5"/>
              <w:jc w:val="center"/>
              <w:rPr>
                <w:b/>
                <w:sz w:val="19"/>
              </w:rPr>
            </w:pPr>
            <w:r>
              <w:rPr>
                <w:b/>
                <w:spacing w:val="-2"/>
                <w:w w:val="105"/>
                <w:sz w:val="19"/>
              </w:rPr>
              <w:t>189,748</w:t>
            </w:r>
          </w:p>
        </w:tc>
        <w:tc>
          <w:tcPr>
            <w:tcW w:w="1165" w:type="dxa"/>
            <w:shd w:val="clear" w:color="auto" w:fill="F1F1F1"/>
          </w:tcPr>
          <w:p>
            <w:pPr>
              <w:pStyle w:val="TableParagraph"/>
              <w:rPr>
                <w:sz w:val="20"/>
              </w:rPr>
            </w:pPr>
          </w:p>
        </w:tc>
        <w:tc>
          <w:tcPr>
            <w:tcW w:w="1264" w:type="dxa"/>
            <w:shd w:val="clear" w:color="auto" w:fill="F1F1F1"/>
          </w:tcPr>
          <w:p>
            <w:pPr>
              <w:pStyle w:val="TableParagraph"/>
              <w:spacing w:before="117"/>
              <w:ind w:left="22" w:right="9"/>
              <w:jc w:val="center"/>
              <w:rPr>
                <w:b/>
                <w:sz w:val="19"/>
              </w:rPr>
            </w:pPr>
            <w:r>
              <w:rPr>
                <w:b/>
                <w:spacing w:val="-2"/>
                <w:w w:val="105"/>
                <w:sz w:val="19"/>
              </w:rPr>
              <w:t>1,004,153**</w:t>
            </w:r>
          </w:p>
        </w:tc>
        <w:tc>
          <w:tcPr>
            <w:tcW w:w="1702" w:type="dxa"/>
            <w:shd w:val="clear" w:color="auto" w:fill="F1F1F1"/>
          </w:tcPr>
          <w:p>
            <w:pPr>
              <w:pStyle w:val="TableParagraph"/>
              <w:spacing w:before="117"/>
              <w:ind w:left="8" w:right="8"/>
              <w:jc w:val="center"/>
              <w:rPr>
                <w:b/>
                <w:sz w:val="19"/>
              </w:rPr>
            </w:pPr>
            <w:r>
              <w:rPr>
                <w:b/>
                <w:spacing w:val="-2"/>
                <w:w w:val="105"/>
                <w:sz w:val="19"/>
              </w:rPr>
              <w:t>$166,567,149**</w:t>
            </w:r>
          </w:p>
        </w:tc>
      </w:tr>
    </w:tbl>
    <w:p>
      <w:pPr>
        <w:spacing w:before="6"/>
        <w:ind w:left="360" w:right="0" w:firstLine="0"/>
        <w:jc w:val="left"/>
        <w:rPr>
          <w:sz w:val="19"/>
        </w:rPr>
      </w:pPr>
      <w:r>
        <w:rPr>
          <w:w w:val="105"/>
          <w:sz w:val="19"/>
        </w:rPr>
        <w:t>*</w:t>
      </w:r>
      <w:r>
        <w:rPr>
          <w:spacing w:val="-4"/>
          <w:w w:val="105"/>
          <w:sz w:val="19"/>
        </w:rPr>
        <w:t xml:space="preserve"> </w:t>
      </w:r>
      <w:r>
        <w:rPr>
          <w:w w:val="105"/>
          <w:sz w:val="19"/>
        </w:rPr>
        <w:t>Unique</w:t>
      </w:r>
      <w:r>
        <w:rPr>
          <w:spacing w:val="-6"/>
          <w:w w:val="105"/>
          <w:sz w:val="19"/>
        </w:rPr>
        <w:t xml:space="preserve"> </w:t>
      </w:r>
      <w:r>
        <w:rPr>
          <w:w w:val="105"/>
          <w:sz w:val="19"/>
        </w:rPr>
        <w:t>number</w:t>
      </w:r>
      <w:r>
        <w:rPr>
          <w:spacing w:val="1"/>
          <w:w w:val="105"/>
          <w:sz w:val="19"/>
        </w:rPr>
        <w:t xml:space="preserve"> </w:t>
      </w:r>
      <w:r>
        <w:rPr>
          <w:w w:val="105"/>
          <w:sz w:val="19"/>
        </w:rPr>
        <w:t>of</w:t>
      </w:r>
      <w:r>
        <w:rPr>
          <w:spacing w:val="3"/>
          <w:w w:val="105"/>
          <w:sz w:val="19"/>
        </w:rPr>
        <w:t xml:space="preserve"> </w:t>
      </w:r>
      <w:r>
        <w:rPr>
          <w:w w:val="105"/>
          <w:sz w:val="19"/>
        </w:rPr>
        <w:t>respondents</w:t>
      </w:r>
      <w:r>
        <w:rPr>
          <w:spacing w:val="-2"/>
          <w:w w:val="105"/>
          <w:sz w:val="19"/>
        </w:rPr>
        <w:t xml:space="preserve"> </w:t>
      </w:r>
      <w:r>
        <w:rPr>
          <w:w w:val="105"/>
          <w:sz w:val="19"/>
        </w:rPr>
        <w:t>(1,467</w:t>
      </w:r>
      <w:r>
        <w:rPr>
          <w:spacing w:val="-4"/>
          <w:w w:val="105"/>
          <w:sz w:val="19"/>
        </w:rPr>
        <w:t xml:space="preserve"> </w:t>
      </w:r>
      <w:r>
        <w:rPr>
          <w:w w:val="105"/>
          <w:sz w:val="19"/>
        </w:rPr>
        <w:t>issuers</w:t>
      </w:r>
      <w:r>
        <w:rPr>
          <w:spacing w:val="5"/>
          <w:w w:val="105"/>
          <w:sz w:val="19"/>
        </w:rPr>
        <w:t xml:space="preserve"> </w:t>
      </w:r>
      <w:r>
        <w:rPr>
          <w:w w:val="105"/>
          <w:sz w:val="19"/>
        </w:rPr>
        <w:t>and</w:t>
      </w:r>
      <w:r>
        <w:rPr>
          <w:spacing w:val="-4"/>
          <w:w w:val="105"/>
          <w:sz w:val="19"/>
        </w:rPr>
        <w:t xml:space="preserve"> </w:t>
      </w:r>
      <w:r>
        <w:rPr>
          <w:w w:val="105"/>
          <w:sz w:val="19"/>
        </w:rPr>
        <w:t>90,887</w:t>
      </w:r>
      <w:r>
        <w:rPr>
          <w:spacing w:val="-3"/>
          <w:w w:val="105"/>
          <w:sz w:val="19"/>
        </w:rPr>
        <w:t xml:space="preserve"> </w:t>
      </w:r>
      <w:r>
        <w:rPr>
          <w:w w:val="105"/>
          <w:sz w:val="19"/>
        </w:rPr>
        <w:t>non-Federal</w:t>
      </w:r>
      <w:r>
        <w:rPr>
          <w:spacing w:val="-2"/>
          <w:w w:val="105"/>
          <w:sz w:val="19"/>
        </w:rPr>
        <w:t xml:space="preserve"> </w:t>
      </w:r>
      <w:r>
        <w:rPr>
          <w:w w:val="105"/>
          <w:sz w:val="19"/>
        </w:rPr>
        <w:t>governmental</w:t>
      </w:r>
      <w:r>
        <w:rPr>
          <w:spacing w:val="-1"/>
          <w:w w:val="105"/>
          <w:sz w:val="19"/>
        </w:rPr>
        <w:t xml:space="preserve"> </w:t>
      </w:r>
      <w:r>
        <w:rPr>
          <w:spacing w:val="-2"/>
          <w:w w:val="105"/>
          <w:sz w:val="19"/>
        </w:rPr>
        <w:t>plans).</w:t>
      </w:r>
    </w:p>
    <w:p>
      <w:pPr>
        <w:spacing w:before="15"/>
        <w:ind w:left="360" w:right="0" w:firstLine="0"/>
        <w:jc w:val="left"/>
        <w:rPr>
          <w:sz w:val="19"/>
        </w:rPr>
      </w:pPr>
      <w:r>
        <w:rPr>
          <w:w w:val="105"/>
          <w:sz w:val="19"/>
        </w:rPr>
        <w:t>**</w:t>
      </w:r>
      <w:r>
        <w:rPr>
          <w:spacing w:val="-3"/>
          <w:w w:val="105"/>
          <w:sz w:val="19"/>
        </w:rPr>
        <w:t xml:space="preserve"> </w:t>
      </w:r>
      <w:r>
        <w:rPr>
          <w:w w:val="105"/>
          <w:sz w:val="19"/>
        </w:rPr>
        <w:t>Numbers</w:t>
      </w:r>
      <w:r>
        <w:rPr>
          <w:spacing w:val="4"/>
          <w:w w:val="105"/>
          <w:sz w:val="19"/>
        </w:rPr>
        <w:t xml:space="preserve"> </w:t>
      </w:r>
      <w:r>
        <w:rPr>
          <w:w w:val="105"/>
          <w:sz w:val="19"/>
        </w:rPr>
        <w:t>do</w:t>
      </w:r>
      <w:r>
        <w:rPr>
          <w:spacing w:val="-2"/>
          <w:w w:val="105"/>
          <w:sz w:val="19"/>
        </w:rPr>
        <w:t xml:space="preserve"> </w:t>
      </w:r>
      <w:r>
        <w:rPr>
          <w:w w:val="105"/>
          <w:sz w:val="19"/>
        </w:rPr>
        <w:t>not</w:t>
      </w:r>
      <w:r>
        <w:rPr>
          <w:spacing w:val="-1"/>
          <w:w w:val="105"/>
          <w:sz w:val="19"/>
        </w:rPr>
        <w:t xml:space="preserve"> </w:t>
      </w:r>
      <w:r>
        <w:rPr>
          <w:w w:val="105"/>
          <w:sz w:val="19"/>
        </w:rPr>
        <w:t>sum</w:t>
      </w:r>
      <w:r>
        <w:rPr>
          <w:spacing w:val="5"/>
          <w:w w:val="105"/>
          <w:sz w:val="19"/>
        </w:rPr>
        <w:t xml:space="preserve"> </w:t>
      </w:r>
      <w:r>
        <w:rPr>
          <w:w w:val="105"/>
          <w:sz w:val="19"/>
        </w:rPr>
        <w:t>exactly</w:t>
      </w:r>
      <w:r>
        <w:rPr>
          <w:spacing w:val="-3"/>
          <w:w w:val="105"/>
          <w:sz w:val="19"/>
        </w:rPr>
        <w:t xml:space="preserve"> </w:t>
      </w:r>
      <w:r>
        <w:rPr>
          <w:w w:val="105"/>
          <w:sz w:val="19"/>
        </w:rPr>
        <w:t>to</w:t>
      </w:r>
      <w:r>
        <w:rPr>
          <w:spacing w:val="-2"/>
          <w:w w:val="105"/>
          <w:sz w:val="19"/>
        </w:rPr>
        <w:t xml:space="preserve"> </w:t>
      </w:r>
      <w:r>
        <w:rPr>
          <w:w w:val="105"/>
          <w:sz w:val="19"/>
        </w:rPr>
        <w:t>these</w:t>
      </w:r>
      <w:r>
        <w:rPr>
          <w:spacing w:val="-6"/>
          <w:w w:val="105"/>
          <w:sz w:val="19"/>
        </w:rPr>
        <w:t xml:space="preserve"> </w:t>
      </w:r>
      <w:r>
        <w:rPr>
          <w:w w:val="105"/>
          <w:sz w:val="19"/>
        </w:rPr>
        <w:t>totals</w:t>
      </w:r>
      <w:r>
        <w:rPr>
          <w:spacing w:val="-2"/>
          <w:w w:val="105"/>
          <w:sz w:val="19"/>
        </w:rPr>
        <w:t xml:space="preserve"> </w:t>
      </w:r>
      <w:r>
        <w:rPr>
          <w:w w:val="105"/>
          <w:sz w:val="19"/>
        </w:rPr>
        <w:t>due</w:t>
      </w:r>
      <w:r>
        <w:rPr>
          <w:spacing w:val="-6"/>
          <w:w w:val="105"/>
          <w:sz w:val="19"/>
        </w:rPr>
        <w:t xml:space="preserve"> </w:t>
      </w:r>
      <w:r>
        <w:rPr>
          <w:w w:val="105"/>
          <w:sz w:val="19"/>
        </w:rPr>
        <w:t>to</w:t>
      </w:r>
      <w:r>
        <w:rPr>
          <w:spacing w:val="4"/>
          <w:w w:val="105"/>
          <w:sz w:val="19"/>
        </w:rPr>
        <w:t xml:space="preserve"> </w:t>
      </w:r>
      <w:r>
        <w:rPr>
          <w:spacing w:val="-2"/>
          <w:w w:val="105"/>
          <w:sz w:val="19"/>
        </w:rPr>
        <w:t>rounding.</w:t>
      </w:r>
    </w:p>
    <w:p>
      <w:pPr>
        <w:spacing w:after="0"/>
        <w:jc w:val="left"/>
        <w:rPr>
          <w:sz w:val="19"/>
        </w:rPr>
        <w:sectPr>
          <w:pgSz w:w="12240" w:h="15840"/>
          <w:pgMar w:top="1640" w:right="1440" w:bottom="1060" w:left="1080" w:header="0" w:footer="873"/>
          <w:cols w:space="720"/>
        </w:sectPr>
      </w:pPr>
    </w:p>
    <w:p>
      <w:pPr>
        <w:pStyle w:val="ListParagraph"/>
        <w:numPr>
          <w:ilvl w:val="1"/>
          <w:numId w:val="2"/>
        </w:numPr>
        <w:tabs>
          <w:tab w:val="left" w:pos="660"/>
        </w:tabs>
        <w:spacing w:before="62" w:after="0" w:line="240" w:lineRule="auto"/>
        <w:ind w:left="660" w:right="0" w:hanging="300"/>
        <w:jc w:val="left"/>
        <w:rPr>
          <w:sz w:val="24"/>
        </w:rPr>
      </w:pPr>
      <w:bookmarkStart w:id="37" w:name="13.  Capital Costs"/>
      <w:bookmarkEnd w:id="37"/>
      <w:r>
        <w:rPr>
          <w:spacing w:val="-3"/>
          <w:sz w:val="24"/>
          <w:u w:val="single"/>
        </w:rPr>
        <w:t xml:space="preserve"> </w:t>
      </w:r>
      <w:r>
        <w:rPr>
          <w:sz w:val="24"/>
          <w:u w:val="single"/>
        </w:rPr>
        <w:t>​</w:t>
      </w:r>
      <w:r>
        <w:rPr>
          <w:spacing w:val="1"/>
          <w:sz w:val="24"/>
          <w:u w:val="single"/>
        </w:rPr>
        <w:t xml:space="preserve"> </w:t>
      </w:r>
      <w:r>
        <w:rPr>
          <w:sz w:val="24"/>
          <w:u w:val="single"/>
        </w:rPr>
        <w:t>Capital</w:t>
      </w:r>
      <w:r>
        <w:rPr>
          <w:spacing w:val="-3"/>
          <w:sz w:val="24"/>
          <w:u w:val="single"/>
        </w:rPr>
        <w:t xml:space="preserve"> </w:t>
      </w:r>
      <w:r>
        <w:rPr>
          <w:spacing w:val="-4"/>
          <w:sz w:val="24"/>
          <w:u w:val="single"/>
        </w:rPr>
        <w:t>Costs</w:t>
      </w:r>
    </w:p>
    <w:p>
      <w:pPr>
        <w:pStyle w:val="BodyText"/>
        <w:spacing w:before="275"/>
        <w:ind w:left="791"/>
      </w:pPr>
      <w:r>
        <w:rPr>
          <w:u w:val="single"/>
        </w:rPr>
        <w:t>Request</w:t>
      </w:r>
      <w:r>
        <w:rPr>
          <w:spacing w:val="-8"/>
          <w:u w:val="single"/>
        </w:rPr>
        <w:t xml:space="preserve"> </w:t>
      </w:r>
      <w:r>
        <w:rPr>
          <w:u w:val="single"/>
        </w:rPr>
        <w:t>for</w:t>
      </w:r>
      <w:r>
        <w:rPr>
          <w:spacing w:val="-4"/>
          <w:u w:val="single"/>
        </w:rPr>
        <w:t xml:space="preserve"> </w:t>
      </w:r>
      <w:r>
        <w:rPr>
          <w:u w:val="single"/>
        </w:rPr>
        <w:t>Comparative</w:t>
      </w:r>
      <w:r>
        <w:rPr>
          <w:spacing w:val="-3"/>
          <w:u w:val="single"/>
        </w:rPr>
        <w:t xml:space="preserve"> </w:t>
      </w:r>
      <w:r>
        <w:rPr>
          <w:u w:val="single"/>
        </w:rPr>
        <w:t>Analyses</w:t>
      </w:r>
      <w:r>
        <w:rPr>
          <w:spacing w:val="-4"/>
          <w:u w:val="single"/>
        </w:rPr>
        <w:t xml:space="preserve"> </w:t>
      </w:r>
      <w:r>
        <w:rPr>
          <w:u w:val="single"/>
        </w:rPr>
        <w:t>by</w:t>
      </w:r>
      <w:r>
        <w:rPr>
          <w:spacing w:val="-3"/>
          <w:u w:val="single"/>
        </w:rPr>
        <w:t xml:space="preserve"> </w:t>
      </w:r>
      <w:r>
        <w:rPr>
          <w:u w:val="single"/>
        </w:rPr>
        <w:t>Participants, Beneficiaries,</w:t>
      </w:r>
      <w:r>
        <w:rPr>
          <w:spacing w:val="1"/>
          <w:u w:val="single"/>
        </w:rPr>
        <w:t xml:space="preserve"> </w:t>
      </w:r>
      <w:r>
        <w:rPr>
          <w:u w:val="single"/>
        </w:rPr>
        <w:t>and</w:t>
      </w:r>
      <w:r>
        <w:rPr>
          <w:spacing w:val="-3"/>
          <w:u w:val="single"/>
        </w:rPr>
        <w:t xml:space="preserve"> </w:t>
      </w:r>
      <w:r>
        <w:rPr>
          <w:spacing w:val="-2"/>
          <w:u w:val="single"/>
        </w:rPr>
        <w:t>Enrollees</w:t>
      </w:r>
    </w:p>
    <w:p>
      <w:pPr>
        <w:pStyle w:val="BodyText"/>
        <w:spacing w:before="275"/>
        <w:ind w:left="791" w:right="83"/>
      </w:pPr>
      <w:r>
        <w:t>We assume that 58.3 percent of requests for comparative analyses by participants, beneficiaries, and enrollees will be delivered electronically, resulting in a de minimis cost. The remaining 41.7 percent of requests will be mailed. We estimate that the average page length for comparative analyses is 15 pages. We also estimate that the average paper and printing cost per page is $0.05, and</w:t>
      </w:r>
      <w:r>
        <w:rPr>
          <w:spacing w:val="-4"/>
        </w:rPr>
        <w:t xml:space="preserve"> </w:t>
      </w:r>
      <w:r>
        <w:t>that the mailing cost</w:t>
      </w:r>
      <w:hyperlink w:anchor="_bookmark17" w:history="1">
        <w:r>
          <w:rPr>
            <w:position w:val="8"/>
            <w:sz w:val="12"/>
          </w:rPr>
          <w:t>18</w:t>
        </w:r>
      </w:hyperlink>
      <w:r>
        <w:rPr>
          <w:spacing w:val="34"/>
          <w:position w:val="8"/>
          <w:sz w:val="12"/>
        </w:rPr>
        <w:t xml:space="preserve"> </w:t>
      </w:r>
      <w:r>
        <w:t>is $2.04. Therefore, each mailed response will cost $2.79 in materials and postage, on average. The annual cost burden to 90,887</w:t>
      </w:r>
      <w:r>
        <w:rPr>
          <w:spacing w:val="-3"/>
        </w:rPr>
        <w:t xml:space="preserve"> </w:t>
      </w:r>
      <w:r>
        <w:t>non-Federal</w:t>
      </w:r>
      <w:r>
        <w:rPr>
          <w:spacing w:val="-7"/>
        </w:rPr>
        <w:t xml:space="preserve"> </w:t>
      </w:r>
      <w:r>
        <w:t>governmental</w:t>
      </w:r>
      <w:r>
        <w:rPr>
          <w:spacing w:val="-6"/>
        </w:rPr>
        <w:t xml:space="preserve"> </w:t>
      </w:r>
      <w:r>
        <w:t>plans</w:t>
      </w:r>
      <w:r>
        <w:rPr>
          <w:spacing w:val="-5"/>
        </w:rPr>
        <w:t xml:space="preserve"> </w:t>
      </w:r>
      <w:r>
        <w:t>and</w:t>
      </w:r>
      <w:r>
        <w:rPr>
          <w:spacing w:val="-4"/>
        </w:rPr>
        <w:t xml:space="preserve"> </w:t>
      </w:r>
      <w:r>
        <w:t>1,467</w:t>
      </w:r>
      <w:r>
        <w:rPr>
          <w:spacing w:val="-3"/>
        </w:rPr>
        <w:t xml:space="preserve"> </w:t>
      </w:r>
      <w:r>
        <w:t>issuers</w:t>
      </w:r>
      <w:r>
        <w:rPr>
          <w:spacing w:val="-5"/>
        </w:rPr>
        <w:t xml:space="preserve"> </w:t>
      </w:r>
      <w:r>
        <w:t>to</w:t>
      </w:r>
      <w:r>
        <w:rPr>
          <w:spacing w:val="-3"/>
        </w:rPr>
        <w:t xml:space="preserve"> </w:t>
      </w:r>
      <w:r>
        <w:t>mail</w:t>
      </w:r>
      <w:r>
        <w:rPr>
          <w:spacing w:val="-6"/>
        </w:rPr>
        <w:t xml:space="preserve"> </w:t>
      </w:r>
      <w:r>
        <w:t>the</w:t>
      </w:r>
      <w:r>
        <w:rPr>
          <w:spacing w:val="-4"/>
        </w:rPr>
        <w:t xml:space="preserve"> </w:t>
      </w:r>
      <w:r>
        <w:t>comparative</w:t>
      </w:r>
      <w:r>
        <w:rPr>
          <w:spacing w:val="-4"/>
        </w:rPr>
        <w:t xml:space="preserve"> </w:t>
      </w:r>
      <w:r>
        <w:t>analyses to participants, beneficiaries, and enrollees upon request will therefore be approximately</w:t>
      </w:r>
    </w:p>
    <w:p>
      <w:pPr>
        <w:pStyle w:val="BodyText"/>
        <w:spacing w:before="3"/>
        <w:ind w:left="791"/>
      </w:pPr>
      <w:r>
        <w:rPr>
          <w:spacing w:val="-2"/>
        </w:rPr>
        <w:t>$107,400.</w:t>
      </w:r>
    </w:p>
    <w:p>
      <w:pPr>
        <w:pStyle w:val="ListParagraph"/>
        <w:numPr>
          <w:ilvl w:val="1"/>
          <w:numId w:val="2"/>
        </w:numPr>
        <w:tabs>
          <w:tab w:val="left" w:pos="660"/>
        </w:tabs>
        <w:spacing w:before="274" w:after="0" w:line="240" w:lineRule="auto"/>
        <w:ind w:left="660" w:right="0" w:hanging="300"/>
        <w:jc w:val="left"/>
        <w:rPr>
          <w:sz w:val="24"/>
        </w:rPr>
      </w:pPr>
      <w:bookmarkStart w:id="38" w:name="14. Cost to Federal Government"/>
      <w:bookmarkEnd w:id="38"/>
      <w:r>
        <w:rPr>
          <w:spacing w:val="-2"/>
          <w:sz w:val="24"/>
          <w:u w:val="single"/>
        </w:rPr>
        <w:t xml:space="preserve"> </w:t>
      </w:r>
      <w:r>
        <w:rPr>
          <w:sz w:val="24"/>
          <w:u w:val="single"/>
        </w:rPr>
        <w:t>​</w:t>
      </w:r>
      <w:r>
        <w:rPr>
          <w:spacing w:val="8"/>
          <w:sz w:val="24"/>
          <w:u w:val="single"/>
        </w:rPr>
        <w:t xml:space="preserve"> </w:t>
      </w:r>
      <w:r>
        <w:rPr>
          <w:sz w:val="24"/>
          <w:u w:val="single"/>
        </w:rPr>
        <w:t>Cost</w:t>
      </w:r>
      <w:r>
        <w:rPr>
          <w:spacing w:val="-1"/>
          <w:sz w:val="24"/>
          <w:u w:val="single"/>
        </w:rPr>
        <w:t xml:space="preserve"> </w:t>
      </w:r>
      <w:r>
        <w:rPr>
          <w:sz w:val="24"/>
          <w:u w:val="single"/>
        </w:rPr>
        <w:t>to</w:t>
      </w:r>
      <w:r>
        <w:rPr>
          <w:spacing w:val="1"/>
          <w:sz w:val="24"/>
          <w:u w:val="single"/>
        </w:rPr>
        <w:t xml:space="preserve"> </w:t>
      </w:r>
      <w:r>
        <w:rPr>
          <w:sz w:val="24"/>
          <w:u w:val="single"/>
        </w:rPr>
        <w:t>Federal</w:t>
      </w:r>
      <w:r>
        <w:rPr>
          <w:spacing w:val="-2"/>
          <w:sz w:val="24"/>
          <w:u w:val="single"/>
        </w:rPr>
        <w:t xml:space="preserve"> Government</w:t>
      </w:r>
    </w:p>
    <w:p>
      <w:pPr>
        <w:pStyle w:val="BodyText"/>
        <w:spacing w:before="6"/>
      </w:pPr>
    </w:p>
    <w:p>
      <w:pPr>
        <w:pStyle w:val="BodyText"/>
        <w:spacing w:before="1" w:line="276" w:lineRule="exact"/>
        <w:ind w:left="791"/>
      </w:pPr>
      <w:r>
        <w:t>We</w:t>
      </w:r>
      <w:r>
        <w:rPr>
          <w:spacing w:val="-1"/>
        </w:rPr>
        <w:t xml:space="preserve"> </w:t>
      </w:r>
      <w:r>
        <w:t>estimate</w:t>
      </w:r>
      <w:r>
        <w:rPr>
          <w:spacing w:val="-2"/>
        </w:rPr>
        <w:t xml:space="preserve"> </w:t>
      </w:r>
      <w:r>
        <w:t>that</w:t>
      </w:r>
      <w:r>
        <w:rPr>
          <w:spacing w:val="-4"/>
        </w:rPr>
        <w:t xml:space="preserve"> </w:t>
      </w:r>
      <w:r>
        <w:t>the</w:t>
      </w:r>
      <w:r>
        <w:rPr>
          <w:spacing w:val="-2"/>
        </w:rPr>
        <w:t xml:space="preserve"> </w:t>
      </w:r>
      <w:r>
        <w:t>cost</w:t>
      </w:r>
      <w:r>
        <w:rPr>
          <w:spacing w:val="-4"/>
        </w:rPr>
        <w:t xml:space="preserve"> </w:t>
      </w:r>
      <w:r>
        <w:t>of</w:t>
      </w:r>
      <w:r>
        <w:rPr>
          <w:spacing w:val="-2"/>
        </w:rPr>
        <w:t xml:space="preserve"> </w:t>
      </w:r>
      <w:r>
        <w:t>each</w:t>
      </w:r>
      <w:r>
        <w:rPr>
          <w:spacing w:val="-2"/>
        </w:rPr>
        <w:t xml:space="preserve"> </w:t>
      </w:r>
      <w:r>
        <w:t>review</w:t>
      </w:r>
      <w:r>
        <w:rPr>
          <w:spacing w:val="1"/>
        </w:rPr>
        <w:t xml:space="preserve"> </w:t>
      </w:r>
      <w:r>
        <w:t>will</w:t>
      </w:r>
      <w:r>
        <w:rPr>
          <w:spacing w:val="-4"/>
        </w:rPr>
        <w:t xml:space="preserve"> </w:t>
      </w:r>
      <w:r>
        <w:t>be</w:t>
      </w:r>
      <w:r>
        <w:rPr>
          <w:spacing w:val="-2"/>
        </w:rPr>
        <w:t xml:space="preserve"> </w:t>
      </w:r>
      <w:r>
        <w:t>approximately</w:t>
      </w:r>
      <w:r>
        <w:rPr>
          <w:spacing w:val="-1"/>
        </w:rPr>
        <w:t xml:space="preserve"> </w:t>
      </w:r>
      <w:r>
        <w:t>$100,000,</w:t>
      </w:r>
      <w:r>
        <w:rPr>
          <w:spacing w:val="-4"/>
        </w:rPr>
        <w:t xml:space="preserve"> </w:t>
      </w:r>
      <w:r>
        <w:t>with</w:t>
      </w:r>
      <w:r>
        <w:rPr>
          <w:spacing w:val="-1"/>
        </w:rPr>
        <w:t xml:space="preserve"> </w:t>
      </w:r>
      <w:r>
        <w:t>a</w:t>
      </w:r>
      <w:r>
        <w:rPr>
          <w:spacing w:val="-2"/>
        </w:rPr>
        <w:t xml:space="preserve"> </w:t>
      </w:r>
      <w:r>
        <w:t>total</w:t>
      </w:r>
      <w:r>
        <w:rPr>
          <w:spacing w:val="-5"/>
        </w:rPr>
        <w:t xml:space="preserve"> </w:t>
      </w:r>
      <w:r>
        <w:t>cost</w:t>
      </w:r>
      <w:r>
        <w:rPr>
          <w:spacing w:val="-3"/>
        </w:rPr>
        <w:t xml:space="preserve"> </w:t>
      </w:r>
      <w:r>
        <w:rPr>
          <w:spacing w:val="-5"/>
        </w:rPr>
        <w:t>of</w:t>
      </w:r>
    </w:p>
    <w:p>
      <w:pPr>
        <w:pStyle w:val="BodyText"/>
        <w:spacing w:line="276" w:lineRule="exact"/>
        <w:ind w:left="791"/>
      </w:pPr>
      <w:r>
        <w:t>$2</w:t>
      </w:r>
      <w:r>
        <w:rPr>
          <w:spacing w:val="-2"/>
        </w:rPr>
        <w:t xml:space="preserve"> </w:t>
      </w:r>
      <w:r>
        <w:t>million</w:t>
      </w:r>
      <w:r>
        <w:rPr>
          <w:spacing w:val="-1"/>
        </w:rPr>
        <w:t xml:space="preserve"> </w:t>
      </w:r>
      <w:r>
        <w:t>for</w:t>
      </w:r>
      <w:r>
        <w:rPr>
          <w:spacing w:val="-3"/>
        </w:rPr>
        <w:t xml:space="preserve"> </w:t>
      </w:r>
      <w:r>
        <w:t>all</w:t>
      </w:r>
      <w:r>
        <w:rPr>
          <w:spacing w:val="-4"/>
        </w:rPr>
        <w:t xml:space="preserve"> </w:t>
      </w:r>
      <w:r>
        <w:t>20</w:t>
      </w:r>
      <w:r>
        <w:rPr>
          <w:spacing w:val="-1"/>
        </w:rPr>
        <w:t xml:space="preserve"> </w:t>
      </w:r>
      <w:r>
        <w:t>reviews</w:t>
      </w:r>
      <w:r>
        <w:rPr>
          <w:spacing w:val="-3"/>
        </w:rPr>
        <w:t xml:space="preserve"> </w:t>
      </w:r>
      <w:r>
        <w:rPr>
          <w:spacing w:val="-2"/>
        </w:rPr>
        <w:t>annually.</w:t>
      </w:r>
    </w:p>
    <w:p>
      <w:pPr>
        <w:pStyle w:val="ListParagraph"/>
        <w:numPr>
          <w:ilvl w:val="1"/>
          <w:numId w:val="2"/>
        </w:numPr>
        <w:tabs>
          <w:tab w:val="left" w:pos="660"/>
        </w:tabs>
        <w:spacing w:before="274" w:after="0" w:line="240" w:lineRule="auto"/>
        <w:ind w:left="660" w:right="0" w:hanging="300"/>
        <w:jc w:val="left"/>
        <w:rPr>
          <w:sz w:val="24"/>
        </w:rPr>
      </w:pPr>
      <w:bookmarkStart w:id="39" w:name="15. Changes to Burden"/>
      <w:bookmarkEnd w:id="39"/>
      <w:r>
        <w:rPr>
          <w:spacing w:val="-2"/>
          <w:sz w:val="24"/>
          <w:u w:val="single"/>
        </w:rPr>
        <w:t xml:space="preserve"> </w:t>
      </w:r>
      <w:r>
        <w:rPr>
          <w:sz w:val="24"/>
          <w:u w:val="single"/>
        </w:rPr>
        <w:t>​</w:t>
      </w:r>
      <w:r>
        <w:rPr>
          <w:spacing w:val="9"/>
          <w:sz w:val="24"/>
          <w:u w:val="single"/>
        </w:rPr>
        <w:t xml:space="preserve"> </w:t>
      </w:r>
      <w:r>
        <w:rPr>
          <w:sz w:val="24"/>
          <w:u w:val="single"/>
        </w:rPr>
        <w:t>Changes to</w:t>
      </w:r>
      <w:r>
        <w:rPr>
          <w:spacing w:val="2"/>
          <w:sz w:val="24"/>
          <w:u w:val="single"/>
        </w:rPr>
        <w:t xml:space="preserve"> </w:t>
      </w:r>
      <w:r>
        <w:rPr>
          <w:spacing w:val="-2"/>
          <w:sz w:val="24"/>
          <w:u w:val="single"/>
        </w:rPr>
        <w:t>Burden</w:t>
      </w:r>
    </w:p>
    <w:p>
      <w:pPr>
        <w:pStyle w:val="BodyText"/>
        <w:spacing w:before="275"/>
        <w:ind w:left="791" w:right="3"/>
      </w:pPr>
      <w:r>
        <w:t>Although there was a decrease in the estimated number of issuers (from 1,553 to 1,467), the estimated burden related to the NQTL comparative analyses documentation and data requirements for issuers has increased by 327,933 hours (from 82,827 to 410,760). This is due to the new data requirements necessary to comply with the 2024 final rules. In contrast, due</w:t>
      </w:r>
      <w:r>
        <w:rPr>
          <w:spacing w:val="-3"/>
        </w:rPr>
        <w:t xml:space="preserve"> </w:t>
      </w:r>
      <w:r>
        <w:t>to</w:t>
      </w:r>
      <w:r>
        <w:rPr>
          <w:spacing w:val="-2"/>
        </w:rPr>
        <w:t xml:space="preserve"> </w:t>
      </w:r>
      <w:r>
        <w:t>a</w:t>
      </w:r>
      <w:r>
        <w:rPr>
          <w:spacing w:val="-3"/>
        </w:rPr>
        <w:t xml:space="preserve"> </w:t>
      </w:r>
      <w:r>
        <w:t>decrease</w:t>
      </w:r>
      <w:r>
        <w:rPr>
          <w:spacing w:val="-3"/>
        </w:rPr>
        <w:t xml:space="preserve"> </w:t>
      </w:r>
      <w:r>
        <w:t>in</w:t>
      </w:r>
      <w:r>
        <w:rPr>
          <w:spacing w:val="-2"/>
        </w:rPr>
        <w:t xml:space="preserve"> </w:t>
      </w:r>
      <w:r>
        <w:t>the</w:t>
      </w:r>
      <w:r>
        <w:rPr>
          <w:spacing w:val="-3"/>
        </w:rPr>
        <w:t xml:space="preserve"> </w:t>
      </w:r>
      <w:r>
        <w:t>assumed</w:t>
      </w:r>
      <w:r>
        <w:rPr>
          <w:spacing w:val="-3"/>
        </w:rPr>
        <w:t xml:space="preserve"> </w:t>
      </w:r>
      <w:r>
        <w:t>number</w:t>
      </w:r>
      <w:r>
        <w:rPr>
          <w:spacing w:val="-5"/>
        </w:rPr>
        <w:t xml:space="preserve"> </w:t>
      </w:r>
      <w:r>
        <w:t>of</w:t>
      </w:r>
      <w:r>
        <w:rPr>
          <w:spacing w:val="-4"/>
        </w:rPr>
        <w:t xml:space="preserve"> </w:t>
      </w:r>
      <w:r>
        <w:t>self-funded</w:t>
      </w:r>
      <w:r>
        <w:rPr>
          <w:spacing w:val="-3"/>
        </w:rPr>
        <w:t xml:space="preserve"> </w:t>
      </w:r>
      <w:r>
        <w:t>non-Federal</w:t>
      </w:r>
      <w:r>
        <w:rPr>
          <w:spacing w:val="-6"/>
        </w:rPr>
        <w:t xml:space="preserve"> </w:t>
      </w:r>
      <w:r>
        <w:t>governmental</w:t>
      </w:r>
      <w:r>
        <w:rPr>
          <w:spacing w:val="-5"/>
        </w:rPr>
        <w:t xml:space="preserve"> </w:t>
      </w:r>
      <w:r>
        <w:t>plans</w:t>
      </w:r>
      <w:r>
        <w:rPr>
          <w:spacing w:val="-2"/>
        </w:rPr>
        <w:t xml:space="preserve"> </w:t>
      </w:r>
      <w:r>
        <w:t>that will do their own comparative analysis, the estimated burden related to the NQTL comparative analyses documentation and data requirements for self-funded non-Federal governmental plans has decreased by approximately 353,027 hours (from 930,107 to 577,080). This is largely driven by the understanding that TPAs heavily support self-funded non-Federal governmental plan sponsors to meet the NQTL comparative analysis documentation and data requirements. The estimated burden to issuers and self-funded non-Federal governmental plans associated with the initial submission of comparative analyses has increased by 100 hours (from 0 to 100). The estimated burden to issuers and self-funded non-Federal</w:t>
      </w:r>
      <w:r>
        <w:rPr>
          <w:spacing w:val="-4"/>
        </w:rPr>
        <w:t xml:space="preserve"> </w:t>
      </w:r>
      <w:r>
        <w:t>governmental</w:t>
      </w:r>
      <w:r>
        <w:rPr>
          <w:spacing w:val="-3"/>
        </w:rPr>
        <w:t xml:space="preserve"> </w:t>
      </w:r>
      <w:r>
        <w:t>plans</w:t>
      </w:r>
      <w:r>
        <w:rPr>
          <w:spacing w:val="-2"/>
        </w:rPr>
        <w:t xml:space="preserve"> </w:t>
      </w:r>
      <w:r>
        <w:t>associated</w:t>
      </w:r>
      <w:r>
        <w:rPr>
          <w:spacing w:val="-1"/>
        </w:rPr>
        <w:t xml:space="preserve"> </w:t>
      </w:r>
      <w:r>
        <w:t>with the</w:t>
      </w:r>
      <w:r>
        <w:rPr>
          <w:spacing w:val="-1"/>
        </w:rPr>
        <w:t xml:space="preserve"> </w:t>
      </w:r>
      <w:r>
        <w:t>submission of</w:t>
      </w:r>
      <w:r>
        <w:rPr>
          <w:spacing w:val="-2"/>
        </w:rPr>
        <w:t xml:space="preserve"> </w:t>
      </w:r>
      <w:r>
        <w:t>additional</w:t>
      </w:r>
      <w:r>
        <w:rPr>
          <w:spacing w:val="-4"/>
        </w:rPr>
        <w:t xml:space="preserve"> </w:t>
      </w:r>
      <w:r>
        <w:t>documentation for comparative analyses has increased by 50 hours (from 50 to 100), due to an increase in the number of plans and issuers that are expected to submit additional documentation (from 10 to 20). Further, due to an increase in the estimated number of issuers and self-funded</w:t>
      </w:r>
    </w:p>
    <w:p>
      <w:pPr>
        <w:pStyle w:val="BodyText"/>
        <w:spacing w:before="2"/>
        <w:ind w:left="791" w:right="67"/>
      </w:pPr>
      <w:r>
        <w:t>non-Federal governmental plans needing to complete corrective actions (from 8 to 18) to bring their NQTLs into compliance, the estimated burden related to corrective actions has increased</w:t>
      </w:r>
      <w:r>
        <w:rPr>
          <w:spacing w:val="-4"/>
        </w:rPr>
        <w:t xml:space="preserve"> </w:t>
      </w:r>
      <w:r>
        <w:t>by</w:t>
      </w:r>
      <w:r>
        <w:rPr>
          <w:spacing w:val="-2"/>
        </w:rPr>
        <w:t xml:space="preserve"> </w:t>
      </w:r>
      <w:r>
        <w:t>520</w:t>
      </w:r>
      <w:r>
        <w:rPr>
          <w:spacing w:val="-3"/>
        </w:rPr>
        <w:t xml:space="preserve"> </w:t>
      </w:r>
      <w:r>
        <w:t>hours</w:t>
      </w:r>
      <w:r>
        <w:rPr>
          <w:spacing w:val="-5"/>
        </w:rPr>
        <w:t xml:space="preserve"> </w:t>
      </w:r>
      <w:r>
        <w:t>(from</w:t>
      </w:r>
      <w:r>
        <w:rPr>
          <w:spacing w:val="-6"/>
        </w:rPr>
        <w:t xml:space="preserve"> </w:t>
      </w:r>
      <w:r>
        <w:t>200</w:t>
      </w:r>
      <w:r>
        <w:rPr>
          <w:spacing w:val="-3"/>
        </w:rPr>
        <w:t xml:space="preserve"> </w:t>
      </w:r>
      <w:r>
        <w:t>to</w:t>
      </w:r>
      <w:r>
        <w:rPr>
          <w:spacing w:val="-2"/>
        </w:rPr>
        <w:t xml:space="preserve"> </w:t>
      </w:r>
      <w:r>
        <w:t>720). Additionally, there</w:t>
      </w:r>
      <w:r>
        <w:rPr>
          <w:spacing w:val="-4"/>
        </w:rPr>
        <w:t xml:space="preserve"> </w:t>
      </w:r>
      <w:r>
        <w:t>is</w:t>
      </w:r>
      <w:r>
        <w:rPr>
          <w:spacing w:val="-5"/>
        </w:rPr>
        <w:t xml:space="preserve"> </w:t>
      </w:r>
      <w:r>
        <w:t>a</w:t>
      </w:r>
      <w:r>
        <w:rPr>
          <w:spacing w:val="-4"/>
        </w:rPr>
        <w:t xml:space="preserve"> </w:t>
      </w:r>
      <w:r>
        <w:t>new</w:t>
      </w:r>
      <w:r>
        <w:rPr>
          <w:spacing w:val="-1"/>
        </w:rPr>
        <w:t xml:space="preserve"> </w:t>
      </w:r>
      <w:r>
        <w:t>burden</w:t>
      </w:r>
      <w:r>
        <w:rPr>
          <w:spacing w:val="-4"/>
        </w:rPr>
        <w:t xml:space="preserve"> </w:t>
      </w:r>
      <w:r>
        <w:t>to</w:t>
      </w:r>
      <w:r>
        <w:rPr>
          <w:spacing w:val="-3"/>
        </w:rPr>
        <w:t xml:space="preserve"> </w:t>
      </w:r>
      <w:r>
        <w:t>issuers</w:t>
      </w:r>
      <w:r>
        <w:rPr>
          <w:spacing w:val="-5"/>
        </w:rPr>
        <w:t xml:space="preserve"> </w:t>
      </w:r>
      <w:r>
        <w:t>and non-Federal governmental plans associated with consumer requests for comparative analyses (of approximately 7,696 hours).</w:t>
      </w:r>
    </w:p>
    <w:p>
      <w:pPr>
        <w:pStyle w:val="BodyText"/>
        <w:spacing w:before="54"/>
        <w:rPr>
          <w:sz w:val="20"/>
        </w:rPr>
      </w:pPr>
      <w:r>
        <w:rPr>
          <w:sz w:val="20"/>
        </w:rPr>
        <mc:AlternateContent>
          <mc:Choice Requires="wps">
            <w:drawing>
              <wp:anchor distT="0" distB="0" distL="0" distR="0" simplePos="0" relativeHeight="251674624" behindDoc="1" locked="0" layoutInCell="1" allowOverlap="1">
                <wp:simplePos x="0" y="0"/>
                <wp:positionH relativeFrom="page">
                  <wp:posOffset>914996</wp:posOffset>
                </wp:positionH>
                <wp:positionV relativeFrom="paragraph">
                  <wp:posOffset>196092</wp:posOffset>
                </wp:positionV>
                <wp:extent cx="1830070" cy="5080"/>
                <wp:effectExtent l="0" t="0" r="0" b="0"/>
                <wp:wrapTopAndBottom/>
                <wp:docPr id="10" name="Graphic 10"/>
                <wp:cNvGraphicFramePr/>
                <a:graphic xmlns:a="http://schemas.openxmlformats.org/drawingml/2006/main">
                  <a:graphicData uri="http://schemas.microsoft.com/office/word/2010/wordprocessingShape">
                    <wps:wsp xmlns:wps="http://schemas.microsoft.com/office/word/2010/wordprocessingShape">
                      <wps:cNvSpPr/>
                      <wps:spPr>
                        <a:xfrm>
                          <a:off x="0" y="0"/>
                          <a:ext cx="1830070" cy="5080"/>
                        </a:xfrm>
                        <a:custGeom>
                          <a:avLst/>
                          <a:gdLst/>
                          <a:rect l="l" t="t" r="r" b="b"/>
                          <a:pathLst>
                            <a:path fill="norm" h="5080" w="1830070" stroke="1">
                              <a:moveTo>
                                <a:pt x="1829689" y="0"/>
                              </a:moveTo>
                              <a:lnTo>
                                <a:pt x="0" y="0"/>
                              </a:lnTo>
                              <a:lnTo>
                                <a:pt x="0" y="4483"/>
                              </a:lnTo>
                              <a:lnTo>
                                <a:pt x="1829689" y="4483"/>
                              </a:lnTo>
                              <a:lnTo>
                                <a:pt x="1829689" y="0"/>
                              </a:lnTo>
                              <a:close/>
                            </a:path>
                          </a:pathLst>
                        </a:custGeom>
                        <a:solidFill>
                          <a:srgbClr val="000000"/>
                        </a:solidFill>
                      </wps:spPr>
                      <wps:bodyPr wrap="square" lIns="0" tIns="0" rIns="0" bIns="0" rtlCol="0">
                        <a:prstTxWarp prst="textNoShape">
                          <a:avLst/>
                        </a:prstTxWarp>
                      </wps:bodyPr>
                    </wps:wsp>
                  </a:graphicData>
                </a:graphic>
              </wp:anchor>
            </w:drawing>
          </mc:Choice>
          <mc:Fallback>
            <w:pict>
              <v:rect id="_x0000_s1033" style="width:144.07pt;height:0.35pt;margin-top:15.44pt;margin-left:72.05pt;mso-position-horizontal-relative:page;mso-wrap-distance-left:0;mso-wrap-distance-right:0;position:absolute;z-index:-251640832" filled="t" fillcolor="black" stroked="f">
                <v:fill type="solid"/>
                <w10:wrap type="topAndBottom"/>
              </v:rect>
            </w:pict>
          </mc:Fallback>
        </mc:AlternateContent>
      </w:r>
    </w:p>
    <w:p>
      <w:pPr>
        <w:spacing w:before="98" w:line="247" w:lineRule="auto"/>
        <w:ind w:left="360" w:right="32" w:firstLine="0"/>
        <w:jc w:val="left"/>
        <w:rPr>
          <w:sz w:val="19"/>
        </w:rPr>
      </w:pPr>
      <w:bookmarkStart w:id="40" w:name="_bookmark17"/>
      <w:bookmarkEnd w:id="40"/>
      <w:r>
        <w:rPr>
          <w:w w:val="105"/>
          <w:sz w:val="19"/>
          <w:vertAlign w:val="superscript"/>
        </w:rPr>
        <w:t>18</w:t>
      </w:r>
      <w:r>
        <w:rPr>
          <w:spacing w:val="-3"/>
          <w:w w:val="105"/>
          <w:sz w:val="19"/>
          <w:vertAlign w:val="baseline"/>
        </w:rPr>
        <w:t xml:space="preserve"> </w:t>
      </w:r>
      <w:r>
        <w:rPr>
          <w:w w:val="105"/>
          <w:sz w:val="19"/>
          <w:vertAlign w:val="baseline"/>
        </w:rPr>
        <w:t>The</w:t>
      </w:r>
      <w:r>
        <w:rPr>
          <w:spacing w:val="-6"/>
          <w:w w:val="105"/>
          <w:sz w:val="19"/>
          <w:vertAlign w:val="baseline"/>
        </w:rPr>
        <w:t xml:space="preserve"> </w:t>
      </w:r>
      <w:r>
        <w:rPr>
          <w:w w:val="105"/>
          <w:sz w:val="19"/>
          <w:vertAlign w:val="baseline"/>
        </w:rPr>
        <w:t>mailing</w:t>
      </w:r>
      <w:r>
        <w:rPr>
          <w:spacing w:val="-3"/>
          <w:w w:val="105"/>
          <w:sz w:val="19"/>
          <w:vertAlign w:val="baseline"/>
        </w:rPr>
        <w:t xml:space="preserve"> </w:t>
      </w:r>
      <w:r>
        <w:rPr>
          <w:w w:val="105"/>
          <w:sz w:val="19"/>
          <w:vertAlign w:val="baseline"/>
        </w:rPr>
        <w:t>costs</w:t>
      </w:r>
      <w:r>
        <w:rPr>
          <w:spacing w:val="-2"/>
          <w:w w:val="105"/>
          <w:sz w:val="19"/>
          <w:vertAlign w:val="baseline"/>
        </w:rPr>
        <w:t xml:space="preserve"> </w:t>
      </w:r>
      <w:r>
        <w:rPr>
          <w:w w:val="105"/>
          <w:sz w:val="19"/>
          <w:vertAlign w:val="baseline"/>
        </w:rPr>
        <w:t>is</w:t>
      </w:r>
      <w:r>
        <w:rPr>
          <w:spacing w:val="-2"/>
          <w:w w:val="105"/>
          <w:sz w:val="19"/>
          <w:vertAlign w:val="baseline"/>
        </w:rPr>
        <w:t xml:space="preserve"> </w:t>
      </w:r>
      <w:r>
        <w:rPr>
          <w:w w:val="105"/>
          <w:sz w:val="19"/>
          <w:vertAlign w:val="baseline"/>
        </w:rPr>
        <w:t>based</w:t>
      </w:r>
      <w:r>
        <w:rPr>
          <w:spacing w:val="-3"/>
          <w:w w:val="105"/>
          <w:sz w:val="19"/>
          <w:vertAlign w:val="baseline"/>
        </w:rPr>
        <w:t xml:space="preserve"> </w:t>
      </w:r>
      <w:r>
        <w:rPr>
          <w:w w:val="105"/>
          <w:sz w:val="19"/>
          <w:vertAlign w:val="baseline"/>
        </w:rPr>
        <w:t>on</w:t>
      </w:r>
      <w:r>
        <w:rPr>
          <w:spacing w:val="-3"/>
          <w:w w:val="105"/>
          <w:sz w:val="19"/>
          <w:vertAlign w:val="baseline"/>
        </w:rPr>
        <w:t xml:space="preserve"> </w:t>
      </w:r>
      <w:r>
        <w:rPr>
          <w:w w:val="105"/>
          <w:sz w:val="19"/>
          <w:vertAlign w:val="baseline"/>
        </w:rPr>
        <w:t>the United</w:t>
      </w:r>
      <w:r>
        <w:rPr>
          <w:spacing w:val="-3"/>
          <w:w w:val="105"/>
          <w:sz w:val="19"/>
          <w:vertAlign w:val="baseline"/>
        </w:rPr>
        <w:t xml:space="preserve"> </w:t>
      </w:r>
      <w:r>
        <w:rPr>
          <w:w w:val="105"/>
          <w:sz w:val="19"/>
          <w:vertAlign w:val="baseline"/>
        </w:rPr>
        <w:t>States</w:t>
      </w:r>
      <w:r>
        <w:rPr>
          <w:spacing w:val="-2"/>
          <w:w w:val="105"/>
          <w:sz w:val="19"/>
          <w:vertAlign w:val="baseline"/>
        </w:rPr>
        <w:t xml:space="preserve"> </w:t>
      </w:r>
      <w:r>
        <w:rPr>
          <w:w w:val="105"/>
          <w:sz w:val="19"/>
          <w:vertAlign w:val="baseline"/>
        </w:rPr>
        <w:t>Postal</w:t>
      </w:r>
      <w:r>
        <w:rPr>
          <w:spacing w:val="-1"/>
          <w:w w:val="105"/>
          <w:sz w:val="19"/>
          <w:vertAlign w:val="baseline"/>
        </w:rPr>
        <w:t xml:space="preserve"> </w:t>
      </w:r>
      <w:r>
        <w:rPr>
          <w:w w:val="105"/>
          <w:sz w:val="19"/>
          <w:vertAlign w:val="baseline"/>
        </w:rPr>
        <w:t>Service</w:t>
      </w:r>
      <w:r>
        <w:rPr>
          <w:spacing w:val="-6"/>
          <w:w w:val="105"/>
          <w:sz w:val="19"/>
          <w:vertAlign w:val="baseline"/>
        </w:rPr>
        <w:t xml:space="preserve"> </w:t>
      </w:r>
      <w:r>
        <w:rPr>
          <w:w w:val="105"/>
          <w:sz w:val="19"/>
          <w:vertAlign w:val="baseline"/>
        </w:rPr>
        <w:t>price for</w:t>
      </w:r>
      <w:r>
        <w:rPr>
          <w:spacing w:val="-5"/>
          <w:w w:val="105"/>
          <w:sz w:val="19"/>
          <w:vertAlign w:val="baseline"/>
        </w:rPr>
        <w:t xml:space="preserve"> </w:t>
      </w:r>
      <w:r>
        <w:rPr>
          <w:w w:val="105"/>
          <w:sz w:val="19"/>
          <w:vertAlign w:val="baseline"/>
        </w:rPr>
        <w:t>a Large Envelope weighing</w:t>
      </w:r>
      <w:r>
        <w:rPr>
          <w:spacing w:val="-3"/>
          <w:w w:val="105"/>
          <w:sz w:val="19"/>
          <w:vertAlign w:val="baseline"/>
        </w:rPr>
        <w:t xml:space="preserve"> </w:t>
      </w:r>
      <w:r>
        <w:rPr>
          <w:w w:val="105"/>
          <w:sz w:val="19"/>
          <w:vertAlign w:val="baseline"/>
        </w:rPr>
        <w:t>up</w:t>
      </w:r>
      <w:r>
        <w:rPr>
          <w:spacing w:val="-3"/>
          <w:w w:val="105"/>
          <w:sz w:val="19"/>
          <w:vertAlign w:val="baseline"/>
        </w:rPr>
        <w:t xml:space="preserve"> </w:t>
      </w:r>
      <w:r>
        <w:rPr>
          <w:w w:val="105"/>
          <w:sz w:val="19"/>
          <w:vertAlign w:val="baseline"/>
        </w:rPr>
        <w:t>to</w:t>
      </w:r>
      <w:r>
        <w:rPr>
          <w:spacing w:val="-3"/>
          <w:w w:val="105"/>
          <w:sz w:val="19"/>
          <w:vertAlign w:val="baseline"/>
        </w:rPr>
        <w:t xml:space="preserve"> </w:t>
      </w:r>
      <w:r>
        <w:rPr>
          <w:w w:val="105"/>
          <w:sz w:val="19"/>
          <w:vertAlign w:val="baseline"/>
        </w:rPr>
        <w:t>3 ounces (15 pages weigh approximately 2.4 ounces).</w:t>
      </w:r>
    </w:p>
    <w:p>
      <w:pPr>
        <w:spacing w:after="0" w:line="247" w:lineRule="auto"/>
        <w:jc w:val="left"/>
        <w:rPr>
          <w:sz w:val="19"/>
        </w:rPr>
        <w:sectPr>
          <w:pgSz w:w="12240" w:h="15840"/>
          <w:pgMar w:top="1380" w:right="1440" w:bottom="1060" w:left="1080" w:header="0" w:footer="873"/>
          <w:cols w:space="720"/>
        </w:sectPr>
      </w:pPr>
    </w:p>
    <w:p>
      <w:pPr>
        <w:pStyle w:val="BodyText"/>
        <w:spacing w:before="62"/>
        <w:ind w:left="791" w:right="398"/>
      </w:pPr>
      <w:r>
        <w:t>Lastly, there</w:t>
      </w:r>
      <w:r>
        <w:rPr>
          <w:spacing w:val="-1"/>
        </w:rPr>
        <w:t xml:space="preserve"> </w:t>
      </w:r>
      <w:r>
        <w:t>is</w:t>
      </w:r>
      <w:r>
        <w:rPr>
          <w:spacing w:val="-2"/>
        </w:rPr>
        <w:t xml:space="preserve"> </w:t>
      </w:r>
      <w:r>
        <w:t>a</w:t>
      </w:r>
      <w:r>
        <w:rPr>
          <w:spacing w:val="-1"/>
        </w:rPr>
        <w:t xml:space="preserve"> </w:t>
      </w:r>
      <w:r>
        <w:t>new burden</w:t>
      </w:r>
      <w:r>
        <w:rPr>
          <w:spacing w:val="-1"/>
        </w:rPr>
        <w:t xml:space="preserve"> </w:t>
      </w:r>
      <w:r>
        <w:t>to issuers</w:t>
      </w:r>
      <w:r>
        <w:rPr>
          <w:spacing w:val="-2"/>
        </w:rPr>
        <w:t xml:space="preserve"> </w:t>
      </w:r>
      <w:r>
        <w:t>and</w:t>
      </w:r>
      <w:r>
        <w:rPr>
          <w:spacing w:val="-1"/>
        </w:rPr>
        <w:t xml:space="preserve"> </w:t>
      </w:r>
      <w:r>
        <w:t>non-Federal</w:t>
      </w:r>
      <w:r>
        <w:rPr>
          <w:spacing w:val="-4"/>
        </w:rPr>
        <w:t xml:space="preserve"> </w:t>
      </w:r>
      <w:r>
        <w:t>governmental</w:t>
      </w:r>
      <w:r>
        <w:rPr>
          <w:spacing w:val="-3"/>
        </w:rPr>
        <w:t xml:space="preserve"> </w:t>
      </w:r>
      <w:r>
        <w:t>plans</w:t>
      </w:r>
      <w:r>
        <w:rPr>
          <w:spacing w:val="-6"/>
        </w:rPr>
        <w:t xml:space="preserve"> </w:t>
      </w:r>
      <w:r>
        <w:t>associated with the recordkeeping requirement in the 2024 final rules (of approximately 7,696 hours). Therefore, total burden hours have decreased by approximately 9,032 hours (from 1,013,185 to 1,004,153).</w:t>
      </w:r>
    </w:p>
    <w:p>
      <w:pPr>
        <w:pStyle w:val="ListParagraph"/>
        <w:numPr>
          <w:ilvl w:val="1"/>
          <w:numId w:val="2"/>
        </w:numPr>
        <w:tabs>
          <w:tab w:val="left" w:pos="660"/>
        </w:tabs>
        <w:spacing w:before="274" w:after="0" w:line="240" w:lineRule="auto"/>
        <w:ind w:left="660" w:right="0" w:hanging="300"/>
        <w:jc w:val="left"/>
        <w:rPr>
          <w:sz w:val="24"/>
        </w:rPr>
      </w:pPr>
      <w:bookmarkStart w:id="41" w:name="16. Publication/Tabulation Dates"/>
      <w:bookmarkEnd w:id="41"/>
      <w:r>
        <w:rPr>
          <w:spacing w:val="-5"/>
          <w:sz w:val="24"/>
          <w:u w:val="single"/>
        </w:rPr>
        <w:t xml:space="preserve"> </w:t>
      </w:r>
      <w:r>
        <w:rPr>
          <w:sz w:val="24"/>
          <w:u w:val="single"/>
        </w:rPr>
        <w:t>​</w:t>
      </w:r>
      <w:r>
        <w:rPr>
          <w:spacing w:val="6"/>
          <w:sz w:val="24"/>
          <w:u w:val="single"/>
        </w:rPr>
        <w:t xml:space="preserve"> </w:t>
      </w:r>
      <w:r>
        <w:rPr>
          <w:sz w:val="24"/>
          <w:u w:val="single"/>
        </w:rPr>
        <w:t>Publication/Tabulation</w:t>
      </w:r>
      <w:r>
        <w:rPr>
          <w:spacing w:val="-1"/>
          <w:sz w:val="24"/>
          <w:u w:val="single"/>
        </w:rPr>
        <w:t xml:space="preserve"> </w:t>
      </w:r>
      <w:r>
        <w:rPr>
          <w:spacing w:val="-2"/>
          <w:sz w:val="24"/>
          <w:u w:val="single"/>
        </w:rPr>
        <w:t>Dates</w:t>
      </w:r>
    </w:p>
    <w:p>
      <w:pPr>
        <w:pStyle w:val="BodyText"/>
        <w:spacing w:before="5"/>
      </w:pPr>
    </w:p>
    <w:p>
      <w:pPr>
        <w:pStyle w:val="BodyText"/>
        <w:ind w:left="791"/>
      </w:pPr>
      <w:r>
        <w:t>CMS is required to publish reports using review results as described in item 10 above. Additionally,</w:t>
      </w:r>
      <w:r>
        <w:rPr>
          <w:spacing w:val="-1"/>
        </w:rPr>
        <w:t xml:space="preserve"> </w:t>
      </w:r>
      <w:r>
        <w:t>CMS</w:t>
      </w:r>
      <w:r>
        <w:rPr>
          <w:spacing w:val="-1"/>
        </w:rPr>
        <w:t xml:space="preserve"> </w:t>
      </w:r>
      <w:r>
        <w:t>will</w:t>
      </w:r>
      <w:r>
        <w:rPr>
          <w:spacing w:val="-6"/>
        </w:rPr>
        <w:t xml:space="preserve"> </w:t>
      </w:r>
      <w:r>
        <w:t>publish</w:t>
      </w:r>
      <w:r>
        <w:rPr>
          <w:spacing w:val="-4"/>
        </w:rPr>
        <w:t xml:space="preserve"> </w:t>
      </w:r>
      <w:r>
        <w:t>all</w:t>
      </w:r>
      <w:r>
        <w:rPr>
          <w:spacing w:val="-6"/>
        </w:rPr>
        <w:t xml:space="preserve"> </w:t>
      </w:r>
      <w:r>
        <w:t>final</w:t>
      </w:r>
      <w:r>
        <w:rPr>
          <w:spacing w:val="-7"/>
        </w:rPr>
        <w:t xml:space="preserve"> </w:t>
      </w:r>
      <w:r>
        <w:t>determination</w:t>
      </w:r>
      <w:r>
        <w:rPr>
          <w:spacing w:val="-4"/>
        </w:rPr>
        <w:t xml:space="preserve"> </w:t>
      </w:r>
      <w:r>
        <w:t>letters</w:t>
      </w:r>
      <w:r>
        <w:rPr>
          <w:spacing w:val="-6"/>
        </w:rPr>
        <w:t xml:space="preserve"> </w:t>
      </w:r>
      <w:r>
        <w:t>on</w:t>
      </w:r>
      <w:r>
        <w:rPr>
          <w:spacing w:val="-4"/>
        </w:rPr>
        <w:t xml:space="preserve"> </w:t>
      </w:r>
      <w:r>
        <w:t>the</w:t>
      </w:r>
      <w:r>
        <w:rPr>
          <w:spacing w:val="-1"/>
        </w:rPr>
        <w:t xml:space="preserve"> </w:t>
      </w:r>
      <w:r>
        <w:t>CMS</w:t>
      </w:r>
      <w:r>
        <w:rPr>
          <w:spacing w:val="-8"/>
        </w:rPr>
        <w:t xml:space="preserve"> </w:t>
      </w:r>
      <w:r>
        <w:t>website,</w:t>
      </w:r>
      <w:r>
        <w:rPr>
          <w:spacing w:val="-1"/>
        </w:rPr>
        <w:t xml:space="preserve"> </w:t>
      </w:r>
      <w:r>
        <w:t>including the letters of plans or issuers that were found to have no compliance issues.</w:t>
      </w:r>
    </w:p>
    <w:p>
      <w:pPr>
        <w:pStyle w:val="ListParagraph"/>
        <w:numPr>
          <w:ilvl w:val="1"/>
          <w:numId w:val="2"/>
        </w:numPr>
        <w:tabs>
          <w:tab w:val="left" w:pos="660"/>
        </w:tabs>
        <w:spacing w:before="274" w:after="0" w:line="240" w:lineRule="auto"/>
        <w:ind w:left="660" w:right="0" w:hanging="300"/>
        <w:jc w:val="left"/>
        <w:rPr>
          <w:sz w:val="24"/>
        </w:rPr>
      </w:pPr>
      <w:bookmarkStart w:id="42" w:name="17. Expiration Date"/>
      <w:bookmarkEnd w:id="42"/>
      <w:r>
        <w:rPr>
          <w:spacing w:val="-5"/>
          <w:sz w:val="24"/>
          <w:u w:val="single"/>
        </w:rPr>
        <w:t xml:space="preserve"> </w:t>
      </w:r>
      <w:r>
        <w:rPr>
          <w:sz w:val="24"/>
          <w:u w:val="single"/>
        </w:rPr>
        <w:t>​</w:t>
      </w:r>
      <w:r>
        <w:rPr>
          <w:spacing w:val="7"/>
          <w:sz w:val="24"/>
          <w:u w:val="single"/>
        </w:rPr>
        <w:t xml:space="preserve"> </w:t>
      </w:r>
      <w:r>
        <w:rPr>
          <w:sz w:val="24"/>
          <w:u w:val="single"/>
        </w:rPr>
        <w:t>Expiration</w:t>
      </w:r>
      <w:r>
        <w:rPr>
          <w:spacing w:val="1"/>
          <w:sz w:val="24"/>
          <w:u w:val="single"/>
        </w:rPr>
        <w:t xml:space="preserve"> </w:t>
      </w:r>
      <w:r>
        <w:rPr>
          <w:spacing w:val="-4"/>
          <w:sz w:val="24"/>
          <w:u w:val="single"/>
        </w:rPr>
        <w:t>Date</w:t>
      </w:r>
    </w:p>
    <w:p>
      <w:pPr>
        <w:pStyle w:val="BodyText"/>
        <w:spacing w:before="271"/>
        <w:ind w:left="403"/>
      </w:pPr>
      <w:r>
        <w:t>There</w:t>
      </w:r>
      <w:r>
        <w:rPr>
          <w:spacing w:val="2"/>
        </w:rPr>
        <w:t xml:space="preserve"> </w:t>
      </w:r>
      <w:r>
        <w:t>are</w:t>
      </w:r>
      <w:r>
        <w:rPr>
          <w:spacing w:val="2"/>
        </w:rPr>
        <w:t xml:space="preserve"> </w:t>
      </w:r>
      <w:r>
        <w:t>no</w:t>
      </w:r>
      <w:r>
        <w:rPr>
          <w:spacing w:val="3"/>
        </w:rPr>
        <w:t xml:space="preserve"> </w:t>
      </w:r>
      <w:r>
        <w:t>instruments</w:t>
      </w:r>
      <w:r>
        <w:rPr>
          <w:spacing w:val="1"/>
        </w:rPr>
        <w:t xml:space="preserve"> </w:t>
      </w:r>
      <w:r>
        <w:t>associated</w:t>
      </w:r>
      <w:r>
        <w:rPr>
          <w:spacing w:val="2"/>
        </w:rPr>
        <w:t xml:space="preserve"> </w:t>
      </w:r>
      <w:r>
        <w:t>with</w:t>
      </w:r>
      <w:r>
        <w:rPr>
          <w:spacing w:val="3"/>
        </w:rPr>
        <w:t xml:space="preserve"> </w:t>
      </w:r>
      <w:r>
        <w:t>these</w:t>
      </w:r>
      <w:r>
        <w:rPr>
          <w:spacing w:val="2"/>
        </w:rPr>
        <w:t xml:space="preserve"> </w:t>
      </w:r>
      <w:r>
        <w:t>information</w:t>
      </w:r>
      <w:r>
        <w:rPr>
          <w:spacing w:val="3"/>
        </w:rPr>
        <w:t xml:space="preserve"> </w:t>
      </w:r>
      <w:r>
        <w:rPr>
          <w:spacing w:val="-2"/>
        </w:rPr>
        <w:t>collections.</w:t>
      </w:r>
    </w:p>
    <w:p>
      <w:pPr>
        <w:pStyle w:val="BodyText"/>
        <w:spacing w:before="24"/>
      </w:pPr>
    </w:p>
    <w:p>
      <w:pPr>
        <w:pStyle w:val="ListParagraph"/>
        <w:numPr>
          <w:ilvl w:val="1"/>
          <w:numId w:val="2"/>
        </w:numPr>
        <w:tabs>
          <w:tab w:val="left" w:pos="703"/>
        </w:tabs>
        <w:spacing w:before="0" w:after="0" w:line="240" w:lineRule="auto"/>
        <w:ind w:left="703" w:right="0" w:hanging="300"/>
        <w:jc w:val="left"/>
        <w:rPr>
          <w:sz w:val="24"/>
        </w:rPr>
      </w:pPr>
      <w:r>
        <w:rPr>
          <w:spacing w:val="16"/>
          <w:sz w:val="24"/>
          <w:u w:val="single"/>
        </w:rPr>
        <w:t xml:space="preserve"> </w:t>
      </w:r>
      <w:r>
        <w:rPr>
          <w:sz w:val="24"/>
          <w:u w:val="single"/>
        </w:rPr>
        <w:t>Certification</w:t>
      </w:r>
      <w:r>
        <w:rPr>
          <w:spacing w:val="16"/>
          <w:sz w:val="24"/>
          <w:u w:val="single"/>
        </w:rPr>
        <w:t xml:space="preserve"> </w:t>
      </w:r>
      <w:r>
        <w:rPr>
          <w:spacing w:val="-2"/>
          <w:sz w:val="24"/>
          <w:u w:val="single"/>
        </w:rPr>
        <w:t>Statement</w:t>
      </w:r>
    </w:p>
    <w:p>
      <w:pPr>
        <w:pStyle w:val="BodyText"/>
        <w:spacing w:before="24"/>
      </w:pPr>
    </w:p>
    <w:p>
      <w:pPr>
        <w:pStyle w:val="BodyText"/>
        <w:ind w:left="403"/>
      </w:pPr>
      <w:r>
        <w:t>There</w:t>
      </w:r>
      <w:r>
        <w:rPr>
          <w:spacing w:val="14"/>
        </w:rPr>
        <w:t xml:space="preserve"> </w:t>
      </w:r>
      <w:r>
        <w:t>are</w:t>
      </w:r>
      <w:r>
        <w:rPr>
          <w:spacing w:val="15"/>
        </w:rPr>
        <w:t xml:space="preserve"> </w:t>
      </w:r>
      <w:r>
        <w:t>no</w:t>
      </w:r>
      <w:r>
        <w:rPr>
          <w:spacing w:val="15"/>
        </w:rPr>
        <w:t xml:space="preserve"> </w:t>
      </w:r>
      <w:r>
        <w:t>objections</w:t>
      </w:r>
      <w:r>
        <w:rPr>
          <w:spacing w:val="14"/>
        </w:rPr>
        <w:t xml:space="preserve"> </w:t>
      </w:r>
      <w:r>
        <w:t>to</w:t>
      </w:r>
      <w:r>
        <w:rPr>
          <w:spacing w:val="15"/>
        </w:rPr>
        <w:t xml:space="preserve"> </w:t>
      </w:r>
      <w:r>
        <w:t>the</w:t>
      </w:r>
      <w:r>
        <w:rPr>
          <w:spacing w:val="15"/>
        </w:rPr>
        <w:t xml:space="preserve"> </w:t>
      </w:r>
      <w:r>
        <w:t>certification</w:t>
      </w:r>
      <w:r>
        <w:rPr>
          <w:spacing w:val="15"/>
        </w:rPr>
        <w:t xml:space="preserve"> </w:t>
      </w:r>
      <w:r>
        <w:rPr>
          <w:spacing w:val="-2"/>
        </w:rPr>
        <w:t>statement.</w:t>
      </w:r>
    </w:p>
    <w:sectPr>
      <w:pgSz w:w="12240" w:h="15840"/>
      <w:pgMar w:top="1380" w:right="1440" w:bottom="1060" w:left="1080" w:header="0" w:footer="873"/>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font>
  <w:font w:name="Symbol">
    <w:altName w:val="Symbol"/>
    <w:charset w:val="02"/>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rPr>
        <w:sz w:val="20"/>
      </w:rPr>
      <mc:AlternateContent>
        <mc:Choice Requires="wps">
          <w:drawing>
            <wp:anchor distT="0" distB="0" distL="0" distR="0" simplePos="0" relativeHeight="251658240" behindDoc="1" locked="0" layoutInCell="1" allowOverlap="1">
              <wp:simplePos x="0" y="0"/>
              <wp:positionH relativeFrom="page">
                <wp:posOffset>3812794</wp:posOffset>
              </wp:positionH>
              <wp:positionV relativeFrom="page">
                <wp:posOffset>9364302</wp:posOffset>
              </wp:positionV>
              <wp:extent cx="151130" cy="164465"/>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51130" cy="164465"/>
                      </a:xfrm>
                      <a:prstGeom prst="rect">
                        <a:avLst/>
                      </a:prstGeom>
                    </wps:spPr>
                    <wps:txbx>
                      <w:txbxContent>
                        <w:p>
                          <w:pPr>
                            <w:spacing w:before="18"/>
                            <w:ind w:left="20" w:right="0" w:firstLine="0"/>
                            <w:jc w:val="left"/>
                            <w:rPr>
                              <w:sz w:val="19"/>
                            </w:rPr>
                          </w:pPr>
                          <w:r>
                            <w:rPr>
                              <w:spacing w:val="-5"/>
                              <w:w w:val="105"/>
                              <w:sz w:val="19"/>
                            </w:rPr>
                            <w:fldChar w:fldCharType="begin"/>
                          </w:r>
                          <w:r>
                            <w:rPr>
                              <w:spacing w:val="-5"/>
                              <w:w w:val="105"/>
                              <w:sz w:val="19"/>
                            </w:rPr>
                            <w:instrText xml:space="preserve"> PAGE </w:instrText>
                          </w:r>
                          <w:r>
                            <w:rPr>
                              <w:spacing w:val="-5"/>
                              <w:w w:val="105"/>
                              <w:sz w:val="19"/>
                            </w:rPr>
                            <w:fldChar w:fldCharType="separate"/>
                          </w:r>
                          <w:r>
                            <w:rPr>
                              <w:spacing w:val="-5"/>
                              <w:w w:val="105"/>
                              <w:sz w:val="19"/>
                            </w:rPr>
                            <w:t>10</w:t>
                          </w:r>
                          <w:r>
                            <w:rPr>
                              <w:spacing w:val="-5"/>
                              <w:w w:val="105"/>
                              <w:sz w:val="19"/>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_x0000_s2049" type="#_x0000_t202" style="width:11.9pt;height:12.95pt;margin-top:737.35pt;margin-left:300.22pt;mso-position-horizontal-relative:page;mso-position-vertical-relative:page;position:absolute;z-index:-251657216" filled="f" stroked="f">
              <v:textbox inset="0,0,0,0">
                <w:txbxContent>
                  <w:p>
                    <w:pPr>
                      <w:spacing w:before="18"/>
                      <w:ind w:left="20" w:right="0" w:firstLine="0"/>
                      <w:jc w:val="left"/>
                      <w:rPr>
                        <w:sz w:val="19"/>
                      </w:rPr>
                    </w:pPr>
                    <w:r>
                      <w:rPr>
                        <w:spacing w:val="-5"/>
                        <w:w w:val="105"/>
                        <w:sz w:val="19"/>
                      </w:rPr>
                      <w:fldChar w:fldCharType="begin"/>
                    </w:r>
                    <w:r>
                      <w:rPr>
                        <w:spacing w:val="-5"/>
                        <w:w w:val="105"/>
                        <w:sz w:val="19"/>
                      </w:rPr>
                      <w:instrText xml:space="preserve"> PAGE </w:instrText>
                    </w:r>
                    <w:r>
                      <w:rPr>
                        <w:spacing w:val="-5"/>
                        <w:w w:val="105"/>
                        <w:sz w:val="19"/>
                      </w:rPr>
                      <w:fldChar w:fldCharType="separate"/>
                    </w:r>
                    <w:r>
                      <w:rPr>
                        <w:spacing w:val="-5"/>
                        <w:w w:val="105"/>
                        <w:sz w:val="19"/>
                      </w:rPr>
                      <w:t>10</w:t>
                    </w:r>
                    <w:r>
                      <w:rPr>
                        <w:spacing w:val="-5"/>
                        <w:w w:val="105"/>
                        <w:sz w:val="19"/>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7F37DB7"/>
    <w:multiLevelType w:val="hybridMultilevel"/>
    <w:tmpl w:val="00000000"/>
    <w:lvl w:ilvl="0">
      <w:start w:val="1"/>
      <w:numFmt w:val="upperLetter"/>
      <w:lvlText w:val="%1."/>
      <w:lvlJc w:val="left"/>
      <w:pPr>
        <w:ind w:left="791" w:hanging="431"/>
        <w:jc w:val="left"/>
      </w:pPr>
      <w:rPr>
        <w:rFonts w:ascii="Times New Roman" w:eastAsia="Times New Roman" w:hAnsi="Times New Roman" w:cs="Times New Roman" w:hint="default"/>
        <w:b/>
        <w:bCs/>
        <w:i w:val="0"/>
        <w:iCs w:val="0"/>
        <w:spacing w:val="0"/>
        <w:w w:val="92"/>
        <w:sz w:val="24"/>
        <w:szCs w:val="24"/>
        <w:u w:val="single" w:color="000000"/>
        <w:lang w:val="en-US" w:eastAsia="en-US" w:bidi="ar-SA"/>
      </w:rPr>
    </w:lvl>
    <w:lvl w:ilvl="1">
      <w:start w:val="1"/>
      <w:numFmt w:val="decimal"/>
      <w:lvlText w:val="%2."/>
      <w:lvlJc w:val="left"/>
      <w:pPr>
        <w:ind w:left="791" w:hanging="431"/>
        <w:jc w:val="left"/>
      </w:pPr>
      <w:rPr>
        <w:rFonts w:ascii="Times New Roman" w:eastAsia="Times New Roman" w:hAnsi="Times New Roman" w:cs="Times New Roman" w:hint="default"/>
        <w:b w:val="0"/>
        <w:bCs w:val="0"/>
        <w:i w:val="0"/>
        <w:iCs w:val="0"/>
        <w:spacing w:val="0"/>
        <w:w w:val="93"/>
        <w:sz w:val="24"/>
        <w:szCs w:val="24"/>
        <w:u w:val="single" w:color="000000"/>
        <w:lang w:val="en-US" w:eastAsia="en-US" w:bidi="ar-SA"/>
      </w:rPr>
    </w:lvl>
    <w:lvl w:ilvl="2">
      <w:start w:val="1"/>
      <w:numFmt w:val="decimal"/>
      <w:lvlText w:val="%3."/>
      <w:lvlJc w:val="left"/>
      <w:pPr>
        <w:ind w:left="1152" w:hanging="29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0"/>
      <w:numFmt w:val="bullet"/>
      <w:lvlText w:val="•"/>
      <w:lvlJc w:val="left"/>
      <w:pPr>
        <w:ind w:left="3062" w:hanging="290"/>
      </w:pPr>
      <w:rPr>
        <w:rFonts w:hint="default"/>
        <w:lang w:val="en-US" w:eastAsia="en-US" w:bidi="ar-SA"/>
      </w:rPr>
    </w:lvl>
    <w:lvl w:ilvl="4">
      <w:start w:val="0"/>
      <w:numFmt w:val="bullet"/>
      <w:lvlText w:val="•"/>
      <w:lvlJc w:val="left"/>
      <w:pPr>
        <w:ind w:left="4013" w:hanging="290"/>
      </w:pPr>
      <w:rPr>
        <w:rFonts w:hint="default"/>
        <w:lang w:val="en-US" w:eastAsia="en-US" w:bidi="ar-SA"/>
      </w:rPr>
    </w:lvl>
    <w:lvl w:ilvl="5">
      <w:start w:val="0"/>
      <w:numFmt w:val="bullet"/>
      <w:lvlText w:val="•"/>
      <w:lvlJc w:val="left"/>
      <w:pPr>
        <w:ind w:left="4964" w:hanging="290"/>
      </w:pPr>
      <w:rPr>
        <w:rFonts w:hint="default"/>
        <w:lang w:val="en-US" w:eastAsia="en-US" w:bidi="ar-SA"/>
      </w:rPr>
    </w:lvl>
    <w:lvl w:ilvl="6">
      <w:start w:val="0"/>
      <w:numFmt w:val="bullet"/>
      <w:lvlText w:val="•"/>
      <w:lvlJc w:val="left"/>
      <w:pPr>
        <w:ind w:left="5915" w:hanging="290"/>
      </w:pPr>
      <w:rPr>
        <w:rFonts w:hint="default"/>
        <w:lang w:val="en-US" w:eastAsia="en-US" w:bidi="ar-SA"/>
      </w:rPr>
    </w:lvl>
    <w:lvl w:ilvl="7">
      <w:start w:val="0"/>
      <w:numFmt w:val="bullet"/>
      <w:lvlText w:val="•"/>
      <w:lvlJc w:val="left"/>
      <w:pPr>
        <w:ind w:left="6866" w:hanging="290"/>
      </w:pPr>
      <w:rPr>
        <w:rFonts w:hint="default"/>
        <w:lang w:val="en-US" w:eastAsia="en-US" w:bidi="ar-SA"/>
      </w:rPr>
    </w:lvl>
    <w:lvl w:ilvl="8">
      <w:start w:val="0"/>
      <w:numFmt w:val="bullet"/>
      <w:lvlText w:val="•"/>
      <w:lvlJc w:val="left"/>
      <w:pPr>
        <w:ind w:left="7817" w:hanging="290"/>
      </w:pPr>
      <w:rPr>
        <w:rFonts w:hint="default"/>
        <w:lang w:val="en-US" w:eastAsia="en-US" w:bidi="ar-SA"/>
      </w:rPr>
    </w:lvl>
  </w:abstractNum>
  <w:abstractNum w:abstractNumId="1">
    <w:nsid w:val="1F3338E3"/>
    <w:multiLevelType w:val="hybridMultilevel"/>
    <w:tmpl w:val="00000000"/>
    <w:lvl w:ilvl="0">
      <w:start w:val="0"/>
      <w:numFmt w:val="bullet"/>
      <w:lvlText w:val=""/>
      <w:lvlJc w:val="left"/>
      <w:pPr>
        <w:ind w:left="1512" w:hanging="36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2340" w:hanging="360"/>
      </w:pPr>
      <w:rPr>
        <w:rFonts w:hint="default"/>
        <w:lang w:val="en-US" w:eastAsia="en-US" w:bidi="ar-SA"/>
      </w:rPr>
    </w:lvl>
    <w:lvl w:ilvl="2">
      <w:start w:val="0"/>
      <w:numFmt w:val="bullet"/>
      <w:lvlText w:val="•"/>
      <w:lvlJc w:val="left"/>
      <w:pPr>
        <w:ind w:left="3160" w:hanging="360"/>
      </w:pPr>
      <w:rPr>
        <w:rFonts w:hint="default"/>
        <w:lang w:val="en-US" w:eastAsia="en-US" w:bidi="ar-SA"/>
      </w:rPr>
    </w:lvl>
    <w:lvl w:ilvl="3">
      <w:start w:val="0"/>
      <w:numFmt w:val="bullet"/>
      <w:lvlText w:val="•"/>
      <w:lvlJc w:val="left"/>
      <w:pPr>
        <w:ind w:left="3980" w:hanging="360"/>
      </w:pPr>
      <w:rPr>
        <w:rFonts w:hint="default"/>
        <w:lang w:val="en-US" w:eastAsia="en-US" w:bidi="ar-SA"/>
      </w:rPr>
    </w:lvl>
    <w:lvl w:ilvl="4">
      <w:start w:val="0"/>
      <w:numFmt w:val="bullet"/>
      <w:lvlText w:val="•"/>
      <w:lvlJc w:val="left"/>
      <w:pPr>
        <w:ind w:left="4800" w:hanging="360"/>
      </w:pPr>
      <w:rPr>
        <w:rFonts w:hint="default"/>
        <w:lang w:val="en-US" w:eastAsia="en-US" w:bidi="ar-SA"/>
      </w:rPr>
    </w:lvl>
    <w:lvl w:ilvl="5">
      <w:start w:val="0"/>
      <w:numFmt w:val="bullet"/>
      <w:lvlText w:val="•"/>
      <w:lvlJc w:val="left"/>
      <w:pPr>
        <w:ind w:left="5620" w:hanging="360"/>
      </w:pPr>
      <w:rPr>
        <w:rFonts w:hint="default"/>
        <w:lang w:val="en-US" w:eastAsia="en-US" w:bidi="ar-SA"/>
      </w:rPr>
    </w:lvl>
    <w:lvl w:ilvl="6">
      <w:start w:val="0"/>
      <w:numFmt w:val="bullet"/>
      <w:lvlText w:val="•"/>
      <w:lvlJc w:val="left"/>
      <w:pPr>
        <w:ind w:left="6440" w:hanging="360"/>
      </w:pPr>
      <w:rPr>
        <w:rFonts w:hint="default"/>
        <w:lang w:val="en-US" w:eastAsia="en-US" w:bidi="ar-SA"/>
      </w:rPr>
    </w:lvl>
    <w:lvl w:ilvl="7">
      <w:start w:val="0"/>
      <w:numFmt w:val="bullet"/>
      <w:lvlText w:val="•"/>
      <w:lvlJc w:val="left"/>
      <w:pPr>
        <w:ind w:left="7260" w:hanging="360"/>
      </w:pPr>
      <w:rPr>
        <w:rFonts w:hint="default"/>
        <w:lang w:val="en-US" w:eastAsia="en-US" w:bidi="ar-SA"/>
      </w:rPr>
    </w:lvl>
    <w:lvl w:ilvl="8">
      <w:start w:val="0"/>
      <w:numFmt w:val="bullet"/>
      <w:lvlText w:val="•"/>
      <w:lvlJc w:val="left"/>
      <w:pPr>
        <w:ind w:left="8080"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n-US" w:eastAsia="en-US" w:bidi="ar-SA"/>
    </w:rPr>
  </w:style>
  <w:style w:type="paragraph" w:styleId="Heading1">
    <w:name w:val="heading 1"/>
    <w:basedOn w:val="Normal"/>
    <w:uiPriority w:val="1"/>
    <w:qFormat/>
    <w:pPr>
      <w:spacing w:before="62"/>
      <w:ind w:left="791"/>
      <w:outlineLvl w:val="0"/>
    </w:pPr>
    <w:rPr>
      <w:rFonts w:ascii="Times New Roman" w:eastAsia="Times New Roman" w:hAnsi="Times New Roman" w:cs="Times New Roman"/>
      <w:b/>
      <w:bCs/>
      <w:sz w:val="24"/>
      <w:szCs w:val="24"/>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Times New Roman" w:eastAsia="Times New Roman" w:hAnsi="Times New Roman" w:cs="Times New Roman"/>
      <w:sz w:val="24"/>
      <w:szCs w:val="24"/>
      <w:lang w:val="en-US" w:eastAsia="en-US" w:bidi="ar-SA"/>
    </w:rPr>
  </w:style>
  <w:style w:type="paragraph" w:styleId="ListParagraph">
    <w:name w:val="List Paragraph"/>
    <w:basedOn w:val="Normal"/>
    <w:uiPriority w:val="1"/>
    <w:qFormat/>
    <w:pPr>
      <w:ind w:left="791" w:hanging="431"/>
    </w:pPr>
    <w:rPr>
      <w:rFonts w:ascii="Times New Roman" w:eastAsia="Times New Roman" w:hAnsi="Times New Roman" w:cs="Times New Roman"/>
      <w:lang w:val="en-US" w:eastAsia="en-US" w:bidi="ar-SA"/>
    </w:rPr>
  </w:style>
  <w:style w:type="paragraph" w:customStyle="1" w:styleId="TableParagraph">
    <w:name w:val="Table Paragraph"/>
    <w:basedOn w:val="Normal"/>
    <w:uiPriority w:val="1"/>
    <w:qFormat/>
    <w:rPr>
      <w:rFonts w:ascii="Times New Roman" w:eastAsia="Times New Roman" w:hAnsi="Times New Roman" w:cs="Times New Roman"/>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s://www.cms.gov/CCIIO/Resources/Fact-Sheets-and-FAQs/Downloads/MHPAEA-FAQs-Part-" TargetMode="External" /><Relationship Id="rId6" Type="http://schemas.openxmlformats.org/officeDocument/2006/relationships/hyperlink" Target="https://www.dol.gov/sites/dolgov/files/EBSA/laws-and-"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Nonquantitative Treatment Limitation Analyses and Compliance Under MHPAEA</dc:title>
  <dc:subject>Supporting Statement Nonquantitative Treatment Limitation Analyses and Compliance Under MHPAEA</dc:subject>
  <dc:creator>CMS/CCIIO</dc:creator>
  <cp:keywords>NQTLMHPAEACMS-10773</cp:keywords>
  <cp:revision>0</cp:revision>
  <dcterms:created xsi:type="dcterms:W3CDTF">2026-09-29T21:23:20Z</dcterms:created>
  <dcterms:modified xsi:type="dcterms:W3CDTF">2026-09-29T21:23:20Z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2024-08-12T00:00:00Z</vt:filetime>
  </property>
  <property fmtid="{D5CDD505-2E9C-101B-9397-08002B2CF9AE}" pid="3" name="Creator">
    <vt:lpwstr>Microsoft® Word for Microsoft 365</vt:lpwstr>
  </property>
  <property fmtid="{D5CDD505-2E9C-101B-9397-08002B2CF9AE}" pid="4" name="LastSaved">
    <vt:filetime>2026-09-29T00:00:00Z</vt:filetime>
  </property>
  <property fmtid="{D5CDD505-2E9C-101B-9397-08002B2CF9AE}" pid="5" name="Producer">
    <vt:lpwstr>Microsoft® Word for Microsoft 365</vt:lpwstr>
  </property>
</Properties>
</file>