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BF0608" w14:paraId="21629FC6" w14:textId="5BB66F0D">
      <w:r>
        <w:rPr>
          <w:noProof/>
        </w:rPr>
        <w:drawing>
          <wp:inline distT="0" distB="0" distL="0" distR="0">
            <wp:extent cx="5943600" cy="3954780"/>
            <wp:effectExtent l="0" t="0" r="0" b="7620"/>
            <wp:docPr id="1418620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62073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08"/>
    <w:rsid w:val="00623FCD"/>
    <w:rsid w:val="00BF060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39F420"/>
  <w15:chartTrackingRefBased/>
  <w15:docId w15:val="{31370D3E-FDDA-4D7B-8F6A-7C59E4BB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6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6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6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0</Paragraphs>
  <ScaleCrop>false</ScaleCrop>
  <Company>Social Security Administration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 Response</dc:creator>
  <cp:lastModifiedBy>SSA Response</cp:lastModifiedBy>
  <cp:revision>1</cp:revision>
  <dcterms:created xsi:type="dcterms:W3CDTF">2026-10-29T16:55:00Z</dcterms:created>
  <dcterms:modified xsi:type="dcterms:W3CDTF">2026-10-29T16:58:00Z</dcterms:modified>
</cp:coreProperties>
</file>