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024C63" w14:paraId="45D68261" w14:textId="6403D870">
      <w:r>
        <w:rPr>
          <w:noProof/>
        </w:rPr>
        <w:drawing>
          <wp:inline distT="0" distB="0" distL="0" distR="0">
            <wp:extent cx="5943600" cy="3730625"/>
            <wp:effectExtent l="0" t="0" r="0" b="3175"/>
            <wp:docPr id="1901194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9449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63"/>
    <w:rsid w:val="00024C63"/>
    <w:rsid w:val="00623F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0364C1"/>
  <w15:chartTrackingRefBased/>
  <w15:docId w15:val="{EB0BA7E5-2651-4346-84E7-F3DAA9C2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C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Social Security Administration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 Response</dc:creator>
  <cp:lastModifiedBy>SSA Response</cp:lastModifiedBy>
  <cp:revision>1</cp:revision>
  <dcterms:created xsi:type="dcterms:W3CDTF">2026-10-29T16:59:00Z</dcterms:created>
  <dcterms:modified xsi:type="dcterms:W3CDTF">2026-10-29T17:00:00Z</dcterms:modified>
</cp:coreProperties>
</file>