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21095" w:rsidRPr="009F651E" w:rsidP="00421095" w14:paraId="43C782C0" w14:textId="3CDA9E1D">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pPr>
      <w:r>
        <w:rPr>
          <w:b/>
          <w:bCs/>
        </w:rPr>
        <w:t xml:space="preserve"> </w:t>
      </w:r>
      <w:r>
        <w:rPr>
          <w:b/>
          <w:bCs/>
        </w:rPr>
        <w:t>Part</w:t>
      </w:r>
      <w:r w:rsidR="00C83679">
        <w:rPr>
          <w:b/>
          <w:bCs/>
        </w:rPr>
        <w:t xml:space="preserve"> </w:t>
      </w:r>
      <w:r>
        <w:rPr>
          <w:b/>
          <w:bCs/>
        </w:rPr>
        <w:t>B.</w:t>
      </w:r>
      <w:r w:rsidR="00C83679">
        <w:rPr>
          <w:b/>
          <w:bCs/>
        </w:rPr>
        <w:t xml:space="preserve">  </w:t>
      </w:r>
      <w:r w:rsidRPr="009F651E">
        <w:rPr>
          <w:b/>
          <w:bCs/>
        </w:rPr>
        <w:t>Collection</w:t>
      </w:r>
      <w:r w:rsidR="00C83679">
        <w:rPr>
          <w:b/>
          <w:bCs/>
        </w:rPr>
        <w:t xml:space="preserve"> </w:t>
      </w:r>
      <w:r w:rsidRPr="009F651E">
        <w:rPr>
          <w:b/>
          <w:bCs/>
        </w:rPr>
        <w:t>of</w:t>
      </w:r>
      <w:r w:rsidR="00C83679">
        <w:rPr>
          <w:b/>
          <w:bCs/>
        </w:rPr>
        <w:t xml:space="preserve"> </w:t>
      </w:r>
      <w:r w:rsidRPr="009F651E">
        <w:rPr>
          <w:b/>
          <w:bCs/>
        </w:rPr>
        <w:t>Information</w:t>
      </w:r>
      <w:r w:rsidR="00C83679">
        <w:rPr>
          <w:b/>
          <w:bCs/>
        </w:rPr>
        <w:t xml:space="preserve"> </w:t>
      </w:r>
      <w:r w:rsidRPr="009F651E">
        <w:rPr>
          <w:b/>
          <w:bCs/>
        </w:rPr>
        <w:t>Employing</w:t>
      </w:r>
      <w:r w:rsidR="00C83679">
        <w:rPr>
          <w:b/>
          <w:bCs/>
        </w:rPr>
        <w:t xml:space="preserve"> </w:t>
      </w:r>
      <w:r w:rsidRPr="009F651E">
        <w:rPr>
          <w:b/>
          <w:bCs/>
        </w:rPr>
        <w:t>Statistical</w:t>
      </w:r>
      <w:r w:rsidR="00C83679">
        <w:rPr>
          <w:b/>
          <w:bCs/>
        </w:rPr>
        <w:t xml:space="preserve"> </w:t>
      </w:r>
      <w:r w:rsidRPr="009F651E">
        <w:rPr>
          <w:b/>
          <w:bCs/>
        </w:rPr>
        <w:t>Methods</w:t>
      </w:r>
    </w:p>
    <w:p w:rsidR="00421095" w:rsidP="00421095" w14:paraId="57EFCC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21095" w:rsidRPr="00D63EE5" w:rsidP="00D901A8" w14:paraId="25957D63" w14:textId="77777777">
      <w:pPr>
        <w:pStyle w:val="ListParagraph"/>
        <w:numPr>
          <w:ilvl w:val="0"/>
          <w:numId w:val="1"/>
        </w:numPr>
        <w:ind w:left="360"/>
        <w:rPr>
          <w:b/>
          <w:u w:val="single"/>
        </w:rPr>
      </w:pPr>
      <w:r>
        <w:rPr>
          <w:b/>
          <w:u w:val="single"/>
        </w:rPr>
        <w:t>Respondent</w:t>
      </w:r>
      <w:r w:rsidR="00C83679">
        <w:rPr>
          <w:b/>
          <w:u w:val="single"/>
        </w:rPr>
        <w:t xml:space="preserve"> </w:t>
      </w:r>
      <w:r w:rsidRPr="00D63EE5">
        <w:rPr>
          <w:b/>
          <w:u w:val="single"/>
        </w:rPr>
        <w:t>Universe</w:t>
      </w:r>
      <w:r w:rsidR="00C83679">
        <w:rPr>
          <w:b/>
          <w:u w:val="single"/>
        </w:rPr>
        <w:t xml:space="preserve"> </w:t>
      </w:r>
      <w:r w:rsidRPr="00D63EE5">
        <w:rPr>
          <w:b/>
          <w:u w:val="single"/>
        </w:rPr>
        <w:t>and</w:t>
      </w:r>
      <w:r w:rsidR="00C83679">
        <w:rPr>
          <w:b/>
          <w:u w:val="single"/>
        </w:rPr>
        <w:t xml:space="preserve"> </w:t>
      </w:r>
      <w:r w:rsidRPr="00D63EE5">
        <w:rPr>
          <w:b/>
          <w:u w:val="single"/>
        </w:rPr>
        <w:t>Selection</w:t>
      </w:r>
    </w:p>
    <w:p w:rsidR="00B00F46" w:rsidP="00C87E0F" w14:paraId="72F7F7E8" w14:textId="77777777">
      <w:pPr>
        <w:rPr>
          <w:b/>
          <w:u w:val="single"/>
        </w:rPr>
      </w:pPr>
    </w:p>
    <w:p w:rsidR="00851873" w:rsidRPr="00C87E0F" w:rsidP="00C87E0F" w14:paraId="31E286B1" w14:textId="6EC5BC25">
      <w:pPr>
        <w:rPr>
          <w:b/>
          <w:u w:val="single"/>
        </w:rPr>
      </w:pPr>
      <w:r w:rsidRPr="00C87E0F">
        <w:rPr>
          <w:i/>
        </w:rPr>
        <w:t>Defining</w:t>
      </w:r>
      <w:r w:rsidR="00C83679">
        <w:rPr>
          <w:i/>
        </w:rPr>
        <w:t xml:space="preserve"> </w:t>
      </w:r>
      <w:r w:rsidRPr="00C87E0F">
        <w:rPr>
          <w:i/>
        </w:rPr>
        <w:t>the</w:t>
      </w:r>
      <w:r w:rsidR="00C83679">
        <w:rPr>
          <w:i/>
        </w:rPr>
        <w:t xml:space="preserve"> </w:t>
      </w:r>
      <w:r w:rsidRPr="00C87E0F">
        <w:rPr>
          <w:i/>
        </w:rPr>
        <w:t>tribal</w:t>
      </w:r>
      <w:r w:rsidR="00C83679">
        <w:rPr>
          <w:i/>
        </w:rPr>
        <w:t xml:space="preserve"> </w:t>
      </w:r>
      <w:r w:rsidR="00440675">
        <w:rPr>
          <w:i/>
        </w:rPr>
        <w:t>court systems</w:t>
      </w:r>
      <w:r w:rsidR="00085FF3">
        <w:rPr>
          <w:i/>
        </w:rPr>
        <w:t xml:space="preserve"> </w:t>
      </w:r>
      <w:r w:rsidRPr="00C87E0F">
        <w:rPr>
          <w:i/>
        </w:rPr>
        <w:t>universe</w:t>
      </w:r>
    </w:p>
    <w:p w:rsidR="007B2A07" w:rsidP="00740244" w14:paraId="0C91B156" w14:textId="77777777">
      <w:pPr>
        <w:rPr>
          <w:color w:val="000000" w:themeColor="text1"/>
        </w:rPr>
      </w:pPr>
    </w:p>
    <w:p w:rsidR="007B2A07" w:rsidP="00740244" w14:paraId="3AE8D11D" w14:textId="10E77271">
      <w:pPr>
        <w:rPr>
          <w:color w:val="000000" w:themeColor="text1"/>
        </w:rPr>
      </w:pPr>
      <w:r>
        <w:rPr>
          <w:color w:val="000000" w:themeColor="text1"/>
        </w:rPr>
        <w:t xml:space="preserve">The 2026 Census of Tribal Court Systems (CTCS) </w:t>
      </w:r>
      <w:r w:rsidR="00DF16B0">
        <w:rPr>
          <w:color w:val="000000" w:themeColor="text1"/>
        </w:rPr>
        <w:t xml:space="preserve">will collect data from </w:t>
      </w:r>
      <w:r w:rsidR="00914530">
        <w:rPr>
          <w:color w:val="000000" w:themeColor="text1"/>
        </w:rPr>
        <w:t xml:space="preserve">all </w:t>
      </w:r>
      <w:r w:rsidR="00DF16B0">
        <w:rPr>
          <w:color w:val="000000" w:themeColor="text1"/>
        </w:rPr>
        <w:t xml:space="preserve">tribally operated court systems that: </w:t>
      </w:r>
    </w:p>
    <w:p w:rsidR="001B661E" w:rsidRPr="001B661E" w:rsidP="0001297B" w14:paraId="363DB41C" w14:textId="737744F2">
      <w:pPr>
        <w:numPr>
          <w:ilvl w:val="0"/>
          <w:numId w:val="4"/>
        </w:numPr>
        <w:rPr>
          <w:color w:val="000000" w:themeColor="text1"/>
        </w:rPr>
      </w:pPr>
      <w:r w:rsidRPr="001B661E">
        <w:rPr>
          <w:color w:val="000000" w:themeColor="text1"/>
        </w:rPr>
        <w:t xml:space="preserve">provide </w:t>
      </w:r>
      <w:r>
        <w:rPr>
          <w:color w:val="000000" w:themeColor="text1"/>
        </w:rPr>
        <w:t>tribal court</w:t>
      </w:r>
      <w:r w:rsidRPr="001B661E">
        <w:rPr>
          <w:color w:val="000000" w:themeColor="text1"/>
        </w:rPr>
        <w:t xml:space="preserve"> services on tribal lands, </w:t>
      </w:r>
    </w:p>
    <w:p w:rsidR="001B661E" w:rsidRPr="001B661E" w:rsidP="0001297B" w14:paraId="78335542" w14:textId="15364002">
      <w:pPr>
        <w:numPr>
          <w:ilvl w:val="0"/>
          <w:numId w:val="4"/>
        </w:numPr>
        <w:rPr>
          <w:color w:val="000000" w:themeColor="text1"/>
        </w:rPr>
      </w:pPr>
      <w:r w:rsidRPr="001B661E">
        <w:rPr>
          <w:color w:val="000000" w:themeColor="text1"/>
        </w:rPr>
        <w:t xml:space="preserve">are funded by a tribe, </w:t>
      </w:r>
      <w:r w:rsidR="00DC7313">
        <w:rPr>
          <w:color w:val="000000" w:themeColor="text1"/>
        </w:rPr>
        <w:t>and</w:t>
      </w:r>
    </w:p>
    <w:p w:rsidR="00DF16B0" w:rsidRPr="001B661E" w:rsidP="0001297B" w14:paraId="1019239F" w14:textId="4F8B7164">
      <w:pPr>
        <w:numPr>
          <w:ilvl w:val="0"/>
          <w:numId w:val="4"/>
        </w:numPr>
        <w:rPr>
          <w:color w:val="000000" w:themeColor="text1"/>
        </w:rPr>
      </w:pPr>
      <w:r w:rsidRPr="001B661E">
        <w:rPr>
          <w:color w:val="000000" w:themeColor="text1"/>
        </w:rPr>
        <w:t xml:space="preserve">are responsible for </w:t>
      </w:r>
      <w:r>
        <w:rPr>
          <w:color w:val="000000" w:themeColor="text1"/>
        </w:rPr>
        <w:t xml:space="preserve">adjudicating </w:t>
      </w:r>
      <w:r w:rsidR="001B7446">
        <w:rPr>
          <w:color w:val="000000" w:themeColor="text1"/>
        </w:rPr>
        <w:t>criminal or civil</w:t>
      </w:r>
      <w:r>
        <w:rPr>
          <w:color w:val="000000" w:themeColor="text1"/>
        </w:rPr>
        <w:t xml:space="preserve"> law</w:t>
      </w:r>
      <w:r w:rsidRPr="001B661E">
        <w:rPr>
          <w:color w:val="000000" w:themeColor="text1"/>
        </w:rPr>
        <w:t xml:space="preserve"> </w:t>
      </w:r>
    </w:p>
    <w:p w:rsidR="00AD0772" w:rsidP="00740244" w14:paraId="301087C8" w14:textId="77777777">
      <w:pPr>
        <w:rPr>
          <w:color w:val="000000" w:themeColor="text1"/>
        </w:rPr>
      </w:pPr>
    </w:p>
    <w:p w:rsidR="00740244" w:rsidRPr="00740244" w:rsidP="00740244" w14:paraId="0535C7FF" w14:textId="1B26744C">
      <w:pPr>
        <w:rPr>
          <w:color w:val="000000" w:themeColor="text1"/>
        </w:rPr>
      </w:pPr>
      <w:r w:rsidRPr="00740244">
        <w:rPr>
          <w:color w:val="000000" w:themeColor="text1"/>
        </w:rPr>
        <w:t>Authority</w:t>
      </w:r>
      <w:r w:rsidR="00C83679">
        <w:rPr>
          <w:color w:val="000000" w:themeColor="text1"/>
        </w:rPr>
        <w:t xml:space="preserve"> </w:t>
      </w:r>
      <w:r w:rsidRPr="00740244">
        <w:rPr>
          <w:color w:val="000000" w:themeColor="text1"/>
        </w:rPr>
        <w:t>for</w:t>
      </w:r>
      <w:r w:rsidR="00C83679">
        <w:rPr>
          <w:color w:val="000000" w:themeColor="text1"/>
        </w:rPr>
        <w:t xml:space="preserve"> </w:t>
      </w:r>
      <w:r w:rsidRPr="00740244">
        <w:rPr>
          <w:color w:val="000000" w:themeColor="text1"/>
        </w:rPr>
        <w:t>tribal</w:t>
      </w:r>
      <w:r w:rsidR="00C83679">
        <w:rPr>
          <w:color w:val="000000" w:themeColor="text1"/>
        </w:rPr>
        <w:t xml:space="preserve"> </w:t>
      </w:r>
      <w:r w:rsidR="00A250D3">
        <w:rPr>
          <w:color w:val="000000" w:themeColor="text1"/>
        </w:rPr>
        <w:t>courts are</w:t>
      </w:r>
      <w:r w:rsidR="00C83679">
        <w:rPr>
          <w:color w:val="000000" w:themeColor="text1"/>
        </w:rPr>
        <w:t xml:space="preserve"> </w:t>
      </w:r>
      <w:r w:rsidRPr="00740244">
        <w:rPr>
          <w:color w:val="000000" w:themeColor="text1"/>
        </w:rPr>
        <w:t>granted</w:t>
      </w:r>
      <w:r w:rsidR="00C83679">
        <w:rPr>
          <w:color w:val="000000" w:themeColor="text1"/>
        </w:rPr>
        <w:t xml:space="preserve"> </w:t>
      </w:r>
      <w:r w:rsidRPr="00740244">
        <w:rPr>
          <w:color w:val="000000" w:themeColor="text1"/>
        </w:rPr>
        <w:t>by</w:t>
      </w:r>
      <w:r w:rsidR="00C83679">
        <w:rPr>
          <w:color w:val="000000" w:themeColor="text1"/>
        </w:rPr>
        <w:t xml:space="preserve"> </w:t>
      </w:r>
      <w:r w:rsidRPr="00740244">
        <w:rPr>
          <w:color w:val="000000" w:themeColor="text1"/>
        </w:rPr>
        <w:t>federally</w:t>
      </w:r>
      <w:r w:rsidR="00C83679">
        <w:rPr>
          <w:color w:val="000000" w:themeColor="text1"/>
        </w:rPr>
        <w:t xml:space="preserve"> </w:t>
      </w:r>
      <w:r w:rsidRPr="00740244">
        <w:rPr>
          <w:color w:val="000000" w:themeColor="text1"/>
        </w:rPr>
        <w:t>recognized</w:t>
      </w:r>
      <w:r w:rsidR="00C83679">
        <w:rPr>
          <w:color w:val="000000" w:themeColor="text1"/>
        </w:rPr>
        <w:t xml:space="preserve"> </w:t>
      </w:r>
      <w:r w:rsidRPr="00740244">
        <w:rPr>
          <w:color w:val="000000" w:themeColor="text1"/>
        </w:rPr>
        <w:t>tribes</w:t>
      </w:r>
      <w:r w:rsidR="00C83679">
        <w:rPr>
          <w:color w:val="000000" w:themeColor="text1"/>
        </w:rPr>
        <w:t xml:space="preserve"> </w:t>
      </w:r>
      <w:r w:rsidR="00E24E22">
        <w:rPr>
          <w:color w:val="000000" w:themeColor="text1"/>
        </w:rPr>
        <w:t>through</w:t>
      </w:r>
      <w:r w:rsidR="00C83679">
        <w:rPr>
          <w:color w:val="000000" w:themeColor="text1"/>
        </w:rPr>
        <w:t xml:space="preserve"> </w:t>
      </w:r>
      <w:r w:rsidR="00E24E22">
        <w:rPr>
          <w:color w:val="000000" w:themeColor="text1"/>
        </w:rPr>
        <w:t>tribal</w:t>
      </w:r>
      <w:r w:rsidR="00C83679">
        <w:rPr>
          <w:color w:val="000000" w:themeColor="text1"/>
        </w:rPr>
        <w:t xml:space="preserve"> </w:t>
      </w:r>
      <w:r w:rsidR="00E24E22">
        <w:rPr>
          <w:color w:val="000000" w:themeColor="text1"/>
        </w:rPr>
        <w:t>constitutions,</w:t>
      </w:r>
      <w:r w:rsidR="00C83679">
        <w:rPr>
          <w:color w:val="000000" w:themeColor="text1"/>
        </w:rPr>
        <w:t xml:space="preserve"> </w:t>
      </w:r>
      <w:r w:rsidR="00E24E22">
        <w:rPr>
          <w:color w:val="000000" w:themeColor="text1"/>
        </w:rPr>
        <w:t>statutes</w:t>
      </w:r>
      <w:r w:rsidR="00914530">
        <w:rPr>
          <w:color w:val="000000" w:themeColor="text1"/>
        </w:rPr>
        <w:t>,</w:t>
      </w:r>
      <w:r w:rsidR="00C83679">
        <w:rPr>
          <w:color w:val="000000" w:themeColor="text1"/>
        </w:rPr>
        <w:t xml:space="preserve"> </w:t>
      </w:r>
      <w:r w:rsidR="00E24E22">
        <w:rPr>
          <w:color w:val="000000" w:themeColor="text1"/>
        </w:rPr>
        <w:t>or</w:t>
      </w:r>
      <w:r w:rsidR="00C83679">
        <w:rPr>
          <w:color w:val="000000" w:themeColor="text1"/>
        </w:rPr>
        <w:t xml:space="preserve"> </w:t>
      </w:r>
      <w:r w:rsidR="00844A32">
        <w:rPr>
          <w:color w:val="000000" w:themeColor="text1"/>
        </w:rPr>
        <w:t>codes or</w:t>
      </w:r>
      <w:r w:rsidR="00C83679">
        <w:rPr>
          <w:color w:val="000000" w:themeColor="text1"/>
        </w:rPr>
        <w:t xml:space="preserve"> </w:t>
      </w:r>
      <w:r w:rsidR="00A8569F">
        <w:rPr>
          <w:color w:val="000000" w:themeColor="text1"/>
        </w:rPr>
        <w:t>by</w:t>
      </w:r>
      <w:r w:rsidR="00C83679">
        <w:rPr>
          <w:color w:val="000000" w:themeColor="text1"/>
        </w:rPr>
        <w:t xml:space="preserve"> </w:t>
      </w:r>
      <w:r w:rsidR="0006630B">
        <w:rPr>
          <w:color w:val="000000" w:themeColor="text1"/>
        </w:rPr>
        <w:t xml:space="preserve">638 compacts through </w:t>
      </w:r>
      <w:r w:rsidR="00622519">
        <w:rPr>
          <w:color w:val="000000" w:themeColor="text1"/>
        </w:rPr>
        <w:t>the</w:t>
      </w:r>
      <w:r w:rsidR="00C83679">
        <w:rPr>
          <w:color w:val="000000" w:themeColor="text1"/>
        </w:rPr>
        <w:t xml:space="preserve"> </w:t>
      </w:r>
      <w:r w:rsidRPr="00740244">
        <w:rPr>
          <w:color w:val="000000" w:themeColor="text1"/>
        </w:rPr>
        <w:t>Bureau</w:t>
      </w:r>
      <w:r w:rsidR="00C83679">
        <w:rPr>
          <w:color w:val="000000" w:themeColor="text1"/>
        </w:rPr>
        <w:t xml:space="preserve"> </w:t>
      </w:r>
      <w:r w:rsidRPr="00740244">
        <w:rPr>
          <w:color w:val="000000" w:themeColor="text1"/>
        </w:rPr>
        <w:t>of</w:t>
      </w:r>
      <w:r w:rsidR="00C83679">
        <w:rPr>
          <w:color w:val="000000" w:themeColor="text1"/>
        </w:rPr>
        <w:t xml:space="preserve"> </w:t>
      </w:r>
      <w:r w:rsidRPr="00740244">
        <w:rPr>
          <w:color w:val="000000" w:themeColor="text1"/>
        </w:rPr>
        <w:t>Indian</w:t>
      </w:r>
      <w:r w:rsidR="00C83679">
        <w:rPr>
          <w:color w:val="000000" w:themeColor="text1"/>
        </w:rPr>
        <w:t xml:space="preserve"> </w:t>
      </w:r>
      <w:r w:rsidRPr="00740244">
        <w:rPr>
          <w:color w:val="000000" w:themeColor="text1"/>
        </w:rPr>
        <w:t>Affairs</w:t>
      </w:r>
      <w:r w:rsidR="00C83679">
        <w:rPr>
          <w:color w:val="000000" w:themeColor="text1"/>
        </w:rPr>
        <w:t xml:space="preserve"> </w:t>
      </w:r>
      <w:r w:rsidRPr="00740244">
        <w:rPr>
          <w:color w:val="000000" w:themeColor="text1"/>
        </w:rPr>
        <w:t>(BIA</w:t>
      </w:r>
      <w:r w:rsidRPr="00740244" w:rsidR="00A8569F">
        <w:rPr>
          <w:color w:val="000000" w:themeColor="text1"/>
        </w:rPr>
        <w:t>)</w:t>
      </w:r>
      <w:r w:rsidR="00A8569F">
        <w:rPr>
          <w:color w:val="000000" w:themeColor="text1"/>
        </w:rPr>
        <w:t>.</w:t>
      </w:r>
      <w:r>
        <w:rPr>
          <w:rStyle w:val="FootnoteReference"/>
          <w:color w:val="000000" w:themeColor="text1"/>
        </w:rPr>
        <w:footnoteReference w:id="2"/>
      </w:r>
      <w:r w:rsidR="00C83679">
        <w:rPr>
          <w:color w:val="000000" w:themeColor="text1"/>
        </w:rPr>
        <w:t xml:space="preserve">  </w:t>
      </w:r>
      <w:r w:rsidRPr="00740244">
        <w:rPr>
          <w:color w:val="000000" w:themeColor="text1"/>
        </w:rPr>
        <w:t>These</w:t>
      </w:r>
      <w:r w:rsidR="00C83679">
        <w:rPr>
          <w:color w:val="000000" w:themeColor="text1"/>
        </w:rPr>
        <w:t xml:space="preserve"> </w:t>
      </w:r>
      <w:r w:rsidR="000831B3">
        <w:rPr>
          <w:color w:val="000000" w:themeColor="text1"/>
        </w:rPr>
        <w:t>tribal</w:t>
      </w:r>
      <w:r w:rsidR="00C83679">
        <w:rPr>
          <w:color w:val="000000" w:themeColor="text1"/>
        </w:rPr>
        <w:t xml:space="preserve"> </w:t>
      </w:r>
      <w:r w:rsidR="00A250D3">
        <w:rPr>
          <w:color w:val="000000" w:themeColor="text1"/>
        </w:rPr>
        <w:t>courts</w:t>
      </w:r>
      <w:r w:rsidR="00C83679">
        <w:rPr>
          <w:color w:val="000000" w:themeColor="text1"/>
        </w:rPr>
        <w:t xml:space="preserve"> </w:t>
      </w:r>
      <w:r w:rsidRPr="00740244">
        <w:rPr>
          <w:color w:val="000000" w:themeColor="text1"/>
        </w:rPr>
        <w:t>include</w:t>
      </w:r>
      <w:r w:rsidR="00C83679">
        <w:rPr>
          <w:color w:val="000000" w:themeColor="text1"/>
        </w:rPr>
        <w:t xml:space="preserve"> </w:t>
      </w:r>
      <w:r w:rsidRPr="00740244">
        <w:rPr>
          <w:color w:val="000000" w:themeColor="text1"/>
        </w:rPr>
        <w:t>any</w:t>
      </w:r>
      <w:r w:rsidR="00C83679">
        <w:rPr>
          <w:color w:val="000000" w:themeColor="text1"/>
        </w:rPr>
        <w:t xml:space="preserve"> </w:t>
      </w:r>
      <w:r w:rsidR="00544411">
        <w:rPr>
          <w:color w:val="000000" w:themeColor="text1"/>
        </w:rPr>
        <w:t>indigenous or traditional courts, general jurisdiction courts, appellate courts, and BIA C</w:t>
      </w:r>
      <w:r w:rsidR="00430584">
        <w:rPr>
          <w:color w:val="000000" w:themeColor="text1"/>
        </w:rPr>
        <w:t xml:space="preserve">ode of </w:t>
      </w:r>
      <w:r w:rsidR="00544411">
        <w:rPr>
          <w:color w:val="000000" w:themeColor="text1"/>
        </w:rPr>
        <w:t>F</w:t>
      </w:r>
      <w:r w:rsidR="00430584">
        <w:rPr>
          <w:color w:val="000000" w:themeColor="text1"/>
        </w:rPr>
        <w:t xml:space="preserve">ederal </w:t>
      </w:r>
      <w:r w:rsidR="00544411">
        <w:rPr>
          <w:color w:val="000000" w:themeColor="text1"/>
        </w:rPr>
        <w:t>R</w:t>
      </w:r>
      <w:r w:rsidR="00430584">
        <w:rPr>
          <w:color w:val="000000" w:themeColor="text1"/>
        </w:rPr>
        <w:t>egulation (CFR)</w:t>
      </w:r>
      <w:r w:rsidR="00544411">
        <w:rPr>
          <w:color w:val="000000" w:themeColor="text1"/>
        </w:rPr>
        <w:t xml:space="preserve"> courts operating on behalf</w:t>
      </w:r>
      <w:r w:rsidR="00C83679">
        <w:rPr>
          <w:color w:val="000000" w:themeColor="text1"/>
        </w:rPr>
        <w:t xml:space="preserve"> </w:t>
      </w:r>
      <w:r w:rsidRPr="00740244">
        <w:rPr>
          <w:color w:val="000000" w:themeColor="text1"/>
        </w:rPr>
        <w:t>of</w:t>
      </w:r>
      <w:r w:rsidR="00C83679">
        <w:rPr>
          <w:color w:val="000000" w:themeColor="text1"/>
        </w:rPr>
        <w:t xml:space="preserve"> </w:t>
      </w:r>
      <w:r w:rsidRPr="00740244">
        <w:rPr>
          <w:color w:val="000000" w:themeColor="text1"/>
        </w:rPr>
        <w:t>tribal</w:t>
      </w:r>
      <w:r w:rsidR="00C83679">
        <w:rPr>
          <w:color w:val="000000" w:themeColor="text1"/>
        </w:rPr>
        <w:t xml:space="preserve"> </w:t>
      </w:r>
      <w:r w:rsidRPr="00740244">
        <w:rPr>
          <w:color w:val="000000" w:themeColor="text1"/>
        </w:rPr>
        <w:t>governments</w:t>
      </w:r>
      <w:r w:rsidR="00C83679">
        <w:rPr>
          <w:color w:val="000000" w:themeColor="text1"/>
        </w:rPr>
        <w:t xml:space="preserve"> </w:t>
      </w:r>
      <w:r w:rsidRPr="00740244">
        <w:rPr>
          <w:color w:val="000000" w:themeColor="text1"/>
        </w:rPr>
        <w:t>in</w:t>
      </w:r>
      <w:r w:rsidR="00C83679">
        <w:rPr>
          <w:color w:val="000000" w:themeColor="text1"/>
        </w:rPr>
        <w:t xml:space="preserve"> </w:t>
      </w:r>
      <w:r w:rsidRPr="00740244">
        <w:rPr>
          <w:color w:val="000000" w:themeColor="text1"/>
        </w:rPr>
        <w:t>Indian</w:t>
      </w:r>
      <w:r w:rsidR="00C83679">
        <w:rPr>
          <w:color w:val="000000" w:themeColor="text1"/>
        </w:rPr>
        <w:t xml:space="preserve"> </w:t>
      </w:r>
      <w:r w:rsidRPr="00740244">
        <w:rPr>
          <w:color w:val="000000" w:themeColor="text1"/>
        </w:rPr>
        <w:t>country</w:t>
      </w:r>
      <w:r w:rsidR="00FF1CAB">
        <w:rPr>
          <w:color w:val="000000" w:themeColor="text1"/>
        </w:rPr>
        <w:t xml:space="preserve">. </w:t>
      </w:r>
      <w:r w:rsidR="008D36C9">
        <w:rPr>
          <w:color w:val="000000" w:themeColor="text1"/>
        </w:rPr>
        <w:t>The initial</w:t>
      </w:r>
      <w:r w:rsidR="00AD0772">
        <w:rPr>
          <w:color w:val="000000" w:themeColor="text1"/>
        </w:rPr>
        <w:t xml:space="preserve"> question in the </w:t>
      </w:r>
      <w:r w:rsidR="00DE056D">
        <w:rPr>
          <w:color w:val="000000" w:themeColor="text1"/>
        </w:rPr>
        <w:t>CTCS</w:t>
      </w:r>
      <w:r w:rsidR="00AD0772">
        <w:rPr>
          <w:color w:val="000000" w:themeColor="text1"/>
        </w:rPr>
        <w:t xml:space="preserve"> questionnaire </w:t>
      </w:r>
      <w:r w:rsidR="000E4002">
        <w:rPr>
          <w:color w:val="000000" w:themeColor="text1"/>
        </w:rPr>
        <w:t>ask</w:t>
      </w:r>
      <w:r w:rsidR="008D36C9">
        <w:rPr>
          <w:color w:val="000000" w:themeColor="text1"/>
        </w:rPr>
        <w:t>s</w:t>
      </w:r>
      <w:r w:rsidR="000E4002">
        <w:rPr>
          <w:color w:val="000000" w:themeColor="text1"/>
        </w:rPr>
        <w:t xml:space="preserve"> </w:t>
      </w:r>
      <w:r w:rsidR="00DE056D">
        <w:rPr>
          <w:color w:val="000000" w:themeColor="text1"/>
        </w:rPr>
        <w:t xml:space="preserve">for the specific types of courts operated by the tribal court system completing the CTCS survey. </w:t>
      </w:r>
    </w:p>
    <w:p w:rsidR="00F166C6" w:rsidP="008B74F9" w14:paraId="7B4627EC" w14:textId="77777777">
      <w:pPr>
        <w:rPr>
          <w:color w:val="000000" w:themeColor="text1"/>
        </w:rPr>
      </w:pPr>
    </w:p>
    <w:p w:rsidR="003F68C7" w:rsidP="0022602A" w14:paraId="59786798" w14:textId="02AB7929">
      <w:pPr>
        <w:rPr>
          <w:color w:val="000000" w:themeColor="text1"/>
        </w:rPr>
      </w:pPr>
      <w:r>
        <w:t xml:space="preserve">The CTCS will build upon the universe that was compiled for the 2014 NSTCS data collection. </w:t>
      </w:r>
      <w:r>
        <w:rPr>
          <w:color w:val="000000" w:themeColor="text1"/>
        </w:rPr>
        <w:t>Several steps were taken to update the universe: 1) comparing the list of tribes to BIA’s annual list of 575 federally recognized tribes</w:t>
      </w:r>
      <w:r w:rsidR="00F82EF5">
        <w:rPr>
          <w:color w:val="000000" w:themeColor="text1"/>
        </w:rPr>
        <w:t xml:space="preserve"> for 2026</w:t>
      </w:r>
      <w:r>
        <w:rPr>
          <w:rStyle w:val="FootnoteReference"/>
          <w:color w:val="000000" w:themeColor="text1"/>
        </w:rPr>
        <w:footnoteReference w:id="3"/>
      </w:r>
      <w:r>
        <w:rPr>
          <w:color w:val="000000" w:themeColor="text1"/>
        </w:rPr>
        <w:t>, 2) contacting tribal leadership to review and update existing information on tribal courts</w:t>
      </w:r>
      <w:r w:rsidR="00914530">
        <w:rPr>
          <w:color w:val="000000" w:themeColor="text1"/>
        </w:rPr>
        <w:t>,</w:t>
      </w:r>
      <w:r>
        <w:rPr>
          <w:color w:val="000000" w:themeColor="text1"/>
        </w:rPr>
        <w:t xml:space="preserve"> 3) scanning the Tribal Law and Policy Institute (TLPI) Tribal Court Clearinghouse listing of tribal courts</w:t>
      </w:r>
      <w:r>
        <w:rPr>
          <w:rStyle w:val="FootnoteReference"/>
          <w:color w:val="000000" w:themeColor="text1"/>
        </w:rPr>
        <w:footnoteReference w:id="4"/>
      </w:r>
      <w:r>
        <w:rPr>
          <w:color w:val="000000" w:themeColor="text1"/>
        </w:rPr>
        <w:t>, and 4) checking</w:t>
      </w:r>
      <w:r>
        <w:t xml:space="preserve"> </w:t>
      </w:r>
      <w:r w:rsidRPr="00926CF7">
        <w:t>online</w:t>
      </w:r>
      <w:r>
        <w:t xml:space="preserve"> </w:t>
      </w:r>
      <w:r w:rsidRPr="00926CF7">
        <w:t>sources</w:t>
      </w:r>
      <w:r>
        <w:t xml:space="preserve"> </w:t>
      </w:r>
      <w:r w:rsidRPr="00926CF7">
        <w:t>or</w:t>
      </w:r>
      <w:r>
        <w:t xml:space="preserve">, in the event that the information could not be verified through other sources, </w:t>
      </w:r>
      <w:r w:rsidRPr="00926CF7">
        <w:t>contact</w:t>
      </w:r>
      <w:r>
        <w:t xml:space="preserve">ing </w:t>
      </w:r>
      <w:r w:rsidRPr="00926CF7">
        <w:t>the</w:t>
      </w:r>
      <w:r>
        <w:t xml:space="preserve"> </w:t>
      </w:r>
      <w:r w:rsidRPr="00926CF7">
        <w:t>tribe</w:t>
      </w:r>
      <w:r>
        <w:t xml:space="preserve"> </w:t>
      </w:r>
      <w:r w:rsidRPr="00926CF7">
        <w:t>to</w:t>
      </w:r>
      <w:r>
        <w:t xml:space="preserve"> </w:t>
      </w:r>
      <w:r w:rsidRPr="00926CF7">
        <w:t>ensure</w:t>
      </w:r>
      <w:r>
        <w:t xml:space="preserve"> </w:t>
      </w:r>
      <w:r w:rsidRPr="00926CF7">
        <w:t>the</w:t>
      </w:r>
      <w:r>
        <w:t xml:space="preserve"> </w:t>
      </w:r>
      <w:r w:rsidRPr="00926CF7">
        <w:t>most</w:t>
      </w:r>
      <w:r>
        <w:t xml:space="preserve"> </w:t>
      </w:r>
      <w:r w:rsidRPr="00926CF7">
        <w:t>current</w:t>
      </w:r>
      <w:r>
        <w:t xml:space="preserve"> </w:t>
      </w:r>
      <w:r w:rsidRPr="00926CF7">
        <w:t>and</w:t>
      </w:r>
      <w:r>
        <w:t xml:space="preserve"> </w:t>
      </w:r>
      <w:r w:rsidRPr="00926CF7">
        <w:t>correct</w:t>
      </w:r>
      <w:r>
        <w:t xml:space="preserve"> </w:t>
      </w:r>
      <w:r w:rsidRPr="00926CF7">
        <w:t>information</w:t>
      </w:r>
      <w:r>
        <w:t xml:space="preserve"> is available</w:t>
      </w:r>
      <w:r w:rsidRPr="00926CF7">
        <w:t>.</w:t>
      </w:r>
      <w:r>
        <w:rPr>
          <w:color w:val="000000" w:themeColor="text1"/>
        </w:rPr>
        <w:t xml:space="preserve">  </w:t>
      </w:r>
    </w:p>
    <w:p w:rsidR="00F82EF5" w:rsidP="0022602A" w14:paraId="05E834B1" w14:textId="77777777">
      <w:pPr>
        <w:rPr>
          <w:color w:val="000000" w:themeColor="text1"/>
        </w:rPr>
      </w:pPr>
    </w:p>
    <w:p w:rsidR="005842AF" w:rsidP="005842AF" w14:paraId="18A9EAD5" w14:textId="136BAA14">
      <w:r>
        <w:rPr>
          <w:color w:val="000000" w:themeColor="text1"/>
        </w:rPr>
        <w:t>As a result of</w:t>
      </w:r>
      <w:r w:rsidRPr="000E0276" w:rsidR="00C83679">
        <w:rPr>
          <w:color w:val="000000" w:themeColor="text1"/>
        </w:rPr>
        <w:t xml:space="preserve"> </w:t>
      </w:r>
      <w:r w:rsidRPr="000E0276" w:rsidR="00F62266">
        <w:rPr>
          <w:color w:val="000000" w:themeColor="text1"/>
        </w:rPr>
        <w:t>the</w:t>
      </w:r>
      <w:r w:rsidRPr="000E0276" w:rsidR="00C83679">
        <w:rPr>
          <w:color w:val="000000" w:themeColor="text1"/>
        </w:rPr>
        <w:t xml:space="preserve"> </w:t>
      </w:r>
      <w:r w:rsidR="00F964BE">
        <w:rPr>
          <w:color w:val="000000" w:themeColor="text1"/>
        </w:rPr>
        <w:t>updating</w:t>
      </w:r>
      <w:r w:rsidRPr="000E0276" w:rsidR="00F964BE">
        <w:rPr>
          <w:color w:val="000000" w:themeColor="text1"/>
        </w:rPr>
        <w:t xml:space="preserve"> </w:t>
      </w:r>
      <w:r w:rsidRPr="000E0276" w:rsidR="00F62266">
        <w:rPr>
          <w:color w:val="000000" w:themeColor="text1"/>
        </w:rPr>
        <w:t>process</w:t>
      </w:r>
      <w:r w:rsidRPr="000E0276" w:rsidR="00C83679">
        <w:rPr>
          <w:color w:val="000000" w:themeColor="text1"/>
        </w:rPr>
        <w:t xml:space="preserve"> </w:t>
      </w:r>
      <w:r w:rsidRPr="000E0276" w:rsidR="00F62266">
        <w:rPr>
          <w:color w:val="000000" w:themeColor="text1"/>
        </w:rPr>
        <w:t>outlined</w:t>
      </w:r>
      <w:r w:rsidRPr="000E0276" w:rsidR="00C83679">
        <w:rPr>
          <w:color w:val="000000" w:themeColor="text1"/>
        </w:rPr>
        <w:t xml:space="preserve"> </w:t>
      </w:r>
      <w:r w:rsidRPr="000E0276" w:rsidR="00F62266">
        <w:rPr>
          <w:color w:val="000000" w:themeColor="text1"/>
        </w:rPr>
        <w:t>above,</w:t>
      </w:r>
      <w:r w:rsidRPr="000E0276" w:rsidR="00C83679">
        <w:rPr>
          <w:color w:val="000000" w:themeColor="text1"/>
        </w:rPr>
        <w:t xml:space="preserve"> </w:t>
      </w:r>
      <w:r w:rsidR="00BA720F">
        <w:rPr>
          <w:color w:val="000000" w:themeColor="text1"/>
        </w:rPr>
        <w:t>378</w:t>
      </w:r>
      <w:r w:rsidRPr="000E0276" w:rsidR="00C419E4">
        <w:rPr>
          <w:color w:val="000000" w:themeColor="text1"/>
        </w:rPr>
        <w:t xml:space="preserve"> </w:t>
      </w:r>
      <w:r w:rsidR="0097573C">
        <w:rPr>
          <w:color w:val="000000" w:themeColor="text1"/>
        </w:rPr>
        <w:t>t</w:t>
      </w:r>
      <w:r w:rsidR="008B03EC">
        <w:rPr>
          <w:color w:val="000000" w:themeColor="text1"/>
        </w:rPr>
        <w:t xml:space="preserve">ribal courts </w:t>
      </w:r>
      <w:r w:rsidR="000E0276">
        <w:rPr>
          <w:color w:val="000000" w:themeColor="text1"/>
        </w:rPr>
        <w:t xml:space="preserve">were identified as </w:t>
      </w:r>
      <w:r w:rsidR="00191FF8">
        <w:rPr>
          <w:color w:val="000000" w:themeColor="text1"/>
        </w:rPr>
        <w:t xml:space="preserve">meeting the </w:t>
      </w:r>
      <w:r w:rsidR="008B03EC">
        <w:rPr>
          <w:color w:val="000000" w:themeColor="text1"/>
        </w:rPr>
        <w:t>CTCS</w:t>
      </w:r>
      <w:r w:rsidR="00191FF8">
        <w:rPr>
          <w:color w:val="000000" w:themeColor="text1"/>
        </w:rPr>
        <w:t xml:space="preserve"> eligibility criteria</w:t>
      </w:r>
      <w:r w:rsidR="008B03EC">
        <w:rPr>
          <w:color w:val="000000" w:themeColor="text1"/>
        </w:rPr>
        <w:t xml:space="preserve">. </w:t>
      </w:r>
      <w:r w:rsidR="00C419E4">
        <w:rPr>
          <w:color w:val="000000" w:themeColor="text1"/>
        </w:rPr>
        <w:t>The</w:t>
      </w:r>
      <w:r w:rsidR="000B601C">
        <w:rPr>
          <w:color w:val="000000" w:themeColor="text1"/>
        </w:rPr>
        <w:t xml:space="preserve"> </w:t>
      </w:r>
      <w:r w:rsidR="008B03EC">
        <w:rPr>
          <w:color w:val="000000" w:themeColor="text1"/>
        </w:rPr>
        <w:t>378</w:t>
      </w:r>
      <w:r w:rsidR="00C419E4">
        <w:rPr>
          <w:color w:val="000000" w:themeColor="text1"/>
        </w:rPr>
        <w:t xml:space="preserve"> </w:t>
      </w:r>
      <w:r w:rsidR="00E44AE9">
        <w:rPr>
          <w:color w:val="000000" w:themeColor="text1"/>
        </w:rPr>
        <w:t xml:space="preserve">tribal-government-operated </w:t>
      </w:r>
      <w:r w:rsidR="000E0276">
        <w:rPr>
          <w:color w:val="000000" w:themeColor="text1"/>
        </w:rPr>
        <w:t xml:space="preserve">agencies provide services to </w:t>
      </w:r>
      <w:r w:rsidR="00E44AE9">
        <w:rPr>
          <w:color w:val="000000" w:themeColor="text1"/>
        </w:rPr>
        <w:t>a subset of the</w:t>
      </w:r>
      <w:r w:rsidR="000E0276">
        <w:rPr>
          <w:color w:val="000000" w:themeColor="text1"/>
        </w:rPr>
        <w:t xml:space="preserve"> </w:t>
      </w:r>
      <w:r w:rsidR="008B03EC">
        <w:rPr>
          <w:color w:val="000000" w:themeColor="text1"/>
        </w:rPr>
        <w:t>575</w:t>
      </w:r>
      <w:r w:rsidRPr="000E0276" w:rsidR="00C419E4">
        <w:rPr>
          <w:color w:val="000000" w:themeColor="text1"/>
        </w:rPr>
        <w:t xml:space="preserve"> </w:t>
      </w:r>
      <w:r w:rsidRPr="000E0276" w:rsidR="00E87FE1">
        <w:rPr>
          <w:color w:val="000000" w:themeColor="text1"/>
        </w:rPr>
        <w:t>federally</w:t>
      </w:r>
      <w:r w:rsidRPr="000E0276" w:rsidR="00C83679">
        <w:rPr>
          <w:color w:val="000000" w:themeColor="text1"/>
        </w:rPr>
        <w:t xml:space="preserve"> </w:t>
      </w:r>
      <w:r w:rsidRPr="000E0276" w:rsidR="00E87FE1">
        <w:rPr>
          <w:color w:val="000000" w:themeColor="text1"/>
        </w:rPr>
        <w:t>recognized</w:t>
      </w:r>
      <w:r w:rsidRPr="000E0276" w:rsidR="00C83679">
        <w:rPr>
          <w:color w:val="000000" w:themeColor="text1"/>
        </w:rPr>
        <w:t xml:space="preserve"> </w:t>
      </w:r>
      <w:r w:rsidRPr="000E0276" w:rsidR="00E87FE1">
        <w:rPr>
          <w:color w:val="000000" w:themeColor="text1"/>
        </w:rPr>
        <w:t>tribes</w:t>
      </w:r>
      <w:r w:rsidR="000E0276">
        <w:rPr>
          <w:color w:val="000000" w:themeColor="text1"/>
        </w:rPr>
        <w:t xml:space="preserve">. </w:t>
      </w:r>
      <w:r>
        <w:t xml:space="preserve">Additional edits to </w:t>
      </w:r>
      <w:r w:rsidR="008B03EC">
        <w:t>court</w:t>
      </w:r>
      <w:r>
        <w:t xml:space="preserve"> contact information will be incorporated into the universe list as new information is made publicly available</w:t>
      </w:r>
      <w:r w:rsidR="00AF1EB5">
        <w:t xml:space="preserve"> by the tribes via website updates, by BIA</w:t>
      </w:r>
      <w:r w:rsidR="00A123CC">
        <w:t>,</w:t>
      </w:r>
      <w:r w:rsidR="00AF1EB5">
        <w:t xml:space="preserve"> or </w:t>
      </w:r>
      <w:r w:rsidR="00A123CC">
        <w:t xml:space="preserve">through </w:t>
      </w:r>
      <w:r w:rsidR="00AF1EB5">
        <w:t>other public sources</w:t>
      </w:r>
      <w:r>
        <w:t xml:space="preserve">. </w:t>
      </w:r>
    </w:p>
    <w:p w:rsidR="005842AF" w:rsidP="0022602A" w14:paraId="58A3A9CD" w14:textId="77777777"/>
    <w:p w:rsidR="0022602A" w:rsidP="0022602A" w14:paraId="40C8CC86" w14:textId="0753BE77">
      <w:r>
        <w:t>All eligible tribal courts, either operated by a tribe</w:t>
      </w:r>
      <w:r w:rsidR="002E5948">
        <w:t>, Alaska Native Village</w:t>
      </w:r>
      <w:r>
        <w:t xml:space="preserve"> or by the BIA on behalf of a trib</w:t>
      </w:r>
      <w:r w:rsidR="00FA049A">
        <w:t>e</w:t>
      </w:r>
      <w:r>
        <w:t xml:space="preserve"> will be surveyed. A</w:t>
      </w:r>
      <w:r w:rsidR="0021617B">
        <w:t xml:space="preserve"> breakdown of the </w:t>
      </w:r>
      <w:r w:rsidR="00E413CF">
        <w:t>2026</w:t>
      </w:r>
      <w:r w:rsidR="00934989">
        <w:t xml:space="preserve"> </w:t>
      </w:r>
      <w:r w:rsidR="00574FE6">
        <w:t>CTCS</w:t>
      </w:r>
      <w:r w:rsidR="00934989">
        <w:t xml:space="preserve"> </w:t>
      </w:r>
      <w:r w:rsidR="0021617B">
        <w:t xml:space="preserve">universe list can be found in </w:t>
      </w:r>
      <w:r w:rsidRPr="00CF1432" w:rsidR="00914530">
        <w:rPr>
          <w:b/>
          <w:bCs/>
        </w:rPr>
        <w:t>t</w:t>
      </w:r>
      <w:r w:rsidRPr="00CF1432" w:rsidR="0021617B">
        <w:rPr>
          <w:b/>
          <w:bCs/>
        </w:rPr>
        <w:t>able 1</w:t>
      </w:r>
      <w:r w:rsidR="0021617B">
        <w:t>.</w:t>
      </w:r>
    </w:p>
    <w:p w:rsidR="004B2B39" w:rsidP="0022602A" w14:paraId="2AA696DE" w14:textId="77777777"/>
    <w:p w:rsidR="00022506" w:rsidP="0022602A" w14:paraId="69B087B4" w14:textId="77777777"/>
    <w:p w:rsidR="00022506" w:rsidP="0022602A" w14:paraId="4B8FF65B" w14:textId="77777777"/>
    <w:p w:rsidR="00022506" w:rsidP="0022602A" w14:paraId="07FB75C9" w14:textId="77777777"/>
    <w:p w:rsidR="00022506" w:rsidP="0022602A" w14:paraId="1786D526" w14:textId="77777777"/>
    <w:p w:rsidR="00022506" w:rsidP="0022602A" w14:paraId="3A678FD2" w14:textId="77777777"/>
    <w:p w:rsidR="003C4AF1" w:rsidRPr="008D36C9" w:rsidP="0014411D" w14:paraId="53F692E5" w14:textId="4F659E15">
      <w:pPr>
        <w:rPr>
          <w:b/>
          <w:bCs/>
        </w:rPr>
      </w:pPr>
      <w:r w:rsidRPr="008D36C9">
        <w:rPr>
          <w:b/>
          <w:bCs/>
        </w:rPr>
        <w:t>Table</w:t>
      </w:r>
      <w:r w:rsidRPr="008D36C9" w:rsidR="00C83679">
        <w:rPr>
          <w:b/>
          <w:bCs/>
        </w:rPr>
        <w:t xml:space="preserve"> </w:t>
      </w:r>
      <w:r w:rsidRPr="008D36C9" w:rsidR="004A154F">
        <w:rPr>
          <w:b/>
          <w:bCs/>
        </w:rPr>
        <w:t>1</w:t>
      </w:r>
      <w:r w:rsidRPr="008D36C9">
        <w:rPr>
          <w:b/>
          <w:bCs/>
        </w:rPr>
        <w:t>.</w:t>
      </w:r>
      <w:r w:rsidRPr="008D36C9" w:rsidR="00C83679">
        <w:rPr>
          <w:b/>
          <w:bCs/>
        </w:rPr>
        <w:t xml:space="preserve">   </w:t>
      </w:r>
      <w:r w:rsidRPr="008D36C9" w:rsidR="00CB5121">
        <w:rPr>
          <w:b/>
          <w:bCs/>
        </w:rPr>
        <w:t>2026</w:t>
      </w:r>
      <w:r w:rsidRPr="008D36C9" w:rsidR="00C0307A">
        <w:rPr>
          <w:b/>
          <w:bCs/>
        </w:rPr>
        <w:t xml:space="preserve"> </w:t>
      </w:r>
      <w:r w:rsidRPr="008D36C9">
        <w:rPr>
          <w:b/>
          <w:bCs/>
        </w:rPr>
        <w:t>CT</w:t>
      </w:r>
      <w:r w:rsidRPr="008D36C9" w:rsidR="00CB5121">
        <w:rPr>
          <w:b/>
          <w:bCs/>
        </w:rPr>
        <w:t>CS</w:t>
      </w:r>
      <w:r w:rsidRPr="008D36C9" w:rsidR="00C83679">
        <w:rPr>
          <w:b/>
          <w:bCs/>
        </w:rPr>
        <w:t xml:space="preserve"> </w:t>
      </w:r>
      <w:r w:rsidRPr="008D36C9">
        <w:rPr>
          <w:b/>
          <w:bCs/>
        </w:rPr>
        <w:t>universe</w:t>
      </w:r>
      <w:r w:rsidRPr="008D36C9" w:rsidR="00C83679">
        <w:rPr>
          <w:b/>
          <w:bCs/>
        </w:rPr>
        <w:t xml:space="preserve"> </w:t>
      </w:r>
      <w:r w:rsidRPr="008D36C9">
        <w:rPr>
          <w:b/>
          <w:bCs/>
        </w:rPr>
        <w:t>of</w:t>
      </w:r>
      <w:r w:rsidRPr="008D36C9" w:rsidR="00C83679">
        <w:rPr>
          <w:b/>
          <w:bCs/>
        </w:rPr>
        <w:t xml:space="preserve"> </w:t>
      </w:r>
      <w:r w:rsidRPr="008D36C9">
        <w:rPr>
          <w:b/>
          <w:bCs/>
        </w:rPr>
        <w:t>tribal</w:t>
      </w:r>
      <w:r w:rsidRPr="008D36C9" w:rsidR="00C83679">
        <w:rPr>
          <w:b/>
          <w:bCs/>
        </w:rPr>
        <w:t xml:space="preserve"> </w:t>
      </w:r>
      <w:r w:rsidRPr="008D36C9" w:rsidR="00CB5121">
        <w:rPr>
          <w:b/>
          <w:bCs/>
        </w:rPr>
        <w:t>courts</w:t>
      </w:r>
    </w:p>
    <w:p w:rsidR="003C4AF1" w:rsidP="00B72BBE" w14:paraId="356E49A3" w14:textId="77777777">
      <w:pPr>
        <w:jc w:val="center"/>
      </w:pPr>
    </w:p>
    <w:tbl>
      <w:tblPr>
        <w:tblStyle w:val="GridTable1LightAccent1"/>
        <w:tblW w:w="9486" w:type="dxa"/>
        <w:tblLook w:val="04A0"/>
      </w:tblPr>
      <w:tblGrid>
        <w:gridCol w:w="4585"/>
        <w:gridCol w:w="2250"/>
        <w:gridCol w:w="2651"/>
      </w:tblGrid>
      <w:tr w14:paraId="1A6B2CB5" w14:textId="77777777" w:rsidTr="009C532D">
        <w:tblPrEx>
          <w:tblW w:w="9486" w:type="dxa"/>
          <w:tblLook w:val="04A0"/>
        </w:tblPrEx>
        <w:trPr>
          <w:trHeight w:val="255"/>
        </w:trPr>
        <w:tc>
          <w:tcPr>
            <w:tcW w:w="4585" w:type="dxa"/>
            <w:noWrap/>
          </w:tcPr>
          <w:p w:rsidR="0021617B" w:rsidRPr="003C4AF1" w:rsidP="00B72BBE" w14:paraId="630BC203" w14:textId="77777777">
            <w:r>
              <w:t>Type of agency</w:t>
            </w:r>
          </w:p>
        </w:tc>
        <w:tc>
          <w:tcPr>
            <w:tcW w:w="2250" w:type="dxa"/>
            <w:noWrap/>
          </w:tcPr>
          <w:p w:rsidR="0021617B" w:rsidRPr="00E227A3" w:rsidP="00B72BBE" w14:paraId="551ED816" w14:textId="77777777">
            <w:pPr>
              <w:jc w:val="center"/>
            </w:pPr>
            <w:r w:rsidRPr="00E227A3">
              <w:t>Count</w:t>
            </w:r>
          </w:p>
        </w:tc>
        <w:tc>
          <w:tcPr>
            <w:tcW w:w="2651" w:type="dxa"/>
            <w:noWrap/>
          </w:tcPr>
          <w:p w:rsidR="0021617B" w:rsidRPr="00E227A3" w:rsidP="00B72BBE" w14:paraId="1B54AC85" w14:textId="77777777">
            <w:pPr>
              <w:jc w:val="center"/>
            </w:pPr>
            <w:r w:rsidRPr="00E227A3">
              <w:t>Percent of universe</w:t>
            </w:r>
          </w:p>
        </w:tc>
      </w:tr>
      <w:tr w14:paraId="18ABB8DC" w14:textId="77777777" w:rsidTr="009C532D">
        <w:tblPrEx>
          <w:tblW w:w="9486" w:type="dxa"/>
          <w:tblLook w:val="04A0"/>
        </w:tblPrEx>
        <w:trPr>
          <w:trHeight w:val="255"/>
        </w:trPr>
        <w:tc>
          <w:tcPr>
            <w:tcW w:w="4585" w:type="dxa"/>
            <w:noWrap/>
            <w:hideMark/>
          </w:tcPr>
          <w:p w:rsidR="003C4AF1" w:rsidRPr="0005601C" w:rsidP="00B72BBE" w14:paraId="1C9ECCAF" w14:textId="11A05718">
            <w:pPr>
              <w:rPr>
                <w:i/>
              </w:rPr>
            </w:pPr>
            <w:r>
              <w:rPr>
                <w:i/>
              </w:rPr>
              <w:t>CTCS</w:t>
            </w:r>
            <w:r w:rsidRPr="0005601C" w:rsidR="0097573C">
              <w:rPr>
                <w:i/>
              </w:rPr>
              <w:t xml:space="preserve"> </w:t>
            </w:r>
            <w:r w:rsidRPr="0005601C" w:rsidR="0021617B">
              <w:rPr>
                <w:i/>
              </w:rPr>
              <w:t>Universe</w:t>
            </w:r>
          </w:p>
        </w:tc>
        <w:tc>
          <w:tcPr>
            <w:tcW w:w="2250" w:type="dxa"/>
            <w:noWrap/>
            <w:hideMark/>
          </w:tcPr>
          <w:p w:rsidR="003C4AF1" w:rsidRPr="00E227A3" w:rsidP="00B72BBE" w14:paraId="131F2081" w14:textId="1B6BD26F">
            <w:pPr>
              <w:jc w:val="center"/>
              <w:rPr>
                <w:b/>
                <w:i/>
              </w:rPr>
            </w:pPr>
            <w:r w:rsidRPr="00E227A3">
              <w:rPr>
                <w:b/>
                <w:i/>
              </w:rPr>
              <w:t>378</w:t>
            </w:r>
          </w:p>
        </w:tc>
        <w:tc>
          <w:tcPr>
            <w:tcW w:w="2651" w:type="dxa"/>
            <w:noWrap/>
            <w:hideMark/>
          </w:tcPr>
          <w:p w:rsidR="003C4AF1" w:rsidRPr="00E227A3" w:rsidP="00B72BBE" w14:paraId="2C2EC0EB" w14:textId="58F1EC54">
            <w:pPr>
              <w:jc w:val="center"/>
              <w:rPr>
                <w:b/>
                <w:i/>
              </w:rPr>
            </w:pPr>
            <w:r w:rsidRPr="00E227A3">
              <w:rPr>
                <w:b/>
                <w:i/>
              </w:rPr>
              <w:t>100%</w:t>
            </w:r>
          </w:p>
        </w:tc>
      </w:tr>
      <w:tr w14:paraId="5234B868" w14:textId="77777777" w:rsidTr="009C532D">
        <w:tblPrEx>
          <w:tblW w:w="9486" w:type="dxa"/>
          <w:tblLook w:val="04A0"/>
        </w:tblPrEx>
        <w:trPr>
          <w:trHeight w:val="255"/>
        </w:trPr>
        <w:tc>
          <w:tcPr>
            <w:tcW w:w="4585" w:type="dxa"/>
            <w:noWrap/>
          </w:tcPr>
          <w:p w:rsidR="0097573C" w:rsidRPr="0005601C" w:rsidP="0097573C" w14:paraId="1EA0C1DF" w14:textId="77777777">
            <w:pPr>
              <w:jc w:val="right"/>
              <w:rPr>
                <w:i/>
              </w:rPr>
            </w:pPr>
          </w:p>
        </w:tc>
        <w:tc>
          <w:tcPr>
            <w:tcW w:w="2250" w:type="dxa"/>
            <w:noWrap/>
          </w:tcPr>
          <w:p w:rsidR="0097573C" w:rsidRPr="00E227A3" w:rsidP="00B72BBE" w14:paraId="183A392B" w14:textId="77777777">
            <w:pPr>
              <w:jc w:val="center"/>
              <w:rPr>
                <w:i/>
              </w:rPr>
            </w:pPr>
          </w:p>
        </w:tc>
        <w:tc>
          <w:tcPr>
            <w:tcW w:w="2651" w:type="dxa"/>
            <w:noWrap/>
          </w:tcPr>
          <w:p w:rsidR="0097573C" w:rsidRPr="00E227A3" w:rsidP="00B72BBE" w14:paraId="0CAFE018" w14:textId="77777777">
            <w:pPr>
              <w:jc w:val="center"/>
              <w:rPr>
                <w:i/>
              </w:rPr>
            </w:pPr>
          </w:p>
        </w:tc>
      </w:tr>
      <w:tr w14:paraId="4D556ADC" w14:textId="77777777" w:rsidTr="009C532D">
        <w:tblPrEx>
          <w:tblW w:w="9486" w:type="dxa"/>
          <w:tblLook w:val="04A0"/>
        </w:tblPrEx>
        <w:trPr>
          <w:trHeight w:val="255"/>
        </w:trPr>
        <w:tc>
          <w:tcPr>
            <w:tcW w:w="4585" w:type="dxa"/>
            <w:noWrap/>
            <w:hideMark/>
          </w:tcPr>
          <w:p w:rsidR="003C4AF1" w:rsidRPr="00B72BBE" w:rsidP="0097573C" w14:paraId="0EDFA053" w14:textId="427E28E2">
            <w:pPr>
              <w:jc w:val="right"/>
              <w:rPr>
                <w:b w:val="0"/>
              </w:rPr>
            </w:pPr>
            <w:r w:rsidRPr="00B72BBE">
              <w:rPr>
                <w:b w:val="0"/>
              </w:rPr>
              <w:t xml:space="preserve">   </w:t>
            </w:r>
            <w:r w:rsidR="008B03EC">
              <w:rPr>
                <w:b w:val="0"/>
              </w:rPr>
              <w:t>Tr</w:t>
            </w:r>
            <w:r w:rsidR="00C1763C">
              <w:rPr>
                <w:b w:val="0"/>
              </w:rPr>
              <w:t>ibal Courts</w:t>
            </w:r>
          </w:p>
        </w:tc>
        <w:tc>
          <w:tcPr>
            <w:tcW w:w="2250" w:type="dxa"/>
            <w:noWrap/>
            <w:hideMark/>
          </w:tcPr>
          <w:p w:rsidR="003C4AF1" w:rsidRPr="00E227A3" w:rsidP="00B72BBE" w14:paraId="34163FCF" w14:textId="4CC96F9F">
            <w:pPr>
              <w:jc w:val="center"/>
            </w:pPr>
            <w:r w:rsidRPr="00E227A3">
              <w:t>271</w:t>
            </w:r>
          </w:p>
        </w:tc>
        <w:tc>
          <w:tcPr>
            <w:tcW w:w="2651" w:type="dxa"/>
            <w:noWrap/>
            <w:hideMark/>
          </w:tcPr>
          <w:p w:rsidR="003C4AF1" w:rsidRPr="00E227A3" w:rsidP="00B72BBE" w14:paraId="549AAFC1" w14:textId="3B2BC686">
            <w:pPr>
              <w:jc w:val="center"/>
            </w:pPr>
            <w:r w:rsidRPr="00E227A3">
              <w:t>7</w:t>
            </w:r>
            <w:r w:rsidRPr="00E227A3" w:rsidR="00E151F3">
              <w:t>2</w:t>
            </w:r>
            <w:r w:rsidRPr="00E227A3">
              <w:t>%</w:t>
            </w:r>
          </w:p>
        </w:tc>
      </w:tr>
      <w:tr w14:paraId="42752B17" w14:textId="77777777" w:rsidTr="009C532D">
        <w:tblPrEx>
          <w:tblW w:w="9486" w:type="dxa"/>
          <w:tblLook w:val="04A0"/>
        </w:tblPrEx>
        <w:trPr>
          <w:trHeight w:val="255"/>
        </w:trPr>
        <w:tc>
          <w:tcPr>
            <w:tcW w:w="4585" w:type="dxa"/>
            <w:noWrap/>
            <w:hideMark/>
          </w:tcPr>
          <w:p w:rsidR="003C4AF1" w:rsidRPr="00B72BBE" w:rsidP="0097573C" w14:paraId="60F15B67" w14:textId="78CA4CEF">
            <w:pPr>
              <w:jc w:val="right"/>
              <w:rPr>
                <w:b w:val="0"/>
              </w:rPr>
            </w:pPr>
            <w:r>
              <w:rPr>
                <w:b w:val="0"/>
              </w:rPr>
              <w:t>C.F.R Courts</w:t>
            </w:r>
          </w:p>
        </w:tc>
        <w:tc>
          <w:tcPr>
            <w:tcW w:w="2250" w:type="dxa"/>
            <w:noWrap/>
            <w:hideMark/>
          </w:tcPr>
          <w:p w:rsidR="003C4AF1" w:rsidRPr="00E227A3" w:rsidP="00B72BBE" w14:paraId="264C6453" w14:textId="1E3A65AE">
            <w:pPr>
              <w:jc w:val="center"/>
            </w:pPr>
            <w:r w:rsidRPr="00E227A3">
              <w:t>5</w:t>
            </w:r>
          </w:p>
        </w:tc>
        <w:tc>
          <w:tcPr>
            <w:tcW w:w="2651" w:type="dxa"/>
            <w:noWrap/>
            <w:hideMark/>
          </w:tcPr>
          <w:p w:rsidR="003C4AF1" w:rsidRPr="00E227A3" w:rsidP="006A6E6D" w14:paraId="5BB178D3" w14:textId="196BD28E">
            <w:pPr>
              <w:jc w:val="center"/>
            </w:pPr>
            <w:r w:rsidRPr="00E227A3">
              <w:t>1%</w:t>
            </w:r>
          </w:p>
        </w:tc>
      </w:tr>
      <w:tr w14:paraId="4B541F8F" w14:textId="77777777" w:rsidTr="009C532D">
        <w:tblPrEx>
          <w:tblW w:w="9486" w:type="dxa"/>
          <w:tblLook w:val="04A0"/>
        </w:tblPrEx>
        <w:trPr>
          <w:trHeight w:val="255"/>
        </w:trPr>
        <w:tc>
          <w:tcPr>
            <w:tcW w:w="4585" w:type="dxa"/>
            <w:noWrap/>
            <w:hideMark/>
          </w:tcPr>
          <w:p w:rsidR="003C4AF1" w:rsidRPr="00B72BBE" w:rsidP="0097573C" w14:paraId="2402F589" w14:textId="1AE68A33">
            <w:pPr>
              <w:jc w:val="right"/>
              <w:rPr>
                <w:b w:val="0"/>
              </w:rPr>
            </w:pPr>
            <w:r>
              <w:rPr>
                <w:b w:val="0"/>
              </w:rPr>
              <w:t xml:space="preserve">Tribal Courts in </w:t>
            </w:r>
            <w:r w:rsidR="00CC049C">
              <w:rPr>
                <w:b w:val="0"/>
              </w:rPr>
              <w:t>Alaska Native Villages</w:t>
            </w:r>
          </w:p>
        </w:tc>
        <w:tc>
          <w:tcPr>
            <w:tcW w:w="2250" w:type="dxa"/>
            <w:noWrap/>
            <w:hideMark/>
          </w:tcPr>
          <w:p w:rsidR="003C4AF1" w:rsidRPr="00E227A3" w:rsidP="00B72BBE" w14:paraId="20925CFE" w14:textId="6B50F25B">
            <w:pPr>
              <w:jc w:val="center"/>
            </w:pPr>
            <w:r w:rsidRPr="00E227A3">
              <w:t>102</w:t>
            </w:r>
          </w:p>
        </w:tc>
        <w:tc>
          <w:tcPr>
            <w:tcW w:w="2651" w:type="dxa"/>
            <w:noWrap/>
            <w:hideMark/>
          </w:tcPr>
          <w:p w:rsidR="003C4AF1" w:rsidRPr="00E227A3" w:rsidP="0093667A" w14:paraId="2A06360B" w14:textId="33FC3B00">
            <w:pPr>
              <w:jc w:val="center"/>
            </w:pPr>
            <w:r w:rsidRPr="00E227A3">
              <w:t>27</w:t>
            </w:r>
            <w:r w:rsidRPr="00E227A3" w:rsidR="00A538BE">
              <w:t>%</w:t>
            </w:r>
          </w:p>
        </w:tc>
      </w:tr>
    </w:tbl>
    <w:p w:rsidR="00A05916" w:rsidP="0022602A" w14:paraId="6E366CDB" w14:textId="0B9FFDEB"/>
    <w:p w:rsidR="00B923A7" w:rsidP="0022602A" w14:paraId="34F441EE" w14:textId="5105D329"/>
    <w:p w:rsidR="000417C8" w:rsidRPr="000417C8" w:rsidP="000417C8" w14:paraId="1E4E8A7D" w14:textId="77777777">
      <w:pPr>
        <w:pStyle w:val="ListParagraph"/>
        <w:numPr>
          <w:ilvl w:val="0"/>
          <w:numId w:val="1"/>
        </w:numPr>
        <w:ind w:left="360"/>
        <w:rPr>
          <w:b/>
          <w:bCs/>
          <w:u w:val="single"/>
        </w:rPr>
      </w:pPr>
      <w:r w:rsidRPr="000417C8">
        <w:rPr>
          <w:b/>
          <w:u w:val="single"/>
        </w:rPr>
        <w:t>Procedures</w:t>
      </w:r>
      <w:r w:rsidRPr="000417C8">
        <w:rPr>
          <w:b/>
          <w:bCs/>
          <w:u w:val="single"/>
        </w:rPr>
        <w:t xml:space="preserve"> for Collecting Information</w:t>
      </w:r>
    </w:p>
    <w:p w:rsidR="00B40561" w:rsidP="00B40561" w14:paraId="31169856" w14:textId="77777777">
      <w:pPr>
        <w:pStyle w:val="ListParagraph"/>
        <w:ind w:left="360"/>
        <w:rPr>
          <w:b/>
          <w:u w:val="single"/>
        </w:rPr>
      </w:pPr>
    </w:p>
    <w:p w:rsidR="000417C8" w:rsidP="000417C8" w14:paraId="63615FC3" w14:textId="362C74E3">
      <w:r>
        <w:t xml:space="preserve">The full data collection effort will include all </w:t>
      </w:r>
      <w:r w:rsidRPr="008D36C9">
        <w:rPr>
          <w:b/>
          <w:bCs/>
        </w:rPr>
        <w:t>378</w:t>
      </w:r>
      <w:r>
        <w:t xml:space="preserve"> eligible </w:t>
      </w:r>
      <w:r w:rsidR="00574FE6">
        <w:t>tribal courts</w:t>
      </w:r>
      <w:r>
        <w:t xml:space="preserve"> identified in the tribal </w:t>
      </w:r>
      <w:r w:rsidR="00574FE6">
        <w:t>court</w:t>
      </w:r>
      <w:r>
        <w:t xml:space="preserve"> universe list. The collection period for the CTCS is </w:t>
      </w:r>
      <w:r w:rsidR="00FA049A">
        <w:t xml:space="preserve">16 </w:t>
      </w:r>
      <w:r>
        <w:t xml:space="preserve">weeks, anticipated to begin in January 2027, pending OMB approval. </w:t>
      </w:r>
    </w:p>
    <w:p w:rsidR="000417C8" w:rsidP="000417C8" w14:paraId="29A39814" w14:textId="77777777"/>
    <w:p w:rsidR="000417C8" w:rsidP="000417C8" w14:paraId="040E01C0" w14:textId="77777777">
      <w:r>
        <w:t>Based on the experience with cognitive testing, full data collection will be divided into four phases</w:t>
      </w:r>
      <w:r>
        <w:rPr>
          <w:i/>
        </w:rPr>
        <w:t>: outreach and data collection; nonresponse follow-up; validation; and weighting for unit non-response and item imputation phases</w:t>
      </w:r>
      <w:r>
        <w:t>.</w:t>
      </w:r>
    </w:p>
    <w:p w:rsidR="000417C8" w:rsidP="000417C8" w14:paraId="2865C4FE" w14:textId="77777777"/>
    <w:p w:rsidR="000417C8" w:rsidP="000417C8" w14:paraId="63431E7C" w14:textId="77777777">
      <w:pPr>
        <w:rPr>
          <w:b/>
        </w:rPr>
      </w:pPr>
      <w:r>
        <w:rPr>
          <w:b/>
        </w:rPr>
        <w:t>Phase 1: Outreach and data collection for the Tribal Law Enforcement survey</w:t>
      </w:r>
    </w:p>
    <w:p w:rsidR="000417C8" w:rsidP="000417C8" w14:paraId="20F56F90" w14:textId="77777777"/>
    <w:p w:rsidR="00BA763D" w:rsidRPr="00CA504B" w:rsidP="0001297B" w14:paraId="29D807A3" w14:textId="4CB3D21E">
      <w:pPr>
        <w:pStyle w:val="ListParagraph"/>
        <w:numPr>
          <w:ilvl w:val="0"/>
          <w:numId w:val="5"/>
        </w:numPr>
      </w:pPr>
      <w:r>
        <w:rPr>
          <w:i/>
        </w:rPr>
        <w:t xml:space="preserve">Step 1. Outreach. </w:t>
      </w:r>
      <w:r>
        <w:rPr>
          <w:iCs/>
        </w:rPr>
        <w:t xml:space="preserve">Prior to data collection, NORC and partner organization NAICJA will conduct outreach to tribal leadership and the tribal court community to inform them of the upcoming CTCS data collection. </w:t>
      </w:r>
      <w:r w:rsidR="00542A40">
        <w:rPr>
          <w:iCs/>
        </w:rPr>
        <w:t>This outreach will include speaking about the project at related conferences, distributing an informational flyer at related conferences</w:t>
      </w:r>
      <w:r w:rsidR="00EE7C37">
        <w:rPr>
          <w:iCs/>
        </w:rPr>
        <w:t>,</w:t>
      </w:r>
      <w:r w:rsidR="00542A40">
        <w:rPr>
          <w:iCs/>
        </w:rPr>
        <w:t xml:space="preserve"> and </w:t>
      </w:r>
      <w:r w:rsidR="00EE7C37">
        <w:rPr>
          <w:iCs/>
        </w:rPr>
        <w:t xml:space="preserve">speaking </w:t>
      </w:r>
      <w:r w:rsidR="00542A40">
        <w:rPr>
          <w:iCs/>
        </w:rPr>
        <w:t xml:space="preserve">to </w:t>
      </w:r>
      <w:r>
        <w:rPr>
          <w:iCs/>
        </w:rPr>
        <w:t>NAICJA membership</w:t>
      </w:r>
      <w:r w:rsidR="00E22B43">
        <w:rPr>
          <w:iCs/>
        </w:rPr>
        <w:t xml:space="preserve"> and related listservs</w:t>
      </w:r>
      <w:r>
        <w:rPr>
          <w:iCs/>
        </w:rPr>
        <w:t>.</w:t>
      </w:r>
      <w:r w:rsidRPr="00CA504B" w:rsidR="008542A0">
        <w:rPr>
          <w:iCs/>
        </w:rPr>
        <w:t xml:space="preserve"> </w:t>
      </w:r>
      <w:r w:rsidRPr="00CA504B" w:rsidR="00AE372F">
        <w:t xml:space="preserve">NAICJA </w:t>
      </w:r>
      <w:r w:rsidR="00D944AD">
        <w:t xml:space="preserve">has </w:t>
      </w:r>
      <w:r w:rsidRPr="00CA504B" w:rsidR="00AE372F">
        <w:t xml:space="preserve">attended </w:t>
      </w:r>
      <w:r w:rsidRPr="00CA504B" w:rsidR="00AE372F">
        <w:t>or</w:t>
      </w:r>
      <w:r w:rsidRPr="00CA504B" w:rsidR="00AE372F">
        <w:t xml:space="preserve"> plans to participate in the following events to share information about the importance of the CTCS data collection:</w:t>
      </w:r>
    </w:p>
    <w:p w:rsidR="00AE372F" w:rsidRPr="000F0DBB" w:rsidP="00BA763D" w14:paraId="16C13783" w14:textId="77777777">
      <w:pPr>
        <w:rPr>
          <w:color w:val="000000" w:themeColor="text1"/>
        </w:rPr>
      </w:pPr>
    </w:p>
    <w:p w:rsidR="00BA763D" w:rsidRPr="000F0DBB" w:rsidP="0001297B" w14:paraId="28B053EB" w14:textId="2A172F12">
      <w:pPr>
        <w:pStyle w:val="ListParagraph"/>
        <w:numPr>
          <w:ilvl w:val="0"/>
          <w:numId w:val="5"/>
        </w:numPr>
        <w:ind w:left="2160"/>
        <w:rPr>
          <w:color w:val="000000" w:themeColor="text1"/>
        </w:rPr>
      </w:pPr>
      <w:r w:rsidRPr="000F0DBB">
        <w:rPr>
          <w:color w:val="000000" w:themeColor="text1"/>
        </w:rPr>
        <w:t>National Congress of American Indians</w:t>
      </w:r>
      <w:r w:rsidRPr="000F0DBB" w:rsidR="00FE25F5">
        <w:rPr>
          <w:color w:val="000000" w:themeColor="text1"/>
        </w:rPr>
        <w:t xml:space="preserve"> (NCAI)</w:t>
      </w:r>
      <w:r w:rsidRPr="000F0DBB">
        <w:rPr>
          <w:color w:val="000000" w:themeColor="text1"/>
        </w:rPr>
        <w:t xml:space="preserve"> Winter Executive Council Session –</w:t>
      </w:r>
      <w:r w:rsidRPr="000F0DBB" w:rsidR="0056533F">
        <w:rPr>
          <w:color w:val="000000" w:themeColor="text1"/>
        </w:rPr>
        <w:t xml:space="preserve"> February 2026</w:t>
      </w:r>
    </w:p>
    <w:p w:rsidR="00AE372F" w:rsidRPr="000F0DBB" w:rsidP="0001297B" w14:paraId="0B337E6B" w14:textId="4776BF12">
      <w:pPr>
        <w:pStyle w:val="ListParagraph"/>
        <w:numPr>
          <w:ilvl w:val="0"/>
          <w:numId w:val="5"/>
        </w:numPr>
        <w:ind w:left="2160"/>
        <w:rPr>
          <w:color w:val="000000" w:themeColor="text1"/>
        </w:rPr>
      </w:pPr>
      <w:r w:rsidRPr="000F0DBB">
        <w:rPr>
          <w:color w:val="000000" w:themeColor="text1"/>
        </w:rPr>
        <w:t xml:space="preserve">Wiring the Rez </w:t>
      </w:r>
      <w:r w:rsidRPr="000F0DBB" w:rsidR="00CA504B">
        <w:rPr>
          <w:color w:val="000000" w:themeColor="text1"/>
        </w:rPr>
        <w:t>Conference</w:t>
      </w:r>
      <w:r w:rsidR="000F0DBB">
        <w:rPr>
          <w:color w:val="000000" w:themeColor="text1"/>
        </w:rPr>
        <w:t xml:space="preserve"> </w:t>
      </w:r>
      <w:r w:rsidRPr="000F0DBB">
        <w:rPr>
          <w:color w:val="000000" w:themeColor="text1"/>
        </w:rPr>
        <w:t>– Feb</w:t>
      </w:r>
      <w:r w:rsidRPr="000F0DBB" w:rsidR="0056533F">
        <w:rPr>
          <w:color w:val="000000" w:themeColor="text1"/>
        </w:rPr>
        <w:t>ruary 2026</w:t>
      </w:r>
    </w:p>
    <w:p w:rsidR="00AE372F" w:rsidRPr="00CA504B" w:rsidP="0001297B" w14:paraId="62A98D29" w14:textId="5A0AFAE8">
      <w:pPr>
        <w:pStyle w:val="ListParagraph"/>
        <w:numPr>
          <w:ilvl w:val="0"/>
          <w:numId w:val="5"/>
        </w:numPr>
        <w:ind w:left="2160"/>
      </w:pPr>
      <w:r w:rsidRPr="00CA504B">
        <w:t xml:space="preserve">Reservation Economic Summit </w:t>
      </w:r>
      <w:r w:rsidRPr="00CA504B" w:rsidR="00CA504B">
        <w:t>Conference</w:t>
      </w:r>
      <w:r w:rsidRPr="00CA504B">
        <w:t>– Mar</w:t>
      </w:r>
      <w:r w:rsidRPr="00CA504B" w:rsidR="0056533F">
        <w:t>ch 2026</w:t>
      </w:r>
    </w:p>
    <w:p w:rsidR="00AE372F" w:rsidRPr="00CA504B" w:rsidP="0001297B" w14:paraId="55C11EFA" w14:textId="331BEE38">
      <w:pPr>
        <w:pStyle w:val="ListParagraph"/>
        <w:numPr>
          <w:ilvl w:val="0"/>
          <w:numId w:val="5"/>
        </w:numPr>
        <w:ind w:left="2160"/>
      </w:pPr>
      <w:r w:rsidRPr="00CA504B">
        <w:t xml:space="preserve">Breaking Cycles of Violence Conference – </w:t>
      </w:r>
      <w:r w:rsidRPr="00CA504B" w:rsidR="0056533F">
        <w:t>April 2026</w:t>
      </w:r>
    </w:p>
    <w:p w:rsidR="00BA763D" w:rsidRPr="00CA504B" w:rsidP="0001297B" w14:paraId="1B156A2C" w14:textId="51C3EC51">
      <w:pPr>
        <w:pStyle w:val="ListParagraph"/>
        <w:numPr>
          <w:ilvl w:val="0"/>
          <w:numId w:val="5"/>
        </w:numPr>
        <w:ind w:left="2160"/>
      </w:pPr>
      <w:r w:rsidRPr="00CA504B">
        <w:t>Federal Bar Association Indian Law Conference – Ap</w:t>
      </w:r>
      <w:r w:rsidRPr="00CA504B" w:rsidR="0056533F">
        <w:t>ril 2026</w:t>
      </w:r>
    </w:p>
    <w:p w:rsidR="00BA763D" w:rsidRPr="009C532D" w:rsidP="0001297B" w14:paraId="3FA6C5C2" w14:textId="057F6696">
      <w:pPr>
        <w:pStyle w:val="ListParagraph"/>
        <w:numPr>
          <w:ilvl w:val="0"/>
          <w:numId w:val="5"/>
        </w:numPr>
        <w:ind w:left="2160"/>
        <w:rPr>
          <w:color w:val="212121"/>
        </w:rPr>
      </w:pPr>
      <w:r w:rsidRPr="009C532D">
        <w:rPr>
          <w:color w:val="212121"/>
        </w:rPr>
        <w:t xml:space="preserve">Sovereignty Symposium – June </w:t>
      </w:r>
      <w:r w:rsidRPr="009C532D" w:rsidR="0056533F">
        <w:rPr>
          <w:color w:val="212121"/>
        </w:rPr>
        <w:t>2026</w:t>
      </w:r>
    </w:p>
    <w:p w:rsidR="00BA763D" w:rsidRPr="00CA504B" w:rsidP="0001297B" w14:paraId="3EB077B1" w14:textId="0C1262FB">
      <w:pPr>
        <w:pStyle w:val="ListParagraph"/>
        <w:numPr>
          <w:ilvl w:val="0"/>
          <w:numId w:val="5"/>
        </w:numPr>
        <w:ind w:left="2160"/>
      </w:pPr>
      <w:r w:rsidRPr="00CA504B">
        <w:t xml:space="preserve">NCAI Mid-Year </w:t>
      </w:r>
      <w:r w:rsidRPr="00CA504B" w:rsidR="00CA504B">
        <w:t xml:space="preserve">Executive Council Session </w:t>
      </w:r>
      <w:r w:rsidRPr="00CA504B">
        <w:t>– June</w:t>
      </w:r>
      <w:r w:rsidRPr="00CA504B" w:rsidR="0056533F">
        <w:t xml:space="preserve"> 2026</w:t>
      </w:r>
    </w:p>
    <w:p w:rsidR="0056533F" w:rsidRPr="00CA504B" w:rsidP="0001297B" w14:paraId="6100A989" w14:textId="01F83E10">
      <w:pPr>
        <w:pStyle w:val="ListParagraph"/>
        <w:numPr>
          <w:ilvl w:val="0"/>
          <w:numId w:val="5"/>
        </w:numPr>
        <w:ind w:left="2160"/>
      </w:pPr>
      <w:r w:rsidRPr="00CA504B">
        <w:t>NAICJA 57</w:t>
      </w:r>
      <w:r w:rsidRPr="009C532D">
        <w:rPr>
          <w:vertAlign w:val="superscript"/>
        </w:rPr>
        <w:t>th</w:t>
      </w:r>
      <w:r w:rsidRPr="00CA504B">
        <w:t xml:space="preserve"> Annual national Tribal Judicial and Court Personnel Conference – </w:t>
      </w:r>
      <w:r w:rsidRPr="00CA504B" w:rsidR="003134EC">
        <w:t>October</w:t>
      </w:r>
      <w:r w:rsidRPr="00CA504B">
        <w:t xml:space="preserve"> 2026</w:t>
      </w:r>
    </w:p>
    <w:p w:rsidR="000417C8" w:rsidP="000417C8" w14:paraId="74680B2D" w14:textId="77777777">
      <w:pPr>
        <w:pStyle w:val="ListParagraph"/>
        <w:ind w:left="1080"/>
      </w:pPr>
    </w:p>
    <w:p w:rsidR="000417C8" w:rsidP="0001297B" w14:paraId="5681C438" w14:textId="2CB47EDA">
      <w:pPr>
        <w:pStyle w:val="ListParagraph"/>
        <w:numPr>
          <w:ilvl w:val="0"/>
          <w:numId w:val="5"/>
        </w:numPr>
      </w:pPr>
      <w:r>
        <w:rPr>
          <w:i/>
        </w:rPr>
        <w:t xml:space="preserve">Step 2. Data collection </w:t>
      </w:r>
      <w:r>
        <w:rPr>
          <w:i/>
        </w:rPr>
        <w:t>start</w:t>
      </w:r>
      <w:r>
        <w:rPr>
          <w:i/>
        </w:rPr>
        <w:t xml:space="preserve">. </w:t>
      </w:r>
      <w:r>
        <w:t>Following these outreach activities, data collection will commence. During week 1 of data collection, NORC will mail an invitation packet to all 378 tribal-government-operated courts via first class USPS mail. The questionnaire packet will contain the CTCS agency invitation letter from the BJS director addressed to the tribal court (</w:t>
      </w:r>
      <w:r>
        <w:rPr>
          <w:b/>
        </w:rPr>
        <w:t xml:space="preserve">Attachment </w:t>
      </w:r>
      <w:r w:rsidR="00113FD2">
        <w:rPr>
          <w:b/>
        </w:rPr>
        <w:t>G</w:t>
      </w:r>
      <w:r>
        <w:t xml:space="preserve">); sample questions </w:t>
      </w:r>
      <w:r w:rsidRPr="00113FD2">
        <w:rPr>
          <w:b/>
          <w:bCs/>
        </w:rPr>
        <w:t xml:space="preserve">(Attachment </w:t>
      </w:r>
      <w:r w:rsidRPr="00113FD2" w:rsidR="00113FD2">
        <w:rPr>
          <w:b/>
          <w:bCs/>
        </w:rPr>
        <w:t>H</w:t>
      </w:r>
      <w:r w:rsidRPr="00113FD2">
        <w:rPr>
          <w:b/>
          <w:bCs/>
        </w:rPr>
        <w:t>)</w:t>
      </w:r>
      <w:r>
        <w:t>,</w:t>
      </w:r>
      <w:r w:rsidR="00EF4C7B">
        <w:t xml:space="preserve"> CTCS one page flyer</w:t>
      </w:r>
      <w:r w:rsidR="00113FD2">
        <w:t xml:space="preserve"> (</w:t>
      </w:r>
      <w:r w:rsidR="00113FD2">
        <w:rPr>
          <w:b/>
          <w:bCs/>
        </w:rPr>
        <w:t xml:space="preserve">Attachment </w:t>
      </w:r>
      <w:r w:rsidR="00DB3DEB">
        <w:rPr>
          <w:b/>
          <w:bCs/>
        </w:rPr>
        <w:t>I)</w:t>
      </w:r>
      <w:r w:rsidR="00EF4C7B">
        <w:t>,</w:t>
      </w:r>
      <w:r>
        <w:t xml:space="preserve"> and letter of support from NAICJA (</w:t>
      </w:r>
      <w:r>
        <w:rPr>
          <w:b/>
        </w:rPr>
        <w:t xml:space="preserve">Attachment </w:t>
      </w:r>
      <w:r w:rsidR="00DB3DEB">
        <w:rPr>
          <w:b/>
        </w:rPr>
        <w:t>J</w:t>
      </w:r>
      <w:r>
        <w:rPr>
          <w:b/>
        </w:rPr>
        <w:t xml:space="preserve">). </w:t>
      </w:r>
      <w:r>
        <w:rPr>
          <w:bCs/>
        </w:rPr>
        <w:t>Courts will be invited to complete the web-programmed version of the 2026 CTCS survey (</w:t>
      </w:r>
      <w:r w:rsidRPr="00DB3DEB">
        <w:rPr>
          <w:b/>
        </w:rPr>
        <w:t>Attachment B</w:t>
      </w:r>
      <w:r>
        <w:rPr>
          <w:bCs/>
        </w:rPr>
        <w:t>) and use the Question Guide (</w:t>
      </w:r>
      <w:r w:rsidRPr="00DB3DEB">
        <w:rPr>
          <w:b/>
        </w:rPr>
        <w:t xml:space="preserve">Attachment </w:t>
      </w:r>
      <w:r w:rsidR="00CF1432">
        <w:rPr>
          <w:b/>
        </w:rPr>
        <w:t>F</w:t>
      </w:r>
      <w:r>
        <w:rPr>
          <w:bCs/>
        </w:rPr>
        <w:t>) to facilitate completion of the web survey.</w:t>
      </w:r>
    </w:p>
    <w:p w:rsidR="000417C8" w:rsidP="000417C8" w14:paraId="4B518776" w14:textId="77777777">
      <w:pPr>
        <w:pStyle w:val="ListParagraph"/>
        <w:ind w:left="1080"/>
      </w:pPr>
    </w:p>
    <w:p w:rsidR="000417C8" w:rsidP="0001297B" w14:paraId="11C6A205" w14:textId="06E29086">
      <w:pPr>
        <w:pStyle w:val="ListParagraph"/>
        <w:numPr>
          <w:ilvl w:val="0"/>
          <w:numId w:val="6"/>
        </w:numPr>
      </w:pPr>
      <w:r>
        <w:rPr>
          <w:i/>
        </w:rPr>
        <w:t xml:space="preserve">Step </w:t>
      </w:r>
      <w:r w:rsidR="00FA049A">
        <w:rPr>
          <w:i/>
        </w:rPr>
        <w:t>2</w:t>
      </w:r>
      <w:r>
        <w:rPr>
          <w:i/>
        </w:rPr>
        <w:t>.</w:t>
      </w:r>
      <w:r>
        <w:rPr>
          <w:i/>
          <w:iCs/>
        </w:rPr>
        <w:t xml:space="preserve"> Email invitation and follow up. </w:t>
      </w:r>
      <w:r>
        <w:t>One week after the mail invitation is sent, a separate email invitation (</w:t>
      </w:r>
      <w:r>
        <w:rPr>
          <w:b/>
          <w:bCs/>
        </w:rPr>
        <w:t xml:space="preserve">Attachment </w:t>
      </w:r>
      <w:r w:rsidR="000C4A46">
        <w:rPr>
          <w:b/>
          <w:bCs/>
        </w:rPr>
        <w:t>K</w:t>
      </w:r>
      <w:r>
        <w:rPr>
          <w:b/>
          <w:bCs/>
        </w:rPr>
        <w:t>)</w:t>
      </w:r>
      <w:r>
        <w:t xml:space="preserve"> will be sent to the best email address for each head judge or point of contact for the tribal court or to a general email address. </w:t>
      </w:r>
    </w:p>
    <w:p w:rsidR="000417C8" w:rsidP="000417C8" w14:paraId="0C425FBA" w14:textId="77777777">
      <w:pPr>
        <w:pStyle w:val="ListParagraph"/>
        <w:ind w:left="1080"/>
      </w:pPr>
    </w:p>
    <w:p w:rsidR="000417C8" w:rsidP="0001297B" w14:paraId="695F281A" w14:textId="2DD15A9B">
      <w:pPr>
        <w:pStyle w:val="ListParagraph"/>
        <w:numPr>
          <w:ilvl w:val="0"/>
          <w:numId w:val="6"/>
        </w:numPr>
      </w:pPr>
      <w:r>
        <w:rPr>
          <w:i/>
        </w:rPr>
        <w:t xml:space="preserve">Step 3. Mail an invitation postcard. </w:t>
      </w:r>
      <w:r>
        <w:rPr>
          <w:iCs/>
        </w:rPr>
        <w:t>A separate postcard mailing (</w:t>
      </w:r>
      <w:r>
        <w:rPr>
          <w:b/>
          <w:bCs/>
          <w:iCs/>
        </w:rPr>
        <w:t xml:space="preserve">Attachment </w:t>
      </w:r>
      <w:r w:rsidR="000C4A46">
        <w:rPr>
          <w:b/>
          <w:bCs/>
          <w:iCs/>
        </w:rPr>
        <w:t>L</w:t>
      </w:r>
      <w:r>
        <w:rPr>
          <w:iCs/>
        </w:rPr>
        <w:t>) will be sent to all non-responding agencies approximately two weeks after the invitation mailing is sent. The postcard mailing will include instructions to complete the online survey, as well as contact information for the project hotline and email address for assistance and a short FAQ section.</w:t>
      </w:r>
    </w:p>
    <w:p w:rsidR="000417C8" w:rsidP="000417C8" w14:paraId="02925CDE" w14:textId="77777777">
      <w:pPr>
        <w:pStyle w:val="ListParagraph"/>
        <w:ind w:left="1080"/>
      </w:pPr>
    </w:p>
    <w:p w:rsidR="000417C8" w:rsidP="0001297B" w14:paraId="04FD8AB5" w14:textId="48322EAD">
      <w:pPr>
        <w:pStyle w:val="ListParagraph"/>
        <w:numPr>
          <w:ilvl w:val="0"/>
          <w:numId w:val="6"/>
        </w:numPr>
      </w:pPr>
      <w:r>
        <w:rPr>
          <w:i/>
        </w:rPr>
        <w:t>Step 4.</w:t>
      </w:r>
      <w:r>
        <w:t xml:space="preserve"> </w:t>
      </w:r>
      <w:r>
        <w:rPr>
          <w:i/>
          <w:iCs/>
        </w:rPr>
        <w:t xml:space="preserve">Phone outreach and confirm receipt of invitation. </w:t>
      </w:r>
      <w:r>
        <w:t xml:space="preserve">Starting at week four, phone outreach will be made by </w:t>
      </w:r>
      <w:r w:rsidR="00213619">
        <w:t xml:space="preserve">NORC and </w:t>
      </w:r>
      <w:r>
        <w:t xml:space="preserve">NAICJA staff to prompt participation in the survey. This outreach will also be used to confirm best contact information and update any contact information as necessary. On request, an additional mailed or emailed invitation packet will be sent to the </w:t>
      </w:r>
      <w:r w:rsidR="00097308">
        <w:t>tribal courts.</w:t>
      </w:r>
      <w:r>
        <w:t xml:space="preserve"> A copy of the confirmation script is included as </w:t>
      </w:r>
      <w:r>
        <w:rPr>
          <w:b/>
          <w:bCs/>
        </w:rPr>
        <w:t xml:space="preserve">Attachment </w:t>
      </w:r>
      <w:r w:rsidR="000C4A46">
        <w:rPr>
          <w:b/>
          <w:bCs/>
        </w:rPr>
        <w:t>M</w:t>
      </w:r>
      <w:r>
        <w:t>.</w:t>
      </w:r>
    </w:p>
    <w:p w:rsidR="000417C8" w:rsidP="000417C8" w14:paraId="0DBEF96E" w14:textId="77777777"/>
    <w:p w:rsidR="000417C8" w:rsidP="000417C8" w14:paraId="7273A2DC" w14:textId="42D18226">
      <w:pPr>
        <w:rPr>
          <w:b/>
        </w:rPr>
      </w:pPr>
      <w:r>
        <w:rPr>
          <w:b/>
        </w:rPr>
        <w:t xml:space="preserve">Phase 2.  Nonresponse follow-up strategy for the Tribal </w:t>
      </w:r>
      <w:r w:rsidR="00E83158">
        <w:rPr>
          <w:b/>
        </w:rPr>
        <w:t>Court</w:t>
      </w:r>
      <w:r>
        <w:rPr>
          <w:b/>
        </w:rPr>
        <w:t xml:space="preserve"> survey</w:t>
      </w:r>
    </w:p>
    <w:p w:rsidR="000417C8" w:rsidP="000417C8" w14:paraId="593BD113" w14:textId="77777777"/>
    <w:p w:rsidR="000417C8" w:rsidP="0001297B" w14:paraId="66D0A92E" w14:textId="6A34727F">
      <w:pPr>
        <w:pStyle w:val="ListParagraph"/>
        <w:numPr>
          <w:ilvl w:val="0"/>
          <w:numId w:val="7"/>
        </w:numPr>
      </w:pPr>
      <w:r>
        <w:rPr>
          <w:i/>
        </w:rPr>
        <w:t xml:space="preserve">Step 1.  Reminder email prompts. </w:t>
      </w:r>
      <w:r>
        <w:rPr>
          <w:iCs/>
        </w:rPr>
        <w:t xml:space="preserve">Five and seven weeks after </w:t>
      </w:r>
      <w:r>
        <w:t xml:space="preserve">the start of data collection, NORC will send reminder emails to the </w:t>
      </w:r>
      <w:r w:rsidR="000F0DBB">
        <w:t>best-known</w:t>
      </w:r>
      <w:r>
        <w:t xml:space="preserve"> email address for the chief </w:t>
      </w:r>
      <w:r w:rsidR="00D944AD">
        <w:t>judge or court administrator</w:t>
      </w:r>
      <w:r>
        <w:t xml:space="preserve"> (</w:t>
      </w:r>
      <w:r>
        <w:rPr>
          <w:b/>
        </w:rPr>
        <w:t xml:space="preserve">Attachment </w:t>
      </w:r>
      <w:r w:rsidR="000C4A46">
        <w:rPr>
          <w:b/>
        </w:rPr>
        <w:t>N</w:t>
      </w:r>
      <w:r>
        <w:t xml:space="preserve">) to non-responding </w:t>
      </w:r>
      <w:r w:rsidR="00D944AD">
        <w:t>courts</w:t>
      </w:r>
      <w:r>
        <w:t>.  These emails will encourage non-responders to complete the web survey.</w:t>
      </w:r>
      <w:r w:rsidR="00D944AD">
        <w:t xml:space="preserve"> Additional reminder emails may be sent out, if necessary, </w:t>
      </w:r>
      <w:r w:rsidR="00D944AD">
        <w:t>similar to</w:t>
      </w:r>
      <w:r w:rsidR="00D944AD">
        <w:t xml:space="preserve"> email in </w:t>
      </w:r>
      <w:r w:rsidRPr="0040533A" w:rsidR="00D944AD">
        <w:rPr>
          <w:b/>
          <w:bCs/>
        </w:rPr>
        <w:t xml:space="preserve">Attachment </w:t>
      </w:r>
      <w:r w:rsidR="00D944AD">
        <w:rPr>
          <w:b/>
          <w:bCs/>
        </w:rPr>
        <w:t>N.</w:t>
      </w:r>
    </w:p>
    <w:p w:rsidR="000417C8" w:rsidP="000417C8" w14:paraId="6DF73D66" w14:textId="77777777"/>
    <w:p w:rsidR="000417C8" w:rsidP="0001297B" w14:paraId="40FB5D47" w14:textId="26A96191">
      <w:pPr>
        <w:pStyle w:val="ListParagraph"/>
        <w:numPr>
          <w:ilvl w:val="0"/>
          <w:numId w:val="7"/>
        </w:numPr>
        <w:autoSpaceDE w:val="0"/>
        <w:autoSpaceDN w:val="0"/>
        <w:adjustRightInd w:val="0"/>
      </w:pPr>
      <w:r>
        <w:rPr>
          <w:i/>
        </w:rPr>
        <w:t xml:space="preserve">Step 2.  Telephone prompt.  </w:t>
      </w:r>
      <w:r>
        <w:t xml:space="preserve">Ten weeks after the reminder postcard is mailed, NORC and IACP will conduct an additional round of telephone outreach to all non-responding agencies. This round of telephone calls will serve to determine progress on the survey, obtain an anticipated timeline for submission and encourage response. Telephone interviews will also be offered to those who want to complete the survey over the telephone. A copy of the prompting script is included as </w:t>
      </w:r>
      <w:r>
        <w:rPr>
          <w:b/>
        </w:rPr>
        <w:t xml:space="preserve">Attachment </w:t>
      </w:r>
      <w:r w:rsidR="000C4A46">
        <w:rPr>
          <w:b/>
        </w:rPr>
        <w:t>O</w:t>
      </w:r>
      <w:r>
        <w:t>.</w:t>
      </w:r>
    </w:p>
    <w:p w:rsidR="000417C8" w:rsidP="000417C8" w14:paraId="063643F0" w14:textId="77777777">
      <w:pPr>
        <w:pStyle w:val="ListParagraph"/>
      </w:pPr>
    </w:p>
    <w:p w:rsidR="000417C8" w:rsidP="0001297B" w14:paraId="6AD90B2D" w14:textId="3B635A92">
      <w:pPr>
        <w:pStyle w:val="ListParagraph"/>
        <w:numPr>
          <w:ilvl w:val="0"/>
          <w:numId w:val="7"/>
        </w:numPr>
        <w:autoSpaceDE w:val="0"/>
        <w:autoSpaceDN w:val="0"/>
        <w:adjustRightInd w:val="0"/>
      </w:pPr>
      <w:r>
        <w:rPr>
          <w:i/>
        </w:rPr>
        <w:t xml:space="preserve">Step 3. Last chance letter.  </w:t>
      </w:r>
      <w:r>
        <w:t xml:space="preserve">Twelve weeks after the initial survey mailing, NORC will send one final mailed outreach to non-responding </w:t>
      </w:r>
      <w:r w:rsidR="0035726F">
        <w:t>courts</w:t>
      </w:r>
      <w:r>
        <w:t xml:space="preserve">. This will include a last chance letter, question guide, and letter of support from </w:t>
      </w:r>
      <w:r w:rsidR="0035726F">
        <w:t>NAICJA</w:t>
      </w:r>
      <w:r>
        <w:t xml:space="preserve">. Depending on project needs, this may either be sent out via USPS first class mail or FedEx, or some combination of the two depending on available addresses and successful previous contacts with the agency. A copy of the letter is attached as </w:t>
      </w:r>
      <w:r>
        <w:rPr>
          <w:b/>
          <w:bCs/>
        </w:rPr>
        <w:t xml:space="preserve">Attachment </w:t>
      </w:r>
      <w:r w:rsidR="000C4A46">
        <w:rPr>
          <w:b/>
          <w:bCs/>
        </w:rPr>
        <w:t>P</w:t>
      </w:r>
      <w:r>
        <w:t>.</w:t>
      </w:r>
    </w:p>
    <w:p w:rsidR="000417C8" w:rsidP="000417C8" w14:paraId="238EB802" w14:textId="77777777"/>
    <w:p w:rsidR="000417C8" w:rsidP="0001297B" w14:paraId="3535E58A" w14:textId="791962AD">
      <w:pPr>
        <w:pStyle w:val="ListParagraph"/>
        <w:numPr>
          <w:ilvl w:val="0"/>
          <w:numId w:val="7"/>
        </w:numPr>
        <w:autoSpaceDE w:val="0"/>
        <w:autoSpaceDN w:val="0"/>
        <w:adjustRightInd w:val="0"/>
      </w:pPr>
      <w:r>
        <w:rPr>
          <w:i/>
        </w:rPr>
        <w:t>Step 4. Last chance email prompts</w:t>
      </w:r>
      <w:r>
        <w:t xml:space="preserve">. Concurrent to the last chance letter, a last chance email will be sent to the best-known address of both </w:t>
      </w:r>
      <w:r w:rsidR="0035726F">
        <w:t xml:space="preserve">chief judge or court </w:t>
      </w:r>
      <w:r w:rsidR="0035726F">
        <w:t>administrators</w:t>
      </w:r>
      <w:r>
        <w:t xml:space="preserve"> and the tribal </w:t>
      </w:r>
      <w:r w:rsidR="0035726F">
        <w:t>courts</w:t>
      </w:r>
      <w:r>
        <w:t>. This will underscore the importance of participation</w:t>
      </w:r>
      <w:r w:rsidRPr="0035726F" w:rsidR="0035726F">
        <w:t xml:space="preserve"> </w:t>
      </w:r>
      <w:r w:rsidR="0035726F">
        <w:t>and will reflect any prior contact already made with the court</w:t>
      </w:r>
      <w:r w:rsidR="006C51D6">
        <w:t xml:space="preserve"> (</w:t>
      </w:r>
      <w:r w:rsidR="005C7CB5">
        <w:t xml:space="preserve">see </w:t>
      </w:r>
      <w:r w:rsidRPr="008D36C9" w:rsidR="006C51D6">
        <w:rPr>
          <w:b/>
          <w:bCs/>
        </w:rPr>
        <w:t>Attachment Q</w:t>
      </w:r>
      <w:r w:rsidR="006C51D6">
        <w:t>).</w:t>
      </w:r>
    </w:p>
    <w:p w:rsidR="000417C8" w:rsidP="000417C8" w14:paraId="6FB3BD8A" w14:textId="77777777"/>
    <w:p w:rsidR="006C51D6" w:rsidRPr="00472FE2" w:rsidP="0001297B" w14:paraId="063F52AD" w14:textId="5DEB804E">
      <w:pPr>
        <w:pStyle w:val="ListParagraph"/>
        <w:numPr>
          <w:ilvl w:val="0"/>
          <w:numId w:val="3"/>
        </w:numPr>
        <w:autoSpaceDE w:val="0"/>
        <w:autoSpaceDN w:val="0"/>
        <w:adjustRightInd w:val="0"/>
      </w:pPr>
      <w:r>
        <w:rPr>
          <w:i/>
        </w:rPr>
        <w:t>Step 5</w:t>
      </w:r>
      <w:r>
        <w:t xml:space="preserve">.  </w:t>
      </w:r>
      <w:r w:rsidRPr="009C532D" w:rsidR="00B74CA8">
        <w:rPr>
          <w:i/>
          <w:iCs/>
        </w:rPr>
        <w:t xml:space="preserve">NAICJA </w:t>
      </w:r>
      <w:r>
        <w:rPr>
          <w:i/>
        </w:rPr>
        <w:t>Nonresponse follow-up.</w:t>
      </w:r>
      <w:r>
        <w:t xml:space="preserve">  </w:t>
      </w:r>
      <w:r w:rsidR="00B74CA8">
        <w:t>Fourtee</w:t>
      </w:r>
      <w:r w:rsidR="00575EC9">
        <w:t>n</w:t>
      </w:r>
      <w:r>
        <w:t xml:space="preserve"> weeks after </w:t>
      </w:r>
      <w:r>
        <w:t>follow</w:t>
      </w:r>
      <w:r>
        <w:t xml:space="preserve"> up until the close of data collection, partner organizations that participated in the development of the C</w:t>
      </w:r>
      <w:r w:rsidR="00575EC9">
        <w:t>TCS</w:t>
      </w:r>
      <w:r>
        <w:t xml:space="preserve"> surveys will be asked to assist in the nonresponse follow-up by phone and email as necessary via personalized outreach. </w:t>
      </w:r>
      <w:r>
        <w:t xml:space="preserve">Scripts will be </w:t>
      </w:r>
      <w:r w:rsidR="005C7CB5">
        <w:t>similar to</w:t>
      </w:r>
      <w:r w:rsidR="005C7CB5">
        <w:t xml:space="preserve"> </w:t>
      </w:r>
      <w:r>
        <w:t xml:space="preserve">those provided in </w:t>
      </w:r>
      <w:r w:rsidRPr="006C51D6">
        <w:rPr>
          <w:b/>
          <w:bCs/>
        </w:rPr>
        <w:t>Attachment O and Q.</w:t>
      </w:r>
    </w:p>
    <w:p w:rsidR="000417C8" w:rsidP="009C532D" w14:paraId="5D7B523D" w14:textId="61170475">
      <w:pPr>
        <w:autoSpaceDE w:val="0"/>
        <w:autoSpaceDN w:val="0"/>
        <w:adjustRightInd w:val="0"/>
        <w:ind w:left="720"/>
      </w:pPr>
    </w:p>
    <w:p w:rsidR="006C51D6" w:rsidRPr="006C51D6" w:rsidP="009C532D" w14:paraId="479F54B4" w14:textId="39DDB124">
      <w:pPr>
        <w:rPr>
          <w:bCs/>
        </w:rPr>
      </w:pPr>
      <w:r w:rsidRPr="006C51D6">
        <w:rPr>
          <w:bCs/>
        </w:rPr>
        <w:t>Upon completion of the CT</w:t>
      </w:r>
      <w:r>
        <w:rPr>
          <w:bCs/>
        </w:rPr>
        <w:t>CS</w:t>
      </w:r>
      <w:r w:rsidRPr="006C51D6">
        <w:rPr>
          <w:bCs/>
        </w:rPr>
        <w:t xml:space="preserve"> survey, the responding agencies will be sent a Thank You Letter (</w:t>
      </w:r>
      <w:r w:rsidRPr="006C51D6">
        <w:rPr>
          <w:b/>
        </w:rPr>
        <w:t>Attachment R</w:t>
      </w:r>
      <w:r w:rsidRPr="006C51D6">
        <w:rPr>
          <w:bCs/>
        </w:rPr>
        <w:t>).</w:t>
      </w:r>
    </w:p>
    <w:p w:rsidR="000417C8" w:rsidRPr="00CF1432" w:rsidP="00CF1432" w14:paraId="579F5CB4" w14:textId="77777777">
      <w:pPr>
        <w:rPr>
          <w:b/>
        </w:rPr>
      </w:pPr>
    </w:p>
    <w:p w:rsidR="000417C8" w:rsidP="000417C8" w14:paraId="51DF2DF2" w14:textId="77777777">
      <w:pPr>
        <w:rPr>
          <w:b/>
        </w:rPr>
      </w:pPr>
      <w:r>
        <w:rPr>
          <w:b/>
        </w:rPr>
        <w:t>Phase 3.  Post data collection verification, validation and editing</w:t>
      </w:r>
    </w:p>
    <w:p w:rsidR="000417C8" w:rsidP="000417C8" w14:paraId="79F2703B" w14:textId="77777777">
      <w:pPr>
        <w:rPr>
          <w:b/>
        </w:rPr>
      </w:pPr>
    </w:p>
    <w:p w:rsidR="000417C8" w:rsidP="000417C8" w14:paraId="64C88709" w14:textId="3E697D8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themeColor="text1"/>
        </w:rPr>
      </w:pPr>
      <w:r>
        <w:rPr>
          <w:color w:val="000000" w:themeColor="text1"/>
        </w:rPr>
        <w:t xml:space="preserve">Throughout the data collection, </w:t>
      </w:r>
      <w:r>
        <w:rPr>
          <w:color w:val="000000" w:themeColor="text1"/>
        </w:rPr>
        <w:t xml:space="preserve">NORC staff will review frequencies on a weekly basis to assess </w:t>
      </w:r>
      <w:r>
        <w:rPr>
          <w:color w:val="000000" w:themeColor="text1"/>
        </w:rPr>
        <w:t xml:space="preserve">item missingness, </w:t>
      </w:r>
      <w:r>
        <w:rPr>
          <w:color w:val="000000" w:themeColor="text1"/>
        </w:rPr>
        <w:t>if values are within range</w:t>
      </w:r>
      <w:r>
        <w:rPr>
          <w:color w:val="000000" w:themeColor="text1"/>
        </w:rPr>
        <w:t>,</w:t>
      </w:r>
      <w:r>
        <w:rPr>
          <w:color w:val="000000" w:themeColor="text1"/>
        </w:rPr>
        <w:t xml:space="preserve"> and if inconsistencies can be resolved. </w:t>
      </w:r>
      <w:r>
        <w:rPr>
          <w:color w:val="000000" w:themeColor="text1"/>
        </w:rPr>
        <w:t xml:space="preserve">If </w:t>
      </w:r>
      <w:r>
        <w:rPr>
          <w:color w:val="000000" w:themeColor="text1"/>
        </w:rPr>
        <w:t xml:space="preserve">it is determined that </w:t>
      </w:r>
      <w:r>
        <w:rPr>
          <w:color w:val="000000" w:themeColor="text1"/>
        </w:rPr>
        <w:t>updated</w:t>
      </w:r>
      <w:r>
        <w:rPr>
          <w:color w:val="000000" w:themeColor="text1"/>
        </w:rPr>
        <w:t xml:space="preserve"> data are needed </w:t>
      </w:r>
      <w:r>
        <w:rPr>
          <w:color w:val="000000" w:themeColor="text1"/>
        </w:rPr>
        <w:t>due to</w:t>
      </w:r>
      <w:r>
        <w:rPr>
          <w:color w:val="000000" w:themeColor="text1"/>
        </w:rPr>
        <w:t xml:space="preserve"> errors, inconsistencies, or missing data, the data collection agent will contact the data provider for clarification as close as possible to the date of completion of the web survey (</w:t>
      </w:r>
      <w:r>
        <w:rPr>
          <w:b/>
          <w:color w:val="000000" w:themeColor="text1"/>
        </w:rPr>
        <w:t>Attachment</w:t>
      </w:r>
      <w:r w:rsidR="00755E5F">
        <w:rPr>
          <w:b/>
          <w:color w:val="000000" w:themeColor="text1"/>
        </w:rPr>
        <w:t>s</w:t>
      </w:r>
      <w:r>
        <w:rPr>
          <w:b/>
          <w:color w:val="000000" w:themeColor="text1"/>
        </w:rPr>
        <w:t xml:space="preserve"> </w:t>
      </w:r>
      <w:r w:rsidR="000C4A46">
        <w:rPr>
          <w:b/>
          <w:color w:val="000000" w:themeColor="text1"/>
        </w:rPr>
        <w:t>S</w:t>
      </w:r>
      <w:r w:rsidR="00755E5F">
        <w:rPr>
          <w:b/>
          <w:color w:val="000000" w:themeColor="text1"/>
        </w:rPr>
        <w:t xml:space="preserve"> and </w:t>
      </w:r>
      <w:r w:rsidR="000C4A46">
        <w:rPr>
          <w:b/>
          <w:color w:val="000000" w:themeColor="text1"/>
        </w:rPr>
        <w:t>T</w:t>
      </w:r>
      <w:r>
        <w:rPr>
          <w:color w:val="000000" w:themeColor="text1"/>
        </w:rPr>
        <w:t xml:space="preserve">). </w:t>
      </w:r>
    </w:p>
    <w:p w:rsidR="000417C8" w:rsidP="000417C8" w14:paraId="72D6F399" w14:textId="77777777"/>
    <w:p w:rsidR="000417C8" w:rsidP="000417C8" w14:paraId="3B4C2234" w14:textId="77777777">
      <w:pPr>
        <w:pStyle w:val="Default"/>
        <w:rPr>
          <w:rFonts w:ascii="Times New Roman" w:hAnsi="Times New Roman" w:cs="Times New Roman"/>
          <w:b/>
        </w:rPr>
      </w:pPr>
      <w:r>
        <w:rPr>
          <w:rFonts w:ascii="Times New Roman" w:hAnsi="Times New Roman" w:cs="Times New Roman"/>
          <w:b/>
        </w:rPr>
        <w:t>Phase 4:  Weighting for unit non-response and item imputation</w:t>
      </w:r>
    </w:p>
    <w:p w:rsidR="000417C8" w:rsidP="000417C8" w14:paraId="72C8F4D6" w14:textId="77777777">
      <w:pPr>
        <w:pStyle w:val="Default"/>
        <w:rPr>
          <w:rFonts w:ascii="Times New Roman" w:hAnsi="Times New Roman" w:cs="Times New Roman"/>
          <w:b/>
          <w:color w:val="auto"/>
        </w:rPr>
      </w:pPr>
    </w:p>
    <w:p w:rsidR="00F25963" w:rsidP="000417C8" w14:paraId="13B27E9A" w14:textId="77777777">
      <w:pPr>
        <w:pStyle w:val="SP-SglSpPara"/>
        <w:tabs>
          <w:tab w:val="left" w:pos="720"/>
        </w:tabs>
        <w:ind w:firstLine="0"/>
        <w:jc w:val="left"/>
        <w:rPr>
          <w:i/>
        </w:rPr>
      </w:pPr>
      <w:r>
        <w:rPr>
          <w:i/>
        </w:rPr>
        <w:t>Weighting for Unit Non-Respons</w:t>
      </w:r>
      <w:r>
        <w:rPr>
          <w:color w:val="000000" w:themeColor="text1"/>
        </w:rPr>
        <w:t>e</w:t>
      </w:r>
      <w:r>
        <w:rPr>
          <w:i/>
        </w:rPr>
        <w:t xml:space="preserve"> </w:t>
      </w:r>
    </w:p>
    <w:p w:rsidR="000417C8" w:rsidP="000417C8" w14:paraId="2265AEAE" w14:textId="25A70689">
      <w:pPr>
        <w:pStyle w:val="SP-SglSpPara"/>
        <w:tabs>
          <w:tab w:val="left" w:pos="720"/>
        </w:tabs>
        <w:ind w:firstLine="0"/>
        <w:jc w:val="left"/>
        <w:rPr>
          <w:i/>
        </w:rPr>
      </w:pPr>
      <w:r>
        <w:rPr>
          <w:i/>
        </w:rPr>
        <w:t xml:space="preserve"> </w:t>
      </w:r>
    </w:p>
    <w:p w:rsidR="000417C8" w:rsidP="000417C8" w14:paraId="31EB0348" w14:textId="215C26DB">
      <w:pPr>
        <w:pStyle w:val="SP-SglSpPara"/>
        <w:tabs>
          <w:tab w:val="left" w:pos="720"/>
        </w:tabs>
        <w:ind w:firstLine="0"/>
        <w:jc w:val="left"/>
        <w:rPr>
          <w:color w:val="000000" w:themeColor="text1"/>
          <w:sz w:val="24"/>
          <w:szCs w:val="24"/>
        </w:rPr>
      </w:pPr>
      <w:r>
        <w:rPr>
          <w:color w:val="000000" w:themeColor="text1"/>
          <w:sz w:val="24"/>
          <w:szCs w:val="24"/>
        </w:rPr>
        <w:t xml:space="preserve">Although it is anticipated that the steps mentioned above will result in participation from </w:t>
      </w:r>
      <w:r>
        <w:rPr>
          <w:color w:val="000000" w:themeColor="text1"/>
          <w:sz w:val="24"/>
          <w:szCs w:val="24"/>
        </w:rPr>
        <w:t>a large number of</w:t>
      </w:r>
      <w:r>
        <w:rPr>
          <w:color w:val="000000" w:themeColor="text1"/>
          <w:sz w:val="24"/>
          <w:szCs w:val="24"/>
        </w:rPr>
        <w:t xml:space="preserve"> </w:t>
      </w:r>
      <w:r w:rsidR="0002087A">
        <w:rPr>
          <w:color w:val="000000" w:themeColor="text1"/>
          <w:sz w:val="24"/>
          <w:szCs w:val="24"/>
        </w:rPr>
        <w:t>courts</w:t>
      </w:r>
      <w:r>
        <w:rPr>
          <w:color w:val="000000" w:themeColor="text1"/>
          <w:sz w:val="24"/>
          <w:szCs w:val="24"/>
        </w:rPr>
        <w:t xml:space="preserve">, </w:t>
      </w:r>
      <w:r>
        <w:rPr>
          <w:color w:val="000000" w:themeColor="text1"/>
          <w:sz w:val="24"/>
          <w:szCs w:val="24"/>
        </w:rPr>
        <w:t>similar to</w:t>
      </w:r>
      <w:r>
        <w:rPr>
          <w:color w:val="000000" w:themeColor="text1"/>
          <w:sz w:val="24"/>
          <w:szCs w:val="24"/>
        </w:rPr>
        <w:t xml:space="preserve"> the last iteration of the </w:t>
      </w:r>
      <w:r w:rsidR="0002087A">
        <w:rPr>
          <w:color w:val="000000" w:themeColor="text1"/>
          <w:sz w:val="24"/>
          <w:szCs w:val="24"/>
        </w:rPr>
        <w:t>NS</w:t>
      </w:r>
      <w:r w:rsidR="00755E5F">
        <w:rPr>
          <w:color w:val="000000" w:themeColor="text1"/>
          <w:sz w:val="24"/>
          <w:szCs w:val="24"/>
        </w:rPr>
        <w:t>TCS</w:t>
      </w:r>
      <w:r>
        <w:rPr>
          <w:color w:val="000000" w:themeColor="text1"/>
          <w:sz w:val="24"/>
          <w:szCs w:val="24"/>
        </w:rPr>
        <w:t xml:space="preserve"> data collection, there will likely be a percentage that do not complete the survey in a timely manner. While the </w:t>
      </w:r>
      <w:r w:rsidR="00755E5F">
        <w:rPr>
          <w:color w:val="000000" w:themeColor="text1"/>
          <w:sz w:val="24"/>
          <w:szCs w:val="24"/>
        </w:rPr>
        <w:t>CTCS</w:t>
      </w:r>
      <w:r>
        <w:rPr>
          <w:color w:val="000000" w:themeColor="text1"/>
          <w:sz w:val="24"/>
          <w:szCs w:val="24"/>
        </w:rPr>
        <w:t xml:space="preserve"> is intended to be a census, the final list of responding agencies is likely to be a nonrandom sample of the study population due to differential response rate across subpopulations. NORC will develop an analysis weight for each respondent through a two-step weighting adjustment procedure. The sample base weight is 1 for all sample members because it is a census. </w:t>
      </w:r>
    </w:p>
    <w:p w:rsidR="000417C8" w:rsidP="000417C8" w14:paraId="1FE9B23B" w14:textId="77777777">
      <w:pPr>
        <w:pStyle w:val="SP-SglSpPara"/>
        <w:tabs>
          <w:tab w:val="left" w:pos="720"/>
        </w:tabs>
        <w:ind w:firstLine="0"/>
        <w:jc w:val="left"/>
        <w:rPr>
          <w:color w:val="000000" w:themeColor="text1"/>
          <w:sz w:val="24"/>
          <w:szCs w:val="24"/>
        </w:rPr>
      </w:pPr>
    </w:p>
    <w:p w:rsidR="000417C8" w:rsidP="000417C8" w14:paraId="63674970" w14:textId="3660BB27">
      <w:pPr>
        <w:rPr>
          <w:color w:val="000000" w:themeColor="text1"/>
        </w:rPr>
      </w:pPr>
      <w:r>
        <w:rPr>
          <w:color w:val="000000" w:themeColor="text1"/>
        </w:rPr>
        <w:t xml:space="preserve">The second step is a nonresponse weight adjustment step. Through this adjustment, the weight carried by non-respondents is transferred to respondents within each adjustment cell so each responding </w:t>
      </w:r>
      <w:r w:rsidR="00FF2FF8">
        <w:rPr>
          <w:color w:val="000000" w:themeColor="text1"/>
        </w:rPr>
        <w:t xml:space="preserve">court </w:t>
      </w:r>
      <w:r>
        <w:rPr>
          <w:color w:val="000000" w:themeColor="text1"/>
        </w:rPr>
        <w:t xml:space="preserve">will represent a portion of the non-responding </w:t>
      </w:r>
      <w:r w:rsidR="00FF2FF8">
        <w:rPr>
          <w:color w:val="000000" w:themeColor="text1"/>
        </w:rPr>
        <w:t>court</w:t>
      </w:r>
      <w:r w:rsidR="00FF2FF8">
        <w:rPr>
          <w:color w:val="000000" w:themeColor="text1"/>
        </w:rPr>
        <w:t xml:space="preserve"> </w:t>
      </w:r>
      <w:r>
        <w:rPr>
          <w:color w:val="000000" w:themeColor="text1"/>
        </w:rPr>
        <w:t xml:space="preserve">and the sum of the weights will be the total number of eligible </w:t>
      </w:r>
      <w:r w:rsidR="00FF2FF8">
        <w:rPr>
          <w:color w:val="000000" w:themeColor="text1"/>
        </w:rPr>
        <w:t xml:space="preserve">courts </w:t>
      </w:r>
      <w:r>
        <w:rPr>
          <w:color w:val="000000" w:themeColor="text1"/>
        </w:rPr>
        <w:t>(</w:t>
      </w:r>
      <w:r w:rsidR="00784437">
        <w:rPr>
          <w:color w:val="000000" w:themeColor="text1"/>
        </w:rPr>
        <w:t>N=</w:t>
      </w:r>
      <w:r w:rsidR="00755E5F">
        <w:rPr>
          <w:color w:val="000000" w:themeColor="text1"/>
        </w:rPr>
        <w:t>378</w:t>
      </w:r>
      <w:r>
        <w:rPr>
          <w:color w:val="000000" w:themeColor="text1"/>
        </w:rPr>
        <w:t>). To determine which variables should be used to create the adjustment cells, a non-response bias analysis to compare response rates among different subgroups will be carried out. Variables analyzed will include the source of inclusio</w:t>
      </w:r>
      <w:r w:rsidR="00755E5F">
        <w:rPr>
          <w:color w:val="000000" w:themeColor="text1"/>
        </w:rPr>
        <w:t>n, court type</w:t>
      </w:r>
      <w:r>
        <w:rPr>
          <w:color w:val="000000" w:themeColor="text1"/>
        </w:rPr>
        <w:t xml:space="preserve">, PL-280 Status, Native American Land type, </w:t>
      </w:r>
      <w:r w:rsidR="00755E5F">
        <w:rPr>
          <w:color w:val="000000" w:themeColor="text1"/>
        </w:rPr>
        <w:t>court</w:t>
      </w:r>
      <w:r>
        <w:rPr>
          <w:color w:val="000000" w:themeColor="text1"/>
        </w:rPr>
        <w:t xml:space="preserve"> location (state or region), American Community Survey (ACS) Reservation Population Estimate (as a proxy for agency population size), and other ACS variables such as the percentage of the population that is American Indian. Response rates by land size (in square mile) categories will also be explored. Variables where subgroups have the largest differential response rates will be used to define the adjustment cells for the nonresponse weight adjustment. The details of these analyses will be included in a non-response bias analysis report. To avoid introducing unnecessary weight variation, each adjustment cell must contain at least 20 cases. </w:t>
      </w:r>
    </w:p>
    <w:p w:rsidR="000417C8" w:rsidP="000417C8" w14:paraId="0C793CE2" w14:textId="77777777">
      <w:pPr>
        <w:pStyle w:val="Default"/>
        <w:rPr>
          <w:rFonts w:ascii="Times New Roman" w:hAnsi="Times New Roman" w:cs="Times New Roman"/>
          <w:color w:val="auto"/>
        </w:rPr>
      </w:pPr>
    </w:p>
    <w:p w:rsidR="000417C8" w:rsidP="000417C8" w14:paraId="222172DC" w14:textId="77777777">
      <w:pPr>
        <w:pStyle w:val="Default"/>
        <w:rPr>
          <w:rFonts w:ascii="Times New Roman" w:hAnsi="Times New Roman" w:cs="Times New Roman"/>
          <w:i/>
          <w:color w:val="auto"/>
        </w:rPr>
      </w:pPr>
      <w:r>
        <w:rPr>
          <w:rFonts w:ascii="Times New Roman" w:hAnsi="Times New Roman" w:cs="Times New Roman"/>
          <w:i/>
          <w:color w:val="auto"/>
        </w:rPr>
        <w:t>Imputation for Item Non-Response</w:t>
      </w:r>
    </w:p>
    <w:p w:rsidR="000417C8" w:rsidP="000417C8" w14:paraId="784023B5" w14:textId="77777777">
      <w:pPr>
        <w:pStyle w:val="Default"/>
        <w:rPr>
          <w:rFonts w:ascii="Times New Roman" w:hAnsi="Times New Roman" w:cs="Times New Roman"/>
          <w:b/>
          <w:color w:val="auto"/>
          <w:u w:val="single"/>
        </w:rPr>
      </w:pPr>
    </w:p>
    <w:p w:rsidR="00175C1E" w:rsidP="00175C1E" w14:paraId="35282AB5" w14:textId="3A0A0E33">
      <w:pPr>
        <w:rPr>
          <w:color w:val="000000"/>
        </w:rPr>
      </w:pPr>
      <w:r w:rsidRPr="00B80372">
        <w:rPr>
          <w:color w:val="000000" w:themeColor="text1"/>
        </w:rPr>
        <w:t xml:space="preserve">While high item response is anticipated, </w:t>
      </w:r>
      <w:r>
        <w:rPr>
          <w:color w:val="000000" w:themeColor="text1"/>
        </w:rPr>
        <w:t>agencies</w:t>
      </w:r>
      <w:r w:rsidRPr="00B80372">
        <w:rPr>
          <w:color w:val="000000" w:themeColor="text1"/>
        </w:rPr>
        <w:t xml:space="preserve"> may leave items blank due to lack of access to the information or the fact that the data </w:t>
      </w:r>
      <w:r w:rsidRPr="00B80372">
        <w:rPr>
          <w:color w:val="000000" w:themeColor="text1"/>
        </w:rPr>
        <w:t>are</w:t>
      </w:r>
      <w:r w:rsidRPr="00B80372">
        <w:rPr>
          <w:color w:val="000000" w:themeColor="text1"/>
        </w:rPr>
        <w:t xml:space="preserve"> not being recorded by the </w:t>
      </w:r>
      <w:r w:rsidR="00FF2FF8">
        <w:rPr>
          <w:color w:val="000000" w:themeColor="text1"/>
        </w:rPr>
        <w:t>court</w:t>
      </w:r>
      <w:r w:rsidRPr="00B80372" w:rsidR="00FF2FF8">
        <w:rPr>
          <w:color w:val="000000" w:themeColor="text1"/>
        </w:rPr>
        <w:t xml:space="preserve">’s </w:t>
      </w:r>
      <w:r w:rsidRPr="00B80372">
        <w:rPr>
          <w:color w:val="000000" w:themeColor="text1"/>
        </w:rPr>
        <w:t xml:space="preserve">records management system. </w:t>
      </w:r>
      <w:r>
        <w:rPr>
          <w:color w:val="000000" w:themeColor="text1"/>
        </w:rPr>
        <w:t xml:space="preserve">To address this, it is planned to </w:t>
      </w:r>
      <w:r w:rsidRPr="00B80372">
        <w:rPr>
          <w:color w:val="000000" w:themeColor="text1"/>
        </w:rPr>
        <w:t xml:space="preserve">use </w:t>
      </w:r>
      <w:r>
        <w:rPr>
          <w:color w:val="000000" w:themeColor="text1"/>
        </w:rPr>
        <w:t xml:space="preserve">a </w:t>
      </w:r>
      <w:r w:rsidRPr="00B80372">
        <w:rPr>
          <w:color w:val="000000" w:themeColor="text1"/>
        </w:rPr>
        <w:t xml:space="preserve">hot-deck method for imputation to ensure </w:t>
      </w:r>
      <w:r>
        <w:rPr>
          <w:color w:val="000000" w:themeColor="text1"/>
        </w:rPr>
        <w:t xml:space="preserve">a </w:t>
      </w:r>
      <w:r w:rsidRPr="00B80372">
        <w:rPr>
          <w:color w:val="000000" w:themeColor="text1"/>
        </w:rPr>
        <w:t>complete data file</w:t>
      </w:r>
      <w:r>
        <w:rPr>
          <w:color w:val="000000" w:themeColor="text1"/>
        </w:rPr>
        <w:t xml:space="preserve"> as this method protects relationships between variables that are observed in the non-missing data. </w:t>
      </w:r>
      <w:r>
        <w:rPr>
          <w:color w:val="000000"/>
        </w:rPr>
        <w:t xml:space="preserve">This single-imputation method does result in an under-representation in variance. If there is a high non-response rate for certain items (20 percent or more), multiple </w:t>
      </w:r>
      <w:r>
        <w:rPr>
          <w:color w:val="000000"/>
        </w:rPr>
        <w:t>imputation</w:t>
      </w:r>
      <w:r>
        <w:rPr>
          <w:color w:val="000000"/>
        </w:rPr>
        <w:t xml:space="preserve"> could be considered for some variables. </w:t>
      </w:r>
    </w:p>
    <w:p w:rsidR="00175C1E" w:rsidP="00175C1E" w14:paraId="60FB37D8" w14:textId="77777777">
      <w:pPr>
        <w:rPr>
          <w:color w:val="000000"/>
        </w:rPr>
      </w:pPr>
    </w:p>
    <w:p w:rsidR="00175C1E" w:rsidP="00175C1E" w14:paraId="209A4E5C"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themeColor="text1"/>
        </w:rPr>
      </w:pPr>
      <w:r>
        <w:rPr>
          <w:color w:val="000000"/>
        </w:rPr>
        <w:t xml:space="preserve">Multiple imputation involves model building for multiple related variables in which all are imputed together or sequentially. </w:t>
      </w:r>
      <w:r>
        <w:rPr>
          <w:color w:val="000000" w:themeColor="text1"/>
        </w:rPr>
        <w:t xml:space="preserve">For each variable to be imputed with the hot-deck method, the file will be sorted by variables that have correlations with the variable to be imputed. These “sort” variables will be chosen based on models in which the variable to be imputed is the dependent variable and the independent variables (sort variable candidates) will be other questionnaire items or variables known for all eligible agencies considered for weighting (see above). Once the file is sorted, the hot-deck imputation will use the nearest neighbor as the donor for the missing value. Each variable to be </w:t>
      </w:r>
      <w:r>
        <w:rPr>
          <w:color w:val="000000" w:themeColor="text1"/>
        </w:rPr>
        <w:t>imputed</w:t>
      </w:r>
      <w:r>
        <w:rPr>
          <w:color w:val="000000" w:themeColor="text1"/>
        </w:rPr>
        <w:t xml:space="preserve"> will be sorted according to its own set of sort variables. </w:t>
      </w:r>
    </w:p>
    <w:p w:rsidR="000417C8" w:rsidP="000417C8" w14:paraId="212A0D32" w14:textId="1C81B55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color w:val="000000" w:themeColor="text1"/>
        </w:rPr>
      </w:pPr>
      <w:r>
        <w:rPr>
          <w:color w:val="000000" w:themeColor="text1"/>
        </w:rPr>
        <w:t xml:space="preserve"> </w:t>
      </w:r>
    </w:p>
    <w:p w:rsidR="000417C8" w:rsidRPr="009C532D" w:rsidP="009C532D" w14:paraId="3952E7C5" w14:textId="371734D5">
      <w:pPr>
        <w:rPr>
          <w:b/>
          <w:u w:val="single"/>
        </w:rPr>
      </w:pPr>
      <w:r>
        <w:rPr>
          <w:b/>
          <w:u w:val="single"/>
        </w:rPr>
        <w:t xml:space="preserve">3.  </w:t>
      </w:r>
      <w:r w:rsidRPr="009C532D">
        <w:rPr>
          <w:b/>
          <w:u w:val="single"/>
        </w:rPr>
        <w:t>Methods to Maximize Response Rates</w:t>
      </w:r>
    </w:p>
    <w:p w:rsidR="000417C8" w:rsidP="000417C8" w14:paraId="3C923414" w14:textId="77777777">
      <w:pPr>
        <w:pStyle w:val="ListParagraph"/>
        <w:ind w:left="360"/>
        <w:rPr>
          <w:b/>
          <w:u w:val="single"/>
        </w:rPr>
      </w:pPr>
    </w:p>
    <w:p w:rsidR="000417C8" w:rsidP="000417C8" w14:paraId="4FE4AFFE" w14:textId="5C472637">
      <w:r>
        <w:t>T</w:t>
      </w:r>
      <w:r>
        <w:t xml:space="preserve">he most recent </w:t>
      </w:r>
      <w:r w:rsidR="00FF2FF8">
        <w:t>NS</w:t>
      </w:r>
      <w:r w:rsidR="00C469C7">
        <w:t>TCS</w:t>
      </w:r>
      <w:r>
        <w:t xml:space="preserve"> </w:t>
      </w:r>
      <w:r>
        <w:t xml:space="preserve">had a </w:t>
      </w:r>
      <w:r>
        <w:t xml:space="preserve">response rate of </w:t>
      </w:r>
      <w:r w:rsidR="00C469C7">
        <w:t>84</w:t>
      </w:r>
      <w:r>
        <w:t>%</w:t>
      </w:r>
      <w:r>
        <w:t>, but the CTCS aims to achieve a minimum census response rate of 90%</w:t>
      </w:r>
      <w:r>
        <w:rPr>
          <w:rStyle w:val="FootnoteReference"/>
        </w:rPr>
        <w:footnoteReference w:id="5"/>
      </w:r>
      <w:r>
        <w:t xml:space="preserve"> using the methods outlined below</w:t>
      </w:r>
      <w:r w:rsidR="005E6CC0">
        <w:t>.</w:t>
      </w:r>
    </w:p>
    <w:p w:rsidR="000417C8" w:rsidP="000417C8" w14:paraId="13407D1E" w14:textId="77777777"/>
    <w:p w:rsidR="000417C8" w:rsidP="000417C8" w14:paraId="2C0C9335" w14:textId="01B0E88D">
      <w:r>
        <w:t xml:space="preserve">BJS and NORC have and will continue to undertake various steps to help facilitate high response rates for the </w:t>
      </w:r>
      <w:r w:rsidR="005E6CC0">
        <w:t>CTCS</w:t>
      </w:r>
      <w:r>
        <w:t xml:space="preserve"> survey. In addition to the various survey methodology strategies discussed in the data collection section above, best practices learned from the cognitive test and for collecting data from tribal </w:t>
      </w:r>
      <w:r w:rsidR="00FF2FF8">
        <w:t>courts</w:t>
      </w:r>
      <w:r>
        <w:t xml:space="preserve"> will be incorporated. BJS, NORC, and partner agencies have taken a proactive approach to engage with key stakeholders, including tribal leadership, federal government agencies, and tribal </w:t>
      </w:r>
      <w:r w:rsidR="00A57123">
        <w:t>courts</w:t>
      </w:r>
      <w:r>
        <w:t xml:space="preserve">, as well as coordinate with BIA and tribal organizations and tribal </w:t>
      </w:r>
      <w:r w:rsidR="00AA10FC">
        <w:t>justice system</w:t>
      </w:r>
      <w:r>
        <w:t xml:space="preserve"> experts from around the country to design the </w:t>
      </w:r>
      <w:r w:rsidR="00AA10FC">
        <w:t>CTCS</w:t>
      </w:r>
      <w:r>
        <w:t xml:space="preserve"> survey instruments. The development of the </w:t>
      </w:r>
      <w:r w:rsidR="00AA10FC">
        <w:t>CTCS</w:t>
      </w:r>
      <w:r>
        <w:t xml:space="preserve"> survey with the input and support of tribal </w:t>
      </w:r>
      <w:r w:rsidR="00AA10FC">
        <w:t>court</w:t>
      </w:r>
      <w:r w:rsidR="0042688F">
        <w:t xml:space="preserve"> system</w:t>
      </w:r>
      <w:r>
        <w:t xml:space="preserve"> practitioners working in Indian country continues to be essential to the development of the </w:t>
      </w:r>
      <w:r w:rsidR="00195A97">
        <w:t>culturally centered</w:t>
      </w:r>
      <w:r>
        <w:t xml:space="preserve"> survey and served to inform tribal nations about the project early on.  In July, 2025, an introduction letter and one-page flyer summarizing project activities of both the </w:t>
      </w:r>
      <w:r w:rsidR="0042688F">
        <w:t>CTCS</w:t>
      </w:r>
      <w:r>
        <w:t xml:space="preserve"> and the companion </w:t>
      </w:r>
      <w:r w:rsidR="0042688F">
        <w:t>CTLE</w:t>
      </w:r>
      <w:r w:rsidR="00C620D4">
        <w:t>A</w:t>
      </w:r>
      <w:r>
        <w:t xml:space="preserve"> survey were sent to tribal leaders of all federally recognized tribes informing them of the CT</w:t>
      </w:r>
      <w:r w:rsidR="00C620D4">
        <w:t>CS</w:t>
      </w:r>
      <w:r>
        <w:t xml:space="preserve"> project, the types of data to be collected, the reasons for the collection, and requesting their support, in addition to encouraging participation in the tribal </w:t>
      </w:r>
      <w:r w:rsidR="00C620D4">
        <w:t>court</w:t>
      </w:r>
      <w:r>
        <w:t xml:space="preserve"> verification process described above.</w:t>
      </w:r>
    </w:p>
    <w:p w:rsidR="000417C8" w:rsidP="000417C8" w14:paraId="797831A4" w14:textId="77777777"/>
    <w:p w:rsidR="000417C8" w:rsidP="00A2343D" w14:paraId="7541CB88" w14:textId="4E9F5422">
      <w:pPr>
        <w:tabs>
          <w:tab w:val="left" w:pos="8892"/>
        </w:tabs>
        <w:rPr>
          <w:bCs/>
        </w:rPr>
      </w:pPr>
      <w:r>
        <w:rPr>
          <w:b/>
        </w:rPr>
        <w:t xml:space="preserve">Tribal and Federal Webinars. </w:t>
      </w:r>
      <w:r>
        <w:rPr>
          <w:bCs/>
        </w:rPr>
        <w:t xml:space="preserve">As described in Part A, </w:t>
      </w:r>
      <w:r w:rsidR="0042688F">
        <w:rPr>
          <w:bCs/>
        </w:rPr>
        <w:t>t</w:t>
      </w:r>
      <w:r>
        <w:rPr>
          <w:bCs/>
        </w:rPr>
        <w:t xml:space="preserve">hrough the series of hosted webinars, BJS sought tribal leader, tribal </w:t>
      </w:r>
      <w:r w:rsidR="0042688F">
        <w:rPr>
          <w:bCs/>
        </w:rPr>
        <w:t xml:space="preserve">court administrators and </w:t>
      </w:r>
      <w:r>
        <w:rPr>
          <w:bCs/>
        </w:rPr>
        <w:t>law enforcement</w:t>
      </w:r>
      <w:r w:rsidR="0042688F">
        <w:rPr>
          <w:bCs/>
        </w:rPr>
        <w:t xml:space="preserve"> </w:t>
      </w:r>
      <w:r w:rsidR="00B16294">
        <w:rPr>
          <w:bCs/>
        </w:rPr>
        <w:t>officers</w:t>
      </w:r>
      <w:r>
        <w:rPr>
          <w:bCs/>
        </w:rPr>
        <w:t xml:space="preserve">, justice practitioners working in Indian Country, and other interested parties’ input on data needs, data </w:t>
      </w:r>
      <w:r>
        <w:rPr>
          <w:bCs/>
        </w:rPr>
        <w:t xml:space="preserve">gaps, and successes and challenges faced by tribal justice systems. </w:t>
      </w:r>
      <w:r w:rsidRPr="00A2343D" w:rsidR="00A2343D">
        <w:rPr>
          <w:bCs/>
        </w:rPr>
        <w:t>It is our hope that these efforts will result in full engagement and participation in the survey.</w:t>
      </w:r>
    </w:p>
    <w:p w:rsidR="00A2343D" w:rsidP="00A2343D" w14:paraId="3D2ECF1A" w14:textId="77777777">
      <w:pPr>
        <w:tabs>
          <w:tab w:val="left" w:pos="8892"/>
        </w:tabs>
        <w:rPr>
          <w:b/>
        </w:rPr>
      </w:pPr>
    </w:p>
    <w:p w:rsidR="000417C8" w:rsidP="000417C8" w14:paraId="782A0DB9" w14:textId="2DF2432C">
      <w:pPr>
        <w:tabs>
          <w:tab w:val="left" w:pos="8892"/>
        </w:tabs>
      </w:pPr>
      <w:r>
        <w:rPr>
          <w:b/>
        </w:rPr>
        <w:t>Indian country law enforcement expert panel.</w:t>
      </w:r>
      <w:r>
        <w:t xml:space="preserve">  Also outlined in Part A, to ensure that the </w:t>
      </w:r>
      <w:r w:rsidR="00A2343D">
        <w:t>CTCS</w:t>
      </w:r>
      <w:r>
        <w:t xml:space="preserve"> survey captures key measures on the administration and operation of tribal </w:t>
      </w:r>
      <w:r w:rsidR="00A2343D">
        <w:t>courts</w:t>
      </w:r>
      <w:r>
        <w:t xml:space="preserve"> with clarity and an informed perspective from tribal </w:t>
      </w:r>
      <w:r w:rsidR="005A3867">
        <w:t>court system</w:t>
      </w:r>
      <w:r>
        <w:t xml:space="preserve"> professionals, BJS hosted a two-day expert panel meeting in Albuquerque, New Mexico in March, 2024 comprised of representatives from various </w:t>
      </w:r>
      <w:r w:rsidR="005A3867">
        <w:t>tribal courts</w:t>
      </w:r>
      <w:r>
        <w:t xml:space="preserve"> that work directly in Indian country. In total, there were 39 attendees of the Tribal Justice Panel</w:t>
      </w:r>
      <w:r w:rsidRPr="00A57123" w:rsidR="00A57123">
        <w:t xml:space="preserve"> </w:t>
      </w:r>
      <w:r w:rsidR="00A57123">
        <w:t>including</w:t>
      </w:r>
      <w:r w:rsidRPr="004119B0" w:rsidR="00A57123">
        <w:t xml:space="preserve"> subject matter experts in tribal </w:t>
      </w:r>
      <w:r w:rsidR="00A57123">
        <w:t xml:space="preserve">court systems, </w:t>
      </w:r>
      <w:r w:rsidRPr="004119B0" w:rsidR="00A57123">
        <w:t xml:space="preserve">law enforcement, </w:t>
      </w:r>
      <w:r w:rsidR="00A57123">
        <w:t>and</w:t>
      </w:r>
      <w:r w:rsidRPr="004119B0" w:rsidR="00A57123">
        <w:t xml:space="preserve"> </w:t>
      </w:r>
      <w:r w:rsidR="00A57123">
        <w:t>representing</w:t>
      </w:r>
      <w:r w:rsidRPr="004119B0" w:rsidR="00A57123">
        <w:t xml:space="preserve"> tribes exercising various types of</w:t>
      </w:r>
      <w:r w:rsidR="00A57123">
        <w:t xml:space="preserve"> </w:t>
      </w:r>
      <w:r w:rsidR="00A57123">
        <w:t>courts</w:t>
      </w:r>
      <w:r>
        <w:t xml:space="preserve">. </w:t>
      </w:r>
    </w:p>
    <w:p w:rsidR="000417C8" w:rsidP="000417C8" w14:paraId="005D7303" w14:textId="77777777">
      <w:pPr>
        <w:tabs>
          <w:tab w:val="left" w:pos="8892"/>
        </w:tabs>
      </w:pPr>
    </w:p>
    <w:p w:rsidR="00195A97" w:rsidP="00195A97" w14:paraId="1342DAF0" w14:textId="3BB3A63C">
      <w:pPr>
        <w:tabs>
          <w:tab w:val="left" w:pos="8892"/>
        </w:tabs>
      </w:pPr>
      <w:r w:rsidRPr="0033664A">
        <w:t xml:space="preserve">There were also 10 federal attendees </w:t>
      </w:r>
      <w:r>
        <w:t>at</w:t>
      </w:r>
      <w:r w:rsidRPr="0033664A">
        <w:t xml:space="preserve"> the meeting</w:t>
      </w:r>
      <w:r>
        <w:t xml:space="preserve"> representing </w:t>
      </w:r>
      <w:r w:rsidRPr="0033664A">
        <w:t>BJS</w:t>
      </w:r>
      <w:r>
        <w:t>,</w:t>
      </w:r>
      <w:r w:rsidRPr="0033664A">
        <w:t xml:space="preserve"> FBI, OJJDP, OTJ, and BIA. These federal staff attended the meeting to learn more about the needs of tribal </w:t>
      </w:r>
      <w:r w:rsidR="00F65394">
        <w:t xml:space="preserve">court systems and </w:t>
      </w:r>
      <w:r w:rsidRPr="0033664A">
        <w:t>law enforcement agencies and to offer their input on the</w:t>
      </w:r>
      <w:r w:rsidR="008D36C9">
        <w:t xml:space="preserve"> </w:t>
      </w:r>
      <w:r w:rsidRPr="0033664A">
        <w:t xml:space="preserve">CTCS </w:t>
      </w:r>
      <w:r w:rsidR="00F65394">
        <w:t xml:space="preserve">and CTLEA </w:t>
      </w:r>
      <w:r w:rsidRPr="0033664A">
        <w:t xml:space="preserve">surveys. Some federal attendees </w:t>
      </w:r>
      <w:r>
        <w:t xml:space="preserve">(FBI and OJJDP) </w:t>
      </w:r>
      <w:r w:rsidRPr="0033664A">
        <w:t xml:space="preserve">also gave presentations describing other federally sponsored tribal data collections </w:t>
      </w:r>
      <w:r w:rsidRPr="0033664A" w:rsidR="0056533F">
        <w:t>that</w:t>
      </w:r>
      <w:r w:rsidRPr="0033664A">
        <w:t xml:space="preserve"> </w:t>
      </w:r>
      <w:r w:rsidR="0056533F">
        <w:t>they</w:t>
      </w:r>
      <w:r w:rsidR="0056533F">
        <w:t xml:space="preserve"> </w:t>
      </w:r>
      <w:r w:rsidRPr="0033664A">
        <w:t>help facilitate. These presentations aimed to inform panel members of the various tribal data collections already taking place to avoid duplicating data collection efforts and identify gaps in current data collections.</w:t>
      </w:r>
    </w:p>
    <w:p w:rsidR="00195A97" w:rsidRPr="004119B0" w:rsidP="00195A97" w14:paraId="06D5D95F" w14:textId="77777777">
      <w:pPr>
        <w:tabs>
          <w:tab w:val="left" w:pos="8892"/>
        </w:tabs>
      </w:pPr>
    </w:p>
    <w:p w:rsidR="000417C8" w:rsidP="000417C8" w14:paraId="1A96798D" w14:textId="77777777">
      <w:pPr>
        <w:tabs>
          <w:tab w:val="left" w:pos="8892"/>
        </w:tabs>
      </w:pPr>
      <w:r>
        <w:t xml:space="preserve">In addition to presentations and open discussion, panel members spent a significant portion of the panel reviewing and suggesting changes to the prior round’s survey instrument and provided content and survey item suggestions. The panel members conducted a detailed review of the survey content and questions section by section. In addition, the panelists also discussed eligibility criteria, dissemination of survey reports, and engagement with tribal leadership and respect of tribal sovereignty.  </w:t>
      </w:r>
    </w:p>
    <w:p w:rsidR="000417C8" w:rsidP="000417C8" w14:paraId="19C1E7D2" w14:textId="77777777"/>
    <w:p w:rsidR="000417C8" w:rsidP="000417C8" w14:paraId="3EE735B6" w14:textId="3091FE19">
      <w:r>
        <w:rPr>
          <w:b/>
        </w:rPr>
        <w:t xml:space="preserve">Indian Country </w:t>
      </w:r>
      <w:r w:rsidR="005A3867">
        <w:rPr>
          <w:b/>
        </w:rPr>
        <w:t xml:space="preserve">tribal court </w:t>
      </w:r>
      <w:r>
        <w:rPr>
          <w:b/>
        </w:rPr>
        <w:t>marketing strategy</w:t>
      </w:r>
      <w:r>
        <w:t xml:space="preserve">. As described earlier, prior to the </w:t>
      </w:r>
      <w:r w:rsidR="005A3867">
        <w:t>start</w:t>
      </w:r>
      <w:r>
        <w:t xml:space="preserve"> of data collection, </w:t>
      </w:r>
      <w:r w:rsidR="005A3867">
        <w:t>NAICJA</w:t>
      </w:r>
      <w:r>
        <w:t xml:space="preserve"> will lead outreach to </w:t>
      </w:r>
      <w:r w:rsidR="00FE25F5">
        <w:t xml:space="preserve">tribal nations, </w:t>
      </w:r>
      <w:r w:rsidR="005A3867">
        <w:t>tribal courts</w:t>
      </w:r>
      <w:r>
        <w:t xml:space="preserve"> and </w:t>
      </w:r>
      <w:r w:rsidR="00FE25F5">
        <w:t xml:space="preserve">various Indian country focused </w:t>
      </w:r>
      <w:r>
        <w:t xml:space="preserve">membership </w:t>
      </w:r>
      <w:r w:rsidR="00FE25F5">
        <w:t xml:space="preserve">organizations </w:t>
      </w:r>
      <w:r>
        <w:t xml:space="preserve">to inform them of the upcoming </w:t>
      </w:r>
      <w:r w:rsidR="005A3867">
        <w:t>CTCS</w:t>
      </w:r>
      <w:r>
        <w:t xml:space="preserve"> collection.</w:t>
      </w:r>
      <w:r w:rsidR="005A3867">
        <w:t xml:space="preserve"> One of their key methods of outreach and engagement is through attendance and presentations at relevant conferences.</w:t>
      </w:r>
      <w:r>
        <w:t xml:space="preserve"> In addition to conference attendance</w:t>
      </w:r>
      <w:r w:rsidR="00F65394">
        <w:t xml:space="preserve"> and</w:t>
      </w:r>
      <w:r>
        <w:t xml:space="preserve"> hosting webinars, </w:t>
      </w:r>
      <w:r w:rsidR="005A3867">
        <w:t>NAICJA</w:t>
      </w:r>
      <w:r>
        <w:t xml:space="preserve"> and NORC will also share a </w:t>
      </w:r>
      <w:r w:rsidR="005A3867">
        <w:t>CTCS</w:t>
      </w:r>
      <w:r>
        <w:t xml:space="preserve"> project summary </w:t>
      </w:r>
      <w:r w:rsidR="004A1699">
        <w:t>(</w:t>
      </w:r>
      <w:r w:rsidRPr="008D36C9" w:rsidR="004A1699">
        <w:rPr>
          <w:b/>
          <w:bCs/>
        </w:rPr>
        <w:t>Attachment I</w:t>
      </w:r>
      <w:r w:rsidR="004A1699">
        <w:t>) with</w:t>
      </w:r>
      <w:r>
        <w:t xml:space="preserve"> various Native American media, professional associations and organizations asking that they distribute materials about the project. </w:t>
      </w:r>
      <w:r w:rsidR="005A3867">
        <w:t>The</w:t>
      </w:r>
      <w:r>
        <w:t xml:space="preserve"> NORC </w:t>
      </w:r>
      <w:r w:rsidR="005A3867">
        <w:t>website</w:t>
      </w:r>
      <w:r>
        <w:t xml:space="preserve"> </w:t>
      </w:r>
      <w:r w:rsidR="00873F9F">
        <w:t>(</w:t>
      </w:r>
      <w:hyperlink r:id="rId11" w:history="1">
        <w:r w:rsidRPr="00873F9F" w:rsidR="00873F9F">
          <w:rPr>
            <w:color w:val="0000FF"/>
            <w:u w:val="single"/>
          </w:rPr>
          <w:t>Census of Tribal Court Systems | NORC at the University of Chicago</w:t>
        </w:r>
      </w:hyperlink>
      <w:r w:rsidR="00873F9F">
        <w:t xml:space="preserve">) </w:t>
      </w:r>
      <w:r>
        <w:t xml:space="preserve">will describe the utility and benefits of </w:t>
      </w:r>
      <w:r w:rsidR="005A3867">
        <w:t>CTCS</w:t>
      </w:r>
      <w:r>
        <w:t xml:space="preserve"> results in understanding the challenges of crime and justice in Indian country and it will also indicate the types of information that will be collected, including budgets, staffing and work activities. </w:t>
      </w:r>
      <w:r w:rsidR="004A1699">
        <w:t xml:space="preserve">NAICJA </w:t>
      </w:r>
      <w:r>
        <w:t xml:space="preserve">will host a website on its domain highlighting details of the study and the importance of participating, </w:t>
      </w:r>
      <w:r>
        <w:t>similar to</w:t>
      </w:r>
      <w:r>
        <w:t xml:space="preserve"> content already hosted on the NORC domain.</w:t>
      </w:r>
      <w:r>
        <w:rPr>
          <w:rStyle w:val="FootnoteReference"/>
        </w:rPr>
        <w:footnoteReference w:id="6"/>
      </w:r>
      <w:r>
        <w:t xml:space="preserve"> </w:t>
      </w:r>
    </w:p>
    <w:p w:rsidR="000417C8" w:rsidP="000417C8" w14:paraId="47045977" w14:textId="77777777"/>
    <w:p w:rsidR="000417C8" w:rsidP="000417C8" w14:paraId="0CE8F59D" w14:textId="0AF0248A">
      <w:r>
        <w:rPr>
          <w:b/>
        </w:rPr>
        <w:t>Letter of support.</w:t>
      </w:r>
      <w:r>
        <w:t xml:space="preserve">  A letter of support (</w:t>
      </w:r>
      <w:r>
        <w:rPr>
          <w:b/>
        </w:rPr>
        <w:t xml:space="preserve">Attachment </w:t>
      </w:r>
      <w:r w:rsidR="000C4A46">
        <w:rPr>
          <w:b/>
        </w:rPr>
        <w:t>J</w:t>
      </w:r>
      <w:r>
        <w:t xml:space="preserve">) from </w:t>
      </w:r>
      <w:r w:rsidR="00BB0855">
        <w:t>NAICJA</w:t>
      </w:r>
      <w:r>
        <w:t xml:space="preserve"> will accompany the initial survey mailing.  Subsequent updates about the value of the survey will continue to be communicated to </w:t>
      </w:r>
      <w:r w:rsidR="008E16F8">
        <w:t>NAICJA’s</w:t>
      </w:r>
      <w:r>
        <w:t xml:space="preserve"> membership</w:t>
      </w:r>
      <w:r w:rsidR="008E16F8">
        <w:t xml:space="preserve"> listserv</w:t>
      </w:r>
      <w:r>
        <w:t xml:space="preserve">, which has many tribal </w:t>
      </w:r>
      <w:r w:rsidR="008E16F8">
        <w:t>justice system professionals</w:t>
      </w:r>
      <w:r>
        <w:t xml:space="preserve"> as members. </w:t>
      </w:r>
      <w:r w:rsidR="00195A97">
        <w:t xml:space="preserve">NAICJA </w:t>
      </w:r>
      <w:r>
        <w:t xml:space="preserve">will also issue project updates via social media outlets, conferences, and other communications to their membership. </w:t>
      </w:r>
    </w:p>
    <w:p w:rsidR="000417C8" w:rsidP="000417C8" w14:paraId="6023312B" w14:textId="77777777">
      <w:pPr>
        <w:rPr>
          <w:b/>
        </w:rPr>
      </w:pPr>
    </w:p>
    <w:p w:rsidR="000417C8" w:rsidP="000417C8" w14:paraId="4122341C" w14:textId="77777777">
      <w:r>
        <w:rPr>
          <w:b/>
        </w:rPr>
        <w:t>Response modes</w:t>
      </w:r>
      <w:r>
        <w:t xml:space="preserve">.  The data collection plan includes a multi-mode collection strategy so that surveys may either be completed online or via phone. A </w:t>
      </w:r>
      <w:r>
        <w:t>hardcopy</w:t>
      </w:r>
      <w:r>
        <w:t xml:space="preserve"> option is not planned as the skip logic of the survey is more sophisticated this round compared to the previous round. </w:t>
      </w:r>
    </w:p>
    <w:p w:rsidR="000417C8" w:rsidP="000417C8" w14:paraId="5835E8D1" w14:textId="77777777"/>
    <w:p w:rsidR="000417C8" w:rsidP="000417C8" w14:paraId="2731812E" w14:textId="77777777">
      <w:r>
        <w:t xml:space="preserve">Additionally, NORC will monitor a project specific email address and toll-free number, both of which </w:t>
      </w:r>
      <w:r>
        <w:t>allows</w:t>
      </w:r>
      <w:r>
        <w:t xml:space="preserve"> respondents to contact NORC with questions on the survey or issues they encounter. </w:t>
      </w:r>
    </w:p>
    <w:p w:rsidR="0095011B" w:rsidP="0095011B" w14:paraId="6E2EFEAC" w14:textId="77777777">
      <w:pPr>
        <w:shd w:val="solid" w:color="FFFFFF" w:fill="FFFFFF"/>
        <w:autoSpaceDE w:val="0"/>
        <w:autoSpaceDN w:val="0"/>
        <w:adjustRightInd w:val="0"/>
        <w:rPr>
          <w:u w:val="single"/>
        </w:rPr>
      </w:pPr>
      <w:r>
        <w:rPr>
          <w:b/>
          <w:u w:val="single"/>
        </w:rPr>
        <w:t xml:space="preserve">  </w:t>
      </w:r>
    </w:p>
    <w:p w:rsidR="0095011B" w:rsidRPr="009C532D" w:rsidP="009C532D" w14:paraId="57760F40" w14:textId="245886D0">
      <w:pPr>
        <w:shd w:val="solid" w:color="FFFFFF" w:fill="FFFFFF"/>
        <w:autoSpaceDE w:val="0"/>
        <w:autoSpaceDN w:val="0"/>
        <w:adjustRightInd w:val="0"/>
        <w:rPr>
          <w:u w:val="single"/>
        </w:rPr>
      </w:pPr>
      <w:r>
        <w:rPr>
          <w:u w:val="single"/>
        </w:rPr>
        <w:t xml:space="preserve">4.  </w:t>
      </w:r>
      <w:r w:rsidRPr="009C532D">
        <w:rPr>
          <w:u w:val="single"/>
        </w:rPr>
        <w:t>Test of Procedures or Methods</w:t>
      </w:r>
    </w:p>
    <w:p w:rsidR="001C6875" w:rsidRPr="00E2256A" w:rsidP="009C532D" w14:paraId="12A6D976" w14:textId="77777777"/>
    <w:p w:rsidR="004471C1" w:rsidP="001C6875" w14:paraId="16D13573" w14:textId="576DED92">
      <w:pPr>
        <w:rPr>
          <w:i/>
        </w:rPr>
      </w:pPr>
      <w:r>
        <w:rPr>
          <w:i/>
        </w:rPr>
        <w:t>Frame Verification</w:t>
      </w:r>
    </w:p>
    <w:p w:rsidR="00C937F2" w:rsidP="001C6875" w14:paraId="6FC30E9D" w14:textId="77777777">
      <w:pPr>
        <w:rPr>
          <w:i/>
        </w:rPr>
      </w:pPr>
    </w:p>
    <w:p w:rsidR="00CF3A61" w:rsidRPr="00CF3A61" w:rsidP="00CF3A61" w14:paraId="1F9BE774" w14:textId="035EBBEB">
      <w:r w:rsidRPr="00CF3A61">
        <w:t xml:space="preserve">As outlined in section B1, frame verification was conducted through several steps: 1) comparing the list of tribes to BIA’s annual list of 575 federally recognized tribes, 2) contacting tribal leadership to review and update existing information on tribal </w:t>
      </w:r>
      <w:r w:rsidR="0095011B">
        <w:t>courts</w:t>
      </w:r>
      <w:r w:rsidRPr="00CF3A61">
        <w:t xml:space="preserve">, 3) scanning </w:t>
      </w:r>
      <w:r w:rsidR="007177DF">
        <w:t>NAICJA’s</w:t>
      </w:r>
      <w:r w:rsidRPr="00CF3A61">
        <w:t xml:space="preserve"> membership database, and lastly, 4) checking online sources</w:t>
      </w:r>
      <w:r w:rsidR="00D7189F">
        <w:t xml:space="preserve">, including the </w:t>
      </w:r>
      <w:r w:rsidRPr="00D7189F" w:rsidR="00D7189F">
        <w:t xml:space="preserve">Alaska Legal Services Corporation </w:t>
      </w:r>
      <w:r w:rsidR="00D7189F">
        <w:t>online directory</w:t>
      </w:r>
      <w:r w:rsidRPr="00CF3A61">
        <w:t xml:space="preserve"> or, in the event that the information could not be verified through other sources, contacting the tribe to ensure the most current and correct information is available.   </w:t>
      </w:r>
    </w:p>
    <w:p w:rsidR="00CF3A61" w:rsidRPr="00CF3A61" w:rsidP="00CF3A61" w14:paraId="3B0B21CF" w14:textId="77777777"/>
    <w:p w:rsidR="00CF3A61" w:rsidRPr="00CF3A61" w:rsidP="00CF3A61" w14:paraId="351CE5C8" w14:textId="0C4EC7BE">
      <w:r w:rsidRPr="00CF3A61">
        <w:t xml:space="preserve">As a result of the updating process outlined above, </w:t>
      </w:r>
      <w:r w:rsidR="00D7189F">
        <w:t>378</w:t>
      </w:r>
      <w:r w:rsidRPr="00CF3A61">
        <w:t xml:space="preserve"> total </w:t>
      </w:r>
      <w:r w:rsidR="00D7189F">
        <w:t>tribal courts</w:t>
      </w:r>
      <w:r w:rsidRPr="00CF3A61">
        <w:t xml:space="preserve"> </w:t>
      </w:r>
      <w:r w:rsidR="0095011B">
        <w:t xml:space="preserve">(including BIA CFR courts) </w:t>
      </w:r>
      <w:r w:rsidRPr="00CF3A61">
        <w:t xml:space="preserve">were identified as meeting the </w:t>
      </w:r>
      <w:r w:rsidR="00D7189F">
        <w:t>CTCS</w:t>
      </w:r>
      <w:r w:rsidRPr="00CF3A61">
        <w:t xml:space="preserve"> eligibility criteria. Ongoing updates to </w:t>
      </w:r>
      <w:r w:rsidR="003444FC">
        <w:t xml:space="preserve">court </w:t>
      </w:r>
      <w:r w:rsidRPr="00CF3A61">
        <w:t xml:space="preserve">contact information will be incorporated into the universe list as new information is made publicly available by the tribes via website updates, by BIA, or through other public sources. </w:t>
      </w:r>
    </w:p>
    <w:p w:rsidR="004471C1" w:rsidP="001C6875" w14:paraId="4FFF1D58" w14:textId="77777777">
      <w:pPr>
        <w:rPr>
          <w:i/>
        </w:rPr>
      </w:pPr>
    </w:p>
    <w:p w:rsidR="001C6875" w:rsidP="001C6875" w14:paraId="25F13074" w14:textId="72FC3160">
      <w:pPr>
        <w:rPr>
          <w:i/>
        </w:rPr>
      </w:pPr>
      <w:r>
        <w:rPr>
          <w:i/>
        </w:rPr>
        <w:t>Survey development</w:t>
      </w:r>
    </w:p>
    <w:p w:rsidR="001C6875" w:rsidRPr="005E592C" w:rsidP="001C6875" w14:paraId="30DC888A" w14:textId="77777777">
      <w:pPr>
        <w:rPr>
          <w:i/>
        </w:rPr>
      </w:pPr>
    </w:p>
    <w:p w:rsidR="00E7644A" w:rsidP="00E7644A" w14:paraId="4740EAB2" w14:textId="203ABC60">
      <w:r>
        <w:t>BJS built on the existing 2014 NSTCS survey and developed new survey questions to capture topics most critical to tribes, tribal justice experts, tribal court systems, and federal agencies.</w:t>
      </w:r>
      <w:r w:rsidR="008D36C9">
        <w:t xml:space="preserve"> </w:t>
      </w:r>
      <w:r>
        <w:t xml:space="preserve">A thorough literature review, a scan of new and updated legislation since the last iteration of the CTCS collection, and numerous outreach and engagement events seeking input from tribal representatives were conducted to inform modifications to the survey instrument. </w:t>
      </w:r>
    </w:p>
    <w:p w:rsidR="00253C85" w:rsidP="001C6875" w14:paraId="5A81E870" w14:textId="77777777"/>
    <w:p w:rsidR="00E7644A" w:rsidP="00E7644A" w14:paraId="311235C7" w14:textId="6BCDD10F">
      <w:r>
        <w:rPr>
          <w:b/>
        </w:rPr>
        <w:t>CTCS</w:t>
      </w:r>
      <w:r w:rsidRPr="00CA384B" w:rsidR="005B23CB">
        <w:rPr>
          <w:b/>
        </w:rPr>
        <w:t xml:space="preserve"> cognitive testing</w:t>
      </w:r>
      <w:r w:rsidR="005B23CB">
        <w:t xml:space="preserve">.  </w:t>
      </w:r>
      <w:r w:rsidR="001808E8">
        <w:t xml:space="preserve">On behalf of </w:t>
      </w:r>
      <w:r w:rsidR="005B23CB">
        <w:t>BJS</w:t>
      </w:r>
      <w:r w:rsidR="001808E8">
        <w:t>, NORC at the University of Chicago (NORC)</w:t>
      </w:r>
      <w:r w:rsidR="005B23CB">
        <w:t xml:space="preserve"> </w:t>
      </w:r>
      <w:r w:rsidR="008E1F71">
        <w:t xml:space="preserve">conducted a </w:t>
      </w:r>
      <w:r w:rsidR="00FE2AFE">
        <w:t>cognitive</w:t>
      </w:r>
      <w:r w:rsidR="005B23CB">
        <w:t xml:space="preserve"> test</w:t>
      </w:r>
      <w:r w:rsidR="008E1F71">
        <w:t xml:space="preserve"> using</w:t>
      </w:r>
      <w:r w:rsidR="005B23CB">
        <w:t xml:space="preserve"> the revised </w:t>
      </w:r>
      <w:r>
        <w:t>CTCS</w:t>
      </w:r>
      <w:r w:rsidR="005B23CB">
        <w:t xml:space="preserve"> survey to </w:t>
      </w:r>
      <w:r w:rsidR="00065195">
        <w:t xml:space="preserve">confirm item comprehension </w:t>
      </w:r>
      <w:r w:rsidR="005B23CB">
        <w:t xml:space="preserve">and assess the respondent burden. </w:t>
      </w:r>
      <w:r w:rsidR="00E44AE9">
        <w:t xml:space="preserve">The </w:t>
      </w:r>
      <w:r w:rsidR="00FE2AFE">
        <w:t>cognitive</w:t>
      </w:r>
      <w:r w:rsidR="00E44AE9">
        <w:t xml:space="preserve"> testing was conducted under the BJS </w:t>
      </w:r>
      <w:r>
        <w:t>g</w:t>
      </w:r>
      <w:r w:rsidR="00E44AE9">
        <w:t xml:space="preserve">eneric </w:t>
      </w:r>
      <w:r>
        <w:t>c</w:t>
      </w:r>
      <w:r w:rsidR="00E44AE9">
        <w:t xml:space="preserve">learance (OMB Control Number </w:t>
      </w:r>
      <w:r w:rsidRPr="00004A34" w:rsidR="00E44AE9">
        <w:t>1121-0339</w:t>
      </w:r>
      <w:r w:rsidR="00E44AE9">
        <w:t>).</w:t>
      </w:r>
      <w:r w:rsidR="005B23CB">
        <w:t xml:space="preserve"> </w:t>
      </w:r>
      <w:r>
        <w:t>A total of 20 tribal courts were selected and invited to participate in cognitive testing. To ensure representation, the following criteria were considered: size of resident population, geographic location, and PL-280 status. The cognitive test period lasted from August 8</w:t>
      </w:r>
      <w:r w:rsidRPr="004569D2">
        <w:rPr>
          <w:vertAlign w:val="superscript"/>
        </w:rPr>
        <w:t>th</w:t>
      </w:r>
      <w:r>
        <w:t xml:space="preserve"> through October 24</w:t>
      </w:r>
      <w:r w:rsidRPr="003E6C87">
        <w:rPr>
          <w:vertAlign w:val="superscript"/>
        </w:rPr>
        <w:t>th</w:t>
      </w:r>
      <w:r>
        <w:t xml:space="preserve">, </w:t>
      </w:r>
      <w:r>
        <w:t>2025</w:t>
      </w:r>
      <w:r>
        <w:t xml:space="preserve"> and a total of 13 tribal courts completed the cognitive interview. A breakout of the participating agencies is shown in </w:t>
      </w:r>
      <w:r w:rsidRPr="00CF1432" w:rsidR="008770F3">
        <w:rPr>
          <w:b/>
          <w:bCs/>
        </w:rPr>
        <w:t>t</w:t>
      </w:r>
      <w:r w:rsidRPr="00CF1432">
        <w:rPr>
          <w:b/>
          <w:bCs/>
        </w:rPr>
        <w:t xml:space="preserve">able </w:t>
      </w:r>
      <w:r w:rsidRPr="00CF1432" w:rsidR="00AE4D08">
        <w:rPr>
          <w:b/>
          <w:bCs/>
        </w:rPr>
        <w:t>2</w:t>
      </w:r>
      <w:r>
        <w:t xml:space="preserve">. </w:t>
      </w:r>
    </w:p>
    <w:p w:rsidR="00022506" w14:paraId="232647EF" w14:textId="77777777">
      <w:pPr>
        <w:spacing w:after="200" w:line="276" w:lineRule="auto"/>
      </w:pPr>
    </w:p>
    <w:p w:rsidR="00281542" w:rsidP="002B713E" w14:paraId="3D89DDBB" w14:textId="5441A6B1">
      <w:pPr>
        <w:rPr>
          <w:b/>
          <w:bCs/>
        </w:rPr>
      </w:pPr>
      <w:r w:rsidRPr="009C532D">
        <w:rPr>
          <w:b/>
          <w:bCs/>
        </w:rPr>
        <w:t xml:space="preserve">Table </w:t>
      </w:r>
      <w:r w:rsidR="00AE4D08">
        <w:rPr>
          <w:b/>
          <w:bCs/>
        </w:rPr>
        <w:t>2</w:t>
      </w:r>
      <w:r w:rsidRPr="009C532D">
        <w:rPr>
          <w:b/>
          <w:bCs/>
        </w:rPr>
        <w:t xml:space="preserve">.   </w:t>
      </w:r>
      <w:r w:rsidRPr="009C532D" w:rsidR="007B3533">
        <w:rPr>
          <w:b/>
          <w:bCs/>
        </w:rPr>
        <w:t>C</w:t>
      </w:r>
      <w:r w:rsidRPr="009C532D">
        <w:rPr>
          <w:b/>
          <w:bCs/>
        </w:rPr>
        <w:t xml:space="preserve">ognitive testing </w:t>
      </w:r>
      <w:r w:rsidR="00C937F2">
        <w:rPr>
          <w:b/>
          <w:bCs/>
        </w:rPr>
        <w:t>tribal courts by</w:t>
      </w:r>
      <w:r w:rsidRPr="009C532D" w:rsidR="00C937F2">
        <w:rPr>
          <w:b/>
          <w:bCs/>
        </w:rPr>
        <w:t xml:space="preserve"> </w:t>
      </w:r>
      <w:r w:rsidRPr="009C532D">
        <w:rPr>
          <w:b/>
          <w:bCs/>
        </w:rPr>
        <w:t>selection criteria</w:t>
      </w:r>
    </w:p>
    <w:p w:rsidR="003C6CAF" w:rsidRPr="009C532D" w:rsidP="002B713E" w14:paraId="7DCFD1B0" w14:textId="77777777">
      <w:pPr>
        <w:rPr>
          <w:b/>
          <w:bCs/>
        </w:rPr>
      </w:pPr>
    </w:p>
    <w:tbl>
      <w:tblPr>
        <w:tblStyle w:val="GridTable1LightAccent1"/>
        <w:tblW w:w="9358" w:type="dxa"/>
        <w:tblLook w:val="04A0"/>
      </w:tblPr>
      <w:tblGrid>
        <w:gridCol w:w="2665"/>
        <w:gridCol w:w="2312"/>
        <w:gridCol w:w="1836"/>
        <w:gridCol w:w="2545"/>
      </w:tblGrid>
      <w:tr w14:paraId="3E4A52C6" w14:textId="77777777" w:rsidTr="009C532D">
        <w:tblPrEx>
          <w:tblW w:w="9358" w:type="dxa"/>
          <w:tblLook w:val="04A0"/>
        </w:tblPrEx>
        <w:trPr>
          <w:trHeight w:val="410"/>
        </w:trPr>
        <w:tc>
          <w:tcPr>
            <w:tcW w:w="2665" w:type="dxa"/>
            <w:hideMark/>
          </w:tcPr>
          <w:p w:rsidR="0095011B" w:rsidRPr="00CC15DA" w:rsidP="00CC15DA" w14:paraId="73430C61" w14:textId="77777777">
            <w:pPr>
              <w:rPr>
                <w:b w:val="0"/>
              </w:rPr>
            </w:pPr>
            <w:r w:rsidRPr="00CC15DA">
              <w:t>ID Number</w:t>
            </w:r>
          </w:p>
        </w:tc>
        <w:tc>
          <w:tcPr>
            <w:tcW w:w="2312" w:type="dxa"/>
            <w:hideMark/>
          </w:tcPr>
          <w:p w:rsidR="0095011B" w:rsidRPr="00CC15DA" w:rsidP="00CC15DA" w14:paraId="7A06DF0F" w14:textId="77777777">
            <w:pPr>
              <w:rPr>
                <w:b w:val="0"/>
              </w:rPr>
            </w:pPr>
            <w:r w:rsidRPr="00CC15DA">
              <w:t>PL-280 Status</w:t>
            </w:r>
          </w:p>
        </w:tc>
        <w:tc>
          <w:tcPr>
            <w:tcW w:w="1836" w:type="dxa"/>
            <w:hideMark/>
          </w:tcPr>
          <w:p w:rsidR="0095011B" w:rsidRPr="00CC15DA" w:rsidP="00CC15DA" w14:paraId="74A839CF" w14:textId="77777777">
            <w:pPr>
              <w:rPr>
                <w:b w:val="0"/>
              </w:rPr>
            </w:pPr>
            <w:r w:rsidRPr="00CC15DA">
              <w:t>Size</w:t>
            </w:r>
          </w:p>
        </w:tc>
        <w:tc>
          <w:tcPr>
            <w:tcW w:w="2545" w:type="dxa"/>
            <w:hideMark/>
          </w:tcPr>
          <w:p w:rsidR="0095011B" w:rsidRPr="00CC15DA" w:rsidP="00CC15DA" w14:paraId="74BEA1AC" w14:textId="77777777">
            <w:pPr>
              <w:rPr>
                <w:b w:val="0"/>
              </w:rPr>
            </w:pPr>
            <w:r w:rsidRPr="00CC15DA">
              <w:t>Geography</w:t>
            </w:r>
          </w:p>
        </w:tc>
      </w:tr>
      <w:tr w14:paraId="56B07EE1" w14:textId="77777777" w:rsidTr="009C532D">
        <w:tblPrEx>
          <w:tblW w:w="9358" w:type="dxa"/>
          <w:tblLook w:val="04A0"/>
        </w:tblPrEx>
        <w:trPr>
          <w:trHeight w:val="322"/>
        </w:trPr>
        <w:tc>
          <w:tcPr>
            <w:tcW w:w="2665" w:type="dxa"/>
            <w:hideMark/>
          </w:tcPr>
          <w:p w:rsidR="0095011B" w:rsidRPr="00CC15DA" w:rsidP="00220755" w14:paraId="44563E76" w14:textId="34E2BB5C">
            <w:r>
              <w:t xml:space="preserve">20001030 </w:t>
            </w:r>
          </w:p>
        </w:tc>
        <w:tc>
          <w:tcPr>
            <w:tcW w:w="2312" w:type="dxa"/>
            <w:hideMark/>
          </w:tcPr>
          <w:p w:rsidR="0095011B" w:rsidRPr="00CC15DA" w:rsidP="00220755" w14:paraId="11EF12CF" w14:textId="557D37DC">
            <w:r>
              <w:t xml:space="preserve">Not PL-280 </w:t>
            </w:r>
          </w:p>
        </w:tc>
        <w:tc>
          <w:tcPr>
            <w:tcW w:w="1836" w:type="dxa"/>
            <w:hideMark/>
          </w:tcPr>
          <w:p w:rsidR="0095011B" w:rsidRPr="00CC15DA" w:rsidP="00220755" w14:paraId="1BB1539C" w14:textId="60AC32ED">
            <w:r>
              <w:t xml:space="preserve">Small </w:t>
            </w:r>
          </w:p>
        </w:tc>
        <w:tc>
          <w:tcPr>
            <w:tcW w:w="2545" w:type="dxa"/>
            <w:hideMark/>
          </w:tcPr>
          <w:p w:rsidR="0095011B" w:rsidRPr="00CC15DA" w:rsidP="00220755" w14:paraId="7CE15B4A" w14:textId="01687FF3">
            <w:r>
              <w:t xml:space="preserve">South </w:t>
            </w:r>
          </w:p>
        </w:tc>
      </w:tr>
      <w:tr w14:paraId="2341A1E2" w14:textId="77777777" w:rsidTr="009C532D">
        <w:tblPrEx>
          <w:tblW w:w="9358" w:type="dxa"/>
          <w:tblLook w:val="04A0"/>
        </w:tblPrEx>
        <w:trPr>
          <w:trHeight w:val="322"/>
        </w:trPr>
        <w:tc>
          <w:tcPr>
            <w:tcW w:w="2665" w:type="dxa"/>
          </w:tcPr>
          <w:p w:rsidR="0095011B" w:rsidRPr="00CC15DA" w:rsidP="00220755" w14:paraId="449415C8" w14:textId="39ED89F8">
            <w:r>
              <w:t xml:space="preserve">20001050 </w:t>
            </w:r>
          </w:p>
        </w:tc>
        <w:tc>
          <w:tcPr>
            <w:tcW w:w="2312" w:type="dxa"/>
            <w:hideMark/>
          </w:tcPr>
          <w:p w:rsidR="0095011B" w:rsidRPr="00CC15DA" w:rsidP="00220755" w14:paraId="2C51D8CB" w14:textId="7B33B651">
            <w:r>
              <w:t xml:space="preserve">Not PL-280 </w:t>
            </w:r>
          </w:p>
        </w:tc>
        <w:tc>
          <w:tcPr>
            <w:tcW w:w="1836" w:type="dxa"/>
            <w:hideMark/>
          </w:tcPr>
          <w:p w:rsidR="0095011B" w:rsidRPr="00CC15DA" w:rsidP="00220755" w14:paraId="5AF6A3CF" w14:textId="62C3BFF9">
            <w:r>
              <w:t xml:space="preserve">Small </w:t>
            </w:r>
          </w:p>
        </w:tc>
        <w:tc>
          <w:tcPr>
            <w:tcW w:w="2545" w:type="dxa"/>
            <w:hideMark/>
          </w:tcPr>
          <w:p w:rsidR="0095011B" w:rsidRPr="00CC15DA" w:rsidP="00220755" w14:paraId="42F72F4A" w14:textId="0218AD91">
            <w:r>
              <w:t xml:space="preserve">West </w:t>
            </w:r>
          </w:p>
        </w:tc>
      </w:tr>
      <w:tr w14:paraId="346EFE15" w14:textId="77777777" w:rsidTr="009C532D">
        <w:tblPrEx>
          <w:tblW w:w="9358" w:type="dxa"/>
          <w:tblLook w:val="04A0"/>
        </w:tblPrEx>
        <w:trPr>
          <w:trHeight w:val="322"/>
        </w:trPr>
        <w:tc>
          <w:tcPr>
            <w:tcW w:w="2665" w:type="dxa"/>
          </w:tcPr>
          <w:p w:rsidR="0095011B" w:rsidRPr="00CC15DA" w:rsidP="00220755" w14:paraId="25E6D637" w14:textId="6954D002">
            <w:r>
              <w:t xml:space="preserve">20001010 </w:t>
            </w:r>
          </w:p>
        </w:tc>
        <w:tc>
          <w:tcPr>
            <w:tcW w:w="2312" w:type="dxa"/>
            <w:hideMark/>
          </w:tcPr>
          <w:p w:rsidR="0095011B" w:rsidRPr="00CC15DA" w:rsidP="00220755" w14:paraId="695F4346" w14:textId="656996B0">
            <w:r>
              <w:t xml:space="preserve">Not PL-280 </w:t>
            </w:r>
          </w:p>
        </w:tc>
        <w:tc>
          <w:tcPr>
            <w:tcW w:w="1836" w:type="dxa"/>
            <w:hideMark/>
          </w:tcPr>
          <w:p w:rsidR="0095011B" w:rsidRPr="00CC15DA" w:rsidP="00220755" w14:paraId="06A4B551" w14:textId="4C5672FE">
            <w:r>
              <w:t xml:space="preserve">Small </w:t>
            </w:r>
          </w:p>
        </w:tc>
        <w:tc>
          <w:tcPr>
            <w:tcW w:w="2545" w:type="dxa"/>
            <w:hideMark/>
          </w:tcPr>
          <w:p w:rsidR="0095011B" w:rsidRPr="00CC15DA" w:rsidP="00220755" w14:paraId="77CC9294" w14:textId="5E01CF6D">
            <w:r>
              <w:t xml:space="preserve">East </w:t>
            </w:r>
          </w:p>
        </w:tc>
      </w:tr>
      <w:tr w14:paraId="61DDBE61" w14:textId="77777777" w:rsidTr="009C532D">
        <w:tblPrEx>
          <w:tblW w:w="9358" w:type="dxa"/>
          <w:tblLook w:val="04A0"/>
        </w:tblPrEx>
        <w:trPr>
          <w:trHeight w:val="322"/>
        </w:trPr>
        <w:tc>
          <w:tcPr>
            <w:tcW w:w="2665" w:type="dxa"/>
            <w:hideMark/>
          </w:tcPr>
          <w:p w:rsidR="0095011B" w:rsidRPr="00CC15DA" w:rsidP="00220755" w14:paraId="21164CAA" w14:textId="26455396">
            <w:r>
              <w:t xml:space="preserve">20001100 </w:t>
            </w:r>
          </w:p>
        </w:tc>
        <w:tc>
          <w:tcPr>
            <w:tcW w:w="2312" w:type="dxa"/>
            <w:hideMark/>
          </w:tcPr>
          <w:p w:rsidR="0095011B" w:rsidRPr="00CC15DA" w:rsidP="00220755" w14:paraId="488A6599" w14:textId="5BFCCA7B">
            <w:r>
              <w:t xml:space="preserve">PL-280 </w:t>
            </w:r>
          </w:p>
        </w:tc>
        <w:tc>
          <w:tcPr>
            <w:tcW w:w="1836" w:type="dxa"/>
            <w:hideMark/>
          </w:tcPr>
          <w:p w:rsidR="0095011B" w:rsidRPr="00CC15DA" w:rsidP="00220755" w14:paraId="00686A7D" w14:textId="2EFDB7FC">
            <w:r>
              <w:t xml:space="preserve">Small </w:t>
            </w:r>
          </w:p>
        </w:tc>
        <w:tc>
          <w:tcPr>
            <w:tcW w:w="2545" w:type="dxa"/>
            <w:hideMark/>
          </w:tcPr>
          <w:p w:rsidR="0095011B" w:rsidRPr="00CC15DA" w:rsidP="00220755" w14:paraId="40C9F0F6" w14:textId="3D086C0D">
            <w:r>
              <w:t xml:space="preserve">Alaska </w:t>
            </w:r>
          </w:p>
        </w:tc>
      </w:tr>
      <w:tr w14:paraId="365E393A" w14:textId="77777777" w:rsidTr="009C532D">
        <w:tblPrEx>
          <w:tblW w:w="9358" w:type="dxa"/>
          <w:tblLook w:val="04A0"/>
        </w:tblPrEx>
        <w:trPr>
          <w:trHeight w:val="322"/>
        </w:trPr>
        <w:tc>
          <w:tcPr>
            <w:tcW w:w="2665" w:type="dxa"/>
            <w:hideMark/>
          </w:tcPr>
          <w:p w:rsidR="0095011B" w:rsidRPr="00CC15DA" w:rsidP="00220755" w14:paraId="12DD7F69" w14:textId="7B3425A3">
            <w:r>
              <w:t xml:space="preserve">20001070 </w:t>
            </w:r>
          </w:p>
        </w:tc>
        <w:tc>
          <w:tcPr>
            <w:tcW w:w="2312" w:type="dxa"/>
            <w:hideMark/>
          </w:tcPr>
          <w:p w:rsidR="0095011B" w:rsidRPr="00CC15DA" w:rsidP="00220755" w14:paraId="442314FF" w14:textId="593FE1FC">
            <w:r>
              <w:t xml:space="preserve">PL-280 </w:t>
            </w:r>
          </w:p>
        </w:tc>
        <w:tc>
          <w:tcPr>
            <w:tcW w:w="1836" w:type="dxa"/>
            <w:hideMark/>
          </w:tcPr>
          <w:p w:rsidR="0095011B" w:rsidRPr="00CC15DA" w:rsidP="00220755" w14:paraId="10E9456B" w14:textId="1A67C145">
            <w:r>
              <w:t xml:space="preserve">Small </w:t>
            </w:r>
          </w:p>
        </w:tc>
        <w:tc>
          <w:tcPr>
            <w:tcW w:w="2545" w:type="dxa"/>
            <w:hideMark/>
          </w:tcPr>
          <w:p w:rsidR="0095011B" w:rsidRPr="00CC15DA" w:rsidP="00220755" w14:paraId="6018D7FC" w14:textId="33CFF293">
            <w:r>
              <w:t xml:space="preserve">West </w:t>
            </w:r>
          </w:p>
        </w:tc>
      </w:tr>
      <w:tr w14:paraId="5EA5DCB7" w14:textId="77777777" w:rsidTr="009C532D">
        <w:tblPrEx>
          <w:tblW w:w="9358" w:type="dxa"/>
          <w:tblLook w:val="04A0"/>
        </w:tblPrEx>
        <w:trPr>
          <w:trHeight w:val="322"/>
        </w:trPr>
        <w:tc>
          <w:tcPr>
            <w:tcW w:w="2665" w:type="dxa"/>
            <w:hideMark/>
          </w:tcPr>
          <w:p w:rsidR="0095011B" w:rsidRPr="00CC15DA" w:rsidP="00220755" w14:paraId="57C64321" w14:textId="26729059">
            <w:r>
              <w:t xml:space="preserve">20001080 </w:t>
            </w:r>
          </w:p>
        </w:tc>
        <w:tc>
          <w:tcPr>
            <w:tcW w:w="2312" w:type="dxa"/>
            <w:hideMark/>
          </w:tcPr>
          <w:p w:rsidR="0095011B" w:rsidRPr="00CC15DA" w:rsidP="00220755" w14:paraId="5F56891D" w14:textId="07C98E63">
            <w:r>
              <w:t xml:space="preserve">PL-280 </w:t>
            </w:r>
          </w:p>
        </w:tc>
        <w:tc>
          <w:tcPr>
            <w:tcW w:w="1836" w:type="dxa"/>
            <w:hideMark/>
          </w:tcPr>
          <w:p w:rsidR="0095011B" w:rsidRPr="00CC15DA" w:rsidP="00220755" w14:paraId="15D6FBDF" w14:textId="6A6522DF">
            <w:r>
              <w:t xml:space="preserve">Small </w:t>
            </w:r>
          </w:p>
        </w:tc>
        <w:tc>
          <w:tcPr>
            <w:tcW w:w="2545" w:type="dxa"/>
            <w:hideMark/>
          </w:tcPr>
          <w:p w:rsidR="0095011B" w:rsidRPr="00CC15DA" w:rsidP="00220755" w14:paraId="738967C9" w14:textId="6EA0B44F">
            <w:r>
              <w:t xml:space="preserve">West </w:t>
            </w:r>
          </w:p>
        </w:tc>
      </w:tr>
      <w:tr w14:paraId="55CC2AA8" w14:textId="77777777" w:rsidTr="009C532D">
        <w:tblPrEx>
          <w:tblW w:w="9358" w:type="dxa"/>
          <w:tblLook w:val="04A0"/>
        </w:tblPrEx>
        <w:trPr>
          <w:trHeight w:val="361"/>
        </w:trPr>
        <w:tc>
          <w:tcPr>
            <w:tcW w:w="2665" w:type="dxa"/>
            <w:hideMark/>
          </w:tcPr>
          <w:p w:rsidR="0095011B" w:rsidRPr="00CC15DA" w:rsidP="00220755" w14:paraId="1C113E29" w14:textId="1F829D09">
            <w:r>
              <w:t xml:space="preserve">20001090 </w:t>
            </w:r>
          </w:p>
        </w:tc>
        <w:tc>
          <w:tcPr>
            <w:tcW w:w="2312" w:type="dxa"/>
            <w:hideMark/>
          </w:tcPr>
          <w:p w:rsidR="0095011B" w:rsidRPr="00CC15DA" w:rsidP="00220755" w14:paraId="461EF3FB" w14:textId="57F17EF9">
            <w:r>
              <w:t xml:space="preserve">PL-280 </w:t>
            </w:r>
          </w:p>
        </w:tc>
        <w:tc>
          <w:tcPr>
            <w:tcW w:w="1836" w:type="dxa"/>
            <w:hideMark/>
          </w:tcPr>
          <w:p w:rsidR="0095011B" w:rsidRPr="00CC15DA" w:rsidP="00220755" w14:paraId="2C82C73E" w14:textId="4A65804B">
            <w:r>
              <w:t xml:space="preserve">Small </w:t>
            </w:r>
          </w:p>
        </w:tc>
        <w:tc>
          <w:tcPr>
            <w:tcW w:w="2545" w:type="dxa"/>
            <w:hideMark/>
          </w:tcPr>
          <w:p w:rsidR="0095011B" w:rsidRPr="00CC15DA" w:rsidP="00220755" w14:paraId="30224DF2" w14:textId="60F2E713">
            <w:r>
              <w:t xml:space="preserve">North </w:t>
            </w:r>
          </w:p>
        </w:tc>
      </w:tr>
      <w:tr w14:paraId="2BDEB10E" w14:textId="77777777" w:rsidTr="009C532D">
        <w:tblPrEx>
          <w:tblW w:w="9358" w:type="dxa"/>
          <w:tblLook w:val="04A0"/>
        </w:tblPrEx>
        <w:trPr>
          <w:trHeight w:val="361"/>
        </w:trPr>
        <w:tc>
          <w:tcPr>
            <w:tcW w:w="2665" w:type="dxa"/>
            <w:hideMark/>
          </w:tcPr>
          <w:p w:rsidR="0095011B" w:rsidRPr="00CC15DA" w:rsidP="00220755" w14:paraId="148D55FC" w14:textId="1CCE87A6">
            <w:r>
              <w:t xml:space="preserve">20001130 </w:t>
            </w:r>
          </w:p>
        </w:tc>
        <w:tc>
          <w:tcPr>
            <w:tcW w:w="2312" w:type="dxa"/>
            <w:hideMark/>
          </w:tcPr>
          <w:p w:rsidR="0095011B" w:rsidRPr="00CC15DA" w:rsidP="00220755" w14:paraId="6312C9D4" w14:textId="613339C0">
            <w:r>
              <w:t xml:space="preserve">Not PL-280 </w:t>
            </w:r>
          </w:p>
        </w:tc>
        <w:tc>
          <w:tcPr>
            <w:tcW w:w="1836" w:type="dxa"/>
            <w:hideMark/>
          </w:tcPr>
          <w:p w:rsidR="0095011B" w:rsidRPr="00CC15DA" w:rsidP="00220755" w14:paraId="62D5B370" w14:textId="53EECB13">
            <w:r>
              <w:t xml:space="preserve">Medium </w:t>
            </w:r>
          </w:p>
        </w:tc>
        <w:tc>
          <w:tcPr>
            <w:tcW w:w="2545" w:type="dxa"/>
            <w:hideMark/>
          </w:tcPr>
          <w:p w:rsidR="0095011B" w:rsidRPr="00CC15DA" w:rsidP="00220755" w14:paraId="3B51BF55" w14:textId="6B0A1EAD">
            <w:r>
              <w:t xml:space="preserve">West </w:t>
            </w:r>
          </w:p>
        </w:tc>
      </w:tr>
      <w:tr w14:paraId="618CB1F0" w14:textId="77777777" w:rsidTr="009C532D">
        <w:tblPrEx>
          <w:tblW w:w="9358" w:type="dxa"/>
          <w:tblLook w:val="04A0"/>
        </w:tblPrEx>
        <w:trPr>
          <w:trHeight w:val="361"/>
        </w:trPr>
        <w:tc>
          <w:tcPr>
            <w:tcW w:w="2665" w:type="dxa"/>
            <w:hideMark/>
          </w:tcPr>
          <w:p w:rsidR="0095011B" w:rsidRPr="00CC15DA" w:rsidP="00220755" w14:paraId="193B2E3F" w14:textId="0444F6B8">
            <w:r>
              <w:t xml:space="preserve">20001180 </w:t>
            </w:r>
          </w:p>
        </w:tc>
        <w:tc>
          <w:tcPr>
            <w:tcW w:w="2312" w:type="dxa"/>
            <w:hideMark/>
          </w:tcPr>
          <w:p w:rsidR="0095011B" w:rsidRPr="00CC15DA" w:rsidP="00220755" w14:paraId="0D7518C3" w14:textId="4376D1B7">
            <w:r>
              <w:t xml:space="preserve">PL-280 </w:t>
            </w:r>
          </w:p>
        </w:tc>
        <w:tc>
          <w:tcPr>
            <w:tcW w:w="1836" w:type="dxa"/>
            <w:hideMark/>
          </w:tcPr>
          <w:p w:rsidR="0095011B" w:rsidRPr="00CC15DA" w:rsidP="00220755" w14:paraId="6043B360" w14:textId="14538FD7">
            <w:r>
              <w:t xml:space="preserve">Medium </w:t>
            </w:r>
          </w:p>
        </w:tc>
        <w:tc>
          <w:tcPr>
            <w:tcW w:w="2545" w:type="dxa"/>
            <w:hideMark/>
          </w:tcPr>
          <w:p w:rsidR="0095011B" w:rsidRPr="00CC15DA" w:rsidP="00220755" w14:paraId="20454F1B" w14:textId="7F816966">
            <w:r>
              <w:t xml:space="preserve">North </w:t>
            </w:r>
          </w:p>
        </w:tc>
      </w:tr>
      <w:tr w14:paraId="6CDDE1BC" w14:textId="77777777" w:rsidTr="009C532D">
        <w:tblPrEx>
          <w:tblW w:w="9358" w:type="dxa"/>
          <w:tblLook w:val="04A0"/>
        </w:tblPrEx>
        <w:trPr>
          <w:trHeight w:val="361"/>
        </w:trPr>
        <w:tc>
          <w:tcPr>
            <w:tcW w:w="2665" w:type="dxa"/>
          </w:tcPr>
          <w:p w:rsidR="0095011B" w:rsidRPr="00CC15DA" w:rsidP="00220755" w14:paraId="40FF1830" w14:textId="4B1A5FF3">
            <w:r>
              <w:t xml:space="preserve">20001200 </w:t>
            </w:r>
          </w:p>
        </w:tc>
        <w:tc>
          <w:tcPr>
            <w:tcW w:w="2312" w:type="dxa"/>
            <w:hideMark/>
          </w:tcPr>
          <w:p w:rsidR="0095011B" w:rsidRPr="00CC15DA" w:rsidP="00220755" w14:paraId="30034C77" w14:textId="1DF1EF8C">
            <w:r>
              <w:t xml:space="preserve">PL-280 </w:t>
            </w:r>
          </w:p>
        </w:tc>
        <w:tc>
          <w:tcPr>
            <w:tcW w:w="1836" w:type="dxa"/>
            <w:hideMark/>
          </w:tcPr>
          <w:p w:rsidR="0095011B" w:rsidRPr="00CC15DA" w:rsidP="00220755" w14:paraId="09994AA0" w14:textId="678EB20B">
            <w:r>
              <w:t xml:space="preserve">Medium </w:t>
            </w:r>
          </w:p>
        </w:tc>
        <w:tc>
          <w:tcPr>
            <w:tcW w:w="2545" w:type="dxa"/>
            <w:hideMark/>
          </w:tcPr>
          <w:p w:rsidR="0095011B" w:rsidRPr="00CC15DA" w:rsidP="00220755" w14:paraId="58D083FC" w14:textId="0D4BA215">
            <w:r>
              <w:t xml:space="preserve">West </w:t>
            </w:r>
          </w:p>
        </w:tc>
      </w:tr>
      <w:tr w14:paraId="1CA75817" w14:textId="77777777" w:rsidTr="009C532D">
        <w:tblPrEx>
          <w:tblW w:w="9358" w:type="dxa"/>
          <w:tblLook w:val="04A0"/>
        </w:tblPrEx>
        <w:trPr>
          <w:trHeight w:val="342"/>
        </w:trPr>
        <w:tc>
          <w:tcPr>
            <w:tcW w:w="2665" w:type="dxa"/>
            <w:hideMark/>
          </w:tcPr>
          <w:p w:rsidR="0095011B" w:rsidRPr="00CC15DA" w:rsidP="00220755" w14:paraId="1729CA2F" w14:textId="2C3FA68A">
            <w:r>
              <w:t xml:space="preserve">20001170 </w:t>
            </w:r>
          </w:p>
        </w:tc>
        <w:tc>
          <w:tcPr>
            <w:tcW w:w="2312" w:type="dxa"/>
            <w:hideMark/>
          </w:tcPr>
          <w:p w:rsidR="0095011B" w:rsidRPr="00CC15DA" w:rsidP="00220755" w14:paraId="1EAA5BF3" w14:textId="03849F11">
            <w:r>
              <w:t xml:space="preserve">PL-280 </w:t>
            </w:r>
          </w:p>
        </w:tc>
        <w:tc>
          <w:tcPr>
            <w:tcW w:w="1836" w:type="dxa"/>
            <w:hideMark/>
          </w:tcPr>
          <w:p w:rsidR="0095011B" w:rsidRPr="00CC15DA" w:rsidP="00220755" w14:paraId="0896403D" w14:textId="01A745AC">
            <w:r>
              <w:t xml:space="preserve">Medium </w:t>
            </w:r>
          </w:p>
        </w:tc>
        <w:tc>
          <w:tcPr>
            <w:tcW w:w="2545" w:type="dxa"/>
            <w:hideMark/>
          </w:tcPr>
          <w:p w:rsidR="0095011B" w:rsidRPr="00CC15DA" w:rsidP="00220755" w14:paraId="072B182A" w14:textId="704E74BB">
            <w:r>
              <w:t xml:space="preserve">North </w:t>
            </w:r>
          </w:p>
        </w:tc>
      </w:tr>
      <w:tr w14:paraId="48781E77" w14:textId="77777777" w:rsidTr="009C532D">
        <w:tblPrEx>
          <w:tblW w:w="9358" w:type="dxa"/>
          <w:tblLook w:val="04A0"/>
        </w:tblPrEx>
        <w:trPr>
          <w:trHeight w:val="342"/>
        </w:trPr>
        <w:tc>
          <w:tcPr>
            <w:tcW w:w="2665" w:type="dxa"/>
            <w:hideMark/>
          </w:tcPr>
          <w:p w:rsidR="0095011B" w:rsidRPr="00CC15DA" w:rsidP="00220755" w14:paraId="5AEB3B34" w14:textId="5890D687">
            <w:r>
              <w:t xml:space="preserve">20001230 </w:t>
            </w:r>
          </w:p>
        </w:tc>
        <w:tc>
          <w:tcPr>
            <w:tcW w:w="2312" w:type="dxa"/>
            <w:hideMark/>
          </w:tcPr>
          <w:p w:rsidR="0095011B" w:rsidRPr="00CC15DA" w:rsidP="00220755" w14:paraId="14325F41" w14:textId="04817001">
            <w:r>
              <w:t xml:space="preserve">Not PL-280 </w:t>
            </w:r>
          </w:p>
        </w:tc>
        <w:tc>
          <w:tcPr>
            <w:tcW w:w="1836" w:type="dxa"/>
            <w:hideMark/>
          </w:tcPr>
          <w:p w:rsidR="0095011B" w:rsidRPr="00CC15DA" w:rsidP="00220755" w14:paraId="6B7D083E" w14:textId="020B1B83">
            <w:r>
              <w:t xml:space="preserve">Large </w:t>
            </w:r>
          </w:p>
        </w:tc>
        <w:tc>
          <w:tcPr>
            <w:tcW w:w="2545" w:type="dxa"/>
            <w:hideMark/>
          </w:tcPr>
          <w:p w:rsidR="0095011B" w:rsidRPr="00CC15DA" w:rsidP="00220755" w14:paraId="36B2253D" w14:textId="34FC72E3">
            <w:r>
              <w:t xml:space="preserve">South </w:t>
            </w:r>
          </w:p>
        </w:tc>
      </w:tr>
      <w:tr w14:paraId="7BC9C656" w14:textId="77777777" w:rsidTr="009C532D">
        <w:tblPrEx>
          <w:tblW w:w="9358" w:type="dxa"/>
          <w:tblLook w:val="04A0"/>
        </w:tblPrEx>
        <w:trPr>
          <w:trHeight w:val="342"/>
        </w:trPr>
        <w:tc>
          <w:tcPr>
            <w:tcW w:w="2665" w:type="dxa"/>
          </w:tcPr>
          <w:p w:rsidR="0095011B" w:rsidP="00220755" w14:paraId="2801B797" w14:textId="686042F2">
            <w:r>
              <w:t xml:space="preserve">20001270 </w:t>
            </w:r>
          </w:p>
        </w:tc>
        <w:tc>
          <w:tcPr>
            <w:tcW w:w="2312" w:type="dxa"/>
          </w:tcPr>
          <w:p w:rsidR="0095011B" w:rsidP="00220755" w14:paraId="64ECD40D" w14:textId="4FF53C05">
            <w:r>
              <w:t xml:space="preserve">Not PL-280 </w:t>
            </w:r>
          </w:p>
        </w:tc>
        <w:tc>
          <w:tcPr>
            <w:tcW w:w="1836" w:type="dxa"/>
          </w:tcPr>
          <w:p w:rsidR="0095011B" w:rsidP="00220755" w14:paraId="6C8FD967" w14:textId="0E0C5A32">
            <w:r>
              <w:t xml:space="preserve">Mega </w:t>
            </w:r>
          </w:p>
        </w:tc>
        <w:tc>
          <w:tcPr>
            <w:tcW w:w="2545" w:type="dxa"/>
          </w:tcPr>
          <w:p w:rsidR="0095011B" w:rsidP="00220755" w14:paraId="659426B9" w14:textId="0AECE37E">
            <w:r>
              <w:t xml:space="preserve">West </w:t>
            </w:r>
          </w:p>
        </w:tc>
      </w:tr>
    </w:tbl>
    <w:p w:rsidR="001D13D1" w:rsidP="002B713E" w14:paraId="24CABDDF" w14:textId="1E45FEDD"/>
    <w:p w:rsidR="002B713E" w:rsidP="002B713E" w14:paraId="1B364C38" w14:textId="75040AD1">
      <w:r>
        <w:t>T</w:t>
      </w:r>
      <w:r w:rsidRPr="002E308B">
        <w:t xml:space="preserve">he </w:t>
      </w:r>
      <w:r w:rsidR="00FC2288">
        <w:t>CTCS</w:t>
      </w:r>
      <w:r>
        <w:t xml:space="preserve"> cognitive test </w:t>
      </w:r>
      <w:r w:rsidR="004C2FC1">
        <w:t>was</w:t>
      </w:r>
      <w:r w:rsidRPr="002E308B" w:rsidR="004C2FC1">
        <w:t xml:space="preserve"> </w:t>
      </w:r>
      <w:r w:rsidRPr="002E308B">
        <w:t xml:space="preserve">divided into </w:t>
      </w:r>
      <w:r>
        <w:t>three</w:t>
      </w:r>
      <w:r w:rsidRPr="002E308B">
        <w:t xml:space="preserve"> phases</w:t>
      </w:r>
      <w:r w:rsidRPr="00173D3F">
        <w:rPr>
          <w:i/>
        </w:rPr>
        <w:t xml:space="preserve">: </w:t>
      </w:r>
      <w:r w:rsidRPr="002B713E">
        <w:rPr>
          <w:i/>
        </w:rPr>
        <w:t>outreach</w:t>
      </w:r>
      <w:r w:rsidR="007B1B38">
        <w:rPr>
          <w:i/>
        </w:rPr>
        <w:t xml:space="preserve"> and appointment scheduling</w:t>
      </w:r>
      <w:r w:rsidR="0014008C">
        <w:rPr>
          <w:i/>
        </w:rPr>
        <w:t>;</w:t>
      </w:r>
      <w:r w:rsidR="007B1B38">
        <w:rPr>
          <w:i/>
        </w:rPr>
        <w:t xml:space="preserve"> nonresponse follow-up</w:t>
      </w:r>
      <w:r w:rsidR="0014008C">
        <w:rPr>
          <w:i/>
        </w:rPr>
        <w:t>;</w:t>
      </w:r>
      <w:r w:rsidRPr="002B713E">
        <w:rPr>
          <w:i/>
        </w:rPr>
        <w:t xml:space="preserve"> </w:t>
      </w:r>
      <w:r w:rsidRPr="00D04276">
        <w:rPr>
          <w:i/>
        </w:rPr>
        <w:t>and data collection</w:t>
      </w:r>
      <w:r w:rsidR="007B1B38">
        <w:rPr>
          <w:i/>
        </w:rPr>
        <w:t xml:space="preserve"> and </w:t>
      </w:r>
      <w:r w:rsidR="0014008C">
        <w:rPr>
          <w:i/>
        </w:rPr>
        <w:t xml:space="preserve">cognitive interview feedback. </w:t>
      </w:r>
      <w:r w:rsidR="00D04276">
        <w:t xml:space="preserve"> </w:t>
      </w:r>
    </w:p>
    <w:p w:rsidR="00D04276" w:rsidP="002B713E" w14:paraId="0D16CF66" w14:textId="77777777"/>
    <w:p w:rsidR="00B7612E" w:rsidP="00B7612E" w14:paraId="39C7F78A" w14:textId="72AE4A1B">
      <w:r w:rsidRPr="00B7612E">
        <w:rPr>
          <w:b/>
          <w:bCs/>
        </w:rPr>
        <w:t xml:space="preserve">Outreach and </w:t>
      </w:r>
      <w:r w:rsidR="00450797">
        <w:rPr>
          <w:b/>
          <w:bCs/>
        </w:rPr>
        <w:t xml:space="preserve">appointment </w:t>
      </w:r>
      <w:r w:rsidR="008F654C">
        <w:rPr>
          <w:b/>
          <w:bCs/>
        </w:rPr>
        <w:t>scheduling:</w:t>
      </w:r>
      <w:r>
        <w:t xml:space="preserve"> </w:t>
      </w:r>
      <w:r w:rsidR="0069722B">
        <w:t xml:space="preserve">For those courts identified as potential </w:t>
      </w:r>
      <w:r w:rsidR="0069722B">
        <w:t>participations</w:t>
      </w:r>
      <w:r w:rsidR="0069722B">
        <w:t xml:space="preserve">, </w:t>
      </w:r>
      <w:r w:rsidRPr="00B7612E">
        <w:t>NORC research staff sent an</w:t>
      </w:r>
      <w:r w:rsidRPr="00B7612E" w:rsidR="001074BC">
        <w:t xml:space="preserve"> </w:t>
      </w:r>
      <w:r w:rsidR="001074BC">
        <w:t>invitation email and followed up by phone</w:t>
      </w:r>
      <w:r w:rsidR="00631A57">
        <w:t xml:space="preserve">. </w:t>
      </w:r>
      <w:r w:rsidRPr="00C962D5" w:rsidR="00C962D5">
        <w:t>Upon successful contact with the agency, they were provided with background information on the collection and need for participation in the cognitive interview, and if agreeable, an appointment was set with the best contact.</w:t>
      </w:r>
    </w:p>
    <w:p w:rsidR="00AE4D08" w:rsidRPr="00B7612E" w:rsidP="00B7612E" w14:paraId="1FEE9CF6" w14:textId="77777777"/>
    <w:p w:rsidR="00127177" w:rsidP="00B7612E" w14:paraId="62170D08" w14:textId="5C92A507">
      <w:r w:rsidRPr="00B7612E">
        <w:t>Immediately after the interview was scheduled, a calendar item was sent to the contact along with the Question Guide</w:t>
      </w:r>
      <w:r w:rsidR="001074BC">
        <w:t xml:space="preserve"> for pre-review, time permitting</w:t>
      </w:r>
      <w:r w:rsidRPr="00B7612E">
        <w:t xml:space="preserve">. One business day prior to the scheduled interview, a reminder email was sent to the contact, along with a link to the web survey, access PIN, and brief set of instructions for joining the video conference. </w:t>
      </w:r>
    </w:p>
    <w:p w:rsidR="004B3CDA" w:rsidP="00B7612E" w14:paraId="7EB80731" w14:textId="4AC426EA"/>
    <w:p w:rsidR="00B7612E" w:rsidRPr="00B7612E" w:rsidP="00B7612E" w14:paraId="47703EED" w14:textId="19F29EC0">
      <w:r w:rsidRPr="00D76026">
        <w:rPr>
          <w:b/>
          <w:bCs/>
        </w:rPr>
        <w:t>Data collection and interview feedback:</w:t>
      </w:r>
      <w:r>
        <w:t xml:space="preserve"> </w:t>
      </w:r>
      <w:r w:rsidRPr="00B7612E">
        <w:t xml:space="preserve">During the </w:t>
      </w:r>
      <w:r w:rsidR="004B16EF">
        <w:t xml:space="preserve">scheduled </w:t>
      </w:r>
      <w:r w:rsidRPr="00B7612E">
        <w:t>video conference</w:t>
      </w:r>
      <w:r w:rsidR="004B16EF">
        <w:t xml:space="preserve"> for the cognitive interview</w:t>
      </w:r>
      <w:r w:rsidRPr="00B7612E">
        <w:t>, participants were given the opportunity to ask questions about the project and the interview process was explained. They were asked if they had completed the Question Guide prior to the interview</w:t>
      </w:r>
      <w:r w:rsidR="008A2312">
        <w:t xml:space="preserve">, with the </w:t>
      </w:r>
      <w:r w:rsidR="00D64C41">
        <w:t xml:space="preserve">response noted as this </w:t>
      </w:r>
      <w:r w:rsidR="000F60D2">
        <w:t>impacted the responses provided in the cognitive interview</w:t>
      </w:r>
      <w:r w:rsidRPr="00B7612E">
        <w:t>. Finally, participants shared their computer screen via the video conference software so cognitive interviewers could follow along</w:t>
      </w:r>
      <w:r w:rsidR="0007165E">
        <w:t xml:space="preserve"> and note any challenges with navigation or providing responses in the survey</w:t>
      </w:r>
      <w:r w:rsidRPr="00B7612E">
        <w:t>. During the interview, both general probing questions and specific questions were asked at certain points in the questionnaire. These responses, along with any items raised organically by the participants were noted.</w:t>
      </w:r>
    </w:p>
    <w:p w:rsidR="00DD0041" w:rsidP="00253C85" w14:paraId="53F5AC34" w14:textId="1FF44002"/>
    <w:p w:rsidR="00FA0557" w:rsidP="0032225B" w14:paraId="27723E22" w14:textId="032F6B50">
      <w:pPr>
        <w:rPr>
          <w:iCs/>
        </w:rPr>
      </w:pPr>
      <w:r w:rsidRPr="00AA2D38">
        <w:rPr>
          <w:iCs/>
        </w:rPr>
        <w:t xml:space="preserve">The </w:t>
      </w:r>
      <w:r w:rsidRPr="00AA2D38" w:rsidR="00D703C4">
        <w:rPr>
          <w:iCs/>
        </w:rPr>
        <w:t>time</w:t>
      </w:r>
      <w:r w:rsidRPr="00AA2D38">
        <w:rPr>
          <w:iCs/>
        </w:rPr>
        <w:t xml:space="preserve"> to complete the cognitive interview for all </w:t>
      </w:r>
      <w:r w:rsidR="003C6CAF">
        <w:rPr>
          <w:iCs/>
        </w:rPr>
        <w:t>tribal courts</w:t>
      </w:r>
      <w:r w:rsidRPr="00AA2D38" w:rsidR="003C6CAF">
        <w:rPr>
          <w:iCs/>
        </w:rPr>
        <w:t xml:space="preserve"> </w:t>
      </w:r>
      <w:r w:rsidRPr="00AA2D38">
        <w:rPr>
          <w:iCs/>
        </w:rPr>
        <w:t xml:space="preserve">on average was 60 minutes and a median of 45 minutes. Across agencies, the majority reported no difficulties in providing </w:t>
      </w:r>
      <w:r w:rsidRPr="00AA2D38">
        <w:rPr>
          <w:iCs/>
        </w:rPr>
        <w:t>statistical</w:t>
      </w:r>
      <w:r w:rsidRPr="00AA2D38">
        <w:rPr>
          <w:iCs/>
        </w:rPr>
        <w:t xml:space="preserve"> information regarding staffing counts for </w:t>
      </w:r>
      <w:r w:rsidR="00FC2288">
        <w:rPr>
          <w:iCs/>
        </w:rPr>
        <w:t>court staff</w:t>
      </w:r>
      <w:r w:rsidRPr="00AA2D38">
        <w:rPr>
          <w:iCs/>
        </w:rPr>
        <w:t xml:space="preserve">, </w:t>
      </w:r>
      <w:r w:rsidR="00FC2288">
        <w:rPr>
          <w:iCs/>
        </w:rPr>
        <w:t>case counts</w:t>
      </w:r>
      <w:r w:rsidRPr="00AA2D38">
        <w:rPr>
          <w:iCs/>
        </w:rPr>
        <w:t xml:space="preserve">, </w:t>
      </w:r>
      <w:r w:rsidR="00FC2288">
        <w:rPr>
          <w:iCs/>
        </w:rPr>
        <w:t>or questions about operations</w:t>
      </w:r>
      <w:r w:rsidRPr="00AA2D38">
        <w:rPr>
          <w:iCs/>
        </w:rPr>
        <w:t xml:space="preserve">, though some subsets of these requests were more difficult to </w:t>
      </w:r>
      <w:r w:rsidRPr="00AA2D38" w:rsidR="00D703C4">
        <w:rPr>
          <w:iCs/>
        </w:rPr>
        <w:t xml:space="preserve">provide </w:t>
      </w:r>
      <w:r w:rsidR="00D703C4">
        <w:rPr>
          <w:iCs/>
        </w:rPr>
        <w:t>for</w:t>
      </w:r>
      <w:r w:rsidR="004E08F9">
        <w:rPr>
          <w:iCs/>
        </w:rPr>
        <w:t xml:space="preserve"> some </w:t>
      </w:r>
      <w:r w:rsidR="00FC2288">
        <w:rPr>
          <w:iCs/>
        </w:rPr>
        <w:t>courts</w:t>
      </w:r>
      <w:r w:rsidR="004E08F9">
        <w:rPr>
          <w:iCs/>
        </w:rPr>
        <w:t xml:space="preserve">. </w:t>
      </w:r>
    </w:p>
    <w:p w:rsidR="00FA0557" w:rsidRPr="00D76026" w:rsidP="002F3344" w14:paraId="52C56C59" w14:textId="77777777">
      <w:pPr>
        <w:rPr>
          <w:i/>
        </w:rPr>
      </w:pPr>
    </w:p>
    <w:p w:rsidR="004E14A5" w:rsidP="0032225B" w14:paraId="26A10237" w14:textId="254EA6D1">
      <w:pPr>
        <w:rPr>
          <w:rFonts w:cs="Garamond"/>
        </w:rPr>
      </w:pPr>
      <w:r>
        <w:rPr>
          <w:rFonts w:cs="Garamond"/>
        </w:rPr>
        <w:t>Tribal</w:t>
      </w:r>
      <w:r w:rsidR="003C6CAF">
        <w:rPr>
          <w:rFonts w:cs="Garamond"/>
        </w:rPr>
        <w:t xml:space="preserve"> courts </w:t>
      </w:r>
      <w:r w:rsidR="00893F82">
        <w:rPr>
          <w:rFonts w:cs="Garamond"/>
        </w:rPr>
        <w:t xml:space="preserve">reported that the planning and thought put into the survey was evident, with questions being clear, response categories exhaustive, and </w:t>
      </w:r>
      <w:r w:rsidR="002058AF">
        <w:rPr>
          <w:rFonts w:cs="Garamond"/>
        </w:rPr>
        <w:t xml:space="preserve">appropriate </w:t>
      </w:r>
      <w:r w:rsidR="00893F82">
        <w:rPr>
          <w:rFonts w:cs="Garamond"/>
        </w:rPr>
        <w:t xml:space="preserve">terminology </w:t>
      </w:r>
      <w:r w:rsidR="002058AF">
        <w:rPr>
          <w:rFonts w:cs="Garamond"/>
        </w:rPr>
        <w:t xml:space="preserve">was </w:t>
      </w:r>
      <w:r w:rsidR="00893F82">
        <w:rPr>
          <w:rFonts w:cs="Garamond"/>
        </w:rPr>
        <w:t>used to capture the concepts being measured.</w:t>
      </w:r>
      <w:r w:rsidR="001931BD">
        <w:rPr>
          <w:rFonts w:cs="Garamond"/>
        </w:rPr>
        <w:t xml:space="preserve"> Further, they</w:t>
      </w:r>
      <w:r w:rsidRPr="001931BD" w:rsidR="001931BD">
        <w:rPr>
          <w:rFonts w:cs="Garamond"/>
        </w:rPr>
        <w:t xml:space="preserve"> noted that the collection was timely, and the subjects included were relevant and important to </w:t>
      </w:r>
      <w:r w:rsidR="00FC2288">
        <w:rPr>
          <w:rFonts w:cs="Garamond"/>
        </w:rPr>
        <w:t>tribal courts</w:t>
      </w:r>
      <w:r w:rsidRPr="001931BD" w:rsidR="001931BD">
        <w:rPr>
          <w:rFonts w:cs="Garamond"/>
        </w:rPr>
        <w:t xml:space="preserve">, tribal leadership, and the communities they serve. Many courts </w:t>
      </w:r>
      <w:r w:rsidRPr="001931BD" w:rsidR="001931BD">
        <w:rPr>
          <w:rFonts w:cs="Garamond"/>
        </w:rPr>
        <w:t>agreed that</w:t>
      </w:r>
      <w:r w:rsidRPr="001931BD" w:rsidR="001931BD">
        <w:rPr>
          <w:rFonts w:cs="Garamond"/>
        </w:rPr>
        <w:t xml:space="preserve"> that the perceived response burden felt appropriate based on the questions asked and topics that were included.</w:t>
      </w:r>
      <w:r w:rsidR="001931BD">
        <w:rPr>
          <w:rFonts w:cs="Garamond"/>
        </w:rPr>
        <w:t xml:space="preserve"> </w:t>
      </w:r>
    </w:p>
    <w:p w:rsidR="004E14A5" w:rsidP="0032225B" w14:paraId="51DC2B54" w14:textId="77777777">
      <w:pPr>
        <w:rPr>
          <w:rFonts w:cs="Garamond"/>
        </w:rPr>
      </w:pPr>
    </w:p>
    <w:p w:rsidR="00FE63D2" w:rsidRPr="00FE63D2" w:rsidP="00FE63D2" w14:paraId="17A0CFBA" w14:textId="605E480C">
      <w:pPr>
        <w:rPr>
          <w:rFonts w:cs="Garamond"/>
        </w:rPr>
      </w:pPr>
      <w:r w:rsidRPr="00FE63D2">
        <w:rPr>
          <w:rFonts w:cs="Garamond"/>
        </w:rPr>
        <w:t xml:space="preserve">Based on feedback from the cognitive test, wording and question revisions were made to the survey to address updated terminology as well as revisions to questions that were added to the survey since the last fielding. This included expanding some of the response options, bolding or emphasizing certain words or phrases in the question text and adding definitions or examples. Item non-response was low across all questions, though some ‘no’ responses in the grid question formats were left blank by some </w:t>
      </w:r>
      <w:r>
        <w:rPr>
          <w:rFonts w:cs="Garamond"/>
        </w:rPr>
        <w:t>courts</w:t>
      </w:r>
      <w:r w:rsidRPr="00FE63D2">
        <w:rPr>
          <w:rFonts w:cs="Garamond"/>
        </w:rPr>
        <w:t xml:space="preserve">. This is likely due to the format of the cognitive test instrument, which did not require responses to any questions. This will be updated in the main </w:t>
      </w:r>
      <w:r w:rsidRPr="00FE63D2">
        <w:rPr>
          <w:rFonts w:cs="Garamond"/>
        </w:rPr>
        <w:t>fielding</w:t>
      </w:r>
      <w:r w:rsidRPr="00FE63D2">
        <w:rPr>
          <w:rFonts w:cs="Garamond"/>
        </w:rPr>
        <w:t xml:space="preserve"> of the survey, with soft prompt reminders to provide responses where appropriate. Some questions were eliminated based on reported burden or difficulty of answering the question by agencies, which is why the estimated burden for the </w:t>
      </w:r>
      <w:r w:rsidR="00701A6D">
        <w:rPr>
          <w:rFonts w:cs="Garamond"/>
        </w:rPr>
        <w:t>2026</w:t>
      </w:r>
      <w:r w:rsidRPr="00FE63D2">
        <w:rPr>
          <w:rFonts w:cs="Garamond"/>
        </w:rPr>
        <w:t xml:space="preserve"> </w:t>
      </w:r>
      <w:r>
        <w:rPr>
          <w:rFonts w:cs="Garamond"/>
        </w:rPr>
        <w:t>CTCS</w:t>
      </w:r>
      <w:r w:rsidRPr="00FE63D2">
        <w:rPr>
          <w:rFonts w:cs="Garamond"/>
        </w:rPr>
        <w:t xml:space="preserve"> is </w:t>
      </w:r>
      <w:r>
        <w:rPr>
          <w:rFonts w:cs="Garamond"/>
        </w:rPr>
        <w:t>40</w:t>
      </w:r>
      <w:r w:rsidRPr="00FE63D2">
        <w:rPr>
          <w:rFonts w:cs="Garamond"/>
        </w:rPr>
        <w:t xml:space="preserve"> minutes.  </w:t>
      </w:r>
    </w:p>
    <w:p w:rsidR="005B23CB" w:rsidP="005B23CB" w14:paraId="5FD34F55" w14:textId="77777777"/>
    <w:p w:rsidR="00BE236B" w:rsidP="00BE236B" w14:paraId="71FBFAA4" w14:textId="77777777"/>
    <w:p w:rsidR="00421095" w:rsidP="00BE236B" w14:paraId="381FF7B5" w14:textId="6BD1916B">
      <w:pPr>
        <w:rPr>
          <w:b/>
          <w:u w:val="single"/>
        </w:rPr>
      </w:pPr>
      <w:r w:rsidRPr="008D7CC0">
        <w:rPr>
          <w:b/>
          <w:u w:val="single"/>
        </w:rPr>
        <w:t>Contacts</w:t>
      </w:r>
      <w:r w:rsidR="00C83679">
        <w:rPr>
          <w:b/>
          <w:u w:val="single"/>
        </w:rPr>
        <w:t xml:space="preserve"> </w:t>
      </w:r>
      <w:r w:rsidRPr="008D7CC0">
        <w:rPr>
          <w:b/>
          <w:u w:val="single"/>
        </w:rPr>
        <w:t>for</w:t>
      </w:r>
      <w:r w:rsidR="00C83679">
        <w:rPr>
          <w:b/>
          <w:u w:val="single"/>
        </w:rPr>
        <w:t xml:space="preserve"> </w:t>
      </w:r>
      <w:r w:rsidRPr="008D7CC0">
        <w:rPr>
          <w:b/>
          <w:u w:val="single"/>
        </w:rPr>
        <w:t>Statistical</w:t>
      </w:r>
      <w:r w:rsidR="00C83679">
        <w:rPr>
          <w:b/>
          <w:u w:val="single"/>
        </w:rPr>
        <w:t xml:space="preserve"> </w:t>
      </w:r>
      <w:r w:rsidRPr="008D7CC0">
        <w:rPr>
          <w:b/>
          <w:u w:val="single"/>
        </w:rPr>
        <w:t>Aspects</w:t>
      </w:r>
      <w:r w:rsidR="00C83679">
        <w:rPr>
          <w:b/>
          <w:u w:val="single"/>
        </w:rPr>
        <w:t xml:space="preserve"> </w:t>
      </w:r>
      <w:r w:rsidRPr="008D7CC0">
        <w:rPr>
          <w:b/>
          <w:u w:val="single"/>
        </w:rPr>
        <w:t>and</w:t>
      </w:r>
      <w:r w:rsidR="00C83679">
        <w:rPr>
          <w:b/>
          <w:u w:val="single"/>
        </w:rPr>
        <w:t xml:space="preserve"> </w:t>
      </w:r>
      <w:r w:rsidRPr="008D7CC0">
        <w:rPr>
          <w:b/>
          <w:u w:val="single"/>
        </w:rPr>
        <w:t>Data</w:t>
      </w:r>
      <w:r w:rsidR="00C83679">
        <w:rPr>
          <w:b/>
          <w:u w:val="single"/>
        </w:rPr>
        <w:t xml:space="preserve"> </w:t>
      </w:r>
      <w:r w:rsidRPr="008D7CC0">
        <w:rPr>
          <w:b/>
          <w:u w:val="single"/>
        </w:rPr>
        <w:t>Collection</w:t>
      </w:r>
    </w:p>
    <w:p w:rsidR="00B10FDB" w:rsidRPr="008D7CC0" w:rsidP="00B10FDB" w14:paraId="3D6EAFA6" w14:textId="77777777">
      <w:pPr>
        <w:pStyle w:val="ListParagraph"/>
        <w:ind w:left="360"/>
        <w:rPr>
          <w:b/>
          <w:u w:val="single"/>
        </w:rPr>
      </w:pPr>
    </w:p>
    <w:p w:rsidR="00842A7E" w:rsidP="00842A7E" w14:paraId="5A55456D" w14:textId="0CCDF316">
      <w:r>
        <w:t>The</w:t>
      </w:r>
      <w:r w:rsidR="00C83679">
        <w:t xml:space="preserve"> </w:t>
      </w:r>
      <w:r>
        <w:t>Bureau</w:t>
      </w:r>
      <w:r w:rsidR="00C83679">
        <w:t xml:space="preserve"> </w:t>
      </w:r>
      <w:r>
        <w:t>of</w:t>
      </w:r>
      <w:r w:rsidR="00C83679">
        <w:t xml:space="preserve"> </w:t>
      </w:r>
      <w:r>
        <w:t>Justice</w:t>
      </w:r>
      <w:r w:rsidR="00C83679">
        <w:t xml:space="preserve"> </w:t>
      </w:r>
      <w:r>
        <w:t>Statistics</w:t>
      </w:r>
      <w:r w:rsidR="00B66D34">
        <w:t xml:space="preserve"> within</w:t>
      </w:r>
      <w:r w:rsidR="00C83679">
        <w:t xml:space="preserve"> </w:t>
      </w:r>
      <w:r w:rsidR="00F44864">
        <w:t>the</w:t>
      </w:r>
      <w:r w:rsidR="00C83679">
        <w:t xml:space="preserve"> </w:t>
      </w:r>
      <w:r w:rsidR="00D81CA3">
        <w:t>U.</w:t>
      </w:r>
      <w:r w:rsidR="00C83679">
        <w:t xml:space="preserve"> </w:t>
      </w:r>
      <w:r w:rsidR="00D81CA3">
        <w:t>S.</w:t>
      </w:r>
      <w:r w:rsidR="00C83679">
        <w:t xml:space="preserve"> </w:t>
      </w:r>
      <w:r w:rsidR="00D81CA3">
        <w:t>Department</w:t>
      </w:r>
      <w:r w:rsidR="00C83679">
        <w:t xml:space="preserve"> </w:t>
      </w:r>
      <w:r w:rsidR="00F44864">
        <w:t>of</w:t>
      </w:r>
      <w:r w:rsidR="00C83679">
        <w:t xml:space="preserve"> </w:t>
      </w:r>
      <w:r w:rsidR="00F44864">
        <w:t>Justice</w:t>
      </w:r>
      <w:r w:rsidR="00C83679">
        <w:t xml:space="preserve"> </w:t>
      </w:r>
      <w:r w:rsidR="00D81CA3">
        <w:t>is</w:t>
      </w:r>
      <w:r w:rsidR="00C83679">
        <w:t xml:space="preserve"> </w:t>
      </w:r>
      <w:r w:rsidR="00D81CA3">
        <w:t>the</w:t>
      </w:r>
      <w:r w:rsidR="00C83679">
        <w:t xml:space="preserve"> </w:t>
      </w:r>
      <w:r w:rsidR="002372EB">
        <w:t>sponsoring</w:t>
      </w:r>
      <w:r w:rsidR="00C83679">
        <w:t xml:space="preserve"> </w:t>
      </w:r>
      <w:r w:rsidR="00D81CA3">
        <w:t>agency</w:t>
      </w:r>
      <w:r w:rsidR="00C83679">
        <w:t xml:space="preserve"> </w:t>
      </w:r>
      <w:r w:rsidR="00D81CA3">
        <w:t>for</w:t>
      </w:r>
      <w:r w:rsidR="00C83679">
        <w:t xml:space="preserve"> </w:t>
      </w:r>
      <w:r w:rsidR="00D81CA3">
        <w:t>the</w:t>
      </w:r>
      <w:r w:rsidR="00C83679">
        <w:t xml:space="preserve"> </w:t>
      </w:r>
      <w:r w:rsidR="00C620D4">
        <w:t>CTCS</w:t>
      </w:r>
      <w:r w:rsidR="00D81CA3">
        <w:t>.</w:t>
      </w:r>
      <w:r w:rsidR="00C83679">
        <w:t xml:space="preserve">  </w:t>
      </w:r>
      <w:r w:rsidR="00D81CA3">
        <w:t>NORC</w:t>
      </w:r>
      <w:r w:rsidR="00C83679">
        <w:t xml:space="preserve"> </w:t>
      </w:r>
      <w:r w:rsidR="00D81CA3">
        <w:t>is</w:t>
      </w:r>
      <w:r w:rsidR="00C83679">
        <w:t xml:space="preserve"> </w:t>
      </w:r>
      <w:r w:rsidR="00D81CA3">
        <w:t>the</w:t>
      </w:r>
      <w:r w:rsidR="00C83679">
        <w:t xml:space="preserve"> </w:t>
      </w:r>
      <w:r w:rsidR="00D81CA3">
        <w:t>data</w:t>
      </w:r>
      <w:r w:rsidR="00C83679">
        <w:t xml:space="preserve"> </w:t>
      </w:r>
      <w:r w:rsidR="00D81CA3">
        <w:t>collection</w:t>
      </w:r>
      <w:r w:rsidR="00C83679">
        <w:t xml:space="preserve"> </w:t>
      </w:r>
      <w:r w:rsidR="00D81CA3">
        <w:t>agent</w:t>
      </w:r>
      <w:r>
        <w:t>.</w:t>
      </w:r>
      <w:r w:rsidR="00C83679">
        <w:t xml:space="preserve">  </w:t>
      </w:r>
      <w:r w:rsidR="001B3AAC">
        <w:t xml:space="preserve">NORC’s efforts are supported through a subcontract to </w:t>
      </w:r>
      <w:r w:rsidR="00C620D4">
        <w:t>NAICJA and TLPI</w:t>
      </w:r>
      <w:r w:rsidR="001B3AAC">
        <w:rPr>
          <w:color w:val="000000" w:themeColor="text1"/>
        </w:rPr>
        <w:t>.</w:t>
      </w:r>
    </w:p>
    <w:p w:rsidR="00842A7E" w:rsidP="00842A7E" w14:paraId="14554370" w14:textId="77777777"/>
    <w:p w:rsidR="00842A7E" w:rsidRPr="00052F2A" w:rsidP="00D901A8" w14:paraId="2608D530" w14:textId="77777777">
      <w:pPr>
        <w:pStyle w:val="ListParagraph"/>
        <w:numPr>
          <w:ilvl w:val="0"/>
          <w:numId w:val="2"/>
        </w:numPr>
      </w:pPr>
      <w:r w:rsidRPr="00052F2A">
        <w:t>BJS</w:t>
      </w:r>
      <w:r w:rsidR="00C83679">
        <w:t xml:space="preserve"> </w:t>
      </w:r>
      <w:r w:rsidR="00B82CDA">
        <w:t>contact</w:t>
      </w:r>
      <w:r w:rsidR="008A3B1D">
        <w:t xml:space="preserve"> </w:t>
      </w:r>
      <w:r w:rsidRPr="00A87CC7" w:rsidR="008A3B1D">
        <w:rPr>
          <w:color w:val="000000" w:themeColor="text1"/>
        </w:rPr>
        <w:t>–</w:t>
      </w:r>
      <w:r w:rsidR="00C83679">
        <w:t xml:space="preserve"> </w:t>
      </w:r>
    </w:p>
    <w:p w:rsidR="00580527" w:rsidRPr="00580527" w:rsidP="00580527" w14:paraId="5B146BFC" w14:textId="77777777">
      <w:pPr>
        <w:ind w:firstLine="720"/>
      </w:pPr>
      <w:r w:rsidRPr="00580527">
        <w:t>Steven W. Perry, Statistician</w:t>
      </w:r>
    </w:p>
    <w:p w:rsidR="00580527" w:rsidRPr="00580527" w:rsidP="00580527" w14:paraId="397F9A48" w14:textId="77777777">
      <w:pPr>
        <w:ind w:firstLine="720"/>
      </w:pPr>
      <w:r w:rsidRPr="00580527">
        <w:t>202-307-0765</w:t>
      </w:r>
    </w:p>
    <w:p w:rsidR="00580527" w:rsidRPr="00580527" w:rsidP="00580527" w14:paraId="6F4EA008" w14:textId="77777777">
      <w:pPr>
        <w:ind w:firstLine="720"/>
        <w:rPr>
          <w:u w:val="single"/>
        </w:rPr>
      </w:pPr>
      <w:r w:rsidRPr="00580527">
        <w:t>AskBJS@usdoj.gov</w:t>
      </w:r>
    </w:p>
    <w:p w:rsidR="002A2CC9" w:rsidP="007A6E56" w14:paraId="6B7AB2C6" w14:textId="77777777">
      <w:pPr>
        <w:ind w:firstLine="720"/>
      </w:pPr>
    </w:p>
    <w:p w:rsidR="00BD6D8D" w:rsidRPr="002A2CC9" w:rsidP="00D901A8" w14:paraId="5D293E61" w14:textId="77777777">
      <w:pPr>
        <w:rPr>
          <w:color w:val="000000" w:themeColor="text1"/>
        </w:rPr>
      </w:pPr>
    </w:p>
    <w:p w:rsidR="00842A7E" w:rsidP="00D901A8" w14:paraId="124AF12C" w14:textId="77777777">
      <w:pPr>
        <w:pStyle w:val="ListParagraph"/>
        <w:numPr>
          <w:ilvl w:val="0"/>
          <w:numId w:val="2"/>
        </w:numPr>
      </w:pPr>
      <w:r>
        <w:t>NORC</w:t>
      </w:r>
      <w:r w:rsidR="00C83679">
        <w:t xml:space="preserve"> </w:t>
      </w:r>
      <w:r>
        <w:t>contact</w:t>
      </w:r>
      <w:r w:rsidR="008A3B1D">
        <w:t xml:space="preserve"> </w:t>
      </w:r>
      <w:r w:rsidRPr="00A87CC7" w:rsidR="008A3B1D">
        <w:rPr>
          <w:color w:val="000000" w:themeColor="text1"/>
        </w:rPr>
        <w:t>–</w:t>
      </w:r>
    </w:p>
    <w:p w:rsidR="00842A7E" w:rsidP="00842A7E" w14:paraId="5059FDC5" w14:textId="7E0347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t>Beth Fisher</w:t>
      </w:r>
      <w:r w:rsidR="00E9135E">
        <w:t>,</w:t>
      </w:r>
      <w:r w:rsidR="00C83679">
        <w:t xml:space="preserve"> </w:t>
      </w:r>
      <w:r w:rsidR="00E40492">
        <w:t>Senior Research Director</w:t>
      </w:r>
    </w:p>
    <w:p w:rsidR="00E9135E" w:rsidRPr="002A2CC9" w:rsidP="00842A7E" w14:paraId="46A91B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color w:val="000000" w:themeColor="text1"/>
        </w:rPr>
      </w:pPr>
      <w:r>
        <w:t>(</w:t>
      </w:r>
      <w:r w:rsidR="00E40492">
        <w:t>312</w:t>
      </w:r>
      <w:r>
        <w:t>)</w:t>
      </w:r>
      <w:r w:rsidR="00E40492">
        <w:t>-759-4000</w:t>
      </w:r>
    </w:p>
    <w:p w:rsidR="004C7B82" w:rsidRPr="003F58AC" w:rsidP="003F58AC" w14:paraId="186A94AF" w14:textId="1A82DB0D">
      <w:pPr>
        <w:tabs>
          <w:tab w:val="left" w:pos="0"/>
          <w:tab w:val="left" w:pos="720"/>
          <w:tab w:val="left" w:pos="1440"/>
          <w:tab w:val="left" w:pos="2160"/>
          <w:tab w:val="left" w:pos="2880"/>
          <w:tab w:val="left" w:pos="3600"/>
          <w:tab w:val="center" w:pos="5040"/>
        </w:tabs>
        <w:rPr>
          <w:color w:val="000000" w:themeColor="text1"/>
        </w:rPr>
      </w:pPr>
      <w:r>
        <w:tab/>
      </w:r>
    </w:p>
    <w:sectPr w:rsidSect="00CF1432">
      <w:footerReference w:type="default" r:id="rId12"/>
      <w:pgSz w:w="12240" w:h="15840" w:code="1"/>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Book">
    <w:altName w:val="Baskerville Old Face"/>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F2A63" w14:paraId="0A57AA53" w14:textId="76155F54">
    <w:pPr>
      <w:pStyle w:val="Footer"/>
      <w:jc w:val="center"/>
    </w:pPr>
    <w:r>
      <w:fldChar w:fldCharType="begin"/>
    </w:r>
    <w:r>
      <w:instrText xml:space="preserve"> PAGE   \* MERGEFORMAT </w:instrText>
    </w:r>
    <w:r>
      <w:fldChar w:fldCharType="separate"/>
    </w:r>
    <w:r w:rsidR="00EF5F74">
      <w:rPr>
        <w:noProof/>
      </w:rPr>
      <w:t>8</w:t>
    </w:r>
    <w:r>
      <w:rPr>
        <w:noProof/>
      </w:rPr>
      <w:fldChar w:fldCharType="end"/>
    </w:r>
  </w:p>
  <w:p w:rsidR="00CF2A63" w14:paraId="602DED1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7C20" w:rsidP="00421095" w14:paraId="30E26C70" w14:textId="77777777">
      <w:r>
        <w:separator/>
      </w:r>
    </w:p>
  </w:footnote>
  <w:footnote w:type="continuationSeparator" w:id="1">
    <w:p w:rsidR="00E37C20" w:rsidP="00421095" w14:paraId="77155982" w14:textId="77777777">
      <w:r>
        <w:continuationSeparator/>
      </w:r>
    </w:p>
  </w:footnote>
  <w:footnote w:id="2">
    <w:p w:rsidR="00CF2A63" w14:paraId="2BFAD406" w14:textId="77777777">
      <w:pPr>
        <w:pStyle w:val="FootnoteText"/>
      </w:pPr>
      <w:r>
        <w:rPr>
          <w:rStyle w:val="FootnoteReference"/>
        </w:rPr>
        <w:footnoteRef/>
      </w:r>
      <w:r>
        <w:t xml:space="preserve"> Title </w:t>
      </w:r>
      <w:r w:rsidRPr="008F4762">
        <w:t>25 U.S. Code § 2802 - Indian law enforcement responsibilities</w:t>
      </w:r>
    </w:p>
  </w:footnote>
  <w:footnote w:id="3">
    <w:p w:rsidR="00F82EF5" w:rsidP="00F82EF5" w14:paraId="31D31DF2" w14:textId="136A71E1">
      <w:pPr>
        <w:pStyle w:val="FootnoteText"/>
      </w:pPr>
      <w:r w:rsidRPr="00F97905">
        <w:rPr>
          <w:rStyle w:val="FootnoteReference"/>
        </w:rPr>
        <w:footnoteRef/>
      </w:r>
      <w:r w:rsidRPr="00F97905">
        <w:t xml:space="preserve"> </w:t>
      </w:r>
      <w:r w:rsidRPr="009C532D">
        <w:t xml:space="preserve">Indian Entities Recognized by and Eligible </w:t>
      </w:r>
      <w:r w:rsidRPr="009C532D">
        <w:t>To</w:t>
      </w:r>
      <w:r w:rsidRPr="009C532D">
        <w:t xml:space="preserve"> Receive Services </w:t>
      </w:r>
      <w:r w:rsidRPr="009C532D">
        <w:t>From</w:t>
      </w:r>
      <w:r w:rsidRPr="009C532D">
        <w:t xml:space="preserve"> the United States Bureau of Indian Affairs. Federal Register 88: 10 (January 8, 2024):  https://www.federalregister.gov/d/2024-00109</w:t>
      </w:r>
    </w:p>
  </w:footnote>
  <w:footnote w:id="4">
    <w:p w:rsidR="003F68C7" w14:paraId="53718427" w14:textId="00DAF0B5">
      <w:pPr>
        <w:pStyle w:val="FootnoteText"/>
      </w:pPr>
      <w:r>
        <w:rPr>
          <w:rStyle w:val="FootnoteReference"/>
        </w:rPr>
        <w:footnoteRef/>
      </w:r>
      <w:r>
        <w:t xml:space="preserve"> See TLPI Tribal Court Clearinghouse: </w:t>
      </w:r>
      <w:r w:rsidRPr="003F68C7">
        <w:t>https://www.tribal-institute.org/lists/justice.htm</w:t>
      </w:r>
    </w:p>
  </w:footnote>
  <w:footnote w:id="5">
    <w:p w:rsidR="00DF07F9" w:rsidP="00DF07F9" w14:paraId="6BF7F216" w14:textId="77777777">
      <w:pPr>
        <w:pStyle w:val="FootnoteText"/>
      </w:pPr>
      <w:r>
        <w:rPr>
          <w:rStyle w:val="FootnoteReference"/>
        </w:rPr>
        <w:footnoteRef/>
      </w:r>
      <w:r>
        <w:t xml:space="preserve"> </w:t>
      </w:r>
      <w:hyperlink r:id="rId1" w:history="1">
        <w:r w:rsidRPr="00F8538B">
          <w:rPr>
            <w:rStyle w:val="Hyperlink"/>
          </w:rPr>
          <w:t>https://georgewbush-whitehouse.archives.gov/omb/inforeg/statpolicy/standards_stat_surveys.pdf</w:t>
        </w:r>
      </w:hyperlink>
      <w:r>
        <w:t xml:space="preserve"> </w:t>
      </w:r>
    </w:p>
  </w:footnote>
  <w:footnote w:id="6">
    <w:p w:rsidR="004A1699" w14:paraId="0F5A2E93" w14:textId="5BF68198">
      <w:pPr>
        <w:pStyle w:val="FootnoteText"/>
      </w:pPr>
      <w:r>
        <w:rPr>
          <w:rStyle w:val="FootnoteReference"/>
        </w:rPr>
        <w:footnoteRef/>
      </w:r>
      <w:r>
        <w:t xml:space="preserve"> See; </w:t>
      </w:r>
      <w:hyperlink r:id="rId2" w:history="1">
        <w:r>
          <w:rPr>
            <w:rStyle w:val="Hyperlink"/>
          </w:rPr>
          <w:t>https://www.naicja.org/2026-census-of-tribal-court-systems-ctcs/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392478"/>
    <w:multiLevelType w:val="hybridMultilevel"/>
    <w:tmpl w:val="718217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81C31A7"/>
    <w:multiLevelType w:val="hybridMultilevel"/>
    <w:tmpl w:val="E7984F8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36132BDB"/>
    <w:multiLevelType w:val="hybridMultilevel"/>
    <w:tmpl w:val="8CF03CD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5C951BB2"/>
    <w:multiLevelType w:val="hybridMultilevel"/>
    <w:tmpl w:val="410493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7BE254C8"/>
    <w:multiLevelType w:val="hybridMultilevel"/>
    <w:tmpl w:val="28D4A324"/>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7C506C05"/>
    <w:multiLevelType w:val="hybridMultilevel"/>
    <w:tmpl w:val="B2C0F27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414350952">
    <w:abstractNumId w:val="4"/>
  </w:num>
  <w:num w:numId="2" w16cid:durableId="135803164">
    <w:abstractNumId w:val="1"/>
  </w:num>
  <w:num w:numId="3" w16cid:durableId="875196156">
    <w:abstractNumId w:val="5"/>
  </w:num>
  <w:num w:numId="4" w16cid:durableId="758058469">
    <w:abstractNumId w:val="0"/>
  </w:num>
  <w:num w:numId="5" w16cid:durableId="1095790310">
    <w:abstractNumId w:val="2"/>
  </w:num>
  <w:num w:numId="6" w16cid:durableId="1306475072">
    <w:abstractNumId w:val="3"/>
  </w:num>
  <w:num w:numId="7" w16cid:durableId="164484617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095"/>
    <w:rsid w:val="000004FC"/>
    <w:rsid w:val="000005B9"/>
    <w:rsid w:val="00001CC5"/>
    <w:rsid w:val="000023E1"/>
    <w:rsid w:val="00003B03"/>
    <w:rsid w:val="000048DB"/>
    <w:rsid w:val="00004A34"/>
    <w:rsid w:val="00004D02"/>
    <w:rsid w:val="00006813"/>
    <w:rsid w:val="00010940"/>
    <w:rsid w:val="000109DA"/>
    <w:rsid w:val="00011539"/>
    <w:rsid w:val="0001297B"/>
    <w:rsid w:val="000155B5"/>
    <w:rsid w:val="0002087A"/>
    <w:rsid w:val="00020E4D"/>
    <w:rsid w:val="00022506"/>
    <w:rsid w:val="00022845"/>
    <w:rsid w:val="00022EBD"/>
    <w:rsid w:val="00025635"/>
    <w:rsid w:val="00026C1A"/>
    <w:rsid w:val="0002726A"/>
    <w:rsid w:val="000273BD"/>
    <w:rsid w:val="0003234E"/>
    <w:rsid w:val="000346A5"/>
    <w:rsid w:val="0003770C"/>
    <w:rsid w:val="00037C53"/>
    <w:rsid w:val="000417C8"/>
    <w:rsid w:val="00042D44"/>
    <w:rsid w:val="00043C71"/>
    <w:rsid w:val="00044E0A"/>
    <w:rsid w:val="00045D46"/>
    <w:rsid w:val="000470C0"/>
    <w:rsid w:val="00047ACB"/>
    <w:rsid w:val="0005229C"/>
    <w:rsid w:val="00052BB7"/>
    <w:rsid w:val="00052E71"/>
    <w:rsid w:val="00052F2A"/>
    <w:rsid w:val="0005601C"/>
    <w:rsid w:val="0005674A"/>
    <w:rsid w:val="00057580"/>
    <w:rsid w:val="0006198C"/>
    <w:rsid w:val="000619BE"/>
    <w:rsid w:val="00065195"/>
    <w:rsid w:val="0006630B"/>
    <w:rsid w:val="0007151C"/>
    <w:rsid w:val="0007165E"/>
    <w:rsid w:val="000739A0"/>
    <w:rsid w:val="00073FF4"/>
    <w:rsid w:val="0008010B"/>
    <w:rsid w:val="000807A7"/>
    <w:rsid w:val="000831B3"/>
    <w:rsid w:val="00083A88"/>
    <w:rsid w:val="00085D62"/>
    <w:rsid w:val="00085FF3"/>
    <w:rsid w:val="0008633D"/>
    <w:rsid w:val="00090365"/>
    <w:rsid w:val="0009206B"/>
    <w:rsid w:val="00094073"/>
    <w:rsid w:val="000956E9"/>
    <w:rsid w:val="00097308"/>
    <w:rsid w:val="00097A62"/>
    <w:rsid w:val="00097DB4"/>
    <w:rsid w:val="000A01FF"/>
    <w:rsid w:val="000A360A"/>
    <w:rsid w:val="000A3FF3"/>
    <w:rsid w:val="000A48F2"/>
    <w:rsid w:val="000A5B95"/>
    <w:rsid w:val="000A634B"/>
    <w:rsid w:val="000A7F87"/>
    <w:rsid w:val="000B2149"/>
    <w:rsid w:val="000B2C6B"/>
    <w:rsid w:val="000B304F"/>
    <w:rsid w:val="000B3303"/>
    <w:rsid w:val="000B3718"/>
    <w:rsid w:val="000B5191"/>
    <w:rsid w:val="000B57BF"/>
    <w:rsid w:val="000B601C"/>
    <w:rsid w:val="000C1BCD"/>
    <w:rsid w:val="000C1D89"/>
    <w:rsid w:val="000C2709"/>
    <w:rsid w:val="000C4560"/>
    <w:rsid w:val="000C4A46"/>
    <w:rsid w:val="000C57F4"/>
    <w:rsid w:val="000C594A"/>
    <w:rsid w:val="000C65B7"/>
    <w:rsid w:val="000C70F9"/>
    <w:rsid w:val="000C76A0"/>
    <w:rsid w:val="000D086B"/>
    <w:rsid w:val="000D36D5"/>
    <w:rsid w:val="000E0276"/>
    <w:rsid w:val="000E4002"/>
    <w:rsid w:val="000E4A76"/>
    <w:rsid w:val="000E4EF0"/>
    <w:rsid w:val="000E7A74"/>
    <w:rsid w:val="000F0DBB"/>
    <w:rsid w:val="000F2C49"/>
    <w:rsid w:val="000F3872"/>
    <w:rsid w:val="000F39F4"/>
    <w:rsid w:val="000F3C4F"/>
    <w:rsid w:val="000F3FD0"/>
    <w:rsid w:val="000F4034"/>
    <w:rsid w:val="000F53C8"/>
    <w:rsid w:val="000F60D2"/>
    <w:rsid w:val="000F7B14"/>
    <w:rsid w:val="001055AE"/>
    <w:rsid w:val="001074BC"/>
    <w:rsid w:val="00111186"/>
    <w:rsid w:val="00111355"/>
    <w:rsid w:val="001119C7"/>
    <w:rsid w:val="00113B06"/>
    <w:rsid w:val="00113FD2"/>
    <w:rsid w:val="00121205"/>
    <w:rsid w:val="00125DEB"/>
    <w:rsid w:val="00127177"/>
    <w:rsid w:val="00127384"/>
    <w:rsid w:val="00130332"/>
    <w:rsid w:val="00130B95"/>
    <w:rsid w:val="00131DA6"/>
    <w:rsid w:val="001338D3"/>
    <w:rsid w:val="00136156"/>
    <w:rsid w:val="001368B8"/>
    <w:rsid w:val="0014008C"/>
    <w:rsid w:val="00141863"/>
    <w:rsid w:val="00141EC7"/>
    <w:rsid w:val="0014332D"/>
    <w:rsid w:val="0014411D"/>
    <w:rsid w:val="0015067A"/>
    <w:rsid w:val="00155A75"/>
    <w:rsid w:val="001569D1"/>
    <w:rsid w:val="00156A5D"/>
    <w:rsid w:val="00156D1E"/>
    <w:rsid w:val="0016015C"/>
    <w:rsid w:val="00160640"/>
    <w:rsid w:val="00161C0B"/>
    <w:rsid w:val="001630F2"/>
    <w:rsid w:val="00163AAF"/>
    <w:rsid w:val="0016531D"/>
    <w:rsid w:val="0017272B"/>
    <w:rsid w:val="00173221"/>
    <w:rsid w:val="00173D3F"/>
    <w:rsid w:val="00175C1E"/>
    <w:rsid w:val="001763C2"/>
    <w:rsid w:val="00177D1F"/>
    <w:rsid w:val="001806D6"/>
    <w:rsid w:val="001808E8"/>
    <w:rsid w:val="001823E4"/>
    <w:rsid w:val="001829BC"/>
    <w:rsid w:val="00183967"/>
    <w:rsid w:val="00183AD7"/>
    <w:rsid w:val="001844CF"/>
    <w:rsid w:val="0018551A"/>
    <w:rsid w:val="0018761D"/>
    <w:rsid w:val="00190CBE"/>
    <w:rsid w:val="001913B4"/>
    <w:rsid w:val="00191506"/>
    <w:rsid w:val="00191C1D"/>
    <w:rsid w:val="00191FF8"/>
    <w:rsid w:val="001931BD"/>
    <w:rsid w:val="00195A97"/>
    <w:rsid w:val="001960BD"/>
    <w:rsid w:val="001A13ED"/>
    <w:rsid w:val="001A2774"/>
    <w:rsid w:val="001A3278"/>
    <w:rsid w:val="001A3899"/>
    <w:rsid w:val="001A3D63"/>
    <w:rsid w:val="001A6451"/>
    <w:rsid w:val="001A6EE3"/>
    <w:rsid w:val="001B2465"/>
    <w:rsid w:val="001B3AAC"/>
    <w:rsid w:val="001B5CB1"/>
    <w:rsid w:val="001B63BD"/>
    <w:rsid w:val="001B661E"/>
    <w:rsid w:val="001B7446"/>
    <w:rsid w:val="001B7742"/>
    <w:rsid w:val="001B78A1"/>
    <w:rsid w:val="001C0470"/>
    <w:rsid w:val="001C6875"/>
    <w:rsid w:val="001C7D5C"/>
    <w:rsid w:val="001C7E67"/>
    <w:rsid w:val="001D0B68"/>
    <w:rsid w:val="001D13D1"/>
    <w:rsid w:val="001D1963"/>
    <w:rsid w:val="001D295B"/>
    <w:rsid w:val="001D350D"/>
    <w:rsid w:val="001D48CA"/>
    <w:rsid w:val="001D7C6F"/>
    <w:rsid w:val="001E2E38"/>
    <w:rsid w:val="001E7C9C"/>
    <w:rsid w:val="001F1A38"/>
    <w:rsid w:val="001F4549"/>
    <w:rsid w:val="002004FE"/>
    <w:rsid w:val="002010F7"/>
    <w:rsid w:val="002017E1"/>
    <w:rsid w:val="002058AF"/>
    <w:rsid w:val="002071C0"/>
    <w:rsid w:val="0021003D"/>
    <w:rsid w:val="00211045"/>
    <w:rsid w:val="00211893"/>
    <w:rsid w:val="00213619"/>
    <w:rsid w:val="00215B29"/>
    <w:rsid w:val="00215D40"/>
    <w:rsid w:val="0021617B"/>
    <w:rsid w:val="0021674B"/>
    <w:rsid w:val="00216C4E"/>
    <w:rsid w:val="002205F4"/>
    <w:rsid w:val="00220755"/>
    <w:rsid w:val="00220E67"/>
    <w:rsid w:val="00221852"/>
    <w:rsid w:val="0022303A"/>
    <w:rsid w:val="00224148"/>
    <w:rsid w:val="00224ABF"/>
    <w:rsid w:val="0022594C"/>
    <w:rsid w:val="00225D77"/>
    <w:rsid w:val="0022602A"/>
    <w:rsid w:val="002372EB"/>
    <w:rsid w:val="00241166"/>
    <w:rsid w:val="0024312B"/>
    <w:rsid w:val="002454FB"/>
    <w:rsid w:val="00245A9A"/>
    <w:rsid w:val="002461A9"/>
    <w:rsid w:val="00246A24"/>
    <w:rsid w:val="00252DF8"/>
    <w:rsid w:val="002535B4"/>
    <w:rsid w:val="00253C85"/>
    <w:rsid w:val="00253D4D"/>
    <w:rsid w:val="00254D90"/>
    <w:rsid w:val="0025514C"/>
    <w:rsid w:val="002574B2"/>
    <w:rsid w:val="00260FE7"/>
    <w:rsid w:val="00263008"/>
    <w:rsid w:val="0026336D"/>
    <w:rsid w:val="00263ED6"/>
    <w:rsid w:val="00271AC7"/>
    <w:rsid w:val="00271B34"/>
    <w:rsid w:val="0027433B"/>
    <w:rsid w:val="002745D7"/>
    <w:rsid w:val="002765C0"/>
    <w:rsid w:val="00276C2B"/>
    <w:rsid w:val="00277396"/>
    <w:rsid w:val="00277613"/>
    <w:rsid w:val="00277C09"/>
    <w:rsid w:val="00277DB2"/>
    <w:rsid w:val="00281163"/>
    <w:rsid w:val="00281542"/>
    <w:rsid w:val="00281F6C"/>
    <w:rsid w:val="002834BD"/>
    <w:rsid w:val="00285C98"/>
    <w:rsid w:val="00286C7A"/>
    <w:rsid w:val="00286E20"/>
    <w:rsid w:val="00287111"/>
    <w:rsid w:val="002908C2"/>
    <w:rsid w:val="002928EB"/>
    <w:rsid w:val="0029426C"/>
    <w:rsid w:val="00295BD1"/>
    <w:rsid w:val="00297B7A"/>
    <w:rsid w:val="002A0783"/>
    <w:rsid w:val="002A147A"/>
    <w:rsid w:val="002A2CC9"/>
    <w:rsid w:val="002A2D48"/>
    <w:rsid w:val="002A2E0D"/>
    <w:rsid w:val="002A32D0"/>
    <w:rsid w:val="002A6848"/>
    <w:rsid w:val="002A7506"/>
    <w:rsid w:val="002A75AD"/>
    <w:rsid w:val="002A780B"/>
    <w:rsid w:val="002A7B60"/>
    <w:rsid w:val="002A7D54"/>
    <w:rsid w:val="002B0880"/>
    <w:rsid w:val="002B18E5"/>
    <w:rsid w:val="002B3C67"/>
    <w:rsid w:val="002B41F5"/>
    <w:rsid w:val="002B713E"/>
    <w:rsid w:val="002C0392"/>
    <w:rsid w:val="002C1EF0"/>
    <w:rsid w:val="002C7C30"/>
    <w:rsid w:val="002D0ABC"/>
    <w:rsid w:val="002D1775"/>
    <w:rsid w:val="002D345D"/>
    <w:rsid w:val="002D38BA"/>
    <w:rsid w:val="002D5260"/>
    <w:rsid w:val="002E308B"/>
    <w:rsid w:val="002E5948"/>
    <w:rsid w:val="002E7A7D"/>
    <w:rsid w:val="002F141F"/>
    <w:rsid w:val="002F322D"/>
    <w:rsid w:val="002F3307"/>
    <w:rsid w:val="002F3344"/>
    <w:rsid w:val="002F5094"/>
    <w:rsid w:val="002F7A9C"/>
    <w:rsid w:val="003002B7"/>
    <w:rsid w:val="00302E84"/>
    <w:rsid w:val="00305023"/>
    <w:rsid w:val="00311945"/>
    <w:rsid w:val="0031236F"/>
    <w:rsid w:val="003134EC"/>
    <w:rsid w:val="00313BC9"/>
    <w:rsid w:val="00315A00"/>
    <w:rsid w:val="0031747B"/>
    <w:rsid w:val="00317720"/>
    <w:rsid w:val="00320882"/>
    <w:rsid w:val="00320FC5"/>
    <w:rsid w:val="0032225B"/>
    <w:rsid w:val="003264AB"/>
    <w:rsid w:val="003265DA"/>
    <w:rsid w:val="00327CCD"/>
    <w:rsid w:val="00330106"/>
    <w:rsid w:val="00331BB3"/>
    <w:rsid w:val="00332951"/>
    <w:rsid w:val="003352B1"/>
    <w:rsid w:val="003353C2"/>
    <w:rsid w:val="00335DBC"/>
    <w:rsid w:val="0033664A"/>
    <w:rsid w:val="00336976"/>
    <w:rsid w:val="0034166F"/>
    <w:rsid w:val="003424CC"/>
    <w:rsid w:val="003444FC"/>
    <w:rsid w:val="00345CAA"/>
    <w:rsid w:val="00346798"/>
    <w:rsid w:val="00346A3C"/>
    <w:rsid w:val="0035341F"/>
    <w:rsid w:val="00354EAD"/>
    <w:rsid w:val="0035584C"/>
    <w:rsid w:val="0035726F"/>
    <w:rsid w:val="003577B6"/>
    <w:rsid w:val="00357BBC"/>
    <w:rsid w:val="00361A44"/>
    <w:rsid w:val="00361BF5"/>
    <w:rsid w:val="003629AA"/>
    <w:rsid w:val="00370A3D"/>
    <w:rsid w:val="00373E25"/>
    <w:rsid w:val="003746AF"/>
    <w:rsid w:val="0037538C"/>
    <w:rsid w:val="00377ED6"/>
    <w:rsid w:val="003802DA"/>
    <w:rsid w:val="00380ADB"/>
    <w:rsid w:val="0038182E"/>
    <w:rsid w:val="003873E2"/>
    <w:rsid w:val="003904E1"/>
    <w:rsid w:val="00391F3E"/>
    <w:rsid w:val="00393737"/>
    <w:rsid w:val="00393810"/>
    <w:rsid w:val="00393D6B"/>
    <w:rsid w:val="00394FAB"/>
    <w:rsid w:val="003956FE"/>
    <w:rsid w:val="00397AE7"/>
    <w:rsid w:val="003A0A55"/>
    <w:rsid w:val="003A1C56"/>
    <w:rsid w:val="003A1DB7"/>
    <w:rsid w:val="003A2279"/>
    <w:rsid w:val="003A6A09"/>
    <w:rsid w:val="003B13B5"/>
    <w:rsid w:val="003B2BFD"/>
    <w:rsid w:val="003B33AB"/>
    <w:rsid w:val="003C34E6"/>
    <w:rsid w:val="003C4AF1"/>
    <w:rsid w:val="003C6CAF"/>
    <w:rsid w:val="003C6CCC"/>
    <w:rsid w:val="003D03F6"/>
    <w:rsid w:val="003D404F"/>
    <w:rsid w:val="003D503C"/>
    <w:rsid w:val="003D60CD"/>
    <w:rsid w:val="003E0D57"/>
    <w:rsid w:val="003E0F55"/>
    <w:rsid w:val="003E2F9F"/>
    <w:rsid w:val="003E5558"/>
    <w:rsid w:val="003E6189"/>
    <w:rsid w:val="003E6C87"/>
    <w:rsid w:val="003E6E4B"/>
    <w:rsid w:val="003E7E36"/>
    <w:rsid w:val="003F0D60"/>
    <w:rsid w:val="003F21BF"/>
    <w:rsid w:val="003F2A83"/>
    <w:rsid w:val="003F2DFE"/>
    <w:rsid w:val="003F32C7"/>
    <w:rsid w:val="003F3D7B"/>
    <w:rsid w:val="003F58AC"/>
    <w:rsid w:val="003F68C7"/>
    <w:rsid w:val="00400815"/>
    <w:rsid w:val="0040533A"/>
    <w:rsid w:val="00405F9F"/>
    <w:rsid w:val="00406800"/>
    <w:rsid w:val="00407077"/>
    <w:rsid w:val="00407099"/>
    <w:rsid w:val="004119B0"/>
    <w:rsid w:val="00413235"/>
    <w:rsid w:val="0041745B"/>
    <w:rsid w:val="00420CDC"/>
    <w:rsid w:val="00421095"/>
    <w:rsid w:val="00421312"/>
    <w:rsid w:val="00422A17"/>
    <w:rsid w:val="00425435"/>
    <w:rsid w:val="00425AB7"/>
    <w:rsid w:val="00426423"/>
    <w:rsid w:val="0042688F"/>
    <w:rsid w:val="00426F07"/>
    <w:rsid w:val="00427D84"/>
    <w:rsid w:val="00430584"/>
    <w:rsid w:val="00433C60"/>
    <w:rsid w:val="004345BC"/>
    <w:rsid w:val="00440675"/>
    <w:rsid w:val="00440716"/>
    <w:rsid w:val="004418C5"/>
    <w:rsid w:val="00445B4E"/>
    <w:rsid w:val="004471C1"/>
    <w:rsid w:val="004477B2"/>
    <w:rsid w:val="00450797"/>
    <w:rsid w:val="00451ABA"/>
    <w:rsid w:val="00451EE7"/>
    <w:rsid w:val="00453AC1"/>
    <w:rsid w:val="004565D7"/>
    <w:rsid w:val="004569D2"/>
    <w:rsid w:val="00456DE8"/>
    <w:rsid w:val="00456F52"/>
    <w:rsid w:val="00462339"/>
    <w:rsid w:val="00470431"/>
    <w:rsid w:val="0047279C"/>
    <w:rsid w:val="00472FE2"/>
    <w:rsid w:val="004740DF"/>
    <w:rsid w:val="00474327"/>
    <w:rsid w:val="00476094"/>
    <w:rsid w:val="00476380"/>
    <w:rsid w:val="004768FA"/>
    <w:rsid w:val="0048054B"/>
    <w:rsid w:val="00483EB4"/>
    <w:rsid w:val="004867F3"/>
    <w:rsid w:val="0049082B"/>
    <w:rsid w:val="004908E3"/>
    <w:rsid w:val="004921F7"/>
    <w:rsid w:val="004939F5"/>
    <w:rsid w:val="00493E2A"/>
    <w:rsid w:val="00495D71"/>
    <w:rsid w:val="004A07C7"/>
    <w:rsid w:val="004A154F"/>
    <w:rsid w:val="004A1699"/>
    <w:rsid w:val="004A2B7B"/>
    <w:rsid w:val="004A3077"/>
    <w:rsid w:val="004A42FF"/>
    <w:rsid w:val="004A4AAB"/>
    <w:rsid w:val="004A7404"/>
    <w:rsid w:val="004B05D2"/>
    <w:rsid w:val="004B16EF"/>
    <w:rsid w:val="004B2B39"/>
    <w:rsid w:val="004B3728"/>
    <w:rsid w:val="004B3CDA"/>
    <w:rsid w:val="004B5490"/>
    <w:rsid w:val="004B60A5"/>
    <w:rsid w:val="004B763F"/>
    <w:rsid w:val="004C0D8D"/>
    <w:rsid w:val="004C2FC1"/>
    <w:rsid w:val="004C3585"/>
    <w:rsid w:val="004C5B0D"/>
    <w:rsid w:val="004C5F3E"/>
    <w:rsid w:val="004C62CF"/>
    <w:rsid w:val="004C6E75"/>
    <w:rsid w:val="004C7B82"/>
    <w:rsid w:val="004D1E33"/>
    <w:rsid w:val="004D44C6"/>
    <w:rsid w:val="004D4BE8"/>
    <w:rsid w:val="004D70D9"/>
    <w:rsid w:val="004D7DFE"/>
    <w:rsid w:val="004D7F18"/>
    <w:rsid w:val="004E08F9"/>
    <w:rsid w:val="004E14A5"/>
    <w:rsid w:val="004E308C"/>
    <w:rsid w:val="004E436D"/>
    <w:rsid w:val="004E4DE5"/>
    <w:rsid w:val="004E5C66"/>
    <w:rsid w:val="004E651C"/>
    <w:rsid w:val="004E6CBE"/>
    <w:rsid w:val="004E7B8F"/>
    <w:rsid w:val="004F01A0"/>
    <w:rsid w:val="004F06A2"/>
    <w:rsid w:val="004F0D61"/>
    <w:rsid w:val="004F1D90"/>
    <w:rsid w:val="004F2551"/>
    <w:rsid w:val="004F2CB4"/>
    <w:rsid w:val="004F2CF6"/>
    <w:rsid w:val="004F3FC8"/>
    <w:rsid w:val="004F4890"/>
    <w:rsid w:val="004F7A4A"/>
    <w:rsid w:val="00502F86"/>
    <w:rsid w:val="00505B28"/>
    <w:rsid w:val="00505DFA"/>
    <w:rsid w:val="00506DFD"/>
    <w:rsid w:val="00507610"/>
    <w:rsid w:val="00507EF9"/>
    <w:rsid w:val="00510805"/>
    <w:rsid w:val="00511745"/>
    <w:rsid w:val="00516934"/>
    <w:rsid w:val="005177B2"/>
    <w:rsid w:val="005222BC"/>
    <w:rsid w:val="00522D0E"/>
    <w:rsid w:val="005231E0"/>
    <w:rsid w:val="0052426C"/>
    <w:rsid w:val="005260A2"/>
    <w:rsid w:val="005370D8"/>
    <w:rsid w:val="005373F3"/>
    <w:rsid w:val="0053777E"/>
    <w:rsid w:val="00540281"/>
    <w:rsid w:val="00542A40"/>
    <w:rsid w:val="005433DC"/>
    <w:rsid w:val="00544411"/>
    <w:rsid w:val="00545EA2"/>
    <w:rsid w:val="00546104"/>
    <w:rsid w:val="005513BC"/>
    <w:rsid w:val="00553647"/>
    <w:rsid w:val="00554751"/>
    <w:rsid w:val="005567D5"/>
    <w:rsid w:val="00557384"/>
    <w:rsid w:val="005601C0"/>
    <w:rsid w:val="00560BAE"/>
    <w:rsid w:val="00561625"/>
    <w:rsid w:val="005646D6"/>
    <w:rsid w:val="00564CD1"/>
    <w:rsid w:val="00565331"/>
    <w:rsid w:val="0056533F"/>
    <w:rsid w:val="005714F4"/>
    <w:rsid w:val="005748A5"/>
    <w:rsid w:val="00574FE6"/>
    <w:rsid w:val="00575EC9"/>
    <w:rsid w:val="0057644F"/>
    <w:rsid w:val="00580527"/>
    <w:rsid w:val="00582767"/>
    <w:rsid w:val="0058326B"/>
    <w:rsid w:val="005842AF"/>
    <w:rsid w:val="00586311"/>
    <w:rsid w:val="005868A5"/>
    <w:rsid w:val="005871C6"/>
    <w:rsid w:val="005877A6"/>
    <w:rsid w:val="00587D33"/>
    <w:rsid w:val="005918A1"/>
    <w:rsid w:val="00592515"/>
    <w:rsid w:val="00593CE2"/>
    <w:rsid w:val="005A209A"/>
    <w:rsid w:val="005A3226"/>
    <w:rsid w:val="005A3867"/>
    <w:rsid w:val="005A4A6A"/>
    <w:rsid w:val="005A6CF8"/>
    <w:rsid w:val="005A7E98"/>
    <w:rsid w:val="005B0037"/>
    <w:rsid w:val="005B129F"/>
    <w:rsid w:val="005B23CB"/>
    <w:rsid w:val="005B2637"/>
    <w:rsid w:val="005B298A"/>
    <w:rsid w:val="005B4E87"/>
    <w:rsid w:val="005B6693"/>
    <w:rsid w:val="005C0A65"/>
    <w:rsid w:val="005C2B7C"/>
    <w:rsid w:val="005C497F"/>
    <w:rsid w:val="005C4A66"/>
    <w:rsid w:val="005C5F98"/>
    <w:rsid w:val="005C651D"/>
    <w:rsid w:val="005C6C54"/>
    <w:rsid w:val="005C7CB5"/>
    <w:rsid w:val="005D127F"/>
    <w:rsid w:val="005D186C"/>
    <w:rsid w:val="005D28BA"/>
    <w:rsid w:val="005D4C9C"/>
    <w:rsid w:val="005D60D7"/>
    <w:rsid w:val="005E0C66"/>
    <w:rsid w:val="005E11C6"/>
    <w:rsid w:val="005E1CC3"/>
    <w:rsid w:val="005E229F"/>
    <w:rsid w:val="005E2AE1"/>
    <w:rsid w:val="005E3B3E"/>
    <w:rsid w:val="005E3BCB"/>
    <w:rsid w:val="005E48D0"/>
    <w:rsid w:val="005E592C"/>
    <w:rsid w:val="005E6BD4"/>
    <w:rsid w:val="005E6CC0"/>
    <w:rsid w:val="005F4EA4"/>
    <w:rsid w:val="005F627A"/>
    <w:rsid w:val="005F6573"/>
    <w:rsid w:val="005F69E9"/>
    <w:rsid w:val="00600126"/>
    <w:rsid w:val="00600E47"/>
    <w:rsid w:val="0060119F"/>
    <w:rsid w:val="006011C2"/>
    <w:rsid w:val="00602870"/>
    <w:rsid w:val="00605F32"/>
    <w:rsid w:val="00607A5D"/>
    <w:rsid w:val="00610590"/>
    <w:rsid w:val="00612E71"/>
    <w:rsid w:val="006133B8"/>
    <w:rsid w:val="006146C5"/>
    <w:rsid w:val="006203A3"/>
    <w:rsid w:val="0062089A"/>
    <w:rsid w:val="00621B1B"/>
    <w:rsid w:val="00621B4B"/>
    <w:rsid w:val="00622519"/>
    <w:rsid w:val="006227B2"/>
    <w:rsid w:val="006234EE"/>
    <w:rsid w:val="00623749"/>
    <w:rsid w:val="00623CC8"/>
    <w:rsid w:val="00626BC2"/>
    <w:rsid w:val="00631623"/>
    <w:rsid w:val="00631A57"/>
    <w:rsid w:val="006320B7"/>
    <w:rsid w:val="00632C83"/>
    <w:rsid w:val="0063347C"/>
    <w:rsid w:val="00633D5B"/>
    <w:rsid w:val="00634B4A"/>
    <w:rsid w:val="0063560A"/>
    <w:rsid w:val="00637033"/>
    <w:rsid w:val="00643D36"/>
    <w:rsid w:val="006464DF"/>
    <w:rsid w:val="006508CD"/>
    <w:rsid w:val="00651BE6"/>
    <w:rsid w:val="00651ECE"/>
    <w:rsid w:val="00654DFB"/>
    <w:rsid w:val="0065508E"/>
    <w:rsid w:val="00656410"/>
    <w:rsid w:val="00656D56"/>
    <w:rsid w:val="00657FA3"/>
    <w:rsid w:val="006615FC"/>
    <w:rsid w:val="00661AA5"/>
    <w:rsid w:val="0066306E"/>
    <w:rsid w:val="00664D4A"/>
    <w:rsid w:val="00666337"/>
    <w:rsid w:val="00670100"/>
    <w:rsid w:val="006703BB"/>
    <w:rsid w:val="00673907"/>
    <w:rsid w:val="00676BDF"/>
    <w:rsid w:val="0067742B"/>
    <w:rsid w:val="00677FD6"/>
    <w:rsid w:val="00681881"/>
    <w:rsid w:val="006831C1"/>
    <w:rsid w:val="00690F07"/>
    <w:rsid w:val="006911F9"/>
    <w:rsid w:val="00691614"/>
    <w:rsid w:val="00691D7E"/>
    <w:rsid w:val="00692FA3"/>
    <w:rsid w:val="00693958"/>
    <w:rsid w:val="006946EA"/>
    <w:rsid w:val="006949BD"/>
    <w:rsid w:val="00696B9D"/>
    <w:rsid w:val="0069722B"/>
    <w:rsid w:val="006A0A1F"/>
    <w:rsid w:val="006A0BA6"/>
    <w:rsid w:val="006A2438"/>
    <w:rsid w:val="006A2499"/>
    <w:rsid w:val="006A69A0"/>
    <w:rsid w:val="006A6E6D"/>
    <w:rsid w:val="006B1830"/>
    <w:rsid w:val="006B5739"/>
    <w:rsid w:val="006C51D6"/>
    <w:rsid w:val="006C7425"/>
    <w:rsid w:val="006D1EA3"/>
    <w:rsid w:val="006D3191"/>
    <w:rsid w:val="006D469E"/>
    <w:rsid w:val="006D49F4"/>
    <w:rsid w:val="006D6A4F"/>
    <w:rsid w:val="006D6B1E"/>
    <w:rsid w:val="006D746E"/>
    <w:rsid w:val="006E07D7"/>
    <w:rsid w:val="006E36D3"/>
    <w:rsid w:val="006E5C2A"/>
    <w:rsid w:val="006F0B18"/>
    <w:rsid w:val="006F2ADF"/>
    <w:rsid w:val="007005F9"/>
    <w:rsid w:val="00701A6D"/>
    <w:rsid w:val="00702376"/>
    <w:rsid w:val="007038E2"/>
    <w:rsid w:val="00705AED"/>
    <w:rsid w:val="00707394"/>
    <w:rsid w:val="007118B5"/>
    <w:rsid w:val="0071488F"/>
    <w:rsid w:val="00714F71"/>
    <w:rsid w:val="00715438"/>
    <w:rsid w:val="0071582F"/>
    <w:rsid w:val="00716361"/>
    <w:rsid w:val="007177DF"/>
    <w:rsid w:val="0071797A"/>
    <w:rsid w:val="00720586"/>
    <w:rsid w:val="00723915"/>
    <w:rsid w:val="007239A3"/>
    <w:rsid w:val="00724F6C"/>
    <w:rsid w:val="00726265"/>
    <w:rsid w:val="00732723"/>
    <w:rsid w:val="00732E22"/>
    <w:rsid w:val="00733B7A"/>
    <w:rsid w:val="007360A5"/>
    <w:rsid w:val="0073663E"/>
    <w:rsid w:val="00737130"/>
    <w:rsid w:val="00740244"/>
    <w:rsid w:val="00740E43"/>
    <w:rsid w:val="0074566D"/>
    <w:rsid w:val="0074569D"/>
    <w:rsid w:val="00746592"/>
    <w:rsid w:val="00750DBF"/>
    <w:rsid w:val="00752303"/>
    <w:rsid w:val="00753EBE"/>
    <w:rsid w:val="00754C08"/>
    <w:rsid w:val="00755E5F"/>
    <w:rsid w:val="00760761"/>
    <w:rsid w:val="00761390"/>
    <w:rsid w:val="0076189B"/>
    <w:rsid w:val="00762880"/>
    <w:rsid w:val="0076324C"/>
    <w:rsid w:val="007707F9"/>
    <w:rsid w:val="00771C52"/>
    <w:rsid w:val="00772368"/>
    <w:rsid w:val="00773EDE"/>
    <w:rsid w:val="00775FA0"/>
    <w:rsid w:val="007778E6"/>
    <w:rsid w:val="00781D0D"/>
    <w:rsid w:val="00781F1A"/>
    <w:rsid w:val="00782A45"/>
    <w:rsid w:val="00782FDF"/>
    <w:rsid w:val="007830EA"/>
    <w:rsid w:val="00783288"/>
    <w:rsid w:val="00783684"/>
    <w:rsid w:val="0078417B"/>
    <w:rsid w:val="00784437"/>
    <w:rsid w:val="0078505B"/>
    <w:rsid w:val="007879EE"/>
    <w:rsid w:val="007914C9"/>
    <w:rsid w:val="0079231C"/>
    <w:rsid w:val="0079295E"/>
    <w:rsid w:val="0079320F"/>
    <w:rsid w:val="00794369"/>
    <w:rsid w:val="00796A0F"/>
    <w:rsid w:val="007A068D"/>
    <w:rsid w:val="007A3C2D"/>
    <w:rsid w:val="007A48BA"/>
    <w:rsid w:val="007A6E56"/>
    <w:rsid w:val="007A7DB3"/>
    <w:rsid w:val="007B167F"/>
    <w:rsid w:val="007B1B38"/>
    <w:rsid w:val="007B2A07"/>
    <w:rsid w:val="007B3533"/>
    <w:rsid w:val="007B40E0"/>
    <w:rsid w:val="007B637F"/>
    <w:rsid w:val="007B7145"/>
    <w:rsid w:val="007B7CEA"/>
    <w:rsid w:val="007B7F05"/>
    <w:rsid w:val="007C1709"/>
    <w:rsid w:val="007C1DDD"/>
    <w:rsid w:val="007C2CEC"/>
    <w:rsid w:val="007C4760"/>
    <w:rsid w:val="007C5CAC"/>
    <w:rsid w:val="007D176A"/>
    <w:rsid w:val="007D1EFF"/>
    <w:rsid w:val="007D4DA1"/>
    <w:rsid w:val="007D5D67"/>
    <w:rsid w:val="007D7D9A"/>
    <w:rsid w:val="007E1842"/>
    <w:rsid w:val="007E2EA0"/>
    <w:rsid w:val="007E3A18"/>
    <w:rsid w:val="007E3CAC"/>
    <w:rsid w:val="007E4306"/>
    <w:rsid w:val="007E55A5"/>
    <w:rsid w:val="007E7872"/>
    <w:rsid w:val="007F0825"/>
    <w:rsid w:val="007F1D24"/>
    <w:rsid w:val="007F2295"/>
    <w:rsid w:val="007F30FD"/>
    <w:rsid w:val="007F54CB"/>
    <w:rsid w:val="007F6B6A"/>
    <w:rsid w:val="0080202F"/>
    <w:rsid w:val="00802044"/>
    <w:rsid w:val="008029E0"/>
    <w:rsid w:val="0081025A"/>
    <w:rsid w:val="0081111D"/>
    <w:rsid w:val="0081113C"/>
    <w:rsid w:val="00811DD4"/>
    <w:rsid w:val="00816257"/>
    <w:rsid w:val="00816A15"/>
    <w:rsid w:val="00820A16"/>
    <w:rsid w:val="0082256B"/>
    <w:rsid w:val="00822868"/>
    <w:rsid w:val="00823847"/>
    <w:rsid w:val="00823D58"/>
    <w:rsid w:val="00830551"/>
    <w:rsid w:val="00830AB3"/>
    <w:rsid w:val="0083343B"/>
    <w:rsid w:val="00833867"/>
    <w:rsid w:val="00834CA9"/>
    <w:rsid w:val="00836E8F"/>
    <w:rsid w:val="008420CD"/>
    <w:rsid w:val="00842A7E"/>
    <w:rsid w:val="00842AAE"/>
    <w:rsid w:val="00842B5F"/>
    <w:rsid w:val="00844A22"/>
    <w:rsid w:val="00844A32"/>
    <w:rsid w:val="00851873"/>
    <w:rsid w:val="00852D06"/>
    <w:rsid w:val="008542A0"/>
    <w:rsid w:val="008565CB"/>
    <w:rsid w:val="00856EDA"/>
    <w:rsid w:val="0086461E"/>
    <w:rsid w:val="0086509D"/>
    <w:rsid w:val="0086516D"/>
    <w:rsid w:val="00865EFD"/>
    <w:rsid w:val="00866485"/>
    <w:rsid w:val="00867D08"/>
    <w:rsid w:val="00871A8F"/>
    <w:rsid w:val="0087274E"/>
    <w:rsid w:val="00872C5A"/>
    <w:rsid w:val="008733A3"/>
    <w:rsid w:val="00873F9F"/>
    <w:rsid w:val="00876BDF"/>
    <w:rsid w:val="008770F3"/>
    <w:rsid w:val="008810EC"/>
    <w:rsid w:val="00881986"/>
    <w:rsid w:val="00882393"/>
    <w:rsid w:val="00882C33"/>
    <w:rsid w:val="008831EA"/>
    <w:rsid w:val="00884A58"/>
    <w:rsid w:val="0088557D"/>
    <w:rsid w:val="0088606E"/>
    <w:rsid w:val="00886388"/>
    <w:rsid w:val="00891403"/>
    <w:rsid w:val="00893F82"/>
    <w:rsid w:val="00894231"/>
    <w:rsid w:val="008950AE"/>
    <w:rsid w:val="008952E8"/>
    <w:rsid w:val="00895514"/>
    <w:rsid w:val="008A0D64"/>
    <w:rsid w:val="008A2312"/>
    <w:rsid w:val="008A3B1D"/>
    <w:rsid w:val="008A51E8"/>
    <w:rsid w:val="008B03EC"/>
    <w:rsid w:val="008B166B"/>
    <w:rsid w:val="008B4D8A"/>
    <w:rsid w:val="008B54BF"/>
    <w:rsid w:val="008B5DC1"/>
    <w:rsid w:val="008B74F9"/>
    <w:rsid w:val="008B77B4"/>
    <w:rsid w:val="008C24DC"/>
    <w:rsid w:val="008C559D"/>
    <w:rsid w:val="008C7A53"/>
    <w:rsid w:val="008C7C21"/>
    <w:rsid w:val="008D31D9"/>
    <w:rsid w:val="008D3544"/>
    <w:rsid w:val="008D36C9"/>
    <w:rsid w:val="008D408D"/>
    <w:rsid w:val="008D6C45"/>
    <w:rsid w:val="008D72BE"/>
    <w:rsid w:val="008D7CC0"/>
    <w:rsid w:val="008E148A"/>
    <w:rsid w:val="008E16F8"/>
    <w:rsid w:val="008E1F71"/>
    <w:rsid w:val="008E4AEC"/>
    <w:rsid w:val="008E6F7A"/>
    <w:rsid w:val="008E71B3"/>
    <w:rsid w:val="008E7E7B"/>
    <w:rsid w:val="008F183C"/>
    <w:rsid w:val="008F3064"/>
    <w:rsid w:val="008F4762"/>
    <w:rsid w:val="008F654C"/>
    <w:rsid w:val="008F6CA0"/>
    <w:rsid w:val="009004E2"/>
    <w:rsid w:val="009007E0"/>
    <w:rsid w:val="00902829"/>
    <w:rsid w:val="009038C0"/>
    <w:rsid w:val="00903FED"/>
    <w:rsid w:val="00904636"/>
    <w:rsid w:val="0090592D"/>
    <w:rsid w:val="009121A1"/>
    <w:rsid w:val="0091222E"/>
    <w:rsid w:val="00914530"/>
    <w:rsid w:val="00916615"/>
    <w:rsid w:val="0091689D"/>
    <w:rsid w:val="00916AAD"/>
    <w:rsid w:val="00920D2E"/>
    <w:rsid w:val="00925540"/>
    <w:rsid w:val="00925C14"/>
    <w:rsid w:val="00925F1F"/>
    <w:rsid w:val="00926501"/>
    <w:rsid w:val="00926CF7"/>
    <w:rsid w:val="009279F5"/>
    <w:rsid w:val="00931E58"/>
    <w:rsid w:val="009347C5"/>
    <w:rsid w:val="00934975"/>
    <w:rsid w:val="00934989"/>
    <w:rsid w:val="0093667A"/>
    <w:rsid w:val="00936AC2"/>
    <w:rsid w:val="009402FE"/>
    <w:rsid w:val="009405B4"/>
    <w:rsid w:val="0094113F"/>
    <w:rsid w:val="009416F0"/>
    <w:rsid w:val="00942293"/>
    <w:rsid w:val="0094586F"/>
    <w:rsid w:val="0095011B"/>
    <w:rsid w:val="00951FF8"/>
    <w:rsid w:val="0095237F"/>
    <w:rsid w:val="009524FB"/>
    <w:rsid w:val="00953DF7"/>
    <w:rsid w:val="00954853"/>
    <w:rsid w:val="00955CF6"/>
    <w:rsid w:val="00955F9D"/>
    <w:rsid w:val="00956260"/>
    <w:rsid w:val="00961937"/>
    <w:rsid w:val="009725A7"/>
    <w:rsid w:val="00973447"/>
    <w:rsid w:val="0097573C"/>
    <w:rsid w:val="009769F9"/>
    <w:rsid w:val="009816EE"/>
    <w:rsid w:val="009820A7"/>
    <w:rsid w:val="009829AC"/>
    <w:rsid w:val="00984062"/>
    <w:rsid w:val="009854E7"/>
    <w:rsid w:val="00991EC0"/>
    <w:rsid w:val="00993EB1"/>
    <w:rsid w:val="00995048"/>
    <w:rsid w:val="009951EB"/>
    <w:rsid w:val="0099768F"/>
    <w:rsid w:val="009A0C42"/>
    <w:rsid w:val="009A2983"/>
    <w:rsid w:val="009A29B2"/>
    <w:rsid w:val="009A2D46"/>
    <w:rsid w:val="009A3751"/>
    <w:rsid w:val="009A5347"/>
    <w:rsid w:val="009B122B"/>
    <w:rsid w:val="009B29A3"/>
    <w:rsid w:val="009B42CA"/>
    <w:rsid w:val="009C22B8"/>
    <w:rsid w:val="009C532D"/>
    <w:rsid w:val="009C5556"/>
    <w:rsid w:val="009C557A"/>
    <w:rsid w:val="009C5B99"/>
    <w:rsid w:val="009C61A4"/>
    <w:rsid w:val="009C6B48"/>
    <w:rsid w:val="009D0211"/>
    <w:rsid w:val="009D048D"/>
    <w:rsid w:val="009D2DC2"/>
    <w:rsid w:val="009D3387"/>
    <w:rsid w:val="009D70B8"/>
    <w:rsid w:val="009E0475"/>
    <w:rsid w:val="009E3B0A"/>
    <w:rsid w:val="009E42AE"/>
    <w:rsid w:val="009E69ED"/>
    <w:rsid w:val="009E6D8C"/>
    <w:rsid w:val="009E7391"/>
    <w:rsid w:val="009F070D"/>
    <w:rsid w:val="009F3801"/>
    <w:rsid w:val="009F5719"/>
    <w:rsid w:val="009F651E"/>
    <w:rsid w:val="009F7683"/>
    <w:rsid w:val="00A0076E"/>
    <w:rsid w:val="00A02F7B"/>
    <w:rsid w:val="00A034BE"/>
    <w:rsid w:val="00A042A3"/>
    <w:rsid w:val="00A04C9F"/>
    <w:rsid w:val="00A05916"/>
    <w:rsid w:val="00A070AB"/>
    <w:rsid w:val="00A10B66"/>
    <w:rsid w:val="00A123CC"/>
    <w:rsid w:val="00A12875"/>
    <w:rsid w:val="00A1318C"/>
    <w:rsid w:val="00A1371A"/>
    <w:rsid w:val="00A13C29"/>
    <w:rsid w:val="00A1469C"/>
    <w:rsid w:val="00A14AE5"/>
    <w:rsid w:val="00A2090C"/>
    <w:rsid w:val="00A2343D"/>
    <w:rsid w:val="00A250D3"/>
    <w:rsid w:val="00A2649A"/>
    <w:rsid w:val="00A2656B"/>
    <w:rsid w:val="00A267BD"/>
    <w:rsid w:val="00A26A2B"/>
    <w:rsid w:val="00A3264D"/>
    <w:rsid w:val="00A3362E"/>
    <w:rsid w:val="00A350AC"/>
    <w:rsid w:val="00A40D60"/>
    <w:rsid w:val="00A42329"/>
    <w:rsid w:val="00A43B39"/>
    <w:rsid w:val="00A46476"/>
    <w:rsid w:val="00A47EAF"/>
    <w:rsid w:val="00A51998"/>
    <w:rsid w:val="00A527E2"/>
    <w:rsid w:val="00A538BE"/>
    <w:rsid w:val="00A56FB3"/>
    <w:rsid w:val="00A57123"/>
    <w:rsid w:val="00A57786"/>
    <w:rsid w:val="00A57912"/>
    <w:rsid w:val="00A60CC1"/>
    <w:rsid w:val="00A60E25"/>
    <w:rsid w:val="00A6110A"/>
    <w:rsid w:val="00A613C3"/>
    <w:rsid w:val="00A61693"/>
    <w:rsid w:val="00A672BA"/>
    <w:rsid w:val="00A70236"/>
    <w:rsid w:val="00A7283E"/>
    <w:rsid w:val="00A73E60"/>
    <w:rsid w:val="00A75792"/>
    <w:rsid w:val="00A75A5C"/>
    <w:rsid w:val="00A77729"/>
    <w:rsid w:val="00A805B1"/>
    <w:rsid w:val="00A84305"/>
    <w:rsid w:val="00A84BDB"/>
    <w:rsid w:val="00A8569F"/>
    <w:rsid w:val="00A87CC7"/>
    <w:rsid w:val="00A87FDC"/>
    <w:rsid w:val="00A9119E"/>
    <w:rsid w:val="00A931F0"/>
    <w:rsid w:val="00A947F1"/>
    <w:rsid w:val="00A948CD"/>
    <w:rsid w:val="00A95A07"/>
    <w:rsid w:val="00A96B82"/>
    <w:rsid w:val="00A970C9"/>
    <w:rsid w:val="00AA06A9"/>
    <w:rsid w:val="00AA10FC"/>
    <w:rsid w:val="00AA17A2"/>
    <w:rsid w:val="00AA2D38"/>
    <w:rsid w:val="00AA3BC8"/>
    <w:rsid w:val="00AA76CC"/>
    <w:rsid w:val="00AA79C0"/>
    <w:rsid w:val="00AA7AC6"/>
    <w:rsid w:val="00AB05E7"/>
    <w:rsid w:val="00AB18BF"/>
    <w:rsid w:val="00AB28EC"/>
    <w:rsid w:val="00AB28F7"/>
    <w:rsid w:val="00AB60DB"/>
    <w:rsid w:val="00AB61A5"/>
    <w:rsid w:val="00AB7220"/>
    <w:rsid w:val="00AC0B63"/>
    <w:rsid w:val="00AC171B"/>
    <w:rsid w:val="00AC3072"/>
    <w:rsid w:val="00AC586A"/>
    <w:rsid w:val="00AC70AA"/>
    <w:rsid w:val="00AD0772"/>
    <w:rsid w:val="00AD1D1E"/>
    <w:rsid w:val="00AD271C"/>
    <w:rsid w:val="00AD6411"/>
    <w:rsid w:val="00AD64BF"/>
    <w:rsid w:val="00AD7CF3"/>
    <w:rsid w:val="00AE2A5A"/>
    <w:rsid w:val="00AE3459"/>
    <w:rsid w:val="00AE345B"/>
    <w:rsid w:val="00AE372F"/>
    <w:rsid w:val="00AE383A"/>
    <w:rsid w:val="00AE4D08"/>
    <w:rsid w:val="00AE6E7C"/>
    <w:rsid w:val="00AF0956"/>
    <w:rsid w:val="00AF0F6C"/>
    <w:rsid w:val="00AF1792"/>
    <w:rsid w:val="00AF187C"/>
    <w:rsid w:val="00AF19F9"/>
    <w:rsid w:val="00AF1EB5"/>
    <w:rsid w:val="00AF27F4"/>
    <w:rsid w:val="00AF2BEC"/>
    <w:rsid w:val="00AF70DB"/>
    <w:rsid w:val="00B00F46"/>
    <w:rsid w:val="00B01247"/>
    <w:rsid w:val="00B046F5"/>
    <w:rsid w:val="00B0573A"/>
    <w:rsid w:val="00B06EE0"/>
    <w:rsid w:val="00B0782D"/>
    <w:rsid w:val="00B10891"/>
    <w:rsid w:val="00B10FDB"/>
    <w:rsid w:val="00B13F82"/>
    <w:rsid w:val="00B1492E"/>
    <w:rsid w:val="00B16294"/>
    <w:rsid w:val="00B21544"/>
    <w:rsid w:val="00B25708"/>
    <w:rsid w:val="00B25790"/>
    <w:rsid w:val="00B32114"/>
    <w:rsid w:val="00B32202"/>
    <w:rsid w:val="00B3277B"/>
    <w:rsid w:val="00B33037"/>
    <w:rsid w:val="00B33152"/>
    <w:rsid w:val="00B35175"/>
    <w:rsid w:val="00B3657C"/>
    <w:rsid w:val="00B40561"/>
    <w:rsid w:val="00B418DD"/>
    <w:rsid w:val="00B452C5"/>
    <w:rsid w:val="00B46A68"/>
    <w:rsid w:val="00B46E11"/>
    <w:rsid w:val="00B47BEA"/>
    <w:rsid w:val="00B50ED3"/>
    <w:rsid w:val="00B52088"/>
    <w:rsid w:val="00B523FD"/>
    <w:rsid w:val="00B52631"/>
    <w:rsid w:val="00B53985"/>
    <w:rsid w:val="00B5710F"/>
    <w:rsid w:val="00B609AA"/>
    <w:rsid w:val="00B61D26"/>
    <w:rsid w:val="00B631E1"/>
    <w:rsid w:val="00B6460D"/>
    <w:rsid w:val="00B652EA"/>
    <w:rsid w:val="00B65C3A"/>
    <w:rsid w:val="00B66D34"/>
    <w:rsid w:val="00B67263"/>
    <w:rsid w:val="00B72BBE"/>
    <w:rsid w:val="00B74CA8"/>
    <w:rsid w:val="00B7612E"/>
    <w:rsid w:val="00B76544"/>
    <w:rsid w:val="00B80372"/>
    <w:rsid w:val="00B82CDA"/>
    <w:rsid w:val="00B830C3"/>
    <w:rsid w:val="00B830CB"/>
    <w:rsid w:val="00B92034"/>
    <w:rsid w:val="00B923A7"/>
    <w:rsid w:val="00B92728"/>
    <w:rsid w:val="00B93565"/>
    <w:rsid w:val="00B93A80"/>
    <w:rsid w:val="00B94A73"/>
    <w:rsid w:val="00B9565A"/>
    <w:rsid w:val="00BA0128"/>
    <w:rsid w:val="00BA040A"/>
    <w:rsid w:val="00BA1BE3"/>
    <w:rsid w:val="00BA32FC"/>
    <w:rsid w:val="00BA5745"/>
    <w:rsid w:val="00BA5EA4"/>
    <w:rsid w:val="00BA720F"/>
    <w:rsid w:val="00BA763D"/>
    <w:rsid w:val="00BB03D6"/>
    <w:rsid w:val="00BB0855"/>
    <w:rsid w:val="00BB0DB1"/>
    <w:rsid w:val="00BB112A"/>
    <w:rsid w:val="00BB3FAE"/>
    <w:rsid w:val="00BB45EF"/>
    <w:rsid w:val="00BB5847"/>
    <w:rsid w:val="00BB6762"/>
    <w:rsid w:val="00BC047A"/>
    <w:rsid w:val="00BC0B1A"/>
    <w:rsid w:val="00BC2647"/>
    <w:rsid w:val="00BC3513"/>
    <w:rsid w:val="00BC370A"/>
    <w:rsid w:val="00BC3D84"/>
    <w:rsid w:val="00BC3E7A"/>
    <w:rsid w:val="00BC4748"/>
    <w:rsid w:val="00BD003A"/>
    <w:rsid w:val="00BD2A4D"/>
    <w:rsid w:val="00BD6D8D"/>
    <w:rsid w:val="00BE14FD"/>
    <w:rsid w:val="00BE1CB4"/>
    <w:rsid w:val="00BE236B"/>
    <w:rsid w:val="00BE5B98"/>
    <w:rsid w:val="00BE6080"/>
    <w:rsid w:val="00BF1583"/>
    <w:rsid w:val="00BF480C"/>
    <w:rsid w:val="00BF6505"/>
    <w:rsid w:val="00C02959"/>
    <w:rsid w:val="00C0307A"/>
    <w:rsid w:val="00C03391"/>
    <w:rsid w:val="00C0579B"/>
    <w:rsid w:val="00C05EC2"/>
    <w:rsid w:val="00C074A5"/>
    <w:rsid w:val="00C07802"/>
    <w:rsid w:val="00C12E50"/>
    <w:rsid w:val="00C13ACC"/>
    <w:rsid w:val="00C14E2D"/>
    <w:rsid w:val="00C173F9"/>
    <w:rsid w:val="00C1763C"/>
    <w:rsid w:val="00C17D6A"/>
    <w:rsid w:val="00C30439"/>
    <w:rsid w:val="00C322F5"/>
    <w:rsid w:val="00C34832"/>
    <w:rsid w:val="00C34B60"/>
    <w:rsid w:val="00C34BD0"/>
    <w:rsid w:val="00C355EC"/>
    <w:rsid w:val="00C35DAD"/>
    <w:rsid w:val="00C4067D"/>
    <w:rsid w:val="00C40E5F"/>
    <w:rsid w:val="00C419E4"/>
    <w:rsid w:val="00C41A63"/>
    <w:rsid w:val="00C44449"/>
    <w:rsid w:val="00C452ED"/>
    <w:rsid w:val="00C4608A"/>
    <w:rsid w:val="00C469C7"/>
    <w:rsid w:val="00C470AC"/>
    <w:rsid w:val="00C51448"/>
    <w:rsid w:val="00C53019"/>
    <w:rsid w:val="00C54C35"/>
    <w:rsid w:val="00C5740C"/>
    <w:rsid w:val="00C57DC4"/>
    <w:rsid w:val="00C6141F"/>
    <w:rsid w:val="00C620D4"/>
    <w:rsid w:val="00C62317"/>
    <w:rsid w:val="00C62E76"/>
    <w:rsid w:val="00C6633A"/>
    <w:rsid w:val="00C66495"/>
    <w:rsid w:val="00C7410F"/>
    <w:rsid w:val="00C75F4E"/>
    <w:rsid w:val="00C81131"/>
    <w:rsid w:val="00C81286"/>
    <w:rsid w:val="00C82728"/>
    <w:rsid w:val="00C82E74"/>
    <w:rsid w:val="00C83679"/>
    <w:rsid w:val="00C83FB7"/>
    <w:rsid w:val="00C85ADD"/>
    <w:rsid w:val="00C879CA"/>
    <w:rsid w:val="00C87E0F"/>
    <w:rsid w:val="00C9109D"/>
    <w:rsid w:val="00C9119C"/>
    <w:rsid w:val="00C91792"/>
    <w:rsid w:val="00C921D5"/>
    <w:rsid w:val="00C937F2"/>
    <w:rsid w:val="00C93FFC"/>
    <w:rsid w:val="00C94483"/>
    <w:rsid w:val="00C94D38"/>
    <w:rsid w:val="00C962D5"/>
    <w:rsid w:val="00CA100A"/>
    <w:rsid w:val="00CA384B"/>
    <w:rsid w:val="00CA3B45"/>
    <w:rsid w:val="00CA3D71"/>
    <w:rsid w:val="00CA470C"/>
    <w:rsid w:val="00CA4850"/>
    <w:rsid w:val="00CA504B"/>
    <w:rsid w:val="00CA5B17"/>
    <w:rsid w:val="00CB5121"/>
    <w:rsid w:val="00CC049C"/>
    <w:rsid w:val="00CC116C"/>
    <w:rsid w:val="00CC122F"/>
    <w:rsid w:val="00CC15DA"/>
    <w:rsid w:val="00CD0B55"/>
    <w:rsid w:val="00CD148B"/>
    <w:rsid w:val="00CD297A"/>
    <w:rsid w:val="00CD4E3C"/>
    <w:rsid w:val="00CD4E52"/>
    <w:rsid w:val="00CD5130"/>
    <w:rsid w:val="00CD67EF"/>
    <w:rsid w:val="00CD6CED"/>
    <w:rsid w:val="00CD7B98"/>
    <w:rsid w:val="00CE011A"/>
    <w:rsid w:val="00CE0494"/>
    <w:rsid w:val="00CE0EB7"/>
    <w:rsid w:val="00CE1079"/>
    <w:rsid w:val="00CE2B37"/>
    <w:rsid w:val="00CE2E69"/>
    <w:rsid w:val="00CE35E8"/>
    <w:rsid w:val="00CE7966"/>
    <w:rsid w:val="00CE7DE9"/>
    <w:rsid w:val="00CF1432"/>
    <w:rsid w:val="00CF1675"/>
    <w:rsid w:val="00CF2A63"/>
    <w:rsid w:val="00CF3A61"/>
    <w:rsid w:val="00CF3EA1"/>
    <w:rsid w:val="00CF4ABE"/>
    <w:rsid w:val="00CF5A00"/>
    <w:rsid w:val="00CF6F4B"/>
    <w:rsid w:val="00D04276"/>
    <w:rsid w:val="00D06D4E"/>
    <w:rsid w:val="00D10CA5"/>
    <w:rsid w:val="00D15A78"/>
    <w:rsid w:val="00D17AB6"/>
    <w:rsid w:val="00D203A6"/>
    <w:rsid w:val="00D21AAB"/>
    <w:rsid w:val="00D22821"/>
    <w:rsid w:val="00D24001"/>
    <w:rsid w:val="00D24512"/>
    <w:rsid w:val="00D25180"/>
    <w:rsid w:val="00D30E75"/>
    <w:rsid w:val="00D3159D"/>
    <w:rsid w:val="00D3631D"/>
    <w:rsid w:val="00D36681"/>
    <w:rsid w:val="00D379C3"/>
    <w:rsid w:val="00D414C8"/>
    <w:rsid w:val="00D429CD"/>
    <w:rsid w:val="00D42D7F"/>
    <w:rsid w:val="00D457E1"/>
    <w:rsid w:val="00D4597B"/>
    <w:rsid w:val="00D4615D"/>
    <w:rsid w:val="00D46DBB"/>
    <w:rsid w:val="00D47D6B"/>
    <w:rsid w:val="00D511E4"/>
    <w:rsid w:val="00D54701"/>
    <w:rsid w:val="00D5545A"/>
    <w:rsid w:val="00D56EC7"/>
    <w:rsid w:val="00D63EE5"/>
    <w:rsid w:val="00D64C41"/>
    <w:rsid w:val="00D65E55"/>
    <w:rsid w:val="00D65FC4"/>
    <w:rsid w:val="00D6631E"/>
    <w:rsid w:val="00D703C4"/>
    <w:rsid w:val="00D7189F"/>
    <w:rsid w:val="00D71E69"/>
    <w:rsid w:val="00D71E74"/>
    <w:rsid w:val="00D736CA"/>
    <w:rsid w:val="00D74DAD"/>
    <w:rsid w:val="00D76026"/>
    <w:rsid w:val="00D77E4B"/>
    <w:rsid w:val="00D81CA3"/>
    <w:rsid w:val="00D82F1D"/>
    <w:rsid w:val="00D83889"/>
    <w:rsid w:val="00D8451F"/>
    <w:rsid w:val="00D901A8"/>
    <w:rsid w:val="00D910C5"/>
    <w:rsid w:val="00D93FB4"/>
    <w:rsid w:val="00D944AD"/>
    <w:rsid w:val="00D965C4"/>
    <w:rsid w:val="00D96E15"/>
    <w:rsid w:val="00D972E7"/>
    <w:rsid w:val="00DA2384"/>
    <w:rsid w:val="00DA2EBC"/>
    <w:rsid w:val="00DA3734"/>
    <w:rsid w:val="00DA3DF2"/>
    <w:rsid w:val="00DA6073"/>
    <w:rsid w:val="00DA6F42"/>
    <w:rsid w:val="00DA6FD6"/>
    <w:rsid w:val="00DA71D6"/>
    <w:rsid w:val="00DB0E25"/>
    <w:rsid w:val="00DB3DEB"/>
    <w:rsid w:val="00DB4C76"/>
    <w:rsid w:val="00DB78CB"/>
    <w:rsid w:val="00DB7B63"/>
    <w:rsid w:val="00DC03AD"/>
    <w:rsid w:val="00DC60A7"/>
    <w:rsid w:val="00DC7313"/>
    <w:rsid w:val="00DD0041"/>
    <w:rsid w:val="00DD067D"/>
    <w:rsid w:val="00DD287C"/>
    <w:rsid w:val="00DD3512"/>
    <w:rsid w:val="00DD4074"/>
    <w:rsid w:val="00DD4DAD"/>
    <w:rsid w:val="00DE056D"/>
    <w:rsid w:val="00DE4B7A"/>
    <w:rsid w:val="00DE633A"/>
    <w:rsid w:val="00DE68E9"/>
    <w:rsid w:val="00DE7413"/>
    <w:rsid w:val="00DE7772"/>
    <w:rsid w:val="00DF05FE"/>
    <w:rsid w:val="00DF07F9"/>
    <w:rsid w:val="00DF1665"/>
    <w:rsid w:val="00DF16B0"/>
    <w:rsid w:val="00DF187F"/>
    <w:rsid w:val="00DF34D6"/>
    <w:rsid w:val="00DF44E4"/>
    <w:rsid w:val="00DF7E2D"/>
    <w:rsid w:val="00E02507"/>
    <w:rsid w:val="00E02777"/>
    <w:rsid w:val="00E039A7"/>
    <w:rsid w:val="00E04C57"/>
    <w:rsid w:val="00E04DB5"/>
    <w:rsid w:val="00E05748"/>
    <w:rsid w:val="00E057FD"/>
    <w:rsid w:val="00E1158E"/>
    <w:rsid w:val="00E12B5A"/>
    <w:rsid w:val="00E14EED"/>
    <w:rsid w:val="00E151F3"/>
    <w:rsid w:val="00E217B1"/>
    <w:rsid w:val="00E2256A"/>
    <w:rsid w:val="00E227A3"/>
    <w:rsid w:val="00E22B43"/>
    <w:rsid w:val="00E22DAC"/>
    <w:rsid w:val="00E24601"/>
    <w:rsid w:val="00E24DA3"/>
    <w:rsid w:val="00E24E22"/>
    <w:rsid w:val="00E267EC"/>
    <w:rsid w:val="00E26915"/>
    <w:rsid w:val="00E27282"/>
    <w:rsid w:val="00E31ADF"/>
    <w:rsid w:val="00E37C20"/>
    <w:rsid w:val="00E40492"/>
    <w:rsid w:val="00E40C73"/>
    <w:rsid w:val="00E40D16"/>
    <w:rsid w:val="00E413CF"/>
    <w:rsid w:val="00E42ECD"/>
    <w:rsid w:val="00E43581"/>
    <w:rsid w:val="00E4400B"/>
    <w:rsid w:val="00E44176"/>
    <w:rsid w:val="00E44AE9"/>
    <w:rsid w:val="00E453E8"/>
    <w:rsid w:val="00E46BD6"/>
    <w:rsid w:val="00E46D02"/>
    <w:rsid w:val="00E47ADB"/>
    <w:rsid w:val="00E47E9C"/>
    <w:rsid w:val="00E50876"/>
    <w:rsid w:val="00E552FB"/>
    <w:rsid w:val="00E55675"/>
    <w:rsid w:val="00E57DCE"/>
    <w:rsid w:val="00E61B08"/>
    <w:rsid w:val="00E62134"/>
    <w:rsid w:val="00E62E84"/>
    <w:rsid w:val="00E633C3"/>
    <w:rsid w:val="00E638F2"/>
    <w:rsid w:val="00E64714"/>
    <w:rsid w:val="00E66DBA"/>
    <w:rsid w:val="00E7002B"/>
    <w:rsid w:val="00E72220"/>
    <w:rsid w:val="00E7273B"/>
    <w:rsid w:val="00E7525A"/>
    <w:rsid w:val="00E7573C"/>
    <w:rsid w:val="00E75992"/>
    <w:rsid w:val="00E7644A"/>
    <w:rsid w:val="00E76D30"/>
    <w:rsid w:val="00E82F2C"/>
    <w:rsid w:val="00E83158"/>
    <w:rsid w:val="00E84A7F"/>
    <w:rsid w:val="00E87FE1"/>
    <w:rsid w:val="00E9020F"/>
    <w:rsid w:val="00E91258"/>
    <w:rsid w:val="00E9135E"/>
    <w:rsid w:val="00E93517"/>
    <w:rsid w:val="00E93A75"/>
    <w:rsid w:val="00E94DA1"/>
    <w:rsid w:val="00E962CD"/>
    <w:rsid w:val="00E9753C"/>
    <w:rsid w:val="00EA00D8"/>
    <w:rsid w:val="00EA521D"/>
    <w:rsid w:val="00EA6FD0"/>
    <w:rsid w:val="00EA70F8"/>
    <w:rsid w:val="00EB1A82"/>
    <w:rsid w:val="00EB1EFE"/>
    <w:rsid w:val="00EB30DB"/>
    <w:rsid w:val="00EB629D"/>
    <w:rsid w:val="00EC1A7B"/>
    <w:rsid w:val="00EC4568"/>
    <w:rsid w:val="00EC45B5"/>
    <w:rsid w:val="00EC55A4"/>
    <w:rsid w:val="00EC6D86"/>
    <w:rsid w:val="00EC7D58"/>
    <w:rsid w:val="00EC7E6A"/>
    <w:rsid w:val="00ED0E3E"/>
    <w:rsid w:val="00ED1322"/>
    <w:rsid w:val="00ED1C2E"/>
    <w:rsid w:val="00ED3577"/>
    <w:rsid w:val="00ED358B"/>
    <w:rsid w:val="00ED4FFB"/>
    <w:rsid w:val="00ED67B8"/>
    <w:rsid w:val="00ED68C9"/>
    <w:rsid w:val="00ED6BBB"/>
    <w:rsid w:val="00ED7B60"/>
    <w:rsid w:val="00EE158F"/>
    <w:rsid w:val="00EE24FF"/>
    <w:rsid w:val="00EE4E86"/>
    <w:rsid w:val="00EE6B9C"/>
    <w:rsid w:val="00EE7C37"/>
    <w:rsid w:val="00EF496D"/>
    <w:rsid w:val="00EF4C7B"/>
    <w:rsid w:val="00EF5F74"/>
    <w:rsid w:val="00F00593"/>
    <w:rsid w:val="00F016B4"/>
    <w:rsid w:val="00F01A04"/>
    <w:rsid w:val="00F06482"/>
    <w:rsid w:val="00F10F87"/>
    <w:rsid w:val="00F12980"/>
    <w:rsid w:val="00F15C7F"/>
    <w:rsid w:val="00F16022"/>
    <w:rsid w:val="00F166C6"/>
    <w:rsid w:val="00F167D5"/>
    <w:rsid w:val="00F17BF1"/>
    <w:rsid w:val="00F21560"/>
    <w:rsid w:val="00F21937"/>
    <w:rsid w:val="00F233CD"/>
    <w:rsid w:val="00F2345D"/>
    <w:rsid w:val="00F252F9"/>
    <w:rsid w:val="00F25737"/>
    <w:rsid w:val="00F25859"/>
    <w:rsid w:val="00F25963"/>
    <w:rsid w:val="00F26688"/>
    <w:rsid w:val="00F276C8"/>
    <w:rsid w:val="00F3016C"/>
    <w:rsid w:val="00F30755"/>
    <w:rsid w:val="00F30F1A"/>
    <w:rsid w:val="00F31656"/>
    <w:rsid w:val="00F32BE1"/>
    <w:rsid w:val="00F337DA"/>
    <w:rsid w:val="00F34C38"/>
    <w:rsid w:val="00F34E2B"/>
    <w:rsid w:val="00F355AF"/>
    <w:rsid w:val="00F37D58"/>
    <w:rsid w:val="00F4014B"/>
    <w:rsid w:val="00F40186"/>
    <w:rsid w:val="00F42F30"/>
    <w:rsid w:val="00F44864"/>
    <w:rsid w:val="00F44AB8"/>
    <w:rsid w:val="00F45190"/>
    <w:rsid w:val="00F4548B"/>
    <w:rsid w:val="00F468B4"/>
    <w:rsid w:val="00F46BA8"/>
    <w:rsid w:val="00F4708F"/>
    <w:rsid w:val="00F47211"/>
    <w:rsid w:val="00F5119F"/>
    <w:rsid w:val="00F52A58"/>
    <w:rsid w:val="00F52FDC"/>
    <w:rsid w:val="00F54552"/>
    <w:rsid w:val="00F55890"/>
    <w:rsid w:val="00F55B47"/>
    <w:rsid w:val="00F56131"/>
    <w:rsid w:val="00F56B7E"/>
    <w:rsid w:val="00F62266"/>
    <w:rsid w:val="00F62348"/>
    <w:rsid w:val="00F63FC8"/>
    <w:rsid w:val="00F64068"/>
    <w:rsid w:val="00F6478D"/>
    <w:rsid w:val="00F65394"/>
    <w:rsid w:val="00F740AF"/>
    <w:rsid w:val="00F7479A"/>
    <w:rsid w:val="00F759AF"/>
    <w:rsid w:val="00F75E22"/>
    <w:rsid w:val="00F76823"/>
    <w:rsid w:val="00F77480"/>
    <w:rsid w:val="00F82EF5"/>
    <w:rsid w:val="00F84077"/>
    <w:rsid w:val="00F8538B"/>
    <w:rsid w:val="00F866F9"/>
    <w:rsid w:val="00F9022A"/>
    <w:rsid w:val="00F95464"/>
    <w:rsid w:val="00F964BE"/>
    <w:rsid w:val="00F9723D"/>
    <w:rsid w:val="00F97905"/>
    <w:rsid w:val="00FA0045"/>
    <w:rsid w:val="00FA049A"/>
    <w:rsid w:val="00FA0557"/>
    <w:rsid w:val="00FA21C8"/>
    <w:rsid w:val="00FA255D"/>
    <w:rsid w:val="00FA2BF3"/>
    <w:rsid w:val="00FA4F13"/>
    <w:rsid w:val="00FA5438"/>
    <w:rsid w:val="00FB1AF4"/>
    <w:rsid w:val="00FB2C63"/>
    <w:rsid w:val="00FB46B1"/>
    <w:rsid w:val="00FB513F"/>
    <w:rsid w:val="00FB7F56"/>
    <w:rsid w:val="00FC0AFC"/>
    <w:rsid w:val="00FC1152"/>
    <w:rsid w:val="00FC146E"/>
    <w:rsid w:val="00FC17FC"/>
    <w:rsid w:val="00FC2288"/>
    <w:rsid w:val="00FC26BC"/>
    <w:rsid w:val="00FC282F"/>
    <w:rsid w:val="00FC446E"/>
    <w:rsid w:val="00FD214A"/>
    <w:rsid w:val="00FD2ED5"/>
    <w:rsid w:val="00FD5F3D"/>
    <w:rsid w:val="00FE02E3"/>
    <w:rsid w:val="00FE09AB"/>
    <w:rsid w:val="00FE11EC"/>
    <w:rsid w:val="00FE25F5"/>
    <w:rsid w:val="00FE2AFE"/>
    <w:rsid w:val="00FE2D51"/>
    <w:rsid w:val="00FE3401"/>
    <w:rsid w:val="00FE36CA"/>
    <w:rsid w:val="00FE3897"/>
    <w:rsid w:val="00FE5069"/>
    <w:rsid w:val="00FE5BC3"/>
    <w:rsid w:val="00FE63D2"/>
    <w:rsid w:val="00FE647A"/>
    <w:rsid w:val="00FE67D0"/>
    <w:rsid w:val="00FF1CAB"/>
    <w:rsid w:val="00FF2D29"/>
    <w:rsid w:val="00FF2FF8"/>
    <w:rsid w:val="00FF3160"/>
    <w:rsid w:val="00FF42DC"/>
    <w:rsid w:val="00FF5878"/>
    <w:rsid w:val="00FF5A97"/>
    <w:rsid w:val="00FF5C9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EACA75"/>
  <w15:docId w15:val="{4C529274-5197-4B38-92D9-3A57A252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F1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30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F00593"/>
    <w:pPr>
      <w:keepNext/>
      <w:keepLines/>
      <w:spacing w:line="360" w:lineRule="auto"/>
      <w:outlineLvl w:val="2"/>
    </w:pPr>
    <w:rPr>
      <w:rFonts w:ascii="Arial" w:hAnsi="Arial" w:eastAsiaTheme="majorEastAsia" w:cstheme="majorBidi"/>
      <w:b/>
      <w:bCs/>
      <w:color w:val="F3901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21095"/>
    <w:rPr>
      <w:rFonts w:cs="Times New Roman"/>
      <w:color w:val="0000FF"/>
      <w:u w:val="single"/>
    </w:rPr>
  </w:style>
  <w:style w:type="paragraph" w:styleId="ListParagraph">
    <w:name w:val="List Paragraph"/>
    <w:basedOn w:val="Normal"/>
    <w:uiPriority w:val="34"/>
    <w:qFormat/>
    <w:rsid w:val="00421095"/>
    <w:pPr>
      <w:ind w:left="720"/>
      <w:contextualSpacing/>
    </w:pPr>
  </w:style>
  <w:style w:type="paragraph" w:styleId="FootnoteText">
    <w:name w:val="footnote text"/>
    <w:basedOn w:val="Normal"/>
    <w:link w:val="FootnoteTextChar"/>
    <w:uiPriority w:val="99"/>
    <w:rsid w:val="00421095"/>
    <w:rPr>
      <w:sz w:val="20"/>
      <w:szCs w:val="20"/>
    </w:rPr>
  </w:style>
  <w:style w:type="character" w:customStyle="1" w:styleId="FootnoteTextChar">
    <w:name w:val="Footnote Text Char"/>
    <w:basedOn w:val="DefaultParagraphFont"/>
    <w:link w:val="FootnoteText"/>
    <w:uiPriority w:val="99"/>
    <w:rsid w:val="00421095"/>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421095"/>
    <w:rPr>
      <w:rFonts w:cs="Times New Roman"/>
      <w:vertAlign w:val="superscript"/>
    </w:rPr>
  </w:style>
  <w:style w:type="paragraph" w:styleId="Header">
    <w:name w:val="header"/>
    <w:basedOn w:val="Normal"/>
    <w:link w:val="HeaderChar"/>
    <w:uiPriority w:val="99"/>
    <w:rsid w:val="00421095"/>
    <w:pPr>
      <w:tabs>
        <w:tab w:val="center" w:pos="4680"/>
        <w:tab w:val="right" w:pos="9360"/>
      </w:tabs>
    </w:pPr>
  </w:style>
  <w:style w:type="character" w:customStyle="1" w:styleId="HeaderChar">
    <w:name w:val="Header Char"/>
    <w:basedOn w:val="DefaultParagraphFont"/>
    <w:link w:val="Header"/>
    <w:uiPriority w:val="99"/>
    <w:rsid w:val="00421095"/>
    <w:rPr>
      <w:rFonts w:ascii="Times New Roman" w:eastAsia="Times New Roman" w:hAnsi="Times New Roman" w:cs="Times New Roman"/>
      <w:sz w:val="24"/>
      <w:szCs w:val="24"/>
    </w:rPr>
  </w:style>
  <w:style w:type="paragraph" w:styleId="Footer">
    <w:name w:val="footer"/>
    <w:basedOn w:val="Normal"/>
    <w:link w:val="FooterChar"/>
    <w:uiPriority w:val="99"/>
    <w:rsid w:val="00421095"/>
    <w:pPr>
      <w:tabs>
        <w:tab w:val="center" w:pos="4680"/>
        <w:tab w:val="right" w:pos="9360"/>
      </w:tabs>
    </w:pPr>
  </w:style>
  <w:style w:type="character" w:customStyle="1" w:styleId="FooterChar">
    <w:name w:val="Footer Char"/>
    <w:basedOn w:val="DefaultParagraphFont"/>
    <w:link w:val="Footer"/>
    <w:uiPriority w:val="99"/>
    <w:rsid w:val="00421095"/>
    <w:rPr>
      <w:rFonts w:ascii="Times New Roman" w:eastAsia="Times New Roman" w:hAnsi="Times New Roman" w:cs="Times New Roman"/>
      <w:sz w:val="24"/>
      <w:szCs w:val="24"/>
    </w:rPr>
  </w:style>
  <w:style w:type="paragraph" w:styleId="NormalWeb">
    <w:name w:val="Normal (Web)"/>
    <w:basedOn w:val="Normal"/>
    <w:uiPriority w:val="99"/>
    <w:rsid w:val="00421095"/>
    <w:pPr>
      <w:spacing w:before="100" w:beforeAutospacing="1" w:after="100" w:afterAutospacing="1"/>
    </w:pPr>
  </w:style>
  <w:style w:type="paragraph" w:styleId="BalloonText">
    <w:name w:val="Balloon Text"/>
    <w:basedOn w:val="Normal"/>
    <w:link w:val="BalloonTextChar"/>
    <w:uiPriority w:val="99"/>
    <w:semiHidden/>
    <w:rsid w:val="00421095"/>
    <w:rPr>
      <w:rFonts w:ascii="Tahoma" w:hAnsi="Tahoma" w:cs="Tahoma"/>
      <w:sz w:val="16"/>
      <w:szCs w:val="16"/>
    </w:rPr>
  </w:style>
  <w:style w:type="character" w:customStyle="1" w:styleId="BalloonTextChar">
    <w:name w:val="Balloon Text Char"/>
    <w:basedOn w:val="DefaultParagraphFont"/>
    <w:link w:val="BalloonText"/>
    <w:uiPriority w:val="99"/>
    <w:semiHidden/>
    <w:rsid w:val="00421095"/>
    <w:rPr>
      <w:rFonts w:ascii="Tahoma" w:eastAsia="Times New Roman" w:hAnsi="Tahoma" w:cs="Tahoma"/>
      <w:sz w:val="16"/>
      <w:szCs w:val="16"/>
    </w:rPr>
  </w:style>
  <w:style w:type="character" w:styleId="CommentReference">
    <w:name w:val="annotation reference"/>
    <w:basedOn w:val="DefaultParagraphFont"/>
    <w:uiPriority w:val="99"/>
    <w:rsid w:val="00421095"/>
    <w:rPr>
      <w:rFonts w:cs="Times New Roman"/>
      <w:sz w:val="16"/>
    </w:rPr>
  </w:style>
  <w:style w:type="paragraph" w:styleId="CommentText">
    <w:name w:val="annotation text"/>
    <w:basedOn w:val="Normal"/>
    <w:link w:val="CommentTextChar"/>
    <w:uiPriority w:val="99"/>
    <w:rsid w:val="00421095"/>
    <w:rPr>
      <w:sz w:val="20"/>
      <w:szCs w:val="20"/>
    </w:rPr>
  </w:style>
  <w:style w:type="character" w:customStyle="1" w:styleId="CommentTextChar">
    <w:name w:val="Comment Text Char"/>
    <w:basedOn w:val="DefaultParagraphFont"/>
    <w:link w:val="CommentText"/>
    <w:uiPriority w:val="99"/>
    <w:rsid w:val="004210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21095"/>
    <w:rPr>
      <w:b/>
      <w:bCs/>
    </w:rPr>
  </w:style>
  <w:style w:type="character" w:customStyle="1" w:styleId="CommentSubjectChar">
    <w:name w:val="Comment Subject Char"/>
    <w:basedOn w:val="CommentTextChar"/>
    <w:link w:val="CommentSubject"/>
    <w:uiPriority w:val="99"/>
    <w:semiHidden/>
    <w:rsid w:val="00421095"/>
    <w:rPr>
      <w:rFonts w:ascii="Times New Roman" w:eastAsia="Times New Roman" w:hAnsi="Times New Roman" w:cs="Times New Roman"/>
      <w:b/>
      <w:bCs/>
      <w:sz w:val="20"/>
      <w:szCs w:val="20"/>
    </w:rPr>
  </w:style>
  <w:style w:type="paragraph" w:customStyle="1" w:styleId="Default">
    <w:name w:val="Default"/>
    <w:rsid w:val="00421095"/>
    <w:pPr>
      <w:autoSpaceDE w:val="0"/>
      <w:autoSpaceDN w:val="0"/>
      <w:adjustRightInd w:val="0"/>
      <w:spacing w:after="0" w:line="240" w:lineRule="auto"/>
    </w:pPr>
    <w:rPr>
      <w:rFonts w:ascii="Calibri" w:eastAsia="Times New Roman" w:hAnsi="Calibri" w:cs="Calibri"/>
      <w:color w:val="000000"/>
      <w:sz w:val="24"/>
      <w:szCs w:val="24"/>
    </w:rPr>
  </w:style>
  <w:style w:type="paragraph" w:styleId="EndnoteText">
    <w:name w:val="endnote text"/>
    <w:basedOn w:val="Normal"/>
    <w:link w:val="EndnoteTextChar"/>
    <w:uiPriority w:val="99"/>
    <w:semiHidden/>
    <w:rsid w:val="00421095"/>
    <w:rPr>
      <w:sz w:val="20"/>
      <w:szCs w:val="20"/>
    </w:rPr>
  </w:style>
  <w:style w:type="character" w:customStyle="1" w:styleId="EndnoteTextChar">
    <w:name w:val="Endnote Text Char"/>
    <w:basedOn w:val="DefaultParagraphFont"/>
    <w:link w:val="EndnoteText"/>
    <w:uiPriority w:val="99"/>
    <w:semiHidden/>
    <w:rsid w:val="00421095"/>
    <w:rPr>
      <w:rFonts w:ascii="Times New Roman" w:eastAsia="Times New Roman" w:hAnsi="Times New Roman" w:cs="Times New Roman"/>
      <w:sz w:val="20"/>
      <w:szCs w:val="20"/>
    </w:rPr>
  </w:style>
  <w:style w:type="character" w:styleId="EndnoteReference">
    <w:name w:val="endnote reference"/>
    <w:basedOn w:val="DefaultParagraphFont"/>
    <w:uiPriority w:val="99"/>
    <w:semiHidden/>
    <w:rsid w:val="00421095"/>
    <w:rPr>
      <w:rFonts w:cs="Times New Roman"/>
      <w:vertAlign w:val="superscript"/>
    </w:rPr>
  </w:style>
  <w:style w:type="paragraph" w:customStyle="1" w:styleId="Pa3">
    <w:name w:val="Pa3"/>
    <w:basedOn w:val="Normal"/>
    <w:next w:val="Normal"/>
    <w:uiPriority w:val="99"/>
    <w:rsid w:val="00421095"/>
    <w:pPr>
      <w:autoSpaceDE w:val="0"/>
      <w:autoSpaceDN w:val="0"/>
      <w:adjustRightInd w:val="0"/>
      <w:spacing w:line="221" w:lineRule="atLeast"/>
    </w:pPr>
    <w:rPr>
      <w:rFonts w:ascii="Baskerville Book" w:hAnsi="Baskerville Book"/>
    </w:rPr>
  </w:style>
  <w:style w:type="paragraph" w:customStyle="1" w:styleId="SP-SglSpPara">
    <w:name w:val="SP-Sgl Sp Para"/>
    <w:link w:val="SP-SglSpParaChar"/>
    <w:uiPriority w:val="99"/>
    <w:rsid w:val="00421095"/>
    <w:pPr>
      <w:tabs>
        <w:tab w:val="left" w:pos="576"/>
      </w:tabs>
      <w:spacing w:after="0" w:line="240" w:lineRule="atLeast"/>
      <w:ind w:firstLine="576"/>
      <w:jc w:val="both"/>
    </w:pPr>
    <w:rPr>
      <w:rFonts w:ascii="Times New Roman" w:eastAsia="Times New Roman" w:hAnsi="Times New Roman" w:cs="Times New Roman"/>
      <w:szCs w:val="20"/>
    </w:rPr>
  </w:style>
  <w:style w:type="character" w:customStyle="1" w:styleId="SP-SglSpParaChar">
    <w:name w:val="SP-Sgl Sp Para Char"/>
    <w:link w:val="SP-SglSpPara"/>
    <w:uiPriority w:val="99"/>
    <w:locked/>
    <w:rsid w:val="00421095"/>
    <w:rPr>
      <w:rFonts w:ascii="Times New Roman" w:eastAsia="Times New Roman" w:hAnsi="Times New Roman" w:cs="Times New Roman"/>
      <w:szCs w:val="20"/>
    </w:rPr>
  </w:style>
  <w:style w:type="table" w:styleId="TableGrid">
    <w:name w:val="Table Grid"/>
    <w:basedOn w:val="TableNormal"/>
    <w:uiPriority w:val="59"/>
    <w:rsid w:val="0042109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99"/>
    <w:qFormat/>
    <w:rsid w:val="00421095"/>
    <w:rPr>
      <w:rFonts w:cs="Times New Roman"/>
      <w:b/>
    </w:rPr>
  </w:style>
  <w:style w:type="character" w:customStyle="1" w:styleId="street-address">
    <w:name w:val="street-address"/>
    <w:basedOn w:val="DefaultParagraphFont"/>
    <w:uiPriority w:val="99"/>
    <w:rsid w:val="00421095"/>
    <w:rPr>
      <w:rFonts w:cs="Times New Roman"/>
    </w:rPr>
  </w:style>
  <w:style w:type="character" w:customStyle="1" w:styleId="locality">
    <w:name w:val="locality"/>
    <w:basedOn w:val="DefaultParagraphFont"/>
    <w:uiPriority w:val="99"/>
    <w:rsid w:val="00421095"/>
    <w:rPr>
      <w:rFonts w:cs="Times New Roman"/>
    </w:rPr>
  </w:style>
  <w:style w:type="character" w:customStyle="1" w:styleId="region">
    <w:name w:val="region"/>
    <w:basedOn w:val="DefaultParagraphFont"/>
    <w:uiPriority w:val="99"/>
    <w:rsid w:val="00421095"/>
    <w:rPr>
      <w:rFonts w:cs="Times New Roman"/>
    </w:rPr>
  </w:style>
  <w:style w:type="character" w:customStyle="1" w:styleId="postal-code">
    <w:name w:val="postal-code"/>
    <w:basedOn w:val="DefaultParagraphFont"/>
    <w:uiPriority w:val="99"/>
    <w:rsid w:val="00421095"/>
    <w:rPr>
      <w:rFonts w:cs="Times New Roman"/>
    </w:rPr>
  </w:style>
  <w:style w:type="paragraph" w:styleId="Revision">
    <w:name w:val="Revision"/>
    <w:hidden/>
    <w:uiPriority w:val="99"/>
    <w:semiHidden/>
    <w:rsid w:val="00421095"/>
    <w:pPr>
      <w:spacing w:after="0" w:line="240" w:lineRule="auto"/>
    </w:pPr>
    <w:rPr>
      <w:rFonts w:ascii="Times New Roman" w:eastAsia="Times New Roman" w:hAnsi="Times New Roman" w:cs="Times New Roman"/>
      <w:sz w:val="24"/>
      <w:szCs w:val="24"/>
    </w:rPr>
  </w:style>
  <w:style w:type="paragraph" w:customStyle="1" w:styleId="Level1">
    <w:name w:val="Level 1"/>
    <w:basedOn w:val="Normal"/>
    <w:uiPriority w:val="99"/>
    <w:rsid w:val="00421095"/>
    <w:pPr>
      <w:widowControl w:val="0"/>
      <w:autoSpaceDE w:val="0"/>
      <w:autoSpaceDN w:val="0"/>
      <w:adjustRightInd w:val="0"/>
      <w:ind w:left="720" w:hanging="720"/>
      <w:outlineLvl w:val="0"/>
    </w:pPr>
  </w:style>
  <w:style w:type="paragraph" w:customStyle="1" w:styleId="headline1">
    <w:name w:val="headline1"/>
    <w:basedOn w:val="Normal"/>
    <w:rsid w:val="00421095"/>
    <w:pPr>
      <w:spacing w:before="100" w:beforeAutospacing="1" w:after="100" w:afterAutospacing="1"/>
    </w:pPr>
    <w:rPr>
      <w:rFonts w:ascii="Arial" w:hAnsi="Arial" w:cs="Arial"/>
      <w:b/>
      <w:bCs/>
      <w:color w:val="000000"/>
      <w:sz w:val="27"/>
      <w:szCs w:val="27"/>
    </w:rPr>
  </w:style>
  <w:style w:type="paragraph" w:styleId="BodyText">
    <w:name w:val="Body Text"/>
    <w:basedOn w:val="Normal"/>
    <w:link w:val="BodyTextChar"/>
    <w:uiPriority w:val="99"/>
    <w:unhideWhenUsed/>
    <w:rsid w:val="00657FA3"/>
    <w:pPr>
      <w:spacing w:after="240" w:line="360" w:lineRule="auto"/>
    </w:pPr>
    <w:rPr>
      <w:rFonts w:eastAsiaTheme="minorEastAsia"/>
      <w:sz w:val="22"/>
    </w:rPr>
  </w:style>
  <w:style w:type="character" w:customStyle="1" w:styleId="BodyTextChar">
    <w:name w:val="Body Text Char"/>
    <w:basedOn w:val="DefaultParagraphFont"/>
    <w:link w:val="BodyText"/>
    <w:uiPriority w:val="99"/>
    <w:rsid w:val="00657FA3"/>
    <w:rPr>
      <w:rFonts w:ascii="Times New Roman" w:hAnsi="Times New Roman" w:eastAsiaTheme="minorEastAsia" w:cs="Times New Roman"/>
      <w:szCs w:val="24"/>
    </w:rPr>
  </w:style>
  <w:style w:type="character" w:customStyle="1" w:styleId="Heading3Char">
    <w:name w:val="Heading 3 Char"/>
    <w:basedOn w:val="DefaultParagraphFont"/>
    <w:link w:val="Heading3"/>
    <w:uiPriority w:val="9"/>
    <w:rsid w:val="00F00593"/>
    <w:rPr>
      <w:rFonts w:ascii="Arial" w:hAnsi="Arial" w:eastAsiaTheme="majorEastAsia" w:cstheme="majorBidi"/>
      <w:b/>
      <w:bCs/>
      <w:color w:val="F3901D"/>
      <w:sz w:val="24"/>
      <w:szCs w:val="24"/>
    </w:rPr>
  </w:style>
  <w:style w:type="character" w:styleId="PlaceholderText">
    <w:name w:val="Placeholder Text"/>
    <w:basedOn w:val="DefaultParagraphFont"/>
    <w:uiPriority w:val="99"/>
    <w:semiHidden/>
    <w:rsid w:val="003A0A55"/>
    <w:rPr>
      <w:color w:val="808080"/>
    </w:rPr>
  </w:style>
  <w:style w:type="character" w:customStyle="1" w:styleId="maintitle">
    <w:name w:val="maintitle"/>
    <w:basedOn w:val="DefaultParagraphFont"/>
    <w:rsid w:val="005373F3"/>
  </w:style>
  <w:style w:type="character" w:customStyle="1" w:styleId="Heading1Char">
    <w:name w:val="Heading 1 Char"/>
    <w:basedOn w:val="DefaultParagraphFont"/>
    <w:link w:val="Heading1"/>
    <w:uiPriority w:val="9"/>
    <w:rsid w:val="00B33037"/>
    <w:rPr>
      <w:rFonts w:asciiTheme="majorHAnsi" w:eastAsiaTheme="majorEastAsia" w:hAnsiTheme="majorHAnsi" w:cstheme="majorBidi"/>
      <w:b/>
      <w:bCs/>
      <w:color w:val="365F91" w:themeColor="accent1" w:themeShade="BF"/>
      <w:sz w:val="28"/>
      <w:szCs w:val="28"/>
    </w:rPr>
  </w:style>
  <w:style w:type="character" w:customStyle="1" w:styleId="BodyTextCharChar">
    <w:name w:val="Body Text Char Char"/>
    <w:rsid w:val="00CF6F4B"/>
    <w:rPr>
      <w:sz w:val="24"/>
      <w:szCs w:val="24"/>
      <w:lang w:val="en-US" w:eastAsia="en-US" w:bidi="ar-SA"/>
    </w:rPr>
  </w:style>
  <w:style w:type="character" w:customStyle="1" w:styleId="NORCInlineLevel3ItalicsNoBold">
    <w:name w:val="NORC Inline Level 3 (Italics No Bold)"/>
    <w:qFormat/>
    <w:rsid w:val="00CF6F4B"/>
    <w:rPr>
      <w:rFonts w:ascii="Arial Narrow" w:hAnsi="Arial Narrow"/>
      <w:b w:val="0"/>
      <w:i/>
      <w:sz w:val="24"/>
    </w:rPr>
  </w:style>
  <w:style w:type="paragraph" w:customStyle="1" w:styleId="H2">
    <w:name w:val="H2"/>
    <w:basedOn w:val="Normal"/>
    <w:next w:val="Normal"/>
    <w:uiPriority w:val="99"/>
    <w:rsid w:val="00B3277B"/>
    <w:pPr>
      <w:keepNext/>
      <w:autoSpaceDE w:val="0"/>
      <w:autoSpaceDN w:val="0"/>
      <w:adjustRightInd w:val="0"/>
      <w:spacing w:before="100" w:after="100"/>
      <w:outlineLvl w:val="2"/>
    </w:pPr>
    <w:rPr>
      <w:rFonts w:eastAsiaTheme="minorHAnsi"/>
      <w:b/>
      <w:bCs/>
      <w:sz w:val="36"/>
      <w:szCs w:val="36"/>
    </w:rPr>
  </w:style>
  <w:style w:type="table" w:customStyle="1" w:styleId="TableGridLight1">
    <w:name w:val="Table Grid Light1"/>
    <w:basedOn w:val="TableNormal"/>
    <w:uiPriority w:val="40"/>
    <w:rsid w:val="0000681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B00F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3C4A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ED358B"/>
    <w:rPr>
      <w:color w:val="800080" w:themeColor="followedHyperlink"/>
      <w:u w:val="single"/>
    </w:rPr>
  </w:style>
  <w:style w:type="character" w:styleId="Emphasis">
    <w:name w:val="Emphasis"/>
    <w:basedOn w:val="DefaultParagraphFont"/>
    <w:uiPriority w:val="20"/>
    <w:qFormat/>
    <w:rsid w:val="00802044"/>
    <w:rPr>
      <w:b/>
      <w:bCs/>
      <w:i w:val="0"/>
      <w:iCs w:val="0"/>
    </w:rPr>
  </w:style>
  <w:style w:type="table" w:styleId="LightList">
    <w:name w:val="Light List"/>
    <w:basedOn w:val="TableNormal"/>
    <w:uiPriority w:val="61"/>
    <w:semiHidden/>
    <w:unhideWhenUsed/>
    <w:rsid w:val="0080204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beforeLines="0" w:beforeAutospacing="0" w:after="0" w:afterLines="0" w:afterAutospacing="0" w:line="240" w:lineRule="auto"/>
      </w:pPr>
      <w:rPr>
        <w:b/>
        <w:bCs/>
        <w:color w:val="FFFFFF" w:themeColor="background1"/>
      </w:rPr>
      <w:tblPr/>
      <w:tcPr>
        <w:shd w:val="clear" w:color="auto" w:fill="000000" w:themeFill="text1"/>
      </w:tcPr>
    </w:tblStylePr>
    <w:tblStylePr w:type="lastRow">
      <w:pPr>
        <w:spacing w:before="0" w:beforeLines="0" w:beforeAutospacing="0" w:after="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dTable1Light">
    <w:name w:val="Grid Table 1 Light"/>
    <w:basedOn w:val="TableNormal"/>
    <w:uiPriority w:val="46"/>
    <w:rsid w:val="0080204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6133B8"/>
    <w:pPr>
      <w:spacing w:after="0" w:line="240" w:lineRule="auto"/>
    </w:pPr>
    <w:rPr>
      <w:rFonts w:eastAsiaTheme="minorEastAsia"/>
    </w:rPr>
  </w:style>
  <w:style w:type="character" w:customStyle="1" w:styleId="NoSpacingChar">
    <w:name w:val="No Spacing Char"/>
    <w:basedOn w:val="DefaultParagraphFont"/>
    <w:link w:val="NoSpacing"/>
    <w:uiPriority w:val="1"/>
    <w:rsid w:val="006133B8"/>
    <w:rPr>
      <w:rFonts w:eastAsiaTheme="minorEastAsia"/>
    </w:rPr>
  </w:style>
  <w:style w:type="character" w:styleId="Mention">
    <w:name w:val="Mention"/>
    <w:basedOn w:val="DefaultParagraphFont"/>
    <w:uiPriority w:val="99"/>
    <w:unhideWhenUsed/>
    <w:rsid w:val="00A70236"/>
    <w:rPr>
      <w:color w:val="2B579A"/>
      <w:shd w:val="clear" w:color="auto" w:fill="E1DFDD"/>
    </w:rPr>
  </w:style>
  <w:style w:type="table" w:styleId="GridTable1LightAccent1">
    <w:name w:val="Grid Table 1 Light Accent 1"/>
    <w:basedOn w:val="TableNormal"/>
    <w:uiPriority w:val="46"/>
    <w:rsid w:val="0095011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F07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1" Type="http://schemas.openxmlformats.org/officeDocument/2006/relationships/hyperlink" Target="https://www.norc.org/research/projects/census-of-tribal-court-systems.html"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georgewbush-whitehouse.archives.gov/omb/inforeg/statpolicy/standards_stat_surveys.pdf" TargetMode="External" /><Relationship Id="rId2" Type="http://schemas.openxmlformats.org/officeDocument/2006/relationships/hyperlink" Target="https://protect2.fireeye.com/v1/url?k=83073ae9-e64b53bb-83001e0c-74fe48680d91-07505b4e651cff27&amp;q=1&amp;e=48946008-2112-4a55-80cc-8add863ae1c7&amp;u=https%3A%2F%2Fwww.naicja.org%2F2026-census-of-tribal-court-systems-ctcs%2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CoverPageProperties xmlns="http://schemas.microsoft.com/office/2006/coverPageProps">
  <PublishDate/>
  <Abstract>Part A Supporting Statement…….....     Page 1 
Part B Collection of Information Employing Statistical Methods….   Page 20</Abstract>
  <CompanyAddress/>
  <CompanyPhone/>
  <CompanyFax/>
  <CompanyEmail/>
</CoverPageProperties>
</file>

<file path=customXml/item2.xml><?xml version="1.0" encoding="utf-8"?>
<?mso-contentType ?>
<SharedContentType xmlns="Microsoft.SharePoint.Taxonomy.ContentTypeSync" SourceId="744a5fc2-e1de-4226-a417-e5990e3526f4" ContentTypeId="0x0101" PreviousValue="false" LastSyncTimeStamp="2021-06-15T20:30:00.39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D03763EB19529241BFED75E6B6F831A4" ma:contentTypeVersion="6" ma:contentTypeDescription="Create a new document." ma:contentTypeScope="" ma:versionID="ff0a12f3e1e71572f52dc8d39352c6c0">
  <xsd:schema xmlns:xsd="http://www.w3.org/2001/XMLSchema" xmlns:xs="http://www.w3.org/2001/XMLSchema" xmlns:p="http://schemas.microsoft.com/office/2006/metadata/properties" xmlns:ns2="c174c73a-435e-4e6d-97d8-607b3307d380" xmlns:ns3="9771a940-e754-448c-98d1-72accdaeb571" targetNamespace="http://schemas.microsoft.com/office/2006/metadata/properties" ma:root="true" ma:fieldsID="1c8999e7033be1347f605666c911db91" ns2:_="" ns3:_="">
    <xsd:import namespace="c174c73a-435e-4e6d-97d8-607b3307d380"/>
    <xsd:import namespace="9771a940-e754-448c-98d1-72accdaeb5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74c73a-435e-4e6d-97d8-607b3307d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1a940-e754-448c-98d1-72accdaeb5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D7851A-61B5-4FB9-A483-F561170FEF21}">
  <ds:schemaRefs>
    <ds:schemaRef ds:uri="Microsoft.SharePoint.Taxonomy.ContentTypeSync"/>
  </ds:schemaRefs>
</ds:datastoreItem>
</file>

<file path=customXml/itemProps3.xml><?xml version="1.0" encoding="utf-8"?>
<ds:datastoreItem xmlns:ds="http://schemas.openxmlformats.org/officeDocument/2006/customXml" ds:itemID="{3D78AD6B-BB16-42BE-A239-924C64742E43}">
  <ds:schemaRefs>
    <ds:schemaRef ds:uri="http://schemas.microsoft.com/sharepoint/v3/contenttype/forms"/>
  </ds:schemaRefs>
</ds:datastoreItem>
</file>

<file path=customXml/itemProps4.xml><?xml version="1.0" encoding="utf-8"?>
<ds:datastoreItem xmlns:ds="http://schemas.openxmlformats.org/officeDocument/2006/customXml" ds:itemID="{510BA54F-232B-4A3F-8A6E-0B0FB574E7D4}">
  <ds:schemaRefs>
    <ds:schemaRef ds:uri="http://schemas.openxmlformats.org/officeDocument/2006/bibliography"/>
  </ds:schemaRefs>
</ds:datastoreItem>
</file>

<file path=customXml/itemProps5.xml><?xml version="1.0" encoding="utf-8"?>
<ds:datastoreItem xmlns:ds="http://schemas.openxmlformats.org/officeDocument/2006/customXml" ds:itemID="{02D1C1CC-BFC7-42BE-9308-90947F199031}">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392312BD-2F05-4270-AA40-DA34FDB1B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74c73a-435e-4e6d-97d8-607b3307d380"/>
    <ds:schemaRef ds:uri="9771a940-e754-448c-98d1-72accdaeb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3701</Words>
  <Characters>21099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CENSUS OF TRIBAL LAW ENFORCEMENT AGENCIES, 2019</vt:lpstr>
    </vt:vector>
  </TitlesOfParts>
  <Company>DOJ</Company>
  <LinksUpToDate>false</LinksUpToDate>
  <CharactersWithSpaces>24751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CENSUS OF TRIBAL LAW ENFORCEMENT AGENCIES, 2019</dc:title>
  <dc:subject>Bureau of Justice Statistics</dc:subject>
  <dc:creator>Perry, Steven</dc:creator>
  <cp:lastModifiedBy>Perry, Steven (OJP)</cp:lastModifiedBy>
  <cp:revision>2</cp:revision>
  <cp:lastPrinted>2019-04-30T13:48:00Z</cp:lastPrinted>
  <dcterms:created xsi:type="dcterms:W3CDTF">2026-06-24T16:57:00Z</dcterms:created>
  <dcterms:modified xsi:type="dcterms:W3CDTF">2026-06-24T16:57:00Z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0x010100D03763EB19529241BFED75E6B6F831A4</vt:lpwstr>
  </property>
</Properties>
</file>