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275D" w:rsidP="009E275D" w14:paraId="7E997F5A" w14:textId="639F38FC">
      <w:pPr>
        <w:pStyle w:val="Header"/>
        <w:jc w:val="center"/>
        <w:rPr>
          <w:bCs w:val="0"/>
          <w:sz w:val="24"/>
          <w:szCs w:val="24"/>
        </w:rPr>
      </w:pPr>
      <w:r w:rsidRPr="00AF030E">
        <w:rPr>
          <w:bCs w:val="0"/>
          <w:sz w:val="24"/>
          <w:szCs w:val="24"/>
        </w:rPr>
        <w:t>SUPPORTING STATEMENT FOR PAPERWORK REDUCTION ACT 1995</w:t>
      </w:r>
      <w:r w:rsidR="00976299">
        <w:rPr>
          <w:bCs w:val="0"/>
          <w:sz w:val="24"/>
          <w:szCs w:val="24"/>
        </w:rPr>
        <w:t>:</w:t>
      </w:r>
      <w:r w:rsidRPr="00AF030E">
        <w:rPr>
          <w:bCs w:val="0"/>
          <w:sz w:val="24"/>
          <w:szCs w:val="24"/>
        </w:rPr>
        <w:t xml:space="preserve"> </w:t>
      </w:r>
      <w:r w:rsidRPr="005D6B52" w:rsidR="005D6B52">
        <w:rPr>
          <w:bCs w:val="0"/>
          <w:iCs/>
          <w:sz w:val="24"/>
          <w:szCs w:val="24"/>
        </w:rPr>
        <w:t>PBM FEE DISCLOSURE REGULATION UNDER 408(B)(2)</w:t>
      </w:r>
    </w:p>
    <w:p w:rsidR="005B52AF" w:rsidP="00EF4861" w14:paraId="2E0D918C" w14:textId="05FCDFB6">
      <w:pPr>
        <w:pStyle w:val="Header"/>
        <w:tabs>
          <w:tab w:val="left" w:pos="3090"/>
        </w:tabs>
        <w:rPr>
          <w:bCs w:val="0"/>
          <w:sz w:val="24"/>
          <w:szCs w:val="24"/>
        </w:rPr>
      </w:pPr>
      <w:r>
        <w:rPr>
          <w:bCs w:val="0"/>
          <w:sz w:val="24"/>
          <w:szCs w:val="24"/>
        </w:rPr>
        <w:tab/>
      </w:r>
      <w:r>
        <w:rPr>
          <w:bCs w:val="0"/>
          <w:sz w:val="24"/>
          <w:szCs w:val="24"/>
        </w:rPr>
        <w:tab/>
      </w:r>
    </w:p>
    <w:p w:rsidR="005B52AF" w:rsidP="00947B5E" w14:paraId="542DE946" w14:textId="6B7F4B8B">
      <w:pPr>
        <w:ind w:firstLine="720"/>
        <w:rPr>
          <w:sz w:val="24"/>
        </w:rPr>
      </w:pPr>
      <w:r w:rsidRPr="00947B5E">
        <w:rPr>
          <w:sz w:val="24"/>
        </w:rPr>
        <w:t>This ICR seeks approval for a revision of an existing control number.</w:t>
      </w:r>
    </w:p>
    <w:p w:rsidR="00947B5E" w:rsidRPr="00B172B1" w:rsidP="00947B5E" w14:paraId="4FCDA7B5" w14:textId="77777777">
      <w:pPr>
        <w:ind w:firstLine="720"/>
      </w:pPr>
    </w:p>
    <w:p w:rsidR="00CE7EE9" w:rsidRPr="0045454F" w:rsidP="0005778D" w14:paraId="005AF6E1" w14:textId="7D9E7CDE">
      <w:pPr>
        <w:pStyle w:val="Heading1"/>
      </w:pPr>
      <w:r w:rsidRPr="0045454F">
        <w:t>A</w:t>
      </w:r>
      <w:r w:rsidRPr="0045454F">
        <w:t>.</w:t>
      </w:r>
      <w:r w:rsidR="00D309FC">
        <w:t xml:space="preserve"> </w:t>
      </w:r>
      <w:r w:rsidR="00F4250B">
        <w:tab/>
      </w:r>
      <w:r w:rsidRPr="0045454F">
        <w:t>JUSTIFICATION</w:t>
      </w:r>
    </w:p>
    <w:p w:rsidR="00CE7EE9" w:rsidRPr="0005778D" w:rsidP="0005778D" w14:paraId="3CBDBE0D" w14:textId="77777777"/>
    <w:p w:rsidR="00CE7EE9" w:rsidRPr="0057004B" w:rsidP="0057004B" w14:paraId="5630C7EC" w14:textId="27A63208">
      <w:pPr>
        <w:pStyle w:val="Heading1"/>
        <w:numPr>
          <w:ilvl w:val="0"/>
          <w:numId w:val="37"/>
        </w:numPr>
        <w:rPr>
          <w:rStyle w:val="Emphasis"/>
          <w:i w:val="0"/>
          <w:szCs w:val="24"/>
        </w:rPr>
      </w:pPr>
      <w:r w:rsidRPr="00C20D2D">
        <w:rPr>
          <w:iCs/>
          <w:szCs w:val="24"/>
        </w:rPr>
        <w:t>Explain the circumstances that make the collection of information necessary.</w:t>
      </w:r>
      <w:r w:rsidR="00D309FC">
        <w:rPr>
          <w:iCs/>
          <w:szCs w:val="24"/>
        </w:rPr>
        <w:t xml:space="preserve"> </w:t>
      </w:r>
      <w:r w:rsidRPr="0057004B">
        <w:rPr>
          <w:iCs/>
          <w:szCs w:val="24"/>
        </w:rPr>
        <w:t>Identify any legal or administrative requirements that necessitate the collection.</w:t>
      </w:r>
      <w:r w:rsidRPr="0057004B" w:rsidR="00D309FC">
        <w:rPr>
          <w:iCs/>
          <w:szCs w:val="24"/>
        </w:rPr>
        <w:t xml:space="preserve"> </w:t>
      </w:r>
      <w:r w:rsidRPr="0057004B">
        <w:rPr>
          <w:iCs/>
          <w:szCs w:val="24"/>
        </w:rPr>
        <w:t>Attach a copy of the appropriate section of each statute and regulation mandating or authorizing the collection of information.</w:t>
      </w:r>
    </w:p>
    <w:p w:rsidR="000F3328" w:rsidP="00AE57A2" w14:paraId="287290BD" w14:textId="77777777">
      <w:pPr>
        <w:pStyle w:val="Quick1"/>
        <w:widowControl/>
        <w:numPr>
          <w:ilvl w:val="0"/>
          <w:numId w:val="0"/>
        </w:numPr>
        <w:tabs>
          <w:tab w:val="left" w:pos="-1440"/>
        </w:tabs>
        <w:ind w:left="720" w:hanging="720"/>
        <w:rPr>
          <w:rStyle w:val="footnoteref"/>
          <w:b w:val="0"/>
          <w:sz w:val="24"/>
          <w:szCs w:val="24"/>
        </w:rPr>
      </w:pPr>
    </w:p>
    <w:p w:rsidR="00B04F4E" w:rsidRPr="00B04F4E" w:rsidP="00B04F4E" w14:paraId="39546F49" w14:textId="2B4E7578">
      <w:pPr>
        <w:pStyle w:val="Quick1"/>
        <w:numPr>
          <w:ilvl w:val="0"/>
          <w:numId w:val="0"/>
        </w:numPr>
        <w:tabs>
          <w:tab w:val="left" w:pos="-1440"/>
        </w:tabs>
        <w:ind w:left="720"/>
        <w:rPr>
          <w:rFonts w:eastAsia="SimSun"/>
          <w:b w:val="0"/>
          <w:bCs w:val="0"/>
          <w:sz w:val="24"/>
          <w:szCs w:val="24"/>
          <w:lang w:eastAsia="zh-CN"/>
        </w:rPr>
      </w:pPr>
      <w:r w:rsidRPr="00B04F4E">
        <w:rPr>
          <w:rFonts w:eastAsia="SimSun"/>
          <w:b w:val="0"/>
          <w:bCs w:val="0"/>
          <w:sz w:val="24"/>
          <w:szCs w:val="24"/>
          <w:lang w:eastAsia="zh-CN"/>
        </w:rPr>
        <w:t xml:space="preserve">In Executive Order 14273, </w:t>
      </w:r>
      <w:r w:rsidRPr="00B04F4E">
        <w:rPr>
          <w:rFonts w:eastAsia="SimSun"/>
          <w:b w:val="0"/>
          <w:bCs w:val="0"/>
          <w:i/>
          <w:iCs/>
          <w:sz w:val="24"/>
          <w:szCs w:val="24"/>
          <w:lang w:eastAsia="zh-CN"/>
        </w:rPr>
        <w:t>Lowering Drug Prices by Once Again Putting Americans First</w:t>
      </w:r>
      <w:r w:rsidRPr="00B04F4E">
        <w:rPr>
          <w:rFonts w:eastAsia="SimSun"/>
          <w:b w:val="0"/>
          <w:bCs w:val="0"/>
          <w:sz w:val="24"/>
          <w:szCs w:val="24"/>
          <w:lang w:eastAsia="zh-CN"/>
        </w:rPr>
        <w:t>, President Trump instructed the Department to propose regulations under ERISA section 408(b)(2</w:t>
      </w:r>
      <w:r w:rsidRPr="00366332">
        <w:rPr>
          <w:rFonts w:eastAsia="SimSun"/>
          <w:b w:val="0"/>
          <w:bCs w:val="0"/>
          <w:sz w:val="24"/>
          <w:szCs w:val="24"/>
          <w:lang w:eastAsia="zh-CN"/>
        </w:rPr>
        <w:t xml:space="preserve">) </w:t>
      </w:r>
      <w:r w:rsidRPr="00DE1E37" w:rsidR="00366332">
        <w:rPr>
          <w:rFonts w:eastAsia="SimSun"/>
          <w:b w:val="0"/>
          <w:bCs w:val="0"/>
          <w:sz w:val="24"/>
          <w:szCs w:val="24"/>
          <w:lang w:eastAsia="zh-CN"/>
        </w:rPr>
        <w:t>requiring greater transparency into</w:t>
      </w:r>
      <w:r w:rsidR="00366332">
        <w:rPr>
          <w:rFonts w:eastAsia="SimSun"/>
          <w:sz w:val="24"/>
          <w:szCs w:val="24"/>
          <w:lang w:eastAsia="zh-CN"/>
        </w:rPr>
        <w:t xml:space="preserve"> </w:t>
      </w:r>
      <w:r w:rsidRPr="00B04F4E">
        <w:rPr>
          <w:rFonts w:eastAsia="SimSun"/>
          <w:b w:val="0"/>
          <w:bCs w:val="0"/>
          <w:sz w:val="24"/>
          <w:szCs w:val="24"/>
          <w:lang w:eastAsia="zh-CN"/>
        </w:rPr>
        <w:t>pharmacy benefit managers</w:t>
      </w:r>
      <w:r w:rsidR="00B53F83">
        <w:rPr>
          <w:rFonts w:eastAsia="SimSun"/>
          <w:b w:val="0"/>
          <w:bCs w:val="0"/>
          <w:sz w:val="24"/>
          <w:szCs w:val="24"/>
          <w:lang w:eastAsia="zh-CN"/>
        </w:rPr>
        <w:t xml:space="preserve"> (PBM)</w:t>
      </w:r>
      <w:r w:rsidR="00366332">
        <w:rPr>
          <w:rFonts w:eastAsia="SimSun"/>
          <w:b w:val="0"/>
          <w:bCs w:val="0"/>
          <w:sz w:val="24"/>
          <w:szCs w:val="24"/>
          <w:lang w:eastAsia="zh-CN"/>
        </w:rPr>
        <w:t xml:space="preserve"> compensation</w:t>
      </w:r>
      <w:r w:rsidRPr="00B04F4E">
        <w:rPr>
          <w:rFonts w:eastAsia="SimSun"/>
          <w:b w:val="0"/>
          <w:bCs w:val="0"/>
          <w:sz w:val="24"/>
          <w:szCs w:val="24"/>
          <w:lang w:eastAsia="zh-CN"/>
        </w:rPr>
        <w:t>.</w:t>
      </w:r>
      <w:r>
        <w:rPr>
          <w:rFonts w:eastAsia="SimSun"/>
          <w:b w:val="0"/>
          <w:bCs w:val="0"/>
          <w:sz w:val="24"/>
          <w:szCs w:val="24"/>
          <w:vertAlign w:val="superscript"/>
          <w:lang w:eastAsia="zh-CN"/>
        </w:rPr>
        <w:footnoteReference w:id="3"/>
      </w:r>
      <w:r w:rsidRPr="00B53F83" w:rsidR="00B53F83">
        <w:t xml:space="preserve"> </w:t>
      </w:r>
      <w:r w:rsidRPr="00F7345D" w:rsidR="00F7345D">
        <w:rPr>
          <w:rFonts w:eastAsia="SimSun"/>
          <w:b w:val="0"/>
          <w:bCs w:val="0"/>
          <w:sz w:val="24"/>
          <w:szCs w:val="24"/>
          <w:lang w:eastAsia="zh-CN"/>
        </w:rPr>
        <w:t>The Executive Order seeks to increase transparency and accountability in the prescription drug market, and this final rule implements that directive</w:t>
      </w:r>
      <w:r w:rsidRPr="00B04F4E">
        <w:rPr>
          <w:rFonts w:eastAsia="SimSun"/>
          <w:b w:val="0"/>
          <w:bCs w:val="0"/>
          <w:sz w:val="24"/>
          <w:szCs w:val="24"/>
          <w:lang w:eastAsia="zh-CN"/>
        </w:rPr>
        <w:t>.</w:t>
      </w:r>
      <w:r>
        <w:rPr>
          <w:rFonts w:eastAsia="SimSun"/>
          <w:b w:val="0"/>
          <w:bCs w:val="0"/>
          <w:sz w:val="24"/>
          <w:szCs w:val="24"/>
          <w:vertAlign w:val="superscript"/>
          <w:lang w:eastAsia="zh-CN"/>
        </w:rPr>
        <w:footnoteReference w:id="4"/>
      </w:r>
      <w:r w:rsidRPr="00B04F4E">
        <w:rPr>
          <w:rFonts w:eastAsia="SimSun"/>
          <w:b w:val="0"/>
          <w:bCs w:val="0"/>
          <w:sz w:val="24"/>
          <w:szCs w:val="24"/>
          <w:vertAlign w:val="superscript"/>
          <w:lang w:eastAsia="zh-CN"/>
        </w:rPr>
        <w:t xml:space="preserve"> </w:t>
      </w:r>
      <w:r w:rsidRPr="00B04F4E">
        <w:rPr>
          <w:rFonts w:eastAsia="SimSun"/>
          <w:b w:val="0"/>
          <w:bCs w:val="0"/>
          <w:sz w:val="24"/>
          <w:szCs w:val="24"/>
          <w:lang w:eastAsia="zh-CN"/>
        </w:rPr>
        <w:t xml:space="preserve">This final rule is </w:t>
      </w:r>
      <w:r w:rsidR="00DE1E37">
        <w:rPr>
          <w:rFonts w:eastAsia="SimSun"/>
          <w:b w:val="0"/>
          <w:bCs w:val="0"/>
          <w:sz w:val="24"/>
          <w:szCs w:val="24"/>
          <w:lang w:eastAsia="zh-CN"/>
        </w:rPr>
        <w:t xml:space="preserve">also </w:t>
      </w:r>
      <w:r w:rsidRPr="00B04F4E">
        <w:rPr>
          <w:rFonts w:eastAsia="SimSun"/>
          <w:b w:val="0"/>
          <w:bCs w:val="0"/>
          <w:sz w:val="24"/>
          <w:szCs w:val="24"/>
          <w:lang w:eastAsia="zh-CN"/>
        </w:rPr>
        <w:t>a part of the Trump Administration’s larger initiative to address rising healthcare costs for Americans.</w:t>
      </w:r>
      <w:r>
        <w:rPr>
          <w:rFonts w:eastAsia="SimSun"/>
          <w:b w:val="0"/>
          <w:bCs w:val="0"/>
          <w:sz w:val="24"/>
          <w:szCs w:val="24"/>
          <w:vertAlign w:val="superscript"/>
          <w:lang w:eastAsia="zh-CN"/>
        </w:rPr>
        <w:footnoteReference w:id="5"/>
      </w:r>
      <w:r w:rsidRPr="00B04F4E">
        <w:rPr>
          <w:rFonts w:eastAsia="SimSun"/>
          <w:b w:val="0"/>
          <w:bCs w:val="0"/>
          <w:sz w:val="24"/>
          <w:szCs w:val="24"/>
          <w:lang w:eastAsia="zh-CN"/>
        </w:rPr>
        <w:t xml:space="preserve"> </w:t>
      </w:r>
    </w:p>
    <w:p w:rsidR="00B04F4E" w:rsidP="00B04F4E" w14:paraId="6FE2BB0D" w14:textId="77777777">
      <w:pPr>
        <w:pStyle w:val="Quick1"/>
        <w:numPr>
          <w:ilvl w:val="0"/>
          <w:numId w:val="0"/>
        </w:numPr>
        <w:tabs>
          <w:tab w:val="left" w:pos="-1440"/>
        </w:tabs>
        <w:ind w:left="720"/>
        <w:rPr>
          <w:rFonts w:eastAsia="SimSun"/>
          <w:b w:val="0"/>
          <w:bCs w:val="0"/>
          <w:sz w:val="24"/>
          <w:szCs w:val="24"/>
          <w:lang w:eastAsia="zh-CN"/>
        </w:rPr>
      </w:pPr>
    </w:p>
    <w:p w:rsidR="00AB5CD2" w:rsidP="00E70D82" w14:paraId="18203B41" w14:textId="77777777">
      <w:pPr>
        <w:pStyle w:val="Quick1"/>
        <w:numPr>
          <w:ilvl w:val="0"/>
          <w:numId w:val="0"/>
        </w:numPr>
        <w:tabs>
          <w:tab w:val="left" w:pos="-1440"/>
        </w:tabs>
        <w:ind w:left="720"/>
        <w:rPr>
          <w:rFonts w:eastAsia="SimSun"/>
          <w:b w:val="0"/>
          <w:bCs w:val="0"/>
          <w:sz w:val="24"/>
          <w:szCs w:val="24"/>
          <w:lang w:eastAsia="zh-CN"/>
        </w:rPr>
      </w:pPr>
      <w:r w:rsidRPr="00DE1E37">
        <w:rPr>
          <w:rFonts w:eastAsia="SimSun"/>
          <w:b w:val="0"/>
          <w:bCs w:val="0"/>
          <w:sz w:val="24"/>
          <w:szCs w:val="24"/>
          <w:lang w:eastAsia="zh-CN"/>
        </w:rPr>
        <w:t>ERISA section 408(b)(2) exempts certain service arrangements from ERISA’s prohibited transaction rules</w:t>
      </w:r>
      <w:r w:rsidRPr="00594691">
        <w:rPr>
          <w:rFonts w:eastAsia="SimSun"/>
          <w:sz w:val="24"/>
          <w:szCs w:val="24"/>
          <w:lang w:eastAsia="zh-CN"/>
        </w:rPr>
        <w:t xml:space="preserve"> </w:t>
      </w:r>
      <w:r w:rsidRPr="00594691">
        <w:rPr>
          <w:rFonts w:eastAsia="SimSun"/>
          <w:b w:val="0"/>
          <w:bCs w:val="0"/>
          <w:sz w:val="24"/>
          <w:szCs w:val="24"/>
          <w:lang w:eastAsia="zh-CN"/>
        </w:rPr>
        <w:t>if the arrangement and compensation are reasonable and the services are necessary</w:t>
      </w:r>
      <w:r w:rsidR="008A2E5A">
        <w:rPr>
          <w:rFonts w:eastAsia="SimSun"/>
          <w:b w:val="0"/>
          <w:bCs w:val="0"/>
          <w:sz w:val="24"/>
          <w:szCs w:val="24"/>
          <w:lang w:eastAsia="zh-CN"/>
        </w:rPr>
        <w:t>.</w:t>
      </w:r>
      <w:r w:rsidRPr="00B04F4E" w:rsidR="00B04F4E">
        <w:rPr>
          <w:rFonts w:eastAsia="SimSun"/>
          <w:b w:val="0"/>
          <w:bCs w:val="0"/>
          <w:sz w:val="24"/>
          <w:szCs w:val="24"/>
          <w:lang w:eastAsia="zh-CN"/>
        </w:rPr>
        <w:t xml:space="preserve"> </w:t>
      </w:r>
      <w:r w:rsidRPr="00DE1E37" w:rsidR="00CC0A9B">
        <w:rPr>
          <w:rFonts w:eastAsia="SimSun"/>
          <w:b w:val="0"/>
          <w:bCs w:val="0"/>
          <w:sz w:val="24"/>
          <w:szCs w:val="24"/>
          <w:lang w:eastAsia="zh-CN"/>
        </w:rPr>
        <w:t>The Consolidated Appropriations Act, 2026 (CAA, 2026) added disclosure requirements for PBMs and other covered service providers as a condition of that exemption</w:t>
      </w:r>
      <w:r w:rsidRPr="00B04F4E" w:rsidR="00B04F4E">
        <w:rPr>
          <w:rFonts w:eastAsia="SimSun"/>
          <w:b w:val="0"/>
          <w:bCs w:val="0"/>
          <w:sz w:val="24"/>
          <w:szCs w:val="24"/>
          <w:lang w:eastAsia="zh-CN"/>
        </w:rPr>
        <w:t>.</w:t>
      </w:r>
      <w:r>
        <w:rPr>
          <w:rFonts w:eastAsia="SimSun"/>
          <w:b w:val="0"/>
          <w:bCs w:val="0"/>
          <w:sz w:val="24"/>
          <w:szCs w:val="24"/>
          <w:vertAlign w:val="superscript"/>
          <w:lang w:eastAsia="zh-CN"/>
        </w:rPr>
        <w:footnoteReference w:id="6"/>
      </w:r>
      <w:r w:rsidRPr="00B04F4E" w:rsidR="00B04F4E">
        <w:rPr>
          <w:rFonts w:eastAsia="SimSun"/>
          <w:b w:val="0"/>
          <w:bCs w:val="0"/>
          <w:sz w:val="24"/>
          <w:szCs w:val="24"/>
          <w:lang w:eastAsia="zh-CN"/>
        </w:rPr>
        <w:t xml:space="preserve"> </w:t>
      </w:r>
      <w:r w:rsidRPr="00CC0A9B" w:rsidR="00CC0A9B">
        <w:rPr>
          <w:rFonts w:eastAsia="SimSun"/>
          <w:b w:val="0"/>
          <w:bCs w:val="0"/>
          <w:sz w:val="24"/>
          <w:szCs w:val="24"/>
          <w:lang w:eastAsia="zh-CN"/>
        </w:rPr>
        <w:t>T</w:t>
      </w:r>
      <w:r w:rsidRPr="00DE1E37" w:rsidR="00CC0A9B">
        <w:rPr>
          <w:rFonts w:eastAsia="SimSun"/>
          <w:b w:val="0"/>
          <w:bCs w:val="0"/>
          <w:sz w:val="24"/>
          <w:szCs w:val="24"/>
          <w:lang w:eastAsia="zh-CN"/>
        </w:rPr>
        <w:t xml:space="preserve">his final rule implements those requirements </w:t>
      </w:r>
      <w:r w:rsidRPr="00CC0A9B" w:rsidR="00CC0A9B">
        <w:rPr>
          <w:rFonts w:eastAsia="SimSun"/>
          <w:b w:val="0"/>
          <w:bCs w:val="0"/>
          <w:sz w:val="24"/>
          <w:szCs w:val="24"/>
          <w:lang w:eastAsia="zh-CN"/>
        </w:rPr>
        <w:t>for PBMs and affiliated brokers and consultants serving covered plans</w:t>
      </w:r>
      <w:r w:rsidR="00B73C17">
        <w:rPr>
          <w:rFonts w:eastAsia="SimSun"/>
          <w:b w:val="0"/>
          <w:bCs w:val="0"/>
          <w:sz w:val="24"/>
          <w:szCs w:val="24"/>
          <w:lang w:eastAsia="zh-CN"/>
        </w:rPr>
        <w:t>.</w:t>
      </w:r>
      <w:r w:rsidR="008A2E5A">
        <w:rPr>
          <w:rFonts w:eastAsia="SimSun"/>
          <w:b w:val="0"/>
          <w:bCs w:val="0"/>
          <w:sz w:val="24"/>
          <w:szCs w:val="24"/>
          <w:lang w:eastAsia="zh-CN"/>
        </w:rPr>
        <w:t xml:space="preserve"> </w:t>
      </w:r>
      <w:r w:rsidRPr="00DE1E37" w:rsidR="00B73C17">
        <w:rPr>
          <w:rFonts w:eastAsia="SimSun"/>
          <w:b w:val="0"/>
          <w:bCs w:val="0"/>
          <w:sz w:val="24"/>
          <w:szCs w:val="24"/>
          <w:lang w:eastAsia="zh-CN"/>
        </w:rPr>
        <w:t xml:space="preserve">PBMs provide services to ERISA-covered self-insured group health plans, including </w:t>
      </w:r>
      <w:r w:rsidRPr="00B73C17" w:rsidR="00B73C17">
        <w:rPr>
          <w:rFonts w:eastAsia="SimSun"/>
          <w:b w:val="0"/>
          <w:bCs w:val="0"/>
          <w:sz w:val="24"/>
          <w:szCs w:val="24"/>
          <w:lang w:eastAsia="zh-CN"/>
        </w:rPr>
        <w:t xml:space="preserve">managing pharmacy networks, negotiating reimbursements and rebates, establishing formularies, processing claims, and managing </w:t>
      </w:r>
      <w:r w:rsidRPr="00B73C17" w:rsidR="00B73C17">
        <w:rPr>
          <w:rFonts w:eastAsia="SimSun"/>
          <w:b w:val="0"/>
          <w:bCs w:val="0"/>
          <w:sz w:val="24"/>
          <w:szCs w:val="24"/>
          <w:lang w:eastAsia="zh-CN"/>
        </w:rPr>
        <w:t>utilization</w:t>
      </w:r>
      <w:r w:rsidRPr="00B04F4E" w:rsidR="00B04F4E">
        <w:rPr>
          <w:rFonts w:eastAsia="SimSun"/>
          <w:b w:val="0"/>
          <w:bCs w:val="0"/>
          <w:sz w:val="24"/>
          <w:szCs w:val="24"/>
          <w:lang w:eastAsia="zh-CN"/>
        </w:rPr>
        <w:t>.</w:t>
      </w:r>
      <w:r>
        <w:rPr>
          <w:rFonts w:eastAsia="SimSun"/>
          <w:b w:val="0"/>
          <w:bCs w:val="0"/>
          <w:sz w:val="24"/>
          <w:szCs w:val="24"/>
          <w:vertAlign w:val="superscript"/>
          <w:lang w:eastAsia="zh-CN"/>
        </w:rPr>
        <w:footnoteReference w:id="7"/>
      </w:r>
      <w:r w:rsidR="00B73C17">
        <w:rPr>
          <w:rFonts w:eastAsia="SimSun"/>
          <w:b w:val="0"/>
          <w:bCs w:val="0"/>
          <w:sz w:val="24"/>
          <w:szCs w:val="24"/>
          <w:vertAlign w:val="superscript"/>
          <w:lang w:eastAsia="zh-CN"/>
        </w:rPr>
        <w:t>,</w:t>
      </w:r>
      <w:r>
        <w:rPr>
          <w:rFonts w:eastAsia="SimSun"/>
          <w:b w:val="0"/>
          <w:bCs w:val="0"/>
          <w:sz w:val="24"/>
          <w:szCs w:val="24"/>
          <w:vertAlign w:val="superscript"/>
          <w:lang w:eastAsia="zh-CN"/>
        </w:rPr>
        <w:footnoteReference w:id="8"/>
      </w:r>
      <w:r w:rsidR="00B73C17">
        <w:rPr>
          <w:rFonts w:eastAsia="SimSun"/>
          <w:b w:val="0"/>
          <w:bCs w:val="0"/>
          <w:sz w:val="24"/>
          <w:szCs w:val="24"/>
          <w:vertAlign w:val="superscript"/>
          <w:lang w:eastAsia="zh-CN"/>
        </w:rPr>
        <w:t>,</w:t>
      </w:r>
      <w:r>
        <w:rPr>
          <w:rFonts w:eastAsia="SimSun"/>
          <w:b w:val="0"/>
          <w:bCs w:val="0"/>
          <w:sz w:val="24"/>
          <w:szCs w:val="24"/>
          <w:vertAlign w:val="superscript"/>
          <w:lang w:eastAsia="zh-CN"/>
        </w:rPr>
        <w:footnoteReference w:id="9"/>
      </w:r>
      <w:r w:rsidRPr="00B04F4E" w:rsidR="00B04F4E">
        <w:rPr>
          <w:rFonts w:eastAsia="SimSun"/>
          <w:b w:val="0"/>
          <w:bCs w:val="0"/>
          <w:sz w:val="24"/>
          <w:szCs w:val="24"/>
          <w:lang w:eastAsia="zh-CN"/>
        </w:rPr>
        <w:t xml:space="preserve"> </w:t>
      </w:r>
      <w:r w:rsidRPr="00DE1E37" w:rsidR="006030E6">
        <w:rPr>
          <w:rFonts w:eastAsia="SimSun"/>
          <w:b w:val="0"/>
          <w:bCs w:val="0"/>
          <w:sz w:val="24"/>
          <w:szCs w:val="24"/>
          <w:lang w:eastAsia="zh-CN"/>
        </w:rPr>
        <w:t>PBMs, brokers</w:t>
      </w:r>
      <w:r w:rsidR="005A17C5">
        <w:rPr>
          <w:rFonts w:eastAsia="SimSun"/>
          <w:b w:val="0"/>
          <w:bCs w:val="0"/>
          <w:sz w:val="24"/>
          <w:szCs w:val="24"/>
          <w:lang w:eastAsia="zh-CN"/>
        </w:rPr>
        <w:t>,</w:t>
      </w:r>
      <w:r w:rsidRPr="00DE1E37" w:rsidR="006030E6">
        <w:rPr>
          <w:rFonts w:eastAsia="SimSun"/>
          <w:b w:val="0"/>
          <w:bCs w:val="0"/>
          <w:sz w:val="24"/>
          <w:szCs w:val="24"/>
          <w:lang w:eastAsia="zh-CN"/>
        </w:rPr>
        <w:t xml:space="preserve"> and consultants that assist plan fiduciaries, may receive compensation from multiple sources, creating a need for greater transparency.</w:t>
      </w:r>
      <w:r w:rsidRPr="00B04F4E" w:rsidR="00B04F4E">
        <w:rPr>
          <w:rFonts w:eastAsia="SimSun"/>
          <w:b w:val="0"/>
          <w:bCs w:val="0"/>
          <w:sz w:val="24"/>
          <w:szCs w:val="24"/>
          <w:lang w:eastAsia="zh-CN"/>
        </w:rPr>
        <w:t xml:space="preserve"> </w:t>
      </w:r>
    </w:p>
    <w:p w:rsidR="00AB5CD2" w:rsidP="00E70D82" w14:paraId="44984CE0" w14:textId="77777777">
      <w:pPr>
        <w:pStyle w:val="Quick1"/>
        <w:numPr>
          <w:ilvl w:val="0"/>
          <w:numId w:val="0"/>
        </w:numPr>
        <w:tabs>
          <w:tab w:val="left" w:pos="-1440"/>
        </w:tabs>
        <w:ind w:left="720"/>
        <w:rPr>
          <w:rFonts w:eastAsia="SimSun"/>
          <w:b w:val="0"/>
          <w:bCs w:val="0"/>
          <w:sz w:val="24"/>
          <w:szCs w:val="24"/>
          <w:lang w:eastAsia="zh-CN"/>
        </w:rPr>
      </w:pPr>
    </w:p>
    <w:p w:rsidR="00B04F4E" w:rsidRPr="00B04F4E" w:rsidP="00E70D82" w14:paraId="45DDF824" w14:textId="2A66CB77">
      <w:pPr>
        <w:pStyle w:val="Quick1"/>
        <w:numPr>
          <w:ilvl w:val="0"/>
          <w:numId w:val="0"/>
        </w:numPr>
        <w:tabs>
          <w:tab w:val="left" w:pos="-1440"/>
        </w:tabs>
        <w:ind w:left="720"/>
        <w:rPr>
          <w:rFonts w:eastAsia="SimSun"/>
          <w:b w:val="0"/>
          <w:bCs w:val="0"/>
          <w:sz w:val="24"/>
          <w:szCs w:val="24"/>
          <w:lang w:eastAsia="zh-CN"/>
        </w:rPr>
      </w:pPr>
      <w:r w:rsidRPr="00DE1E37">
        <w:rPr>
          <w:rFonts w:eastAsia="SimSun"/>
          <w:b w:val="0"/>
          <w:bCs w:val="0"/>
          <w:sz w:val="24"/>
          <w:szCs w:val="24"/>
          <w:lang w:eastAsia="zh-CN"/>
        </w:rPr>
        <w:t>Longstanding concerns about incomplete compensation disclosures led to recommendations for expanded disclosure requirements, which Congress subsequently enacted</w:t>
      </w:r>
      <w:r w:rsidR="00AB5CD2">
        <w:rPr>
          <w:rFonts w:eastAsia="SimSun"/>
          <w:b w:val="0"/>
          <w:bCs w:val="0"/>
          <w:sz w:val="24"/>
          <w:szCs w:val="24"/>
          <w:lang w:eastAsia="zh-CN"/>
        </w:rPr>
        <w:t>.</w:t>
      </w:r>
      <w:r>
        <w:rPr>
          <w:rFonts w:eastAsia="SimSun"/>
          <w:b w:val="0"/>
          <w:bCs w:val="0"/>
          <w:sz w:val="24"/>
          <w:szCs w:val="24"/>
          <w:vertAlign w:val="superscript"/>
          <w:lang w:eastAsia="zh-CN"/>
        </w:rPr>
        <w:footnoteReference w:id="10"/>
      </w:r>
      <w:r>
        <w:rPr>
          <w:rFonts w:eastAsia="SimSun"/>
          <w:b w:val="0"/>
          <w:bCs w:val="0"/>
          <w:sz w:val="24"/>
          <w:szCs w:val="24"/>
          <w:vertAlign w:val="superscript"/>
          <w:lang w:eastAsia="zh-CN"/>
        </w:rPr>
        <w:t>,</w:t>
      </w:r>
      <w:r>
        <w:rPr>
          <w:rFonts w:eastAsia="SimSun"/>
          <w:b w:val="0"/>
          <w:bCs w:val="0"/>
          <w:sz w:val="24"/>
          <w:szCs w:val="24"/>
          <w:vertAlign w:val="superscript"/>
          <w:lang w:eastAsia="zh-CN"/>
        </w:rPr>
        <w:footnoteReference w:id="11"/>
      </w:r>
      <w:r w:rsidR="003C5721">
        <w:rPr>
          <w:rFonts w:eastAsia="SimSun"/>
          <w:b w:val="0"/>
          <w:bCs w:val="0"/>
          <w:sz w:val="24"/>
          <w:szCs w:val="24"/>
          <w:lang w:eastAsia="zh-CN"/>
        </w:rPr>
        <w:t xml:space="preserve"> </w:t>
      </w:r>
      <w:r w:rsidRPr="005F6FF6" w:rsidR="005F6FF6">
        <w:rPr>
          <w:rFonts w:eastAsia="SimSun"/>
          <w:b w:val="0"/>
          <w:bCs w:val="0"/>
          <w:sz w:val="24"/>
          <w:szCs w:val="24"/>
          <w:lang w:eastAsia="zh-CN"/>
        </w:rPr>
        <w:t>Congress also imposed additional requirements, effective for plan years beginning on or after August 3, 2028, concerning rebate pass-throughs and disclosures of drug spending and utilization</w:t>
      </w:r>
      <w:r>
        <w:rPr>
          <w:rFonts w:eastAsia="SimSun"/>
          <w:b w:val="0"/>
          <w:bCs w:val="0"/>
          <w:sz w:val="24"/>
          <w:szCs w:val="24"/>
          <w:vertAlign w:val="superscript"/>
          <w:lang w:eastAsia="zh-CN"/>
        </w:rPr>
        <w:footnoteReference w:id="12"/>
      </w:r>
      <w:r w:rsidR="005F6FF6">
        <w:rPr>
          <w:rFonts w:eastAsia="SimSun"/>
          <w:b w:val="0"/>
          <w:bCs w:val="0"/>
          <w:sz w:val="24"/>
          <w:szCs w:val="24"/>
          <w:vertAlign w:val="superscript"/>
          <w:lang w:eastAsia="zh-CN"/>
        </w:rPr>
        <w:t>,</w:t>
      </w:r>
      <w:r>
        <w:rPr>
          <w:rFonts w:eastAsia="SimSun"/>
          <w:b w:val="0"/>
          <w:bCs w:val="0"/>
          <w:sz w:val="24"/>
          <w:szCs w:val="24"/>
          <w:vertAlign w:val="superscript"/>
          <w:lang w:eastAsia="zh-CN"/>
        </w:rPr>
        <w:footnoteReference w:id="13"/>
      </w:r>
    </w:p>
    <w:p w:rsidR="00B04F4E" w:rsidP="00B04F4E" w14:paraId="5FF0FF4D" w14:textId="77777777">
      <w:pPr>
        <w:pStyle w:val="Quick1"/>
        <w:numPr>
          <w:ilvl w:val="0"/>
          <w:numId w:val="0"/>
        </w:numPr>
        <w:tabs>
          <w:tab w:val="left" w:pos="-1440"/>
        </w:tabs>
        <w:ind w:left="720"/>
        <w:rPr>
          <w:rFonts w:eastAsia="SimSun"/>
          <w:b w:val="0"/>
          <w:bCs w:val="0"/>
          <w:sz w:val="24"/>
          <w:szCs w:val="24"/>
          <w:lang w:eastAsia="zh-CN"/>
        </w:rPr>
      </w:pPr>
    </w:p>
    <w:p w:rsidR="005A17C5" w:rsidRPr="00B04F4E" w:rsidP="00B04F4E" w14:paraId="39461E58" w14:textId="238BD6E2">
      <w:pPr>
        <w:pStyle w:val="Quick1"/>
        <w:numPr>
          <w:ilvl w:val="0"/>
          <w:numId w:val="0"/>
        </w:numPr>
        <w:tabs>
          <w:tab w:val="left" w:pos="-1440"/>
        </w:tabs>
        <w:ind w:left="720"/>
        <w:rPr>
          <w:rFonts w:eastAsia="SimSun"/>
          <w:b w:val="0"/>
          <w:bCs w:val="0"/>
          <w:sz w:val="24"/>
          <w:szCs w:val="24"/>
          <w:lang w:eastAsia="zh-CN"/>
        </w:rPr>
      </w:pPr>
      <w:r w:rsidRPr="00DE1E37">
        <w:rPr>
          <w:rFonts w:eastAsia="SimSun"/>
          <w:b w:val="0"/>
          <w:bCs w:val="0"/>
          <w:sz w:val="24"/>
          <w:szCs w:val="24"/>
          <w:lang w:eastAsia="zh-CN"/>
        </w:rPr>
        <w:t xml:space="preserve">The final rule </w:t>
      </w:r>
      <w:r w:rsidRPr="003C5721">
        <w:rPr>
          <w:rFonts w:eastAsia="SimSun"/>
          <w:b w:val="0"/>
          <w:bCs w:val="0"/>
          <w:sz w:val="24"/>
          <w:szCs w:val="24"/>
          <w:lang w:eastAsia="zh-CN"/>
        </w:rPr>
        <w:t>requires covered service providers to disclose their compensation and provides audit rights so responsible plan fiduciaries of large</w:t>
      </w:r>
      <w:r w:rsidR="00DE1E37">
        <w:rPr>
          <w:rFonts w:eastAsia="SimSun"/>
          <w:b w:val="0"/>
          <w:bCs w:val="0"/>
          <w:sz w:val="24"/>
          <w:szCs w:val="24"/>
          <w:lang w:eastAsia="zh-CN"/>
        </w:rPr>
        <w:t>,</w:t>
      </w:r>
      <w:r w:rsidRPr="003C5721">
        <w:rPr>
          <w:rFonts w:eastAsia="SimSun"/>
          <w:b w:val="0"/>
          <w:bCs w:val="0"/>
          <w:sz w:val="24"/>
          <w:szCs w:val="24"/>
          <w:lang w:eastAsia="zh-CN"/>
        </w:rPr>
        <w:t xml:space="preserve"> self-insured group health plans can assess the reasonableness of PBM arrangements and monitor covered service providers</w:t>
      </w:r>
      <w:r>
        <w:rPr>
          <w:rFonts w:eastAsia="SimSun"/>
          <w:b w:val="0"/>
          <w:bCs w:val="0"/>
          <w:sz w:val="24"/>
          <w:szCs w:val="24"/>
          <w:lang w:eastAsia="zh-CN"/>
        </w:rPr>
        <w:t>.</w:t>
      </w:r>
    </w:p>
    <w:p w:rsidR="00662510" w:rsidRPr="00594B94" w:rsidP="00B04F4E" w14:paraId="6FC41366" w14:textId="68A96F72">
      <w:pPr>
        <w:pStyle w:val="Quick1"/>
        <w:numPr>
          <w:ilvl w:val="0"/>
          <w:numId w:val="0"/>
        </w:numPr>
        <w:tabs>
          <w:tab w:val="left" w:pos="-1440"/>
        </w:tabs>
        <w:ind w:left="720" w:hanging="720"/>
        <w:rPr>
          <w:rStyle w:val="footnoteref"/>
          <w:b w:val="0"/>
          <w:sz w:val="24"/>
          <w:szCs w:val="24"/>
        </w:rPr>
      </w:pPr>
    </w:p>
    <w:p w:rsidR="00312DD7" w:rsidRPr="00C20D2D" w:rsidP="0057004B" w14:paraId="5333F6B5" w14:textId="5348BF6E">
      <w:pPr>
        <w:pStyle w:val="Heading1"/>
        <w:numPr>
          <w:ilvl w:val="0"/>
          <w:numId w:val="37"/>
        </w:numPr>
      </w:pPr>
      <w:r w:rsidRPr="00C20D2D">
        <w:t>Indicate how, by whom, and for what purpose the information is to be used.</w:t>
      </w:r>
      <w:r w:rsidR="00D309FC">
        <w:t xml:space="preserve"> </w:t>
      </w:r>
      <w:r w:rsidRPr="00C20D2D" w:rsidR="00540514">
        <w:t>Except for a new collection, indicate the actual use the agency has made of the information received from the current collection.</w:t>
      </w:r>
    </w:p>
    <w:p w:rsidR="00AA1E33" w:rsidP="00A513F6" w14:paraId="0B8C6442" w14:textId="77777777">
      <w:pPr>
        <w:pStyle w:val="Quick1"/>
        <w:widowControl/>
        <w:numPr>
          <w:ilvl w:val="0"/>
          <w:numId w:val="0"/>
        </w:numPr>
        <w:ind w:left="720" w:hanging="720"/>
        <w:rPr>
          <w:b w:val="0"/>
          <w:sz w:val="24"/>
          <w:szCs w:val="24"/>
        </w:rPr>
      </w:pPr>
    </w:p>
    <w:p w:rsidR="00D54D7C" w:rsidRPr="00D54D7C" w:rsidP="00D54D7C" w14:paraId="67DE207B" w14:textId="36A9CB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val="0"/>
          <w:sz w:val="24"/>
        </w:rPr>
      </w:pPr>
      <w:r w:rsidRPr="00D54D7C">
        <w:rPr>
          <w:b w:val="0"/>
          <w:bCs w:val="0"/>
          <w:sz w:val="24"/>
        </w:rPr>
        <w:t xml:space="preserve">The </w:t>
      </w:r>
      <w:r w:rsidR="00BA2D2F">
        <w:rPr>
          <w:b w:val="0"/>
          <w:bCs w:val="0"/>
          <w:sz w:val="24"/>
        </w:rPr>
        <w:t xml:space="preserve">final </w:t>
      </w:r>
      <w:r w:rsidRPr="00D54D7C">
        <w:rPr>
          <w:b w:val="0"/>
          <w:bCs w:val="0"/>
          <w:sz w:val="24"/>
        </w:rPr>
        <w:t xml:space="preserve">regulation would require covered service providers to disclose information to responsible plan fiduciaries of group health plans regarding services and compensation in connection with the service contracts or arrangements with the plan. Covered service providers under the </w:t>
      </w:r>
      <w:r w:rsidR="00F74DE3">
        <w:rPr>
          <w:b w:val="0"/>
          <w:bCs w:val="0"/>
          <w:sz w:val="24"/>
        </w:rPr>
        <w:t>final rule</w:t>
      </w:r>
      <w:r w:rsidRPr="00D54D7C">
        <w:rPr>
          <w:b w:val="0"/>
          <w:bCs w:val="0"/>
          <w:sz w:val="24"/>
        </w:rPr>
        <w:t xml:space="preserve"> are (</w:t>
      </w:r>
      <w:r w:rsidRPr="00D54D7C">
        <w:rPr>
          <w:b w:val="0"/>
          <w:bCs w:val="0"/>
          <w:sz w:val="24"/>
        </w:rPr>
        <w:t>i</w:t>
      </w:r>
      <w:r w:rsidRPr="00D54D7C">
        <w:rPr>
          <w:b w:val="0"/>
          <w:bCs w:val="0"/>
          <w:sz w:val="24"/>
        </w:rPr>
        <w:t xml:space="preserve">) providers of pharmacy benefit management services and (ii) </w:t>
      </w:r>
      <w:r w:rsidRPr="00D54D7C">
        <w:rPr>
          <w:b w:val="0"/>
          <w:sz w:val="24"/>
        </w:rPr>
        <w:t>providers of advice, recommendations, or referrals (</w:t>
      </w:r>
      <w:r w:rsidRPr="00D54D7C">
        <w:rPr>
          <w:b w:val="0"/>
          <w:i/>
          <w:iCs/>
          <w:sz w:val="24"/>
        </w:rPr>
        <w:t>e.g.,</w:t>
      </w:r>
      <w:r w:rsidRPr="00D54D7C">
        <w:rPr>
          <w:b w:val="0"/>
          <w:sz w:val="24"/>
        </w:rPr>
        <w:t xml:space="preserve"> brokers and consultants) regarding pharmacy benefit management services who are themselves providers of pharmacy benefit management services or their affiliates.</w:t>
      </w:r>
    </w:p>
    <w:p w:rsidR="00D54D7C" w:rsidRPr="00D54D7C" w:rsidP="00D54D7C" w14:paraId="4F90F33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val="0"/>
          <w:bCs w:val="0"/>
          <w:sz w:val="24"/>
        </w:rPr>
      </w:pPr>
    </w:p>
    <w:p w:rsidR="00D54D7C" w:rsidRPr="00D54D7C" w:rsidP="00D54D7C" w14:paraId="06D03BDD" w14:textId="2AE56A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val="0"/>
          <w:bCs w:val="0"/>
          <w:sz w:val="24"/>
        </w:rPr>
      </w:pPr>
      <w:r w:rsidRPr="00D54D7C">
        <w:rPr>
          <w:b w:val="0"/>
          <w:bCs w:val="0"/>
          <w:sz w:val="24"/>
        </w:rPr>
        <w:t xml:space="preserve">The three main components of the </w:t>
      </w:r>
      <w:r w:rsidR="00BA2D2F">
        <w:rPr>
          <w:b w:val="0"/>
          <w:bCs w:val="0"/>
          <w:sz w:val="24"/>
        </w:rPr>
        <w:t xml:space="preserve">final </w:t>
      </w:r>
      <w:r w:rsidRPr="00D54D7C">
        <w:rPr>
          <w:b w:val="0"/>
          <w:bCs w:val="0"/>
          <w:sz w:val="24"/>
        </w:rPr>
        <w:t>regulation are: (</w:t>
      </w:r>
      <w:r w:rsidRPr="00D54D7C">
        <w:rPr>
          <w:b w:val="0"/>
          <w:bCs w:val="0"/>
          <w:sz w:val="24"/>
        </w:rPr>
        <w:t>i</w:t>
      </w:r>
      <w:r w:rsidRPr="00D54D7C">
        <w:rPr>
          <w:b w:val="0"/>
          <w:bCs w:val="0"/>
          <w:sz w:val="24"/>
        </w:rPr>
        <w:t xml:space="preserve">) initial disclosure requirements; </w:t>
      </w:r>
      <w:r w:rsidRPr="00D54D7C">
        <w:rPr>
          <w:b w:val="0"/>
          <w:bCs w:val="0"/>
          <w:sz w:val="24"/>
        </w:rPr>
        <w:t>(ii)</w:t>
      </w:r>
      <w:r w:rsidR="00BA2D2F">
        <w:rPr>
          <w:b w:val="0"/>
          <w:bCs w:val="0"/>
          <w:sz w:val="24"/>
        </w:rPr>
        <w:t xml:space="preserve"> follow-up</w:t>
      </w:r>
      <w:r w:rsidRPr="00D54D7C">
        <w:rPr>
          <w:b w:val="0"/>
          <w:bCs w:val="0"/>
          <w:sz w:val="24"/>
        </w:rPr>
        <w:t xml:space="preserve"> disclosure requirements; and (iii) requirements designed to preserve the group health plans’ abilities to audit such disclosures. Additionally, the </w:t>
      </w:r>
      <w:r w:rsidR="00F74DE3">
        <w:rPr>
          <w:b w:val="0"/>
          <w:bCs w:val="0"/>
          <w:sz w:val="24"/>
        </w:rPr>
        <w:t>final rule</w:t>
      </w:r>
      <w:r w:rsidRPr="00D54D7C">
        <w:rPr>
          <w:b w:val="0"/>
          <w:bCs w:val="0"/>
          <w:sz w:val="24"/>
        </w:rPr>
        <w:t xml:space="preserve"> includes a prohibited transaction class exemption for responsible plan fiduciaries acting in good faith in the event the covered service provider fail</w:t>
      </w:r>
      <w:r w:rsidRPr="00D54D7C">
        <w:rPr>
          <w:b w:val="0"/>
          <w:sz w:val="24"/>
        </w:rPr>
        <w:t>s</w:t>
      </w:r>
      <w:r w:rsidRPr="00D54D7C">
        <w:rPr>
          <w:b w:val="0"/>
          <w:bCs w:val="0"/>
          <w:sz w:val="24"/>
        </w:rPr>
        <w:t xml:space="preserve"> to comply with the regulation. </w:t>
      </w:r>
    </w:p>
    <w:p w:rsidR="00D54D7C" w:rsidRPr="00D54D7C" w:rsidP="00D54D7C" w14:paraId="7D953272" w14:textId="77777777">
      <w:pPr>
        <w:widowControl/>
        <w:autoSpaceDE/>
        <w:autoSpaceDN/>
        <w:adjustRightInd/>
        <w:ind w:left="720"/>
        <w:rPr>
          <w:b w:val="0"/>
          <w:bCs w:val="0"/>
          <w:sz w:val="24"/>
        </w:rPr>
      </w:pPr>
    </w:p>
    <w:p w:rsidR="00D54D7C" w:rsidRPr="00D54D7C" w:rsidP="00D54D7C" w14:paraId="5FBD4336" w14:textId="265DC201">
      <w:pPr>
        <w:widowControl/>
        <w:autoSpaceDE/>
        <w:autoSpaceDN/>
        <w:adjustRightInd/>
        <w:ind w:left="720"/>
        <w:rPr>
          <w:b w:val="0"/>
          <w:sz w:val="24"/>
        </w:rPr>
      </w:pPr>
      <w:r w:rsidRPr="00D54D7C">
        <w:rPr>
          <w:b w:val="0"/>
          <w:bCs w:val="0"/>
          <w:sz w:val="24"/>
        </w:rPr>
        <w:t xml:space="preserve">The </w:t>
      </w:r>
      <w:r w:rsidR="00BA2D2F">
        <w:rPr>
          <w:b w:val="0"/>
          <w:bCs w:val="0"/>
          <w:sz w:val="24"/>
        </w:rPr>
        <w:t>final</w:t>
      </w:r>
      <w:r w:rsidRPr="00D54D7C">
        <w:rPr>
          <w:b w:val="0"/>
          <w:bCs w:val="0"/>
          <w:sz w:val="24"/>
        </w:rPr>
        <w:t xml:space="preserve"> regulation would require </w:t>
      </w:r>
      <w:r w:rsidR="009466C4">
        <w:rPr>
          <w:b w:val="0"/>
          <w:bCs w:val="0"/>
          <w:sz w:val="24"/>
        </w:rPr>
        <w:t xml:space="preserve">PBMs to provide </w:t>
      </w:r>
      <w:r w:rsidRPr="00D54D7C">
        <w:rPr>
          <w:b w:val="0"/>
          <w:bCs w:val="0"/>
          <w:sz w:val="24"/>
        </w:rPr>
        <w:t xml:space="preserve">disclosures only to </w:t>
      </w:r>
      <w:r w:rsidR="009466C4">
        <w:rPr>
          <w:b w:val="0"/>
          <w:bCs w:val="0"/>
          <w:sz w:val="24"/>
        </w:rPr>
        <w:t xml:space="preserve">large, </w:t>
      </w:r>
      <w:r w:rsidRPr="00D54D7C">
        <w:rPr>
          <w:b w:val="0"/>
          <w:bCs w:val="0"/>
          <w:sz w:val="24"/>
        </w:rPr>
        <w:t xml:space="preserve">self-insured group health plans. The </w:t>
      </w:r>
      <w:r w:rsidR="00F74DE3">
        <w:rPr>
          <w:b w:val="0"/>
          <w:bCs w:val="0"/>
          <w:sz w:val="24"/>
        </w:rPr>
        <w:t>final rule</w:t>
      </w:r>
      <w:r w:rsidRPr="00D54D7C" w:rsidR="00F74DE3">
        <w:rPr>
          <w:b w:val="0"/>
          <w:bCs w:val="0"/>
          <w:sz w:val="24"/>
        </w:rPr>
        <w:t xml:space="preserve"> </w:t>
      </w:r>
      <w:r w:rsidRPr="00D54D7C">
        <w:rPr>
          <w:b w:val="0"/>
          <w:bCs w:val="0"/>
          <w:sz w:val="24"/>
        </w:rPr>
        <w:t>reserves disclosure obligations with respect to fully insured group health plans for future action. This approach was taken based on t</w:t>
      </w:r>
      <w:r w:rsidRPr="00D54D7C">
        <w:rPr>
          <w:b w:val="0"/>
          <w:sz w:val="24"/>
        </w:rPr>
        <w:t xml:space="preserve">he view that responsible plan fiduciaries may focus on different considerations when contracting with an insurance company for health insurance coverage that integrates prescription drug coverage, as opposed to self-funding medical care and contracting on an unbundled basis for pharmacy benefit management services. </w:t>
      </w:r>
    </w:p>
    <w:p w:rsidR="00D54D7C" w:rsidRPr="00D54D7C" w:rsidP="00D54D7C" w14:paraId="7AC85BEF" w14:textId="77777777">
      <w:pPr>
        <w:widowControl/>
        <w:autoSpaceDE/>
        <w:autoSpaceDN/>
        <w:adjustRightInd/>
        <w:rPr>
          <w:b w:val="0"/>
          <w:sz w:val="24"/>
        </w:rPr>
      </w:pPr>
    </w:p>
    <w:p w:rsidR="00D54D7C" w:rsidRPr="00AD6FB0" w:rsidP="00AD6FB0" w14:paraId="737BE08C" w14:textId="137E0816">
      <w:pPr>
        <w:pStyle w:val="ListParagraph"/>
        <w:widowControl/>
        <w:numPr>
          <w:ilvl w:val="0"/>
          <w:numId w:val="46"/>
        </w:numPr>
        <w:autoSpaceDE/>
        <w:autoSpaceDN/>
        <w:adjustRightInd/>
        <w:rPr>
          <w:bCs w:val="0"/>
          <w:sz w:val="24"/>
          <w:u w:val="single"/>
        </w:rPr>
      </w:pPr>
      <w:r w:rsidRPr="00AD6FB0">
        <w:rPr>
          <w:bCs w:val="0"/>
          <w:sz w:val="24"/>
          <w:u w:val="single"/>
        </w:rPr>
        <w:t>Initial Disclosures</w:t>
      </w:r>
    </w:p>
    <w:p w:rsidR="00D54D7C" w:rsidRPr="00D54D7C" w:rsidP="00D54D7C" w14:paraId="72625D75" w14:textId="77777777">
      <w:pPr>
        <w:widowControl/>
        <w:autoSpaceDE/>
        <w:autoSpaceDN/>
        <w:adjustRightInd/>
        <w:ind w:left="1080"/>
        <w:contextualSpacing/>
        <w:rPr>
          <w:b w:val="0"/>
          <w:i/>
          <w:iCs/>
          <w:sz w:val="24"/>
        </w:rPr>
      </w:pPr>
    </w:p>
    <w:p w:rsidR="00D54D7C" w:rsidRPr="00D54D7C" w:rsidP="00D54D7C" w14:paraId="42A8426C" w14:textId="707187E8">
      <w:pPr>
        <w:widowControl/>
        <w:autoSpaceDE/>
        <w:autoSpaceDN/>
        <w:adjustRightInd/>
        <w:ind w:left="720"/>
        <w:rPr>
          <w:b w:val="0"/>
          <w:bCs w:val="0"/>
          <w:sz w:val="24"/>
        </w:rPr>
      </w:pPr>
      <w:r w:rsidRPr="00D54D7C">
        <w:rPr>
          <w:b w:val="0"/>
          <w:bCs w:val="0"/>
          <w:sz w:val="24"/>
        </w:rPr>
        <w:t xml:space="preserve">The </w:t>
      </w:r>
      <w:r w:rsidR="00F74DE3">
        <w:rPr>
          <w:b w:val="0"/>
          <w:bCs w:val="0"/>
          <w:sz w:val="24"/>
        </w:rPr>
        <w:t>final rule</w:t>
      </w:r>
      <w:r w:rsidRPr="00D54D7C">
        <w:rPr>
          <w:b w:val="0"/>
          <w:bCs w:val="0"/>
          <w:sz w:val="24"/>
        </w:rPr>
        <w:t xml:space="preserve">’s initial disclosure requirements, which would be provided reasonably in advance of the contract or arrangement, would include disclosures of the services to be provided as well as a description of compensation reasonably expected to be received on a </w:t>
      </w:r>
      <w:r w:rsidR="004A7E40">
        <w:rPr>
          <w:b w:val="0"/>
          <w:bCs w:val="0"/>
          <w:sz w:val="24"/>
        </w:rPr>
        <w:t xml:space="preserve">semiannual (or at the request of the covered plan, </w:t>
      </w:r>
      <w:r w:rsidRPr="00D54D7C">
        <w:rPr>
          <w:b w:val="0"/>
          <w:bCs w:val="0"/>
          <w:sz w:val="24"/>
        </w:rPr>
        <w:t>quarterly</w:t>
      </w:r>
      <w:r w:rsidR="004A7E40">
        <w:rPr>
          <w:b w:val="0"/>
          <w:bCs w:val="0"/>
          <w:sz w:val="24"/>
        </w:rPr>
        <w:t>)</w:t>
      </w:r>
      <w:r w:rsidRPr="00D54D7C">
        <w:rPr>
          <w:b w:val="0"/>
          <w:bCs w:val="0"/>
          <w:sz w:val="24"/>
        </w:rPr>
        <w:t xml:space="preserve"> basis in connection with the service contract or arrangement. The </w:t>
      </w:r>
      <w:r w:rsidR="00F74DE3">
        <w:rPr>
          <w:b w:val="0"/>
          <w:bCs w:val="0"/>
          <w:sz w:val="24"/>
        </w:rPr>
        <w:t>final rule</w:t>
      </w:r>
      <w:r w:rsidRPr="00D54D7C">
        <w:rPr>
          <w:b w:val="0"/>
          <w:bCs w:val="0"/>
          <w:sz w:val="24"/>
        </w:rPr>
        <w:t xml:space="preserve"> specifies that the compensation to be disclosed includes: (</w:t>
      </w:r>
      <w:r w:rsidRPr="00D54D7C">
        <w:rPr>
          <w:b w:val="0"/>
          <w:bCs w:val="0"/>
          <w:sz w:val="24"/>
        </w:rPr>
        <w:t>i</w:t>
      </w:r>
      <w:r w:rsidRPr="00D54D7C">
        <w:rPr>
          <w:b w:val="0"/>
          <w:bCs w:val="0"/>
          <w:sz w:val="24"/>
        </w:rPr>
        <w:t>) direct compensation paid by the plan</w:t>
      </w:r>
      <w:r w:rsidR="004A7E40">
        <w:rPr>
          <w:b w:val="0"/>
          <w:bCs w:val="0"/>
          <w:sz w:val="24"/>
        </w:rPr>
        <w:t xml:space="preserve"> or plan sponsor on behalf of the plan</w:t>
      </w:r>
      <w:r w:rsidRPr="00D54D7C">
        <w:rPr>
          <w:b w:val="0"/>
          <w:bCs w:val="0"/>
          <w:sz w:val="24"/>
        </w:rPr>
        <w:t>; (ii) payments from drug manufacturers (</w:t>
      </w:r>
      <w:r w:rsidRPr="00D54D7C">
        <w:rPr>
          <w:b w:val="0"/>
          <w:bCs w:val="0"/>
          <w:i/>
          <w:iCs/>
          <w:sz w:val="24"/>
        </w:rPr>
        <w:t>e.g.</w:t>
      </w:r>
      <w:r w:rsidRPr="00D54D7C">
        <w:rPr>
          <w:b w:val="0"/>
          <w:bCs w:val="0"/>
          <w:sz w:val="24"/>
        </w:rPr>
        <w:t xml:space="preserve">, rebates PBMs receive from manufacturers); (iii) spread compensation; (iv) </w:t>
      </w:r>
      <w:r w:rsidR="004A7E40">
        <w:rPr>
          <w:b w:val="0"/>
          <w:bCs w:val="0"/>
          <w:sz w:val="24"/>
        </w:rPr>
        <w:t>pharmacy recoupment</w:t>
      </w:r>
      <w:r w:rsidRPr="00D54D7C">
        <w:rPr>
          <w:b w:val="0"/>
          <w:bCs w:val="0"/>
          <w:sz w:val="24"/>
        </w:rPr>
        <w:t xml:space="preserve">; </w:t>
      </w:r>
      <w:r w:rsidR="000C0C8C">
        <w:rPr>
          <w:b w:val="0"/>
          <w:bCs w:val="0"/>
          <w:sz w:val="24"/>
        </w:rPr>
        <w:t>(v) price protection agreements</w:t>
      </w:r>
      <w:r w:rsidR="00C14F47">
        <w:rPr>
          <w:b w:val="0"/>
          <w:bCs w:val="0"/>
          <w:sz w:val="24"/>
        </w:rPr>
        <w:t>; (vi)</w:t>
      </w:r>
      <w:r w:rsidRPr="00D54D7C">
        <w:rPr>
          <w:b w:val="0"/>
          <w:bCs w:val="0"/>
          <w:sz w:val="24"/>
        </w:rPr>
        <w:t xml:space="preserve"> </w:t>
      </w:r>
      <w:r w:rsidR="00AA63D7">
        <w:rPr>
          <w:b w:val="0"/>
          <w:bCs w:val="0"/>
          <w:sz w:val="24"/>
        </w:rPr>
        <w:t xml:space="preserve">compensation for termination of </w:t>
      </w:r>
      <w:r w:rsidR="008E24F1">
        <w:rPr>
          <w:b w:val="0"/>
          <w:bCs w:val="0"/>
          <w:sz w:val="24"/>
        </w:rPr>
        <w:t>the service contract or arrangement,</w:t>
      </w:r>
      <w:r w:rsidRPr="00D54D7C">
        <w:rPr>
          <w:b w:val="0"/>
          <w:bCs w:val="0"/>
          <w:sz w:val="24"/>
        </w:rPr>
        <w:t xml:space="preserve"> as well as </w:t>
      </w:r>
      <w:r w:rsidR="0042400E">
        <w:rPr>
          <w:b w:val="0"/>
          <w:bCs w:val="0"/>
          <w:sz w:val="24"/>
        </w:rPr>
        <w:t xml:space="preserve">(v) </w:t>
      </w:r>
      <w:r w:rsidRPr="00D54D7C">
        <w:rPr>
          <w:b w:val="0"/>
          <w:bCs w:val="0"/>
          <w:sz w:val="24"/>
        </w:rPr>
        <w:t xml:space="preserve">other compensation not specifically enumerated by name in the </w:t>
      </w:r>
      <w:r w:rsidR="00F74DE3">
        <w:rPr>
          <w:b w:val="0"/>
          <w:bCs w:val="0"/>
          <w:sz w:val="24"/>
        </w:rPr>
        <w:t>final rule</w:t>
      </w:r>
      <w:r w:rsidRPr="00D54D7C" w:rsidR="00F74DE3">
        <w:rPr>
          <w:b w:val="0"/>
          <w:bCs w:val="0"/>
          <w:sz w:val="24"/>
        </w:rPr>
        <w:t xml:space="preserve"> </w:t>
      </w:r>
      <w:r w:rsidRPr="00D54D7C">
        <w:rPr>
          <w:b w:val="0"/>
          <w:bCs w:val="0"/>
          <w:sz w:val="24"/>
        </w:rPr>
        <w:t>(this is to function as a “catchall” category). The initial disclosure would also include a description of incentives and arrangements with drug manufacturers related to the placement of their drugs on the plan’s formulary</w:t>
      </w:r>
      <w:r w:rsidR="0071142B">
        <w:rPr>
          <w:b w:val="0"/>
          <w:bCs w:val="0"/>
          <w:sz w:val="24"/>
        </w:rPr>
        <w:t>, identification of reasonably available alternatives omitted from the formulary and a reason for the omission,</w:t>
      </w:r>
      <w:r w:rsidRPr="00D54D7C">
        <w:rPr>
          <w:b w:val="0"/>
          <w:bCs w:val="0"/>
          <w:sz w:val="24"/>
        </w:rPr>
        <w:t xml:space="preserve"> and  the drug pricing methodology that would be used to determine the drug prices paid by the plan.</w:t>
      </w:r>
      <w:r w:rsidR="003846E2">
        <w:rPr>
          <w:b w:val="0"/>
          <w:bCs w:val="0"/>
          <w:sz w:val="24"/>
        </w:rPr>
        <w:t xml:space="preserve"> Additionally, this disclosure would also include </w:t>
      </w:r>
      <w:r w:rsidR="00DC04C9">
        <w:rPr>
          <w:b w:val="0"/>
          <w:bCs w:val="0"/>
          <w:sz w:val="24"/>
        </w:rPr>
        <w:t>a statement</w:t>
      </w:r>
      <w:r w:rsidR="008D5C8D">
        <w:rPr>
          <w:b w:val="0"/>
          <w:bCs w:val="0"/>
          <w:sz w:val="24"/>
        </w:rPr>
        <w:t xml:space="preserve"> of</w:t>
      </w:r>
      <w:r w:rsidR="00B31CA0">
        <w:rPr>
          <w:b w:val="0"/>
          <w:bCs w:val="0"/>
          <w:sz w:val="24"/>
        </w:rPr>
        <w:t xml:space="preserve"> fiduciary</w:t>
      </w:r>
      <w:r w:rsidR="00DC04C9">
        <w:rPr>
          <w:b w:val="0"/>
          <w:bCs w:val="0"/>
          <w:sz w:val="24"/>
        </w:rPr>
        <w:t xml:space="preserve"> </w:t>
      </w:r>
      <w:r w:rsidR="008D5C8D">
        <w:rPr>
          <w:b w:val="0"/>
          <w:bCs w:val="0"/>
          <w:sz w:val="24"/>
        </w:rPr>
        <w:t>status if the</w:t>
      </w:r>
      <w:r w:rsidR="005D4F5F">
        <w:rPr>
          <w:b w:val="0"/>
          <w:bCs w:val="0"/>
          <w:sz w:val="24"/>
        </w:rPr>
        <w:t xml:space="preserve"> </w:t>
      </w:r>
      <w:r w:rsidRPr="005D4F5F" w:rsidR="005D4F5F">
        <w:rPr>
          <w:b w:val="0"/>
          <w:bCs w:val="0"/>
          <w:sz w:val="24"/>
        </w:rPr>
        <w:t>covered service provider, an affiliate, an agent, or a subcontractor will provide, or reasonably expects</w:t>
      </w:r>
      <w:r w:rsidR="005D4F5F">
        <w:rPr>
          <w:b w:val="0"/>
          <w:bCs w:val="0"/>
          <w:sz w:val="24"/>
        </w:rPr>
        <w:t xml:space="preserve"> to provide, </w:t>
      </w:r>
      <w:r w:rsidR="005972FC">
        <w:rPr>
          <w:b w:val="0"/>
          <w:bCs w:val="0"/>
          <w:sz w:val="24"/>
        </w:rPr>
        <w:t>services as a fiduciary</w:t>
      </w:r>
      <w:r w:rsidR="00E83878">
        <w:rPr>
          <w:b w:val="0"/>
          <w:bCs w:val="0"/>
          <w:sz w:val="24"/>
        </w:rPr>
        <w:t>;</w:t>
      </w:r>
      <w:r w:rsidR="005972FC">
        <w:rPr>
          <w:b w:val="0"/>
          <w:bCs w:val="0"/>
          <w:sz w:val="24"/>
        </w:rPr>
        <w:t xml:space="preserve"> and </w:t>
      </w:r>
      <w:r w:rsidR="00C51549">
        <w:rPr>
          <w:b w:val="0"/>
          <w:bCs w:val="0"/>
          <w:sz w:val="24"/>
        </w:rPr>
        <w:t>will also include a statement of audit right</w:t>
      </w:r>
      <w:r w:rsidR="0071142B">
        <w:rPr>
          <w:b w:val="0"/>
          <w:bCs w:val="0"/>
          <w:sz w:val="24"/>
        </w:rPr>
        <w:t>s</w:t>
      </w:r>
      <w:r w:rsidR="00C51549">
        <w:rPr>
          <w:b w:val="0"/>
          <w:bCs w:val="0"/>
          <w:sz w:val="24"/>
        </w:rPr>
        <w:t xml:space="preserve">. </w:t>
      </w:r>
    </w:p>
    <w:p w:rsidR="00D54D7C" w:rsidRPr="00D54D7C" w:rsidP="00D54D7C" w14:paraId="4C08F8E2" w14:textId="77777777">
      <w:pPr>
        <w:widowControl/>
        <w:autoSpaceDE/>
        <w:autoSpaceDN/>
        <w:adjustRightInd/>
        <w:rPr>
          <w:b w:val="0"/>
          <w:bCs w:val="0"/>
          <w:sz w:val="24"/>
        </w:rPr>
      </w:pPr>
    </w:p>
    <w:p w:rsidR="00D54D7C" w:rsidRPr="00AD6FB0" w:rsidP="00AD6FB0" w14:paraId="0F40D32A" w14:textId="5B3E3591">
      <w:pPr>
        <w:pStyle w:val="ListParagraph"/>
        <w:widowControl/>
        <w:numPr>
          <w:ilvl w:val="0"/>
          <w:numId w:val="46"/>
        </w:numPr>
        <w:autoSpaceDE/>
        <w:autoSpaceDN/>
        <w:adjustRightInd/>
        <w:rPr>
          <w:sz w:val="24"/>
          <w:u w:val="single"/>
        </w:rPr>
      </w:pPr>
      <w:r>
        <w:rPr>
          <w:sz w:val="24"/>
          <w:u w:val="single"/>
        </w:rPr>
        <w:t>Follow-up</w:t>
      </w:r>
      <w:r w:rsidRPr="00AD6FB0" w:rsidR="001B4047">
        <w:rPr>
          <w:sz w:val="24"/>
          <w:u w:val="single"/>
        </w:rPr>
        <w:t xml:space="preserve"> Disclosures</w:t>
      </w:r>
    </w:p>
    <w:p w:rsidR="00D54D7C" w:rsidRPr="00D54D7C" w:rsidP="00D54D7C" w14:paraId="44F1BCA9" w14:textId="77777777">
      <w:pPr>
        <w:widowControl/>
        <w:autoSpaceDE/>
        <w:autoSpaceDN/>
        <w:adjustRightInd/>
        <w:ind w:left="2160"/>
        <w:contextualSpacing/>
        <w:rPr>
          <w:b w:val="0"/>
          <w:bCs w:val="0"/>
          <w:i/>
          <w:iCs/>
          <w:sz w:val="24"/>
        </w:rPr>
      </w:pPr>
    </w:p>
    <w:p w:rsidR="00D54D7C" w:rsidRPr="00D54D7C" w:rsidP="00BB08A8" w14:paraId="08DF8766" w14:textId="7635CE7A">
      <w:pPr>
        <w:widowControl/>
        <w:autoSpaceDE/>
        <w:autoSpaceDN/>
        <w:adjustRightInd/>
        <w:ind w:left="720"/>
        <w:rPr>
          <w:b w:val="0"/>
          <w:bCs w:val="0"/>
          <w:sz w:val="24"/>
        </w:rPr>
      </w:pPr>
      <w:r w:rsidRPr="00D54D7C">
        <w:rPr>
          <w:b w:val="0"/>
          <w:bCs w:val="0"/>
          <w:sz w:val="24"/>
        </w:rPr>
        <w:t xml:space="preserve">The </w:t>
      </w:r>
      <w:r w:rsidR="00BA2D2F">
        <w:rPr>
          <w:b w:val="0"/>
          <w:bCs w:val="0"/>
          <w:sz w:val="24"/>
        </w:rPr>
        <w:t>final rule</w:t>
      </w:r>
      <w:r w:rsidRPr="00D54D7C">
        <w:rPr>
          <w:b w:val="0"/>
          <w:bCs w:val="0"/>
          <w:sz w:val="24"/>
        </w:rPr>
        <w:t>’s semiannual disclosures would describe compensation received in connection with the service contract or arrangement covering the preceding six-month period (</w:t>
      </w:r>
      <w:r w:rsidRPr="00B0439F" w:rsidR="00C007DB">
        <w:rPr>
          <w:b w:val="0"/>
          <w:bCs w:val="0"/>
          <w:iCs/>
          <w:sz w:val="24"/>
          <w:szCs w:val="24"/>
        </w:rPr>
        <w:t xml:space="preserve">or at the request of the covered plan, </w:t>
      </w:r>
      <w:r w:rsidRPr="00B0439F" w:rsidR="00C007DB">
        <w:rPr>
          <w:b w:val="0"/>
          <w:bCs w:val="0"/>
          <w:iCs/>
          <w:sz w:val="24"/>
          <w:szCs w:val="24"/>
        </w:rPr>
        <w:t>quarterly)</w:t>
      </w:r>
      <w:r w:rsidR="009A163A">
        <w:rPr>
          <w:b w:val="0"/>
          <w:bCs w:val="0"/>
          <w:iCs/>
          <w:sz w:val="24"/>
          <w:szCs w:val="24"/>
        </w:rPr>
        <w:t>.</w:t>
      </w:r>
      <w:r w:rsidR="009A163A">
        <w:rPr>
          <w:b w:val="0"/>
          <w:bCs w:val="0"/>
          <w:iCs/>
          <w:sz w:val="24"/>
          <w:szCs w:val="24"/>
        </w:rPr>
        <w:t xml:space="preserve"> </w:t>
      </w:r>
      <w:r w:rsidRPr="00D54D7C">
        <w:rPr>
          <w:b w:val="0"/>
          <w:bCs w:val="0"/>
          <w:sz w:val="24"/>
        </w:rPr>
        <w:t>The compensation would be presented in the same categories of compensation as the initial disclosures</w:t>
      </w:r>
      <w:r w:rsidR="00863E52">
        <w:rPr>
          <w:b w:val="0"/>
          <w:bCs w:val="0"/>
          <w:sz w:val="24"/>
        </w:rPr>
        <w:t xml:space="preserve">, </w:t>
      </w:r>
      <w:r w:rsidR="00863E52">
        <w:rPr>
          <w:b w:val="0"/>
          <w:bCs w:val="0"/>
          <w:sz w:val="24"/>
        </w:rPr>
        <w:t>with the exception of</w:t>
      </w:r>
      <w:r w:rsidR="00863E52">
        <w:rPr>
          <w:b w:val="0"/>
          <w:bCs w:val="0"/>
          <w:sz w:val="24"/>
        </w:rPr>
        <w:t xml:space="preserve"> </w:t>
      </w:r>
      <w:r w:rsidR="00227D65">
        <w:rPr>
          <w:b w:val="0"/>
          <w:bCs w:val="0"/>
          <w:sz w:val="24"/>
        </w:rPr>
        <w:t>compensation for termination of the service contract or arrangement</w:t>
      </w:r>
      <w:r w:rsidRPr="00D54D7C">
        <w:rPr>
          <w:b w:val="0"/>
          <w:bCs w:val="0"/>
          <w:sz w:val="24"/>
        </w:rPr>
        <w:t xml:space="preserve"> (direct compensation, manufacturer payments, spread compensation, </w:t>
      </w:r>
      <w:r w:rsidR="0071142B">
        <w:rPr>
          <w:b w:val="0"/>
          <w:bCs w:val="0"/>
          <w:sz w:val="24"/>
        </w:rPr>
        <w:t>pharmacy recoupment</w:t>
      </w:r>
      <w:r w:rsidRPr="00D54D7C">
        <w:rPr>
          <w:b w:val="0"/>
          <w:bCs w:val="0"/>
          <w:sz w:val="24"/>
        </w:rPr>
        <w:t xml:space="preserve">, </w:t>
      </w:r>
      <w:r w:rsidR="00774856">
        <w:rPr>
          <w:b w:val="0"/>
          <w:bCs w:val="0"/>
          <w:sz w:val="24"/>
        </w:rPr>
        <w:t>price protection agreement</w:t>
      </w:r>
      <w:r w:rsidR="003C248E">
        <w:rPr>
          <w:b w:val="0"/>
          <w:bCs w:val="0"/>
          <w:sz w:val="24"/>
        </w:rPr>
        <w:t>s</w:t>
      </w:r>
      <w:r w:rsidR="00227D65">
        <w:rPr>
          <w:b w:val="0"/>
          <w:bCs w:val="0"/>
          <w:sz w:val="24"/>
        </w:rPr>
        <w:t>,</w:t>
      </w:r>
      <w:r w:rsidR="003C248E">
        <w:rPr>
          <w:b w:val="0"/>
          <w:bCs w:val="0"/>
          <w:sz w:val="24"/>
        </w:rPr>
        <w:t xml:space="preserve"> </w:t>
      </w:r>
      <w:r w:rsidRPr="00D54D7C">
        <w:rPr>
          <w:b w:val="0"/>
          <w:bCs w:val="0"/>
          <w:sz w:val="24"/>
        </w:rPr>
        <w:t xml:space="preserve">and other compensation not otherwise disclosed). The semiannual disclosures would provide transparency into the actual compensation received in connection with the service contract or arrangement and a means for the responsible plan fiduciary to assess the estimates used by the covered service provider in its initial disclosure. Where any category of compensation, in aggregate, exceeds specified </w:t>
      </w:r>
      <w:r w:rsidR="0071142B">
        <w:rPr>
          <w:b w:val="0"/>
          <w:bCs w:val="0"/>
          <w:sz w:val="24"/>
        </w:rPr>
        <w:t>thresholds</w:t>
      </w:r>
      <w:r w:rsidRPr="00D54D7C">
        <w:rPr>
          <w:b w:val="0"/>
          <w:bCs w:val="0"/>
          <w:sz w:val="24"/>
        </w:rPr>
        <w:t>, the covered service provider would be required to identify the amount and reason for the overage.</w:t>
      </w:r>
      <w:r w:rsidR="00CF6FCD">
        <w:rPr>
          <w:b w:val="0"/>
          <w:bCs w:val="0"/>
          <w:sz w:val="24"/>
        </w:rPr>
        <w:t xml:space="preserve"> This disclosure would also include statement</w:t>
      </w:r>
      <w:r w:rsidR="0071142B">
        <w:rPr>
          <w:b w:val="0"/>
          <w:bCs w:val="0"/>
          <w:sz w:val="24"/>
        </w:rPr>
        <w:t>s of fiduciary status and</w:t>
      </w:r>
      <w:r w:rsidR="00CF6FCD">
        <w:rPr>
          <w:b w:val="0"/>
          <w:bCs w:val="0"/>
          <w:sz w:val="24"/>
        </w:rPr>
        <w:t xml:space="preserve"> of audit rights. </w:t>
      </w:r>
    </w:p>
    <w:p w:rsidR="00D54D7C" w:rsidRPr="00D54D7C" w:rsidP="00D54D7C" w14:paraId="025A0C08" w14:textId="77777777">
      <w:pPr>
        <w:widowControl/>
        <w:autoSpaceDE/>
        <w:autoSpaceDN/>
        <w:adjustRightInd/>
        <w:rPr>
          <w:b w:val="0"/>
          <w:bCs w:val="0"/>
          <w:sz w:val="24"/>
        </w:rPr>
      </w:pPr>
    </w:p>
    <w:p w:rsidR="00D54D7C" w:rsidRPr="00AD6FB0" w:rsidP="00AD6FB0" w14:paraId="538C3651" w14:textId="7CF08654">
      <w:pPr>
        <w:pStyle w:val="ListParagraph"/>
        <w:widowControl/>
        <w:numPr>
          <w:ilvl w:val="0"/>
          <w:numId w:val="46"/>
        </w:numPr>
        <w:autoSpaceDE/>
        <w:autoSpaceDN/>
        <w:adjustRightInd/>
        <w:rPr>
          <w:bCs w:val="0"/>
          <w:sz w:val="24"/>
          <w:u w:val="single"/>
        </w:rPr>
      </w:pPr>
      <w:r w:rsidRPr="00AD6FB0">
        <w:rPr>
          <w:bCs w:val="0"/>
          <w:sz w:val="24"/>
          <w:u w:val="single"/>
        </w:rPr>
        <w:t>Audit Rights</w:t>
      </w:r>
    </w:p>
    <w:p w:rsidR="00D54D7C" w:rsidRPr="00D54D7C" w:rsidP="00D54D7C" w14:paraId="450CB019" w14:textId="77777777">
      <w:pPr>
        <w:widowControl/>
        <w:autoSpaceDE/>
        <w:autoSpaceDN/>
        <w:adjustRightInd/>
        <w:ind w:left="2160"/>
        <w:contextualSpacing/>
        <w:rPr>
          <w:b w:val="0"/>
          <w:i/>
          <w:iCs/>
          <w:sz w:val="24"/>
        </w:rPr>
      </w:pPr>
    </w:p>
    <w:p w:rsidR="00D54D7C" w:rsidRPr="00D54D7C" w:rsidP="00BB08A8" w14:paraId="12CC846E" w14:textId="54801811">
      <w:pPr>
        <w:widowControl/>
        <w:autoSpaceDE/>
        <w:autoSpaceDN/>
        <w:adjustRightInd/>
        <w:ind w:left="720"/>
        <w:rPr>
          <w:b w:val="0"/>
          <w:bCs w:val="0"/>
          <w:sz w:val="24"/>
        </w:rPr>
      </w:pPr>
      <w:r w:rsidRPr="00D54D7C">
        <w:rPr>
          <w:b w:val="0"/>
          <w:bCs w:val="0"/>
          <w:sz w:val="24"/>
        </w:rPr>
        <w:t xml:space="preserve">The regulation would also preserve the group health plans’ ability to conduct an audit of </w:t>
      </w:r>
      <w:r w:rsidR="0071142B">
        <w:rPr>
          <w:b w:val="0"/>
          <w:bCs w:val="0"/>
          <w:sz w:val="24"/>
        </w:rPr>
        <w:t>any</w:t>
      </w:r>
      <w:r w:rsidRPr="00D54D7C">
        <w:rPr>
          <w:b w:val="0"/>
          <w:bCs w:val="0"/>
          <w:sz w:val="24"/>
        </w:rPr>
        <w:t xml:space="preserve"> disclosures made pursuant to the regulation not less than once per year. In this regard, the </w:t>
      </w:r>
      <w:r w:rsidR="00F74DE3">
        <w:rPr>
          <w:b w:val="0"/>
          <w:bCs w:val="0"/>
          <w:sz w:val="24"/>
        </w:rPr>
        <w:t>final rule</w:t>
      </w:r>
      <w:r w:rsidR="00E0095A">
        <w:rPr>
          <w:b w:val="0"/>
          <w:bCs w:val="0"/>
          <w:sz w:val="24"/>
        </w:rPr>
        <w:t xml:space="preserve"> </w:t>
      </w:r>
      <w:r w:rsidRPr="00D54D7C">
        <w:rPr>
          <w:b w:val="0"/>
          <w:bCs w:val="0"/>
          <w:sz w:val="24"/>
        </w:rPr>
        <w:t>provides that the plan fiduciary may select an auditor without limitations imposed by the covered service provider, and the covered service provider would be required to make available within a commercially reasonable period all records, data, and other information that is reasonably necessary to confirm the accuracy of the disclosures</w:t>
      </w:r>
      <w:r w:rsidR="00D42DA0">
        <w:rPr>
          <w:b w:val="0"/>
          <w:bCs w:val="0"/>
          <w:sz w:val="24"/>
        </w:rPr>
        <w:t>, including data owned or held by an affiliate, an agent, or a subcontractor</w:t>
      </w:r>
      <w:r w:rsidRPr="00D54D7C">
        <w:rPr>
          <w:b w:val="0"/>
          <w:bCs w:val="0"/>
          <w:sz w:val="24"/>
        </w:rPr>
        <w:t xml:space="preserve">. While the plan would have responsibility for the expenses related to the selection and retention of the auditor, the covered service provider would bear the cost of providing </w:t>
      </w:r>
      <w:r w:rsidRPr="00D54D7C">
        <w:rPr>
          <w:b w:val="0"/>
          <w:sz w:val="24"/>
        </w:rPr>
        <w:t>the information, data, and other materials needed to perform the audit</w:t>
      </w:r>
      <w:r w:rsidRPr="00D54D7C">
        <w:rPr>
          <w:b w:val="0"/>
          <w:bCs w:val="0"/>
          <w:sz w:val="24"/>
        </w:rPr>
        <w:t>.</w:t>
      </w:r>
      <w:r w:rsidRPr="00F07EB2" w:rsidR="00F07EB2">
        <w:rPr>
          <w:b w:val="0"/>
          <w:bCs w:val="0"/>
          <w:sz w:val="24"/>
        </w:rPr>
        <w:t xml:space="preserve"> The covered service provider may not impose conditions that would restrict the covered plan’s right to conduct an audit, including restrictions on the period of the audit, the location of the audit, or the number of records to be provided, except that the scope of the audit </w:t>
      </w:r>
      <w:r w:rsidR="00D42DA0">
        <w:rPr>
          <w:b w:val="0"/>
          <w:bCs w:val="0"/>
          <w:sz w:val="24"/>
        </w:rPr>
        <w:t>is</w:t>
      </w:r>
      <w:r w:rsidRPr="00F07EB2" w:rsidR="00F07EB2">
        <w:rPr>
          <w:b w:val="0"/>
          <w:bCs w:val="0"/>
          <w:sz w:val="24"/>
        </w:rPr>
        <w:t xml:space="preserve"> limited to the period covered by the disclosures</w:t>
      </w:r>
      <w:r w:rsidR="004479C4">
        <w:rPr>
          <w:b w:val="0"/>
          <w:bCs w:val="0"/>
          <w:sz w:val="24"/>
        </w:rPr>
        <w:t xml:space="preserve"> made pursuant to the regulation</w:t>
      </w:r>
      <w:r w:rsidRPr="00F07EB2" w:rsidR="00F07EB2">
        <w:rPr>
          <w:b w:val="0"/>
          <w:bCs w:val="0"/>
          <w:sz w:val="24"/>
        </w:rPr>
        <w:t>.</w:t>
      </w:r>
    </w:p>
    <w:p w:rsidR="00D54D7C" w:rsidRPr="00D54D7C" w:rsidP="00D54D7C" w14:paraId="4B011F2A" w14:textId="77777777">
      <w:pPr>
        <w:widowControl/>
        <w:autoSpaceDE/>
        <w:autoSpaceDN/>
        <w:adjustRightInd/>
        <w:rPr>
          <w:b w:val="0"/>
          <w:bCs w:val="0"/>
          <w:sz w:val="24"/>
        </w:rPr>
      </w:pPr>
    </w:p>
    <w:p w:rsidR="00D54D7C" w:rsidRPr="00AD6FB0" w:rsidP="00AD6FB0" w14:paraId="051578BC" w14:textId="18878C87">
      <w:pPr>
        <w:pStyle w:val="ListParagraph"/>
        <w:widowControl/>
        <w:numPr>
          <w:ilvl w:val="0"/>
          <w:numId w:val="46"/>
        </w:numPr>
        <w:autoSpaceDE/>
        <w:autoSpaceDN/>
        <w:adjustRightInd/>
        <w:rPr>
          <w:bCs w:val="0"/>
          <w:sz w:val="24"/>
          <w:u w:val="single"/>
        </w:rPr>
      </w:pPr>
      <w:r w:rsidRPr="00AD6FB0">
        <w:rPr>
          <w:bCs w:val="0"/>
          <w:sz w:val="24"/>
          <w:u w:val="single"/>
        </w:rPr>
        <w:t>Innocent Fiduciary Exemption</w:t>
      </w:r>
    </w:p>
    <w:p w:rsidR="00D54D7C" w:rsidRPr="00D54D7C" w:rsidP="00D54D7C" w14:paraId="23C57C0C" w14:textId="77777777">
      <w:pPr>
        <w:widowControl/>
        <w:autoSpaceDE/>
        <w:autoSpaceDN/>
        <w:adjustRightInd/>
        <w:ind w:left="1080"/>
        <w:contextualSpacing/>
        <w:rPr>
          <w:b w:val="0"/>
          <w:i/>
          <w:iCs/>
          <w:sz w:val="24"/>
        </w:rPr>
      </w:pPr>
    </w:p>
    <w:p w:rsidR="00167778" w:rsidP="00BB08A8" w14:paraId="69AE225E" w14:textId="02829857">
      <w:pPr>
        <w:widowControl/>
        <w:autoSpaceDE/>
        <w:autoSpaceDN/>
        <w:adjustRightInd/>
        <w:ind w:left="720"/>
        <w:rPr>
          <w:b w:val="0"/>
          <w:bCs w:val="0"/>
          <w:sz w:val="24"/>
        </w:rPr>
      </w:pPr>
      <w:r w:rsidRPr="00D54D7C">
        <w:rPr>
          <w:b w:val="0"/>
          <w:bCs w:val="0"/>
          <w:sz w:val="24"/>
        </w:rPr>
        <w:t xml:space="preserve">The </w:t>
      </w:r>
      <w:r w:rsidR="0060437C">
        <w:rPr>
          <w:b w:val="0"/>
          <w:bCs w:val="0"/>
          <w:sz w:val="24"/>
        </w:rPr>
        <w:t xml:space="preserve">final rule </w:t>
      </w:r>
      <w:r w:rsidRPr="00D54D7C">
        <w:rPr>
          <w:b w:val="0"/>
          <w:bCs w:val="0"/>
          <w:sz w:val="24"/>
        </w:rPr>
        <w:t xml:space="preserve">also includes special relief – in the form of a prohibited transaction exemption from the restrictions of ERISA section 406(a)(1)(C) and (D) – for a responsible plan fiduciary where the covered service provider fails to meet </w:t>
      </w:r>
      <w:r w:rsidR="00D42DA0">
        <w:rPr>
          <w:b w:val="0"/>
          <w:bCs w:val="0"/>
          <w:sz w:val="24"/>
        </w:rPr>
        <w:t>obligations</w:t>
      </w:r>
      <w:r w:rsidRPr="00D54D7C">
        <w:rPr>
          <w:b w:val="0"/>
          <w:bCs w:val="0"/>
          <w:sz w:val="24"/>
        </w:rPr>
        <w:t xml:space="preserve"> set forth in the </w:t>
      </w:r>
      <w:r w:rsidR="00BA2D2F">
        <w:rPr>
          <w:b w:val="0"/>
          <w:bCs w:val="0"/>
          <w:sz w:val="24"/>
        </w:rPr>
        <w:t>final</w:t>
      </w:r>
      <w:r w:rsidRPr="00D54D7C">
        <w:rPr>
          <w:b w:val="0"/>
          <w:bCs w:val="0"/>
          <w:sz w:val="24"/>
        </w:rPr>
        <w:t xml:space="preserve"> regulation, if certain conditions are met.</w:t>
      </w:r>
      <w:r w:rsidR="002409B6">
        <w:rPr>
          <w:b w:val="0"/>
          <w:bCs w:val="0"/>
          <w:sz w:val="24"/>
        </w:rPr>
        <w:t xml:space="preserve"> </w:t>
      </w:r>
      <w:r w:rsidRPr="002409B6" w:rsidR="002409B6">
        <w:rPr>
          <w:b w:val="0"/>
          <w:bCs w:val="0"/>
          <w:sz w:val="24"/>
        </w:rPr>
        <w:t>See 29 CFR 2550.408b-22(n)(1).</w:t>
      </w:r>
      <w:r w:rsidR="00F96911">
        <w:rPr>
          <w:sz w:val="24"/>
        </w:rPr>
        <w:t xml:space="preserve"> </w:t>
      </w:r>
      <w:r w:rsidRPr="00D54D7C">
        <w:rPr>
          <w:b w:val="0"/>
          <w:bCs w:val="0"/>
          <w:sz w:val="24"/>
        </w:rPr>
        <w:t xml:space="preserve">Otherwise, the </w:t>
      </w:r>
      <w:r w:rsidR="00F47060">
        <w:rPr>
          <w:b w:val="0"/>
          <w:bCs w:val="0"/>
          <w:sz w:val="24"/>
        </w:rPr>
        <w:t>final rule</w:t>
      </w:r>
      <w:r w:rsidRPr="00D54D7C">
        <w:rPr>
          <w:b w:val="0"/>
          <w:bCs w:val="0"/>
          <w:sz w:val="24"/>
        </w:rPr>
        <w:t xml:space="preserve"> could inadvertently </w:t>
      </w:r>
      <w:r w:rsidR="00010802">
        <w:rPr>
          <w:b w:val="0"/>
          <w:bCs w:val="0"/>
          <w:sz w:val="24"/>
        </w:rPr>
        <w:t>impose</w:t>
      </w:r>
      <w:r w:rsidRPr="00D54D7C" w:rsidR="00010802">
        <w:rPr>
          <w:b w:val="0"/>
          <w:bCs w:val="0"/>
          <w:sz w:val="24"/>
        </w:rPr>
        <w:t xml:space="preserve"> </w:t>
      </w:r>
      <w:r w:rsidRPr="00D54D7C">
        <w:rPr>
          <w:b w:val="0"/>
          <w:bCs w:val="0"/>
          <w:sz w:val="24"/>
        </w:rPr>
        <w:t xml:space="preserve">harm on </w:t>
      </w:r>
      <w:r w:rsidR="00D42DA0">
        <w:rPr>
          <w:b w:val="0"/>
          <w:bCs w:val="0"/>
          <w:sz w:val="24"/>
        </w:rPr>
        <w:t>responsible plan fiduciaries for failures outside of their control</w:t>
      </w:r>
      <w:r w:rsidRPr="00D54D7C">
        <w:rPr>
          <w:b w:val="0"/>
          <w:bCs w:val="0"/>
          <w:sz w:val="24"/>
        </w:rPr>
        <w:t xml:space="preserve">. </w:t>
      </w:r>
    </w:p>
    <w:p w:rsidR="00167778" w:rsidP="00BB08A8" w14:paraId="315DF41A" w14:textId="77777777">
      <w:pPr>
        <w:widowControl/>
        <w:autoSpaceDE/>
        <w:autoSpaceDN/>
        <w:adjustRightInd/>
        <w:ind w:left="720"/>
        <w:rPr>
          <w:b w:val="0"/>
          <w:bCs w:val="0"/>
          <w:sz w:val="24"/>
        </w:rPr>
      </w:pPr>
    </w:p>
    <w:p w:rsidR="00AE697B" w:rsidP="00BB08A8" w14:paraId="5B69618F" w14:textId="5BB5FC68">
      <w:pPr>
        <w:widowControl/>
        <w:autoSpaceDE/>
        <w:autoSpaceDN/>
        <w:adjustRightInd/>
        <w:ind w:left="720"/>
        <w:rPr>
          <w:b w:val="0"/>
          <w:bCs w:val="0"/>
          <w:sz w:val="24"/>
        </w:rPr>
      </w:pPr>
      <w:r w:rsidRPr="00AB5671">
        <w:rPr>
          <w:b w:val="0"/>
          <w:bCs w:val="0"/>
          <w:sz w:val="24"/>
        </w:rPr>
        <w:t xml:space="preserve">Upon discovering a failure, the responsible plan fiduciary must request in writing that the covered service provider correct the failure. If the covered service provider refuses to correct the failure or fails to do so within 90 calendar days of the written request, the </w:t>
      </w:r>
      <w:r w:rsidRPr="00AB5671">
        <w:rPr>
          <w:b w:val="0"/>
          <w:bCs w:val="0"/>
          <w:sz w:val="24"/>
        </w:rPr>
        <w:t>responsible plan fiduciary</w:t>
      </w:r>
      <w:r w:rsidRPr="00AB5671">
        <w:rPr>
          <w:b w:val="0"/>
          <w:bCs w:val="0"/>
          <w:sz w:val="24"/>
        </w:rPr>
        <w:t xml:space="preserve"> must notify the Secretary. The notice must identify the covered plan, plan sponsor, responsible plan fiduciary, and covered service provider; describe the services provided and the covered service provider’s failure; identify the date corrective action was requested; and state whether the covered service provider continues to provide services to the plan. The notice must be filed with the Department no later than 30 </w:t>
      </w:r>
      <w:r w:rsidRPr="00AB5671">
        <w:rPr>
          <w:b w:val="0"/>
          <w:bCs w:val="0"/>
          <w:sz w:val="24"/>
        </w:rPr>
        <w:t>calendar days following the earlier of the covered service provider’s refusal to correct the failure or 90 calendar days after the written request was made. See 29 CFR 2550.408b-22(n)(1)(ii)–(iii), (n)(2)</w:t>
      </w:r>
      <w:r w:rsidRPr="00AB5671">
        <w:rPr>
          <w:b w:val="0"/>
          <w:bCs w:val="0"/>
          <w:sz w:val="24"/>
        </w:rPr>
        <w:t>–(</w:t>
      </w:r>
      <w:r w:rsidRPr="00AB5671">
        <w:rPr>
          <w:b w:val="0"/>
          <w:bCs w:val="0"/>
          <w:sz w:val="24"/>
        </w:rPr>
        <w:t>4)</w:t>
      </w:r>
      <w:r w:rsidR="00102C4A">
        <w:rPr>
          <w:b w:val="0"/>
          <w:bCs w:val="0"/>
          <w:sz w:val="24"/>
        </w:rPr>
        <w:t xml:space="preserve"> for content and </w:t>
      </w:r>
      <w:r w:rsidR="00D5277B">
        <w:rPr>
          <w:b w:val="0"/>
          <w:bCs w:val="0"/>
          <w:sz w:val="24"/>
        </w:rPr>
        <w:t>filing requirements</w:t>
      </w:r>
      <w:r w:rsidRPr="00AB5671">
        <w:rPr>
          <w:b w:val="0"/>
          <w:bCs w:val="0"/>
          <w:sz w:val="24"/>
        </w:rPr>
        <w:t>.</w:t>
      </w:r>
      <w:r>
        <w:rPr>
          <w:b w:val="0"/>
          <w:bCs w:val="0"/>
          <w:sz w:val="24"/>
        </w:rPr>
        <w:t xml:space="preserve"> </w:t>
      </w:r>
    </w:p>
    <w:p w:rsidR="00AE697B" w:rsidP="00BB08A8" w14:paraId="1A650CF4" w14:textId="77777777">
      <w:pPr>
        <w:widowControl/>
        <w:autoSpaceDE/>
        <w:autoSpaceDN/>
        <w:adjustRightInd/>
        <w:ind w:left="720"/>
        <w:rPr>
          <w:b w:val="0"/>
          <w:bCs w:val="0"/>
          <w:sz w:val="24"/>
        </w:rPr>
      </w:pPr>
    </w:p>
    <w:p w:rsidR="00D54D7C" w:rsidRPr="00AE697B" w:rsidP="00BB08A8" w14:paraId="2B8D2F5A" w14:textId="0F1E0636">
      <w:pPr>
        <w:widowControl/>
        <w:autoSpaceDE/>
        <w:autoSpaceDN/>
        <w:adjustRightInd/>
        <w:ind w:left="720"/>
        <w:rPr>
          <w:b w:val="0"/>
          <w:bCs w:val="0"/>
          <w:sz w:val="24"/>
        </w:rPr>
      </w:pPr>
      <w:r>
        <w:rPr>
          <w:b w:val="0"/>
          <w:bCs w:val="0"/>
          <w:sz w:val="24"/>
        </w:rPr>
        <w:t>T</w:t>
      </w:r>
      <w:r w:rsidR="00AB5671">
        <w:rPr>
          <w:b w:val="0"/>
          <w:bCs w:val="0"/>
          <w:sz w:val="24"/>
        </w:rPr>
        <w:t xml:space="preserve">he </w:t>
      </w:r>
      <w:r w:rsidR="00AB5671">
        <w:rPr>
          <w:b w:val="0"/>
          <w:bCs w:val="0"/>
          <w:sz w:val="24"/>
        </w:rPr>
        <w:t>responsible</w:t>
      </w:r>
      <w:r w:rsidR="00313B19">
        <w:rPr>
          <w:b w:val="0"/>
          <w:bCs w:val="0"/>
          <w:sz w:val="24"/>
        </w:rPr>
        <w:t xml:space="preserve"> plan</w:t>
      </w:r>
      <w:r w:rsidR="00AB5671">
        <w:rPr>
          <w:b w:val="0"/>
          <w:bCs w:val="0"/>
          <w:sz w:val="24"/>
        </w:rPr>
        <w:t xml:space="preserve"> fiduciary</w:t>
      </w:r>
      <w:r w:rsidR="00AB5671">
        <w:rPr>
          <w:b w:val="0"/>
          <w:bCs w:val="0"/>
          <w:sz w:val="24"/>
        </w:rPr>
        <w:t xml:space="preserve"> </w:t>
      </w:r>
      <w:r w:rsidRPr="00D54D7C" w:rsidR="001B4047">
        <w:rPr>
          <w:b w:val="0"/>
          <w:bCs w:val="0"/>
          <w:sz w:val="24"/>
        </w:rPr>
        <w:t>must assess whether to terminate or continue the contract or arrangement consistent with the duty of prudence under section 404 of ERISA</w:t>
      </w:r>
      <w:r>
        <w:rPr>
          <w:b w:val="0"/>
          <w:bCs w:val="0"/>
          <w:sz w:val="24"/>
        </w:rPr>
        <w:t xml:space="preserve"> </w:t>
      </w:r>
      <w:r w:rsidRPr="00F96911">
        <w:rPr>
          <w:b w:val="0"/>
          <w:bCs w:val="0"/>
          <w:sz w:val="24"/>
        </w:rPr>
        <w:t>and document the basis for that determination. See 29 CFR 2550.408b-22(n)(5).</w:t>
      </w:r>
    </w:p>
    <w:p w:rsidR="00D54D7C" w:rsidP="00A513F6" w14:paraId="56A270E1" w14:textId="77777777">
      <w:pPr>
        <w:pStyle w:val="Quick1"/>
        <w:widowControl/>
        <w:numPr>
          <w:ilvl w:val="0"/>
          <w:numId w:val="0"/>
        </w:numPr>
        <w:ind w:left="720" w:hanging="720"/>
        <w:rPr>
          <w:b w:val="0"/>
          <w:sz w:val="24"/>
          <w:szCs w:val="24"/>
        </w:rPr>
      </w:pPr>
    </w:p>
    <w:p w:rsidR="00CD45ED" w:rsidRPr="00C04CDD" w:rsidP="0057004B" w14:paraId="6BDA09A6" w14:textId="3DA8C6D2">
      <w:pPr>
        <w:pStyle w:val="Heading1"/>
        <w:numPr>
          <w:ilvl w:val="0"/>
          <w:numId w:val="37"/>
        </w:numPr>
      </w:pPr>
      <w:r w:rsidRPr="00CD45ED">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CD45ED">
        <w:t>for adopting</w:t>
      </w:r>
      <w:r w:rsidRPr="00CD45ED">
        <w:t xml:space="preserve"> this means of collection. Also describe any consideration for using information technology to reduce burden.</w:t>
      </w:r>
    </w:p>
    <w:p w:rsidR="00CD45ED" w:rsidRPr="00CD45ED" w:rsidP="00CD45ED" w14:paraId="26B10E0E" w14:textId="77777777">
      <w:pPr>
        <w:widowControl/>
        <w:ind w:left="720"/>
        <w:rPr>
          <w:b w:val="0"/>
          <w:bCs w:val="0"/>
          <w:sz w:val="24"/>
          <w:szCs w:val="24"/>
        </w:rPr>
      </w:pPr>
    </w:p>
    <w:p w:rsidR="00CD45ED" w:rsidP="00CD45ED" w14:paraId="71750686" w14:textId="4445ECE1">
      <w:pPr>
        <w:widowControl/>
        <w:ind w:left="720"/>
        <w:rPr>
          <w:b w:val="0"/>
          <w:bCs w:val="0"/>
          <w:sz w:val="24"/>
          <w:szCs w:val="24"/>
        </w:rPr>
      </w:pPr>
      <w:r w:rsidRPr="00CD45ED">
        <w:rPr>
          <w:b w:val="0"/>
          <w:bCs w:val="0"/>
          <w:sz w:val="24"/>
          <w:szCs w:val="24"/>
        </w:rPr>
        <w:t xml:space="preserve">Section 2520.104b-1(c) </w:t>
      </w:r>
      <w:r w:rsidR="00B101D9">
        <w:rPr>
          <w:b w:val="0"/>
          <w:bCs w:val="0"/>
          <w:sz w:val="24"/>
          <w:szCs w:val="24"/>
        </w:rPr>
        <w:t xml:space="preserve">sets </w:t>
      </w:r>
      <w:r w:rsidR="00B101D9">
        <w:rPr>
          <w:b w:val="0"/>
          <w:bCs w:val="0"/>
          <w:sz w:val="24"/>
          <w:szCs w:val="24"/>
        </w:rPr>
        <w:t>forth</w:t>
      </w:r>
      <w:r w:rsidR="00B101D9">
        <w:rPr>
          <w:b w:val="0"/>
          <w:bCs w:val="0"/>
          <w:sz w:val="24"/>
          <w:szCs w:val="24"/>
        </w:rPr>
        <w:t xml:space="preserve"> conditions under</w:t>
      </w:r>
      <w:r w:rsidRPr="00CD45ED">
        <w:rPr>
          <w:b w:val="0"/>
          <w:bCs w:val="0"/>
          <w:sz w:val="24"/>
          <w:szCs w:val="24"/>
        </w:rPr>
        <w:t xml:space="preserve"> which disclosures under Title I of ERISA made through electronic media will be deemed to satisfy the requirement of § 2520.104b-1(b). Section 2520-107-1 establishes standards concerning the use of electronic media for maintenance and retention of records. Under these rules, all pension and welfare plans covered under Title I of ERISA may use electronic media to satisfy disclosure and recordkeeping obligations, subject to specific safeguards.</w:t>
      </w:r>
    </w:p>
    <w:p w:rsidR="00E46327" w:rsidP="00CD45ED" w14:paraId="0E0EDD5C" w14:textId="77777777">
      <w:pPr>
        <w:widowControl/>
        <w:ind w:left="720"/>
        <w:rPr>
          <w:b w:val="0"/>
          <w:bCs w:val="0"/>
          <w:sz w:val="24"/>
          <w:szCs w:val="24"/>
        </w:rPr>
      </w:pPr>
    </w:p>
    <w:p w:rsidR="00E46327" w:rsidRPr="00CD45ED" w:rsidP="00CD45ED" w14:paraId="2EE8FC02" w14:textId="620A40DE">
      <w:pPr>
        <w:widowControl/>
        <w:ind w:left="720"/>
        <w:rPr>
          <w:b w:val="0"/>
          <w:bCs w:val="0"/>
          <w:sz w:val="24"/>
          <w:szCs w:val="24"/>
        </w:rPr>
      </w:pPr>
      <w:r w:rsidRPr="00E46327">
        <w:rPr>
          <w:b w:val="0"/>
          <w:bCs w:val="0"/>
          <w:sz w:val="24"/>
          <w:szCs w:val="24"/>
        </w:rPr>
        <w:t xml:space="preserve">The use of electronic methods of compliance is neither required nor precluded in this information collection. The Department has assumed that the information collection requirements will be </w:t>
      </w:r>
      <w:r w:rsidRPr="00E46327">
        <w:rPr>
          <w:b w:val="0"/>
          <w:bCs w:val="0"/>
          <w:sz w:val="24"/>
          <w:szCs w:val="24"/>
        </w:rPr>
        <w:t>performed</w:t>
      </w:r>
      <w:r w:rsidRPr="00E46327">
        <w:rPr>
          <w:b w:val="0"/>
          <w:bCs w:val="0"/>
          <w:sz w:val="24"/>
          <w:szCs w:val="24"/>
        </w:rPr>
        <w:t xml:space="preserve"> by sophisticated financial entities</w:t>
      </w:r>
      <w:r w:rsidR="00710075">
        <w:rPr>
          <w:b w:val="0"/>
          <w:bCs w:val="0"/>
          <w:sz w:val="24"/>
          <w:szCs w:val="24"/>
        </w:rPr>
        <w:t>.</w:t>
      </w:r>
      <w:r w:rsidRPr="00E46327">
        <w:rPr>
          <w:b w:val="0"/>
          <w:bCs w:val="0"/>
          <w:sz w:val="24"/>
          <w:szCs w:val="24"/>
        </w:rPr>
        <w:t xml:space="preserve"> These entities </w:t>
      </w:r>
      <w:r w:rsidR="00710075">
        <w:rPr>
          <w:b w:val="0"/>
          <w:bCs w:val="0"/>
          <w:sz w:val="24"/>
          <w:szCs w:val="24"/>
        </w:rPr>
        <w:t xml:space="preserve">will </w:t>
      </w:r>
      <w:r w:rsidRPr="00E46327">
        <w:rPr>
          <w:b w:val="0"/>
          <w:bCs w:val="0"/>
          <w:sz w:val="24"/>
          <w:szCs w:val="24"/>
        </w:rPr>
        <w:t xml:space="preserve">generally comply with disclosure requirements by electronic means. </w:t>
      </w:r>
    </w:p>
    <w:p w:rsidR="00CD45ED" w:rsidP="00CD45ED" w14:paraId="318841E9" w14:textId="77777777">
      <w:pPr>
        <w:widowControl/>
        <w:ind w:left="720"/>
      </w:pPr>
    </w:p>
    <w:p w:rsidR="00214214" w:rsidRPr="00B22B09" w:rsidP="002A5B00" w14:paraId="0B060967" w14:textId="0BBDD403">
      <w:pPr>
        <w:widowControl/>
        <w:ind w:left="720"/>
        <w:rPr>
          <w:b w:val="0"/>
          <w:bCs w:val="0"/>
          <w:sz w:val="24"/>
          <w:szCs w:val="24"/>
        </w:rPr>
      </w:pPr>
      <w:r w:rsidRPr="00B22B09">
        <w:rPr>
          <w:b w:val="0"/>
          <w:bCs w:val="0"/>
          <w:sz w:val="24"/>
          <w:szCs w:val="24"/>
        </w:rPr>
        <w:t>The</w:t>
      </w:r>
      <w:r w:rsidR="00B575E1">
        <w:rPr>
          <w:b w:val="0"/>
          <w:bCs w:val="0"/>
          <w:sz w:val="24"/>
          <w:szCs w:val="24"/>
        </w:rPr>
        <w:t xml:space="preserve"> </w:t>
      </w:r>
      <w:r w:rsidR="00BA2D2F">
        <w:rPr>
          <w:b w:val="0"/>
          <w:bCs w:val="0"/>
          <w:sz w:val="24"/>
          <w:szCs w:val="24"/>
        </w:rPr>
        <w:t>final</w:t>
      </w:r>
      <w:r w:rsidR="00B575E1">
        <w:rPr>
          <w:b w:val="0"/>
          <w:bCs w:val="0"/>
          <w:sz w:val="24"/>
          <w:szCs w:val="24"/>
        </w:rPr>
        <w:t xml:space="preserve"> rule</w:t>
      </w:r>
      <w:r w:rsidRPr="00B22B09">
        <w:rPr>
          <w:b w:val="0"/>
          <w:bCs w:val="0"/>
          <w:sz w:val="24"/>
          <w:szCs w:val="24"/>
        </w:rPr>
        <w:t xml:space="preserve"> and accompanying class exemption does not limit the ability of covered service providers to furnish information required by the regulation to responsible plan fiduciaries via electronic media. </w:t>
      </w:r>
      <w:r w:rsidR="00981B46">
        <w:rPr>
          <w:b w:val="0"/>
          <w:bCs w:val="0"/>
          <w:sz w:val="24"/>
          <w:szCs w:val="24"/>
        </w:rPr>
        <w:t>In addition</w:t>
      </w:r>
      <w:r w:rsidR="002A5B00">
        <w:rPr>
          <w:b w:val="0"/>
          <w:bCs w:val="0"/>
          <w:sz w:val="24"/>
          <w:szCs w:val="24"/>
        </w:rPr>
        <w:t>, t</w:t>
      </w:r>
      <w:r w:rsidRPr="002A5B00" w:rsidR="002A5B00">
        <w:rPr>
          <w:b w:val="0"/>
          <w:bCs w:val="0"/>
          <w:sz w:val="24"/>
          <w:szCs w:val="24"/>
        </w:rPr>
        <w:t xml:space="preserve">he </w:t>
      </w:r>
      <w:r w:rsidR="00BA2D2F">
        <w:rPr>
          <w:b w:val="0"/>
          <w:bCs w:val="0"/>
          <w:sz w:val="24"/>
          <w:szCs w:val="24"/>
        </w:rPr>
        <w:t>final</w:t>
      </w:r>
      <w:r w:rsidRPr="002A5B00" w:rsidR="002A5B00">
        <w:rPr>
          <w:b w:val="0"/>
          <w:bCs w:val="0"/>
          <w:sz w:val="24"/>
          <w:szCs w:val="24"/>
        </w:rPr>
        <w:t xml:space="preserve"> regulation provides that upon request of a responsible plan fiduciary of a self-insured group health plan, descriptions of compensation must also be provided, within a reasonable time after such request, in a machine-readable file. For this purpose, the </w:t>
      </w:r>
      <w:r w:rsidR="00F74DE3">
        <w:rPr>
          <w:b w:val="0"/>
          <w:bCs w:val="0"/>
          <w:sz w:val="24"/>
          <w:szCs w:val="24"/>
        </w:rPr>
        <w:t>final rule</w:t>
      </w:r>
      <w:r w:rsidRPr="002A5B00" w:rsidR="002A5B00">
        <w:rPr>
          <w:b w:val="0"/>
          <w:bCs w:val="0"/>
          <w:sz w:val="24"/>
          <w:szCs w:val="24"/>
        </w:rPr>
        <w:t xml:space="preserve"> provides that “machine-readable file” means a digital representation of data or information in a file that can be imported or read by a computer system for further processing without human intervention, while ensuring no semantic meaning is lost. This requirement of the </w:t>
      </w:r>
      <w:r w:rsidR="00F74DE3">
        <w:rPr>
          <w:b w:val="0"/>
          <w:bCs w:val="0"/>
          <w:sz w:val="24"/>
          <w:szCs w:val="24"/>
        </w:rPr>
        <w:t>final rule</w:t>
      </w:r>
      <w:r w:rsidRPr="002A5B00" w:rsidR="002A5B00">
        <w:rPr>
          <w:b w:val="0"/>
          <w:bCs w:val="0"/>
          <w:sz w:val="24"/>
          <w:szCs w:val="24"/>
        </w:rPr>
        <w:t xml:space="preserve"> is designed to ensure that a responsible plan fiduciary can obtain information in this format if the responsible plan fiduciary determines that this will aid in its evaluation of the reasonableness of the contract or arrangement.</w:t>
      </w:r>
    </w:p>
    <w:p w:rsidR="00214214" w:rsidP="002D6113" w14:paraId="774831AB" w14:textId="77777777">
      <w:pPr>
        <w:widowControl/>
        <w:tabs>
          <w:tab w:val="left" w:pos="-1440"/>
        </w:tabs>
        <w:ind w:left="720" w:hanging="720"/>
        <w:rPr>
          <w:bCs w:val="0"/>
          <w:sz w:val="24"/>
          <w:szCs w:val="24"/>
        </w:rPr>
      </w:pPr>
    </w:p>
    <w:p w:rsidR="00B34F3B" w:rsidP="0057004B" w14:paraId="6C82D398" w14:textId="4A8D74A3">
      <w:pPr>
        <w:pStyle w:val="Heading1"/>
        <w:numPr>
          <w:ilvl w:val="0"/>
          <w:numId w:val="37"/>
        </w:numPr>
      </w:pPr>
      <w:r w:rsidRPr="00C20D2D">
        <w:t>Describe efforts to identify duplication.</w:t>
      </w:r>
      <w:r w:rsidR="00D309FC">
        <w:t xml:space="preserve"> </w:t>
      </w:r>
      <w:r w:rsidRPr="00C20D2D" w:rsidR="00540514">
        <w:t>Show specifically why any similar information already available cannot be used or modified for use for the purposes described in Item 2 above.</w:t>
      </w:r>
    </w:p>
    <w:p w:rsidR="002D6113" w:rsidRPr="002D6113" w:rsidP="002D6113" w14:paraId="342EBA10" w14:textId="77777777">
      <w:pPr>
        <w:widowControl/>
        <w:ind w:left="720"/>
        <w:rPr>
          <w:b w:val="0"/>
          <w:bCs w:val="0"/>
          <w:sz w:val="24"/>
          <w:szCs w:val="24"/>
        </w:rPr>
      </w:pPr>
    </w:p>
    <w:p w:rsidR="00380D0F" w:rsidRPr="002D6113" w:rsidP="002D6113" w14:paraId="51135C4A" w14:textId="57FB5109">
      <w:pPr>
        <w:widowControl/>
        <w:ind w:left="720"/>
        <w:rPr>
          <w:b w:val="0"/>
          <w:bCs w:val="0"/>
          <w:sz w:val="24"/>
          <w:szCs w:val="24"/>
        </w:rPr>
      </w:pPr>
      <w:r w:rsidRPr="002D6113">
        <w:rPr>
          <w:b w:val="0"/>
          <w:bCs w:val="0"/>
          <w:sz w:val="24"/>
          <w:szCs w:val="24"/>
        </w:rPr>
        <w:t xml:space="preserve">No duplication with other Federal statutes exists. In some circumstances, </w:t>
      </w:r>
      <w:r w:rsidRPr="006871C0" w:rsidR="006871C0">
        <w:rPr>
          <w:b w:val="0"/>
          <w:bCs w:val="0"/>
          <w:sz w:val="24"/>
          <w:szCs w:val="24"/>
        </w:rPr>
        <w:t xml:space="preserve">several states have adopted disclosures requirements for PBMs regarding elements included in this </w:t>
      </w:r>
      <w:r w:rsidR="00BA2D2F">
        <w:rPr>
          <w:b w:val="0"/>
          <w:bCs w:val="0"/>
          <w:sz w:val="24"/>
          <w:szCs w:val="24"/>
        </w:rPr>
        <w:t>final</w:t>
      </w:r>
      <w:r w:rsidRPr="006871C0" w:rsidR="006871C0">
        <w:rPr>
          <w:b w:val="0"/>
          <w:bCs w:val="0"/>
          <w:sz w:val="24"/>
          <w:szCs w:val="24"/>
        </w:rPr>
        <w:t xml:space="preserve"> rule, including rebate payments, spread pricing and drug prices.</w:t>
      </w:r>
      <w:r>
        <w:rPr>
          <w:b w:val="0"/>
          <w:bCs w:val="0"/>
          <w:sz w:val="24"/>
          <w:szCs w:val="24"/>
          <w:vertAlign w:val="superscript"/>
        </w:rPr>
        <w:footnoteReference w:id="14"/>
      </w:r>
      <w:r w:rsidRPr="002D6113">
        <w:rPr>
          <w:b w:val="0"/>
          <w:bCs w:val="0"/>
          <w:sz w:val="24"/>
          <w:szCs w:val="24"/>
        </w:rPr>
        <w:t xml:space="preserve"> However, no duplication occurs because the same information disclosure may be used to satisfy duplicative or overlapping requirements.</w:t>
      </w:r>
    </w:p>
    <w:p w:rsidR="002D6113" w:rsidRPr="002D6113" w:rsidP="002D6113" w14:paraId="406FD80E" w14:textId="77777777">
      <w:pPr>
        <w:widowControl/>
        <w:ind w:left="720"/>
      </w:pPr>
    </w:p>
    <w:p w:rsidR="008611BC" w:rsidP="0057004B" w14:paraId="2C5255B6" w14:textId="6A0B963A">
      <w:pPr>
        <w:pStyle w:val="Heading1"/>
        <w:numPr>
          <w:ilvl w:val="0"/>
          <w:numId w:val="37"/>
        </w:numPr>
      </w:pPr>
      <w:r w:rsidRPr="00C20D2D">
        <w:t>If the collection of information impacts small businesses or other small en</w:t>
      </w:r>
      <w:r>
        <w:t>tities</w:t>
      </w:r>
      <w:r w:rsidRPr="00C20D2D">
        <w:t>, describe any methods used to minimize burden.</w:t>
      </w:r>
    </w:p>
    <w:p w:rsidR="003151BF" w:rsidP="003151BF" w14:paraId="0C9B1431" w14:textId="77777777">
      <w:pPr>
        <w:ind w:left="720"/>
        <w:rPr>
          <w:b w:val="0"/>
          <w:bCs w:val="0"/>
          <w:color w:val="000000"/>
          <w:sz w:val="24"/>
          <w:szCs w:val="24"/>
        </w:rPr>
      </w:pPr>
    </w:p>
    <w:p w:rsidR="00467A7D" w:rsidP="003151BF" w14:paraId="189130C4" w14:textId="003AC786">
      <w:pPr>
        <w:ind w:left="720"/>
        <w:rPr>
          <w:b w:val="0"/>
          <w:color w:val="000000"/>
          <w:sz w:val="24"/>
          <w:szCs w:val="24"/>
        </w:rPr>
      </w:pPr>
      <w:r w:rsidRPr="003151BF">
        <w:rPr>
          <w:b w:val="0"/>
          <w:bCs w:val="0"/>
          <w:color w:val="000000"/>
          <w:sz w:val="24"/>
          <w:szCs w:val="24"/>
        </w:rPr>
        <w:t xml:space="preserve">The final rule applies only to self-insured group health plans offered by “specified large employers” and self-insured group health plans that are “specified large plans.” The exclusion of small plans from the final rule will likely help small PBMs. While the Department lacks explicit information on the clients of small PBMs, small PBMs </w:t>
      </w:r>
      <w:r w:rsidRPr="003151BF">
        <w:rPr>
          <w:b w:val="0"/>
          <w:bCs w:val="0"/>
          <w:color w:val="000000"/>
          <w:sz w:val="24"/>
          <w:szCs w:val="24"/>
        </w:rPr>
        <w:t>likely have</w:t>
      </w:r>
      <w:r w:rsidRPr="003151BF">
        <w:rPr>
          <w:b w:val="0"/>
          <w:bCs w:val="0"/>
          <w:color w:val="000000"/>
          <w:sz w:val="24"/>
          <w:szCs w:val="24"/>
        </w:rPr>
        <w:t xml:space="preserve"> small plans for which they will not have to provide required disclosures or other items covered by the final rule.</w:t>
      </w:r>
      <w:r>
        <w:rPr>
          <w:b w:val="0"/>
          <w:bCs w:val="0"/>
          <w:color w:val="000000"/>
          <w:sz w:val="24"/>
          <w:szCs w:val="24"/>
          <w:vertAlign w:val="superscript"/>
        </w:rPr>
        <w:footnoteReference w:id="15"/>
      </w:r>
      <w:r w:rsidRPr="003151BF">
        <w:rPr>
          <w:b w:val="0"/>
          <w:bCs w:val="0"/>
          <w:color w:val="000000"/>
          <w:sz w:val="24"/>
          <w:szCs w:val="24"/>
        </w:rPr>
        <w:t xml:space="preserve">  </w:t>
      </w:r>
    </w:p>
    <w:p w:rsidR="003151BF" w:rsidRPr="003151BF" w:rsidP="003151BF" w14:paraId="106144BF" w14:textId="77777777">
      <w:pPr>
        <w:ind w:left="720"/>
        <w:rPr>
          <w:b w:val="0"/>
          <w:bCs w:val="0"/>
          <w:sz w:val="24"/>
          <w:szCs w:val="24"/>
        </w:rPr>
      </w:pPr>
    </w:p>
    <w:p w:rsidR="00D914C7" w:rsidP="0057004B" w14:paraId="273292D1" w14:textId="6B63C774">
      <w:pPr>
        <w:pStyle w:val="Heading1"/>
        <w:numPr>
          <w:ilvl w:val="0"/>
          <w:numId w:val="37"/>
        </w:numPr>
      </w:pPr>
      <w:r w:rsidRPr="00C20D2D">
        <w:t xml:space="preserve">Describe the </w:t>
      </w:r>
      <w:r w:rsidRPr="00C20D2D">
        <w:t>consequence</w:t>
      </w:r>
      <w:r w:rsidRPr="00C20D2D">
        <w:t xml:space="preserve"> </w:t>
      </w:r>
      <w:r w:rsidRPr="00C20D2D">
        <w:t>to</w:t>
      </w:r>
      <w:r w:rsidRPr="00C20D2D">
        <w:t xml:space="preserve"> Federal program or policy activities if the collection is not conducted or is conducted less frequently, as well as any technical or legal obstacles to reducing burden.</w:t>
      </w:r>
    </w:p>
    <w:p w:rsidR="00D914C7" w:rsidRPr="00D914C7" w:rsidP="00D914C7" w14:paraId="70B1B160" w14:textId="77777777">
      <w:pPr>
        <w:widowControl/>
        <w:tabs>
          <w:tab w:val="left" w:pos="-1440"/>
        </w:tabs>
        <w:ind w:left="1440" w:hanging="720"/>
        <w:rPr>
          <w:bCs w:val="0"/>
          <w:iCs/>
          <w:sz w:val="24"/>
          <w:szCs w:val="24"/>
        </w:rPr>
      </w:pPr>
    </w:p>
    <w:p w:rsidR="00D914C7" w:rsidRPr="00D914C7" w:rsidP="00D914C7" w14:paraId="5A3729C6" w14:textId="20722EC4">
      <w:pPr>
        <w:widowControl/>
        <w:tabs>
          <w:tab w:val="left" w:pos="-1440"/>
        </w:tabs>
        <w:ind w:left="720"/>
        <w:rPr>
          <w:b w:val="0"/>
          <w:bCs w:val="0"/>
          <w:sz w:val="24"/>
          <w:szCs w:val="24"/>
        </w:rPr>
      </w:pPr>
      <w:r w:rsidRPr="00D914C7">
        <w:rPr>
          <w:b w:val="0"/>
          <w:bCs w:val="0"/>
          <w:sz w:val="24"/>
          <w:szCs w:val="24"/>
        </w:rPr>
        <w:t>The purpose of the</w:t>
      </w:r>
      <w:r w:rsidR="006A7129">
        <w:rPr>
          <w:b w:val="0"/>
          <w:bCs w:val="0"/>
          <w:sz w:val="24"/>
          <w:szCs w:val="24"/>
        </w:rPr>
        <w:t xml:space="preserve"> </w:t>
      </w:r>
      <w:r w:rsidR="00BA2D2F">
        <w:rPr>
          <w:b w:val="0"/>
          <w:bCs w:val="0"/>
          <w:sz w:val="24"/>
          <w:szCs w:val="24"/>
        </w:rPr>
        <w:t>final</w:t>
      </w:r>
      <w:r w:rsidRPr="00D914C7">
        <w:rPr>
          <w:b w:val="0"/>
          <w:bCs w:val="0"/>
          <w:sz w:val="24"/>
          <w:szCs w:val="24"/>
        </w:rPr>
        <w:t xml:space="preserve"> regulation is to ensure that </w:t>
      </w:r>
      <w:r w:rsidR="006A7129">
        <w:rPr>
          <w:b w:val="0"/>
          <w:bCs w:val="0"/>
          <w:sz w:val="24"/>
          <w:szCs w:val="24"/>
        </w:rPr>
        <w:t xml:space="preserve">responsible </w:t>
      </w:r>
      <w:r w:rsidRPr="00D914C7">
        <w:rPr>
          <w:b w:val="0"/>
          <w:bCs w:val="0"/>
          <w:sz w:val="24"/>
          <w:szCs w:val="24"/>
        </w:rPr>
        <w:t xml:space="preserve">plan fiduciaries have sufficient information to evaluate the quality and competitiveness of the fees received by their potential service providers. The enhanced disclosure will increase efficiency and competition in the service provider market, thereby generating benefits to </w:t>
      </w:r>
      <w:r w:rsidR="006A7129">
        <w:rPr>
          <w:b w:val="0"/>
          <w:bCs w:val="0"/>
          <w:sz w:val="24"/>
          <w:szCs w:val="24"/>
        </w:rPr>
        <w:t xml:space="preserve">self-insured group health </w:t>
      </w:r>
      <w:r w:rsidRPr="00D914C7">
        <w:rPr>
          <w:b w:val="0"/>
          <w:bCs w:val="0"/>
          <w:sz w:val="24"/>
          <w:szCs w:val="24"/>
        </w:rPr>
        <w:t>plans and plan participants. These benefits will not be realized if the information is not collected or is collected less frequently.</w:t>
      </w:r>
    </w:p>
    <w:p w:rsidR="004C1B75" w:rsidRPr="0057004B" w:rsidP="0057004B" w14:paraId="331C1339" w14:textId="77777777"/>
    <w:p w:rsidR="001B5409" w:rsidRPr="0057004B" w:rsidP="0057004B" w14:paraId="24C02354" w14:textId="7450666F">
      <w:pPr>
        <w:pStyle w:val="Heading1"/>
        <w:numPr>
          <w:ilvl w:val="0"/>
          <w:numId w:val="37"/>
        </w:numPr>
        <w:rPr>
          <w:iCs/>
        </w:rPr>
      </w:pPr>
      <w:r w:rsidRPr="00C20D2D">
        <w:rPr>
          <w:iCs/>
        </w:rPr>
        <w:t xml:space="preserve">Explain any special circumstances that would cause an information collection to be </w:t>
      </w:r>
      <w:r w:rsidRPr="0057004B">
        <w:rPr>
          <w:iCs/>
        </w:rPr>
        <w:t>conducted in a manner:</w:t>
      </w:r>
    </w:p>
    <w:p w:rsidR="001B5409" w:rsidRPr="00C20D2D" w:rsidP="001B5409" w14:paraId="7A181DE9" w14:textId="77777777">
      <w:pPr>
        <w:widowControl/>
        <w:numPr>
          <w:ilvl w:val="0"/>
          <w:numId w:val="11"/>
        </w:numPr>
        <w:tabs>
          <w:tab w:val="left" w:pos="-1440"/>
        </w:tabs>
        <w:rPr>
          <w:bCs w:val="0"/>
          <w:iCs/>
          <w:sz w:val="24"/>
          <w:szCs w:val="24"/>
        </w:rPr>
      </w:pPr>
      <w:r w:rsidRPr="00C20D2D">
        <w:rPr>
          <w:bCs w:val="0"/>
          <w:iCs/>
          <w:sz w:val="24"/>
          <w:szCs w:val="24"/>
        </w:rPr>
        <w:t>requiring respondents to report information to the agency more often than quarterly;</w:t>
      </w:r>
    </w:p>
    <w:p w:rsidR="001B5409" w:rsidRPr="00C20D2D" w:rsidP="001B5409" w14:paraId="0A407007" w14:textId="77777777">
      <w:pPr>
        <w:widowControl/>
        <w:numPr>
          <w:ilvl w:val="0"/>
          <w:numId w:val="11"/>
        </w:numPr>
        <w:tabs>
          <w:tab w:val="left" w:pos="-1440"/>
        </w:tabs>
        <w:rPr>
          <w:bCs w:val="0"/>
          <w:iCs/>
          <w:sz w:val="24"/>
          <w:szCs w:val="24"/>
        </w:rPr>
      </w:pPr>
      <w:r w:rsidRPr="00C20D2D">
        <w:rPr>
          <w:bCs w:val="0"/>
          <w:iCs/>
          <w:sz w:val="24"/>
          <w:szCs w:val="24"/>
        </w:rPr>
        <w:t>requiring respondents to prepare a written response to a collection of information in fewer than 30 days after receipt of it;</w:t>
      </w:r>
    </w:p>
    <w:p w:rsidR="001B5409" w:rsidRPr="00C20D2D" w:rsidP="001B5409" w14:paraId="65168419" w14:textId="77777777">
      <w:pPr>
        <w:widowControl/>
        <w:numPr>
          <w:ilvl w:val="0"/>
          <w:numId w:val="11"/>
        </w:numPr>
        <w:tabs>
          <w:tab w:val="left" w:pos="-1440"/>
        </w:tabs>
        <w:rPr>
          <w:bCs w:val="0"/>
          <w:iCs/>
          <w:sz w:val="24"/>
          <w:szCs w:val="24"/>
        </w:rPr>
      </w:pPr>
      <w:r w:rsidRPr="00C20D2D">
        <w:rPr>
          <w:bCs w:val="0"/>
          <w:iCs/>
          <w:sz w:val="24"/>
          <w:szCs w:val="24"/>
        </w:rPr>
        <w:t>requiring respondents to submit more than an original and two copies of any document;</w:t>
      </w:r>
    </w:p>
    <w:p w:rsidR="001B5409" w:rsidRPr="00C20D2D" w:rsidP="001B5409" w14:paraId="2BD69ED5" w14:textId="77777777">
      <w:pPr>
        <w:widowControl/>
        <w:numPr>
          <w:ilvl w:val="0"/>
          <w:numId w:val="11"/>
        </w:numPr>
        <w:tabs>
          <w:tab w:val="left" w:pos="-1440"/>
        </w:tabs>
        <w:rPr>
          <w:bCs w:val="0"/>
          <w:iCs/>
          <w:sz w:val="24"/>
          <w:szCs w:val="24"/>
        </w:rPr>
      </w:pPr>
      <w:r w:rsidRPr="00C20D2D">
        <w:rPr>
          <w:bCs w:val="0"/>
          <w:iCs/>
          <w:sz w:val="24"/>
          <w:szCs w:val="24"/>
        </w:rPr>
        <w:t>requiring respondents to retain records, other than health, medical, government contract, grant-in-aid, or tax records for more than three years;</w:t>
      </w:r>
    </w:p>
    <w:p w:rsidR="001B5409" w:rsidRPr="00C20D2D" w:rsidP="001B5409" w14:paraId="63980C7F" w14:textId="77777777">
      <w:pPr>
        <w:widowControl/>
        <w:numPr>
          <w:ilvl w:val="0"/>
          <w:numId w:val="11"/>
        </w:numPr>
        <w:tabs>
          <w:tab w:val="left" w:pos="-1440"/>
        </w:tabs>
        <w:rPr>
          <w:bCs w:val="0"/>
          <w:iCs/>
          <w:sz w:val="24"/>
          <w:szCs w:val="24"/>
        </w:rPr>
      </w:pPr>
      <w:r w:rsidRPr="00C20D2D">
        <w:rPr>
          <w:bCs w:val="0"/>
          <w:iCs/>
          <w:sz w:val="24"/>
          <w:szCs w:val="24"/>
        </w:rPr>
        <w:t>in connection with a statistical survey, that is not designed to produce valid and reliable results that can be generalized to the universe of study;</w:t>
      </w:r>
    </w:p>
    <w:p w:rsidR="001B5409" w:rsidRPr="00C20D2D" w:rsidP="001B5409" w14:paraId="5B244A0A" w14:textId="77777777">
      <w:pPr>
        <w:widowControl/>
        <w:numPr>
          <w:ilvl w:val="0"/>
          <w:numId w:val="11"/>
        </w:numPr>
        <w:tabs>
          <w:tab w:val="left" w:pos="-1440"/>
        </w:tabs>
        <w:rPr>
          <w:bCs w:val="0"/>
          <w:iCs/>
          <w:sz w:val="24"/>
          <w:szCs w:val="24"/>
        </w:rPr>
      </w:pPr>
      <w:r w:rsidRPr="00C20D2D">
        <w:rPr>
          <w:bCs w:val="0"/>
          <w:iCs/>
          <w:sz w:val="24"/>
          <w:szCs w:val="24"/>
        </w:rPr>
        <w:t>requiring the use of a statistical data classification that has not been reviewed and approved by OMB;</w:t>
      </w:r>
    </w:p>
    <w:p w:rsidR="001B5409" w:rsidP="001B5409" w14:paraId="1A393CAC" w14:textId="77777777">
      <w:pPr>
        <w:widowControl/>
        <w:numPr>
          <w:ilvl w:val="0"/>
          <w:numId w:val="11"/>
        </w:numPr>
        <w:tabs>
          <w:tab w:val="left" w:pos="-1440"/>
        </w:tabs>
        <w:rPr>
          <w:bCs w:val="0"/>
          <w:iCs/>
          <w:sz w:val="24"/>
          <w:szCs w:val="24"/>
        </w:rPr>
      </w:pPr>
      <w:r w:rsidRPr="00C20D2D">
        <w:rPr>
          <w:bCs w:val="0"/>
          <w:iCs/>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1B5409" w:rsidP="001B5409" w14:paraId="20D96090" w14:textId="77777777">
      <w:pPr>
        <w:widowControl/>
        <w:numPr>
          <w:ilvl w:val="0"/>
          <w:numId w:val="11"/>
        </w:numPr>
        <w:tabs>
          <w:tab w:val="left" w:pos="-1440"/>
        </w:tabs>
        <w:rPr>
          <w:bCs w:val="0"/>
          <w:iCs/>
          <w:sz w:val="24"/>
          <w:szCs w:val="24"/>
        </w:rPr>
      </w:pPr>
      <w:r w:rsidRPr="00C20D2D">
        <w:rPr>
          <w:bCs w:val="0"/>
          <w:iCs/>
          <w:sz w:val="24"/>
          <w:szCs w:val="24"/>
        </w:rPr>
        <w:t xml:space="preserve">requiring respondents to submit proprietary trade </w:t>
      </w:r>
      <w:r w:rsidRPr="00C20D2D">
        <w:rPr>
          <w:bCs w:val="0"/>
          <w:iCs/>
          <w:sz w:val="24"/>
          <w:szCs w:val="24"/>
        </w:rPr>
        <w:t>secret</w:t>
      </w:r>
      <w:r w:rsidRPr="00C20D2D">
        <w:rPr>
          <w:bCs w:val="0"/>
          <w:iCs/>
          <w:sz w:val="24"/>
          <w:szCs w:val="24"/>
        </w:rPr>
        <w:t>, or other confidential information unless the agency can demonstrate that it has instituted procedures to protect the information's confidentiality to the extent permitted by law.</w:t>
      </w:r>
    </w:p>
    <w:p w:rsidR="00AA1E33" w:rsidRPr="00A92375" w:rsidP="00165DCD" w14:paraId="4E5A3221" w14:textId="77777777">
      <w:pPr>
        <w:widowControl/>
        <w:tabs>
          <w:tab w:val="left" w:pos="-1440"/>
        </w:tabs>
        <w:rPr>
          <w:b w:val="0"/>
          <w:bCs w:val="0"/>
          <w:i/>
          <w:iCs/>
          <w:sz w:val="24"/>
          <w:szCs w:val="24"/>
        </w:rPr>
      </w:pPr>
    </w:p>
    <w:p w:rsidR="00AA1E33" w:rsidRPr="00A92375" w:rsidP="00A61ACE" w14:paraId="7541F034" w14:textId="6F306AE9">
      <w:pPr>
        <w:pStyle w:val="BodyTextIndent2"/>
        <w:widowControl/>
        <w:ind w:left="720" w:firstLine="0"/>
        <w:rPr>
          <w:b w:val="0"/>
          <w:bCs w:val="0"/>
          <w:szCs w:val="24"/>
        </w:rPr>
      </w:pPr>
      <w:r>
        <w:rPr>
          <w:b w:val="0"/>
          <w:bCs w:val="0"/>
          <w:szCs w:val="24"/>
        </w:rPr>
        <w:t xml:space="preserve">The </w:t>
      </w:r>
      <w:r w:rsidR="00F74DE3">
        <w:rPr>
          <w:b w:val="0"/>
          <w:bCs w:val="0"/>
          <w:szCs w:val="24"/>
        </w:rPr>
        <w:t>final rule</w:t>
      </w:r>
      <w:r>
        <w:rPr>
          <w:b w:val="0"/>
          <w:bCs w:val="0"/>
          <w:szCs w:val="24"/>
        </w:rPr>
        <w:t xml:space="preserve"> would require a covered service provider to confirm receipt of a request for an audit no later than 10 business days after the information is requested</w:t>
      </w:r>
      <w:r w:rsidR="00540514">
        <w:rPr>
          <w:b w:val="0"/>
          <w:bCs w:val="0"/>
          <w:szCs w:val="24"/>
        </w:rPr>
        <w:t>.</w:t>
      </w:r>
      <w:r>
        <w:rPr>
          <w:b w:val="0"/>
          <w:bCs w:val="0"/>
          <w:szCs w:val="24"/>
        </w:rPr>
        <w:t xml:space="preserve"> The 10-day deadline is limited to </w:t>
      </w:r>
      <w:r w:rsidR="00803AC8">
        <w:rPr>
          <w:b w:val="0"/>
          <w:bCs w:val="0"/>
          <w:szCs w:val="24"/>
        </w:rPr>
        <w:t>confirmation</w:t>
      </w:r>
      <w:r w:rsidR="00B10853">
        <w:rPr>
          <w:b w:val="0"/>
          <w:bCs w:val="0"/>
          <w:szCs w:val="24"/>
        </w:rPr>
        <w:t xml:space="preserve"> </w:t>
      </w:r>
      <w:r w:rsidR="001A7D35">
        <w:rPr>
          <w:b w:val="0"/>
          <w:bCs w:val="0"/>
          <w:szCs w:val="24"/>
        </w:rPr>
        <w:t xml:space="preserve">of </w:t>
      </w:r>
      <w:r>
        <w:rPr>
          <w:b w:val="0"/>
          <w:bCs w:val="0"/>
          <w:szCs w:val="24"/>
        </w:rPr>
        <w:t xml:space="preserve">receipt of the request for an audit; the </w:t>
      </w:r>
      <w:r w:rsidR="000F518B">
        <w:rPr>
          <w:b w:val="0"/>
          <w:bCs w:val="0"/>
          <w:szCs w:val="24"/>
        </w:rPr>
        <w:t>audit</w:t>
      </w:r>
      <w:r>
        <w:rPr>
          <w:b w:val="0"/>
          <w:bCs w:val="0"/>
          <w:szCs w:val="24"/>
        </w:rPr>
        <w:t xml:space="preserve"> information requested is required to be provided within a commercially reasonable period. </w:t>
      </w:r>
    </w:p>
    <w:p w:rsidR="00AA1E33" w:rsidRPr="00A92375" w:rsidP="00A61ACE" w14:paraId="7DA90162" w14:textId="77777777">
      <w:pPr>
        <w:widowControl/>
        <w:tabs>
          <w:tab w:val="left" w:pos="-1440"/>
        </w:tabs>
        <w:ind w:left="720"/>
        <w:rPr>
          <w:b w:val="0"/>
          <w:bCs w:val="0"/>
          <w:sz w:val="24"/>
          <w:szCs w:val="24"/>
        </w:rPr>
      </w:pPr>
    </w:p>
    <w:p w:rsidR="00267932" w:rsidRPr="0057004B" w:rsidP="0057004B" w14:paraId="57A70E9A" w14:textId="58708D9E">
      <w:pPr>
        <w:pStyle w:val="Heading1"/>
        <w:numPr>
          <w:ilvl w:val="0"/>
          <w:numId w:val="37"/>
        </w:numPr>
      </w:pPr>
      <w:r w:rsidRPr="008E3DFC">
        <w:t xml:space="preserve">If applicable, provide a copy and identify the date and page number of </w:t>
      </w:r>
      <w:r w:rsidRPr="008E3DFC">
        <w:t>publication</w:t>
      </w:r>
      <w:r w:rsidRPr="008E3DFC">
        <w:t xml:space="preserve"> in the Federal Register of the agency's notice, required by 5 CFR 1320.8(d), soliciting comments on the information collection prior to submission to OMB.</w:t>
      </w:r>
      <w:r w:rsidR="00D309FC">
        <w:t xml:space="preserve"> </w:t>
      </w:r>
      <w:r w:rsidRPr="008E3DFC">
        <w:t>Summarize public comments received in response to that notice and describe actions taken by the agency in response to these comments.</w:t>
      </w:r>
      <w:r w:rsidR="00D309FC">
        <w:t xml:space="preserve"> </w:t>
      </w:r>
      <w:r w:rsidRPr="008E3DFC">
        <w:t>Specifically address comments received on cost and hour burden.</w:t>
      </w:r>
    </w:p>
    <w:p w:rsidR="00267932" w:rsidRPr="008E3DFC" w:rsidP="00267932" w14:paraId="3EE8097B" w14:textId="77777777">
      <w:pPr>
        <w:widowControl/>
        <w:rPr>
          <w:bCs w:val="0"/>
          <w:iCs/>
          <w:sz w:val="24"/>
          <w:szCs w:val="24"/>
        </w:rPr>
      </w:pPr>
    </w:p>
    <w:p w:rsidR="00267932" w:rsidRPr="008E3DFC" w:rsidP="00267932" w14:paraId="66C07DDC" w14:textId="77777777">
      <w:pPr>
        <w:pStyle w:val="BodyText3"/>
        <w:ind w:left="720"/>
        <w:rPr>
          <w:bCs w:val="0"/>
          <w:i w:val="0"/>
          <w:sz w:val="24"/>
          <w:szCs w:val="24"/>
        </w:rPr>
      </w:pPr>
      <w:r w:rsidRPr="008E3DFC">
        <w:rPr>
          <w:bCs w:val="0"/>
          <w:i w:val="0"/>
          <w:sz w:val="24"/>
          <w:szCs w:val="24"/>
        </w:rPr>
        <w:t xml:space="preserve">Describe efforts to consult with </w:t>
      </w:r>
      <w:r w:rsidRPr="008E3DFC">
        <w:rPr>
          <w:bCs w:val="0"/>
          <w:i w:val="0"/>
          <w:sz w:val="24"/>
          <w:szCs w:val="24"/>
        </w:rPr>
        <w:t>persons</w:t>
      </w:r>
      <w:r w:rsidRPr="008E3DFC">
        <w:rPr>
          <w:bCs w:val="0"/>
          <w:i w:val="0"/>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267932" w:rsidRPr="008E3DFC" w:rsidP="00267932" w14:paraId="01A95A62" w14:textId="77777777">
      <w:pPr>
        <w:widowControl/>
        <w:ind w:left="720"/>
        <w:rPr>
          <w:bCs w:val="0"/>
          <w:iCs/>
          <w:sz w:val="24"/>
          <w:szCs w:val="24"/>
        </w:rPr>
      </w:pPr>
    </w:p>
    <w:p w:rsidR="00267932" w:rsidP="00267932" w14:paraId="58FD25EF" w14:textId="0849F76C">
      <w:pPr>
        <w:pStyle w:val="BodyText3"/>
        <w:ind w:left="720"/>
        <w:rPr>
          <w:bCs w:val="0"/>
          <w:i w:val="0"/>
          <w:sz w:val="24"/>
          <w:szCs w:val="24"/>
        </w:rPr>
      </w:pPr>
      <w:r w:rsidRPr="008E3DFC">
        <w:rPr>
          <w:bCs w:val="0"/>
          <w:i w:val="0"/>
          <w:sz w:val="24"/>
          <w:szCs w:val="24"/>
        </w:rPr>
        <w:t>Consultation</w:t>
      </w:r>
      <w:r w:rsidRPr="008E3DFC">
        <w:rPr>
          <w:bCs w:val="0"/>
          <w:i w:val="0"/>
          <w:sz w:val="24"/>
          <w:szCs w:val="24"/>
        </w:rPr>
        <w:t xml:space="preserve"> with representatives of those from whom information is to be obtained or those who must compile records should occur at least once every 3 years -- even if the collection of information activity is the same as in prior periods.</w:t>
      </w:r>
      <w:r w:rsidR="00D309FC">
        <w:rPr>
          <w:bCs w:val="0"/>
          <w:i w:val="0"/>
          <w:sz w:val="24"/>
          <w:szCs w:val="24"/>
        </w:rPr>
        <w:t xml:space="preserve"> </w:t>
      </w:r>
      <w:r w:rsidRPr="008E3DFC">
        <w:rPr>
          <w:bCs w:val="0"/>
          <w:i w:val="0"/>
          <w:sz w:val="24"/>
          <w:szCs w:val="24"/>
        </w:rPr>
        <w:t>There may be circumstances that may preclude consultation in a specific situation.</w:t>
      </w:r>
      <w:r w:rsidR="00D309FC">
        <w:rPr>
          <w:bCs w:val="0"/>
          <w:i w:val="0"/>
          <w:sz w:val="24"/>
          <w:szCs w:val="24"/>
        </w:rPr>
        <w:t xml:space="preserve"> </w:t>
      </w:r>
      <w:r w:rsidRPr="008E3DFC">
        <w:rPr>
          <w:bCs w:val="0"/>
          <w:i w:val="0"/>
          <w:sz w:val="24"/>
          <w:szCs w:val="24"/>
        </w:rPr>
        <w:t>These circumstances should be explained.</w:t>
      </w:r>
    </w:p>
    <w:p w:rsidR="009D063E" w:rsidP="00267932" w14:paraId="277938E7" w14:textId="310804DB">
      <w:pPr>
        <w:pStyle w:val="BodyText3"/>
        <w:ind w:left="720"/>
        <w:rPr>
          <w:bCs w:val="0"/>
          <w:i w:val="0"/>
          <w:sz w:val="24"/>
          <w:szCs w:val="24"/>
        </w:rPr>
      </w:pPr>
    </w:p>
    <w:p w:rsidR="00345AA2" w:rsidP="002D2275" w14:paraId="6C258754" w14:textId="120CC521">
      <w:pPr>
        <w:pStyle w:val="BodyText3"/>
        <w:ind w:left="720"/>
        <w:rPr>
          <w:b w:val="0"/>
          <w:i w:val="0"/>
          <w:iCs w:val="0"/>
          <w:sz w:val="24"/>
          <w:szCs w:val="24"/>
        </w:rPr>
      </w:pPr>
      <w:bookmarkStart w:id="0" w:name="OLE_LINK6"/>
      <w:r w:rsidRPr="0051488E">
        <w:rPr>
          <w:b w:val="0"/>
          <w:i w:val="0"/>
          <w:iCs w:val="0"/>
          <w:sz w:val="24"/>
          <w:szCs w:val="24"/>
        </w:rPr>
        <w:t>In addition to requesting public comment</w:t>
      </w:r>
      <w:r w:rsidR="0036438A">
        <w:rPr>
          <w:b w:val="0"/>
          <w:i w:val="0"/>
          <w:iCs w:val="0"/>
          <w:sz w:val="24"/>
          <w:szCs w:val="24"/>
        </w:rPr>
        <w:t>s</w:t>
      </w:r>
      <w:r w:rsidRPr="0051488E">
        <w:rPr>
          <w:b w:val="0"/>
          <w:i w:val="0"/>
          <w:iCs w:val="0"/>
          <w:sz w:val="24"/>
          <w:szCs w:val="24"/>
        </w:rPr>
        <w:t xml:space="preserve"> on the proposed regulation, the NPRM solicit</w:t>
      </w:r>
      <w:r w:rsidR="00941D53">
        <w:rPr>
          <w:b w:val="0"/>
          <w:i w:val="0"/>
          <w:iCs w:val="0"/>
          <w:sz w:val="24"/>
          <w:szCs w:val="24"/>
        </w:rPr>
        <w:t>ed</w:t>
      </w:r>
      <w:r w:rsidRPr="0051488E">
        <w:rPr>
          <w:b w:val="0"/>
          <w:i w:val="0"/>
          <w:iCs w:val="0"/>
          <w:sz w:val="24"/>
          <w:szCs w:val="24"/>
        </w:rPr>
        <w:t xml:space="preserve"> </w:t>
      </w:r>
      <w:r w:rsidRPr="00345AA2">
        <w:rPr>
          <w:b w:val="0"/>
          <w:i w:val="0"/>
          <w:iCs w:val="0"/>
          <w:sz w:val="24"/>
          <w:szCs w:val="24"/>
        </w:rPr>
        <w:t>public comment</w:t>
      </w:r>
      <w:r w:rsidR="00C007DB">
        <w:rPr>
          <w:b w:val="0"/>
          <w:i w:val="0"/>
          <w:iCs w:val="0"/>
          <w:sz w:val="24"/>
          <w:szCs w:val="24"/>
        </w:rPr>
        <w:t>s</w:t>
      </w:r>
      <w:r w:rsidRPr="00345AA2">
        <w:rPr>
          <w:b w:val="0"/>
          <w:i w:val="0"/>
          <w:iCs w:val="0"/>
          <w:sz w:val="24"/>
          <w:szCs w:val="24"/>
        </w:rPr>
        <w:t xml:space="preserve"> on the paperwork burden of the proposed </w:t>
      </w:r>
      <w:r>
        <w:rPr>
          <w:b w:val="0"/>
          <w:i w:val="0"/>
          <w:iCs w:val="0"/>
          <w:sz w:val="24"/>
          <w:szCs w:val="24"/>
        </w:rPr>
        <w:t>regulation (</w:t>
      </w:r>
      <w:r w:rsidRPr="002D2275" w:rsidR="002D2275">
        <w:rPr>
          <w:b w:val="0"/>
          <w:i w:val="0"/>
          <w:iCs w:val="0"/>
          <w:sz w:val="24"/>
          <w:szCs w:val="24"/>
        </w:rPr>
        <w:t>91 FR 4348</w:t>
      </w:r>
      <w:r w:rsidRPr="00345AA2">
        <w:rPr>
          <w:b w:val="0"/>
          <w:i w:val="0"/>
          <w:iCs w:val="0"/>
          <w:sz w:val="24"/>
          <w:szCs w:val="24"/>
        </w:rPr>
        <w:t>.</w:t>
      </w:r>
      <w:r w:rsidR="002D2275">
        <w:rPr>
          <w:b w:val="0"/>
          <w:i w:val="0"/>
          <w:iCs w:val="0"/>
          <w:sz w:val="24"/>
          <w:szCs w:val="24"/>
        </w:rPr>
        <w:t>)</w:t>
      </w:r>
      <w:r w:rsidRPr="00345AA2">
        <w:rPr>
          <w:b w:val="0"/>
          <w:i w:val="0"/>
          <w:iCs w:val="0"/>
          <w:sz w:val="24"/>
          <w:szCs w:val="24"/>
        </w:rPr>
        <w:t> </w:t>
      </w:r>
      <w:r w:rsidRPr="00345AA2">
        <w:rPr>
          <w:b w:val="0"/>
          <w:i w:val="0"/>
          <w:iCs w:val="0"/>
          <w:sz w:val="24"/>
          <w:szCs w:val="24"/>
        </w:rPr>
        <w:t xml:space="preserve">The Department received comments that specifically addressed the paperwork burden analysis of the ICRs contained in the proposed rules. </w:t>
      </w:r>
    </w:p>
    <w:p w:rsidR="00E875D6" w:rsidP="002D2275" w14:paraId="1E8BA9B5" w14:textId="77777777">
      <w:pPr>
        <w:pStyle w:val="BodyText3"/>
        <w:ind w:left="720"/>
        <w:rPr>
          <w:b w:val="0"/>
          <w:i w:val="0"/>
          <w:iCs w:val="0"/>
          <w:sz w:val="24"/>
          <w:szCs w:val="24"/>
        </w:rPr>
      </w:pPr>
    </w:p>
    <w:p w:rsidR="00E875D6" w:rsidP="00E875D6" w14:paraId="4F2AADFA" w14:textId="456B200B">
      <w:pPr>
        <w:widowControl/>
        <w:tabs>
          <w:tab w:val="left" w:pos="-1440"/>
        </w:tabs>
        <w:ind w:left="720"/>
        <w:rPr>
          <w:b w:val="0"/>
          <w:bCs w:val="0"/>
          <w:iCs/>
          <w:sz w:val="24"/>
          <w:szCs w:val="24"/>
        </w:rPr>
      </w:pPr>
      <w:r w:rsidRPr="00267E1D">
        <w:rPr>
          <w:b w:val="0"/>
          <w:bCs w:val="0"/>
          <w:iCs/>
          <w:sz w:val="24"/>
          <w:szCs w:val="24"/>
        </w:rPr>
        <w:t xml:space="preserve">The Department received several comments regarding its base-year cost assumptions. One commenter stated that the hour burden was underestimated, arguing that updating systems, generating required client reports, and maintaining the reporting infrastructure could require thousands of hours. Another commenter stated that rule review and compliance activities could exceed $1 million in annual </w:t>
      </w:r>
      <w:r w:rsidRPr="00267E1D">
        <w:rPr>
          <w:b w:val="0"/>
          <w:bCs w:val="0"/>
          <w:iCs/>
          <w:sz w:val="24"/>
          <w:szCs w:val="24"/>
        </w:rPr>
        <w:t>expenditures</w:t>
      </w:r>
      <w:r w:rsidRPr="00267E1D">
        <w:rPr>
          <w:b w:val="0"/>
          <w:bCs w:val="0"/>
          <w:iCs/>
          <w:sz w:val="24"/>
          <w:szCs w:val="24"/>
        </w:rPr>
        <w:t xml:space="preserve">. The Department acknowledges concerns regarding the cost and complexity of implementing the IT system changes. In response to these comments, the Department has revised its burden estimates to include an additional 160 hours of outside legal counsel support in the first year and 100 hours in subsequent years for reviewing, advising on, and facilitating compliance with IT system changes. </w:t>
      </w:r>
    </w:p>
    <w:p w:rsidR="003A72B4" w:rsidP="00E875D6" w14:paraId="4B2BCD74" w14:textId="77777777">
      <w:pPr>
        <w:widowControl/>
        <w:tabs>
          <w:tab w:val="left" w:pos="-1440"/>
        </w:tabs>
        <w:ind w:left="720"/>
        <w:rPr>
          <w:b w:val="0"/>
          <w:bCs w:val="0"/>
          <w:iCs/>
          <w:sz w:val="24"/>
          <w:szCs w:val="24"/>
        </w:rPr>
      </w:pPr>
    </w:p>
    <w:p w:rsidR="003A72B4" w:rsidRPr="00F96911" w:rsidP="00F96911" w14:paraId="3BBB9DF5" w14:textId="1AF1D0DF">
      <w:pPr>
        <w:ind w:left="720"/>
        <w:rPr>
          <w:b w:val="0"/>
          <w:bCs w:val="0"/>
          <w:sz w:val="24"/>
          <w:szCs w:val="24"/>
        </w:rPr>
      </w:pPr>
      <w:r w:rsidRPr="00F96911">
        <w:rPr>
          <w:b w:val="0"/>
          <w:bCs w:val="0"/>
          <w:sz w:val="24"/>
          <w:szCs w:val="24"/>
        </w:rPr>
        <w:t>The Department</w:t>
      </w:r>
      <w:r>
        <w:rPr>
          <w:b w:val="0"/>
          <w:bCs w:val="0"/>
          <w:sz w:val="24"/>
          <w:szCs w:val="24"/>
        </w:rPr>
        <w:t xml:space="preserve"> also</w:t>
      </w:r>
      <w:r w:rsidRPr="00F96911">
        <w:rPr>
          <w:b w:val="0"/>
          <w:bCs w:val="0"/>
          <w:sz w:val="24"/>
          <w:szCs w:val="24"/>
        </w:rPr>
        <w:t xml:space="preserve"> received comments concerning whether there were circumstances where the covered service provider should bear the entire cost of the audit. One specifically raised concerns that requiring PBMs to financially contribute to the audit could compromise audit findings. Other commenters suggested the PBM should bear the full costs if the audit reveals material inaccuracies in the disclosures. The Department understands these concerns, and has determined that, consistent with the proposal, under the final rule plans that choose to conduct an audit bear the costs; PBMs and other service providers </w:t>
      </w:r>
      <w:r w:rsidRPr="00F96911">
        <w:rPr>
          <w:b w:val="0"/>
          <w:bCs w:val="0"/>
          <w:sz w:val="24"/>
          <w:szCs w:val="24"/>
        </w:rPr>
        <w:t>are only</w:t>
      </w:r>
      <w:r w:rsidRPr="00F96911">
        <w:rPr>
          <w:b w:val="0"/>
          <w:bCs w:val="0"/>
          <w:sz w:val="24"/>
          <w:szCs w:val="24"/>
        </w:rPr>
        <w:t xml:space="preserve"> responsible for the cost of providing the underlying data to the auditor. </w:t>
      </w:r>
    </w:p>
    <w:p w:rsidR="003A72B4" w:rsidP="00E875D6" w14:paraId="20F88709" w14:textId="77777777">
      <w:pPr>
        <w:widowControl/>
        <w:tabs>
          <w:tab w:val="left" w:pos="-1440"/>
        </w:tabs>
        <w:ind w:left="720"/>
        <w:rPr>
          <w:b w:val="0"/>
          <w:bCs w:val="0"/>
          <w:iCs/>
          <w:sz w:val="24"/>
          <w:szCs w:val="24"/>
        </w:rPr>
      </w:pPr>
    </w:p>
    <w:p w:rsidR="0004517F" w:rsidRPr="00F96911" w:rsidP="00F96911" w14:paraId="750797DC" w14:textId="1F6879C5">
      <w:pPr>
        <w:ind w:left="720"/>
        <w:rPr>
          <w:b w:val="0"/>
          <w:bCs w:val="0"/>
          <w:sz w:val="24"/>
          <w:szCs w:val="24"/>
        </w:rPr>
      </w:pPr>
      <w:r w:rsidRPr="00F96911">
        <w:rPr>
          <w:b w:val="0"/>
          <w:bCs w:val="0"/>
          <w:sz w:val="24"/>
          <w:szCs w:val="24"/>
        </w:rPr>
        <w:t xml:space="preserve">One commenter expressed concerns that these provisions could increase administrative burden and costs associated with responding to audit requests, particularly where proprietary information may be involved. However, the Department assumes that most PBMs maintain the underlying data needed for invoices, rebate reconciliation, and contractual compliance. Audit responses are often generated through standardized templates or automated reports, though custom data pulls may be required in some cases. </w:t>
      </w:r>
    </w:p>
    <w:p w:rsidR="00345AA2" w:rsidP="00F96911" w14:paraId="13DD43FF" w14:textId="77777777">
      <w:pPr>
        <w:pStyle w:val="BodyText3"/>
        <w:rPr>
          <w:b w:val="0"/>
          <w:i w:val="0"/>
          <w:iCs w:val="0"/>
          <w:sz w:val="24"/>
          <w:szCs w:val="24"/>
        </w:rPr>
      </w:pPr>
    </w:p>
    <w:p w:rsidR="00EE36C0" w:rsidP="00EE36C0" w14:paraId="1865B9B3" w14:textId="77777777">
      <w:pPr>
        <w:widowControl/>
        <w:autoSpaceDE/>
        <w:autoSpaceDN/>
        <w:adjustRightInd/>
        <w:ind w:left="720"/>
        <w:contextualSpacing/>
        <w:rPr>
          <w:rFonts w:eastAsia="Calibri"/>
          <w:b w:val="0"/>
          <w:bCs w:val="0"/>
          <w:sz w:val="24"/>
          <w:szCs w:val="24"/>
        </w:rPr>
      </w:pPr>
      <w:r w:rsidRPr="00EE36C0">
        <w:rPr>
          <w:rFonts w:eastAsia="Calibri"/>
          <w:b w:val="0"/>
          <w:bCs w:val="0"/>
          <w:sz w:val="24"/>
          <w:szCs w:val="24"/>
        </w:rPr>
        <w:t>One commenter argued the proposed rule raised concerns under the PRA regarding duplication, burden, and practical utility. The commenter stated that the proposal overlaps with the existing CAA reporting requirements for rebates and fees, creating a risk of duplicative and inconsistent reporting. The Department acknowledges the concern regarding potential overlap with the CAA. However, to prevent unnecessary burden, the Department has harmonized the disclosure requirements in this final rule with the existing CAA reporting framework. This harmonization avoids inconsistent reporting and minimizes additional compliance costs. Therefore, the Department concludes that the final rule provides necessary practical utility without creating an unwarranted duplicative burden.</w:t>
      </w:r>
    </w:p>
    <w:p w:rsidR="00EE36C0" w:rsidRPr="00EE36C0" w:rsidP="00EE36C0" w14:paraId="7CEC1C87" w14:textId="77777777">
      <w:pPr>
        <w:widowControl/>
        <w:autoSpaceDE/>
        <w:autoSpaceDN/>
        <w:adjustRightInd/>
        <w:ind w:left="720"/>
        <w:contextualSpacing/>
        <w:rPr>
          <w:rFonts w:eastAsia="Calibri"/>
          <w:b w:val="0"/>
          <w:bCs w:val="0"/>
          <w:sz w:val="24"/>
          <w:szCs w:val="24"/>
        </w:rPr>
      </w:pPr>
    </w:p>
    <w:p w:rsidR="00EE36C0" w:rsidRPr="00EE36C0" w:rsidP="00EE36C0" w14:paraId="1191BDAE" w14:textId="77777777">
      <w:pPr>
        <w:widowControl/>
        <w:autoSpaceDE/>
        <w:autoSpaceDN/>
        <w:adjustRightInd/>
        <w:ind w:left="720"/>
        <w:contextualSpacing/>
        <w:rPr>
          <w:rFonts w:eastAsia="Calibri"/>
          <w:b w:val="0"/>
          <w:bCs w:val="0"/>
          <w:sz w:val="24"/>
          <w:szCs w:val="24"/>
        </w:rPr>
      </w:pPr>
      <w:r w:rsidRPr="00EE36C0">
        <w:rPr>
          <w:rFonts w:eastAsia="Calibri"/>
          <w:b w:val="0"/>
          <w:bCs w:val="0"/>
          <w:sz w:val="24"/>
          <w:szCs w:val="24"/>
        </w:rPr>
        <w:t xml:space="preserve">Another commenter suggested updating Schedule C of Form 5500 to capture the compensation disclosures required under the final rule and the CAA 2026. The commenter noted that Schedule C currently does not reflect the expanded disclosure obligations for group health plan service providers. The Department believes that this </w:t>
      </w:r>
      <w:r w:rsidRPr="00EE36C0">
        <w:rPr>
          <w:rFonts w:eastAsia="Calibri"/>
          <w:b w:val="0"/>
          <w:bCs w:val="0"/>
          <w:sz w:val="24"/>
          <w:szCs w:val="24"/>
        </w:rPr>
        <w:t xml:space="preserve">rulemaking under ERISA section 408(b)(2) is properly focused on disclosures to responsible plan fiduciaries of covered plans. This rulemaking does not establish a new reporting framework for information to be submitted to the Department, other than the reporting provision in the administrative exemption in paragraph (n), which is discussed in greater detail in the preamble. Accordingly, changes to Schedule C of </w:t>
      </w:r>
      <w:r w:rsidRPr="00EE36C0">
        <w:rPr>
          <w:rFonts w:eastAsia="Calibri"/>
          <w:b w:val="0"/>
          <w:bCs w:val="0"/>
          <w:sz w:val="24"/>
          <w:szCs w:val="24"/>
        </w:rPr>
        <w:t>the Form</w:t>
      </w:r>
      <w:r w:rsidRPr="00EE36C0">
        <w:rPr>
          <w:rFonts w:eastAsia="Calibri"/>
          <w:b w:val="0"/>
          <w:bCs w:val="0"/>
          <w:sz w:val="24"/>
          <w:szCs w:val="24"/>
        </w:rPr>
        <w:t xml:space="preserve"> 5500 are outside the scope of this rulemaking. </w:t>
      </w:r>
    </w:p>
    <w:p w:rsidR="00AA1E33" w:rsidRPr="00A92375" w:rsidP="00F0391B" w14:paraId="02A534D8" w14:textId="77777777">
      <w:pPr>
        <w:pStyle w:val="BodyText3"/>
      </w:pPr>
    </w:p>
    <w:bookmarkEnd w:id="0"/>
    <w:p w:rsidR="00D16BD2" w:rsidRPr="00C20D2D" w:rsidP="0057004B" w14:paraId="77BE3330" w14:textId="4B6B4B17">
      <w:pPr>
        <w:pStyle w:val="Heading1"/>
        <w:numPr>
          <w:ilvl w:val="0"/>
          <w:numId w:val="37"/>
        </w:numPr>
      </w:pPr>
      <w:r w:rsidRPr="00C20D2D">
        <w:t>Explain any decision to provide any payment or gift to respondents, other than remuneration of contractors or grantees.</w:t>
      </w:r>
    </w:p>
    <w:p w:rsidR="00AA1E33" w:rsidRPr="00524D76" w:rsidP="005E7C77" w14:paraId="56BEA409" w14:textId="77777777">
      <w:pPr>
        <w:widowControl/>
        <w:tabs>
          <w:tab w:val="left" w:pos="-1440"/>
        </w:tabs>
        <w:rPr>
          <w:b w:val="0"/>
          <w:i/>
          <w:sz w:val="24"/>
          <w:szCs w:val="24"/>
        </w:rPr>
      </w:pPr>
    </w:p>
    <w:p w:rsidR="00AA1E33" w:rsidRPr="00A92375" w:rsidP="009B2C70" w14:paraId="6AA7C0D0" w14:textId="4C8EE30E">
      <w:pPr>
        <w:pStyle w:val="BodyText"/>
        <w:ind w:left="720"/>
        <w:rPr>
          <w:szCs w:val="24"/>
        </w:rPr>
      </w:pPr>
      <w:r>
        <w:rPr>
          <w:szCs w:val="24"/>
        </w:rPr>
        <w:t>There are no payments or gifts</w:t>
      </w:r>
      <w:r w:rsidR="00F03755">
        <w:rPr>
          <w:szCs w:val="24"/>
        </w:rPr>
        <w:t xml:space="preserve"> in this information collection. </w:t>
      </w:r>
    </w:p>
    <w:p w:rsidR="00D16BD2" w:rsidRPr="00A92375" w:rsidP="009B2C70" w14:paraId="409CD9B5" w14:textId="77777777">
      <w:pPr>
        <w:pStyle w:val="BodyText"/>
        <w:ind w:left="720"/>
        <w:rPr>
          <w:szCs w:val="24"/>
        </w:rPr>
      </w:pPr>
    </w:p>
    <w:p w:rsidR="00D16BD2" w:rsidRPr="00C20D2D" w:rsidP="0057004B" w14:paraId="5C58CF0B" w14:textId="22A3F570">
      <w:pPr>
        <w:pStyle w:val="Heading1"/>
        <w:numPr>
          <w:ilvl w:val="0"/>
          <w:numId w:val="37"/>
        </w:numPr>
      </w:pPr>
      <w:r w:rsidRPr="00C20D2D">
        <w:t>Describe any assurance of confidentiality provided to respondents and the basis for the assurance in statute, regulation, or agency policy.</w:t>
      </w:r>
    </w:p>
    <w:p w:rsidR="00AA1E33" w:rsidRPr="00A92375" w:rsidP="005E7C77" w14:paraId="560BAE1D" w14:textId="77777777">
      <w:pPr>
        <w:widowControl/>
        <w:rPr>
          <w:b w:val="0"/>
          <w:bCs w:val="0"/>
          <w:sz w:val="24"/>
          <w:szCs w:val="24"/>
        </w:rPr>
      </w:pPr>
    </w:p>
    <w:p w:rsidR="003E1E53" w:rsidRPr="00A92375" w:rsidP="009B2C70" w14:paraId="19237590" w14:textId="00755EF5">
      <w:pPr>
        <w:widowControl/>
        <w:ind w:left="720"/>
        <w:rPr>
          <w:b w:val="0"/>
          <w:bCs w:val="0"/>
          <w:sz w:val="24"/>
          <w:szCs w:val="24"/>
        </w:rPr>
      </w:pPr>
      <w:r w:rsidRPr="06A57FD9">
        <w:rPr>
          <w:b w:val="0"/>
          <w:bCs w:val="0"/>
          <w:sz w:val="24"/>
          <w:szCs w:val="24"/>
        </w:rPr>
        <w:t xml:space="preserve">Under the audit provision, </w:t>
      </w:r>
      <w:r w:rsidRPr="06A57FD9" w:rsidR="00CF311F">
        <w:rPr>
          <w:b w:val="0"/>
          <w:bCs w:val="0"/>
          <w:sz w:val="24"/>
          <w:szCs w:val="24"/>
        </w:rPr>
        <w:t xml:space="preserve">information necessary to confirm the accuracy of the disclosures must be provided to the </w:t>
      </w:r>
      <w:r w:rsidRPr="06A57FD9" w:rsidR="003A2AE9">
        <w:rPr>
          <w:b w:val="0"/>
          <w:bCs w:val="0"/>
          <w:sz w:val="24"/>
          <w:szCs w:val="24"/>
        </w:rPr>
        <w:t>self-insured group health plan</w:t>
      </w:r>
      <w:r w:rsidR="00804077">
        <w:rPr>
          <w:b w:val="0"/>
          <w:bCs w:val="0"/>
          <w:sz w:val="24"/>
          <w:szCs w:val="24"/>
        </w:rPr>
        <w:t xml:space="preserve"> including</w:t>
      </w:r>
      <w:r w:rsidRPr="06A57FD9" w:rsidR="003A2AE9">
        <w:rPr>
          <w:b w:val="0"/>
          <w:bCs w:val="0"/>
          <w:sz w:val="24"/>
          <w:szCs w:val="24"/>
        </w:rPr>
        <w:t xml:space="preserve"> contracts with retail pharmacies and drug manufacturers</w:t>
      </w:r>
      <w:r w:rsidR="00804077">
        <w:rPr>
          <w:b w:val="0"/>
          <w:bCs w:val="0"/>
          <w:sz w:val="24"/>
          <w:szCs w:val="24"/>
        </w:rPr>
        <w:t>,</w:t>
      </w:r>
      <w:r w:rsidRPr="06A57FD9" w:rsidR="003A2AE9">
        <w:rPr>
          <w:b w:val="0"/>
          <w:bCs w:val="0"/>
          <w:sz w:val="24"/>
          <w:szCs w:val="24"/>
        </w:rPr>
        <w:t xml:space="preserve"> </w:t>
      </w:r>
      <w:r w:rsidRPr="06A57FD9" w:rsidR="00FD0D77">
        <w:rPr>
          <w:b w:val="0"/>
          <w:bCs w:val="0"/>
          <w:sz w:val="24"/>
          <w:szCs w:val="24"/>
        </w:rPr>
        <w:t>subject to reasonable confidentiality agreements to prevent redisclosure of the information</w:t>
      </w:r>
      <w:r w:rsidRPr="06A57FD9" w:rsidR="00540514">
        <w:rPr>
          <w:b w:val="0"/>
          <w:bCs w:val="0"/>
          <w:sz w:val="24"/>
          <w:szCs w:val="24"/>
        </w:rPr>
        <w:t xml:space="preserve">. </w:t>
      </w:r>
      <w:r w:rsidRPr="06A57FD9" w:rsidR="00E93852">
        <w:rPr>
          <w:b w:val="0"/>
          <w:bCs w:val="0"/>
          <w:sz w:val="24"/>
          <w:szCs w:val="24"/>
        </w:rPr>
        <w:t xml:space="preserve">If redisclosure </w:t>
      </w:r>
      <w:r w:rsidRPr="06A57FD9" w:rsidR="00727C72">
        <w:rPr>
          <w:b w:val="0"/>
          <w:bCs w:val="0"/>
          <w:sz w:val="24"/>
          <w:szCs w:val="24"/>
        </w:rPr>
        <w:t>to a third</w:t>
      </w:r>
      <w:r w:rsidRPr="06A57FD9" w:rsidR="00816DB8">
        <w:rPr>
          <w:b w:val="0"/>
          <w:bCs w:val="0"/>
          <w:sz w:val="24"/>
          <w:szCs w:val="24"/>
        </w:rPr>
        <w:t xml:space="preserve"> </w:t>
      </w:r>
      <w:r w:rsidRPr="06A57FD9" w:rsidR="00727C72">
        <w:rPr>
          <w:b w:val="0"/>
          <w:bCs w:val="0"/>
          <w:sz w:val="24"/>
          <w:szCs w:val="24"/>
        </w:rPr>
        <w:t xml:space="preserve">party by the </w:t>
      </w:r>
      <w:r w:rsidRPr="06A57FD9" w:rsidR="00816DB8">
        <w:rPr>
          <w:b w:val="0"/>
          <w:bCs w:val="0"/>
          <w:sz w:val="24"/>
          <w:szCs w:val="24"/>
        </w:rPr>
        <w:t>self-insured</w:t>
      </w:r>
      <w:r w:rsidRPr="06A57FD9" w:rsidR="00727C72">
        <w:rPr>
          <w:b w:val="0"/>
          <w:bCs w:val="0"/>
          <w:sz w:val="24"/>
          <w:szCs w:val="24"/>
        </w:rPr>
        <w:t xml:space="preserve"> group health plan </w:t>
      </w:r>
      <w:r w:rsidRPr="06A57FD9" w:rsidR="00E93852">
        <w:rPr>
          <w:b w:val="0"/>
          <w:bCs w:val="0"/>
          <w:sz w:val="24"/>
          <w:szCs w:val="24"/>
        </w:rPr>
        <w:t>is necessary</w:t>
      </w:r>
      <w:r w:rsidRPr="06A57FD9" w:rsidR="00727C72">
        <w:rPr>
          <w:b w:val="0"/>
          <w:bCs w:val="0"/>
          <w:sz w:val="24"/>
          <w:szCs w:val="24"/>
        </w:rPr>
        <w:t>,</w:t>
      </w:r>
      <w:r w:rsidRPr="06A57FD9" w:rsidR="00E93852">
        <w:rPr>
          <w:b w:val="0"/>
          <w:bCs w:val="0"/>
          <w:sz w:val="24"/>
          <w:szCs w:val="24"/>
        </w:rPr>
        <w:t xml:space="preserve"> </w:t>
      </w:r>
      <w:r w:rsidRPr="06A57FD9" w:rsidR="00727C72">
        <w:rPr>
          <w:b w:val="0"/>
          <w:bCs w:val="0"/>
          <w:sz w:val="24"/>
          <w:szCs w:val="24"/>
        </w:rPr>
        <w:t xml:space="preserve">the covered </w:t>
      </w:r>
      <w:r w:rsidRPr="06A57FD9" w:rsidR="00315824">
        <w:rPr>
          <w:b w:val="0"/>
          <w:bCs w:val="0"/>
          <w:sz w:val="24"/>
          <w:szCs w:val="24"/>
        </w:rPr>
        <w:t xml:space="preserve">contract or arrangement </w:t>
      </w:r>
      <w:r w:rsidRPr="06A57FD9" w:rsidR="00133C7C">
        <w:rPr>
          <w:b w:val="0"/>
          <w:bCs w:val="0"/>
          <w:sz w:val="24"/>
          <w:szCs w:val="24"/>
        </w:rPr>
        <w:t xml:space="preserve">may also require the responsible plan fiduciary to </w:t>
      </w:r>
      <w:r w:rsidRPr="06A57FD9" w:rsidR="00816DB8">
        <w:rPr>
          <w:b w:val="0"/>
          <w:bCs w:val="0"/>
          <w:sz w:val="24"/>
          <w:szCs w:val="24"/>
        </w:rPr>
        <w:t>establish</w:t>
      </w:r>
      <w:r w:rsidRPr="06A57FD9" w:rsidR="00133C7C">
        <w:rPr>
          <w:b w:val="0"/>
          <w:bCs w:val="0"/>
          <w:sz w:val="24"/>
          <w:szCs w:val="24"/>
        </w:rPr>
        <w:t xml:space="preserve"> </w:t>
      </w:r>
      <w:r w:rsidRPr="06A57FD9" w:rsidR="003A7E73">
        <w:rPr>
          <w:b w:val="0"/>
          <w:bCs w:val="0"/>
          <w:sz w:val="24"/>
          <w:szCs w:val="24"/>
        </w:rPr>
        <w:t xml:space="preserve">reasonable </w:t>
      </w:r>
      <w:r w:rsidRPr="06A57FD9" w:rsidR="00EC1D06">
        <w:rPr>
          <w:b w:val="0"/>
          <w:bCs w:val="0"/>
          <w:sz w:val="24"/>
          <w:szCs w:val="24"/>
        </w:rPr>
        <w:t xml:space="preserve">confidentiality agreements </w:t>
      </w:r>
      <w:r w:rsidRPr="06A57FD9" w:rsidR="00AA5348">
        <w:rPr>
          <w:b w:val="0"/>
          <w:bCs w:val="0"/>
          <w:sz w:val="24"/>
          <w:szCs w:val="24"/>
        </w:rPr>
        <w:t>with</w:t>
      </w:r>
      <w:r w:rsidRPr="06A57FD9" w:rsidR="00816DB8">
        <w:rPr>
          <w:b w:val="0"/>
          <w:bCs w:val="0"/>
          <w:sz w:val="24"/>
          <w:szCs w:val="24"/>
        </w:rPr>
        <w:t xml:space="preserve"> such</w:t>
      </w:r>
      <w:r w:rsidRPr="06A57FD9" w:rsidR="00AA5348">
        <w:rPr>
          <w:b w:val="0"/>
          <w:bCs w:val="0"/>
          <w:sz w:val="24"/>
          <w:szCs w:val="24"/>
        </w:rPr>
        <w:t xml:space="preserve"> third parties</w:t>
      </w:r>
      <w:r w:rsidR="003E63D6">
        <w:rPr>
          <w:b w:val="0"/>
          <w:bCs w:val="0"/>
          <w:sz w:val="24"/>
          <w:szCs w:val="24"/>
        </w:rPr>
        <w:t xml:space="preserve"> preventing redisclosure and limiting the use of disclosed information to purposes related to the plan’s contract or arrangement</w:t>
      </w:r>
      <w:r w:rsidRPr="06A57FD9" w:rsidR="00816DB8">
        <w:rPr>
          <w:b w:val="0"/>
          <w:bCs w:val="0"/>
          <w:sz w:val="24"/>
          <w:szCs w:val="24"/>
        </w:rPr>
        <w:t>.</w:t>
      </w:r>
      <w:r w:rsidRPr="06A57FD9" w:rsidR="00AA5348">
        <w:rPr>
          <w:b w:val="0"/>
          <w:bCs w:val="0"/>
          <w:sz w:val="24"/>
          <w:szCs w:val="24"/>
        </w:rPr>
        <w:t xml:space="preserve"> </w:t>
      </w:r>
    </w:p>
    <w:p w:rsidR="00A73525" w:rsidRPr="00A92375" w:rsidP="009B2C70" w14:paraId="0061E5CA" w14:textId="77777777">
      <w:pPr>
        <w:widowControl/>
        <w:ind w:left="720"/>
        <w:rPr>
          <w:b w:val="0"/>
          <w:bCs w:val="0"/>
          <w:sz w:val="24"/>
          <w:szCs w:val="24"/>
        </w:rPr>
      </w:pPr>
    </w:p>
    <w:p w:rsidR="00C4178F" w:rsidRPr="0057004B" w:rsidP="0057004B" w14:paraId="46B92D01" w14:textId="7FBA0F8F">
      <w:pPr>
        <w:pStyle w:val="Heading1"/>
        <w:numPr>
          <w:ilvl w:val="0"/>
          <w:numId w:val="37"/>
        </w:numPr>
      </w:pPr>
      <w:r w:rsidRPr="00711BA1">
        <w:t>Provide additional justification for any questions of a sensitive nature, such as sexual behavior and attitudes, religious beliefs, and other matters that are commonly considered private.</w:t>
      </w:r>
      <w:r w:rsidR="00D309FC">
        <w:t xml:space="preserve"> </w:t>
      </w:r>
      <w:r w:rsidRPr="0057004B" w:rsidR="00540514">
        <w:rPr>
          <w:iCs/>
        </w:rPr>
        <w:t xml:space="preserve">This justification should include the reasons why the agency considers the questions necessary, the specific uses to be made of the information, the explanation to be given to </w:t>
      </w:r>
      <w:r w:rsidRPr="0057004B" w:rsidR="00540514">
        <w:rPr>
          <w:iCs/>
        </w:rPr>
        <w:t>persons</w:t>
      </w:r>
      <w:r w:rsidRPr="0057004B" w:rsidR="00540514">
        <w:rPr>
          <w:iCs/>
        </w:rPr>
        <w:t xml:space="preserve"> from whom the information is requested, and any steps to be taken to obtain their consent.</w:t>
      </w:r>
    </w:p>
    <w:p w:rsidR="00AA1E33" w:rsidRPr="00A92375" w:rsidP="005E7C77" w14:paraId="4900692A" w14:textId="77777777">
      <w:pPr>
        <w:widowControl/>
        <w:rPr>
          <w:b w:val="0"/>
          <w:bCs w:val="0"/>
          <w:i/>
          <w:iCs/>
          <w:sz w:val="24"/>
          <w:szCs w:val="24"/>
        </w:rPr>
      </w:pPr>
    </w:p>
    <w:p w:rsidR="003E1E53" w:rsidRPr="00A92375" w:rsidP="009B2C70" w14:paraId="2FCF4467" w14:textId="1FEC8847">
      <w:pPr>
        <w:pStyle w:val="BodyText"/>
        <w:ind w:left="720"/>
        <w:rPr>
          <w:szCs w:val="24"/>
        </w:rPr>
      </w:pPr>
      <w:r>
        <w:rPr>
          <w:szCs w:val="24"/>
        </w:rPr>
        <w:t xml:space="preserve">There are no questions of sensitive nature in this information collection. </w:t>
      </w:r>
    </w:p>
    <w:p w:rsidR="00A73525" w:rsidRPr="00A92375" w:rsidP="009B2C70" w14:paraId="3D7FFC95" w14:textId="77777777">
      <w:pPr>
        <w:pStyle w:val="BodyText"/>
        <w:ind w:left="720"/>
        <w:rPr>
          <w:szCs w:val="24"/>
        </w:rPr>
      </w:pPr>
    </w:p>
    <w:p w:rsidR="00001E1B" w:rsidP="0057004B" w14:paraId="0D6773EB" w14:textId="5E44E8E4">
      <w:pPr>
        <w:pStyle w:val="Heading1"/>
        <w:numPr>
          <w:ilvl w:val="0"/>
          <w:numId w:val="37"/>
        </w:numPr>
      </w:pPr>
      <w:r w:rsidRPr="00711BA1">
        <w:t>Provide estimates of the hour burden of the collection of information.</w:t>
      </w:r>
      <w:r w:rsidR="00D309FC">
        <w:t xml:space="preserve"> </w:t>
      </w:r>
      <w:r w:rsidRPr="00711BA1">
        <w:t>The statement should</w:t>
      </w:r>
      <w:r w:rsidR="00540514">
        <w:t>:</w:t>
      </w:r>
    </w:p>
    <w:p w:rsidR="00C4178F" w:rsidRPr="00001E1B" w:rsidP="00C4178F" w14:paraId="7B1066AD" w14:textId="57C8D3AA">
      <w:pPr>
        <w:pStyle w:val="ListParagraph"/>
        <w:widowControl/>
        <w:numPr>
          <w:ilvl w:val="0"/>
          <w:numId w:val="36"/>
        </w:numPr>
        <w:tabs>
          <w:tab w:val="left" w:pos="-1440"/>
        </w:tabs>
        <w:rPr>
          <w:bCs w:val="0"/>
          <w:iCs/>
          <w:sz w:val="24"/>
          <w:szCs w:val="24"/>
        </w:rPr>
      </w:pPr>
      <w:r>
        <w:rPr>
          <w:sz w:val="24"/>
          <w:szCs w:val="24"/>
        </w:rPr>
        <w:t>I</w:t>
      </w:r>
      <w:r w:rsidRPr="00001E1B" w:rsidR="00AA1E33">
        <w:rPr>
          <w:sz w:val="24"/>
          <w:szCs w:val="24"/>
        </w:rPr>
        <w:t>ndicate the number of respondents, frequency of response, annual hour burden, and an explanation of how the burden was estimated.</w:t>
      </w:r>
      <w:r w:rsidR="00D309FC">
        <w:rPr>
          <w:sz w:val="24"/>
          <w:szCs w:val="24"/>
        </w:rPr>
        <w:t xml:space="preserve"> </w:t>
      </w:r>
      <w:r w:rsidRPr="00001E1B" w:rsidR="00AA1E33">
        <w:rPr>
          <w:sz w:val="24"/>
          <w:szCs w:val="24"/>
        </w:rPr>
        <w:t>Unless directed to do so, agencies should not conduct special surveys to obtain information on which to base hour burden estimates.</w:t>
      </w:r>
      <w:r w:rsidR="00D309FC">
        <w:rPr>
          <w:sz w:val="24"/>
          <w:szCs w:val="24"/>
        </w:rPr>
        <w:t xml:space="preserve"> </w:t>
      </w:r>
      <w:r w:rsidRPr="00001E1B" w:rsidR="00AA1E33">
        <w:rPr>
          <w:sz w:val="24"/>
          <w:szCs w:val="24"/>
        </w:rPr>
        <w:t>Consultation with a sample (fewer than 10) of potential respondents is desirable.</w:t>
      </w:r>
      <w:r w:rsidR="00D309FC">
        <w:rPr>
          <w:sz w:val="24"/>
          <w:szCs w:val="24"/>
        </w:rPr>
        <w:t xml:space="preserve"> </w:t>
      </w:r>
      <w:r w:rsidRPr="00001E1B" w:rsidR="00AA1E33">
        <w:rPr>
          <w:sz w:val="24"/>
          <w:szCs w:val="24"/>
        </w:rPr>
        <w:t xml:space="preserve">If the hour burden on respondents is expected to vary widely because of differences in activity, size, or complexity, show the range of estimated hour burden, and </w:t>
      </w:r>
      <w:r w:rsidRPr="00001E1B" w:rsidR="00AA1E33">
        <w:rPr>
          <w:sz w:val="24"/>
          <w:szCs w:val="24"/>
        </w:rPr>
        <w:t>explain the reasons for the variance.</w:t>
      </w:r>
      <w:r w:rsidR="00D309FC">
        <w:rPr>
          <w:sz w:val="24"/>
          <w:szCs w:val="24"/>
        </w:rPr>
        <w:t xml:space="preserve"> </w:t>
      </w:r>
      <w:r w:rsidRPr="00001E1B" w:rsidR="00AA1E33">
        <w:rPr>
          <w:sz w:val="24"/>
          <w:szCs w:val="24"/>
        </w:rPr>
        <w:t>Generally, estimates should not include burden hours for customary and usual business practices.</w:t>
      </w:r>
    </w:p>
    <w:p w:rsidR="00C4178F" w:rsidRPr="00111C13" w:rsidP="00111C13" w14:paraId="12500D56" w14:textId="1E1E34A5">
      <w:pPr>
        <w:widowControl/>
        <w:numPr>
          <w:ilvl w:val="0"/>
          <w:numId w:val="10"/>
        </w:numPr>
        <w:tabs>
          <w:tab w:val="left" w:pos="-1440"/>
          <w:tab w:val="clear" w:pos="720"/>
          <w:tab w:val="num" w:pos="1440"/>
        </w:tabs>
        <w:ind w:left="1440"/>
        <w:rPr>
          <w:bCs w:val="0"/>
          <w:iCs/>
          <w:sz w:val="24"/>
          <w:szCs w:val="24"/>
        </w:rPr>
      </w:pPr>
      <w:r w:rsidRPr="002142F2">
        <w:rPr>
          <w:bCs w:val="0"/>
          <w:iCs/>
          <w:sz w:val="24"/>
          <w:szCs w:val="24"/>
        </w:rPr>
        <w:t>If this request for approval covers more than one form, provide separate hour burden estimate</w:t>
      </w:r>
      <w:r>
        <w:rPr>
          <w:bCs w:val="0"/>
          <w:iCs/>
          <w:sz w:val="24"/>
          <w:szCs w:val="24"/>
        </w:rPr>
        <w:t xml:space="preserve">s for each form. </w:t>
      </w:r>
    </w:p>
    <w:p w:rsidR="00C4178F" w:rsidRPr="00111C13" w:rsidP="00111C13" w14:paraId="70EE0C30" w14:textId="22C405D8">
      <w:pPr>
        <w:widowControl/>
        <w:numPr>
          <w:ilvl w:val="0"/>
          <w:numId w:val="10"/>
        </w:numPr>
        <w:tabs>
          <w:tab w:val="left" w:pos="-1440"/>
          <w:tab w:val="clear" w:pos="720"/>
          <w:tab w:val="num" w:pos="1440"/>
        </w:tabs>
        <w:ind w:left="1440"/>
        <w:rPr>
          <w:bCs w:val="0"/>
          <w:iCs/>
          <w:sz w:val="24"/>
          <w:szCs w:val="24"/>
        </w:rPr>
      </w:pPr>
      <w:r w:rsidRPr="00711BA1">
        <w:rPr>
          <w:bCs w:val="0"/>
          <w:iCs/>
          <w:sz w:val="24"/>
          <w:szCs w:val="24"/>
        </w:rPr>
        <w:t>Provide estimates of annualized cost to respondents for the hour burdens for collections of information, identifying and using appropriate wage rate categories.</w:t>
      </w:r>
      <w:r w:rsidR="00D309FC">
        <w:rPr>
          <w:bCs w:val="0"/>
          <w:iCs/>
          <w:sz w:val="24"/>
          <w:szCs w:val="24"/>
        </w:rPr>
        <w:t xml:space="preserve"> </w:t>
      </w:r>
      <w:r w:rsidRPr="00711BA1">
        <w:rPr>
          <w:bCs w:val="0"/>
          <w:iCs/>
          <w:sz w:val="24"/>
          <w:szCs w:val="24"/>
        </w:rPr>
        <w:t>The cost of contracting out or paying outside parties for information collection activities should not be included here.</w:t>
      </w:r>
      <w:r w:rsidR="00D309FC">
        <w:rPr>
          <w:bCs w:val="0"/>
          <w:iCs/>
          <w:sz w:val="24"/>
          <w:szCs w:val="24"/>
        </w:rPr>
        <w:t xml:space="preserve"> </w:t>
      </w:r>
      <w:r w:rsidRPr="00711BA1">
        <w:rPr>
          <w:bCs w:val="0"/>
          <w:iCs/>
          <w:sz w:val="24"/>
          <w:szCs w:val="24"/>
        </w:rPr>
        <w:t>Instead, this cost should be included in Item 14.</w:t>
      </w:r>
    </w:p>
    <w:p w:rsidR="00D158FE" w:rsidP="0057004B" w14:paraId="1B292B7C" w14:textId="78D78221">
      <w:pPr>
        <w:widowControl/>
        <w:numPr>
          <w:ilvl w:val="0"/>
          <w:numId w:val="10"/>
        </w:numPr>
        <w:tabs>
          <w:tab w:val="left" w:pos="-1440"/>
          <w:tab w:val="clear" w:pos="720"/>
          <w:tab w:val="num" w:pos="1440"/>
        </w:tabs>
        <w:ind w:left="1440"/>
        <w:rPr>
          <w:bCs w:val="0"/>
          <w:iCs/>
          <w:sz w:val="24"/>
          <w:szCs w:val="24"/>
        </w:rPr>
      </w:pPr>
      <w:r w:rsidRPr="00711BA1">
        <w:rPr>
          <w:bCs w:val="0"/>
          <w:iCs/>
          <w:sz w:val="24"/>
          <w:szCs w:val="24"/>
        </w:rPr>
        <w:t>The cost of contracting out or paying outside parties for information collection activities should not be included here.</w:t>
      </w:r>
      <w:r w:rsidR="00D309FC">
        <w:rPr>
          <w:bCs w:val="0"/>
          <w:iCs/>
          <w:sz w:val="24"/>
          <w:szCs w:val="24"/>
        </w:rPr>
        <w:t xml:space="preserve"> </w:t>
      </w:r>
      <w:r w:rsidRPr="00711BA1">
        <w:rPr>
          <w:bCs w:val="0"/>
          <w:iCs/>
          <w:sz w:val="24"/>
          <w:szCs w:val="24"/>
        </w:rPr>
        <w:t>Instead, this cost should be included in Item 14.</w:t>
      </w:r>
    </w:p>
    <w:p w:rsidR="0057004B" w:rsidRPr="0057004B" w:rsidP="0057004B" w14:paraId="3262C109" w14:textId="77777777">
      <w:pPr>
        <w:widowControl/>
        <w:tabs>
          <w:tab w:val="left" w:pos="-1440"/>
        </w:tabs>
        <w:ind w:left="1440"/>
        <w:rPr>
          <w:bCs w:val="0"/>
          <w:iCs/>
          <w:sz w:val="24"/>
          <w:szCs w:val="24"/>
        </w:rPr>
      </w:pPr>
    </w:p>
    <w:p w:rsidR="0057004B" w:rsidRPr="00BB08A8" w:rsidP="0057004B" w14:paraId="6F7EFB48" w14:textId="30E5087F">
      <w:pPr>
        <w:autoSpaceDE/>
        <w:autoSpaceDN/>
        <w:adjustRightInd/>
        <w:spacing w:line="480" w:lineRule="auto"/>
        <w:ind w:firstLine="720"/>
        <w:contextualSpacing/>
        <w:rPr>
          <w:rFonts w:eastAsia="Yu Gothic"/>
          <w:sz w:val="24"/>
          <w:szCs w:val="24"/>
          <w:u w:val="single"/>
        </w:rPr>
      </w:pPr>
      <w:r w:rsidRPr="00BB08A8">
        <w:rPr>
          <w:rFonts w:eastAsia="Yu Gothic"/>
          <w:sz w:val="24"/>
          <w:szCs w:val="24"/>
          <w:u w:val="single"/>
        </w:rPr>
        <w:t>Affected Entities</w:t>
      </w:r>
    </w:p>
    <w:p w:rsidR="00D158FE" w:rsidRPr="0057004B" w:rsidP="0057004B" w14:paraId="2E091FDE" w14:textId="711FE41C">
      <w:pPr>
        <w:autoSpaceDE/>
        <w:autoSpaceDN/>
        <w:adjustRightInd/>
        <w:spacing w:line="480" w:lineRule="auto"/>
        <w:ind w:firstLine="720"/>
        <w:contextualSpacing/>
        <w:rPr>
          <w:rFonts w:eastAsia="Yu Gothic"/>
          <w:b w:val="0"/>
          <w:bCs w:val="0"/>
          <w:i/>
          <w:iCs/>
          <w:sz w:val="24"/>
          <w:szCs w:val="24"/>
          <w:u w:val="single"/>
        </w:rPr>
      </w:pPr>
      <w:r w:rsidRPr="0057004B">
        <w:rPr>
          <w:rFonts w:eastAsia="Yu Gothic"/>
          <w:b w:val="0"/>
          <w:bCs w:val="0"/>
          <w:i/>
          <w:iCs/>
          <w:sz w:val="24"/>
          <w:szCs w:val="24"/>
          <w:u w:val="single"/>
        </w:rPr>
        <w:t>Group Health Plans</w:t>
      </w:r>
    </w:p>
    <w:p w:rsidR="006E594F" w:rsidRPr="006E594F" w:rsidP="006E594F" w14:paraId="5BE3290F" w14:textId="469F8C6F">
      <w:pPr>
        <w:ind w:left="720"/>
        <w:rPr>
          <w:rFonts w:eastAsia="Yu Gothic"/>
          <w:b w:val="0"/>
          <w:bCs w:val="0"/>
          <w:sz w:val="24"/>
          <w:szCs w:val="24"/>
        </w:rPr>
      </w:pPr>
      <w:r w:rsidRPr="00A451E9">
        <w:rPr>
          <w:rFonts w:eastAsia="Yu Gothic"/>
          <w:b w:val="0"/>
          <w:bCs w:val="0"/>
          <w:sz w:val="24"/>
          <w:szCs w:val="24"/>
        </w:rPr>
        <w:t>The final rule applies only to a subset of ERISA-covered group health plans, which are self-insured group health plans. Fully insured ERISA plans are not subject to these requirements and are therefore excluded from the estimates.</w:t>
      </w:r>
      <w:r>
        <w:rPr>
          <w:rFonts w:eastAsia="Yu Gothic"/>
          <w:b w:val="0"/>
          <w:bCs w:val="0"/>
          <w:sz w:val="24"/>
          <w:szCs w:val="24"/>
        </w:rPr>
        <w:t xml:space="preserve"> T</w:t>
      </w:r>
      <w:r w:rsidRPr="006E594F">
        <w:rPr>
          <w:rFonts w:eastAsia="Yu Gothic"/>
          <w:b w:val="0"/>
          <w:bCs w:val="0"/>
          <w:sz w:val="24"/>
          <w:szCs w:val="24"/>
        </w:rPr>
        <w:t xml:space="preserve">he final rule applies only to self-insured plans of specified large employers and self-insured group health plans that are specified large plans. A specified large employer generally means an employer that employed an average of at least 100 employees on business days during the preceding calendar year or plan year, as applicable, and that employs at least one employee on the first day of the calendar year or plan year. A specified large plan generally means a group health plan that had an average of at least 100 participants on business days during the preceding calendar year or plan year, as applicable. Self-insured plans with 100 or more participants are used as a proxy for identifying an affected plan. </w:t>
      </w:r>
    </w:p>
    <w:p w:rsidR="00A451E9" w:rsidRPr="00A451E9" w:rsidP="00A451E9" w14:paraId="6FEE30CF" w14:textId="77777777">
      <w:pPr>
        <w:ind w:left="720"/>
        <w:rPr>
          <w:rFonts w:eastAsia="Yu Gothic"/>
          <w:b w:val="0"/>
          <w:bCs w:val="0"/>
          <w:sz w:val="24"/>
          <w:szCs w:val="24"/>
        </w:rPr>
      </w:pPr>
    </w:p>
    <w:p w:rsidR="00B706C9" w:rsidRPr="00B706C9" w:rsidP="00B706C9" w14:paraId="30B59696" w14:textId="77777777">
      <w:pPr>
        <w:ind w:left="720"/>
        <w:rPr>
          <w:rFonts w:eastAsia="Yu Gothic"/>
          <w:b w:val="0"/>
          <w:bCs w:val="0"/>
          <w:sz w:val="24"/>
          <w:szCs w:val="24"/>
        </w:rPr>
      </w:pPr>
      <w:r w:rsidRPr="00B706C9">
        <w:rPr>
          <w:rFonts w:eastAsia="Yu Gothic"/>
          <w:b w:val="0"/>
          <w:bCs w:val="0"/>
          <w:sz w:val="24"/>
          <w:szCs w:val="24"/>
        </w:rPr>
        <w:t>The Department estimates that there are 113,226 self-insured group health plans with 100 to 999 participants and beneficiaries, and 17,876 self-insured group health plans with 1,000 or more participants and beneficiaries.</w:t>
      </w:r>
      <w:r>
        <w:rPr>
          <w:rFonts w:eastAsia="Yu Gothic"/>
          <w:b w:val="0"/>
          <w:bCs w:val="0"/>
          <w:sz w:val="24"/>
          <w:szCs w:val="24"/>
          <w:vertAlign w:val="superscript"/>
        </w:rPr>
        <w:footnoteReference w:id="16"/>
      </w:r>
      <w:r w:rsidRPr="00B706C9">
        <w:rPr>
          <w:rFonts w:eastAsia="Yu Gothic"/>
          <w:b w:val="0"/>
          <w:bCs w:val="0"/>
          <w:sz w:val="24"/>
          <w:szCs w:val="24"/>
        </w:rPr>
        <w:t xml:space="preserve"> While all 131,102 of these plans are considered self-insured group health plans, the Department uses this distinction to categorize self-insured group health plans by size and other unique features. The 2025 KFF Employer Health Benefits Survey also found that nearly all covered workers (99 percent) are at firms that provide prescription drug benefits to enrollees in their group </w:t>
      </w:r>
      <w:r w:rsidRPr="00B706C9">
        <w:rPr>
          <w:rFonts w:eastAsia="Yu Gothic"/>
          <w:b w:val="0"/>
          <w:bCs w:val="0"/>
          <w:sz w:val="24"/>
          <w:szCs w:val="24"/>
        </w:rPr>
        <w:t>health plans.</w:t>
      </w:r>
      <w:r>
        <w:rPr>
          <w:rFonts w:eastAsia="Yu Gothic"/>
          <w:b w:val="0"/>
          <w:bCs w:val="0"/>
          <w:sz w:val="24"/>
          <w:szCs w:val="24"/>
          <w:vertAlign w:val="superscript"/>
        </w:rPr>
        <w:footnoteReference w:id="17"/>
      </w:r>
      <w:r w:rsidRPr="00B706C9">
        <w:rPr>
          <w:rFonts w:eastAsia="Yu Gothic"/>
          <w:b w:val="0"/>
          <w:bCs w:val="0"/>
          <w:sz w:val="24"/>
          <w:szCs w:val="24"/>
          <w:vertAlign w:val="superscript"/>
        </w:rPr>
        <w:t>,</w:t>
      </w:r>
      <w:r>
        <w:rPr>
          <w:rFonts w:eastAsia="Yu Gothic"/>
          <w:b w:val="0"/>
          <w:bCs w:val="0"/>
          <w:sz w:val="24"/>
          <w:szCs w:val="24"/>
          <w:vertAlign w:val="superscript"/>
        </w:rPr>
        <w:footnoteReference w:id="18"/>
      </w:r>
      <w:r w:rsidRPr="00B706C9">
        <w:rPr>
          <w:rFonts w:eastAsia="Yu Gothic"/>
          <w:b w:val="0"/>
          <w:bCs w:val="0"/>
          <w:sz w:val="24"/>
          <w:szCs w:val="24"/>
        </w:rPr>
        <w:t xml:space="preserve"> As such, the Department assumes that all large, self-insured group health plans will be affected by the final rule.</w:t>
      </w:r>
    </w:p>
    <w:p w:rsidR="00A72A1B" w:rsidP="0057004B" w14:paraId="568F325F" w14:textId="77777777">
      <w:pPr>
        <w:ind w:firstLine="720"/>
        <w:rPr>
          <w:rFonts w:eastAsia="Yu Gothic Light"/>
          <w:b w:val="0"/>
          <w:bCs w:val="0"/>
          <w:i/>
          <w:iCs/>
          <w:color w:val="000000"/>
          <w:sz w:val="24"/>
          <w:szCs w:val="24"/>
          <w:u w:val="single"/>
        </w:rPr>
      </w:pPr>
    </w:p>
    <w:p w:rsidR="00D158FE" w:rsidRPr="0057004B" w:rsidP="0057004B" w14:paraId="2207D6EE" w14:textId="45688A51">
      <w:pPr>
        <w:ind w:firstLine="720"/>
        <w:rPr>
          <w:rFonts w:eastAsia="Yu Gothic Light"/>
          <w:b w:val="0"/>
          <w:bCs w:val="0"/>
          <w:i/>
          <w:iCs/>
          <w:color w:val="000000"/>
          <w:sz w:val="24"/>
          <w:szCs w:val="24"/>
          <w:u w:val="single"/>
        </w:rPr>
      </w:pPr>
      <w:r w:rsidRPr="00D158FE">
        <w:rPr>
          <w:rFonts w:eastAsia="Yu Gothic Light"/>
          <w:b w:val="0"/>
          <w:bCs w:val="0"/>
          <w:i/>
          <w:iCs/>
          <w:color w:val="000000"/>
          <w:sz w:val="24"/>
          <w:szCs w:val="24"/>
          <w:u w:val="single"/>
        </w:rPr>
        <w:t xml:space="preserve">TPAs and Issuers </w:t>
      </w:r>
    </w:p>
    <w:p w:rsidR="0057004B" w:rsidRPr="00D158FE" w:rsidP="0057004B" w14:paraId="431DC583" w14:textId="77777777"/>
    <w:p w:rsidR="00C51AF7" w:rsidRPr="00C51AF7" w:rsidP="00C51AF7" w14:paraId="0DDCF848" w14:textId="77777777">
      <w:pPr>
        <w:widowControl/>
        <w:tabs>
          <w:tab w:val="left" w:pos="-1440"/>
        </w:tabs>
        <w:ind w:left="720"/>
        <w:rPr>
          <w:rFonts w:eastAsia="Yu Gothic"/>
          <w:b w:val="0"/>
          <w:bCs w:val="0"/>
          <w:sz w:val="24"/>
          <w:szCs w:val="24"/>
        </w:rPr>
      </w:pPr>
      <w:r w:rsidRPr="00C51AF7">
        <w:rPr>
          <w:rFonts w:eastAsia="Yu Gothic"/>
          <w:b w:val="0"/>
          <w:bCs w:val="0"/>
          <w:sz w:val="24"/>
          <w:szCs w:val="24"/>
        </w:rPr>
        <w:t>The Department also estimates that the final rule will affect 205 TPAs and 373 issuers (i.e., health insurance companies) in the group market with 809 issuers/State combinations</w:t>
      </w:r>
      <w:r>
        <w:rPr>
          <w:rFonts w:eastAsia="Yu Gothic"/>
          <w:b w:val="0"/>
          <w:bCs w:val="0"/>
          <w:sz w:val="24"/>
          <w:szCs w:val="24"/>
          <w:vertAlign w:val="superscript"/>
        </w:rPr>
        <w:footnoteReference w:id="19"/>
      </w:r>
      <w:r w:rsidRPr="00C51AF7">
        <w:rPr>
          <w:rFonts w:eastAsia="Yu Gothic"/>
          <w:b w:val="0"/>
          <w:bCs w:val="0"/>
          <w:sz w:val="24"/>
          <w:szCs w:val="24"/>
        </w:rPr>
        <w:t xml:space="preserve"> that provide services such as plan management to self-insured group health plans. The Department assumes that these TPAs and issuers will provide their services to self-insured group health plans with fewer than 1,000 participants and beneficiaries. TPAs and issuers are typically hired by self-insured group health plans to perform key administrative and compliance functions, including claims processing, formulary design, and oversight of pharmacy benefits. These service providers will offer economies of scale in regulatory compliance by leveraging their expertise and infrastructure to implement the final rule’s requirements on behalf of multiple self-insured group health plans. While responsible plan fiduciaries remain ultimately responsible for ensuring compliance, they rely on TPAs and issuers to manage the day-to-day operations of the self-insured group health plan and fulfill the requirements of the final rule. Plans may contract with the TPAs or issuers, who in turn sub-contract with PBMs. In that case, the TPAs or issuers would be covered service providers. The TPAs or issuers would be responsible for making the disclosures to the self-insured group health plan as required under the final rule and therefore must be able to obtain information from the provider performing the pharmacy benefit management services necessary for those disclosures. </w:t>
      </w:r>
    </w:p>
    <w:p w:rsidR="00D309FC" w:rsidP="00714313" w14:paraId="2517C1F8" w14:textId="77777777">
      <w:pPr>
        <w:widowControl/>
        <w:tabs>
          <w:tab w:val="left" w:pos="-1440"/>
        </w:tabs>
        <w:ind w:left="720"/>
        <w:rPr>
          <w:b w:val="0"/>
          <w:bCs w:val="0"/>
          <w:iCs/>
          <w:sz w:val="24"/>
          <w:szCs w:val="24"/>
        </w:rPr>
      </w:pPr>
    </w:p>
    <w:p w:rsidR="00D158FE" w:rsidP="00D158FE" w14:paraId="7BAEC43B" w14:textId="370CE910">
      <w:pPr>
        <w:widowControl/>
        <w:tabs>
          <w:tab w:val="left" w:pos="-1440"/>
        </w:tabs>
        <w:ind w:left="720"/>
        <w:rPr>
          <w:b w:val="0"/>
          <w:bCs w:val="0"/>
          <w:iCs/>
          <w:sz w:val="24"/>
          <w:szCs w:val="24"/>
          <w:vertAlign w:val="superscript"/>
        </w:rPr>
      </w:pPr>
      <w:r w:rsidRPr="00545F04">
        <w:rPr>
          <w:b w:val="0"/>
          <w:bCs w:val="0"/>
          <w:iCs/>
          <w:sz w:val="24"/>
          <w:szCs w:val="24"/>
        </w:rPr>
        <w:t xml:space="preserve">The </w:t>
      </w:r>
      <w:r w:rsidRPr="00D04384">
        <w:rPr>
          <w:b w:val="0"/>
          <w:bCs w:val="0"/>
          <w:iCs/>
          <w:sz w:val="24"/>
          <w:szCs w:val="24"/>
        </w:rPr>
        <w:t>following wage rates were used in this analysis: $</w:t>
      </w:r>
      <w:r w:rsidR="00102D80">
        <w:rPr>
          <w:b w:val="0"/>
          <w:bCs w:val="0"/>
          <w:iCs/>
          <w:sz w:val="24"/>
          <w:szCs w:val="24"/>
        </w:rPr>
        <w:t>187.58</w:t>
      </w:r>
      <w:r w:rsidRPr="00D04384">
        <w:rPr>
          <w:b w:val="0"/>
          <w:bCs w:val="0"/>
          <w:iCs/>
          <w:sz w:val="24"/>
          <w:szCs w:val="24"/>
        </w:rPr>
        <w:t xml:space="preserve"> (legal professional), $</w:t>
      </w:r>
      <w:r w:rsidR="00102D80">
        <w:rPr>
          <w:b w:val="0"/>
          <w:bCs w:val="0"/>
          <w:iCs/>
          <w:sz w:val="24"/>
          <w:szCs w:val="24"/>
        </w:rPr>
        <w:t>178.08</w:t>
      </w:r>
      <w:r w:rsidRPr="00D04384">
        <w:rPr>
          <w:b w:val="0"/>
          <w:bCs w:val="0"/>
          <w:iCs/>
          <w:sz w:val="24"/>
          <w:szCs w:val="24"/>
        </w:rPr>
        <w:t xml:space="preserve"> (IT professional), $</w:t>
      </w:r>
      <w:r w:rsidR="00102D80">
        <w:rPr>
          <w:b w:val="0"/>
          <w:bCs w:val="0"/>
          <w:iCs/>
          <w:sz w:val="24"/>
          <w:szCs w:val="24"/>
        </w:rPr>
        <w:t>124.74</w:t>
      </w:r>
      <w:r w:rsidRPr="00D04384">
        <w:rPr>
          <w:b w:val="0"/>
          <w:bCs w:val="0"/>
          <w:iCs/>
          <w:sz w:val="24"/>
          <w:szCs w:val="24"/>
        </w:rPr>
        <w:t xml:space="preserve"> (benefit specialist)</w:t>
      </w:r>
      <w:r w:rsidRPr="00D04384" w:rsidR="00D04384">
        <w:rPr>
          <w:b w:val="0"/>
          <w:bCs w:val="0"/>
          <w:iCs/>
          <w:sz w:val="24"/>
          <w:szCs w:val="24"/>
        </w:rPr>
        <w:t xml:space="preserve">, </w:t>
      </w:r>
      <w:r w:rsidRPr="004E3DAA" w:rsidR="004E3DAA">
        <w:rPr>
          <w:b w:val="0"/>
          <w:bCs w:val="0"/>
          <w:iCs/>
          <w:sz w:val="24"/>
          <w:szCs w:val="24"/>
        </w:rPr>
        <w:t xml:space="preserve">$131.29 </w:t>
      </w:r>
      <w:r w:rsidR="00D04384">
        <w:rPr>
          <w:b w:val="0"/>
          <w:bCs w:val="0"/>
          <w:iCs/>
          <w:sz w:val="24"/>
          <w:szCs w:val="24"/>
        </w:rPr>
        <w:t>(</w:t>
      </w:r>
      <w:r w:rsidRPr="00D04384" w:rsidR="00D04384">
        <w:rPr>
          <w:b w:val="0"/>
          <w:bCs w:val="0"/>
          <w:color w:val="000000" w:themeColor="text1"/>
          <w:sz w:val="24"/>
          <w:szCs w:val="24"/>
        </w:rPr>
        <w:t>project management specialists</w:t>
      </w:r>
      <w:r w:rsidR="00D04384">
        <w:rPr>
          <w:b w:val="0"/>
          <w:bCs w:val="0"/>
          <w:color w:val="000000" w:themeColor="text1"/>
          <w:sz w:val="24"/>
          <w:szCs w:val="24"/>
        </w:rPr>
        <w:t>)</w:t>
      </w:r>
      <w:r w:rsidRPr="00D04384" w:rsidR="00D04384">
        <w:rPr>
          <w:b w:val="0"/>
          <w:bCs w:val="0"/>
          <w:color w:val="000000" w:themeColor="text1"/>
          <w:sz w:val="24"/>
          <w:szCs w:val="24"/>
        </w:rPr>
        <w:t xml:space="preserve">, </w:t>
      </w:r>
      <w:r w:rsidRPr="00373162" w:rsidR="00373162">
        <w:rPr>
          <w:b w:val="0"/>
          <w:bCs w:val="0"/>
          <w:color w:val="000000" w:themeColor="text1"/>
          <w:sz w:val="24"/>
          <w:szCs w:val="24"/>
        </w:rPr>
        <w:t xml:space="preserve">$124.74 </w:t>
      </w:r>
      <w:r w:rsidR="00D04384">
        <w:rPr>
          <w:b w:val="0"/>
          <w:bCs w:val="0"/>
          <w:color w:val="000000" w:themeColor="text1"/>
          <w:sz w:val="24"/>
          <w:szCs w:val="24"/>
        </w:rPr>
        <w:t>(</w:t>
      </w:r>
      <w:r w:rsidRPr="00D04384" w:rsidR="00D04384">
        <w:rPr>
          <w:b w:val="0"/>
          <w:bCs w:val="0"/>
          <w:color w:val="000000" w:themeColor="text1"/>
          <w:sz w:val="24"/>
          <w:szCs w:val="24"/>
        </w:rPr>
        <w:t xml:space="preserve">business operations specialists), and </w:t>
      </w:r>
      <w:r w:rsidRPr="00373162" w:rsidR="00373162">
        <w:rPr>
          <w:b w:val="0"/>
          <w:bCs w:val="0"/>
          <w:color w:val="000000" w:themeColor="text1"/>
          <w:sz w:val="24"/>
          <w:szCs w:val="24"/>
        </w:rPr>
        <w:t xml:space="preserve">$178.08 </w:t>
      </w:r>
      <w:r w:rsidR="00D04384">
        <w:rPr>
          <w:b w:val="0"/>
          <w:bCs w:val="0"/>
          <w:color w:val="000000" w:themeColor="text1"/>
          <w:sz w:val="24"/>
          <w:szCs w:val="24"/>
        </w:rPr>
        <w:t>(</w:t>
      </w:r>
      <w:r w:rsidRPr="00D04384" w:rsidR="00D04384">
        <w:rPr>
          <w:b w:val="0"/>
          <w:bCs w:val="0"/>
          <w:color w:val="000000" w:themeColor="text1"/>
          <w:sz w:val="24"/>
          <w:szCs w:val="24"/>
        </w:rPr>
        <w:t xml:space="preserve">software and web developers, programmers, and </w:t>
      </w:r>
      <w:r w:rsidR="00D04384">
        <w:rPr>
          <w:b w:val="0"/>
          <w:bCs w:val="0"/>
          <w:color w:val="000000" w:themeColor="text1"/>
          <w:sz w:val="24"/>
          <w:szCs w:val="24"/>
        </w:rPr>
        <w:t>testers)</w:t>
      </w:r>
      <w:r w:rsidRPr="00D04384">
        <w:rPr>
          <w:b w:val="0"/>
          <w:bCs w:val="0"/>
          <w:iCs/>
          <w:sz w:val="24"/>
          <w:szCs w:val="24"/>
        </w:rPr>
        <w:t>.</w:t>
      </w:r>
      <w:r>
        <w:rPr>
          <w:b w:val="0"/>
          <w:bCs w:val="0"/>
          <w:iCs/>
          <w:sz w:val="24"/>
          <w:szCs w:val="24"/>
          <w:vertAlign w:val="superscript"/>
        </w:rPr>
        <w:footnoteReference w:id="20"/>
      </w:r>
      <w:r w:rsidRPr="00545F04">
        <w:rPr>
          <w:b w:val="0"/>
          <w:bCs w:val="0"/>
          <w:iCs/>
          <w:sz w:val="24"/>
          <w:szCs w:val="24"/>
          <w:vertAlign w:val="superscript"/>
        </w:rPr>
        <w:t xml:space="preserve"> </w:t>
      </w:r>
    </w:p>
    <w:p w:rsidR="00956DD0" w:rsidP="00D158FE" w14:paraId="3C0141BA" w14:textId="77777777">
      <w:pPr>
        <w:widowControl/>
        <w:tabs>
          <w:tab w:val="left" w:pos="-1440"/>
        </w:tabs>
        <w:ind w:left="720"/>
        <w:rPr>
          <w:b w:val="0"/>
          <w:bCs w:val="0"/>
          <w:iCs/>
          <w:sz w:val="24"/>
          <w:szCs w:val="24"/>
          <w:vertAlign w:val="superscript"/>
        </w:rPr>
      </w:pPr>
    </w:p>
    <w:p w:rsidR="00956DD0" w:rsidRPr="00BB08A8" w:rsidP="00BB08A8" w14:paraId="0BCB6378" w14:textId="242CECEA">
      <w:pPr>
        <w:pStyle w:val="ListParagraph"/>
        <w:widowControl/>
        <w:numPr>
          <w:ilvl w:val="0"/>
          <w:numId w:val="44"/>
        </w:numPr>
        <w:tabs>
          <w:tab w:val="left" w:pos="-1440"/>
        </w:tabs>
        <w:rPr>
          <w:sz w:val="24"/>
          <w:szCs w:val="24"/>
          <w:u w:val="single"/>
        </w:rPr>
      </w:pPr>
      <w:r>
        <w:rPr>
          <w:sz w:val="24"/>
          <w:szCs w:val="24"/>
          <w:u w:val="single"/>
        </w:rPr>
        <w:t xml:space="preserve"> </w:t>
      </w:r>
      <w:r w:rsidRPr="00BB08A8">
        <w:rPr>
          <w:sz w:val="24"/>
          <w:szCs w:val="24"/>
          <w:u w:val="single"/>
        </w:rPr>
        <w:t>IT Infrastructure Costs</w:t>
      </w:r>
    </w:p>
    <w:p w:rsidR="00F95CF4" w:rsidRPr="00F95CF4" w:rsidP="008A2E3D" w14:paraId="63A87ED6" w14:textId="77777777">
      <w:pPr>
        <w:widowControl/>
        <w:tabs>
          <w:tab w:val="left" w:pos="-1440"/>
        </w:tabs>
        <w:rPr>
          <w:b w:val="0"/>
          <w:bCs w:val="0"/>
          <w:iCs/>
          <w:sz w:val="24"/>
          <w:szCs w:val="24"/>
        </w:rPr>
      </w:pPr>
    </w:p>
    <w:p w:rsidR="00267E1D" w:rsidP="00267E1D" w14:paraId="77E428B6" w14:textId="73BF89F7">
      <w:pPr>
        <w:widowControl/>
        <w:tabs>
          <w:tab w:val="left" w:pos="-1440"/>
        </w:tabs>
        <w:ind w:left="720"/>
        <w:rPr>
          <w:b w:val="0"/>
          <w:bCs w:val="0"/>
          <w:iCs/>
          <w:sz w:val="24"/>
          <w:szCs w:val="24"/>
        </w:rPr>
      </w:pPr>
      <w:r w:rsidRPr="00267E1D">
        <w:rPr>
          <w:b w:val="0"/>
          <w:bCs w:val="0"/>
          <w:iCs/>
          <w:sz w:val="24"/>
          <w:szCs w:val="24"/>
        </w:rPr>
        <w:t>the</w:t>
      </w:r>
      <w:r w:rsidRPr="00267E1D">
        <w:rPr>
          <w:b w:val="0"/>
          <w:bCs w:val="0"/>
          <w:iCs/>
          <w:sz w:val="24"/>
          <w:szCs w:val="24"/>
        </w:rPr>
        <w:t xml:space="preserve"> Department believes that most PBMs already have the required information needed to fulfill the disclosure requirements, as they manage complex healthcare operations and track the flow of pharmaceuticals and payments within the healthcare system as part of their regular business practices. Moreover, PBMs already provide this information, or elements of it, to self-insured group health plans and other entities, as required under the CAA, 2021 and State laws.</w:t>
      </w:r>
      <w:r>
        <w:rPr>
          <w:b w:val="0"/>
          <w:bCs w:val="0"/>
          <w:iCs/>
          <w:sz w:val="24"/>
          <w:szCs w:val="24"/>
          <w:vertAlign w:val="superscript"/>
        </w:rPr>
        <w:footnoteReference w:id="21"/>
      </w:r>
      <w:r w:rsidRPr="00267E1D">
        <w:rPr>
          <w:b w:val="0"/>
          <w:bCs w:val="0"/>
          <w:iCs/>
          <w:sz w:val="24"/>
          <w:szCs w:val="24"/>
        </w:rPr>
        <w:t xml:space="preserve"> Therefore, the Department does not expect that PBMs will need to devote significant resources to obtain or share information on the services provided under the agreement, direct and indirect compensation, rebates, drug prices and the pricing methodology, reimbursement rates, formulary placement incentives, and agreements with agents, affiliates and subcontractors. </w:t>
      </w:r>
    </w:p>
    <w:p w:rsidR="00267E1D" w:rsidRPr="00267E1D" w:rsidP="00267E1D" w14:paraId="5C31D382" w14:textId="77777777">
      <w:pPr>
        <w:widowControl/>
        <w:tabs>
          <w:tab w:val="left" w:pos="-1440"/>
        </w:tabs>
        <w:ind w:left="720"/>
        <w:rPr>
          <w:b w:val="0"/>
          <w:bCs w:val="0"/>
          <w:iCs/>
          <w:sz w:val="24"/>
          <w:szCs w:val="24"/>
        </w:rPr>
      </w:pPr>
    </w:p>
    <w:p w:rsidR="00267E1D" w:rsidP="00267E1D" w14:paraId="06FAB7D8" w14:textId="161CC9FC">
      <w:pPr>
        <w:widowControl/>
        <w:tabs>
          <w:tab w:val="left" w:pos="-1440"/>
        </w:tabs>
        <w:ind w:left="720"/>
        <w:rPr>
          <w:b w:val="0"/>
          <w:bCs w:val="0"/>
          <w:iCs/>
          <w:sz w:val="24"/>
          <w:szCs w:val="24"/>
        </w:rPr>
      </w:pPr>
      <w:r w:rsidRPr="00267E1D">
        <w:rPr>
          <w:b w:val="0"/>
          <w:bCs w:val="0"/>
          <w:iCs/>
          <w:sz w:val="24"/>
          <w:szCs w:val="24"/>
        </w:rPr>
        <w:t>Nonetheless, greater transparency could identify practices such as rebates and spread pricing that are often regarded as hidden revenue mechanisms. As a result, PBMs may explore alternative revenue strategies, including fee-based models, and renegotiate contracts with self-insured group health plans, manufacturers, and wholesalers. Moreover, the Department anticipates that PBMs will need to revise current disclosure documents to include: revised definitions of contract terms that are objectively determinable; a description of all arrangements and compensation received by the PBM and any agents, affiliates or subcontractors related to providing these benefits; pricing and reimbursement information for all drugs on the formulary by distribution channel; more detailed descriptions of the services provided including the development and ongoing management of the formulary; as well as projecting potential costs and extracting actual payments to the level stipulated in this final rule. The Department acknowledges that these updates and revisions may require substantial effort and coordination by PBMs and their agents, affiliates and subcontractors.</w:t>
      </w:r>
    </w:p>
    <w:p w:rsidR="00267E1D" w:rsidRPr="00267E1D" w:rsidP="00267E1D" w14:paraId="1E09EF27" w14:textId="5B1BAAD2">
      <w:pPr>
        <w:widowControl/>
        <w:tabs>
          <w:tab w:val="left" w:pos="-1440"/>
        </w:tabs>
        <w:ind w:left="720"/>
        <w:rPr>
          <w:b w:val="0"/>
          <w:bCs w:val="0"/>
          <w:iCs/>
          <w:sz w:val="24"/>
          <w:szCs w:val="24"/>
        </w:rPr>
      </w:pPr>
      <w:r w:rsidRPr="00267E1D">
        <w:rPr>
          <w:b w:val="0"/>
          <w:bCs w:val="0"/>
          <w:iCs/>
          <w:sz w:val="24"/>
          <w:szCs w:val="24"/>
        </w:rPr>
        <w:t xml:space="preserve"> </w:t>
      </w:r>
    </w:p>
    <w:p w:rsidR="00267E1D" w:rsidRPr="00267E1D" w:rsidP="00267E1D" w14:paraId="5B6B9855" w14:textId="29607092">
      <w:pPr>
        <w:widowControl/>
        <w:tabs>
          <w:tab w:val="left" w:pos="-1440"/>
        </w:tabs>
        <w:ind w:left="720"/>
        <w:rPr>
          <w:b w:val="0"/>
          <w:bCs w:val="0"/>
          <w:iCs/>
          <w:sz w:val="24"/>
          <w:szCs w:val="24"/>
        </w:rPr>
      </w:pPr>
      <w:r w:rsidRPr="00267E1D">
        <w:rPr>
          <w:b w:val="0"/>
          <w:bCs w:val="0"/>
          <w:iCs/>
          <w:sz w:val="24"/>
          <w:szCs w:val="24"/>
        </w:rPr>
        <w:t xml:space="preserve">In Table </w:t>
      </w:r>
      <w:r>
        <w:rPr>
          <w:b w:val="0"/>
          <w:bCs w:val="0"/>
          <w:iCs/>
          <w:sz w:val="24"/>
          <w:szCs w:val="24"/>
        </w:rPr>
        <w:t>1</w:t>
      </w:r>
      <w:r w:rsidRPr="00267E1D">
        <w:rPr>
          <w:b w:val="0"/>
          <w:bCs w:val="0"/>
          <w:iCs/>
          <w:sz w:val="24"/>
          <w:szCs w:val="24"/>
        </w:rPr>
        <w:t>, the Department estimates the costs associated with PBMs developing and maintaining the IT infrastructure system necessary to collect and report the required data. To develop these estimates, the Department reviewed IT infrastructure costs associated with reporting complex, sensitive, or high-frequency data for similar disclosure regulations, including Prescription Drug Data Collection,</w:t>
      </w:r>
      <w:r>
        <w:rPr>
          <w:b w:val="0"/>
          <w:bCs w:val="0"/>
          <w:iCs/>
          <w:sz w:val="24"/>
          <w:szCs w:val="24"/>
          <w:vertAlign w:val="superscript"/>
        </w:rPr>
        <w:footnoteReference w:id="22"/>
      </w:r>
      <w:r w:rsidRPr="00267E1D">
        <w:rPr>
          <w:b w:val="0"/>
          <w:bCs w:val="0"/>
          <w:iCs/>
          <w:sz w:val="24"/>
          <w:szCs w:val="24"/>
        </w:rPr>
        <w:t xml:space="preserve"> ACA Medical Loss Ratio (MLR) Reporting,</w:t>
      </w:r>
      <w:r>
        <w:rPr>
          <w:b w:val="0"/>
          <w:bCs w:val="0"/>
          <w:iCs/>
          <w:sz w:val="24"/>
          <w:szCs w:val="24"/>
          <w:vertAlign w:val="superscript"/>
        </w:rPr>
        <w:footnoteReference w:id="23"/>
      </w:r>
      <w:r w:rsidRPr="00267E1D">
        <w:rPr>
          <w:b w:val="0"/>
          <w:bCs w:val="0"/>
          <w:iCs/>
          <w:sz w:val="24"/>
          <w:szCs w:val="24"/>
        </w:rPr>
        <w:t xml:space="preserve"> Medicare Part D Reporting Requirements,</w:t>
      </w:r>
      <w:r>
        <w:rPr>
          <w:b w:val="0"/>
          <w:bCs w:val="0"/>
          <w:iCs/>
          <w:sz w:val="24"/>
          <w:szCs w:val="24"/>
          <w:vertAlign w:val="superscript"/>
        </w:rPr>
        <w:footnoteReference w:id="24"/>
      </w:r>
      <w:r w:rsidRPr="00267E1D">
        <w:rPr>
          <w:b w:val="0"/>
          <w:bCs w:val="0"/>
          <w:iCs/>
          <w:sz w:val="24"/>
          <w:szCs w:val="24"/>
        </w:rPr>
        <w:t xml:space="preserve"> and the Hospital Price Transparency Requirements.</w:t>
      </w:r>
      <w:r>
        <w:rPr>
          <w:b w:val="0"/>
          <w:bCs w:val="0"/>
          <w:iCs/>
          <w:sz w:val="24"/>
          <w:szCs w:val="24"/>
          <w:vertAlign w:val="superscript"/>
        </w:rPr>
        <w:footnoteReference w:id="25"/>
      </w:r>
      <w:r w:rsidRPr="00267E1D">
        <w:rPr>
          <w:b w:val="0"/>
          <w:bCs w:val="0"/>
          <w:iCs/>
          <w:sz w:val="24"/>
          <w:szCs w:val="24"/>
        </w:rPr>
        <w:t xml:space="preserve"> Of these rules, the IT costs associated with Prescription </w:t>
      </w:r>
      <w:r w:rsidRPr="00267E1D">
        <w:rPr>
          <w:b w:val="0"/>
          <w:bCs w:val="0"/>
          <w:iCs/>
          <w:sz w:val="24"/>
          <w:szCs w:val="24"/>
        </w:rPr>
        <w:t xml:space="preserve">Drug Data Collection rule seemed most analogous to this final rule, as it specifically identified costs for PBMs to develop, implement, and maintain IT system changes to come into compliance with rulemaking related to prescription drug disclosures. </w:t>
      </w:r>
    </w:p>
    <w:p w:rsidR="00267E1D" w:rsidP="00267E1D" w14:paraId="60B1C043" w14:textId="697D88C2">
      <w:pPr>
        <w:widowControl/>
        <w:tabs>
          <w:tab w:val="left" w:pos="-1440"/>
        </w:tabs>
        <w:ind w:left="720"/>
        <w:rPr>
          <w:b w:val="0"/>
          <w:bCs w:val="0"/>
          <w:iCs/>
          <w:sz w:val="24"/>
          <w:szCs w:val="24"/>
        </w:rPr>
      </w:pPr>
      <w:r w:rsidRPr="00267E1D">
        <w:rPr>
          <w:b w:val="0"/>
          <w:bCs w:val="0"/>
          <w:iCs/>
          <w:sz w:val="24"/>
          <w:szCs w:val="24"/>
        </w:rPr>
        <w:t>The Department used the Prescription Drug Data Collection rule as a benchmark but made a few notable adjustments. First, because the Department of Health and Human Services utilizes a different source for labor categories and wage rates than the Department, that information was mapped to the Department’s source. Additionally, the hour burdens from the Prescription Drug Data Collection</w:t>
      </w:r>
      <w:r w:rsidRPr="00267E1D">
        <w:rPr>
          <w:b w:val="0"/>
          <w:bCs w:val="0"/>
          <w:iCs/>
          <w:sz w:val="24"/>
          <w:szCs w:val="24"/>
        </w:rPr>
        <w:t xml:space="preserve"> </w:t>
      </w:r>
      <w:r w:rsidRPr="00267E1D">
        <w:rPr>
          <w:b w:val="0"/>
          <w:bCs w:val="0"/>
          <w:iCs/>
          <w:sz w:val="24"/>
          <w:szCs w:val="24"/>
        </w:rPr>
        <w:t>rule were adjusted downward by 50 percent to account for both the Prescription Drug Data Collection</w:t>
      </w:r>
      <w:r w:rsidRPr="00267E1D">
        <w:rPr>
          <w:b w:val="0"/>
          <w:bCs w:val="0"/>
          <w:iCs/>
          <w:sz w:val="24"/>
          <w:szCs w:val="24"/>
        </w:rPr>
        <w:t xml:space="preserve"> </w:t>
      </w:r>
      <w:r w:rsidRPr="00267E1D">
        <w:rPr>
          <w:b w:val="0"/>
          <w:bCs w:val="0"/>
          <w:iCs/>
          <w:sz w:val="24"/>
          <w:szCs w:val="24"/>
        </w:rPr>
        <w:t xml:space="preserve">rule requiring additional information and calculations not found in this final rule, and the fact that the final rule relies on contract and pricing data that PBMs already track for commercial and compliance purposes, which should mitigate the associated costs. Finally, while data submission began in the second year for Prescription Drug Data Collection disclosures, the final rule requires reporting in the first year, and so the Department reallocated hour burdens from Prescription Drug Data Collection’s second year into </w:t>
      </w:r>
      <w:r w:rsidRPr="00267E1D">
        <w:rPr>
          <w:b w:val="0"/>
          <w:bCs w:val="0"/>
          <w:iCs/>
          <w:sz w:val="24"/>
          <w:szCs w:val="24"/>
        </w:rPr>
        <w:t>first and subsequent year</w:t>
      </w:r>
      <w:r w:rsidRPr="00267E1D">
        <w:rPr>
          <w:b w:val="0"/>
          <w:bCs w:val="0"/>
          <w:iCs/>
          <w:sz w:val="24"/>
          <w:szCs w:val="24"/>
        </w:rPr>
        <w:t xml:space="preserve"> categories for the final rule. Based on these considerations, the Department estimates the average, first-year per-PBM cost for designing, developing, and implementing the IT system to be $1,100,000.</w:t>
      </w:r>
      <w:r>
        <w:rPr>
          <w:b w:val="0"/>
          <w:bCs w:val="0"/>
          <w:iCs/>
          <w:sz w:val="24"/>
          <w:szCs w:val="24"/>
          <w:vertAlign w:val="superscript"/>
        </w:rPr>
        <w:footnoteReference w:id="26"/>
      </w:r>
      <w:r w:rsidRPr="00267E1D">
        <w:rPr>
          <w:b w:val="0"/>
          <w:bCs w:val="0"/>
          <w:iCs/>
          <w:sz w:val="24"/>
          <w:szCs w:val="24"/>
        </w:rPr>
        <w:t xml:space="preserve"> In subsequent years, the estimated per-PBM average cost for maintaining and updating the IT system is $300,000.</w:t>
      </w:r>
      <w:r>
        <w:rPr>
          <w:b w:val="0"/>
          <w:bCs w:val="0"/>
          <w:iCs/>
          <w:sz w:val="24"/>
          <w:szCs w:val="24"/>
          <w:vertAlign w:val="superscript"/>
        </w:rPr>
        <w:footnoteReference w:id="27"/>
      </w:r>
      <w:r w:rsidRPr="00267E1D">
        <w:rPr>
          <w:b w:val="0"/>
          <w:bCs w:val="0"/>
          <w:iCs/>
          <w:sz w:val="24"/>
          <w:szCs w:val="24"/>
        </w:rPr>
        <w:t xml:space="preserve"> This includes providing quality assurance, conducting maintenance and making updates, and updating any needed security measures. </w:t>
      </w:r>
    </w:p>
    <w:p w:rsidR="00267E1D" w:rsidRPr="00267E1D" w:rsidP="00267E1D" w14:paraId="437A1242" w14:textId="77777777">
      <w:pPr>
        <w:widowControl/>
        <w:tabs>
          <w:tab w:val="left" w:pos="-1440"/>
        </w:tabs>
        <w:ind w:left="720"/>
        <w:rPr>
          <w:b w:val="0"/>
          <w:bCs w:val="0"/>
          <w:iCs/>
          <w:sz w:val="24"/>
          <w:szCs w:val="24"/>
        </w:rPr>
      </w:pPr>
    </w:p>
    <w:p w:rsidR="00E875D6" w:rsidP="00E875D6" w14:paraId="06D17DB0" w14:textId="5C25D248">
      <w:pPr>
        <w:widowControl/>
        <w:tabs>
          <w:tab w:val="left" w:pos="-1440"/>
        </w:tabs>
        <w:ind w:left="720"/>
        <w:rPr>
          <w:b w:val="0"/>
          <w:bCs w:val="0"/>
          <w:iCs/>
          <w:sz w:val="24"/>
          <w:szCs w:val="24"/>
        </w:rPr>
      </w:pPr>
      <w:r w:rsidRPr="00267E1D">
        <w:rPr>
          <w:b w:val="0"/>
          <w:bCs w:val="0"/>
          <w:iCs/>
          <w:sz w:val="24"/>
          <w:szCs w:val="24"/>
        </w:rPr>
        <w:t>The Department acknowledges that these costs likely vary by the size of PBMs as well as their business model (i.e., fully pass-through PBMs and traditional PBMs may face very different costs to bring systems into compliance). Additionally, while the Department discounted the Prescription Drug Data Collection</w:t>
      </w:r>
      <w:r w:rsidRPr="00267E1D">
        <w:rPr>
          <w:b w:val="0"/>
          <w:bCs w:val="0"/>
          <w:iCs/>
          <w:sz w:val="24"/>
          <w:szCs w:val="24"/>
        </w:rPr>
        <w:t xml:space="preserve"> </w:t>
      </w:r>
      <w:r w:rsidRPr="00267E1D">
        <w:rPr>
          <w:b w:val="0"/>
          <w:bCs w:val="0"/>
          <w:iCs/>
          <w:sz w:val="24"/>
          <w:szCs w:val="24"/>
        </w:rPr>
        <w:t xml:space="preserve">costs to reflect its impact on more of </w:t>
      </w:r>
      <w:r w:rsidRPr="00267E1D">
        <w:rPr>
          <w:b w:val="0"/>
          <w:bCs w:val="0"/>
          <w:iCs/>
          <w:sz w:val="24"/>
          <w:szCs w:val="24"/>
        </w:rPr>
        <w:t xml:space="preserve">the overall market and requiring additional calculations and standardized submissions, the chosen discount rate may not have been appropriate. </w:t>
      </w:r>
    </w:p>
    <w:p w:rsidR="00E875D6" w:rsidP="00E875D6" w14:paraId="0078F85F" w14:textId="77777777">
      <w:pPr>
        <w:widowControl/>
        <w:tabs>
          <w:tab w:val="left" w:pos="-1440"/>
        </w:tabs>
        <w:ind w:left="720"/>
        <w:rPr>
          <w:b w:val="0"/>
          <w:bCs w:val="0"/>
          <w:iCs/>
          <w:sz w:val="24"/>
          <w:szCs w:val="24"/>
        </w:rPr>
      </w:pPr>
    </w:p>
    <w:p w:rsidR="00CE4344" w:rsidRPr="00CE4344" w:rsidP="00E875D6" w14:paraId="2A0F48B7" w14:textId="31CC4665">
      <w:pPr>
        <w:widowControl/>
        <w:tabs>
          <w:tab w:val="left" w:pos="-1440"/>
        </w:tabs>
        <w:ind w:left="720"/>
        <w:rPr>
          <w:b w:val="0"/>
          <w:bCs w:val="0"/>
          <w:iCs/>
          <w:sz w:val="24"/>
          <w:szCs w:val="24"/>
        </w:rPr>
      </w:pPr>
      <w:r>
        <w:rPr>
          <w:b w:val="0"/>
          <w:bCs w:val="0"/>
          <w:iCs/>
          <w:sz w:val="24"/>
          <w:szCs w:val="24"/>
        </w:rPr>
        <w:t xml:space="preserve">Please see Table </w:t>
      </w:r>
      <w:r w:rsidR="00BB2A07">
        <w:rPr>
          <w:b w:val="0"/>
          <w:bCs w:val="0"/>
          <w:iCs/>
          <w:sz w:val="24"/>
          <w:szCs w:val="24"/>
        </w:rPr>
        <w:t>1</w:t>
      </w:r>
      <w:r>
        <w:rPr>
          <w:b w:val="0"/>
          <w:bCs w:val="0"/>
          <w:iCs/>
          <w:sz w:val="24"/>
          <w:szCs w:val="24"/>
        </w:rPr>
        <w:t xml:space="preserve"> for calculations and burden. </w:t>
      </w:r>
    </w:p>
    <w:p w:rsidR="00DA318C" w:rsidP="00C17609" w14:paraId="40347EED" w14:textId="77777777">
      <w:pPr>
        <w:widowControl/>
        <w:tabs>
          <w:tab w:val="left" w:pos="-1440"/>
        </w:tabs>
        <w:ind w:left="720"/>
        <w:rPr>
          <w:b w:val="0"/>
          <w:bCs w:val="0"/>
          <w:iCs/>
          <w:sz w:val="24"/>
          <w:szCs w:val="24"/>
        </w:rPr>
      </w:pPr>
    </w:p>
    <w:p w:rsidR="00DA318C" w:rsidRPr="00A21E27" w:rsidP="00CA7375" w14:paraId="652F3A1F" w14:textId="755B35AD">
      <w:pPr>
        <w:pStyle w:val="Heading3"/>
      </w:pPr>
      <w:r w:rsidRPr="006E1899">
        <w:t xml:space="preserve">TABLE </w:t>
      </w:r>
      <w:r w:rsidR="00BB2A07">
        <w:t>1</w:t>
      </w:r>
      <w:r w:rsidRPr="006E1899">
        <w:t xml:space="preserve">. </w:t>
      </w:r>
      <w:r>
        <w:t>IT Infrastructure</w:t>
      </w:r>
      <w:r w:rsidRPr="006E1899">
        <w:t xml:space="preserve"> Costs</w:t>
      </w:r>
    </w:p>
    <w:p w:rsidR="00DA318C" w:rsidP="00DA318C" w14:paraId="5FD5B357" w14:textId="77777777">
      <w:pPr>
        <w:widowControl/>
        <w:tabs>
          <w:tab w:val="left" w:pos="-1440"/>
        </w:tabs>
        <w:ind w:left="720"/>
        <w:rPr>
          <w:b w:val="0"/>
          <w:bCs w:val="0"/>
          <w:iCs/>
          <w:sz w:val="24"/>
          <w:szCs w:val="24"/>
        </w:rPr>
      </w:pPr>
    </w:p>
    <w:tbl>
      <w:tblPr>
        <w:tblW w:w="0" w:type="auto"/>
        <w:tblLook w:val="04A0"/>
      </w:tblPr>
      <w:tblGrid>
        <w:gridCol w:w="2964"/>
        <w:gridCol w:w="1205"/>
        <w:gridCol w:w="1285"/>
        <w:gridCol w:w="1132"/>
        <w:gridCol w:w="1081"/>
        <w:gridCol w:w="1683"/>
      </w:tblGrid>
      <w:tr w14:paraId="113ABD63" w14:textId="77777777" w:rsidTr="00BA1AB0">
        <w:tblPrEx>
          <w:tblW w:w="0" w:type="auto"/>
          <w:tblLook w:val="04A0"/>
        </w:tblPrEx>
        <w:trPr>
          <w:trHeight w:val="600"/>
        </w:trPr>
        <w:tc>
          <w:tcPr>
            <w:tcW w:w="0" w:type="auto"/>
            <w:tcBorders>
              <w:top w:val="single" w:sz="4" w:space="0" w:color="auto"/>
              <w:left w:val="single" w:sz="4" w:space="0" w:color="auto"/>
              <w:bottom w:val="single" w:sz="4" w:space="0" w:color="auto"/>
              <w:right w:val="single" w:sz="4" w:space="0" w:color="auto"/>
            </w:tcBorders>
            <w:noWrap/>
            <w:vAlign w:val="center"/>
            <w:hideMark/>
          </w:tcPr>
          <w:p w:rsidR="00BA1AB0" w:rsidRPr="00BA1AB0" w:rsidP="00BA1AB0" w14:paraId="27ED57E0" w14:textId="77777777">
            <w:pPr>
              <w:widowControl/>
              <w:autoSpaceDE/>
              <w:autoSpaceDN/>
              <w:adjustRightInd/>
              <w:rPr>
                <w:sz w:val="24"/>
                <w:szCs w:val="24"/>
              </w:rPr>
            </w:pPr>
            <w:r w:rsidRPr="00BA1AB0">
              <w:rPr>
                <w:sz w:val="24"/>
                <w:szCs w:val="24"/>
              </w:rPr>
              <w:t> </w:t>
            </w:r>
          </w:p>
        </w:tc>
        <w:tc>
          <w:tcPr>
            <w:tcW w:w="0" w:type="auto"/>
            <w:tcBorders>
              <w:top w:val="single" w:sz="4" w:space="0" w:color="auto"/>
              <w:left w:val="nil"/>
              <w:bottom w:val="single" w:sz="4" w:space="0" w:color="auto"/>
              <w:right w:val="single" w:sz="4" w:space="0" w:color="auto"/>
            </w:tcBorders>
            <w:vAlign w:val="center"/>
            <w:hideMark/>
          </w:tcPr>
          <w:p w:rsidR="00BA1AB0" w:rsidRPr="00BA1AB0" w:rsidP="00BA1AB0" w14:paraId="5750F6A1" w14:textId="77777777">
            <w:pPr>
              <w:widowControl/>
              <w:autoSpaceDE/>
              <w:autoSpaceDN/>
              <w:adjustRightInd/>
              <w:jc w:val="center"/>
              <w:rPr>
                <w:sz w:val="24"/>
                <w:szCs w:val="24"/>
              </w:rPr>
            </w:pPr>
            <w:r w:rsidRPr="00BA1AB0">
              <w:rPr>
                <w:sz w:val="24"/>
                <w:szCs w:val="24"/>
              </w:rPr>
              <w:t xml:space="preserve">Number of Notices </w:t>
            </w:r>
          </w:p>
        </w:tc>
        <w:tc>
          <w:tcPr>
            <w:tcW w:w="0" w:type="auto"/>
            <w:tcBorders>
              <w:top w:val="single" w:sz="4" w:space="0" w:color="auto"/>
              <w:left w:val="nil"/>
              <w:bottom w:val="single" w:sz="4" w:space="0" w:color="auto"/>
              <w:right w:val="single" w:sz="4" w:space="0" w:color="auto"/>
            </w:tcBorders>
            <w:vAlign w:val="center"/>
            <w:hideMark/>
          </w:tcPr>
          <w:p w:rsidR="00BA1AB0" w:rsidRPr="00BA1AB0" w:rsidP="00BA1AB0" w14:paraId="5812588D" w14:textId="77777777">
            <w:pPr>
              <w:widowControl/>
              <w:autoSpaceDE/>
              <w:autoSpaceDN/>
              <w:adjustRightInd/>
              <w:jc w:val="center"/>
              <w:rPr>
                <w:sz w:val="24"/>
                <w:szCs w:val="24"/>
              </w:rPr>
            </w:pPr>
            <w:r w:rsidRPr="00BA1AB0">
              <w:rPr>
                <w:sz w:val="24"/>
                <w:szCs w:val="24"/>
              </w:rPr>
              <w:t xml:space="preserve">Number of Hours Per Notice </w:t>
            </w:r>
          </w:p>
        </w:tc>
        <w:tc>
          <w:tcPr>
            <w:tcW w:w="0" w:type="auto"/>
            <w:tcBorders>
              <w:top w:val="single" w:sz="4" w:space="0" w:color="auto"/>
              <w:left w:val="nil"/>
              <w:bottom w:val="single" w:sz="4" w:space="0" w:color="auto"/>
              <w:right w:val="single" w:sz="4" w:space="0" w:color="auto"/>
            </w:tcBorders>
            <w:vAlign w:val="center"/>
            <w:hideMark/>
          </w:tcPr>
          <w:p w:rsidR="00BA1AB0" w:rsidRPr="00BA1AB0" w:rsidP="00BA1AB0" w14:paraId="52DBFFCC" w14:textId="77777777">
            <w:pPr>
              <w:widowControl/>
              <w:autoSpaceDE/>
              <w:autoSpaceDN/>
              <w:adjustRightInd/>
              <w:jc w:val="center"/>
              <w:rPr>
                <w:sz w:val="24"/>
                <w:szCs w:val="24"/>
              </w:rPr>
            </w:pPr>
            <w:r w:rsidRPr="00BA1AB0">
              <w:rPr>
                <w:sz w:val="24"/>
                <w:szCs w:val="24"/>
              </w:rPr>
              <w:t>Total Hour Burden</w:t>
            </w:r>
          </w:p>
        </w:tc>
        <w:tc>
          <w:tcPr>
            <w:tcW w:w="0" w:type="auto"/>
            <w:tcBorders>
              <w:top w:val="single" w:sz="4" w:space="0" w:color="auto"/>
              <w:left w:val="nil"/>
              <w:bottom w:val="single" w:sz="4" w:space="0" w:color="auto"/>
              <w:right w:val="single" w:sz="4" w:space="0" w:color="auto"/>
            </w:tcBorders>
            <w:vAlign w:val="center"/>
            <w:hideMark/>
          </w:tcPr>
          <w:p w:rsidR="00BA1AB0" w:rsidRPr="00BA1AB0" w:rsidP="00BA1AB0" w14:paraId="5CF1287F" w14:textId="77777777">
            <w:pPr>
              <w:widowControl/>
              <w:autoSpaceDE/>
              <w:autoSpaceDN/>
              <w:adjustRightInd/>
              <w:jc w:val="center"/>
              <w:rPr>
                <w:sz w:val="24"/>
                <w:szCs w:val="24"/>
              </w:rPr>
            </w:pPr>
            <w:r w:rsidRPr="00BA1AB0">
              <w:rPr>
                <w:sz w:val="24"/>
                <w:szCs w:val="24"/>
              </w:rPr>
              <w:t>Hourly Wage</w:t>
            </w:r>
          </w:p>
        </w:tc>
        <w:tc>
          <w:tcPr>
            <w:tcW w:w="0" w:type="auto"/>
            <w:tcBorders>
              <w:top w:val="single" w:sz="4" w:space="0" w:color="auto"/>
              <w:left w:val="nil"/>
              <w:bottom w:val="single" w:sz="4" w:space="0" w:color="auto"/>
              <w:right w:val="single" w:sz="4" w:space="0" w:color="auto"/>
            </w:tcBorders>
            <w:vAlign w:val="center"/>
            <w:hideMark/>
          </w:tcPr>
          <w:p w:rsidR="00BA1AB0" w:rsidRPr="00BA1AB0" w:rsidP="00BA1AB0" w14:paraId="2AAB85DA" w14:textId="77777777">
            <w:pPr>
              <w:widowControl/>
              <w:autoSpaceDE/>
              <w:autoSpaceDN/>
              <w:adjustRightInd/>
              <w:jc w:val="center"/>
              <w:rPr>
                <w:sz w:val="24"/>
                <w:szCs w:val="24"/>
              </w:rPr>
            </w:pPr>
            <w:r w:rsidRPr="00BA1AB0">
              <w:rPr>
                <w:sz w:val="24"/>
                <w:szCs w:val="24"/>
              </w:rPr>
              <w:t xml:space="preserve">Cost Equivalent of Hour Burden </w:t>
            </w:r>
          </w:p>
        </w:tc>
      </w:tr>
      <w:tr w14:paraId="6D7D5763"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noWrap/>
            <w:vAlign w:val="center"/>
            <w:hideMark/>
          </w:tcPr>
          <w:p w:rsidR="00BA1AB0" w:rsidRPr="00BA1AB0" w:rsidP="00BA1AB0" w14:paraId="1580337E" w14:textId="77777777">
            <w:pPr>
              <w:widowControl/>
              <w:autoSpaceDE/>
              <w:autoSpaceDN/>
              <w:adjustRightInd/>
              <w:rPr>
                <w:sz w:val="24"/>
                <w:szCs w:val="24"/>
              </w:rPr>
            </w:pPr>
            <w:r w:rsidRPr="00BA1AB0">
              <w:rPr>
                <w:sz w:val="24"/>
                <w:szCs w:val="24"/>
              </w:rPr>
              <w:t> </w:t>
            </w:r>
          </w:p>
        </w:tc>
        <w:tc>
          <w:tcPr>
            <w:tcW w:w="0" w:type="auto"/>
            <w:tcBorders>
              <w:top w:val="nil"/>
              <w:left w:val="nil"/>
              <w:bottom w:val="single" w:sz="4" w:space="0" w:color="auto"/>
              <w:right w:val="single" w:sz="4" w:space="0" w:color="auto"/>
            </w:tcBorders>
            <w:vAlign w:val="center"/>
            <w:hideMark/>
          </w:tcPr>
          <w:p w:rsidR="00BA1AB0" w:rsidRPr="00BA1AB0" w:rsidP="00BA1AB0" w14:paraId="724428E9" w14:textId="77777777">
            <w:pPr>
              <w:widowControl/>
              <w:autoSpaceDE/>
              <w:autoSpaceDN/>
              <w:adjustRightInd/>
              <w:jc w:val="center"/>
              <w:rPr>
                <w:sz w:val="24"/>
                <w:szCs w:val="24"/>
              </w:rPr>
            </w:pPr>
            <w:r w:rsidRPr="00BA1AB0">
              <w:rPr>
                <w:sz w:val="24"/>
                <w:szCs w:val="24"/>
              </w:rPr>
              <w:t>(A)</w:t>
            </w:r>
          </w:p>
        </w:tc>
        <w:tc>
          <w:tcPr>
            <w:tcW w:w="0" w:type="auto"/>
            <w:tcBorders>
              <w:top w:val="nil"/>
              <w:left w:val="nil"/>
              <w:bottom w:val="single" w:sz="4" w:space="0" w:color="auto"/>
              <w:right w:val="single" w:sz="4" w:space="0" w:color="auto"/>
            </w:tcBorders>
            <w:vAlign w:val="center"/>
            <w:hideMark/>
          </w:tcPr>
          <w:p w:rsidR="00BA1AB0" w:rsidRPr="00BA1AB0" w:rsidP="00BA1AB0" w14:paraId="3BE25F11" w14:textId="77777777">
            <w:pPr>
              <w:widowControl/>
              <w:autoSpaceDE/>
              <w:autoSpaceDN/>
              <w:adjustRightInd/>
              <w:jc w:val="center"/>
              <w:rPr>
                <w:sz w:val="24"/>
                <w:szCs w:val="24"/>
              </w:rPr>
            </w:pPr>
            <w:r w:rsidRPr="00BA1AB0">
              <w:rPr>
                <w:sz w:val="24"/>
                <w:szCs w:val="24"/>
              </w:rPr>
              <w:t>(B)</w:t>
            </w:r>
          </w:p>
        </w:tc>
        <w:tc>
          <w:tcPr>
            <w:tcW w:w="0" w:type="auto"/>
            <w:tcBorders>
              <w:top w:val="nil"/>
              <w:left w:val="nil"/>
              <w:bottom w:val="single" w:sz="4" w:space="0" w:color="auto"/>
              <w:right w:val="single" w:sz="4" w:space="0" w:color="auto"/>
            </w:tcBorders>
            <w:vAlign w:val="center"/>
            <w:hideMark/>
          </w:tcPr>
          <w:p w:rsidR="00BA1AB0" w:rsidRPr="00BA1AB0" w:rsidP="00BA1AB0" w14:paraId="7665E2B8" w14:textId="77777777">
            <w:pPr>
              <w:widowControl/>
              <w:autoSpaceDE/>
              <w:autoSpaceDN/>
              <w:adjustRightInd/>
              <w:jc w:val="center"/>
              <w:rPr>
                <w:sz w:val="24"/>
                <w:szCs w:val="24"/>
              </w:rPr>
            </w:pPr>
            <w:r w:rsidRPr="00BA1AB0">
              <w:rPr>
                <w:sz w:val="24"/>
                <w:szCs w:val="24"/>
              </w:rPr>
              <w:t>(C) = (A x B)</w:t>
            </w:r>
          </w:p>
        </w:tc>
        <w:tc>
          <w:tcPr>
            <w:tcW w:w="0" w:type="auto"/>
            <w:tcBorders>
              <w:top w:val="nil"/>
              <w:left w:val="nil"/>
              <w:bottom w:val="single" w:sz="4" w:space="0" w:color="auto"/>
              <w:right w:val="single" w:sz="4" w:space="0" w:color="auto"/>
            </w:tcBorders>
            <w:vAlign w:val="center"/>
            <w:hideMark/>
          </w:tcPr>
          <w:p w:rsidR="00BA1AB0" w:rsidRPr="00BA1AB0" w:rsidP="00BA1AB0" w14:paraId="3DB79AFD" w14:textId="77777777">
            <w:pPr>
              <w:widowControl/>
              <w:autoSpaceDE/>
              <w:autoSpaceDN/>
              <w:adjustRightInd/>
              <w:jc w:val="center"/>
              <w:rPr>
                <w:sz w:val="24"/>
                <w:szCs w:val="24"/>
              </w:rPr>
            </w:pPr>
            <w:r w:rsidRPr="00BA1AB0">
              <w:rPr>
                <w:sz w:val="24"/>
                <w:szCs w:val="24"/>
              </w:rPr>
              <w:t>(D)</w:t>
            </w:r>
          </w:p>
        </w:tc>
        <w:tc>
          <w:tcPr>
            <w:tcW w:w="0" w:type="auto"/>
            <w:tcBorders>
              <w:top w:val="nil"/>
              <w:left w:val="nil"/>
              <w:bottom w:val="single" w:sz="4" w:space="0" w:color="auto"/>
              <w:right w:val="single" w:sz="4" w:space="0" w:color="auto"/>
            </w:tcBorders>
            <w:vAlign w:val="center"/>
            <w:hideMark/>
          </w:tcPr>
          <w:p w:rsidR="00BA1AB0" w:rsidRPr="00BA1AB0" w:rsidP="00BA1AB0" w14:paraId="47C1B659" w14:textId="77777777">
            <w:pPr>
              <w:widowControl/>
              <w:autoSpaceDE/>
              <w:autoSpaceDN/>
              <w:adjustRightInd/>
              <w:jc w:val="center"/>
              <w:rPr>
                <w:sz w:val="24"/>
                <w:szCs w:val="24"/>
              </w:rPr>
            </w:pPr>
            <w:r w:rsidRPr="00BA1AB0">
              <w:rPr>
                <w:sz w:val="24"/>
                <w:szCs w:val="24"/>
              </w:rPr>
              <w:t>(E) = (C x D)</w:t>
            </w:r>
          </w:p>
        </w:tc>
      </w:tr>
      <w:tr w14:paraId="7A964A0B" w14:textId="77777777" w:rsidTr="00BA1AB0">
        <w:tblPrEx>
          <w:tblW w:w="0" w:type="auto"/>
          <w:tblLook w:val="04A0"/>
        </w:tblPrEx>
        <w:trPr>
          <w:trHeight w:val="360"/>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rsidR="00BA1AB0" w:rsidRPr="00BA1AB0" w:rsidP="00BA1AB0" w14:paraId="7C8E4FBF" w14:textId="77777777">
            <w:pPr>
              <w:widowControl/>
              <w:autoSpaceDE/>
              <w:autoSpaceDN/>
              <w:adjustRightInd/>
              <w:rPr>
                <w:i/>
                <w:iCs/>
                <w:sz w:val="24"/>
                <w:szCs w:val="24"/>
                <w:u w:val="single"/>
              </w:rPr>
            </w:pPr>
            <w:r w:rsidRPr="00BA1AB0">
              <w:rPr>
                <w:i/>
                <w:iCs/>
                <w:sz w:val="24"/>
                <w:szCs w:val="24"/>
                <w:u w:val="single"/>
              </w:rPr>
              <w:t>PBMs design, develop, and implement needed IT systems changes (first year)</w:t>
            </w:r>
          </w:p>
        </w:tc>
      </w:tr>
      <w:tr w14:paraId="236545F0"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noWrap/>
            <w:vAlign w:val="center"/>
            <w:hideMark/>
          </w:tcPr>
          <w:p w:rsidR="00BA1AB0" w:rsidRPr="00BA1AB0" w:rsidP="00BA1AB0" w14:paraId="72A38B58" w14:textId="77777777">
            <w:pPr>
              <w:widowControl/>
              <w:autoSpaceDE/>
              <w:autoSpaceDN/>
              <w:adjustRightInd/>
              <w:rPr>
                <w:b w:val="0"/>
                <w:bCs w:val="0"/>
                <w:sz w:val="24"/>
                <w:szCs w:val="24"/>
              </w:rPr>
            </w:pPr>
            <w:r w:rsidRPr="00BA1AB0">
              <w:rPr>
                <w:b w:val="0"/>
                <w:bCs w:val="0"/>
                <w:sz w:val="24"/>
                <w:szCs w:val="24"/>
              </w:rPr>
              <w:t>Lawyers</w:t>
            </w:r>
          </w:p>
        </w:tc>
        <w:tc>
          <w:tcPr>
            <w:tcW w:w="0" w:type="auto"/>
            <w:tcBorders>
              <w:top w:val="nil"/>
              <w:left w:val="nil"/>
              <w:bottom w:val="single" w:sz="4" w:space="0" w:color="auto"/>
              <w:right w:val="single" w:sz="4" w:space="0" w:color="auto"/>
            </w:tcBorders>
            <w:noWrap/>
            <w:vAlign w:val="center"/>
            <w:hideMark/>
          </w:tcPr>
          <w:p w:rsidR="00BA1AB0" w:rsidRPr="00BA1AB0" w:rsidP="00BA1AB0" w14:paraId="072598D9"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single" w:sz="4" w:space="0" w:color="auto"/>
              <w:right w:val="single" w:sz="4" w:space="0" w:color="auto"/>
            </w:tcBorders>
            <w:noWrap/>
            <w:vAlign w:val="center"/>
            <w:hideMark/>
          </w:tcPr>
          <w:p w:rsidR="00BA1AB0" w:rsidRPr="00BA1AB0" w:rsidP="00BA1AB0" w14:paraId="48656345" w14:textId="77777777">
            <w:pPr>
              <w:widowControl/>
              <w:autoSpaceDE/>
              <w:autoSpaceDN/>
              <w:adjustRightInd/>
              <w:jc w:val="center"/>
              <w:rPr>
                <w:b w:val="0"/>
                <w:bCs w:val="0"/>
                <w:sz w:val="24"/>
                <w:szCs w:val="24"/>
              </w:rPr>
            </w:pPr>
            <w:r w:rsidRPr="00BA1AB0">
              <w:rPr>
                <w:b w:val="0"/>
                <w:bCs w:val="0"/>
                <w:sz w:val="24"/>
                <w:szCs w:val="24"/>
              </w:rPr>
              <w:t>160</w:t>
            </w:r>
          </w:p>
        </w:tc>
        <w:tc>
          <w:tcPr>
            <w:tcW w:w="0" w:type="auto"/>
            <w:tcBorders>
              <w:top w:val="nil"/>
              <w:left w:val="nil"/>
              <w:bottom w:val="single" w:sz="4" w:space="0" w:color="auto"/>
              <w:right w:val="single" w:sz="4" w:space="0" w:color="auto"/>
            </w:tcBorders>
            <w:noWrap/>
            <w:vAlign w:val="bottom"/>
            <w:hideMark/>
          </w:tcPr>
          <w:p w:rsidR="00BA1AB0" w:rsidRPr="00BA1AB0" w:rsidP="00BA1AB0" w14:paraId="749E2EDF" w14:textId="77777777">
            <w:pPr>
              <w:widowControl/>
              <w:autoSpaceDE/>
              <w:autoSpaceDN/>
              <w:adjustRightInd/>
              <w:jc w:val="center"/>
              <w:rPr>
                <w:b w:val="0"/>
                <w:bCs w:val="0"/>
                <w:color w:val="000000"/>
                <w:sz w:val="24"/>
                <w:szCs w:val="24"/>
              </w:rPr>
            </w:pPr>
            <w:r w:rsidRPr="00BA1AB0">
              <w:rPr>
                <w:b w:val="0"/>
                <w:bCs w:val="0"/>
                <w:color w:val="000000"/>
                <w:sz w:val="24"/>
                <w:szCs w:val="24"/>
              </w:rPr>
              <w:t>11,680</w:t>
            </w:r>
          </w:p>
        </w:tc>
        <w:tc>
          <w:tcPr>
            <w:tcW w:w="0" w:type="auto"/>
            <w:tcBorders>
              <w:top w:val="nil"/>
              <w:left w:val="nil"/>
              <w:bottom w:val="single" w:sz="4" w:space="0" w:color="auto"/>
              <w:right w:val="single" w:sz="4" w:space="0" w:color="auto"/>
            </w:tcBorders>
            <w:noWrap/>
            <w:vAlign w:val="center"/>
            <w:hideMark/>
          </w:tcPr>
          <w:p w:rsidR="00BA1AB0" w:rsidRPr="00BA1AB0" w:rsidP="00BA1AB0" w14:paraId="737914EC" w14:textId="77777777">
            <w:pPr>
              <w:widowControl/>
              <w:autoSpaceDE/>
              <w:autoSpaceDN/>
              <w:adjustRightInd/>
              <w:jc w:val="center"/>
              <w:rPr>
                <w:b w:val="0"/>
                <w:bCs w:val="0"/>
                <w:sz w:val="24"/>
                <w:szCs w:val="24"/>
              </w:rPr>
            </w:pPr>
            <w:r w:rsidRPr="00BA1AB0">
              <w:rPr>
                <w:b w:val="0"/>
                <w:bCs w:val="0"/>
                <w:sz w:val="24"/>
                <w:szCs w:val="24"/>
              </w:rPr>
              <w:t>$659.15</w:t>
            </w:r>
          </w:p>
        </w:tc>
        <w:tc>
          <w:tcPr>
            <w:tcW w:w="0" w:type="auto"/>
            <w:tcBorders>
              <w:top w:val="nil"/>
              <w:left w:val="nil"/>
              <w:bottom w:val="single" w:sz="4" w:space="0" w:color="auto"/>
              <w:right w:val="single" w:sz="4" w:space="0" w:color="auto"/>
            </w:tcBorders>
            <w:noWrap/>
            <w:vAlign w:val="bottom"/>
            <w:hideMark/>
          </w:tcPr>
          <w:p w:rsidR="00BA1AB0" w:rsidRPr="00BA1AB0" w:rsidP="00BA1AB0" w14:paraId="0724A1F1" w14:textId="77777777">
            <w:pPr>
              <w:widowControl/>
              <w:autoSpaceDE/>
              <w:autoSpaceDN/>
              <w:adjustRightInd/>
              <w:jc w:val="center"/>
              <w:rPr>
                <w:b w:val="0"/>
                <w:bCs w:val="0"/>
                <w:color w:val="000000"/>
                <w:sz w:val="24"/>
                <w:szCs w:val="24"/>
              </w:rPr>
            </w:pPr>
            <w:r w:rsidRPr="00BA1AB0">
              <w:rPr>
                <w:b w:val="0"/>
                <w:bCs w:val="0"/>
                <w:color w:val="000000"/>
                <w:sz w:val="24"/>
                <w:szCs w:val="24"/>
              </w:rPr>
              <w:t xml:space="preserve">$7,698,872 </w:t>
            </w:r>
          </w:p>
        </w:tc>
      </w:tr>
      <w:tr w14:paraId="02D7A0A8"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7F38C22E" w14:textId="77777777">
            <w:pPr>
              <w:widowControl/>
              <w:autoSpaceDE/>
              <w:autoSpaceDN/>
              <w:adjustRightInd/>
              <w:rPr>
                <w:b w:val="0"/>
                <w:bCs w:val="0"/>
                <w:sz w:val="24"/>
                <w:szCs w:val="24"/>
              </w:rPr>
            </w:pPr>
            <w:r w:rsidRPr="00BA1AB0">
              <w:rPr>
                <w:b w:val="0"/>
                <w:bCs w:val="0"/>
                <w:sz w:val="24"/>
                <w:szCs w:val="24"/>
              </w:rPr>
              <w:t>Project Management Specialists</w:t>
            </w:r>
          </w:p>
        </w:tc>
        <w:tc>
          <w:tcPr>
            <w:tcW w:w="0" w:type="auto"/>
            <w:tcBorders>
              <w:top w:val="nil"/>
              <w:left w:val="nil"/>
              <w:bottom w:val="single" w:sz="4" w:space="0" w:color="auto"/>
              <w:right w:val="single" w:sz="4" w:space="0" w:color="auto"/>
            </w:tcBorders>
            <w:noWrap/>
            <w:vAlign w:val="bottom"/>
            <w:hideMark/>
          </w:tcPr>
          <w:p w:rsidR="00BA1AB0" w:rsidRPr="00BA1AB0" w:rsidP="00BA1AB0" w14:paraId="3F7E4F2E"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single" w:sz="4" w:space="0" w:color="auto"/>
              <w:right w:val="single" w:sz="4" w:space="0" w:color="auto"/>
            </w:tcBorders>
            <w:noWrap/>
            <w:vAlign w:val="bottom"/>
            <w:hideMark/>
          </w:tcPr>
          <w:p w:rsidR="00BA1AB0" w:rsidRPr="00BA1AB0" w:rsidP="00BA1AB0" w14:paraId="6BB063E9" w14:textId="77777777">
            <w:pPr>
              <w:widowControl/>
              <w:autoSpaceDE/>
              <w:autoSpaceDN/>
              <w:adjustRightInd/>
              <w:jc w:val="center"/>
              <w:rPr>
                <w:b w:val="0"/>
                <w:bCs w:val="0"/>
                <w:color w:val="000000"/>
                <w:sz w:val="24"/>
                <w:szCs w:val="24"/>
              </w:rPr>
            </w:pPr>
            <w:r w:rsidRPr="00BA1AB0">
              <w:rPr>
                <w:b w:val="0"/>
                <w:bCs w:val="0"/>
                <w:color w:val="000000"/>
                <w:sz w:val="24"/>
                <w:szCs w:val="24"/>
              </w:rPr>
              <w:t>2,250</w:t>
            </w:r>
          </w:p>
        </w:tc>
        <w:tc>
          <w:tcPr>
            <w:tcW w:w="0" w:type="auto"/>
            <w:tcBorders>
              <w:top w:val="nil"/>
              <w:left w:val="nil"/>
              <w:bottom w:val="single" w:sz="4" w:space="0" w:color="auto"/>
              <w:right w:val="single" w:sz="4" w:space="0" w:color="auto"/>
            </w:tcBorders>
            <w:noWrap/>
            <w:vAlign w:val="bottom"/>
            <w:hideMark/>
          </w:tcPr>
          <w:p w:rsidR="00BA1AB0" w:rsidRPr="00BA1AB0" w:rsidP="00BA1AB0" w14:paraId="68F5D76E" w14:textId="77777777">
            <w:pPr>
              <w:widowControl/>
              <w:autoSpaceDE/>
              <w:autoSpaceDN/>
              <w:adjustRightInd/>
              <w:jc w:val="center"/>
              <w:rPr>
                <w:b w:val="0"/>
                <w:bCs w:val="0"/>
                <w:color w:val="000000"/>
                <w:sz w:val="24"/>
                <w:szCs w:val="24"/>
              </w:rPr>
            </w:pPr>
            <w:r w:rsidRPr="00BA1AB0">
              <w:rPr>
                <w:b w:val="0"/>
                <w:bCs w:val="0"/>
                <w:color w:val="000000"/>
                <w:sz w:val="24"/>
                <w:szCs w:val="24"/>
              </w:rPr>
              <w:t>164,250</w:t>
            </w:r>
          </w:p>
        </w:tc>
        <w:tc>
          <w:tcPr>
            <w:tcW w:w="0" w:type="auto"/>
            <w:tcBorders>
              <w:top w:val="nil"/>
              <w:left w:val="nil"/>
              <w:bottom w:val="single" w:sz="4" w:space="0" w:color="auto"/>
              <w:right w:val="single" w:sz="4" w:space="0" w:color="auto"/>
            </w:tcBorders>
            <w:noWrap/>
            <w:vAlign w:val="bottom"/>
            <w:hideMark/>
          </w:tcPr>
          <w:p w:rsidR="00BA1AB0" w:rsidRPr="00BA1AB0" w:rsidP="00BA1AB0" w14:paraId="3A56857B" w14:textId="31C886AA">
            <w:pPr>
              <w:widowControl/>
              <w:autoSpaceDE/>
              <w:autoSpaceDN/>
              <w:adjustRightInd/>
              <w:jc w:val="center"/>
              <w:rPr>
                <w:b w:val="0"/>
                <w:bCs w:val="0"/>
                <w:color w:val="000000"/>
                <w:sz w:val="24"/>
                <w:szCs w:val="24"/>
              </w:rPr>
            </w:pPr>
            <w:r w:rsidRPr="00BA1AB0">
              <w:rPr>
                <w:b w:val="0"/>
                <w:bCs w:val="0"/>
                <w:color w:val="000000"/>
                <w:sz w:val="24"/>
                <w:szCs w:val="24"/>
              </w:rPr>
              <w:t>$</w:t>
            </w:r>
            <w:r w:rsidR="00C05432">
              <w:rPr>
                <w:b w:val="0"/>
                <w:bCs w:val="0"/>
                <w:color w:val="000000"/>
                <w:sz w:val="24"/>
                <w:szCs w:val="24"/>
              </w:rPr>
              <w:t xml:space="preserve">131.29 </w:t>
            </w:r>
            <w:r w:rsidRPr="00BA1AB0">
              <w:rPr>
                <w:b w:val="0"/>
                <w:bCs w:val="0"/>
                <w:color w:val="000000"/>
                <w:sz w:val="24"/>
                <w:szCs w:val="24"/>
              </w:rPr>
              <w:t xml:space="preserve"> </w:t>
            </w:r>
          </w:p>
        </w:tc>
        <w:tc>
          <w:tcPr>
            <w:tcW w:w="0" w:type="auto"/>
            <w:tcBorders>
              <w:top w:val="nil"/>
              <w:left w:val="nil"/>
              <w:bottom w:val="single" w:sz="4" w:space="0" w:color="auto"/>
              <w:right w:val="single" w:sz="4" w:space="0" w:color="auto"/>
            </w:tcBorders>
            <w:noWrap/>
            <w:vAlign w:val="bottom"/>
            <w:hideMark/>
          </w:tcPr>
          <w:p w:rsidR="00BA1AB0" w:rsidRPr="00BA1AB0" w:rsidP="00BA1AB0" w14:paraId="244B9674" w14:textId="74E3014C">
            <w:pPr>
              <w:widowControl/>
              <w:autoSpaceDE/>
              <w:autoSpaceDN/>
              <w:adjustRightInd/>
              <w:jc w:val="center"/>
              <w:rPr>
                <w:b w:val="0"/>
                <w:bCs w:val="0"/>
                <w:color w:val="000000"/>
                <w:sz w:val="24"/>
                <w:szCs w:val="24"/>
              </w:rPr>
            </w:pPr>
            <w:r w:rsidRPr="00BA1AB0">
              <w:rPr>
                <w:b w:val="0"/>
                <w:bCs w:val="0"/>
                <w:color w:val="000000"/>
                <w:sz w:val="24"/>
                <w:szCs w:val="24"/>
              </w:rPr>
              <w:t>$</w:t>
            </w:r>
            <w:r w:rsidR="00DC68B1">
              <w:rPr>
                <w:b w:val="0"/>
                <w:bCs w:val="0"/>
                <w:color w:val="000000"/>
                <w:sz w:val="24"/>
                <w:szCs w:val="24"/>
              </w:rPr>
              <w:t>21,564,</w:t>
            </w:r>
            <w:r w:rsidR="00B733D0">
              <w:rPr>
                <w:b w:val="0"/>
                <w:bCs w:val="0"/>
                <w:color w:val="000000"/>
                <w:sz w:val="24"/>
                <w:szCs w:val="24"/>
              </w:rPr>
              <w:t xml:space="preserve">383 </w:t>
            </w:r>
            <w:r w:rsidRPr="00BA1AB0">
              <w:rPr>
                <w:b w:val="0"/>
                <w:bCs w:val="0"/>
                <w:color w:val="000000"/>
                <w:sz w:val="24"/>
                <w:szCs w:val="24"/>
              </w:rPr>
              <w:t xml:space="preserve"> </w:t>
            </w:r>
          </w:p>
        </w:tc>
      </w:tr>
      <w:tr w14:paraId="30B6DA45"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253B0F92" w14:textId="77777777">
            <w:pPr>
              <w:widowControl/>
              <w:autoSpaceDE/>
              <w:autoSpaceDN/>
              <w:adjustRightInd/>
              <w:rPr>
                <w:b w:val="0"/>
                <w:bCs w:val="0"/>
                <w:sz w:val="24"/>
                <w:szCs w:val="24"/>
              </w:rPr>
            </w:pPr>
            <w:r w:rsidRPr="00BA1AB0">
              <w:rPr>
                <w:b w:val="0"/>
                <w:bCs w:val="0"/>
                <w:sz w:val="24"/>
                <w:szCs w:val="24"/>
              </w:rPr>
              <w:t>Business Operations Specialist</w:t>
            </w:r>
          </w:p>
        </w:tc>
        <w:tc>
          <w:tcPr>
            <w:tcW w:w="0" w:type="auto"/>
            <w:tcBorders>
              <w:top w:val="nil"/>
              <w:left w:val="nil"/>
              <w:bottom w:val="single" w:sz="4" w:space="0" w:color="auto"/>
              <w:right w:val="single" w:sz="4" w:space="0" w:color="auto"/>
            </w:tcBorders>
            <w:noWrap/>
            <w:vAlign w:val="bottom"/>
            <w:hideMark/>
          </w:tcPr>
          <w:p w:rsidR="00BA1AB0" w:rsidRPr="00BA1AB0" w:rsidP="00BA1AB0" w14:paraId="65D112E7"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single" w:sz="4" w:space="0" w:color="auto"/>
              <w:right w:val="single" w:sz="4" w:space="0" w:color="auto"/>
            </w:tcBorders>
            <w:noWrap/>
            <w:vAlign w:val="bottom"/>
            <w:hideMark/>
          </w:tcPr>
          <w:p w:rsidR="00BA1AB0" w:rsidRPr="00BA1AB0" w:rsidP="00BA1AB0" w14:paraId="20CF27F9" w14:textId="77777777">
            <w:pPr>
              <w:widowControl/>
              <w:autoSpaceDE/>
              <w:autoSpaceDN/>
              <w:adjustRightInd/>
              <w:jc w:val="center"/>
              <w:rPr>
                <w:b w:val="0"/>
                <w:bCs w:val="0"/>
                <w:color w:val="000000"/>
                <w:sz w:val="24"/>
                <w:szCs w:val="24"/>
              </w:rPr>
            </w:pPr>
            <w:r w:rsidRPr="00BA1AB0">
              <w:rPr>
                <w:b w:val="0"/>
                <w:bCs w:val="0"/>
                <w:color w:val="000000"/>
                <w:sz w:val="24"/>
                <w:szCs w:val="24"/>
              </w:rPr>
              <w:t>750</w:t>
            </w:r>
          </w:p>
        </w:tc>
        <w:tc>
          <w:tcPr>
            <w:tcW w:w="0" w:type="auto"/>
            <w:tcBorders>
              <w:top w:val="nil"/>
              <w:left w:val="nil"/>
              <w:bottom w:val="single" w:sz="4" w:space="0" w:color="auto"/>
              <w:right w:val="single" w:sz="4" w:space="0" w:color="auto"/>
            </w:tcBorders>
            <w:noWrap/>
            <w:vAlign w:val="bottom"/>
            <w:hideMark/>
          </w:tcPr>
          <w:p w:rsidR="00BA1AB0" w:rsidRPr="00BA1AB0" w:rsidP="00BA1AB0" w14:paraId="463D3F31" w14:textId="77777777">
            <w:pPr>
              <w:widowControl/>
              <w:autoSpaceDE/>
              <w:autoSpaceDN/>
              <w:adjustRightInd/>
              <w:jc w:val="center"/>
              <w:rPr>
                <w:b w:val="0"/>
                <w:bCs w:val="0"/>
                <w:color w:val="000000"/>
                <w:sz w:val="24"/>
                <w:szCs w:val="24"/>
              </w:rPr>
            </w:pPr>
            <w:r w:rsidRPr="00BA1AB0">
              <w:rPr>
                <w:b w:val="0"/>
                <w:bCs w:val="0"/>
                <w:color w:val="000000"/>
                <w:sz w:val="24"/>
                <w:szCs w:val="24"/>
              </w:rPr>
              <w:t>54,750</w:t>
            </w:r>
          </w:p>
        </w:tc>
        <w:tc>
          <w:tcPr>
            <w:tcW w:w="0" w:type="auto"/>
            <w:tcBorders>
              <w:top w:val="nil"/>
              <w:left w:val="nil"/>
              <w:bottom w:val="single" w:sz="4" w:space="0" w:color="auto"/>
              <w:right w:val="single" w:sz="4" w:space="0" w:color="auto"/>
            </w:tcBorders>
            <w:noWrap/>
            <w:vAlign w:val="bottom"/>
            <w:hideMark/>
          </w:tcPr>
          <w:p w:rsidR="00BA1AB0" w:rsidRPr="00BA1AB0" w:rsidP="00BA1AB0" w14:paraId="36AE1C6F" w14:textId="43B5A846">
            <w:pPr>
              <w:widowControl/>
              <w:autoSpaceDE/>
              <w:autoSpaceDN/>
              <w:adjustRightInd/>
              <w:jc w:val="center"/>
              <w:rPr>
                <w:b w:val="0"/>
                <w:bCs w:val="0"/>
                <w:color w:val="000000"/>
                <w:sz w:val="24"/>
                <w:szCs w:val="24"/>
              </w:rPr>
            </w:pPr>
            <w:r w:rsidRPr="00BA1AB0">
              <w:rPr>
                <w:b w:val="0"/>
                <w:bCs w:val="0"/>
                <w:color w:val="000000"/>
                <w:sz w:val="24"/>
                <w:szCs w:val="24"/>
              </w:rPr>
              <w:t>$</w:t>
            </w:r>
            <w:r w:rsidR="00C67890">
              <w:rPr>
                <w:b w:val="0"/>
                <w:bCs w:val="0"/>
                <w:color w:val="000000"/>
                <w:sz w:val="24"/>
                <w:szCs w:val="24"/>
              </w:rPr>
              <w:t>124</w:t>
            </w:r>
            <w:r w:rsidR="00B64A25">
              <w:rPr>
                <w:b w:val="0"/>
                <w:bCs w:val="0"/>
                <w:color w:val="000000"/>
                <w:sz w:val="24"/>
                <w:szCs w:val="24"/>
              </w:rPr>
              <w:t xml:space="preserve">.74 </w:t>
            </w:r>
            <w:r w:rsidRPr="00BA1AB0">
              <w:rPr>
                <w:b w:val="0"/>
                <w:bCs w:val="0"/>
                <w:color w:val="000000"/>
                <w:sz w:val="24"/>
                <w:szCs w:val="24"/>
              </w:rPr>
              <w:t xml:space="preserve"> </w:t>
            </w:r>
          </w:p>
        </w:tc>
        <w:tc>
          <w:tcPr>
            <w:tcW w:w="0" w:type="auto"/>
            <w:tcBorders>
              <w:top w:val="nil"/>
              <w:left w:val="nil"/>
              <w:bottom w:val="single" w:sz="4" w:space="0" w:color="auto"/>
              <w:right w:val="single" w:sz="4" w:space="0" w:color="auto"/>
            </w:tcBorders>
            <w:noWrap/>
            <w:vAlign w:val="bottom"/>
            <w:hideMark/>
          </w:tcPr>
          <w:p w:rsidR="00BA1AB0" w:rsidRPr="00BA1AB0" w:rsidP="00BA1AB0" w14:paraId="50859BCD" w14:textId="06FF78EF">
            <w:pPr>
              <w:widowControl/>
              <w:autoSpaceDE/>
              <w:autoSpaceDN/>
              <w:adjustRightInd/>
              <w:jc w:val="center"/>
              <w:rPr>
                <w:b w:val="0"/>
                <w:bCs w:val="0"/>
                <w:color w:val="000000"/>
                <w:sz w:val="24"/>
                <w:szCs w:val="24"/>
              </w:rPr>
            </w:pPr>
            <w:r w:rsidRPr="00BA1AB0">
              <w:rPr>
                <w:b w:val="0"/>
                <w:bCs w:val="0"/>
                <w:color w:val="000000"/>
                <w:sz w:val="24"/>
                <w:szCs w:val="24"/>
              </w:rPr>
              <w:t>$6,</w:t>
            </w:r>
            <w:r w:rsidR="008608FD">
              <w:rPr>
                <w:b w:val="0"/>
                <w:bCs w:val="0"/>
                <w:color w:val="000000"/>
                <w:sz w:val="24"/>
                <w:szCs w:val="24"/>
              </w:rPr>
              <w:t>829,</w:t>
            </w:r>
            <w:r w:rsidR="00AA0EEE">
              <w:rPr>
                <w:b w:val="0"/>
                <w:bCs w:val="0"/>
                <w:color w:val="000000"/>
                <w:sz w:val="24"/>
                <w:szCs w:val="24"/>
              </w:rPr>
              <w:t xml:space="preserve">515 </w:t>
            </w:r>
            <w:r w:rsidRPr="00BA1AB0">
              <w:rPr>
                <w:b w:val="0"/>
                <w:bCs w:val="0"/>
                <w:color w:val="000000"/>
                <w:sz w:val="24"/>
                <w:szCs w:val="24"/>
              </w:rPr>
              <w:t xml:space="preserve"> </w:t>
            </w:r>
          </w:p>
        </w:tc>
      </w:tr>
      <w:tr w14:paraId="3757B191" w14:textId="77777777" w:rsidTr="00BA1AB0">
        <w:tblPrEx>
          <w:tblW w:w="0" w:type="auto"/>
          <w:tblLook w:val="04A0"/>
        </w:tblPrEx>
        <w:trPr>
          <w:trHeight w:val="62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71E057E3" w14:textId="77777777">
            <w:pPr>
              <w:widowControl/>
              <w:autoSpaceDE/>
              <w:autoSpaceDN/>
              <w:adjustRightInd/>
              <w:rPr>
                <w:b w:val="0"/>
                <w:bCs w:val="0"/>
                <w:sz w:val="24"/>
                <w:szCs w:val="24"/>
              </w:rPr>
            </w:pPr>
            <w:r w:rsidRPr="00BA1AB0">
              <w:rPr>
                <w:b w:val="0"/>
                <w:bCs w:val="0"/>
                <w:sz w:val="24"/>
                <w:szCs w:val="24"/>
              </w:rPr>
              <w:t>Software and Web Developers, Programmers, and Testers</w:t>
            </w:r>
          </w:p>
        </w:tc>
        <w:tc>
          <w:tcPr>
            <w:tcW w:w="0" w:type="auto"/>
            <w:tcBorders>
              <w:top w:val="nil"/>
              <w:left w:val="nil"/>
              <w:bottom w:val="single" w:sz="4" w:space="0" w:color="auto"/>
              <w:right w:val="single" w:sz="4" w:space="0" w:color="auto"/>
            </w:tcBorders>
            <w:noWrap/>
            <w:vAlign w:val="bottom"/>
            <w:hideMark/>
          </w:tcPr>
          <w:p w:rsidR="00BA1AB0" w:rsidRPr="00BA1AB0" w:rsidP="00BA1AB0" w14:paraId="4698A2F7"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single" w:sz="4" w:space="0" w:color="auto"/>
              <w:right w:val="single" w:sz="4" w:space="0" w:color="auto"/>
            </w:tcBorders>
            <w:noWrap/>
            <w:vAlign w:val="bottom"/>
            <w:hideMark/>
          </w:tcPr>
          <w:p w:rsidR="00BA1AB0" w:rsidRPr="00BA1AB0" w:rsidP="00BA1AB0" w14:paraId="68B0AF2D" w14:textId="77777777">
            <w:pPr>
              <w:widowControl/>
              <w:autoSpaceDE/>
              <w:autoSpaceDN/>
              <w:adjustRightInd/>
              <w:jc w:val="center"/>
              <w:rPr>
                <w:b w:val="0"/>
                <w:bCs w:val="0"/>
                <w:color w:val="000000"/>
                <w:sz w:val="24"/>
                <w:szCs w:val="24"/>
              </w:rPr>
            </w:pPr>
            <w:r w:rsidRPr="00BA1AB0">
              <w:rPr>
                <w:b w:val="0"/>
                <w:bCs w:val="0"/>
                <w:color w:val="000000"/>
                <w:sz w:val="24"/>
                <w:szCs w:val="24"/>
              </w:rPr>
              <w:t>3,500</w:t>
            </w:r>
          </w:p>
        </w:tc>
        <w:tc>
          <w:tcPr>
            <w:tcW w:w="0" w:type="auto"/>
            <w:tcBorders>
              <w:top w:val="nil"/>
              <w:left w:val="nil"/>
              <w:bottom w:val="single" w:sz="4" w:space="0" w:color="auto"/>
              <w:right w:val="single" w:sz="4" w:space="0" w:color="auto"/>
            </w:tcBorders>
            <w:noWrap/>
            <w:vAlign w:val="bottom"/>
            <w:hideMark/>
          </w:tcPr>
          <w:p w:rsidR="00BA1AB0" w:rsidRPr="00BA1AB0" w:rsidP="00BA1AB0" w14:paraId="5D3D3C32" w14:textId="77777777">
            <w:pPr>
              <w:widowControl/>
              <w:autoSpaceDE/>
              <w:autoSpaceDN/>
              <w:adjustRightInd/>
              <w:jc w:val="center"/>
              <w:rPr>
                <w:b w:val="0"/>
                <w:bCs w:val="0"/>
                <w:color w:val="000000"/>
                <w:sz w:val="24"/>
                <w:szCs w:val="24"/>
              </w:rPr>
            </w:pPr>
            <w:r w:rsidRPr="00BA1AB0">
              <w:rPr>
                <w:b w:val="0"/>
                <w:bCs w:val="0"/>
                <w:color w:val="000000"/>
                <w:sz w:val="24"/>
                <w:szCs w:val="24"/>
              </w:rPr>
              <w:t>255,500</w:t>
            </w:r>
          </w:p>
        </w:tc>
        <w:tc>
          <w:tcPr>
            <w:tcW w:w="0" w:type="auto"/>
            <w:tcBorders>
              <w:top w:val="nil"/>
              <w:left w:val="nil"/>
              <w:bottom w:val="single" w:sz="4" w:space="0" w:color="auto"/>
              <w:right w:val="single" w:sz="4" w:space="0" w:color="auto"/>
            </w:tcBorders>
            <w:noWrap/>
            <w:vAlign w:val="bottom"/>
            <w:hideMark/>
          </w:tcPr>
          <w:p w:rsidR="00BA1AB0" w:rsidRPr="00BA1AB0" w:rsidP="00BA1AB0" w14:paraId="113B24C1" w14:textId="11CF1A35">
            <w:pPr>
              <w:widowControl/>
              <w:autoSpaceDE/>
              <w:autoSpaceDN/>
              <w:adjustRightInd/>
              <w:jc w:val="center"/>
              <w:rPr>
                <w:b w:val="0"/>
                <w:bCs w:val="0"/>
                <w:color w:val="000000"/>
                <w:sz w:val="24"/>
                <w:szCs w:val="24"/>
              </w:rPr>
            </w:pPr>
            <w:r w:rsidRPr="00BA1AB0">
              <w:rPr>
                <w:b w:val="0"/>
                <w:bCs w:val="0"/>
                <w:color w:val="000000"/>
                <w:sz w:val="24"/>
                <w:szCs w:val="24"/>
              </w:rPr>
              <w:t>$</w:t>
            </w:r>
            <w:r w:rsidR="002360D3">
              <w:rPr>
                <w:b w:val="0"/>
                <w:bCs w:val="0"/>
                <w:color w:val="000000"/>
                <w:sz w:val="24"/>
                <w:szCs w:val="24"/>
              </w:rPr>
              <w:t xml:space="preserve">178.08 </w:t>
            </w:r>
            <w:r w:rsidRPr="00BA1AB0">
              <w:rPr>
                <w:b w:val="0"/>
                <w:bCs w:val="0"/>
                <w:color w:val="000000"/>
                <w:sz w:val="24"/>
                <w:szCs w:val="24"/>
              </w:rPr>
              <w:t xml:space="preserve"> </w:t>
            </w:r>
          </w:p>
        </w:tc>
        <w:tc>
          <w:tcPr>
            <w:tcW w:w="0" w:type="auto"/>
            <w:tcBorders>
              <w:top w:val="nil"/>
              <w:left w:val="nil"/>
              <w:bottom w:val="single" w:sz="4" w:space="0" w:color="auto"/>
              <w:right w:val="single" w:sz="4" w:space="0" w:color="auto"/>
            </w:tcBorders>
            <w:noWrap/>
            <w:vAlign w:val="bottom"/>
            <w:hideMark/>
          </w:tcPr>
          <w:p w:rsidR="00BA1AB0" w:rsidRPr="00BA1AB0" w:rsidP="00BA1AB0" w14:paraId="24FDCABE" w14:textId="48160964">
            <w:pPr>
              <w:widowControl/>
              <w:autoSpaceDE/>
              <w:autoSpaceDN/>
              <w:adjustRightInd/>
              <w:jc w:val="center"/>
              <w:rPr>
                <w:b w:val="0"/>
                <w:bCs w:val="0"/>
                <w:color w:val="000000"/>
                <w:sz w:val="24"/>
                <w:szCs w:val="24"/>
              </w:rPr>
            </w:pPr>
            <w:r w:rsidRPr="00BA1AB0">
              <w:rPr>
                <w:b w:val="0"/>
                <w:bCs w:val="0"/>
                <w:color w:val="000000"/>
                <w:sz w:val="24"/>
                <w:szCs w:val="24"/>
              </w:rPr>
              <w:t>$</w:t>
            </w:r>
            <w:r w:rsidR="00C206AF">
              <w:rPr>
                <w:b w:val="0"/>
                <w:bCs w:val="0"/>
                <w:color w:val="000000"/>
                <w:sz w:val="24"/>
                <w:szCs w:val="24"/>
              </w:rPr>
              <w:t>45</w:t>
            </w:r>
            <w:r w:rsidR="002072A0">
              <w:rPr>
                <w:b w:val="0"/>
                <w:bCs w:val="0"/>
                <w:color w:val="000000"/>
                <w:sz w:val="24"/>
                <w:szCs w:val="24"/>
              </w:rPr>
              <w:t>,499,</w:t>
            </w:r>
            <w:r w:rsidR="00D94EF4">
              <w:rPr>
                <w:b w:val="0"/>
                <w:bCs w:val="0"/>
                <w:color w:val="000000"/>
                <w:sz w:val="24"/>
                <w:szCs w:val="24"/>
              </w:rPr>
              <w:t>,</w:t>
            </w:r>
            <w:r w:rsidR="00D94EF4">
              <w:rPr>
                <w:b w:val="0"/>
                <w:bCs w:val="0"/>
                <w:color w:val="000000"/>
                <w:sz w:val="24"/>
                <w:szCs w:val="24"/>
              </w:rPr>
              <w:t>440</w:t>
            </w:r>
            <w:r w:rsidR="00FB102E">
              <w:rPr>
                <w:b w:val="0"/>
                <w:bCs w:val="0"/>
                <w:color w:val="000000"/>
                <w:sz w:val="24"/>
                <w:szCs w:val="24"/>
              </w:rPr>
              <w:t xml:space="preserve"> </w:t>
            </w:r>
            <w:r w:rsidRPr="00BA1AB0">
              <w:rPr>
                <w:b w:val="0"/>
                <w:bCs w:val="0"/>
                <w:color w:val="000000"/>
                <w:sz w:val="24"/>
                <w:szCs w:val="24"/>
              </w:rPr>
              <w:t xml:space="preserve"> </w:t>
            </w:r>
          </w:p>
        </w:tc>
      </w:tr>
      <w:tr w14:paraId="58018434" w14:textId="77777777" w:rsidTr="00BA1AB0">
        <w:tblPrEx>
          <w:tblW w:w="0" w:type="auto"/>
          <w:tblLook w:val="04A0"/>
        </w:tblPrEx>
        <w:trPr>
          <w:trHeight w:val="360"/>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rsidR="00BA1AB0" w:rsidRPr="00BA1AB0" w:rsidP="00BA1AB0" w14:paraId="3A43D9A6" w14:textId="77777777">
            <w:pPr>
              <w:widowControl/>
              <w:autoSpaceDE/>
              <w:autoSpaceDN/>
              <w:adjustRightInd/>
              <w:rPr>
                <w:i/>
                <w:iCs/>
                <w:sz w:val="24"/>
                <w:szCs w:val="24"/>
                <w:u w:val="single"/>
              </w:rPr>
            </w:pPr>
            <w:r w:rsidRPr="00BA1AB0">
              <w:rPr>
                <w:i/>
                <w:iCs/>
                <w:sz w:val="24"/>
                <w:szCs w:val="24"/>
                <w:u w:val="single"/>
              </w:rPr>
              <w:t>PBMs design, develop, and implement needed IT systems changes (subsequent years)</w:t>
            </w:r>
          </w:p>
        </w:tc>
      </w:tr>
      <w:tr w14:paraId="3DCCB7AB"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4D39A2FF" w14:textId="77777777">
            <w:pPr>
              <w:widowControl/>
              <w:autoSpaceDE/>
              <w:autoSpaceDN/>
              <w:adjustRightInd/>
              <w:rPr>
                <w:b w:val="0"/>
                <w:bCs w:val="0"/>
                <w:sz w:val="24"/>
                <w:szCs w:val="24"/>
              </w:rPr>
            </w:pPr>
            <w:r w:rsidRPr="00BA1AB0">
              <w:rPr>
                <w:b w:val="0"/>
                <w:bCs w:val="0"/>
                <w:sz w:val="24"/>
                <w:szCs w:val="24"/>
              </w:rPr>
              <w:t>Lawyers</w:t>
            </w:r>
          </w:p>
        </w:tc>
        <w:tc>
          <w:tcPr>
            <w:tcW w:w="0" w:type="auto"/>
            <w:tcBorders>
              <w:top w:val="nil"/>
              <w:left w:val="nil"/>
              <w:bottom w:val="single" w:sz="4" w:space="0" w:color="auto"/>
              <w:right w:val="single" w:sz="4" w:space="0" w:color="auto"/>
            </w:tcBorders>
            <w:noWrap/>
            <w:vAlign w:val="bottom"/>
            <w:hideMark/>
          </w:tcPr>
          <w:p w:rsidR="00BA1AB0" w:rsidRPr="007F5B4A" w:rsidP="00BA1AB0" w14:paraId="372EDDE3" w14:textId="77777777">
            <w:pPr>
              <w:widowControl/>
              <w:autoSpaceDE/>
              <w:autoSpaceDN/>
              <w:adjustRightInd/>
              <w:jc w:val="center"/>
              <w:rPr>
                <w:b w:val="0"/>
                <w:bCs w:val="0"/>
                <w:sz w:val="24"/>
                <w:szCs w:val="24"/>
              </w:rPr>
            </w:pPr>
            <w:r w:rsidRPr="007F5B4A">
              <w:rPr>
                <w:b w:val="0"/>
                <w:bCs w:val="0"/>
                <w:sz w:val="24"/>
                <w:szCs w:val="24"/>
              </w:rPr>
              <w:t>73</w:t>
            </w:r>
          </w:p>
        </w:tc>
        <w:tc>
          <w:tcPr>
            <w:tcW w:w="0" w:type="auto"/>
            <w:tcBorders>
              <w:top w:val="nil"/>
              <w:left w:val="nil"/>
              <w:bottom w:val="single" w:sz="4" w:space="0" w:color="auto"/>
              <w:right w:val="single" w:sz="4" w:space="0" w:color="auto"/>
            </w:tcBorders>
            <w:noWrap/>
            <w:vAlign w:val="bottom"/>
            <w:hideMark/>
          </w:tcPr>
          <w:p w:rsidR="00BA1AB0" w:rsidRPr="00BA1AB0" w:rsidP="00BA1AB0" w14:paraId="1C0331B9" w14:textId="77777777">
            <w:pPr>
              <w:widowControl/>
              <w:autoSpaceDE/>
              <w:autoSpaceDN/>
              <w:adjustRightInd/>
              <w:jc w:val="center"/>
              <w:rPr>
                <w:b w:val="0"/>
                <w:bCs w:val="0"/>
                <w:sz w:val="24"/>
                <w:szCs w:val="24"/>
              </w:rPr>
            </w:pPr>
            <w:r w:rsidRPr="00BA1AB0">
              <w:rPr>
                <w:b w:val="0"/>
                <w:bCs w:val="0"/>
                <w:sz w:val="24"/>
                <w:szCs w:val="24"/>
              </w:rPr>
              <w:t>100</w:t>
            </w:r>
          </w:p>
        </w:tc>
        <w:tc>
          <w:tcPr>
            <w:tcW w:w="0" w:type="auto"/>
            <w:tcBorders>
              <w:top w:val="nil"/>
              <w:left w:val="nil"/>
              <w:bottom w:val="single" w:sz="4" w:space="0" w:color="auto"/>
              <w:right w:val="single" w:sz="4" w:space="0" w:color="auto"/>
            </w:tcBorders>
            <w:noWrap/>
            <w:vAlign w:val="bottom"/>
            <w:hideMark/>
          </w:tcPr>
          <w:p w:rsidR="00BA1AB0" w:rsidRPr="00BA1AB0" w:rsidP="00BA1AB0" w14:paraId="41973B08" w14:textId="77777777">
            <w:pPr>
              <w:widowControl/>
              <w:autoSpaceDE/>
              <w:autoSpaceDN/>
              <w:adjustRightInd/>
              <w:jc w:val="center"/>
              <w:rPr>
                <w:b w:val="0"/>
                <w:bCs w:val="0"/>
                <w:color w:val="000000"/>
                <w:sz w:val="24"/>
                <w:szCs w:val="24"/>
              </w:rPr>
            </w:pPr>
            <w:r w:rsidRPr="00BA1AB0">
              <w:rPr>
                <w:b w:val="0"/>
                <w:bCs w:val="0"/>
                <w:color w:val="000000"/>
                <w:sz w:val="24"/>
                <w:szCs w:val="24"/>
              </w:rPr>
              <w:t>7,300</w:t>
            </w:r>
          </w:p>
        </w:tc>
        <w:tc>
          <w:tcPr>
            <w:tcW w:w="0" w:type="auto"/>
            <w:tcBorders>
              <w:top w:val="nil"/>
              <w:left w:val="nil"/>
              <w:bottom w:val="single" w:sz="4" w:space="0" w:color="auto"/>
              <w:right w:val="single" w:sz="4" w:space="0" w:color="auto"/>
            </w:tcBorders>
            <w:noWrap/>
            <w:vAlign w:val="bottom"/>
            <w:hideMark/>
          </w:tcPr>
          <w:p w:rsidR="00BA1AB0" w:rsidRPr="00BA1AB0" w:rsidP="00BA1AB0" w14:paraId="61C07DEB" w14:textId="77777777">
            <w:pPr>
              <w:widowControl/>
              <w:autoSpaceDE/>
              <w:autoSpaceDN/>
              <w:adjustRightInd/>
              <w:jc w:val="center"/>
              <w:rPr>
                <w:b w:val="0"/>
                <w:bCs w:val="0"/>
                <w:sz w:val="24"/>
                <w:szCs w:val="24"/>
              </w:rPr>
            </w:pPr>
            <w:r w:rsidRPr="00BA1AB0">
              <w:rPr>
                <w:b w:val="0"/>
                <w:bCs w:val="0"/>
                <w:sz w:val="24"/>
                <w:szCs w:val="24"/>
              </w:rPr>
              <w:t>$659.15</w:t>
            </w:r>
          </w:p>
        </w:tc>
        <w:tc>
          <w:tcPr>
            <w:tcW w:w="0" w:type="auto"/>
            <w:tcBorders>
              <w:top w:val="nil"/>
              <w:left w:val="nil"/>
              <w:bottom w:val="single" w:sz="4" w:space="0" w:color="auto"/>
              <w:right w:val="single" w:sz="4" w:space="0" w:color="auto"/>
            </w:tcBorders>
            <w:noWrap/>
            <w:vAlign w:val="bottom"/>
            <w:hideMark/>
          </w:tcPr>
          <w:p w:rsidR="00BA1AB0" w:rsidRPr="00BA1AB0" w:rsidP="00BA1AB0" w14:paraId="30AB7C4F" w14:textId="77777777">
            <w:pPr>
              <w:widowControl/>
              <w:autoSpaceDE/>
              <w:autoSpaceDN/>
              <w:adjustRightInd/>
              <w:jc w:val="center"/>
              <w:rPr>
                <w:b w:val="0"/>
                <w:bCs w:val="0"/>
                <w:color w:val="000000"/>
                <w:sz w:val="24"/>
                <w:szCs w:val="24"/>
              </w:rPr>
            </w:pPr>
            <w:r w:rsidRPr="00BA1AB0">
              <w:rPr>
                <w:b w:val="0"/>
                <w:bCs w:val="0"/>
                <w:color w:val="000000"/>
                <w:sz w:val="24"/>
                <w:szCs w:val="24"/>
              </w:rPr>
              <w:t xml:space="preserve">$4,811,795 </w:t>
            </w:r>
          </w:p>
        </w:tc>
      </w:tr>
      <w:tr w14:paraId="69EF52B9"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71AEF435" w14:textId="77777777">
            <w:pPr>
              <w:widowControl/>
              <w:autoSpaceDE/>
              <w:autoSpaceDN/>
              <w:adjustRightInd/>
              <w:rPr>
                <w:b w:val="0"/>
                <w:bCs w:val="0"/>
                <w:sz w:val="24"/>
                <w:szCs w:val="24"/>
              </w:rPr>
            </w:pPr>
            <w:r w:rsidRPr="00BA1AB0">
              <w:rPr>
                <w:b w:val="0"/>
                <w:bCs w:val="0"/>
                <w:sz w:val="24"/>
                <w:szCs w:val="24"/>
              </w:rPr>
              <w:t>Project Management Specialists</w:t>
            </w:r>
          </w:p>
        </w:tc>
        <w:tc>
          <w:tcPr>
            <w:tcW w:w="0" w:type="auto"/>
            <w:tcBorders>
              <w:top w:val="nil"/>
              <w:left w:val="nil"/>
              <w:bottom w:val="single" w:sz="4" w:space="0" w:color="auto"/>
              <w:right w:val="single" w:sz="4" w:space="0" w:color="auto"/>
            </w:tcBorders>
            <w:noWrap/>
            <w:vAlign w:val="bottom"/>
            <w:hideMark/>
          </w:tcPr>
          <w:p w:rsidR="00BA1AB0" w:rsidRPr="00BA1AB0" w:rsidP="00BA1AB0" w14:paraId="5FDB9455"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single" w:sz="4" w:space="0" w:color="auto"/>
              <w:right w:val="single" w:sz="4" w:space="0" w:color="auto"/>
            </w:tcBorders>
            <w:noWrap/>
            <w:vAlign w:val="bottom"/>
            <w:hideMark/>
          </w:tcPr>
          <w:p w:rsidR="00BA1AB0" w:rsidRPr="00BA1AB0" w:rsidP="00BA1AB0" w14:paraId="05D65D1F" w14:textId="77777777">
            <w:pPr>
              <w:widowControl/>
              <w:autoSpaceDE/>
              <w:autoSpaceDN/>
              <w:adjustRightInd/>
              <w:jc w:val="center"/>
              <w:rPr>
                <w:b w:val="0"/>
                <w:bCs w:val="0"/>
                <w:color w:val="000000"/>
                <w:sz w:val="24"/>
                <w:szCs w:val="24"/>
              </w:rPr>
            </w:pPr>
            <w:r w:rsidRPr="00BA1AB0">
              <w:rPr>
                <w:b w:val="0"/>
                <w:bCs w:val="0"/>
                <w:color w:val="000000"/>
                <w:sz w:val="24"/>
                <w:szCs w:val="24"/>
              </w:rPr>
              <w:t>500</w:t>
            </w:r>
          </w:p>
        </w:tc>
        <w:tc>
          <w:tcPr>
            <w:tcW w:w="0" w:type="auto"/>
            <w:tcBorders>
              <w:top w:val="nil"/>
              <w:left w:val="nil"/>
              <w:bottom w:val="single" w:sz="4" w:space="0" w:color="auto"/>
              <w:right w:val="single" w:sz="4" w:space="0" w:color="auto"/>
            </w:tcBorders>
            <w:noWrap/>
            <w:vAlign w:val="bottom"/>
            <w:hideMark/>
          </w:tcPr>
          <w:p w:rsidR="00BA1AB0" w:rsidRPr="00BA1AB0" w:rsidP="00BA1AB0" w14:paraId="0BBF1261" w14:textId="77777777">
            <w:pPr>
              <w:widowControl/>
              <w:autoSpaceDE/>
              <w:autoSpaceDN/>
              <w:adjustRightInd/>
              <w:jc w:val="center"/>
              <w:rPr>
                <w:b w:val="0"/>
                <w:bCs w:val="0"/>
                <w:color w:val="000000"/>
                <w:sz w:val="24"/>
                <w:szCs w:val="24"/>
              </w:rPr>
            </w:pPr>
            <w:r w:rsidRPr="00BA1AB0">
              <w:rPr>
                <w:b w:val="0"/>
                <w:bCs w:val="0"/>
                <w:color w:val="000000"/>
                <w:sz w:val="24"/>
                <w:szCs w:val="24"/>
              </w:rPr>
              <w:t>36,500</w:t>
            </w:r>
          </w:p>
        </w:tc>
        <w:tc>
          <w:tcPr>
            <w:tcW w:w="0" w:type="auto"/>
            <w:tcBorders>
              <w:top w:val="nil"/>
              <w:left w:val="nil"/>
              <w:bottom w:val="single" w:sz="4" w:space="0" w:color="auto"/>
              <w:right w:val="single" w:sz="4" w:space="0" w:color="auto"/>
            </w:tcBorders>
            <w:noWrap/>
            <w:vAlign w:val="bottom"/>
            <w:hideMark/>
          </w:tcPr>
          <w:p w:rsidR="00BA1AB0" w:rsidRPr="00BA1AB0" w:rsidP="00BA1AB0" w14:paraId="3C30DBD8" w14:textId="10732B6E">
            <w:pPr>
              <w:widowControl/>
              <w:autoSpaceDE/>
              <w:autoSpaceDN/>
              <w:adjustRightInd/>
              <w:jc w:val="center"/>
              <w:rPr>
                <w:b w:val="0"/>
                <w:bCs w:val="0"/>
                <w:color w:val="000000"/>
                <w:sz w:val="24"/>
                <w:szCs w:val="24"/>
              </w:rPr>
            </w:pPr>
            <w:r w:rsidRPr="00BA1AB0">
              <w:rPr>
                <w:b w:val="0"/>
                <w:bCs w:val="0"/>
                <w:color w:val="000000"/>
                <w:sz w:val="24"/>
                <w:szCs w:val="24"/>
              </w:rPr>
              <w:t>$</w:t>
            </w:r>
            <w:r w:rsidR="003D6324">
              <w:rPr>
                <w:b w:val="0"/>
                <w:bCs w:val="0"/>
                <w:color w:val="000000"/>
                <w:sz w:val="24"/>
                <w:szCs w:val="24"/>
              </w:rPr>
              <w:t xml:space="preserve">131.29 </w:t>
            </w:r>
            <w:r w:rsidRPr="00BA1AB0">
              <w:rPr>
                <w:b w:val="0"/>
                <w:bCs w:val="0"/>
                <w:color w:val="000000"/>
                <w:sz w:val="24"/>
                <w:szCs w:val="24"/>
              </w:rPr>
              <w:t xml:space="preserve"> </w:t>
            </w:r>
          </w:p>
        </w:tc>
        <w:tc>
          <w:tcPr>
            <w:tcW w:w="0" w:type="auto"/>
            <w:tcBorders>
              <w:top w:val="nil"/>
              <w:left w:val="nil"/>
              <w:bottom w:val="single" w:sz="4" w:space="0" w:color="auto"/>
              <w:right w:val="single" w:sz="4" w:space="0" w:color="auto"/>
            </w:tcBorders>
            <w:noWrap/>
            <w:vAlign w:val="bottom"/>
            <w:hideMark/>
          </w:tcPr>
          <w:p w:rsidR="00BA1AB0" w:rsidRPr="00BA1AB0" w:rsidP="00BA1AB0" w14:paraId="396EC7AF" w14:textId="510862E9">
            <w:pPr>
              <w:widowControl/>
              <w:autoSpaceDE/>
              <w:autoSpaceDN/>
              <w:adjustRightInd/>
              <w:jc w:val="center"/>
              <w:rPr>
                <w:b w:val="0"/>
                <w:bCs w:val="0"/>
                <w:color w:val="000000"/>
                <w:sz w:val="24"/>
                <w:szCs w:val="24"/>
              </w:rPr>
            </w:pPr>
            <w:r w:rsidRPr="00BA1AB0">
              <w:rPr>
                <w:b w:val="0"/>
                <w:bCs w:val="0"/>
                <w:color w:val="000000"/>
                <w:sz w:val="24"/>
                <w:szCs w:val="24"/>
              </w:rPr>
              <w:t>$4,</w:t>
            </w:r>
            <w:r w:rsidR="00E17D30">
              <w:rPr>
                <w:b w:val="0"/>
                <w:bCs w:val="0"/>
                <w:color w:val="000000"/>
                <w:sz w:val="24"/>
                <w:szCs w:val="24"/>
              </w:rPr>
              <w:t>792,</w:t>
            </w:r>
            <w:r w:rsidR="00281CDE">
              <w:rPr>
                <w:b w:val="0"/>
                <w:bCs w:val="0"/>
                <w:color w:val="000000"/>
                <w:sz w:val="24"/>
                <w:szCs w:val="24"/>
              </w:rPr>
              <w:t xml:space="preserve">085 </w:t>
            </w:r>
            <w:r w:rsidRPr="00BA1AB0">
              <w:rPr>
                <w:b w:val="0"/>
                <w:bCs w:val="0"/>
                <w:color w:val="000000"/>
                <w:sz w:val="24"/>
                <w:szCs w:val="24"/>
              </w:rPr>
              <w:t xml:space="preserve"> </w:t>
            </w:r>
          </w:p>
        </w:tc>
      </w:tr>
      <w:tr w14:paraId="5A284219"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1D456E5B" w14:textId="77777777">
            <w:pPr>
              <w:widowControl/>
              <w:autoSpaceDE/>
              <w:autoSpaceDN/>
              <w:adjustRightInd/>
              <w:rPr>
                <w:b w:val="0"/>
                <w:bCs w:val="0"/>
                <w:sz w:val="24"/>
                <w:szCs w:val="24"/>
              </w:rPr>
            </w:pPr>
            <w:r w:rsidRPr="00BA1AB0">
              <w:rPr>
                <w:b w:val="0"/>
                <w:bCs w:val="0"/>
                <w:sz w:val="24"/>
                <w:szCs w:val="24"/>
              </w:rPr>
              <w:t>Business Operations Specialist</w:t>
            </w:r>
          </w:p>
        </w:tc>
        <w:tc>
          <w:tcPr>
            <w:tcW w:w="0" w:type="auto"/>
            <w:tcBorders>
              <w:top w:val="nil"/>
              <w:left w:val="nil"/>
              <w:bottom w:val="single" w:sz="4" w:space="0" w:color="auto"/>
              <w:right w:val="single" w:sz="4" w:space="0" w:color="auto"/>
            </w:tcBorders>
            <w:noWrap/>
            <w:vAlign w:val="bottom"/>
            <w:hideMark/>
          </w:tcPr>
          <w:p w:rsidR="00BA1AB0" w:rsidRPr="00BA1AB0" w:rsidP="00BA1AB0" w14:paraId="0BA76929"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single" w:sz="4" w:space="0" w:color="auto"/>
              <w:right w:val="single" w:sz="4" w:space="0" w:color="auto"/>
            </w:tcBorders>
            <w:noWrap/>
            <w:vAlign w:val="bottom"/>
            <w:hideMark/>
          </w:tcPr>
          <w:p w:rsidR="00BA1AB0" w:rsidRPr="00BA1AB0" w:rsidP="00BA1AB0" w14:paraId="307A040A" w14:textId="77777777">
            <w:pPr>
              <w:widowControl/>
              <w:autoSpaceDE/>
              <w:autoSpaceDN/>
              <w:adjustRightInd/>
              <w:jc w:val="center"/>
              <w:rPr>
                <w:b w:val="0"/>
                <w:bCs w:val="0"/>
                <w:color w:val="000000"/>
                <w:sz w:val="24"/>
                <w:szCs w:val="24"/>
              </w:rPr>
            </w:pPr>
            <w:r w:rsidRPr="00BA1AB0">
              <w:rPr>
                <w:b w:val="0"/>
                <w:bCs w:val="0"/>
                <w:color w:val="000000"/>
                <w:sz w:val="24"/>
                <w:szCs w:val="24"/>
              </w:rPr>
              <w:t>50</w:t>
            </w:r>
          </w:p>
        </w:tc>
        <w:tc>
          <w:tcPr>
            <w:tcW w:w="0" w:type="auto"/>
            <w:tcBorders>
              <w:top w:val="nil"/>
              <w:left w:val="nil"/>
              <w:bottom w:val="single" w:sz="4" w:space="0" w:color="auto"/>
              <w:right w:val="single" w:sz="4" w:space="0" w:color="auto"/>
            </w:tcBorders>
            <w:noWrap/>
            <w:vAlign w:val="bottom"/>
            <w:hideMark/>
          </w:tcPr>
          <w:p w:rsidR="00BA1AB0" w:rsidRPr="00BA1AB0" w:rsidP="00BA1AB0" w14:paraId="53F9CBAC" w14:textId="77777777">
            <w:pPr>
              <w:widowControl/>
              <w:autoSpaceDE/>
              <w:autoSpaceDN/>
              <w:adjustRightInd/>
              <w:jc w:val="center"/>
              <w:rPr>
                <w:b w:val="0"/>
                <w:bCs w:val="0"/>
                <w:color w:val="000000"/>
                <w:sz w:val="24"/>
                <w:szCs w:val="24"/>
              </w:rPr>
            </w:pPr>
            <w:r w:rsidRPr="00BA1AB0">
              <w:rPr>
                <w:b w:val="0"/>
                <w:bCs w:val="0"/>
                <w:color w:val="000000"/>
                <w:sz w:val="24"/>
                <w:szCs w:val="24"/>
              </w:rPr>
              <w:t>3,650</w:t>
            </w:r>
          </w:p>
        </w:tc>
        <w:tc>
          <w:tcPr>
            <w:tcW w:w="0" w:type="auto"/>
            <w:tcBorders>
              <w:top w:val="nil"/>
              <w:left w:val="nil"/>
              <w:bottom w:val="single" w:sz="4" w:space="0" w:color="auto"/>
              <w:right w:val="single" w:sz="4" w:space="0" w:color="auto"/>
            </w:tcBorders>
            <w:noWrap/>
            <w:vAlign w:val="bottom"/>
            <w:hideMark/>
          </w:tcPr>
          <w:p w:rsidR="00BA1AB0" w:rsidRPr="00BA1AB0" w:rsidP="00BA1AB0" w14:paraId="31076FBC" w14:textId="49C75771">
            <w:pPr>
              <w:widowControl/>
              <w:autoSpaceDE/>
              <w:autoSpaceDN/>
              <w:adjustRightInd/>
              <w:jc w:val="center"/>
              <w:rPr>
                <w:b w:val="0"/>
                <w:bCs w:val="0"/>
                <w:color w:val="000000"/>
                <w:sz w:val="24"/>
                <w:szCs w:val="24"/>
              </w:rPr>
            </w:pPr>
            <w:r w:rsidRPr="00BA1AB0">
              <w:rPr>
                <w:b w:val="0"/>
                <w:bCs w:val="0"/>
                <w:color w:val="000000"/>
                <w:sz w:val="24"/>
                <w:szCs w:val="24"/>
              </w:rPr>
              <w:t>$</w:t>
            </w:r>
            <w:r w:rsidR="00212F9B">
              <w:rPr>
                <w:b w:val="0"/>
                <w:bCs w:val="0"/>
                <w:color w:val="000000"/>
                <w:sz w:val="24"/>
                <w:szCs w:val="24"/>
              </w:rPr>
              <w:t xml:space="preserve">124.74 </w:t>
            </w:r>
            <w:r w:rsidRPr="00BA1AB0">
              <w:rPr>
                <w:b w:val="0"/>
                <w:bCs w:val="0"/>
                <w:color w:val="000000"/>
                <w:sz w:val="24"/>
                <w:szCs w:val="24"/>
              </w:rPr>
              <w:t xml:space="preserve"> </w:t>
            </w:r>
          </w:p>
        </w:tc>
        <w:tc>
          <w:tcPr>
            <w:tcW w:w="0" w:type="auto"/>
            <w:tcBorders>
              <w:top w:val="nil"/>
              <w:left w:val="nil"/>
              <w:bottom w:val="single" w:sz="4" w:space="0" w:color="auto"/>
              <w:right w:val="single" w:sz="4" w:space="0" w:color="auto"/>
            </w:tcBorders>
            <w:noWrap/>
            <w:vAlign w:val="bottom"/>
            <w:hideMark/>
          </w:tcPr>
          <w:p w:rsidR="00BA1AB0" w:rsidRPr="00BA1AB0" w:rsidP="00BA1AB0" w14:paraId="05564881" w14:textId="7F7258DF">
            <w:pPr>
              <w:widowControl/>
              <w:autoSpaceDE/>
              <w:autoSpaceDN/>
              <w:adjustRightInd/>
              <w:jc w:val="center"/>
              <w:rPr>
                <w:b w:val="0"/>
                <w:bCs w:val="0"/>
                <w:color w:val="000000"/>
                <w:sz w:val="24"/>
                <w:szCs w:val="24"/>
              </w:rPr>
            </w:pPr>
            <w:r w:rsidRPr="00BA1AB0">
              <w:rPr>
                <w:b w:val="0"/>
                <w:bCs w:val="0"/>
                <w:color w:val="000000"/>
                <w:sz w:val="24"/>
                <w:szCs w:val="24"/>
              </w:rPr>
              <w:t>$</w:t>
            </w:r>
            <w:r w:rsidR="0005311E">
              <w:rPr>
                <w:b w:val="0"/>
                <w:bCs w:val="0"/>
                <w:color w:val="000000"/>
                <w:sz w:val="24"/>
                <w:szCs w:val="24"/>
              </w:rPr>
              <w:t xml:space="preserve">455,301 </w:t>
            </w:r>
            <w:r w:rsidRPr="00BA1AB0">
              <w:rPr>
                <w:b w:val="0"/>
                <w:bCs w:val="0"/>
                <w:color w:val="000000"/>
                <w:sz w:val="24"/>
                <w:szCs w:val="24"/>
              </w:rPr>
              <w:t xml:space="preserve"> </w:t>
            </w:r>
          </w:p>
        </w:tc>
      </w:tr>
      <w:tr w14:paraId="3E2A1452" w14:textId="77777777" w:rsidTr="00BA1AB0">
        <w:tblPrEx>
          <w:tblW w:w="0" w:type="auto"/>
          <w:tblLook w:val="04A0"/>
        </w:tblPrEx>
        <w:trPr>
          <w:trHeight w:val="630"/>
        </w:trPr>
        <w:tc>
          <w:tcPr>
            <w:tcW w:w="0" w:type="auto"/>
            <w:tcBorders>
              <w:top w:val="nil"/>
              <w:left w:val="single" w:sz="4" w:space="0" w:color="auto"/>
              <w:bottom w:val="single" w:sz="4" w:space="0" w:color="auto"/>
              <w:right w:val="single" w:sz="4" w:space="0" w:color="auto"/>
            </w:tcBorders>
            <w:vAlign w:val="center"/>
            <w:hideMark/>
          </w:tcPr>
          <w:p w:rsidR="00BA1AB0" w:rsidRPr="00BA1AB0" w:rsidP="00BA1AB0" w14:paraId="557C8CA0" w14:textId="77777777">
            <w:pPr>
              <w:widowControl/>
              <w:autoSpaceDE/>
              <w:autoSpaceDN/>
              <w:adjustRightInd/>
              <w:rPr>
                <w:b w:val="0"/>
                <w:bCs w:val="0"/>
                <w:sz w:val="24"/>
                <w:szCs w:val="24"/>
              </w:rPr>
            </w:pPr>
            <w:r w:rsidRPr="00BA1AB0">
              <w:rPr>
                <w:b w:val="0"/>
                <w:bCs w:val="0"/>
                <w:sz w:val="24"/>
                <w:szCs w:val="24"/>
              </w:rPr>
              <w:t>Software and Web Developers, Programmers, and Testers</w:t>
            </w:r>
          </w:p>
        </w:tc>
        <w:tc>
          <w:tcPr>
            <w:tcW w:w="0" w:type="auto"/>
            <w:tcBorders>
              <w:top w:val="nil"/>
              <w:left w:val="nil"/>
              <w:bottom w:val="double" w:sz="6" w:space="0" w:color="auto"/>
              <w:right w:val="single" w:sz="4" w:space="0" w:color="auto"/>
            </w:tcBorders>
            <w:noWrap/>
            <w:vAlign w:val="bottom"/>
            <w:hideMark/>
          </w:tcPr>
          <w:p w:rsidR="00BA1AB0" w:rsidRPr="00BA1AB0" w:rsidP="00BA1AB0" w14:paraId="262BC446" w14:textId="77777777">
            <w:pPr>
              <w:widowControl/>
              <w:autoSpaceDE/>
              <w:autoSpaceDN/>
              <w:adjustRightInd/>
              <w:jc w:val="center"/>
              <w:rPr>
                <w:b w:val="0"/>
                <w:bCs w:val="0"/>
                <w:sz w:val="24"/>
                <w:szCs w:val="24"/>
              </w:rPr>
            </w:pPr>
            <w:r w:rsidRPr="00BA1AB0">
              <w:rPr>
                <w:b w:val="0"/>
                <w:bCs w:val="0"/>
                <w:sz w:val="24"/>
                <w:szCs w:val="24"/>
              </w:rPr>
              <w:t>73</w:t>
            </w:r>
          </w:p>
        </w:tc>
        <w:tc>
          <w:tcPr>
            <w:tcW w:w="0" w:type="auto"/>
            <w:tcBorders>
              <w:top w:val="nil"/>
              <w:left w:val="nil"/>
              <w:bottom w:val="double" w:sz="6" w:space="0" w:color="auto"/>
              <w:right w:val="single" w:sz="4" w:space="0" w:color="auto"/>
            </w:tcBorders>
            <w:noWrap/>
            <w:vAlign w:val="bottom"/>
            <w:hideMark/>
          </w:tcPr>
          <w:p w:rsidR="00BA1AB0" w:rsidRPr="00BA1AB0" w:rsidP="00BA1AB0" w14:paraId="7815655A" w14:textId="77777777">
            <w:pPr>
              <w:widowControl/>
              <w:autoSpaceDE/>
              <w:autoSpaceDN/>
              <w:adjustRightInd/>
              <w:jc w:val="center"/>
              <w:rPr>
                <w:b w:val="0"/>
                <w:bCs w:val="0"/>
                <w:color w:val="000000"/>
                <w:sz w:val="24"/>
                <w:szCs w:val="24"/>
              </w:rPr>
            </w:pPr>
            <w:r w:rsidRPr="00BA1AB0">
              <w:rPr>
                <w:b w:val="0"/>
                <w:bCs w:val="0"/>
                <w:color w:val="000000"/>
                <w:sz w:val="24"/>
                <w:szCs w:val="24"/>
              </w:rPr>
              <w:t>750</w:t>
            </w:r>
          </w:p>
        </w:tc>
        <w:tc>
          <w:tcPr>
            <w:tcW w:w="0" w:type="auto"/>
            <w:tcBorders>
              <w:top w:val="nil"/>
              <w:left w:val="nil"/>
              <w:bottom w:val="double" w:sz="6" w:space="0" w:color="auto"/>
              <w:right w:val="single" w:sz="4" w:space="0" w:color="auto"/>
            </w:tcBorders>
            <w:noWrap/>
            <w:vAlign w:val="bottom"/>
            <w:hideMark/>
          </w:tcPr>
          <w:p w:rsidR="00BA1AB0" w:rsidRPr="00BA1AB0" w:rsidP="00BA1AB0" w14:paraId="67DE292D" w14:textId="77777777">
            <w:pPr>
              <w:widowControl/>
              <w:autoSpaceDE/>
              <w:autoSpaceDN/>
              <w:adjustRightInd/>
              <w:jc w:val="center"/>
              <w:rPr>
                <w:b w:val="0"/>
                <w:bCs w:val="0"/>
                <w:color w:val="000000"/>
                <w:sz w:val="24"/>
                <w:szCs w:val="24"/>
              </w:rPr>
            </w:pPr>
            <w:r w:rsidRPr="00BA1AB0">
              <w:rPr>
                <w:b w:val="0"/>
                <w:bCs w:val="0"/>
                <w:color w:val="000000"/>
                <w:sz w:val="24"/>
                <w:szCs w:val="24"/>
              </w:rPr>
              <w:t>54,750</w:t>
            </w:r>
          </w:p>
        </w:tc>
        <w:tc>
          <w:tcPr>
            <w:tcW w:w="0" w:type="auto"/>
            <w:tcBorders>
              <w:top w:val="nil"/>
              <w:left w:val="nil"/>
              <w:bottom w:val="double" w:sz="6" w:space="0" w:color="auto"/>
              <w:right w:val="single" w:sz="4" w:space="0" w:color="auto"/>
            </w:tcBorders>
            <w:noWrap/>
            <w:vAlign w:val="bottom"/>
            <w:hideMark/>
          </w:tcPr>
          <w:p w:rsidR="00BA1AB0" w:rsidRPr="00BA1AB0" w:rsidP="00BA1AB0" w14:paraId="50DE8A60" w14:textId="60C86682">
            <w:pPr>
              <w:widowControl/>
              <w:autoSpaceDE/>
              <w:autoSpaceDN/>
              <w:adjustRightInd/>
              <w:jc w:val="center"/>
              <w:rPr>
                <w:b w:val="0"/>
                <w:bCs w:val="0"/>
                <w:color w:val="000000"/>
                <w:sz w:val="24"/>
                <w:szCs w:val="24"/>
              </w:rPr>
            </w:pPr>
            <w:r w:rsidRPr="00BA1AB0">
              <w:rPr>
                <w:b w:val="0"/>
                <w:bCs w:val="0"/>
                <w:color w:val="000000"/>
                <w:sz w:val="24"/>
                <w:szCs w:val="24"/>
              </w:rPr>
              <w:t>$</w:t>
            </w:r>
            <w:r w:rsidR="00EF0F34">
              <w:rPr>
                <w:b w:val="0"/>
                <w:bCs w:val="0"/>
                <w:color w:val="000000"/>
                <w:sz w:val="24"/>
                <w:szCs w:val="24"/>
              </w:rPr>
              <w:t xml:space="preserve">178.08 </w:t>
            </w:r>
            <w:r w:rsidRPr="00BA1AB0">
              <w:rPr>
                <w:b w:val="0"/>
                <w:bCs w:val="0"/>
                <w:color w:val="000000"/>
                <w:sz w:val="24"/>
                <w:szCs w:val="24"/>
              </w:rPr>
              <w:t xml:space="preserve"> </w:t>
            </w:r>
          </w:p>
        </w:tc>
        <w:tc>
          <w:tcPr>
            <w:tcW w:w="0" w:type="auto"/>
            <w:tcBorders>
              <w:top w:val="nil"/>
              <w:left w:val="nil"/>
              <w:bottom w:val="double" w:sz="6" w:space="0" w:color="auto"/>
              <w:right w:val="single" w:sz="4" w:space="0" w:color="auto"/>
            </w:tcBorders>
            <w:noWrap/>
            <w:vAlign w:val="bottom"/>
            <w:hideMark/>
          </w:tcPr>
          <w:p w:rsidR="00BA1AB0" w:rsidRPr="00BA1AB0" w:rsidP="00BA1AB0" w14:paraId="046F555A" w14:textId="5190211E">
            <w:pPr>
              <w:widowControl/>
              <w:autoSpaceDE/>
              <w:autoSpaceDN/>
              <w:adjustRightInd/>
              <w:jc w:val="center"/>
              <w:rPr>
                <w:b w:val="0"/>
                <w:bCs w:val="0"/>
                <w:color w:val="000000"/>
                <w:sz w:val="24"/>
                <w:szCs w:val="24"/>
              </w:rPr>
            </w:pPr>
            <w:r w:rsidRPr="00BA1AB0">
              <w:rPr>
                <w:b w:val="0"/>
                <w:bCs w:val="0"/>
                <w:color w:val="000000"/>
                <w:sz w:val="24"/>
                <w:szCs w:val="24"/>
              </w:rPr>
              <w:t>$9,</w:t>
            </w:r>
            <w:r w:rsidR="005E466B">
              <w:rPr>
                <w:b w:val="0"/>
                <w:bCs w:val="0"/>
                <w:color w:val="000000"/>
                <w:sz w:val="24"/>
                <w:szCs w:val="24"/>
              </w:rPr>
              <w:t xml:space="preserve">749,880 </w:t>
            </w:r>
            <w:r w:rsidRPr="00BA1AB0">
              <w:rPr>
                <w:b w:val="0"/>
                <w:bCs w:val="0"/>
                <w:color w:val="000000"/>
                <w:sz w:val="24"/>
                <w:szCs w:val="24"/>
              </w:rPr>
              <w:t xml:space="preserve"> </w:t>
            </w:r>
          </w:p>
        </w:tc>
      </w:tr>
      <w:tr w14:paraId="6B2FB06E" w14:textId="77777777" w:rsidTr="00BA1AB0">
        <w:tblPrEx>
          <w:tblW w:w="0" w:type="auto"/>
          <w:tblLook w:val="04A0"/>
        </w:tblPrEx>
        <w:trPr>
          <w:trHeight w:val="370"/>
        </w:trPr>
        <w:tc>
          <w:tcPr>
            <w:tcW w:w="0" w:type="auto"/>
            <w:tcBorders>
              <w:top w:val="nil"/>
              <w:left w:val="single" w:sz="4" w:space="0" w:color="auto"/>
              <w:bottom w:val="single" w:sz="4" w:space="0" w:color="auto"/>
              <w:right w:val="single" w:sz="4" w:space="0" w:color="auto"/>
            </w:tcBorders>
            <w:noWrap/>
            <w:vAlign w:val="center"/>
            <w:hideMark/>
          </w:tcPr>
          <w:p w:rsidR="00BA1AB0" w:rsidRPr="00BA1AB0" w:rsidP="00BA1AB0" w14:paraId="6F5A5139" w14:textId="77777777">
            <w:pPr>
              <w:widowControl/>
              <w:autoSpaceDE/>
              <w:autoSpaceDN/>
              <w:adjustRightInd/>
              <w:rPr>
                <w:sz w:val="24"/>
                <w:szCs w:val="24"/>
              </w:rPr>
            </w:pPr>
            <w:r w:rsidRPr="00BA1AB0">
              <w:rPr>
                <w:sz w:val="24"/>
                <w:szCs w:val="24"/>
              </w:rPr>
              <w:t xml:space="preserve">First Year Total </w:t>
            </w:r>
          </w:p>
        </w:tc>
        <w:tc>
          <w:tcPr>
            <w:tcW w:w="0" w:type="auto"/>
            <w:tcBorders>
              <w:top w:val="nil"/>
              <w:left w:val="nil"/>
              <w:bottom w:val="single" w:sz="4" w:space="0" w:color="auto"/>
              <w:right w:val="single" w:sz="4" w:space="0" w:color="auto"/>
            </w:tcBorders>
            <w:noWrap/>
            <w:vAlign w:val="center"/>
            <w:hideMark/>
          </w:tcPr>
          <w:p w:rsidR="00BA1AB0" w:rsidRPr="00BA1AB0" w:rsidP="00BA1AB0" w14:paraId="76EAE3D3" w14:textId="77777777">
            <w:pPr>
              <w:widowControl/>
              <w:autoSpaceDE/>
              <w:autoSpaceDN/>
              <w:adjustRightInd/>
              <w:jc w:val="center"/>
              <w:rPr>
                <w:sz w:val="24"/>
                <w:szCs w:val="24"/>
              </w:rPr>
            </w:pPr>
            <w:r w:rsidRPr="00BA1AB0">
              <w:rPr>
                <w:sz w:val="24"/>
                <w:szCs w:val="24"/>
              </w:rPr>
              <w:t>73</w:t>
            </w:r>
          </w:p>
        </w:tc>
        <w:tc>
          <w:tcPr>
            <w:tcW w:w="0" w:type="auto"/>
            <w:tcBorders>
              <w:top w:val="nil"/>
              <w:left w:val="nil"/>
              <w:bottom w:val="single" w:sz="4" w:space="0" w:color="auto"/>
              <w:right w:val="single" w:sz="4" w:space="0" w:color="auto"/>
            </w:tcBorders>
            <w:noWrap/>
            <w:vAlign w:val="center"/>
            <w:hideMark/>
          </w:tcPr>
          <w:p w:rsidR="00BA1AB0" w:rsidRPr="00BA1AB0" w:rsidP="00BA1AB0" w14:paraId="2C331A0D" w14:textId="77777777">
            <w:pPr>
              <w:widowControl/>
              <w:autoSpaceDE/>
              <w:autoSpaceDN/>
              <w:adjustRightInd/>
              <w:jc w:val="center"/>
              <w:rPr>
                <w:sz w:val="24"/>
                <w:szCs w:val="24"/>
              </w:rPr>
            </w:pPr>
            <w:r w:rsidRPr="00BA1AB0">
              <w:rPr>
                <w:sz w:val="24"/>
                <w:szCs w:val="24"/>
              </w:rPr>
              <w:t>-</w:t>
            </w:r>
          </w:p>
        </w:tc>
        <w:tc>
          <w:tcPr>
            <w:tcW w:w="0" w:type="auto"/>
            <w:tcBorders>
              <w:top w:val="nil"/>
              <w:left w:val="nil"/>
              <w:bottom w:val="single" w:sz="4" w:space="0" w:color="auto"/>
              <w:right w:val="single" w:sz="4" w:space="0" w:color="auto"/>
            </w:tcBorders>
            <w:noWrap/>
            <w:vAlign w:val="center"/>
            <w:hideMark/>
          </w:tcPr>
          <w:p w:rsidR="00BA1AB0" w:rsidRPr="00BA1AB0" w:rsidP="00BA1AB0" w14:paraId="3F7B3D10" w14:textId="77777777">
            <w:pPr>
              <w:widowControl/>
              <w:autoSpaceDE/>
              <w:autoSpaceDN/>
              <w:adjustRightInd/>
              <w:jc w:val="center"/>
              <w:rPr>
                <w:sz w:val="24"/>
                <w:szCs w:val="24"/>
              </w:rPr>
            </w:pPr>
            <w:r w:rsidRPr="00BA1AB0">
              <w:rPr>
                <w:sz w:val="24"/>
                <w:szCs w:val="24"/>
              </w:rPr>
              <w:t>486,180</w:t>
            </w:r>
          </w:p>
        </w:tc>
        <w:tc>
          <w:tcPr>
            <w:tcW w:w="0" w:type="auto"/>
            <w:tcBorders>
              <w:top w:val="nil"/>
              <w:left w:val="nil"/>
              <w:bottom w:val="single" w:sz="4" w:space="0" w:color="auto"/>
              <w:right w:val="single" w:sz="4" w:space="0" w:color="auto"/>
            </w:tcBorders>
            <w:noWrap/>
            <w:vAlign w:val="center"/>
            <w:hideMark/>
          </w:tcPr>
          <w:p w:rsidR="00BA1AB0" w:rsidRPr="00BA1AB0" w:rsidP="00BA1AB0" w14:paraId="75E26E91" w14:textId="77777777">
            <w:pPr>
              <w:widowControl/>
              <w:autoSpaceDE/>
              <w:autoSpaceDN/>
              <w:adjustRightInd/>
              <w:jc w:val="center"/>
              <w:rPr>
                <w:sz w:val="24"/>
                <w:szCs w:val="24"/>
              </w:rPr>
            </w:pPr>
            <w:r w:rsidRPr="00BA1AB0">
              <w:rPr>
                <w:sz w:val="24"/>
                <w:szCs w:val="24"/>
              </w:rPr>
              <w:t>-</w:t>
            </w:r>
          </w:p>
        </w:tc>
        <w:tc>
          <w:tcPr>
            <w:tcW w:w="0" w:type="auto"/>
            <w:tcBorders>
              <w:top w:val="nil"/>
              <w:left w:val="nil"/>
              <w:bottom w:val="single" w:sz="4" w:space="0" w:color="auto"/>
              <w:right w:val="single" w:sz="4" w:space="0" w:color="auto"/>
            </w:tcBorders>
            <w:noWrap/>
            <w:vAlign w:val="center"/>
            <w:hideMark/>
          </w:tcPr>
          <w:p w:rsidR="00BA1AB0" w:rsidRPr="00BA1AB0" w:rsidP="00BA1AB0" w14:paraId="0AB8B620" w14:textId="2153567E">
            <w:pPr>
              <w:widowControl/>
              <w:autoSpaceDE/>
              <w:autoSpaceDN/>
              <w:adjustRightInd/>
              <w:jc w:val="center"/>
              <w:rPr>
                <w:sz w:val="24"/>
                <w:szCs w:val="24"/>
              </w:rPr>
            </w:pPr>
            <w:r w:rsidRPr="00BA1AB0">
              <w:rPr>
                <w:sz w:val="24"/>
                <w:szCs w:val="24"/>
              </w:rPr>
              <w:t>$</w:t>
            </w:r>
            <w:r w:rsidR="002D556A">
              <w:rPr>
                <w:sz w:val="24"/>
                <w:szCs w:val="24"/>
              </w:rPr>
              <w:t>81</w:t>
            </w:r>
            <w:r w:rsidR="00B507AD">
              <w:rPr>
                <w:sz w:val="24"/>
                <w:szCs w:val="24"/>
              </w:rPr>
              <w:t>,592,</w:t>
            </w:r>
            <w:r w:rsidR="006320D8">
              <w:rPr>
                <w:sz w:val="24"/>
                <w:szCs w:val="24"/>
              </w:rPr>
              <w:t xml:space="preserve">210 </w:t>
            </w:r>
            <w:r w:rsidRPr="00BA1AB0">
              <w:rPr>
                <w:sz w:val="24"/>
                <w:szCs w:val="24"/>
              </w:rPr>
              <w:t xml:space="preserve"> </w:t>
            </w:r>
          </w:p>
        </w:tc>
      </w:tr>
      <w:tr w14:paraId="5257DAF4"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noWrap/>
            <w:vAlign w:val="center"/>
            <w:hideMark/>
          </w:tcPr>
          <w:p w:rsidR="00BA1AB0" w:rsidRPr="00BA1AB0" w:rsidP="00BA1AB0" w14:paraId="1F905EC1" w14:textId="77777777">
            <w:pPr>
              <w:widowControl/>
              <w:autoSpaceDE/>
              <w:autoSpaceDN/>
              <w:adjustRightInd/>
              <w:rPr>
                <w:sz w:val="24"/>
                <w:szCs w:val="24"/>
              </w:rPr>
            </w:pPr>
            <w:r w:rsidRPr="00BA1AB0">
              <w:rPr>
                <w:sz w:val="24"/>
                <w:szCs w:val="24"/>
              </w:rPr>
              <w:t>Subsequent Year Total</w:t>
            </w:r>
          </w:p>
        </w:tc>
        <w:tc>
          <w:tcPr>
            <w:tcW w:w="0" w:type="auto"/>
            <w:tcBorders>
              <w:top w:val="nil"/>
              <w:left w:val="nil"/>
              <w:bottom w:val="single" w:sz="4" w:space="0" w:color="auto"/>
              <w:right w:val="single" w:sz="4" w:space="0" w:color="auto"/>
            </w:tcBorders>
            <w:noWrap/>
            <w:vAlign w:val="center"/>
            <w:hideMark/>
          </w:tcPr>
          <w:p w:rsidR="00BA1AB0" w:rsidRPr="00BA1AB0" w:rsidP="00BA1AB0" w14:paraId="008FD015" w14:textId="77777777">
            <w:pPr>
              <w:widowControl/>
              <w:autoSpaceDE/>
              <w:autoSpaceDN/>
              <w:adjustRightInd/>
              <w:jc w:val="center"/>
              <w:rPr>
                <w:sz w:val="24"/>
                <w:szCs w:val="24"/>
              </w:rPr>
            </w:pPr>
            <w:r w:rsidRPr="00BA1AB0">
              <w:rPr>
                <w:sz w:val="24"/>
                <w:szCs w:val="24"/>
              </w:rPr>
              <w:t>73</w:t>
            </w:r>
          </w:p>
        </w:tc>
        <w:tc>
          <w:tcPr>
            <w:tcW w:w="0" w:type="auto"/>
            <w:tcBorders>
              <w:top w:val="nil"/>
              <w:left w:val="nil"/>
              <w:bottom w:val="single" w:sz="4" w:space="0" w:color="auto"/>
              <w:right w:val="single" w:sz="4" w:space="0" w:color="auto"/>
            </w:tcBorders>
            <w:noWrap/>
            <w:vAlign w:val="center"/>
            <w:hideMark/>
          </w:tcPr>
          <w:p w:rsidR="00BA1AB0" w:rsidRPr="00BA1AB0" w:rsidP="00BA1AB0" w14:paraId="282E716C" w14:textId="77777777">
            <w:pPr>
              <w:widowControl/>
              <w:autoSpaceDE/>
              <w:autoSpaceDN/>
              <w:adjustRightInd/>
              <w:jc w:val="center"/>
              <w:rPr>
                <w:sz w:val="24"/>
                <w:szCs w:val="24"/>
              </w:rPr>
            </w:pPr>
            <w:r w:rsidRPr="00BA1AB0">
              <w:rPr>
                <w:sz w:val="24"/>
                <w:szCs w:val="24"/>
              </w:rPr>
              <w:t> </w:t>
            </w:r>
          </w:p>
        </w:tc>
        <w:tc>
          <w:tcPr>
            <w:tcW w:w="0" w:type="auto"/>
            <w:tcBorders>
              <w:top w:val="nil"/>
              <w:left w:val="nil"/>
              <w:bottom w:val="single" w:sz="4" w:space="0" w:color="auto"/>
              <w:right w:val="single" w:sz="4" w:space="0" w:color="auto"/>
            </w:tcBorders>
            <w:noWrap/>
            <w:vAlign w:val="center"/>
            <w:hideMark/>
          </w:tcPr>
          <w:p w:rsidR="00BA1AB0" w:rsidRPr="00BA1AB0" w:rsidP="00BA1AB0" w14:paraId="18C21421" w14:textId="77777777">
            <w:pPr>
              <w:widowControl/>
              <w:autoSpaceDE/>
              <w:autoSpaceDN/>
              <w:adjustRightInd/>
              <w:jc w:val="center"/>
              <w:rPr>
                <w:sz w:val="24"/>
                <w:szCs w:val="24"/>
              </w:rPr>
            </w:pPr>
            <w:r w:rsidRPr="00BA1AB0">
              <w:rPr>
                <w:sz w:val="24"/>
                <w:szCs w:val="24"/>
              </w:rPr>
              <w:t>102,200</w:t>
            </w:r>
          </w:p>
        </w:tc>
        <w:tc>
          <w:tcPr>
            <w:tcW w:w="0" w:type="auto"/>
            <w:tcBorders>
              <w:top w:val="nil"/>
              <w:left w:val="nil"/>
              <w:bottom w:val="single" w:sz="4" w:space="0" w:color="auto"/>
              <w:right w:val="single" w:sz="4" w:space="0" w:color="auto"/>
            </w:tcBorders>
            <w:noWrap/>
            <w:vAlign w:val="center"/>
            <w:hideMark/>
          </w:tcPr>
          <w:p w:rsidR="00BA1AB0" w:rsidRPr="00BA1AB0" w:rsidP="00BA1AB0" w14:paraId="688AF770" w14:textId="77777777">
            <w:pPr>
              <w:widowControl/>
              <w:autoSpaceDE/>
              <w:autoSpaceDN/>
              <w:adjustRightInd/>
              <w:jc w:val="center"/>
              <w:rPr>
                <w:sz w:val="24"/>
                <w:szCs w:val="24"/>
              </w:rPr>
            </w:pPr>
            <w:r w:rsidRPr="00BA1AB0">
              <w:rPr>
                <w:sz w:val="24"/>
                <w:szCs w:val="24"/>
              </w:rPr>
              <w:t> </w:t>
            </w:r>
          </w:p>
        </w:tc>
        <w:tc>
          <w:tcPr>
            <w:tcW w:w="0" w:type="auto"/>
            <w:tcBorders>
              <w:top w:val="nil"/>
              <w:left w:val="nil"/>
              <w:bottom w:val="single" w:sz="4" w:space="0" w:color="auto"/>
              <w:right w:val="single" w:sz="4" w:space="0" w:color="auto"/>
            </w:tcBorders>
            <w:noWrap/>
            <w:vAlign w:val="center"/>
            <w:hideMark/>
          </w:tcPr>
          <w:p w:rsidR="00BA1AB0" w:rsidRPr="00BA1AB0" w:rsidP="00BA1AB0" w14:paraId="364363C9" w14:textId="01C5027A">
            <w:pPr>
              <w:widowControl/>
              <w:autoSpaceDE/>
              <w:autoSpaceDN/>
              <w:adjustRightInd/>
              <w:jc w:val="center"/>
              <w:rPr>
                <w:sz w:val="24"/>
                <w:szCs w:val="24"/>
              </w:rPr>
            </w:pPr>
            <w:r w:rsidRPr="00BA1AB0">
              <w:rPr>
                <w:sz w:val="24"/>
                <w:szCs w:val="24"/>
              </w:rPr>
              <w:t>$19,</w:t>
            </w:r>
            <w:r w:rsidR="006B0388">
              <w:rPr>
                <w:sz w:val="24"/>
                <w:szCs w:val="24"/>
              </w:rPr>
              <w:t xml:space="preserve">809,061 </w:t>
            </w:r>
            <w:r w:rsidRPr="00BA1AB0">
              <w:rPr>
                <w:sz w:val="24"/>
                <w:szCs w:val="24"/>
              </w:rPr>
              <w:t xml:space="preserve"> </w:t>
            </w:r>
          </w:p>
        </w:tc>
      </w:tr>
      <w:tr w14:paraId="1D62991D" w14:textId="77777777" w:rsidTr="00BA1AB0">
        <w:tblPrEx>
          <w:tblW w:w="0" w:type="auto"/>
          <w:tblLook w:val="04A0"/>
        </w:tblPrEx>
        <w:trPr>
          <w:trHeight w:val="360"/>
        </w:trPr>
        <w:tc>
          <w:tcPr>
            <w:tcW w:w="0" w:type="auto"/>
            <w:tcBorders>
              <w:top w:val="nil"/>
              <w:left w:val="single" w:sz="4" w:space="0" w:color="auto"/>
              <w:bottom w:val="single" w:sz="4" w:space="0" w:color="auto"/>
              <w:right w:val="single" w:sz="4" w:space="0" w:color="auto"/>
            </w:tcBorders>
            <w:noWrap/>
            <w:vAlign w:val="center"/>
            <w:hideMark/>
          </w:tcPr>
          <w:p w:rsidR="00BA1AB0" w:rsidRPr="00BA1AB0" w:rsidP="00BA1AB0" w14:paraId="0F77A0AE" w14:textId="77777777">
            <w:pPr>
              <w:widowControl/>
              <w:autoSpaceDE/>
              <w:autoSpaceDN/>
              <w:adjustRightInd/>
              <w:rPr>
                <w:sz w:val="24"/>
                <w:szCs w:val="24"/>
              </w:rPr>
            </w:pPr>
            <w:r w:rsidRPr="00BA1AB0">
              <w:rPr>
                <w:sz w:val="24"/>
                <w:szCs w:val="24"/>
              </w:rPr>
              <w:t xml:space="preserve">Three-Year Average </w:t>
            </w:r>
          </w:p>
        </w:tc>
        <w:tc>
          <w:tcPr>
            <w:tcW w:w="0" w:type="auto"/>
            <w:tcBorders>
              <w:top w:val="nil"/>
              <w:left w:val="nil"/>
              <w:bottom w:val="single" w:sz="4" w:space="0" w:color="auto"/>
              <w:right w:val="single" w:sz="4" w:space="0" w:color="auto"/>
            </w:tcBorders>
            <w:noWrap/>
            <w:vAlign w:val="center"/>
            <w:hideMark/>
          </w:tcPr>
          <w:p w:rsidR="00BA1AB0" w:rsidRPr="00BA1AB0" w:rsidP="00BA1AB0" w14:paraId="7B5BE51C" w14:textId="77777777">
            <w:pPr>
              <w:widowControl/>
              <w:autoSpaceDE/>
              <w:autoSpaceDN/>
              <w:adjustRightInd/>
              <w:jc w:val="center"/>
              <w:rPr>
                <w:sz w:val="24"/>
                <w:szCs w:val="24"/>
              </w:rPr>
            </w:pPr>
            <w:r w:rsidRPr="00BA1AB0">
              <w:rPr>
                <w:sz w:val="24"/>
                <w:szCs w:val="24"/>
              </w:rPr>
              <w:t>73</w:t>
            </w:r>
          </w:p>
        </w:tc>
        <w:tc>
          <w:tcPr>
            <w:tcW w:w="0" w:type="auto"/>
            <w:tcBorders>
              <w:top w:val="nil"/>
              <w:left w:val="nil"/>
              <w:bottom w:val="single" w:sz="4" w:space="0" w:color="auto"/>
              <w:right w:val="single" w:sz="4" w:space="0" w:color="auto"/>
            </w:tcBorders>
            <w:noWrap/>
            <w:vAlign w:val="center"/>
            <w:hideMark/>
          </w:tcPr>
          <w:p w:rsidR="00BA1AB0" w:rsidRPr="00BA1AB0" w:rsidP="00BA1AB0" w14:paraId="0F716254" w14:textId="77777777">
            <w:pPr>
              <w:widowControl/>
              <w:autoSpaceDE/>
              <w:autoSpaceDN/>
              <w:adjustRightInd/>
              <w:jc w:val="center"/>
              <w:rPr>
                <w:sz w:val="24"/>
                <w:szCs w:val="24"/>
              </w:rPr>
            </w:pPr>
            <w:r w:rsidRPr="00BA1AB0">
              <w:rPr>
                <w:sz w:val="24"/>
                <w:szCs w:val="24"/>
              </w:rPr>
              <w:t> </w:t>
            </w:r>
          </w:p>
        </w:tc>
        <w:tc>
          <w:tcPr>
            <w:tcW w:w="0" w:type="auto"/>
            <w:tcBorders>
              <w:top w:val="nil"/>
              <w:left w:val="nil"/>
              <w:bottom w:val="single" w:sz="4" w:space="0" w:color="auto"/>
              <w:right w:val="single" w:sz="4" w:space="0" w:color="auto"/>
            </w:tcBorders>
            <w:noWrap/>
            <w:vAlign w:val="center"/>
            <w:hideMark/>
          </w:tcPr>
          <w:p w:rsidR="00BA1AB0" w:rsidRPr="00BA1AB0" w:rsidP="00BA1AB0" w14:paraId="0BD5ED70" w14:textId="77777777">
            <w:pPr>
              <w:widowControl/>
              <w:autoSpaceDE/>
              <w:autoSpaceDN/>
              <w:adjustRightInd/>
              <w:jc w:val="center"/>
              <w:rPr>
                <w:sz w:val="24"/>
                <w:szCs w:val="24"/>
              </w:rPr>
            </w:pPr>
            <w:r w:rsidRPr="00BA1AB0">
              <w:rPr>
                <w:sz w:val="24"/>
                <w:szCs w:val="24"/>
              </w:rPr>
              <w:t>230,193</w:t>
            </w:r>
          </w:p>
        </w:tc>
        <w:tc>
          <w:tcPr>
            <w:tcW w:w="0" w:type="auto"/>
            <w:tcBorders>
              <w:top w:val="nil"/>
              <w:left w:val="nil"/>
              <w:bottom w:val="single" w:sz="4" w:space="0" w:color="auto"/>
              <w:right w:val="single" w:sz="4" w:space="0" w:color="auto"/>
            </w:tcBorders>
            <w:noWrap/>
            <w:vAlign w:val="center"/>
            <w:hideMark/>
          </w:tcPr>
          <w:p w:rsidR="00BA1AB0" w:rsidRPr="00BA1AB0" w:rsidP="00BA1AB0" w14:paraId="290288A7" w14:textId="77777777">
            <w:pPr>
              <w:widowControl/>
              <w:autoSpaceDE/>
              <w:autoSpaceDN/>
              <w:adjustRightInd/>
              <w:jc w:val="center"/>
              <w:rPr>
                <w:sz w:val="24"/>
                <w:szCs w:val="24"/>
              </w:rPr>
            </w:pPr>
            <w:r w:rsidRPr="00BA1AB0">
              <w:rPr>
                <w:sz w:val="24"/>
                <w:szCs w:val="24"/>
              </w:rPr>
              <w:t> </w:t>
            </w:r>
          </w:p>
        </w:tc>
        <w:tc>
          <w:tcPr>
            <w:tcW w:w="0" w:type="auto"/>
            <w:tcBorders>
              <w:top w:val="nil"/>
              <w:left w:val="nil"/>
              <w:bottom w:val="single" w:sz="4" w:space="0" w:color="auto"/>
              <w:right w:val="single" w:sz="4" w:space="0" w:color="auto"/>
            </w:tcBorders>
            <w:noWrap/>
            <w:vAlign w:val="center"/>
            <w:hideMark/>
          </w:tcPr>
          <w:p w:rsidR="00BA1AB0" w:rsidRPr="00BA1AB0" w:rsidP="00BA1AB0" w14:paraId="61413386" w14:textId="61C8F0F0">
            <w:pPr>
              <w:widowControl/>
              <w:autoSpaceDE/>
              <w:autoSpaceDN/>
              <w:adjustRightInd/>
              <w:jc w:val="center"/>
              <w:rPr>
                <w:sz w:val="24"/>
                <w:szCs w:val="24"/>
              </w:rPr>
            </w:pPr>
            <w:r w:rsidRPr="00BA1AB0">
              <w:rPr>
                <w:sz w:val="24"/>
                <w:szCs w:val="24"/>
              </w:rPr>
              <w:t>$</w:t>
            </w:r>
            <w:r w:rsidR="00CC5953">
              <w:rPr>
                <w:sz w:val="24"/>
                <w:szCs w:val="24"/>
              </w:rPr>
              <w:t>40,403</w:t>
            </w:r>
            <w:r w:rsidR="007E696F">
              <w:rPr>
                <w:sz w:val="24"/>
                <w:szCs w:val="24"/>
              </w:rPr>
              <w:t xml:space="preserve">,444 </w:t>
            </w:r>
            <w:r w:rsidRPr="00BA1AB0">
              <w:rPr>
                <w:sz w:val="24"/>
                <w:szCs w:val="24"/>
              </w:rPr>
              <w:t xml:space="preserve"> </w:t>
            </w:r>
          </w:p>
        </w:tc>
      </w:tr>
    </w:tbl>
    <w:p w:rsidR="0057004B" w:rsidP="0057004B" w14:paraId="54BF1C0E" w14:textId="77777777">
      <w:pPr>
        <w:widowControl/>
        <w:tabs>
          <w:tab w:val="left" w:pos="-1440"/>
        </w:tabs>
        <w:rPr>
          <w:b w:val="0"/>
          <w:bCs w:val="0"/>
          <w:iCs/>
          <w:sz w:val="24"/>
          <w:szCs w:val="24"/>
        </w:rPr>
      </w:pPr>
    </w:p>
    <w:p w:rsidR="0057004B" w:rsidRPr="00CA0B11" w:rsidP="00CA0B11" w14:paraId="120732A6" w14:textId="7E061703">
      <w:pPr>
        <w:pStyle w:val="ListParagraph"/>
        <w:widowControl/>
        <w:numPr>
          <w:ilvl w:val="0"/>
          <w:numId w:val="45"/>
        </w:numPr>
        <w:tabs>
          <w:tab w:val="left" w:pos="-1440"/>
        </w:tabs>
        <w:rPr>
          <w:sz w:val="24"/>
          <w:szCs w:val="24"/>
          <w:u w:val="single"/>
        </w:rPr>
      </w:pPr>
      <w:r w:rsidRPr="00CA0B11">
        <w:rPr>
          <w:sz w:val="24"/>
          <w:szCs w:val="24"/>
          <w:u w:val="single"/>
        </w:rPr>
        <w:t>Number of Notices</w:t>
      </w:r>
      <w:r w:rsidRPr="00CA0B11" w:rsidR="00BB08A8">
        <w:rPr>
          <w:sz w:val="24"/>
          <w:szCs w:val="24"/>
          <w:u w:val="single"/>
        </w:rPr>
        <w:t xml:space="preserve"> from PBMs</w:t>
      </w:r>
    </w:p>
    <w:p w:rsidR="000F6343" w:rsidRPr="000F6343" w:rsidP="00F96911" w14:paraId="3D63F4DA" w14:textId="77777777">
      <w:pPr>
        <w:widowControl/>
        <w:tabs>
          <w:tab w:val="left" w:pos="-1440"/>
        </w:tabs>
        <w:rPr>
          <w:b w:val="0"/>
          <w:bCs w:val="0"/>
          <w:sz w:val="24"/>
          <w:szCs w:val="24"/>
          <w:u w:val="single"/>
        </w:rPr>
      </w:pPr>
    </w:p>
    <w:p w:rsidR="000F6343" w:rsidRPr="000F6343" w:rsidP="00F96911" w14:paraId="5BA46ABF" w14:textId="77777777">
      <w:pPr>
        <w:ind w:left="720"/>
        <w:rPr>
          <w:b w:val="0"/>
          <w:bCs w:val="0"/>
          <w:sz w:val="24"/>
          <w:szCs w:val="24"/>
        </w:rPr>
      </w:pPr>
      <w:r w:rsidRPr="000F6343">
        <w:rPr>
          <w:b w:val="0"/>
          <w:bCs w:val="0"/>
          <w:sz w:val="24"/>
          <w:szCs w:val="24"/>
        </w:rPr>
        <w:t xml:space="preserve">The following sections discuss the number of notices that PBMs would provide </w:t>
      </w:r>
      <w:r w:rsidRPr="000F6343">
        <w:rPr>
          <w:b w:val="0"/>
          <w:bCs w:val="0"/>
          <w:sz w:val="24"/>
          <w:szCs w:val="24"/>
        </w:rPr>
        <w:t>to</w:t>
      </w:r>
      <w:r w:rsidRPr="000F6343">
        <w:rPr>
          <w:b w:val="0"/>
          <w:bCs w:val="0"/>
          <w:sz w:val="24"/>
          <w:szCs w:val="24"/>
        </w:rPr>
        <w:t xml:space="preserve"> self-insured group health plans and the associated costs. These notices apply to self-insured plans with 100 or more participants and beneficiaries.</w:t>
      </w:r>
    </w:p>
    <w:p w:rsidR="000F6343" w:rsidP="00650C19" w14:paraId="457A7C90" w14:textId="77777777">
      <w:pPr>
        <w:widowControl/>
        <w:tabs>
          <w:tab w:val="left" w:pos="-1440"/>
        </w:tabs>
        <w:ind w:left="720"/>
        <w:rPr>
          <w:b w:val="0"/>
          <w:bCs w:val="0"/>
          <w:i/>
          <w:iCs/>
          <w:sz w:val="24"/>
          <w:szCs w:val="24"/>
          <w:u w:val="single"/>
        </w:rPr>
      </w:pPr>
    </w:p>
    <w:p w:rsidR="00650C19" w:rsidRPr="00650C19" w:rsidP="00650C19" w14:paraId="0AFB843C" w14:textId="733E7037">
      <w:pPr>
        <w:widowControl/>
        <w:tabs>
          <w:tab w:val="left" w:pos="-1440"/>
        </w:tabs>
        <w:ind w:left="720"/>
        <w:rPr>
          <w:b w:val="0"/>
          <w:bCs w:val="0"/>
          <w:i/>
          <w:iCs/>
          <w:sz w:val="24"/>
          <w:szCs w:val="24"/>
          <w:u w:val="single"/>
        </w:rPr>
      </w:pPr>
      <w:r w:rsidRPr="00650C19">
        <w:rPr>
          <w:b w:val="0"/>
          <w:bCs w:val="0"/>
          <w:i/>
          <w:iCs/>
          <w:sz w:val="24"/>
          <w:szCs w:val="24"/>
          <w:u w:val="single"/>
        </w:rPr>
        <w:t xml:space="preserve">Number of </w:t>
      </w:r>
      <w:r>
        <w:rPr>
          <w:b w:val="0"/>
          <w:bCs w:val="0"/>
          <w:i/>
          <w:iCs/>
          <w:sz w:val="24"/>
          <w:szCs w:val="24"/>
          <w:u w:val="single"/>
        </w:rPr>
        <w:t>Initial</w:t>
      </w:r>
      <w:r w:rsidRPr="00650C19">
        <w:rPr>
          <w:b w:val="0"/>
          <w:bCs w:val="0"/>
          <w:i/>
          <w:iCs/>
          <w:sz w:val="24"/>
          <w:szCs w:val="24"/>
          <w:u w:val="single"/>
        </w:rPr>
        <w:t xml:space="preserve"> Notices from PBMs</w:t>
      </w:r>
    </w:p>
    <w:p w:rsidR="002D639A" w:rsidP="002D639A" w14:paraId="76821136" w14:textId="77777777">
      <w:pPr>
        <w:ind w:left="720"/>
        <w:rPr>
          <w:b w:val="0"/>
          <w:bCs w:val="0"/>
        </w:rPr>
      </w:pPr>
    </w:p>
    <w:p w:rsidR="002D639A" w:rsidRPr="00B5489F" w:rsidP="002D639A" w14:paraId="22D8A993" w14:textId="77777777">
      <w:pPr>
        <w:ind w:left="720"/>
        <w:rPr>
          <w:b w:val="0"/>
          <w:bCs w:val="0"/>
          <w:sz w:val="24"/>
          <w:szCs w:val="24"/>
        </w:rPr>
      </w:pPr>
      <w:r w:rsidRPr="00B5489F">
        <w:rPr>
          <w:b w:val="0"/>
          <w:bCs w:val="0"/>
          <w:sz w:val="24"/>
          <w:szCs w:val="24"/>
        </w:rPr>
        <w:t xml:space="preserve">The final rule would require PBMs or other covered service providers to provide initial disclosures to responsible plan fiduciaries of self-insured group health plans, reasonably in advance of the date on which the contracts or arrangements are </w:t>
      </w:r>
      <w:r w:rsidRPr="00B5489F">
        <w:rPr>
          <w:b w:val="0"/>
          <w:bCs w:val="0"/>
          <w:sz w:val="24"/>
          <w:szCs w:val="24"/>
        </w:rPr>
        <w:t>entered into</w:t>
      </w:r>
      <w:r w:rsidRPr="00B5489F">
        <w:rPr>
          <w:b w:val="0"/>
          <w:bCs w:val="0"/>
          <w:sz w:val="24"/>
          <w:szCs w:val="24"/>
        </w:rPr>
        <w:t xml:space="preserve">, extended or renewed. Standard industry contracts appear to be for three-year periods, though it is unclear </w:t>
      </w:r>
      <w:r w:rsidRPr="00B5489F">
        <w:rPr>
          <w:b w:val="0"/>
          <w:bCs w:val="0"/>
          <w:sz w:val="24"/>
          <w:szCs w:val="24"/>
        </w:rPr>
        <w:t>if</w:t>
      </w:r>
      <w:r w:rsidRPr="00B5489F">
        <w:rPr>
          <w:b w:val="0"/>
          <w:bCs w:val="0"/>
          <w:sz w:val="24"/>
          <w:szCs w:val="24"/>
        </w:rPr>
        <w:t xml:space="preserve"> the agreements themselves are extended or renewed during that time.</w:t>
      </w:r>
      <w:r>
        <w:rPr>
          <w:rStyle w:val="FootnoteReference"/>
          <w:b w:val="0"/>
          <w:bCs w:val="0"/>
          <w:sz w:val="24"/>
          <w:szCs w:val="24"/>
          <w:vertAlign w:val="superscript"/>
        </w:rPr>
        <w:footnoteReference w:id="28"/>
      </w:r>
      <w:r w:rsidRPr="00B5489F">
        <w:rPr>
          <w:b w:val="0"/>
          <w:bCs w:val="0"/>
          <w:sz w:val="24"/>
          <w:szCs w:val="24"/>
          <w:vertAlign w:val="superscript"/>
        </w:rPr>
        <w:t xml:space="preserve"> </w:t>
      </w:r>
      <w:r w:rsidRPr="00B5489F">
        <w:rPr>
          <w:b w:val="0"/>
          <w:bCs w:val="0"/>
          <w:sz w:val="24"/>
          <w:szCs w:val="24"/>
        </w:rPr>
        <w:t xml:space="preserve">The Department anticipates that approximately one-third of the self-insured group health plans will annually initiate new contracts, extend existing contracts, or renew contracts. </w:t>
      </w:r>
    </w:p>
    <w:p w:rsidR="00650C19" w:rsidP="006E1899" w14:paraId="3648E791" w14:textId="77777777">
      <w:pPr>
        <w:widowControl/>
        <w:tabs>
          <w:tab w:val="left" w:pos="-1440"/>
        </w:tabs>
        <w:ind w:left="720"/>
        <w:rPr>
          <w:b w:val="0"/>
          <w:bCs w:val="0"/>
          <w:i/>
          <w:iCs/>
          <w:sz w:val="24"/>
          <w:szCs w:val="24"/>
          <w:u w:val="single"/>
        </w:rPr>
      </w:pPr>
    </w:p>
    <w:p w:rsidR="006E1899" w:rsidRPr="0057004B" w:rsidP="006E1899" w14:paraId="04F8DA57" w14:textId="0EA07D09">
      <w:pPr>
        <w:widowControl/>
        <w:tabs>
          <w:tab w:val="left" w:pos="-1440"/>
        </w:tabs>
        <w:ind w:left="720"/>
        <w:rPr>
          <w:b w:val="0"/>
          <w:bCs w:val="0"/>
          <w:i/>
          <w:iCs/>
          <w:sz w:val="24"/>
          <w:szCs w:val="24"/>
          <w:u w:val="single"/>
        </w:rPr>
      </w:pPr>
      <w:bookmarkStart w:id="1" w:name="_Hlk218767870"/>
      <w:r w:rsidRPr="0057004B">
        <w:rPr>
          <w:b w:val="0"/>
          <w:bCs w:val="0"/>
          <w:i/>
          <w:iCs/>
          <w:sz w:val="24"/>
          <w:szCs w:val="24"/>
          <w:u w:val="single"/>
        </w:rPr>
        <w:t xml:space="preserve">Number of </w:t>
      </w:r>
      <w:r w:rsidR="00E002DE">
        <w:rPr>
          <w:b w:val="0"/>
          <w:bCs w:val="0"/>
          <w:i/>
          <w:iCs/>
          <w:sz w:val="24"/>
          <w:szCs w:val="24"/>
          <w:u w:val="single"/>
        </w:rPr>
        <w:t>Follow-Up</w:t>
      </w:r>
      <w:r w:rsidRPr="0057004B">
        <w:rPr>
          <w:b w:val="0"/>
          <w:bCs w:val="0"/>
          <w:i/>
          <w:iCs/>
          <w:sz w:val="24"/>
          <w:szCs w:val="24"/>
          <w:u w:val="single"/>
        </w:rPr>
        <w:t xml:space="preserve"> Notices from PBMs</w:t>
      </w:r>
    </w:p>
    <w:bookmarkEnd w:id="1"/>
    <w:p w:rsidR="0039677F" w:rsidP="006E1899" w14:paraId="60C72DAE" w14:textId="77777777">
      <w:pPr>
        <w:widowControl/>
        <w:tabs>
          <w:tab w:val="left" w:pos="-1440"/>
        </w:tabs>
        <w:ind w:left="720"/>
        <w:rPr>
          <w:b w:val="0"/>
          <w:bCs w:val="0"/>
          <w:iCs/>
          <w:sz w:val="24"/>
          <w:szCs w:val="24"/>
        </w:rPr>
      </w:pPr>
    </w:p>
    <w:p w:rsidR="00447EFE" w:rsidP="006E1899" w14:paraId="6F0F400A" w14:textId="77777777">
      <w:pPr>
        <w:widowControl/>
        <w:tabs>
          <w:tab w:val="left" w:pos="-1440"/>
        </w:tabs>
        <w:ind w:left="720"/>
        <w:rPr>
          <w:b w:val="0"/>
          <w:bCs w:val="0"/>
          <w:iCs/>
          <w:sz w:val="24"/>
          <w:szCs w:val="24"/>
        </w:rPr>
      </w:pPr>
      <w:r w:rsidRPr="00447EFE">
        <w:rPr>
          <w:b w:val="0"/>
          <w:bCs w:val="0"/>
          <w:iCs/>
          <w:sz w:val="24"/>
          <w:szCs w:val="24"/>
        </w:rPr>
        <w:t>The final rule also requires that PBMs or other covered service providers furnish disclosures on a semiannual basis (or at the request of the covered plan, quarterly) within 30 calendar days following the conclusion of each six-month period starting from the contract or arrangement initiation date. The Department estimates that PBMs or other covered service providers would submit these disclosures to each self-insured group health plan twice each year. The required semiannual disclosures cover two quarters each year, leaving two quarters in which no semiannual disclosure is provided. During those remaining quarters, the</w:t>
      </w:r>
      <w:r w:rsidRPr="00447EFE">
        <w:rPr>
          <w:b w:val="0"/>
          <w:iCs/>
          <w:sz w:val="24"/>
          <w:szCs w:val="24"/>
        </w:rPr>
        <w:t xml:space="preserve"> Department </w:t>
      </w:r>
      <w:r w:rsidRPr="00447EFE">
        <w:rPr>
          <w:b w:val="0"/>
          <w:bCs w:val="0"/>
          <w:iCs/>
          <w:sz w:val="24"/>
          <w:szCs w:val="24"/>
        </w:rPr>
        <w:t>assumes that ten percent of plans will request quarterly disclosures</w:t>
      </w:r>
    </w:p>
    <w:p w:rsidR="00447EFE" w:rsidP="006E1899" w14:paraId="2DBCD492" w14:textId="77777777">
      <w:pPr>
        <w:widowControl/>
        <w:tabs>
          <w:tab w:val="left" w:pos="-1440"/>
        </w:tabs>
        <w:ind w:left="720"/>
        <w:rPr>
          <w:b w:val="0"/>
          <w:bCs w:val="0"/>
          <w:iCs/>
          <w:sz w:val="24"/>
          <w:szCs w:val="24"/>
        </w:rPr>
      </w:pPr>
    </w:p>
    <w:p w:rsidR="006E1899" w:rsidRPr="0057004B" w:rsidP="006E1899" w14:paraId="09CD2153" w14:textId="41D544CA">
      <w:pPr>
        <w:widowControl/>
        <w:tabs>
          <w:tab w:val="left" w:pos="-1440"/>
        </w:tabs>
        <w:ind w:left="720"/>
        <w:rPr>
          <w:b w:val="0"/>
          <w:bCs w:val="0"/>
          <w:i/>
          <w:iCs/>
          <w:sz w:val="24"/>
          <w:szCs w:val="24"/>
          <w:u w:val="single"/>
        </w:rPr>
      </w:pPr>
      <w:r w:rsidRPr="0057004B">
        <w:rPr>
          <w:b w:val="0"/>
          <w:bCs w:val="0"/>
          <w:i/>
          <w:iCs/>
          <w:sz w:val="24"/>
          <w:szCs w:val="24"/>
          <w:u w:val="single"/>
        </w:rPr>
        <w:t>Number of Notices Upon Requests from PBMs</w:t>
      </w:r>
    </w:p>
    <w:p w:rsidR="006E1899" w:rsidP="006E1899" w14:paraId="7D0FB3BC" w14:textId="77777777">
      <w:pPr>
        <w:widowControl/>
        <w:tabs>
          <w:tab w:val="left" w:pos="-1440"/>
        </w:tabs>
        <w:ind w:left="720"/>
        <w:rPr>
          <w:b w:val="0"/>
          <w:bCs w:val="0"/>
          <w:iCs/>
          <w:sz w:val="24"/>
          <w:szCs w:val="24"/>
        </w:rPr>
      </w:pPr>
    </w:p>
    <w:p w:rsidR="0088293D" w:rsidP="0088293D" w14:paraId="4F55D8BF" w14:textId="360F3FBD">
      <w:pPr>
        <w:pStyle w:val="ListParagraph"/>
        <w:widowControl/>
        <w:tabs>
          <w:tab w:val="left" w:pos="-1440"/>
        </w:tabs>
        <w:rPr>
          <w:rFonts w:eastAsia="Calibri"/>
          <w:b w:val="0"/>
          <w:bCs w:val="0"/>
          <w:sz w:val="24"/>
          <w:szCs w:val="24"/>
        </w:rPr>
      </w:pPr>
      <w:r w:rsidRPr="003200D1">
        <w:rPr>
          <w:rFonts w:eastAsia="Calibri"/>
          <w:b w:val="0"/>
          <w:bCs w:val="0"/>
          <w:sz w:val="24"/>
          <w:szCs w:val="24"/>
        </w:rPr>
        <w:t>The final rule also requires PBMs or other covered service providers to provide any other information related to the contract or arrangement that is required for the self-insured group health plan to comply with the reporting and disclosure requirements of Title I of ERISA and the regulations, forms, and schedules issued, upon request of the responsible plan fiduciary. Without a strong data source for determining the number of expected requests, the Department assumes that approximately ten percent of responsible plan fiduciaries will request covered information annually.</w:t>
      </w:r>
    </w:p>
    <w:p w:rsidR="00C52082" w:rsidP="0088293D" w14:paraId="6907A7DF" w14:textId="77777777">
      <w:pPr>
        <w:pStyle w:val="ListParagraph"/>
        <w:widowControl/>
        <w:tabs>
          <w:tab w:val="left" w:pos="-1440"/>
        </w:tabs>
        <w:rPr>
          <w:b w:val="0"/>
          <w:bCs w:val="0"/>
          <w:iCs/>
          <w:sz w:val="24"/>
          <w:szCs w:val="24"/>
        </w:rPr>
      </w:pPr>
    </w:p>
    <w:p w:rsidR="006E1899" w:rsidRPr="00CA0B11" w:rsidP="0088293D" w14:paraId="71858AEA" w14:textId="3938B3C8">
      <w:pPr>
        <w:pStyle w:val="ListParagraph"/>
        <w:widowControl/>
        <w:tabs>
          <w:tab w:val="left" w:pos="-1440"/>
        </w:tabs>
        <w:rPr>
          <w:sz w:val="24"/>
          <w:szCs w:val="24"/>
          <w:u w:val="single"/>
        </w:rPr>
      </w:pPr>
      <w:r w:rsidRPr="00CA0B11">
        <w:rPr>
          <w:sz w:val="24"/>
          <w:szCs w:val="24"/>
          <w:u w:val="single"/>
        </w:rPr>
        <w:t>Number of Notices from Plans</w:t>
      </w:r>
    </w:p>
    <w:p w:rsidR="006E1899" w:rsidP="006E1899" w14:paraId="0709C74E" w14:textId="77777777">
      <w:pPr>
        <w:widowControl/>
        <w:tabs>
          <w:tab w:val="left" w:pos="-1440"/>
        </w:tabs>
        <w:ind w:left="720"/>
        <w:rPr>
          <w:b w:val="0"/>
          <w:bCs w:val="0"/>
          <w:i/>
          <w:iCs/>
          <w:sz w:val="24"/>
          <w:szCs w:val="24"/>
        </w:rPr>
      </w:pPr>
    </w:p>
    <w:p w:rsidR="00AD35E4" w:rsidRPr="00AD35E4" w:rsidP="00AD35E4" w14:paraId="4C609E5F" w14:textId="68F6A76B">
      <w:pPr>
        <w:ind w:firstLine="720"/>
        <w:rPr>
          <w:b w:val="0"/>
          <w:bCs w:val="0"/>
          <w:i/>
          <w:iCs/>
          <w:sz w:val="24"/>
          <w:szCs w:val="24"/>
          <w:u w:val="single"/>
        </w:rPr>
      </w:pPr>
      <w:r w:rsidRPr="00AD35E4">
        <w:rPr>
          <w:b w:val="0"/>
          <w:bCs w:val="0"/>
          <w:i/>
          <w:iCs/>
          <w:sz w:val="24"/>
          <w:szCs w:val="24"/>
          <w:u w:val="single"/>
        </w:rPr>
        <w:t>Exemption for Responsible Plan Fiduciaries</w:t>
      </w:r>
    </w:p>
    <w:p w:rsidR="00AD35E4" w:rsidP="000E211A" w14:paraId="023CF1E6" w14:textId="77777777">
      <w:pPr>
        <w:rPr>
          <w:b w:val="0"/>
          <w:bCs w:val="0"/>
          <w:sz w:val="24"/>
          <w:szCs w:val="24"/>
        </w:rPr>
      </w:pPr>
    </w:p>
    <w:p w:rsidR="00C52082" w:rsidP="00C52082" w14:paraId="1D062189" w14:textId="77777777">
      <w:pPr>
        <w:widowControl/>
        <w:autoSpaceDE/>
        <w:autoSpaceDN/>
        <w:adjustRightInd/>
        <w:ind w:left="720"/>
        <w:contextualSpacing/>
        <w:rPr>
          <w:rFonts w:eastAsia="Calibri"/>
          <w:b w:val="0"/>
          <w:bCs w:val="0"/>
          <w:sz w:val="24"/>
          <w:szCs w:val="24"/>
        </w:rPr>
      </w:pPr>
      <w:r w:rsidRPr="00C52082">
        <w:rPr>
          <w:rFonts w:eastAsia="Calibri"/>
          <w:b w:val="0"/>
          <w:bCs w:val="0"/>
          <w:sz w:val="24"/>
          <w:szCs w:val="24"/>
        </w:rPr>
        <w:t xml:space="preserve">The final rule also includes an administrative class exemption that would provide relief from ERISA section 406(a)(1)(C) and (D) for responsible plan fiduciaries who enter into a contract or arrangement, where the PBM or covered service provider fails to comply </w:t>
      </w:r>
      <w:r w:rsidRPr="00C52082">
        <w:rPr>
          <w:rFonts w:eastAsia="Calibri"/>
          <w:b w:val="0"/>
          <w:bCs w:val="0"/>
          <w:sz w:val="24"/>
          <w:szCs w:val="24"/>
        </w:rPr>
        <w:t xml:space="preserve">with its obligations under the regulation. To rely on the exemption, the responsible plan fiduciary must not have been aware that the PBM or covered service provider failed or would fail to meet these requirements and, upon discovering this omission, requests in writing that the PBM or other covered service provider furnish the required information or comply with the audit requirement. The Department does not have data on how often responsible plan fiduciaries do not receive </w:t>
      </w:r>
      <w:r w:rsidRPr="00C52082">
        <w:rPr>
          <w:rFonts w:eastAsia="Calibri"/>
          <w:b w:val="0"/>
          <w:bCs w:val="0"/>
          <w:sz w:val="24"/>
          <w:szCs w:val="24"/>
        </w:rPr>
        <w:t>all of</w:t>
      </w:r>
      <w:r w:rsidRPr="00C52082">
        <w:rPr>
          <w:rFonts w:eastAsia="Calibri"/>
          <w:b w:val="0"/>
          <w:bCs w:val="0"/>
          <w:sz w:val="24"/>
          <w:szCs w:val="24"/>
        </w:rPr>
        <w:t xml:space="preserve"> the required disclosures from a covered service provider. In this analysis, the Department assumes that 0.3 percent of arrangements may experience an omission or error that will require the responsible plan fiduciary to send the request to the PBM.</w:t>
      </w:r>
      <w:r>
        <w:rPr>
          <w:rFonts w:eastAsia="Calibri"/>
          <w:b w:val="0"/>
          <w:bCs w:val="0"/>
          <w:sz w:val="24"/>
          <w:szCs w:val="24"/>
          <w:vertAlign w:val="superscript"/>
        </w:rPr>
        <w:footnoteReference w:id="29"/>
      </w:r>
      <w:r w:rsidRPr="00C52082">
        <w:rPr>
          <w:rFonts w:eastAsia="Calibri"/>
          <w:b w:val="0"/>
          <w:bCs w:val="0"/>
          <w:sz w:val="22"/>
          <w:szCs w:val="22"/>
        </w:rPr>
        <w:t xml:space="preserve"> </w:t>
      </w:r>
      <w:r w:rsidRPr="00C52082">
        <w:rPr>
          <w:rFonts w:eastAsia="Calibri"/>
          <w:b w:val="0"/>
          <w:bCs w:val="0"/>
          <w:sz w:val="24"/>
          <w:szCs w:val="24"/>
        </w:rPr>
        <w:t xml:space="preserve">This assumption is based on the Department’s experience that it is rare for pension plans to submit a notice under the requirement in 29 CFR section 2550.408b-2. </w:t>
      </w:r>
    </w:p>
    <w:p w:rsidR="00C52082" w:rsidRPr="00C52082" w:rsidP="00C52082" w14:paraId="42B4D63F" w14:textId="77777777">
      <w:pPr>
        <w:widowControl/>
        <w:autoSpaceDE/>
        <w:autoSpaceDN/>
        <w:adjustRightInd/>
        <w:ind w:left="720"/>
        <w:contextualSpacing/>
        <w:rPr>
          <w:rFonts w:eastAsia="Calibri"/>
          <w:b w:val="0"/>
          <w:bCs w:val="0"/>
          <w:sz w:val="24"/>
          <w:szCs w:val="24"/>
        </w:rPr>
      </w:pPr>
    </w:p>
    <w:p w:rsidR="00C52082" w:rsidP="00C52082" w14:paraId="5F24D727" w14:textId="77777777">
      <w:pPr>
        <w:ind w:left="720"/>
        <w:rPr>
          <w:rFonts w:eastAsia="Calibri"/>
          <w:b w:val="0"/>
          <w:bCs w:val="0"/>
          <w:sz w:val="24"/>
          <w:szCs w:val="24"/>
        </w:rPr>
      </w:pPr>
      <w:r w:rsidRPr="00C52082">
        <w:rPr>
          <w:rFonts w:eastAsia="Calibri"/>
          <w:b w:val="0"/>
          <w:bCs w:val="0"/>
          <w:sz w:val="24"/>
          <w:szCs w:val="24"/>
        </w:rPr>
        <w:t>If the PBM or other covered service provider does not respond within 90 calendar days, the responsible plan fiduciary must notify the Department of the failure and further must assess whether to terminate or continue the service contract or arrangement consistent with the duty of prudence under section 404 of ERISA, including documenting the basis for that determination. The Department assumes that approximately 10 notices will be submitted, based on the experience that pension plans rarely submit these notices under the requirement in 29 CFR section 2550.408b-2</w:t>
      </w:r>
    </w:p>
    <w:p w:rsidR="00C52082" w:rsidP="00C52082" w14:paraId="6CDA6808" w14:textId="77777777">
      <w:pPr>
        <w:ind w:left="720"/>
        <w:rPr>
          <w:rFonts w:eastAsia="Calibri"/>
          <w:b w:val="0"/>
          <w:bCs w:val="0"/>
          <w:sz w:val="24"/>
          <w:szCs w:val="24"/>
        </w:rPr>
      </w:pPr>
    </w:p>
    <w:p w:rsidR="00AD35E4" w:rsidRPr="006923AC" w:rsidP="00C52082" w14:paraId="25670E6F" w14:textId="2E0E1222">
      <w:pPr>
        <w:ind w:left="720"/>
        <w:rPr>
          <w:b w:val="0"/>
          <w:bCs w:val="0"/>
          <w:i/>
          <w:iCs/>
          <w:sz w:val="24"/>
          <w:szCs w:val="24"/>
          <w:u w:val="single"/>
        </w:rPr>
      </w:pPr>
      <w:r w:rsidRPr="000E211A">
        <w:rPr>
          <w:b w:val="0"/>
          <w:bCs w:val="0"/>
          <w:i/>
          <w:iCs/>
          <w:sz w:val="24"/>
          <w:szCs w:val="24"/>
          <w:u w:val="single"/>
        </w:rPr>
        <w:t xml:space="preserve">Number of Notices from </w:t>
      </w:r>
      <w:r w:rsidR="007607C3">
        <w:rPr>
          <w:b w:val="0"/>
          <w:bCs w:val="0"/>
          <w:i/>
          <w:iCs/>
          <w:sz w:val="24"/>
          <w:szCs w:val="24"/>
          <w:u w:val="single"/>
        </w:rPr>
        <w:t>Self-</w:t>
      </w:r>
      <w:r w:rsidR="00924E13">
        <w:rPr>
          <w:b w:val="0"/>
          <w:bCs w:val="0"/>
          <w:i/>
          <w:iCs/>
          <w:sz w:val="24"/>
          <w:szCs w:val="24"/>
          <w:u w:val="single"/>
        </w:rPr>
        <w:t>I</w:t>
      </w:r>
      <w:r w:rsidR="007607C3">
        <w:rPr>
          <w:b w:val="0"/>
          <w:bCs w:val="0"/>
          <w:i/>
          <w:iCs/>
          <w:sz w:val="24"/>
          <w:szCs w:val="24"/>
          <w:u w:val="single"/>
        </w:rPr>
        <w:t xml:space="preserve">nsured Group Health </w:t>
      </w:r>
      <w:r w:rsidRPr="000E211A">
        <w:rPr>
          <w:b w:val="0"/>
          <w:bCs w:val="0"/>
          <w:i/>
          <w:iCs/>
          <w:sz w:val="24"/>
          <w:szCs w:val="24"/>
          <w:u w:val="single"/>
        </w:rPr>
        <w:t>Plans Requesting Audits Information</w:t>
      </w:r>
    </w:p>
    <w:p w:rsidR="00D12B7F" w:rsidP="00D12B7F" w14:paraId="4702F1A5" w14:textId="77777777">
      <w:pPr>
        <w:ind w:left="720"/>
        <w:rPr>
          <w:b w:val="0"/>
          <w:bCs w:val="0"/>
          <w:sz w:val="24"/>
          <w:szCs w:val="24"/>
        </w:rPr>
      </w:pPr>
    </w:p>
    <w:p w:rsidR="00AC7D98" w:rsidP="00AC7D98" w14:paraId="65EA6847" w14:textId="77777777">
      <w:pPr>
        <w:widowControl/>
        <w:autoSpaceDE/>
        <w:autoSpaceDN/>
        <w:adjustRightInd/>
        <w:ind w:left="720"/>
        <w:contextualSpacing/>
        <w:rPr>
          <w:rFonts w:eastAsia="Calibri"/>
          <w:b w:val="0"/>
          <w:bCs w:val="0"/>
          <w:sz w:val="24"/>
          <w:szCs w:val="24"/>
        </w:rPr>
      </w:pPr>
      <w:r w:rsidRPr="00AC7D98">
        <w:rPr>
          <w:rFonts w:eastAsia="Calibri"/>
          <w:b w:val="0"/>
          <w:bCs w:val="0"/>
          <w:sz w:val="24"/>
          <w:szCs w:val="24"/>
        </w:rPr>
        <w:t>As part of their oversight responsibilities, responsible plan fiduciaries must assess the quality of the PBM or other covered service provider’s performance under the contract or arrangement (e.g., review and analyze claims data, network discounts, rebates, administrative fees), ensure that PBMs are meeting their contractual obligations, and ensure that self-insured group health plans are only paying reasonable and necessary costs. The final rule contains audit rights which are needed for fiduciaries to carry out these functions. While the cost of performing an audit of PBMs and other service providers is borne by the self-insured group health plan itself, service providers are required to provide the necessary information to the self-insured group health plan or its auditor. This final rule provides a self-insured group health plan’s right to audit the PBM or other covered service provider not less than once per year. The PBM or other covered service provider must confirm receipt of the audit request within 10 business days and must provide the information within a commercially reasonable period.</w:t>
      </w:r>
    </w:p>
    <w:p w:rsidR="00AC7D98" w:rsidRPr="00AC7D98" w:rsidP="00AC7D98" w14:paraId="0802D0EE" w14:textId="77777777">
      <w:pPr>
        <w:widowControl/>
        <w:autoSpaceDE/>
        <w:autoSpaceDN/>
        <w:adjustRightInd/>
        <w:ind w:left="720"/>
        <w:contextualSpacing/>
        <w:rPr>
          <w:rFonts w:eastAsia="Calibri"/>
          <w:b w:val="0"/>
          <w:bCs w:val="0"/>
          <w:sz w:val="24"/>
          <w:szCs w:val="24"/>
        </w:rPr>
      </w:pPr>
    </w:p>
    <w:p w:rsidR="00490D9B" w:rsidP="00AC7D98" w14:paraId="5C1F7B8B" w14:textId="6CAF4EFF">
      <w:pPr>
        <w:ind w:left="720"/>
        <w:rPr>
          <w:b w:val="0"/>
          <w:bCs w:val="0"/>
          <w:sz w:val="24"/>
          <w:szCs w:val="24"/>
        </w:rPr>
      </w:pPr>
      <w:r w:rsidRPr="00AC7D98">
        <w:rPr>
          <w:rFonts w:eastAsia="Calibri"/>
          <w:b w:val="0"/>
          <w:bCs w:val="0"/>
          <w:sz w:val="24"/>
          <w:szCs w:val="24"/>
        </w:rPr>
        <w:t xml:space="preserve">The Department estimates that one-third of self-insured group health plans will annually submit a request to their PBM or other covered service provider for all information </w:t>
      </w:r>
      <w:r w:rsidRPr="00AC7D98">
        <w:rPr>
          <w:rFonts w:eastAsia="Calibri"/>
          <w:b w:val="0"/>
          <w:bCs w:val="0"/>
          <w:sz w:val="24"/>
          <w:szCs w:val="24"/>
        </w:rPr>
        <w:t>necessary to perform an audit. The Department does not anticipate smaller, self-insured group health plans to submit a request themselves, but expects all issuers or TPAs that market to those self-insured group health plans to request audit materials</w:t>
      </w:r>
    </w:p>
    <w:p w:rsidR="006E1899" w:rsidP="00924E13" w14:paraId="49C1F6D4" w14:textId="49A3C46C">
      <w:pPr>
        <w:ind w:left="720"/>
        <w:rPr>
          <w:b w:val="0"/>
          <w:bCs w:val="0"/>
          <w:sz w:val="24"/>
          <w:szCs w:val="24"/>
        </w:rPr>
      </w:pPr>
      <w:r w:rsidRPr="006E1899">
        <w:rPr>
          <w:b w:val="0"/>
          <w:bCs w:val="0"/>
          <w:sz w:val="24"/>
          <w:szCs w:val="24"/>
        </w:rPr>
        <w:t xml:space="preserve">Please see Table </w:t>
      </w:r>
      <w:r w:rsidR="00CA7375">
        <w:rPr>
          <w:b w:val="0"/>
          <w:bCs w:val="0"/>
          <w:sz w:val="24"/>
          <w:szCs w:val="24"/>
        </w:rPr>
        <w:t>2</w:t>
      </w:r>
      <w:r w:rsidRPr="006E1899">
        <w:rPr>
          <w:b w:val="0"/>
          <w:bCs w:val="0"/>
          <w:sz w:val="24"/>
          <w:szCs w:val="24"/>
        </w:rPr>
        <w:t xml:space="preserve"> for calculations on the number of notices. </w:t>
      </w:r>
    </w:p>
    <w:p w:rsidR="00EB12AF" w:rsidRPr="00CA7375" w:rsidP="00CA7375" w14:paraId="2B88ED0E" w14:textId="77777777"/>
    <w:p w:rsidR="00FA4E3C" w:rsidP="00FA4E3C" w14:paraId="2EB6A9AD" w14:textId="0C9D929A">
      <w:pPr>
        <w:pStyle w:val="Heading3"/>
        <w:rPr>
          <w:iCs/>
        </w:rPr>
      </w:pPr>
      <w:r>
        <w:rPr>
          <w:iCs/>
        </w:rPr>
        <w:tab/>
      </w:r>
      <w:r w:rsidRPr="006E1899" w:rsidR="001B4047">
        <w:rPr>
          <w:iCs/>
        </w:rPr>
        <w:t xml:space="preserve">TABLE </w:t>
      </w:r>
      <w:r w:rsidR="00CA7375">
        <w:rPr>
          <w:iCs/>
        </w:rPr>
        <w:t>2</w:t>
      </w:r>
      <w:r w:rsidRPr="006E1899" w:rsidR="001B4047">
        <w:rPr>
          <w:iCs/>
        </w:rPr>
        <w:t xml:space="preserve">. Number of Notices </w:t>
      </w:r>
    </w:p>
    <w:p w:rsidR="00FA4E3C" w:rsidRPr="00FA4E3C" w:rsidP="00FA4E3C" w14:paraId="70A97398" w14:textId="77777777"/>
    <w:tbl>
      <w:tblPr>
        <w:tblW w:w="10834" w:type="dxa"/>
        <w:tblInd w:w="-455" w:type="dxa"/>
        <w:tblLook w:val="04A0"/>
      </w:tblPr>
      <w:tblGrid>
        <w:gridCol w:w="2518"/>
        <w:gridCol w:w="1950"/>
        <w:gridCol w:w="2178"/>
        <w:gridCol w:w="1345"/>
        <w:gridCol w:w="1254"/>
        <w:gridCol w:w="1591"/>
      </w:tblGrid>
      <w:tr w14:paraId="4CC3DA10" w14:textId="77777777">
        <w:tblPrEx>
          <w:tblW w:w="10834" w:type="dxa"/>
          <w:tblInd w:w="-455" w:type="dxa"/>
          <w:tblLook w:val="04A0"/>
        </w:tblPrEx>
        <w:trPr>
          <w:trHeight w:val="2087"/>
        </w:trPr>
        <w:tc>
          <w:tcPr>
            <w:tcW w:w="0" w:type="auto"/>
            <w:tcBorders>
              <w:top w:val="single" w:sz="4" w:space="0" w:color="auto"/>
              <w:left w:val="single" w:sz="4" w:space="0" w:color="auto"/>
              <w:bottom w:val="single" w:sz="4" w:space="0" w:color="auto"/>
              <w:right w:val="single" w:sz="4" w:space="0" w:color="auto"/>
            </w:tcBorders>
            <w:noWrap/>
            <w:vAlign w:val="center"/>
            <w:hideMark/>
          </w:tcPr>
          <w:p w:rsidR="000E31C1" w:rsidRPr="00AC00F6" w14:paraId="657EFA9C" w14:textId="77777777">
            <w:pPr>
              <w:jc w:val="center"/>
              <w:rPr>
                <w:sz w:val="24"/>
                <w:szCs w:val="24"/>
              </w:rPr>
            </w:pPr>
            <w:r w:rsidRPr="00AC00F6">
              <w:rPr>
                <w:sz w:val="24"/>
                <w:szCs w:val="24"/>
              </w:rPr>
              <w:t>Notice</w:t>
            </w:r>
          </w:p>
        </w:tc>
        <w:tc>
          <w:tcPr>
            <w:tcW w:w="0" w:type="auto"/>
            <w:tcBorders>
              <w:top w:val="single" w:sz="4" w:space="0" w:color="auto"/>
              <w:left w:val="nil"/>
              <w:bottom w:val="single" w:sz="4" w:space="0" w:color="auto"/>
              <w:right w:val="single" w:sz="4" w:space="0" w:color="auto"/>
            </w:tcBorders>
            <w:noWrap/>
            <w:vAlign w:val="center"/>
            <w:hideMark/>
          </w:tcPr>
          <w:p w:rsidR="000E31C1" w:rsidRPr="00AC00F6" w14:paraId="53613186" w14:textId="77777777">
            <w:pPr>
              <w:jc w:val="center"/>
              <w:rPr>
                <w:sz w:val="24"/>
                <w:szCs w:val="24"/>
              </w:rPr>
            </w:pPr>
            <w:r w:rsidRPr="00AC00F6">
              <w:rPr>
                <w:sz w:val="24"/>
                <w:szCs w:val="24"/>
              </w:rPr>
              <w:t>Number of Plans</w:t>
            </w:r>
          </w:p>
        </w:tc>
        <w:tc>
          <w:tcPr>
            <w:tcW w:w="2178" w:type="dxa"/>
            <w:tcBorders>
              <w:top w:val="single" w:sz="4" w:space="0" w:color="auto"/>
              <w:left w:val="nil"/>
              <w:bottom w:val="single" w:sz="4" w:space="0" w:color="auto"/>
              <w:right w:val="single" w:sz="4" w:space="0" w:color="auto"/>
            </w:tcBorders>
            <w:vAlign w:val="center"/>
            <w:hideMark/>
          </w:tcPr>
          <w:p w:rsidR="000E31C1" w:rsidRPr="00AC00F6" w14:paraId="52B5CF60" w14:textId="77777777">
            <w:pPr>
              <w:jc w:val="center"/>
              <w:rPr>
                <w:sz w:val="24"/>
                <w:szCs w:val="24"/>
              </w:rPr>
            </w:pPr>
            <w:r w:rsidRPr="00AC00F6">
              <w:rPr>
                <w:sz w:val="24"/>
                <w:szCs w:val="24"/>
              </w:rPr>
              <w:t>Percent of Plans that will Initiate New Contracts, Extend Existing Contracts, or Renew Contracts</w:t>
            </w:r>
          </w:p>
        </w:tc>
        <w:tc>
          <w:tcPr>
            <w:tcW w:w="0" w:type="auto"/>
            <w:tcBorders>
              <w:top w:val="single" w:sz="4" w:space="0" w:color="auto"/>
              <w:left w:val="nil"/>
              <w:bottom w:val="single" w:sz="4" w:space="0" w:color="auto"/>
              <w:right w:val="single" w:sz="4" w:space="0" w:color="auto"/>
            </w:tcBorders>
            <w:vAlign w:val="center"/>
            <w:hideMark/>
          </w:tcPr>
          <w:p w:rsidR="000E31C1" w:rsidRPr="00AC00F6" w14:paraId="23E16CB8" w14:textId="77777777">
            <w:pPr>
              <w:jc w:val="center"/>
              <w:rPr>
                <w:sz w:val="24"/>
                <w:szCs w:val="24"/>
              </w:rPr>
            </w:pPr>
            <w:r w:rsidRPr="00AC00F6">
              <w:rPr>
                <w:sz w:val="24"/>
                <w:szCs w:val="24"/>
              </w:rPr>
              <w:t>Percent of Plans Receiving or Sending Notices</w:t>
            </w:r>
          </w:p>
        </w:tc>
        <w:tc>
          <w:tcPr>
            <w:tcW w:w="0" w:type="auto"/>
            <w:tcBorders>
              <w:top w:val="single" w:sz="4" w:space="0" w:color="auto"/>
              <w:left w:val="nil"/>
              <w:bottom w:val="single" w:sz="4" w:space="0" w:color="auto"/>
              <w:right w:val="single" w:sz="4" w:space="0" w:color="auto"/>
            </w:tcBorders>
            <w:vAlign w:val="center"/>
          </w:tcPr>
          <w:p w:rsidR="000E31C1" w:rsidRPr="00AC00F6" w14:paraId="1A149654" w14:textId="77777777">
            <w:pPr>
              <w:ind w:right="78"/>
              <w:jc w:val="center"/>
              <w:rPr>
                <w:sz w:val="24"/>
                <w:szCs w:val="24"/>
              </w:rPr>
            </w:pPr>
            <w:r w:rsidRPr="00AC00F6">
              <w:rPr>
                <w:sz w:val="24"/>
                <w:szCs w:val="24"/>
              </w:rPr>
              <w:t>Number of Notices Sent Each Year</w:t>
            </w:r>
          </w:p>
        </w:tc>
        <w:tc>
          <w:tcPr>
            <w:tcW w:w="0" w:type="auto"/>
            <w:tcBorders>
              <w:top w:val="single" w:sz="4" w:space="0" w:color="auto"/>
              <w:left w:val="single" w:sz="4" w:space="0" w:color="auto"/>
              <w:bottom w:val="single" w:sz="4" w:space="0" w:color="auto"/>
              <w:right w:val="single" w:sz="4" w:space="0" w:color="auto"/>
            </w:tcBorders>
            <w:vAlign w:val="center"/>
            <w:hideMark/>
          </w:tcPr>
          <w:p w:rsidR="000E31C1" w:rsidRPr="00AC00F6" w14:paraId="22D7D2EF" w14:textId="77777777">
            <w:pPr>
              <w:ind w:right="78"/>
              <w:jc w:val="center"/>
              <w:rPr>
                <w:sz w:val="24"/>
                <w:szCs w:val="24"/>
              </w:rPr>
            </w:pPr>
            <w:r w:rsidRPr="00AC00F6">
              <w:rPr>
                <w:sz w:val="24"/>
                <w:szCs w:val="24"/>
              </w:rPr>
              <w:t>Number of Notices</w:t>
            </w:r>
          </w:p>
        </w:tc>
      </w:tr>
      <w:tr w14:paraId="26132EEA" w14:textId="77777777">
        <w:tblPrEx>
          <w:tblW w:w="10834" w:type="dxa"/>
          <w:tblInd w:w="-455" w:type="dxa"/>
          <w:tblLook w:val="04A0"/>
        </w:tblPrEx>
        <w:trPr>
          <w:trHeight w:val="287"/>
        </w:trPr>
        <w:tc>
          <w:tcPr>
            <w:tcW w:w="0" w:type="auto"/>
            <w:tcBorders>
              <w:top w:val="single" w:sz="4" w:space="0" w:color="auto"/>
              <w:left w:val="single" w:sz="4" w:space="0" w:color="auto"/>
              <w:bottom w:val="single" w:sz="4" w:space="0" w:color="auto"/>
              <w:right w:val="single" w:sz="4" w:space="0" w:color="auto"/>
            </w:tcBorders>
            <w:noWrap/>
            <w:vAlign w:val="bottom"/>
            <w:hideMark/>
          </w:tcPr>
          <w:p w:rsidR="000E31C1" w:rsidRPr="00AC00F6" w14:paraId="10917D58" w14:textId="77777777">
            <w:pPr>
              <w:jc w:val="center"/>
              <w:rPr>
                <w:sz w:val="24"/>
                <w:szCs w:val="24"/>
              </w:rPr>
            </w:pPr>
            <w:r w:rsidRPr="00AC00F6">
              <w:rPr>
                <w:sz w:val="24"/>
                <w:szCs w:val="24"/>
              </w:rPr>
              <w:t> </w:t>
            </w:r>
          </w:p>
        </w:tc>
        <w:tc>
          <w:tcPr>
            <w:tcW w:w="0" w:type="auto"/>
            <w:tcBorders>
              <w:top w:val="single" w:sz="4" w:space="0" w:color="auto"/>
              <w:left w:val="nil"/>
              <w:bottom w:val="single" w:sz="4" w:space="0" w:color="auto"/>
              <w:right w:val="single" w:sz="4" w:space="0" w:color="auto"/>
            </w:tcBorders>
            <w:noWrap/>
            <w:vAlign w:val="center"/>
            <w:hideMark/>
          </w:tcPr>
          <w:p w:rsidR="000E31C1" w:rsidRPr="00AC00F6" w14:paraId="3882512A" w14:textId="77777777">
            <w:pPr>
              <w:jc w:val="center"/>
              <w:rPr>
                <w:sz w:val="24"/>
                <w:szCs w:val="24"/>
              </w:rPr>
            </w:pPr>
            <w:r w:rsidRPr="00AC00F6">
              <w:rPr>
                <w:sz w:val="24"/>
                <w:szCs w:val="24"/>
              </w:rPr>
              <w:t>(A)</w:t>
            </w:r>
          </w:p>
        </w:tc>
        <w:tc>
          <w:tcPr>
            <w:tcW w:w="2178" w:type="dxa"/>
            <w:tcBorders>
              <w:top w:val="single" w:sz="4" w:space="0" w:color="auto"/>
              <w:left w:val="nil"/>
              <w:bottom w:val="single" w:sz="4" w:space="0" w:color="auto"/>
              <w:right w:val="single" w:sz="4" w:space="0" w:color="auto"/>
            </w:tcBorders>
            <w:vAlign w:val="center"/>
            <w:hideMark/>
          </w:tcPr>
          <w:p w:rsidR="000E31C1" w:rsidRPr="00AC00F6" w14:paraId="7A709AEF" w14:textId="77777777">
            <w:pPr>
              <w:jc w:val="center"/>
              <w:rPr>
                <w:sz w:val="24"/>
                <w:szCs w:val="24"/>
              </w:rPr>
            </w:pPr>
            <w:r w:rsidRPr="00AC00F6">
              <w:rPr>
                <w:sz w:val="24"/>
                <w:szCs w:val="24"/>
              </w:rPr>
              <w:t>(B)</w:t>
            </w:r>
          </w:p>
        </w:tc>
        <w:tc>
          <w:tcPr>
            <w:tcW w:w="0" w:type="auto"/>
            <w:tcBorders>
              <w:top w:val="single" w:sz="4" w:space="0" w:color="auto"/>
              <w:left w:val="nil"/>
              <w:bottom w:val="single" w:sz="4" w:space="0" w:color="auto"/>
              <w:right w:val="single" w:sz="4" w:space="0" w:color="auto"/>
            </w:tcBorders>
            <w:vAlign w:val="center"/>
            <w:hideMark/>
          </w:tcPr>
          <w:p w:rsidR="000E31C1" w:rsidRPr="00AC00F6" w14:paraId="4CF4CB7E" w14:textId="77777777">
            <w:pPr>
              <w:jc w:val="center"/>
              <w:rPr>
                <w:sz w:val="24"/>
                <w:szCs w:val="24"/>
              </w:rPr>
            </w:pPr>
            <w:r w:rsidRPr="00AC00F6">
              <w:rPr>
                <w:sz w:val="24"/>
                <w:szCs w:val="24"/>
              </w:rPr>
              <w:t>(C)</w:t>
            </w:r>
          </w:p>
        </w:tc>
        <w:tc>
          <w:tcPr>
            <w:tcW w:w="0" w:type="auto"/>
            <w:tcBorders>
              <w:top w:val="single" w:sz="4" w:space="0" w:color="auto"/>
              <w:left w:val="nil"/>
              <w:bottom w:val="single" w:sz="4" w:space="0" w:color="auto"/>
              <w:right w:val="single" w:sz="4" w:space="0" w:color="auto"/>
            </w:tcBorders>
            <w:vAlign w:val="center"/>
          </w:tcPr>
          <w:p w:rsidR="000E31C1" w:rsidRPr="00AC00F6" w14:paraId="662F8699" w14:textId="77777777">
            <w:pPr>
              <w:jc w:val="center"/>
              <w:rPr>
                <w:sz w:val="24"/>
                <w:szCs w:val="24"/>
              </w:rPr>
            </w:pPr>
          </w:p>
          <w:p w:rsidR="000E31C1" w:rsidRPr="00AC00F6" w14:paraId="484B9604" w14:textId="77777777">
            <w:pPr>
              <w:jc w:val="center"/>
              <w:rPr>
                <w:sz w:val="24"/>
                <w:szCs w:val="24"/>
              </w:rPr>
            </w:pPr>
          </w:p>
          <w:p w:rsidR="000E31C1" w:rsidRPr="00AC00F6" w14:paraId="16C6E9A7" w14:textId="77777777">
            <w:pPr>
              <w:jc w:val="center"/>
              <w:rPr>
                <w:sz w:val="24"/>
                <w:szCs w:val="24"/>
              </w:rPr>
            </w:pPr>
            <w:r w:rsidRPr="00AC00F6">
              <w:rPr>
                <w:sz w:val="24"/>
                <w:szCs w:val="24"/>
              </w:rPr>
              <w:t>(D)</w:t>
            </w:r>
          </w:p>
        </w:tc>
        <w:tc>
          <w:tcPr>
            <w:tcW w:w="0" w:type="auto"/>
            <w:tcBorders>
              <w:top w:val="single" w:sz="4" w:space="0" w:color="auto"/>
              <w:left w:val="single" w:sz="4" w:space="0" w:color="auto"/>
              <w:bottom w:val="single" w:sz="4" w:space="0" w:color="auto"/>
              <w:right w:val="single" w:sz="4" w:space="0" w:color="auto"/>
            </w:tcBorders>
            <w:vAlign w:val="center"/>
            <w:hideMark/>
          </w:tcPr>
          <w:p w:rsidR="000E31C1" w:rsidRPr="00AC00F6" w14:paraId="67FE691B" w14:textId="77777777">
            <w:pPr>
              <w:jc w:val="center"/>
              <w:rPr>
                <w:sz w:val="24"/>
                <w:szCs w:val="24"/>
              </w:rPr>
            </w:pPr>
            <w:r w:rsidRPr="00AC00F6">
              <w:rPr>
                <w:sz w:val="24"/>
                <w:szCs w:val="24"/>
              </w:rPr>
              <w:t>(E) = (A x C x D) or (A x B x C x D)</w:t>
            </w:r>
          </w:p>
        </w:tc>
      </w:tr>
      <w:tr w14:paraId="769EAA4A" w14:textId="77777777">
        <w:tblPrEx>
          <w:tblW w:w="10834" w:type="dxa"/>
          <w:tblInd w:w="-455" w:type="dxa"/>
          <w:tblLook w:val="04A0"/>
        </w:tblPrEx>
        <w:trPr>
          <w:trHeight w:val="53"/>
        </w:trPr>
        <w:tc>
          <w:tcPr>
            <w:tcW w:w="10834" w:type="dxa"/>
            <w:gridSpan w:val="6"/>
            <w:tcBorders>
              <w:top w:val="single" w:sz="4" w:space="0" w:color="auto"/>
              <w:left w:val="single" w:sz="4" w:space="0" w:color="auto"/>
              <w:bottom w:val="single" w:sz="4" w:space="0" w:color="auto"/>
              <w:right w:val="single" w:sz="4" w:space="0" w:color="auto"/>
            </w:tcBorders>
            <w:noWrap/>
            <w:vAlign w:val="bottom"/>
            <w:hideMark/>
          </w:tcPr>
          <w:p w:rsidR="000E31C1" w:rsidRPr="00AC00F6" w:rsidP="00AC00F6" w14:paraId="48FB9562" w14:textId="77777777">
            <w:pPr>
              <w:jc w:val="center"/>
              <w:rPr>
                <w:i/>
                <w:sz w:val="24"/>
                <w:szCs w:val="24"/>
                <w:u w:val="single"/>
              </w:rPr>
            </w:pPr>
            <w:r w:rsidRPr="00AC00F6">
              <w:rPr>
                <w:i/>
                <w:sz w:val="24"/>
                <w:szCs w:val="24"/>
                <w:u w:val="single"/>
              </w:rPr>
              <w:t xml:space="preserve">Disclosures from PBMs to Self-insured Group Health Plans </w:t>
            </w:r>
            <w:r w:rsidRPr="00AC00F6">
              <w:rPr>
                <w:i/>
                <w:iCs/>
                <w:sz w:val="24"/>
                <w:szCs w:val="24"/>
                <w:u w:val="single"/>
              </w:rPr>
              <w:t>with 100 or more participants and beneficiaries</w:t>
            </w:r>
          </w:p>
        </w:tc>
      </w:tr>
      <w:tr w14:paraId="46EDADD4" w14:textId="77777777">
        <w:tblPrEx>
          <w:tblW w:w="10834" w:type="dxa"/>
          <w:tblInd w:w="-455" w:type="dxa"/>
          <w:tblLook w:val="04A0"/>
        </w:tblPrEx>
        <w:trPr>
          <w:trHeight w:val="305"/>
        </w:trPr>
        <w:tc>
          <w:tcPr>
            <w:tcW w:w="0" w:type="auto"/>
            <w:tcBorders>
              <w:top w:val="single" w:sz="4" w:space="0" w:color="auto"/>
              <w:left w:val="single" w:sz="4" w:space="0" w:color="auto"/>
              <w:bottom w:val="single" w:sz="4" w:space="0" w:color="auto"/>
              <w:right w:val="single" w:sz="4" w:space="0" w:color="auto"/>
            </w:tcBorders>
            <w:vAlign w:val="bottom"/>
            <w:hideMark/>
          </w:tcPr>
          <w:p w:rsidR="000E31C1" w:rsidRPr="000E31C1" w14:paraId="3FF7C2FB" w14:textId="77777777">
            <w:pPr>
              <w:rPr>
                <w:b w:val="0"/>
                <w:bCs w:val="0"/>
                <w:sz w:val="24"/>
                <w:szCs w:val="24"/>
              </w:rPr>
            </w:pPr>
            <w:r w:rsidRPr="000E31C1">
              <w:rPr>
                <w:b w:val="0"/>
                <w:bCs w:val="0"/>
                <w:sz w:val="24"/>
                <w:szCs w:val="24"/>
              </w:rPr>
              <w:t xml:space="preserve">PBMs provide initial disclosures to plans whose contract is entered, extended, or renewed for plans </w:t>
            </w:r>
          </w:p>
        </w:tc>
        <w:tc>
          <w:tcPr>
            <w:tcW w:w="0" w:type="auto"/>
            <w:tcBorders>
              <w:top w:val="single" w:sz="4" w:space="0" w:color="auto"/>
              <w:left w:val="nil"/>
              <w:bottom w:val="single" w:sz="4" w:space="0" w:color="auto"/>
              <w:right w:val="single" w:sz="4" w:space="0" w:color="auto"/>
            </w:tcBorders>
            <w:noWrap/>
            <w:vAlign w:val="center"/>
            <w:hideMark/>
          </w:tcPr>
          <w:p w:rsidR="000E31C1" w:rsidRPr="000E31C1" w14:paraId="1EFFF8D1" w14:textId="77777777">
            <w:pPr>
              <w:jc w:val="center"/>
              <w:rPr>
                <w:b w:val="0"/>
                <w:bCs w:val="0"/>
                <w:sz w:val="24"/>
                <w:szCs w:val="24"/>
              </w:rPr>
            </w:pPr>
            <w:r w:rsidRPr="000E31C1">
              <w:rPr>
                <w:b w:val="0"/>
                <w:bCs w:val="0"/>
                <w:sz w:val="24"/>
                <w:szCs w:val="24"/>
              </w:rPr>
              <w:t>131,102</w:t>
            </w:r>
          </w:p>
        </w:tc>
        <w:tc>
          <w:tcPr>
            <w:tcW w:w="2178" w:type="dxa"/>
            <w:tcBorders>
              <w:top w:val="single" w:sz="4" w:space="0" w:color="auto"/>
              <w:left w:val="nil"/>
              <w:bottom w:val="single" w:sz="4" w:space="0" w:color="auto"/>
              <w:right w:val="single" w:sz="4" w:space="0" w:color="auto"/>
            </w:tcBorders>
            <w:noWrap/>
            <w:vAlign w:val="center"/>
            <w:hideMark/>
          </w:tcPr>
          <w:p w:rsidR="000E31C1" w:rsidRPr="000E31C1" w14:paraId="5CF93766" w14:textId="77777777">
            <w:pPr>
              <w:jc w:val="center"/>
              <w:rPr>
                <w:b w:val="0"/>
                <w:bCs w:val="0"/>
                <w:sz w:val="24"/>
                <w:szCs w:val="24"/>
              </w:rPr>
            </w:pPr>
            <w:r w:rsidRPr="000E31C1">
              <w:rPr>
                <w:b w:val="0"/>
                <w:bCs w:val="0"/>
                <w:sz w:val="24"/>
                <w:szCs w:val="24"/>
              </w:rPr>
              <w:t>33%</w:t>
            </w:r>
          </w:p>
        </w:tc>
        <w:tc>
          <w:tcPr>
            <w:tcW w:w="0" w:type="auto"/>
            <w:tcBorders>
              <w:top w:val="single" w:sz="4" w:space="0" w:color="auto"/>
              <w:left w:val="nil"/>
              <w:bottom w:val="single" w:sz="4" w:space="0" w:color="auto"/>
              <w:right w:val="nil"/>
            </w:tcBorders>
            <w:noWrap/>
            <w:vAlign w:val="center"/>
            <w:hideMark/>
          </w:tcPr>
          <w:p w:rsidR="000E31C1" w:rsidRPr="000E31C1" w14:paraId="5FCF3D36" w14:textId="77777777">
            <w:pPr>
              <w:jc w:val="center"/>
              <w:rPr>
                <w:b w:val="0"/>
                <w:bCs w:val="0"/>
                <w:sz w:val="24"/>
                <w:szCs w:val="24"/>
              </w:rPr>
            </w:pPr>
            <w:r w:rsidRPr="000E31C1">
              <w:rPr>
                <w:b w:val="0"/>
                <w:bCs w:val="0"/>
                <w:sz w:val="24"/>
                <w:szCs w:val="24"/>
              </w:rPr>
              <w:t>100%</w:t>
            </w:r>
          </w:p>
        </w:tc>
        <w:tc>
          <w:tcPr>
            <w:tcW w:w="0" w:type="auto"/>
            <w:tcBorders>
              <w:top w:val="single" w:sz="4" w:space="0" w:color="auto"/>
              <w:left w:val="single" w:sz="4" w:space="0" w:color="auto"/>
              <w:bottom w:val="single" w:sz="4" w:space="0" w:color="auto"/>
              <w:right w:val="single" w:sz="4" w:space="0" w:color="auto"/>
            </w:tcBorders>
            <w:vAlign w:val="center"/>
          </w:tcPr>
          <w:p w:rsidR="000E31C1" w:rsidRPr="000E31C1" w14:paraId="2C6C35CE" w14:textId="77777777">
            <w:pPr>
              <w:jc w:val="center"/>
              <w:rPr>
                <w:b w:val="0"/>
                <w:bCs w:val="0"/>
                <w:sz w:val="24"/>
                <w:szCs w:val="24"/>
              </w:rPr>
            </w:pPr>
            <w:r w:rsidRPr="000E31C1">
              <w:rPr>
                <w:b w:val="0"/>
                <w:bCs w:val="0"/>
                <w:sz w:val="24"/>
                <w:szCs w:val="24"/>
              </w:rPr>
              <w:t>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E31C1" w:rsidRPr="000E31C1" w14:paraId="4E58FCF9" w14:textId="77777777">
            <w:pPr>
              <w:jc w:val="center"/>
              <w:rPr>
                <w:b w:val="0"/>
                <w:bCs w:val="0"/>
                <w:sz w:val="24"/>
                <w:szCs w:val="24"/>
              </w:rPr>
            </w:pPr>
            <w:r w:rsidRPr="000E31C1">
              <w:rPr>
                <w:b w:val="0"/>
                <w:bCs w:val="0"/>
                <w:sz w:val="24"/>
                <w:szCs w:val="24"/>
              </w:rPr>
              <w:t>43,701</w:t>
            </w:r>
          </w:p>
        </w:tc>
      </w:tr>
      <w:tr w14:paraId="36C64155" w14:textId="77777777">
        <w:tblPrEx>
          <w:tblW w:w="10834" w:type="dxa"/>
          <w:tblInd w:w="-455" w:type="dxa"/>
          <w:tblLook w:val="04A0"/>
        </w:tblPrEx>
        <w:trPr>
          <w:trHeight w:val="512"/>
        </w:trPr>
        <w:tc>
          <w:tcPr>
            <w:tcW w:w="0" w:type="auto"/>
            <w:tcBorders>
              <w:top w:val="single" w:sz="4" w:space="0" w:color="auto"/>
              <w:left w:val="single" w:sz="4" w:space="0" w:color="auto"/>
              <w:bottom w:val="single" w:sz="4" w:space="0" w:color="auto"/>
              <w:right w:val="single" w:sz="4" w:space="0" w:color="auto"/>
            </w:tcBorders>
            <w:vAlign w:val="bottom"/>
            <w:hideMark/>
          </w:tcPr>
          <w:p w:rsidR="000E31C1" w:rsidRPr="000E31C1" w14:paraId="273281E6" w14:textId="77777777">
            <w:pPr>
              <w:rPr>
                <w:b w:val="0"/>
                <w:bCs w:val="0"/>
                <w:sz w:val="24"/>
                <w:szCs w:val="24"/>
              </w:rPr>
            </w:pPr>
            <w:r w:rsidRPr="000E31C1">
              <w:rPr>
                <w:b w:val="0"/>
                <w:bCs w:val="0"/>
                <w:sz w:val="24"/>
                <w:szCs w:val="24"/>
              </w:rPr>
              <w:t xml:space="preserve">PBMs provide missing/additional information requested by </w:t>
            </w:r>
          </w:p>
        </w:tc>
        <w:tc>
          <w:tcPr>
            <w:tcW w:w="0" w:type="auto"/>
            <w:tcBorders>
              <w:top w:val="single" w:sz="4" w:space="0" w:color="auto"/>
              <w:left w:val="nil"/>
              <w:bottom w:val="single" w:sz="4" w:space="0" w:color="auto"/>
              <w:right w:val="single" w:sz="4" w:space="0" w:color="auto"/>
            </w:tcBorders>
            <w:noWrap/>
            <w:vAlign w:val="center"/>
            <w:hideMark/>
          </w:tcPr>
          <w:p w:rsidR="000E31C1" w:rsidRPr="000E31C1" w14:paraId="57AE0CE6" w14:textId="77777777">
            <w:pPr>
              <w:jc w:val="center"/>
              <w:rPr>
                <w:b w:val="0"/>
                <w:bCs w:val="0"/>
                <w:sz w:val="24"/>
                <w:szCs w:val="24"/>
              </w:rPr>
            </w:pPr>
            <w:r w:rsidRPr="000E31C1">
              <w:rPr>
                <w:b w:val="0"/>
                <w:bCs w:val="0"/>
                <w:sz w:val="24"/>
                <w:szCs w:val="24"/>
              </w:rPr>
              <w:t>131,102</w:t>
            </w:r>
          </w:p>
        </w:tc>
        <w:tc>
          <w:tcPr>
            <w:tcW w:w="2178" w:type="dxa"/>
            <w:tcBorders>
              <w:top w:val="single" w:sz="4" w:space="0" w:color="auto"/>
              <w:left w:val="nil"/>
              <w:bottom w:val="single" w:sz="4" w:space="0" w:color="auto"/>
              <w:right w:val="single" w:sz="4" w:space="0" w:color="auto"/>
            </w:tcBorders>
            <w:noWrap/>
            <w:vAlign w:val="center"/>
            <w:hideMark/>
          </w:tcPr>
          <w:p w:rsidR="000E31C1" w:rsidRPr="000E31C1" w14:paraId="4B31C42C" w14:textId="77777777">
            <w:pPr>
              <w:jc w:val="center"/>
              <w:rPr>
                <w:b w:val="0"/>
                <w:bCs w:val="0"/>
                <w:sz w:val="24"/>
                <w:szCs w:val="24"/>
              </w:rPr>
            </w:pPr>
            <w:r w:rsidRPr="000E31C1">
              <w:rPr>
                <w:b w:val="0"/>
                <w:bCs w:val="0"/>
                <w:sz w:val="24"/>
                <w:szCs w:val="24"/>
              </w:rPr>
              <w:t>33%</w:t>
            </w:r>
          </w:p>
        </w:tc>
        <w:tc>
          <w:tcPr>
            <w:tcW w:w="0" w:type="auto"/>
            <w:tcBorders>
              <w:top w:val="single" w:sz="4" w:space="0" w:color="auto"/>
              <w:left w:val="nil"/>
              <w:bottom w:val="single" w:sz="4" w:space="0" w:color="auto"/>
              <w:right w:val="single" w:sz="4" w:space="0" w:color="auto"/>
            </w:tcBorders>
            <w:noWrap/>
            <w:vAlign w:val="center"/>
            <w:hideMark/>
          </w:tcPr>
          <w:p w:rsidR="000E31C1" w:rsidRPr="000E31C1" w14:paraId="4F3FA60C" w14:textId="77777777">
            <w:pPr>
              <w:jc w:val="center"/>
              <w:rPr>
                <w:b w:val="0"/>
                <w:bCs w:val="0"/>
                <w:sz w:val="24"/>
                <w:szCs w:val="24"/>
              </w:rPr>
            </w:pPr>
            <w:r w:rsidRPr="000E31C1">
              <w:rPr>
                <w:b w:val="0"/>
                <w:bCs w:val="0"/>
                <w:sz w:val="24"/>
                <w:szCs w:val="24"/>
              </w:rPr>
              <w:t>10%</w:t>
            </w:r>
          </w:p>
        </w:tc>
        <w:tc>
          <w:tcPr>
            <w:tcW w:w="0" w:type="auto"/>
            <w:tcBorders>
              <w:top w:val="single" w:sz="4" w:space="0" w:color="auto"/>
              <w:left w:val="nil"/>
              <w:bottom w:val="single" w:sz="4" w:space="0" w:color="auto"/>
              <w:right w:val="single" w:sz="4" w:space="0" w:color="auto"/>
            </w:tcBorders>
            <w:vAlign w:val="center"/>
          </w:tcPr>
          <w:p w:rsidR="000E31C1" w:rsidRPr="000E31C1" w14:paraId="57D200EF" w14:textId="77777777">
            <w:pPr>
              <w:jc w:val="center"/>
              <w:rPr>
                <w:b w:val="0"/>
                <w:bCs w:val="0"/>
                <w:sz w:val="24"/>
                <w:szCs w:val="24"/>
              </w:rPr>
            </w:pPr>
            <w:r w:rsidRPr="000E31C1">
              <w:rPr>
                <w:b w:val="0"/>
                <w:bCs w:val="0"/>
                <w:sz w:val="24"/>
                <w:szCs w:val="24"/>
              </w:rPr>
              <w:t>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E31C1" w:rsidRPr="000E31C1" w14:paraId="2E7AC437" w14:textId="77777777">
            <w:pPr>
              <w:jc w:val="center"/>
              <w:rPr>
                <w:b w:val="0"/>
                <w:bCs w:val="0"/>
                <w:sz w:val="24"/>
                <w:szCs w:val="24"/>
              </w:rPr>
            </w:pPr>
            <w:r w:rsidRPr="000E31C1">
              <w:rPr>
                <w:b w:val="0"/>
                <w:bCs w:val="0"/>
                <w:sz w:val="24"/>
                <w:szCs w:val="24"/>
              </w:rPr>
              <w:t>4,370</w:t>
            </w:r>
          </w:p>
        </w:tc>
      </w:tr>
      <w:tr w14:paraId="0EA879C5" w14:textId="77777777">
        <w:tblPrEx>
          <w:tblW w:w="10834" w:type="dxa"/>
          <w:tblInd w:w="-455" w:type="dxa"/>
          <w:tblLook w:val="04A0"/>
        </w:tblPrEx>
        <w:trPr>
          <w:trHeight w:val="350"/>
        </w:trPr>
        <w:tc>
          <w:tcPr>
            <w:tcW w:w="0" w:type="auto"/>
            <w:tcBorders>
              <w:top w:val="single" w:sz="4" w:space="0" w:color="auto"/>
              <w:left w:val="single" w:sz="4" w:space="0" w:color="auto"/>
              <w:bottom w:val="single" w:sz="4" w:space="0" w:color="auto"/>
              <w:right w:val="single" w:sz="4" w:space="0" w:color="auto"/>
            </w:tcBorders>
            <w:vAlign w:val="bottom"/>
            <w:hideMark/>
          </w:tcPr>
          <w:p w:rsidR="000E31C1" w:rsidRPr="000E31C1" w14:paraId="6EC51B10" w14:textId="77777777">
            <w:pPr>
              <w:rPr>
                <w:b w:val="0"/>
                <w:bCs w:val="0"/>
                <w:sz w:val="24"/>
                <w:szCs w:val="24"/>
              </w:rPr>
            </w:pPr>
            <w:r w:rsidRPr="000E31C1">
              <w:rPr>
                <w:b w:val="0"/>
                <w:bCs w:val="0"/>
                <w:sz w:val="24"/>
                <w:szCs w:val="24"/>
              </w:rPr>
              <w:t xml:space="preserve">PBM provides semiannual disclosures </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E31C1" w:rsidRPr="000E31C1" w14:paraId="1AAC3611" w14:textId="77777777">
            <w:pPr>
              <w:jc w:val="center"/>
              <w:rPr>
                <w:b w:val="0"/>
                <w:bCs w:val="0"/>
                <w:sz w:val="24"/>
                <w:szCs w:val="24"/>
              </w:rPr>
            </w:pPr>
            <w:r w:rsidRPr="000E31C1">
              <w:rPr>
                <w:b w:val="0"/>
                <w:bCs w:val="0"/>
                <w:sz w:val="24"/>
                <w:szCs w:val="24"/>
              </w:rPr>
              <w:t>131,102</w:t>
            </w:r>
          </w:p>
        </w:tc>
        <w:tc>
          <w:tcPr>
            <w:tcW w:w="2178" w:type="dxa"/>
            <w:tcBorders>
              <w:top w:val="single" w:sz="4" w:space="0" w:color="auto"/>
              <w:left w:val="single" w:sz="4" w:space="0" w:color="auto"/>
              <w:bottom w:val="single" w:sz="4" w:space="0" w:color="auto"/>
              <w:right w:val="single" w:sz="4" w:space="0" w:color="auto"/>
            </w:tcBorders>
            <w:noWrap/>
            <w:vAlign w:val="center"/>
            <w:hideMark/>
          </w:tcPr>
          <w:p w:rsidR="000E31C1" w:rsidRPr="000E31C1" w14:paraId="5BA2EA63" w14:textId="77777777">
            <w:pPr>
              <w:jc w:val="center"/>
              <w:rPr>
                <w:b w:val="0"/>
                <w:bCs w:val="0"/>
                <w:sz w:val="24"/>
                <w:szCs w:val="24"/>
              </w:rPr>
            </w:pPr>
            <w:r w:rsidRPr="000E31C1">
              <w:rPr>
                <w:b w:val="0"/>
                <w:bCs w:val="0"/>
                <w:sz w:val="24"/>
                <w:szCs w:val="24"/>
              </w:rPr>
              <w:t>100%</w:t>
            </w:r>
          </w:p>
        </w:tc>
        <w:tc>
          <w:tcPr>
            <w:tcW w:w="0" w:type="auto"/>
            <w:tcBorders>
              <w:top w:val="single" w:sz="4" w:space="0" w:color="auto"/>
              <w:left w:val="single" w:sz="4" w:space="0" w:color="auto"/>
              <w:bottom w:val="single" w:sz="4" w:space="0" w:color="auto"/>
              <w:right w:val="nil"/>
            </w:tcBorders>
            <w:noWrap/>
            <w:vAlign w:val="center"/>
            <w:hideMark/>
          </w:tcPr>
          <w:p w:rsidR="000E31C1" w:rsidRPr="000E31C1" w14:paraId="1406CB5B" w14:textId="77777777">
            <w:pPr>
              <w:jc w:val="center"/>
              <w:rPr>
                <w:b w:val="0"/>
                <w:bCs w:val="0"/>
                <w:sz w:val="24"/>
                <w:szCs w:val="24"/>
              </w:rPr>
            </w:pPr>
            <w:r w:rsidRPr="000E31C1">
              <w:rPr>
                <w:b w:val="0"/>
                <w:bCs w:val="0"/>
                <w:sz w:val="24"/>
                <w:szCs w:val="24"/>
              </w:rPr>
              <w:t>100%</w:t>
            </w:r>
          </w:p>
        </w:tc>
        <w:tc>
          <w:tcPr>
            <w:tcW w:w="0" w:type="auto"/>
            <w:tcBorders>
              <w:top w:val="single" w:sz="4" w:space="0" w:color="auto"/>
              <w:left w:val="single" w:sz="4" w:space="0" w:color="auto"/>
              <w:bottom w:val="single" w:sz="4" w:space="0" w:color="auto"/>
              <w:right w:val="single" w:sz="4" w:space="0" w:color="auto"/>
            </w:tcBorders>
            <w:vAlign w:val="center"/>
          </w:tcPr>
          <w:p w:rsidR="000E31C1" w:rsidRPr="000E31C1" w14:paraId="63B43168" w14:textId="77777777">
            <w:pPr>
              <w:jc w:val="center"/>
              <w:rPr>
                <w:b w:val="0"/>
                <w:bCs w:val="0"/>
                <w:sz w:val="24"/>
                <w:szCs w:val="24"/>
              </w:rPr>
            </w:pPr>
            <w:r w:rsidRPr="000E31C1">
              <w:rPr>
                <w:b w:val="0"/>
                <w:bCs w:val="0"/>
                <w:sz w:val="24"/>
                <w:szCs w:val="24"/>
              </w:rPr>
              <w:t>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E31C1" w:rsidRPr="000E31C1" w14:paraId="12D84A56" w14:textId="77777777">
            <w:pPr>
              <w:jc w:val="center"/>
              <w:rPr>
                <w:b w:val="0"/>
                <w:bCs w:val="0"/>
                <w:sz w:val="24"/>
                <w:szCs w:val="24"/>
              </w:rPr>
            </w:pPr>
            <w:r w:rsidRPr="000E31C1">
              <w:rPr>
                <w:b w:val="0"/>
                <w:bCs w:val="0"/>
                <w:sz w:val="24"/>
                <w:szCs w:val="24"/>
              </w:rPr>
              <w:t>262,204</w:t>
            </w:r>
          </w:p>
        </w:tc>
      </w:tr>
      <w:tr w14:paraId="008208AB" w14:textId="77777777">
        <w:tblPrEx>
          <w:tblW w:w="10834"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19"/>
        </w:trPr>
        <w:tc>
          <w:tcPr>
            <w:tcW w:w="0" w:type="auto"/>
            <w:vAlign w:val="center"/>
          </w:tcPr>
          <w:p w:rsidR="000E31C1" w:rsidRPr="000E31C1" w14:paraId="70543AB4" w14:textId="77777777">
            <w:pPr>
              <w:rPr>
                <w:b w:val="0"/>
                <w:bCs w:val="0"/>
                <w:sz w:val="24"/>
                <w:szCs w:val="24"/>
              </w:rPr>
            </w:pPr>
            <w:r w:rsidRPr="000E31C1">
              <w:rPr>
                <w:b w:val="0"/>
                <w:bCs w:val="0"/>
                <w:sz w:val="24"/>
                <w:szCs w:val="24"/>
              </w:rPr>
              <w:t>PBM provides quarterly disclosures to plans upon request</w:t>
            </w:r>
          </w:p>
        </w:tc>
        <w:tc>
          <w:tcPr>
            <w:tcW w:w="0" w:type="auto"/>
            <w:tcBorders>
              <w:top w:val="single" w:sz="4" w:space="0" w:color="auto"/>
              <w:left w:val="single" w:sz="4" w:space="0" w:color="auto"/>
              <w:bottom w:val="single" w:sz="4" w:space="0" w:color="auto"/>
              <w:right w:val="single" w:sz="4" w:space="0" w:color="auto"/>
            </w:tcBorders>
            <w:noWrap/>
            <w:vAlign w:val="center"/>
          </w:tcPr>
          <w:p w:rsidR="000E31C1" w:rsidRPr="000E31C1" w14:paraId="6A5CF7CF" w14:textId="77777777">
            <w:pPr>
              <w:jc w:val="center"/>
              <w:rPr>
                <w:rFonts w:eastAsia="Aptos"/>
                <w:b w:val="0"/>
                <w:bCs w:val="0"/>
                <w:kern w:val="2"/>
                <w:sz w:val="24"/>
                <w:szCs w:val="24"/>
                <w14:ligatures w14:val="standardContextual"/>
              </w:rPr>
            </w:pPr>
            <w:r w:rsidRPr="000E31C1">
              <w:rPr>
                <w:b w:val="0"/>
                <w:bCs w:val="0"/>
                <w:sz w:val="24"/>
                <w:szCs w:val="24"/>
              </w:rPr>
              <w:t>131,102</w:t>
            </w:r>
          </w:p>
        </w:tc>
        <w:tc>
          <w:tcPr>
            <w:tcW w:w="2178" w:type="dxa"/>
            <w:tcBorders>
              <w:top w:val="single" w:sz="4" w:space="0" w:color="auto"/>
              <w:left w:val="nil"/>
              <w:bottom w:val="single" w:sz="4" w:space="0" w:color="auto"/>
              <w:right w:val="single" w:sz="4" w:space="0" w:color="auto"/>
            </w:tcBorders>
            <w:noWrap/>
            <w:vAlign w:val="center"/>
          </w:tcPr>
          <w:p w:rsidR="000E31C1" w:rsidRPr="000E31C1" w14:paraId="0B9BBA1C" w14:textId="77777777">
            <w:pPr>
              <w:jc w:val="center"/>
              <w:rPr>
                <w:rFonts w:eastAsia="Aptos"/>
                <w:b w:val="0"/>
                <w:bCs w:val="0"/>
                <w:kern w:val="2"/>
                <w:sz w:val="24"/>
                <w:szCs w:val="24"/>
                <w14:ligatures w14:val="standardContextual"/>
              </w:rPr>
            </w:pPr>
            <w:r w:rsidRPr="000E31C1">
              <w:rPr>
                <w:b w:val="0"/>
                <w:bCs w:val="0"/>
                <w:sz w:val="24"/>
                <w:szCs w:val="24"/>
              </w:rPr>
              <w:t>100%</w:t>
            </w:r>
          </w:p>
        </w:tc>
        <w:tc>
          <w:tcPr>
            <w:tcW w:w="0" w:type="auto"/>
            <w:tcBorders>
              <w:top w:val="single" w:sz="4" w:space="0" w:color="auto"/>
              <w:left w:val="nil"/>
              <w:bottom w:val="single" w:sz="4" w:space="0" w:color="auto"/>
              <w:right w:val="nil"/>
            </w:tcBorders>
            <w:noWrap/>
            <w:vAlign w:val="center"/>
          </w:tcPr>
          <w:p w:rsidR="000E31C1" w:rsidRPr="000E31C1" w14:paraId="703F8BF3" w14:textId="77777777">
            <w:pPr>
              <w:jc w:val="center"/>
              <w:rPr>
                <w:rFonts w:eastAsia="Aptos"/>
                <w:b w:val="0"/>
                <w:bCs w:val="0"/>
                <w:kern w:val="2"/>
                <w:sz w:val="24"/>
                <w:szCs w:val="24"/>
                <w14:ligatures w14:val="standardContextual"/>
              </w:rPr>
            </w:pPr>
            <w:r w:rsidRPr="000E31C1">
              <w:rPr>
                <w:b w:val="0"/>
                <w:bCs w:val="0"/>
                <w:sz w:val="24"/>
                <w:szCs w:val="24"/>
              </w:rPr>
              <w:t>10%</w:t>
            </w:r>
          </w:p>
        </w:tc>
        <w:tc>
          <w:tcPr>
            <w:tcW w:w="0" w:type="auto"/>
            <w:tcBorders>
              <w:top w:val="single" w:sz="4" w:space="0" w:color="auto"/>
              <w:left w:val="single" w:sz="4" w:space="0" w:color="auto"/>
              <w:bottom w:val="single" w:sz="4" w:space="0" w:color="auto"/>
              <w:right w:val="single" w:sz="4" w:space="0" w:color="auto"/>
            </w:tcBorders>
            <w:vAlign w:val="center"/>
          </w:tcPr>
          <w:p w:rsidR="000E31C1" w:rsidRPr="000E31C1" w14:paraId="50E8E9EE" w14:textId="77777777">
            <w:pPr>
              <w:jc w:val="center"/>
              <w:rPr>
                <w:rFonts w:eastAsia="Aptos"/>
                <w:b w:val="0"/>
                <w:bCs w:val="0"/>
                <w:kern w:val="2"/>
                <w:sz w:val="24"/>
                <w:szCs w:val="24"/>
                <w14:ligatures w14:val="standardContextual"/>
              </w:rPr>
            </w:pPr>
            <w:r w:rsidRPr="000E31C1">
              <w:rPr>
                <w:b w:val="0"/>
                <w:bCs w:val="0"/>
                <w:sz w:val="24"/>
                <w:szCs w:val="24"/>
              </w:rPr>
              <w:t>2</w:t>
            </w:r>
          </w:p>
        </w:tc>
        <w:tc>
          <w:tcPr>
            <w:tcW w:w="0" w:type="auto"/>
            <w:tcBorders>
              <w:top w:val="single" w:sz="4" w:space="0" w:color="auto"/>
              <w:left w:val="nil"/>
              <w:bottom w:val="single" w:sz="4" w:space="0" w:color="auto"/>
              <w:right w:val="single" w:sz="4" w:space="0" w:color="auto"/>
            </w:tcBorders>
            <w:noWrap/>
            <w:vAlign w:val="center"/>
          </w:tcPr>
          <w:p w:rsidR="000E31C1" w:rsidRPr="000E31C1" w14:paraId="126324A8" w14:textId="77777777">
            <w:pPr>
              <w:jc w:val="center"/>
              <w:rPr>
                <w:rFonts w:eastAsia="Aptos"/>
                <w:b w:val="0"/>
                <w:bCs w:val="0"/>
                <w:kern w:val="2"/>
                <w:sz w:val="24"/>
                <w:szCs w:val="24"/>
                <w14:ligatures w14:val="standardContextual"/>
              </w:rPr>
            </w:pPr>
            <w:r w:rsidRPr="000E31C1">
              <w:rPr>
                <w:b w:val="0"/>
                <w:bCs w:val="0"/>
                <w:sz w:val="24"/>
                <w:szCs w:val="24"/>
              </w:rPr>
              <w:t>26,220</w:t>
            </w:r>
          </w:p>
        </w:tc>
      </w:tr>
      <w:tr w14:paraId="045CC58A" w14:textId="77777777" w:rsidTr="000F671D">
        <w:tblPrEx>
          <w:tblW w:w="10834" w:type="dxa"/>
          <w:tblInd w:w="-455" w:type="dxa"/>
          <w:tblLook w:val="04A0"/>
        </w:tblPrEx>
        <w:trPr>
          <w:trHeight w:val="310"/>
        </w:trPr>
        <w:tc>
          <w:tcPr>
            <w:tcW w:w="10834" w:type="dxa"/>
            <w:gridSpan w:val="6"/>
            <w:tcBorders>
              <w:top w:val="single" w:sz="4" w:space="0" w:color="auto"/>
              <w:left w:val="single" w:sz="4" w:space="0" w:color="auto"/>
              <w:bottom w:val="single" w:sz="4" w:space="0" w:color="auto"/>
              <w:right w:val="single" w:sz="4" w:space="0" w:color="auto"/>
            </w:tcBorders>
            <w:vAlign w:val="bottom"/>
            <w:hideMark/>
          </w:tcPr>
          <w:p w:rsidR="000E31C1" w:rsidRPr="00AC00F6" w14:paraId="17932E1D" w14:textId="77777777">
            <w:pPr>
              <w:jc w:val="center"/>
              <w:rPr>
                <w:i/>
                <w:sz w:val="24"/>
                <w:szCs w:val="24"/>
                <w:u w:val="single"/>
              </w:rPr>
            </w:pPr>
            <w:r w:rsidRPr="00AC00F6">
              <w:rPr>
                <w:i/>
                <w:sz w:val="24"/>
                <w:szCs w:val="24"/>
                <w:u w:val="single"/>
              </w:rPr>
              <w:t>Disclosures from Self-insured Group Health Plans</w:t>
            </w:r>
            <w:r w:rsidRPr="00AC00F6">
              <w:rPr>
                <w:i/>
                <w:iCs/>
                <w:sz w:val="24"/>
                <w:szCs w:val="24"/>
                <w:u w:val="single"/>
              </w:rPr>
              <w:t xml:space="preserve"> with 100 or more participants and beneficiaries</w:t>
            </w:r>
          </w:p>
        </w:tc>
      </w:tr>
      <w:tr w14:paraId="6A10474D" w14:textId="77777777" w:rsidTr="000F671D">
        <w:tblPrEx>
          <w:tblW w:w="10834" w:type="dxa"/>
          <w:tblInd w:w="-455" w:type="dxa"/>
          <w:tblLook w:val="04A0"/>
        </w:tblPrEx>
        <w:trPr>
          <w:trHeight w:val="512"/>
        </w:trPr>
        <w:tc>
          <w:tcPr>
            <w:tcW w:w="0" w:type="auto"/>
            <w:tcBorders>
              <w:top w:val="single" w:sz="4" w:space="0" w:color="auto"/>
              <w:left w:val="single" w:sz="4" w:space="0" w:color="auto"/>
              <w:bottom w:val="single" w:sz="4" w:space="0" w:color="auto"/>
              <w:right w:val="single" w:sz="4" w:space="0" w:color="auto"/>
            </w:tcBorders>
            <w:vAlign w:val="bottom"/>
            <w:hideMark/>
          </w:tcPr>
          <w:p w:rsidR="000E31C1" w:rsidRPr="000E31C1" w14:paraId="7612E42F" w14:textId="77777777">
            <w:pPr>
              <w:rPr>
                <w:b w:val="0"/>
                <w:bCs w:val="0"/>
                <w:sz w:val="24"/>
                <w:szCs w:val="24"/>
              </w:rPr>
            </w:pPr>
            <w:r w:rsidRPr="000E31C1">
              <w:rPr>
                <w:b w:val="0"/>
                <w:bCs w:val="0"/>
                <w:sz w:val="24"/>
                <w:szCs w:val="24"/>
              </w:rPr>
              <w:t xml:space="preserve">Plans send request to PBMs to disclose other/missing information </w:t>
            </w:r>
          </w:p>
        </w:tc>
        <w:tc>
          <w:tcPr>
            <w:tcW w:w="0" w:type="auto"/>
            <w:tcBorders>
              <w:top w:val="single" w:sz="4" w:space="0" w:color="auto"/>
              <w:left w:val="nil"/>
              <w:bottom w:val="single" w:sz="4" w:space="0" w:color="auto"/>
              <w:right w:val="single" w:sz="4" w:space="0" w:color="auto"/>
            </w:tcBorders>
            <w:noWrap/>
            <w:vAlign w:val="center"/>
            <w:hideMark/>
          </w:tcPr>
          <w:p w:rsidR="000E31C1" w:rsidRPr="000E31C1" w14:paraId="4DC8C53D" w14:textId="77777777">
            <w:pPr>
              <w:jc w:val="center"/>
              <w:rPr>
                <w:b w:val="0"/>
                <w:bCs w:val="0"/>
                <w:sz w:val="24"/>
                <w:szCs w:val="24"/>
              </w:rPr>
            </w:pPr>
            <w:r w:rsidRPr="000E31C1">
              <w:rPr>
                <w:b w:val="0"/>
                <w:bCs w:val="0"/>
                <w:sz w:val="24"/>
                <w:szCs w:val="24"/>
              </w:rPr>
              <w:t>131,102</w:t>
            </w:r>
          </w:p>
        </w:tc>
        <w:tc>
          <w:tcPr>
            <w:tcW w:w="2178" w:type="dxa"/>
            <w:tcBorders>
              <w:top w:val="single" w:sz="4" w:space="0" w:color="auto"/>
              <w:left w:val="nil"/>
              <w:bottom w:val="single" w:sz="4" w:space="0" w:color="auto"/>
              <w:right w:val="single" w:sz="4" w:space="0" w:color="auto"/>
            </w:tcBorders>
            <w:noWrap/>
            <w:vAlign w:val="center"/>
            <w:hideMark/>
          </w:tcPr>
          <w:p w:rsidR="000E31C1" w:rsidRPr="000E31C1" w14:paraId="2A439572" w14:textId="77777777">
            <w:pPr>
              <w:jc w:val="center"/>
              <w:rPr>
                <w:b w:val="0"/>
                <w:bCs w:val="0"/>
                <w:sz w:val="24"/>
                <w:szCs w:val="24"/>
              </w:rPr>
            </w:pPr>
            <w:r w:rsidRPr="000E31C1">
              <w:rPr>
                <w:b w:val="0"/>
                <w:bCs w:val="0"/>
                <w:sz w:val="24"/>
                <w:szCs w:val="24"/>
              </w:rPr>
              <w:t>33%</w:t>
            </w:r>
          </w:p>
        </w:tc>
        <w:tc>
          <w:tcPr>
            <w:tcW w:w="0" w:type="auto"/>
            <w:tcBorders>
              <w:top w:val="single" w:sz="4" w:space="0" w:color="auto"/>
              <w:left w:val="nil"/>
              <w:bottom w:val="single" w:sz="4" w:space="0" w:color="auto"/>
              <w:right w:val="single" w:sz="4" w:space="0" w:color="auto"/>
            </w:tcBorders>
            <w:noWrap/>
            <w:vAlign w:val="center"/>
            <w:hideMark/>
          </w:tcPr>
          <w:p w:rsidR="000E31C1" w:rsidRPr="000E31C1" w14:paraId="7DC8F98C" w14:textId="77777777">
            <w:pPr>
              <w:jc w:val="center"/>
              <w:rPr>
                <w:b w:val="0"/>
                <w:bCs w:val="0"/>
                <w:sz w:val="24"/>
                <w:szCs w:val="24"/>
              </w:rPr>
            </w:pPr>
            <w:r w:rsidRPr="000E31C1">
              <w:rPr>
                <w:b w:val="0"/>
                <w:bCs w:val="0"/>
                <w:sz w:val="24"/>
                <w:szCs w:val="24"/>
              </w:rPr>
              <w:t>0.3%</w:t>
            </w:r>
          </w:p>
        </w:tc>
        <w:tc>
          <w:tcPr>
            <w:tcW w:w="0" w:type="auto"/>
            <w:tcBorders>
              <w:top w:val="single" w:sz="4" w:space="0" w:color="auto"/>
              <w:left w:val="nil"/>
              <w:bottom w:val="single" w:sz="4" w:space="0" w:color="auto"/>
              <w:right w:val="single" w:sz="4" w:space="0" w:color="auto"/>
            </w:tcBorders>
            <w:vAlign w:val="center"/>
          </w:tcPr>
          <w:p w:rsidR="000E31C1" w:rsidRPr="000E31C1" w14:paraId="221A6679" w14:textId="77777777">
            <w:pPr>
              <w:jc w:val="center"/>
              <w:rPr>
                <w:b w:val="0"/>
                <w:bCs w:val="0"/>
                <w:sz w:val="24"/>
                <w:szCs w:val="24"/>
              </w:rPr>
            </w:pPr>
            <w:r w:rsidRPr="000E31C1">
              <w:rPr>
                <w:b w:val="0"/>
                <w:bCs w:val="0"/>
                <w:sz w:val="24"/>
                <w:szCs w:val="24"/>
              </w:rPr>
              <w:t>1</w:t>
            </w:r>
          </w:p>
        </w:tc>
        <w:tc>
          <w:tcPr>
            <w:tcW w:w="1591" w:type="dxa"/>
            <w:tcBorders>
              <w:top w:val="single" w:sz="4" w:space="0" w:color="auto"/>
              <w:left w:val="single" w:sz="4" w:space="0" w:color="auto"/>
              <w:bottom w:val="single" w:sz="4" w:space="0" w:color="auto"/>
              <w:right w:val="single" w:sz="4" w:space="0" w:color="auto"/>
            </w:tcBorders>
            <w:noWrap/>
            <w:vAlign w:val="center"/>
            <w:hideMark/>
          </w:tcPr>
          <w:p w:rsidR="000E31C1" w:rsidRPr="000E31C1" w14:paraId="69D9F81C" w14:textId="77777777">
            <w:pPr>
              <w:jc w:val="center"/>
              <w:rPr>
                <w:b w:val="0"/>
                <w:bCs w:val="0"/>
                <w:sz w:val="24"/>
                <w:szCs w:val="24"/>
              </w:rPr>
            </w:pPr>
            <w:r w:rsidRPr="000E31C1">
              <w:rPr>
                <w:b w:val="0"/>
                <w:bCs w:val="0"/>
                <w:sz w:val="24"/>
                <w:szCs w:val="24"/>
              </w:rPr>
              <w:t>131</w:t>
            </w:r>
          </w:p>
        </w:tc>
      </w:tr>
      <w:tr w14:paraId="1EB73570" w14:textId="77777777">
        <w:tblPrEx>
          <w:tblW w:w="10834"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1"/>
        </w:trPr>
        <w:tc>
          <w:tcPr>
            <w:tcW w:w="0" w:type="auto"/>
            <w:tcBorders>
              <w:top w:val="single" w:sz="4" w:space="0" w:color="auto"/>
              <w:left w:val="single" w:sz="4" w:space="0" w:color="auto"/>
              <w:bottom w:val="single" w:sz="4" w:space="0" w:color="auto"/>
              <w:right w:val="single" w:sz="4" w:space="0" w:color="auto"/>
            </w:tcBorders>
            <w:vAlign w:val="center"/>
          </w:tcPr>
          <w:p w:rsidR="000E31C1" w:rsidRPr="000E31C1" w14:paraId="0D8C3BDA" w14:textId="77777777">
            <w:pPr>
              <w:rPr>
                <w:b w:val="0"/>
                <w:bCs w:val="0"/>
                <w:sz w:val="24"/>
                <w:szCs w:val="24"/>
              </w:rPr>
            </w:pPr>
            <w:r w:rsidRPr="000E31C1">
              <w:rPr>
                <w:b w:val="0"/>
                <w:bCs w:val="0"/>
                <w:sz w:val="24"/>
                <w:szCs w:val="24"/>
              </w:rPr>
              <w:t xml:space="preserve">Plans document the basis for determination on whether to terminate or continue the service </w:t>
            </w:r>
            <w:r w:rsidRPr="000E31C1">
              <w:rPr>
                <w:b w:val="0"/>
                <w:bCs w:val="0"/>
                <w:sz w:val="24"/>
                <w:szCs w:val="24"/>
              </w:rPr>
              <w:t>contract or arrangement, after PBMs has not responded in 90 days</w:t>
            </w:r>
          </w:p>
        </w:tc>
        <w:tc>
          <w:tcPr>
            <w:tcW w:w="0" w:type="auto"/>
            <w:tcBorders>
              <w:top w:val="single" w:sz="4" w:space="0" w:color="auto"/>
              <w:left w:val="single" w:sz="4" w:space="0" w:color="auto"/>
              <w:bottom w:val="single" w:sz="4" w:space="0" w:color="auto"/>
              <w:right w:val="single" w:sz="4" w:space="0" w:color="auto"/>
            </w:tcBorders>
            <w:noWrap/>
            <w:vAlign w:val="center"/>
          </w:tcPr>
          <w:p w:rsidR="000E31C1" w:rsidRPr="000E31C1" w14:paraId="57E0DCBB" w14:textId="77777777">
            <w:pPr>
              <w:jc w:val="center"/>
              <w:rPr>
                <w:b w:val="0"/>
                <w:bCs w:val="0"/>
                <w:sz w:val="24"/>
                <w:szCs w:val="24"/>
              </w:rPr>
            </w:pPr>
            <w:r w:rsidRPr="000E31C1">
              <w:rPr>
                <w:b w:val="0"/>
                <w:bCs w:val="0"/>
                <w:sz w:val="24"/>
                <w:szCs w:val="24"/>
              </w:rPr>
              <w:t>10</w:t>
            </w:r>
          </w:p>
        </w:tc>
        <w:tc>
          <w:tcPr>
            <w:tcW w:w="2178" w:type="dxa"/>
            <w:tcBorders>
              <w:top w:val="single" w:sz="4" w:space="0" w:color="auto"/>
              <w:left w:val="single" w:sz="4" w:space="0" w:color="auto"/>
              <w:bottom w:val="single" w:sz="4" w:space="0" w:color="auto"/>
              <w:right w:val="single" w:sz="4" w:space="0" w:color="auto"/>
            </w:tcBorders>
            <w:noWrap/>
            <w:vAlign w:val="center"/>
          </w:tcPr>
          <w:p w:rsidR="000E31C1" w:rsidRPr="000E31C1" w14:paraId="6880D729" w14:textId="77777777">
            <w:pPr>
              <w:jc w:val="center"/>
              <w:rPr>
                <w:b w:val="0"/>
                <w:bCs w:val="0"/>
                <w:sz w:val="24"/>
                <w:szCs w:val="24"/>
              </w:rPr>
            </w:pPr>
            <w:r w:rsidRPr="000E31C1">
              <w:rPr>
                <w:b w:val="0"/>
                <w:bCs w:val="0"/>
                <w:sz w:val="24"/>
                <w:szCs w:val="24"/>
              </w:rPr>
              <w:t>-</w:t>
            </w:r>
          </w:p>
        </w:tc>
        <w:tc>
          <w:tcPr>
            <w:tcW w:w="0" w:type="auto"/>
            <w:tcBorders>
              <w:top w:val="single" w:sz="4" w:space="0" w:color="auto"/>
              <w:left w:val="single" w:sz="4" w:space="0" w:color="auto"/>
              <w:bottom w:val="single" w:sz="4" w:space="0" w:color="auto"/>
              <w:right w:val="single" w:sz="4" w:space="0" w:color="auto"/>
            </w:tcBorders>
            <w:noWrap/>
            <w:vAlign w:val="center"/>
          </w:tcPr>
          <w:p w:rsidR="000E31C1" w:rsidRPr="000E31C1" w14:paraId="31CB28F2" w14:textId="77777777">
            <w:pPr>
              <w:jc w:val="center"/>
              <w:rPr>
                <w:b w:val="0"/>
                <w:bCs w:val="0"/>
                <w:sz w:val="24"/>
                <w:szCs w:val="24"/>
              </w:rPr>
            </w:pPr>
            <w:r w:rsidRPr="000E31C1">
              <w:rPr>
                <w:b w:val="0"/>
                <w:bCs w:val="0"/>
                <w:sz w:val="24"/>
                <w:szCs w:val="24"/>
              </w:rPr>
              <w:t>100%</w:t>
            </w:r>
          </w:p>
        </w:tc>
        <w:tc>
          <w:tcPr>
            <w:tcW w:w="0" w:type="auto"/>
            <w:tcBorders>
              <w:top w:val="single" w:sz="4" w:space="0" w:color="auto"/>
              <w:left w:val="single" w:sz="4" w:space="0" w:color="auto"/>
              <w:bottom w:val="single" w:sz="4" w:space="0" w:color="auto"/>
              <w:right w:val="single" w:sz="4" w:space="0" w:color="auto"/>
            </w:tcBorders>
            <w:vAlign w:val="center"/>
          </w:tcPr>
          <w:p w:rsidR="000E31C1" w:rsidRPr="000E31C1" w14:paraId="59EE98B7" w14:textId="77777777">
            <w:pPr>
              <w:jc w:val="center"/>
              <w:rPr>
                <w:b w:val="0"/>
                <w:bCs w:val="0"/>
                <w:sz w:val="24"/>
                <w:szCs w:val="24"/>
              </w:rPr>
            </w:pPr>
            <w:r w:rsidRPr="000E31C1">
              <w:rPr>
                <w:b w:val="0"/>
                <w:bCs w:val="0"/>
                <w:sz w:val="24"/>
                <w:szCs w:val="24"/>
              </w:rPr>
              <w:t>1</w:t>
            </w:r>
          </w:p>
        </w:tc>
        <w:tc>
          <w:tcPr>
            <w:tcW w:w="0" w:type="auto"/>
            <w:tcBorders>
              <w:top w:val="single" w:sz="4" w:space="0" w:color="auto"/>
              <w:left w:val="single" w:sz="4" w:space="0" w:color="auto"/>
              <w:bottom w:val="single" w:sz="4" w:space="0" w:color="auto"/>
              <w:right w:val="single" w:sz="4" w:space="0" w:color="auto"/>
            </w:tcBorders>
            <w:noWrap/>
            <w:vAlign w:val="center"/>
          </w:tcPr>
          <w:p w:rsidR="000E31C1" w:rsidRPr="000E31C1" w14:paraId="3165854A" w14:textId="77777777">
            <w:pPr>
              <w:jc w:val="center"/>
              <w:rPr>
                <w:b w:val="0"/>
                <w:bCs w:val="0"/>
                <w:sz w:val="24"/>
                <w:szCs w:val="24"/>
              </w:rPr>
            </w:pPr>
            <w:r w:rsidRPr="000E31C1">
              <w:rPr>
                <w:b w:val="0"/>
                <w:bCs w:val="0"/>
                <w:sz w:val="24"/>
                <w:szCs w:val="24"/>
              </w:rPr>
              <w:t>10</w:t>
            </w:r>
          </w:p>
        </w:tc>
      </w:tr>
      <w:tr w14:paraId="5A56B88F" w14:textId="77777777">
        <w:tblPrEx>
          <w:tblW w:w="10834" w:type="dxa"/>
          <w:tblInd w:w="-455" w:type="dxa"/>
          <w:tblLook w:val="04A0"/>
        </w:tblPrEx>
        <w:trPr>
          <w:trHeight w:val="602"/>
        </w:trPr>
        <w:tc>
          <w:tcPr>
            <w:tcW w:w="0" w:type="auto"/>
            <w:tcBorders>
              <w:top w:val="nil"/>
              <w:left w:val="single" w:sz="4" w:space="0" w:color="auto"/>
              <w:bottom w:val="single" w:sz="4" w:space="0" w:color="auto"/>
              <w:right w:val="single" w:sz="4" w:space="0" w:color="auto"/>
            </w:tcBorders>
            <w:vAlign w:val="bottom"/>
            <w:hideMark/>
          </w:tcPr>
          <w:p w:rsidR="000E31C1" w:rsidRPr="000E31C1" w14:paraId="7589BD16" w14:textId="77777777">
            <w:pPr>
              <w:rPr>
                <w:b w:val="0"/>
                <w:bCs w:val="0"/>
                <w:sz w:val="24"/>
                <w:szCs w:val="24"/>
              </w:rPr>
            </w:pPr>
            <w:r w:rsidRPr="000E31C1">
              <w:rPr>
                <w:b w:val="0"/>
                <w:bCs w:val="0"/>
                <w:sz w:val="24"/>
                <w:szCs w:val="24"/>
              </w:rPr>
              <w:t xml:space="preserve">Plans send notice to DOL after PBMs has not </w:t>
            </w:r>
            <w:r w:rsidRPr="000E31C1">
              <w:rPr>
                <w:b w:val="0"/>
                <w:bCs w:val="0"/>
                <w:sz w:val="24"/>
                <w:szCs w:val="24"/>
              </w:rPr>
              <w:t>responded</w:t>
            </w:r>
            <w:r w:rsidRPr="000E31C1">
              <w:rPr>
                <w:b w:val="0"/>
                <w:bCs w:val="0"/>
                <w:sz w:val="24"/>
                <w:szCs w:val="24"/>
              </w:rPr>
              <w:t xml:space="preserve"> in 90 days, </w:t>
            </w:r>
            <w:r w:rsidRPr="000E31C1">
              <w:rPr>
                <w:b w:val="0"/>
                <w:bCs w:val="0"/>
                <w:kern w:val="2"/>
                <w:sz w:val="24"/>
                <w:szCs w:val="24"/>
                <w14:ligatures w14:val="standardContextual"/>
              </w:rPr>
              <w:t>and document basis for determination</w:t>
            </w:r>
            <w:r w:rsidRPr="000E31C1">
              <w:rPr>
                <w:b w:val="0"/>
                <w:bCs w:val="0"/>
                <w:sz w:val="24"/>
                <w:szCs w:val="24"/>
              </w:rPr>
              <w:t xml:space="preserve"> </w:t>
            </w:r>
          </w:p>
        </w:tc>
        <w:tc>
          <w:tcPr>
            <w:tcW w:w="0" w:type="auto"/>
            <w:tcBorders>
              <w:top w:val="nil"/>
              <w:left w:val="nil"/>
              <w:bottom w:val="single" w:sz="4" w:space="0" w:color="auto"/>
              <w:right w:val="single" w:sz="4" w:space="0" w:color="auto"/>
            </w:tcBorders>
            <w:noWrap/>
            <w:vAlign w:val="center"/>
            <w:hideMark/>
          </w:tcPr>
          <w:p w:rsidR="000E31C1" w:rsidRPr="000E31C1" w14:paraId="4027E60F" w14:textId="77777777">
            <w:pPr>
              <w:jc w:val="center"/>
              <w:rPr>
                <w:b w:val="0"/>
                <w:bCs w:val="0"/>
                <w:sz w:val="24"/>
                <w:szCs w:val="24"/>
              </w:rPr>
            </w:pPr>
            <w:r w:rsidRPr="000E31C1">
              <w:rPr>
                <w:b w:val="0"/>
                <w:bCs w:val="0"/>
                <w:sz w:val="24"/>
                <w:szCs w:val="24"/>
              </w:rPr>
              <w:t>10</w:t>
            </w:r>
          </w:p>
        </w:tc>
        <w:tc>
          <w:tcPr>
            <w:tcW w:w="2178" w:type="dxa"/>
            <w:tcBorders>
              <w:top w:val="nil"/>
              <w:left w:val="nil"/>
              <w:bottom w:val="single" w:sz="4" w:space="0" w:color="auto"/>
              <w:right w:val="single" w:sz="4" w:space="0" w:color="auto"/>
            </w:tcBorders>
            <w:noWrap/>
            <w:vAlign w:val="center"/>
            <w:hideMark/>
          </w:tcPr>
          <w:p w:rsidR="000E31C1" w:rsidRPr="000E31C1" w14:paraId="55B1AB09" w14:textId="77777777">
            <w:pPr>
              <w:jc w:val="center"/>
              <w:rPr>
                <w:b w:val="0"/>
                <w:bCs w:val="0"/>
                <w:sz w:val="24"/>
                <w:szCs w:val="24"/>
              </w:rPr>
            </w:pPr>
            <w:r w:rsidRPr="000E31C1">
              <w:rPr>
                <w:b w:val="0"/>
                <w:bCs w:val="0"/>
                <w:sz w:val="24"/>
                <w:szCs w:val="24"/>
              </w:rPr>
              <w:t>-</w:t>
            </w:r>
          </w:p>
        </w:tc>
        <w:tc>
          <w:tcPr>
            <w:tcW w:w="0" w:type="auto"/>
            <w:tcBorders>
              <w:top w:val="nil"/>
              <w:left w:val="nil"/>
              <w:bottom w:val="single" w:sz="4" w:space="0" w:color="auto"/>
              <w:right w:val="single" w:sz="4" w:space="0" w:color="auto"/>
            </w:tcBorders>
            <w:noWrap/>
            <w:vAlign w:val="center"/>
            <w:hideMark/>
          </w:tcPr>
          <w:p w:rsidR="000E31C1" w:rsidRPr="000E31C1" w14:paraId="1BFB4D17" w14:textId="77777777">
            <w:pPr>
              <w:jc w:val="center"/>
              <w:rPr>
                <w:b w:val="0"/>
                <w:bCs w:val="0"/>
                <w:sz w:val="24"/>
                <w:szCs w:val="24"/>
              </w:rPr>
            </w:pPr>
            <w:r w:rsidRPr="000E31C1">
              <w:rPr>
                <w:b w:val="0"/>
                <w:bCs w:val="0"/>
                <w:sz w:val="24"/>
                <w:szCs w:val="24"/>
              </w:rPr>
              <w:t>100%</w:t>
            </w:r>
          </w:p>
        </w:tc>
        <w:tc>
          <w:tcPr>
            <w:tcW w:w="0" w:type="auto"/>
            <w:tcBorders>
              <w:top w:val="single" w:sz="4" w:space="0" w:color="auto"/>
              <w:left w:val="nil"/>
              <w:bottom w:val="single" w:sz="4" w:space="0" w:color="auto"/>
              <w:right w:val="single" w:sz="4" w:space="0" w:color="auto"/>
            </w:tcBorders>
            <w:vAlign w:val="center"/>
          </w:tcPr>
          <w:p w:rsidR="000E31C1" w:rsidRPr="000E31C1" w14:paraId="12C93683" w14:textId="77777777">
            <w:pPr>
              <w:jc w:val="center"/>
              <w:rPr>
                <w:b w:val="0"/>
                <w:bCs w:val="0"/>
                <w:sz w:val="24"/>
                <w:szCs w:val="24"/>
              </w:rPr>
            </w:pPr>
            <w:r w:rsidRPr="000E31C1">
              <w:rPr>
                <w:b w:val="0"/>
                <w:bCs w:val="0"/>
                <w:sz w:val="24"/>
                <w:szCs w:val="24"/>
              </w:rPr>
              <w:t>1</w:t>
            </w:r>
          </w:p>
        </w:tc>
        <w:tc>
          <w:tcPr>
            <w:tcW w:w="0" w:type="auto"/>
            <w:tcBorders>
              <w:top w:val="nil"/>
              <w:left w:val="single" w:sz="4" w:space="0" w:color="auto"/>
              <w:bottom w:val="single" w:sz="4" w:space="0" w:color="auto"/>
              <w:right w:val="single" w:sz="4" w:space="0" w:color="auto"/>
            </w:tcBorders>
            <w:noWrap/>
            <w:vAlign w:val="center"/>
            <w:hideMark/>
          </w:tcPr>
          <w:p w:rsidR="000E31C1" w:rsidRPr="000E31C1" w14:paraId="4C3CFA2F" w14:textId="77777777">
            <w:pPr>
              <w:jc w:val="center"/>
              <w:rPr>
                <w:b w:val="0"/>
                <w:bCs w:val="0"/>
                <w:sz w:val="24"/>
                <w:szCs w:val="24"/>
              </w:rPr>
            </w:pPr>
            <w:r w:rsidRPr="000E31C1">
              <w:rPr>
                <w:b w:val="0"/>
                <w:bCs w:val="0"/>
                <w:sz w:val="24"/>
                <w:szCs w:val="24"/>
              </w:rPr>
              <w:t>10</w:t>
            </w:r>
          </w:p>
        </w:tc>
      </w:tr>
      <w:tr w14:paraId="4D980632" w14:textId="77777777">
        <w:tblPrEx>
          <w:tblW w:w="10834" w:type="dxa"/>
          <w:tblInd w:w="-455" w:type="dxa"/>
          <w:tblLook w:val="04A0"/>
        </w:tblPrEx>
        <w:trPr>
          <w:trHeight w:val="290"/>
        </w:trPr>
        <w:tc>
          <w:tcPr>
            <w:tcW w:w="10834" w:type="dxa"/>
            <w:gridSpan w:val="6"/>
            <w:tcBorders>
              <w:top w:val="single" w:sz="4" w:space="0" w:color="auto"/>
              <w:left w:val="single" w:sz="4" w:space="0" w:color="auto"/>
              <w:bottom w:val="single" w:sz="4" w:space="0" w:color="auto"/>
              <w:right w:val="single" w:sz="4" w:space="0" w:color="auto"/>
            </w:tcBorders>
            <w:vAlign w:val="bottom"/>
            <w:hideMark/>
          </w:tcPr>
          <w:p w:rsidR="000E31C1" w:rsidRPr="00AC00F6" w14:paraId="4BF33DD6" w14:textId="77777777">
            <w:pPr>
              <w:jc w:val="center"/>
              <w:rPr>
                <w:i/>
                <w:sz w:val="24"/>
                <w:szCs w:val="24"/>
                <w:u w:val="single"/>
              </w:rPr>
            </w:pPr>
            <w:r w:rsidRPr="00AC00F6">
              <w:rPr>
                <w:i/>
                <w:sz w:val="24"/>
                <w:szCs w:val="24"/>
                <w:u w:val="single"/>
              </w:rPr>
              <w:t xml:space="preserve">Self-insured Group Health Plans </w:t>
            </w:r>
            <w:r w:rsidRPr="00AC00F6">
              <w:rPr>
                <w:i/>
                <w:iCs/>
                <w:sz w:val="24"/>
                <w:szCs w:val="24"/>
                <w:u w:val="single"/>
              </w:rPr>
              <w:t xml:space="preserve">with 100 or more participants and beneficiaries </w:t>
            </w:r>
            <w:r w:rsidRPr="00AC00F6">
              <w:rPr>
                <w:i/>
                <w:sz w:val="24"/>
                <w:szCs w:val="24"/>
                <w:u w:val="single"/>
              </w:rPr>
              <w:t>send audit requests to PBM</w:t>
            </w:r>
          </w:p>
        </w:tc>
      </w:tr>
      <w:tr w14:paraId="01822766" w14:textId="77777777">
        <w:tblPrEx>
          <w:tblW w:w="10834" w:type="dxa"/>
          <w:tblInd w:w="-455" w:type="dxa"/>
          <w:tblLook w:val="04A0"/>
        </w:tblPrEx>
        <w:trPr>
          <w:trHeight w:val="260"/>
        </w:trPr>
        <w:tc>
          <w:tcPr>
            <w:tcW w:w="0" w:type="auto"/>
            <w:tcBorders>
              <w:top w:val="single" w:sz="4" w:space="0" w:color="auto"/>
              <w:left w:val="single" w:sz="4" w:space="0" w:color="auto"/>
              <w:bottom w:val="single" w:sz="4" w:space="0" w:color="auto"/>
              <w:right w:val="single" w:sz="4" w:space="0" w:color="auto"/>
            </w:tcBorders>
            <w:vAlign w:val="bottom"/>
            <w:hideMark/>
          </w:tcPr>
          <w:p w:rsidR="000E31C1" w:rsidRPr="000E31C1" w14:paraId="5C3282A1" w14:textId="77777777">
            <w:pPr>
              <w:rPr>
                <w:b w:val="0"/>
                <w:bCs w:val="0"/>
                <w:sz w:val="24"/>
                <w:szCs w:val="24"/>
              </w:rPr>
            </w:pPr>
            <w:r w:rsidRPr="000E31C1">
              <w:rPr>
                <w:b w:val="0"/>
                <w:bCs w:val="0"/>
                <w:sz w:val="24"/>
                <w:szCs w:val="24"/>
              </w:rPr>
              <w:t>Plans send request for audits to PBMs</w:t>
            </w:r>
          </w:p>
        </w:tc>
        <w:tc>
          <w:tcPr>
            <w:tcW w:w="0" w:type="auto"/>
            <w:tcBorders>
              <w:top w:val="single" w:sz="4" w:space="0" w:color="auto"/>
              <w:left w:val="nil"/>
              <w:bottom w:val="single" w:sz="4" w:space="0" w:color="auto"/>
              <w:right w:val="single" w:sz="4" w:space="0" w:color="auto"/>
            </w:tcBorders>
            <w:vAlign w:val="center"/>
            <w:hideMark/>
          </w:tcPr>
          <w:p w:rsidR="000E31C1" w:rsidRPr="000E31C1" w14:paraId="18CA4BDC" w14:textId="77777777">
            <w:pPr>
              <w:jc w:val="center"/>
              <w:rPr>
                <w:b w:val="0"/>
                <w:bCs w:val="0"/>
                <w:sz w:val="24"/>
                <w:szCs w:val="24"/>
              </w:rPr>
            </w:pPr>
            <w:r w:rsidRPr="000E31C1">
              <w:rPr>
                <w:b w:val="0"/>
                <w:bCs w:val="0"/>
                <w:sz w:val="24"/>
                <w:szCs w:val="24"/>
              </w:rPr>
              <w:t>131,102</w:t>
            </w:r>
          </w:p>
        </w:tc>
        <w:tc>
          <w:tcPr>
            <w:tcW w:w="2178" w:type="dxa"/>
            <w:tcBorders>
              <w:top w:val="single" w:sz="4" w:space="0" w:color="auto"/>
              <w:left w:val="nil"/>
              <w:bottom w:val="single" w:sz="4" w:space="0" w:color="auto"/>
              <w:right w:val="single" w:sz="4" w:space="0" w:color="auto"/>
            </w:tcBorders>
            <w:vAlign w:val="center"/>
            <w:hideMark/>
          </w:tcPr>
          <w:p w:rsidR="000E31C1" w:rsidRPr="000E31C1" w14:paraId="23CCE395" w14:textId="77777777">
            <w:pPr>
              <w:jc w:val="center"/>
              <w:rPr>
                <w:b w:val="0"/>
                <w:bCs w:val="0"/>
                <w:sz w:val="24"/>
                <w:szCs w:val="24"/>
              </w:rPr>
            </w:pPr>
            <w:r w:rsidRPr="000E31C1">
              <w:rPr>
                <w:b w:val="0"/>
                <w:bCs w:val="0"/>
                <w:sz w:val="24"/>
                <w:szCs w:val="24"/>
              </w:rPr>
              <w:t>33%</w:t>
            </w:r>
          </w:p>
        </w:tc>
        <w:tc>
          <w:tcPr>
            <w:tcW w:w="0" w:type="auto"/>
            <w:tcBorders>
              <w:top w:val="single" w:sz="4" w:space="0" w:color="auto"/>
              <w:left w:val="nil"/>
              <w:bottom w:val="single" w:sz="4" w:space="0" w:color="auto"/>
              <w:right w:val="single" w:sz="4" w:space="0" w:color="auto"/>
            </w:tcBorders>
            <w:noWrap/>
            <w:vAlign w:val="center"/>
            <w:hideMark/>
          </w:tcPr>
          <w:p w:rsidR="000E31C1" w:rsidRPr="000E31C1" w14:paraId="06438880" w14:textId="77777777">
            <w:pPr>
              <w:jc w:val="center"/>
              <w:rPr>
                <w:b w:val="0"/>
                <w:bCs w:val="0"/>
                <w:sz w:val="24"/>
                <w:szCs w:val="24"/>
              </w:rPr>
            </w:pPr>
            <w:r w:rsidRPr="000E31C1">
              <w:rPr>
                <w:b w:val="0"/>
                <w:bCs w:val="0"/>
                <w:sz w:val="24"/>
                <w:szCs w:val="24"/>
              </w:rPr>
              <w:t>100%</w:t>
            </w:r>
          </w:p>
        </w:tc>
        <w:tc>
          <w:tcPr>
            <w:tcW w:w="0" w:type="auto"/>
            <w:tcBorders>
              <w:top w:val="single" w:sz="4" w:space="0" w:color="auto"/>
              <w:left w:val="nil"/>
              <w:bottom w:val="single" w:sz="4" w:space="0" w:color="auto"/>
              <w:right w:val="single" w:sz="4" w:space="0" w:color="auto"/>
            </w:tcBorders>
            <w:vAlign w:val="center"/>
          </w:tcPr>
          <w:p w:rsidR="000E31C1" w:rsidRPr="000E31C1" w14:paraId="67D840E8" w14:textId="77777777">
            <w:pPr>
              <w:jc w:val="center"/>
              <w:rPr>
                <w:b w:val="0"/>
                <w:bCs w:val="0"/>
                <w:sz w:val="24"/>
                <w:szCs w:val="24"/>
              </w:rPr>
            </w:pPr>
            <w:r w:rsidRPr="000E31C1">
              <w:rPr>
                <w:b w:val="0"/>
                <w:bCs w:val="0"/>
                <w:sz w:val="24"/>
                <w:szCs w:val="24"/>
              </w:rPr>
              <w:t>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E31C1" w:rsidRPr="000E31C1" w14:paraId="6E3EFD23" w14:textId="77777777">
            <w:pPr>
              <w:jc w:val="center"/>
              <w:rPr>
                <w:b w:val="0"/>
                <w:bCs w:val="0"/>
                <w:sz w:val="24"/>
                <w:szCs w:val="24"/>
              </w:rPr>
            </w:pPr>
            <w:r w:rsidRPr="000E31C1">
              <w:rPr>
                <w:b w:val="0"/>
                <w:bCs w:val="0"/>
                <w:sz w:val="24"/>
                <w:szCs w:val="24"/>
              </w:rPr>
              <w:t>43,701</w:t>
            </w:r>
          </w:p>
        </w:tc>
      </w:tr>
      <w:tr w14:paraId="2F0F1D41" w14:textId="77777777">
        <w:tblPrEx>
          <w:tblW w:w="10834" w:type="dxa"/>
          <w:tblInd w:w="-455" w:type="dxa"/>
          <w:tblLook w:val="04A0"/>
        </w:tblPrEx>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0E31C1" w:rsidRPr="00AC00F6" w14:paraId="792E14F2" w14:textId="77777777">
            <w:pPr>
              <w:jc w:val="both"/>
              <w:rPr>
                <w:sz w:val="24"/>
                <w:szCs w:val="24"/>
              </w:rPr>
            </w:pPr>
            <w:r w:rsidRPr="00AC00F6">
              <w:rPr>
                <w:sz w:val="24"/>
                <w:szCs w:val="24"/>
              </w:rPr>
              <w:t>Total</w:t>
            </w:r>
          </w:p>
        </w:tc>
        <w:tc>
          <w:tcPr>
            <w:tcW w:w="0" w:type="auto"/>
            <w:tcBorders>
              <w:top w:val="double" w:sz="4" w:space="0" w:color="auto"/>
              <w:left w:val="nil"/>
              <w:bottom w:val="single" w:sz="4" w:space="0" w:color="auto"/>
              <w:right w:val="single" w:sz="4" w:space="0" w:color="auto"/>
            </w:tcBorders>
            <w:noWrap/>
            <w:vAlign w:val="center"/>
            <w:hideMark/>
          </w:tcPr>
          <w:p w:rsidR="000E31C1" w:rsidRPr="00AC00F6" w14:paraId="77E67E26" w14:textId="77777777">
            <w:pPr>
              <w:jc w:val="center"/>
              <w:rPr>
                <w:sz w:val="24"/>
                <w:szCs w:val="24"/>
              </w:rPr>
            </w:pPr>
            <w:r w:rsidRPr="00AC00F6">
              <w:rPr>
                <w:sz w:val="24"/>
                <w:szCs w:val="24"/>
              </w:rPr>
              <w:t>131,102</w:t>
            </w:r>
          </w:p>
        </w:tc>
        <w:tc>
          <w:tcPr>
            <w:tcW w:w="2178" w:type="dxa"/>
            <w:tcBorders>
              <w:top w:val="double" w:sz="4" w:space="0" w:color="auto"/>
              <w:left w:val="nil"/>
              <w:bottom w:val="single" w:sz="4" w:space="0" w:color="auto"/>
              <w:right w:val="single" w:sz="4" w:space="0" w:color="auto"/>
            </w:tcBorders>
            <w:noWrap/>
            <w:vAlign w:val="center"/>
            <w:hideMark/>
          </w:tcPr>
          <w:p w:rsidR="000E31C1" w:rsidRPr="00AC00F6" w14:paraId="6082754F" w14:textId="77777777">
            <w:pPr>
              <w:jc w:val="center"/>
              <w:rPr>
                <w:sz w:val="24"/>
                <w:szCs w:val="24"/>
              </w:rPr>
            </w:pPr>
            <w:r w:rsidRPr="00AC00F6">
              <w:rPr>
                <w:sz w:val="24"/>
                <w:szCs w:val="24"/>
              </w:rPr>
              <w:t>-</w:t>
            </w:r>
          </w:p>
        </w:tc>
        <w:tc>
          <w:tcPr>
            <w:tcW w:w="0" w:type="auto"/>
            <w:tcBorders>
              <w:top w:val="double" w:sz="4" w:space="0" w:color="auto"/>
              <w:left w:val="nil"/>
              <w:bottom w:val="single" w:sz="4" w:space="0" w:color="auto"/>
              <w:right w:val="single" w:sz="4" w:space="0" w:color="auto"/>
            </w:tcBorders>
            <w:noWrap/>
            <w:vAlign w:val="center"/>
            <w:hideMark/>
          </w:tcPr>
          <w:p w:rsidR="000E31C1" w:rsidRPr="00AC00F6" w14:paraId="07DB3B22" w14:textId="77777777">
            <w:pPr>
              <w:jc w:val="center"/>
              <w:rPr>
                <w:sz w:val="24"/>
                <w:szCs w:val="24"/>
              </w:rPr>
            </w:pPr>
            <w:r w:rsidRPr="00AC00F6">
              <w:rPr>
                <w:sz w:val="24"/>
                <w:szCs w:val="24"/>
              </w:rPr>
              <w:t>-</w:t>
            </w:r>
          </w:p>
        </w:tc>
        <w:tc>
          <w:tcPr>
            <w:tcW w:w="0" w:type="auto"/>
            <w:tcBorders>
              <w:top w:val="double" w:sz="4" w:space="0" w:color="auto"/>
              <w:left w:val="nil"/>
              <w:bottom w:val="single" w:sz="4" w:space="0" w:color="auto"/>
              <w:right w:val="single" w:sz="4" w:space="0" w:color="auto"/>
            </w:tcBorders>
            <w:vAlign w:val="center"/>
          </w:tcPr>
          <w:p w:rsidR="000E31C1" w:rsidRPr="00AC00F6" w14:paraId="00783C41" w14:textId="7860D4C4">
            <w:pPr>
              <w:jc w:val="center"/>
              <w:rPr>
                <w:sz w:val="24"/>
                <w:szCs w:val="24"/>
              </w:rPr>
            </w:pPr>
            <w:r w:rsidRPr="00AC00F6">
              <w:rPr>
                <w:sz w:val="24"/>
                <w:szCs w:val="24"/>
              </w:rPr>
              <w:t>-</w:t>
            </w:r>
          </w:p>
        </w:tc>
        <w:tc>
          <w:tcPr>
            <w:tcW w:w="0" w:type="auto"/>
            <w:tcBorders>
              <w:top w:val="double" w:sz="4" w:space="0" w:color="auto"/>
              <w:left w:val="single" w:sz="4" w:space="0" w:color="auto"/>
              <w:bottom w:val="single" w:sz="4" w:space="0" w:color="auto"/>
              <w:right w:val="single" w:sz="4" w:space="0" w:color="auto"/>
            </w:tcBorders>
            <w:noWrap/>
            <w:vAlign w:val="center"/>
            <w:hideMark/>
          </w:tcPr>
          <w:p w:rsidR="000E31C1" w:rsidRPr="00AC00F6" w14:paraId="1FAC463C" w14:textId="77777777">
            <w:pPr>
              <w:jc w:val="center"/>
              <w:rPr>
                <w:sz w:val="24"/>
                <w:szCs w:val="24"/>
              </w:rPr>
            </w:pPr>
            <w:r w:rsidRPr="00AC00F6">
              <w:rPr>
                <w:sz w:val="24"/>
                <w:szCs w:val="24"/>
              </w:rPr>
              <w:t>380,347</w:t>
            </w:r>
          </w:p>
        </w:tc>
      </w:tr>
    </w:tbl>
    <w:p w:rsidR="006E1899" w:rsidP="001D7974" w14:paraId="53665196" w14:textId="77777777">
      <w:pPr>
        <w:widowControl/>
        <w:tabs>
          <w:tab w:val="left" w:pos="-1440"/>
        </w:tabs>
        <w:rPr>
          <w:iCs/>
          <w:sz w:val="24"/>
          <w:szCs w:val="24"/>
        </w:rPr>
      </w:pPr>
    </w:p>
    <w:p w:rsidR="006E1899" w:rsidRPr="00CA0B11" w:rsidP="00CA0B11" w14:paraId="1E2E6FD5" w14:textId="746C08F1">
      <w:pPr>
        <w:pStyle w:val="ListParagraph"/>
        <w:widowControl/>
        <w:numPr>
          <w:ilvl w:val="0"/>
          <w:numId w:val="45"/>
        </w:numPr>
        <w:tabs>
          <w:tab w:val="left" w:pos="-1440"/>
        </w:tabs>
        <w:rPr>
          <w:sz w:val="24"/>
          <w:szCs w:val="24"/>
          <w:u w:val="single"/>
        </w:rPr>
      </w:pPr>
      <w:r w:rsidRPr="00CA0B11">
        <w:rPr>
          <w:sz w:val="24"/>
          <w:szCs w:val="24"/>
          <w:u w:val="single"/>
        </w:rPr>
        <w:t>Disclosure</w:t>
      </w:r>
      <w:r w:rsidRPr="00CA0B11" w:rsidR="00CA0B11">
        <w:rPr>
          <w:sz w:val="24"/>
          <w:szCs w:val="24"/>
          <w:u w:val="single"/>
        </w:rPr>
        <w:t xml:space="preserve"> Costs</w:t>
      </w:r>
    </w:p>
    <w:p w:rsidR="001F3B31" w:rsidP="006E1899" w14:paraId="1CDB6C26" w14:textId="77777777">
      <w:pPr>
        <w:widowControl/>
        <w:tabs>
          <w:tab w:val="left" w:pos="-1440"/>
        </w:tabs>
        <w:ind w:left="720"/>
        <w:rPr>
          <w:b w:val="0"/>
          <w:bCs w:val="0"/>
          <w:i/>
          <w:iCs/>
          <w:sz w:val="24"/>
          <w:szCs w:val="24"/>
        </w:rPr>
      </w:pPr>
    </w:p>
    <w:p w:rsidR="006E1899" w:rsidRPr="0057004B" w:rsidP="006E1899" w14:paraId="7684F73F" w14:textId="24E268CE">
      <w:pPr>
        <w:widowControl/>
        <w:tabs>
          <w:tab w:val="left" w:pos="-1440"/>
        </w:tabs>
        <w:ind w:left="720"/>
        <w:rPr>
          <w:b w:val="0"/>
          <w:bCs w:val="0"/>
          <w:i/>
          <w:iCs/>
          <w:sz w:val="24"/>
          <w:szCs w:val="24"/>
          <w:u w:val="single"/>
        </w:rPr>
      </w:pPr>
      <w:r w:rsidRPr="0057004B">
        <w:rPr>
          <w:b w:val="0"/>
          <w:bCs w:val="0"/>
          <w:i/>
          <w:iCs/>
          <w:sz w:val="24"/>
          <w:szCs w:val="24"/>
          <w:u w:val="single"/>
        </w:rPr>
        <w:t>Initial Disclosures</w:t>
      </w:r>
    </w:p>
    <w:p w:rsidR="006E1899" w:rsidP="006E1899" w14:paraId="27633EE4" w14:textId="77777777">
      <w:pPr>
        <w:widowControl/>
        <w:tabs>
          <w:tab w:val="left" w:pos="-1440"/>
        </w:tabs>
        <w:ind w:left="720"/>
        <w:rPr>
          <w:b w:val="0"/>
          <w:bCs w:val="0"/>
          <w:iCs/>
          <w:sz w:val="24"/>
          <w:szCs w:val="24"/>
        </w:rPr>
      </w:pPr>
    </w:p>
    <w:p w:rsidR="007B182C" w:rsidP="007B182C" w14:paraId="008A83E9" w14:textId="77777777">
      <w:pPr>
        <w:widowControl/>
        <w:autoSpaceDE/>
        <w:autoSpaceDN/>
        <w:adjustRightInd/>
        <w:ind w:left="720"/>
        <w:contextualSpacing/>
        <w:rPr>
          <w:rFonts w:eastAsia="Calibri"/>
          <w:sz w:val="24"/>
          <w:szCs w:val="24"/>
        </w:rPr>
      </w:pPr>
      <w:r w:rsidRPr="007B182C">
        <w:rPr>
          <w:rFonts w:eastAsia="Calibri"/>
          <w:b w:val="0"/>
          <w:bCs w:val="0"/>
          <w:sz w:val="24"/>
          <w:szCs w:val="24"/>
        </w:rPr>
        <w:t xml:space="preserve">The Department acknowledges that the final rule will impose costs associated with producing initial disclosures before a service contract or arrangement is </w:t>
      </w:r>
      <w:r w:rsidRPr="007B182C">
        <w:rPr>
          <w:rFonts w:eastAsia="Calibri"/>
          <w:b w:val="0"/>
          <w:bCs w:val="0"/>
          <w:sz w:val="24"/>
          <w:szCs w:val="24"/>
        </w:rPr>
        <w:t>entered into</w:t>
      </w:r>
      <w:r w:rsidRPr="007B182C">
        <w:rPr>
          <w:rFonts w:eastAsia="Calibri"/>
          <w:b w:val="0"/>
          <w:bCs w:val="0"/>
          <w:sz w:val="24"/>
          <w:szCs w:val="24"/>
        </w:rPr>
        <w:t>, extended or renewed. While the Department expects that much of this information will have already been provided to the self-insured group health plan under the solicitation process and in response to a Request for Proposal, it acknowledges that the rule requires additional elements to be included or expanded upon in the required disclosures. Moreover, while it is expected that PBMs have the necessary underlying information readily available, PBMs will need to prepare plan-specific disclosures such as detailed descriptions of projected compensation, payments, formulary placement incentives, and drug pricing.</w:t>
      </w:r>
      <w:r w:rsidRPr="007B182C">
        <w:rPr>
          <w:rFonts w:eastAsia="Calibri"/>
          <w:sz w:val="24"/>
          <w:szCs w:val="24"/>
        </w:rPr>
        <w:t xml:space="preserve"> </w:t>
      </w:r>
    </w:p>
    <w:p w:rsidR="007B182C" w:rsidRPr="007B182C" w:rsidP="007B182C" w14:paraId="41B5B1DF" w14:textId="77777777">
      <w:pPr>
        <w:widowControl/>
        <w:autoSpaceDE/>
        <w:autoSpaceDN/>
        <w:adjustRightInd/>
        <w:ind w:left="720"/>
        <w:contextualSpacing/>
        <w:rPr>
          <w:rFonts w:eastAsia="Calibri"/>
          <w:sz w:val="24"/>
          <w:szCs w:val="24"/>
        </w:rPr>
      </w:pPr>
    </w:p>
    <w:p w:rsidR="007B182C" w:rsidP="007B182C" w14:paraId="5CF33019" w14:textId="4B369EF9">
      <w:pPr>
        <w:widowControl/>
        <w:autoSpaceDE/>
        <w:autoSpaceDN/>
        <w:adjustRightInd/>
        <w:ind w:left="720"/>
        <w:contextualSpacing/>
        <w:rPr>
          <w:rFonts w:eastAsia="Calibri"/>
          <w:b w:val="0"/>
          <w:bCs w:val="0"/>
          <w:sz w:val="24"/>
          <w:szCs w:val="24"/>
        </w:rPr>
      </w:pPr>
      <w:r w:rsidRPr="007B182C">
        <w:rPr>
          <w:rFonts w:eastAsia="Calibri"/>
          <w:b w:val="0"/>
          <w:bCs w:val="0"/>
          <w:sz w:val="24"/>
          <w:szCs w:val="24"/>
        </w:rPr>
        <w:t xml:space="preserve">The Department assumes that disclosures for large, self-insured group health plans with 100 or more participants and beneficiaries will need to be customized. Therefore, the Department estimates that it will take 30 minutes, due to the customization and review required. Please see Table </w:t>
      </w:r>
      <w:r w:rsidR="00A33176">
        <w:rPr>
          <w:rFonts w:eastAsia="Calibri"/>
          <w:b w:val="0"/>
          <w:bCs w:val="0"/>
          <w:sz w:val="24"/>
          <w:szCs w:val="24"/>
        </w:rPr>
        <w:t>3</w:t>
      </w:r>
      <w:r w:rsidRPr="007B182C">
        <w:rPr>
          <w:rFonts w:eastAsia="Calibri"/>
          <w:b w:val="0"/>
          <w:bCs w:val="0"/>
          <w:sz w:val="24"/>
          <w:szCs w:val="24"/>
        </w:rPr>
        <w:t xml:space="preserve"> for calculations and burden.</w:t>
      </w:r>
    </w:p>
    <w:p w:rsidR="007B182C" w:rsidRPr="007B182C" w:rsidP="007B182C" w14:paraId="3CF8DABD" w14:textId="77777777">
      <w:pPr>
        <w:widowControl/>
        <w:autoSpaceDE/>
        <w:autoSpaceDN/>
        <w:adjustRightInd/>
        <w:ind w:left="720"/>
        <w:contextualSpacing/>
        <w:rPr>
          <w:rFonts w:eastAsia="Calibri"/>
          <w:b w:val="0"/>
          <w:bCs w:val="0"/>
          <w:sz w:val="24"/>
          <w:szCs w:val="24"/>
        </w:rPr>
      </w:pPr>
    </w:p>
    <w:p w:rsidR="007B182C" w:rsidRPr="007B182C" w:rsidP="007B182C" w14:paraId="78892099" w14:textId="6EB80DB1">
      <w:pPr>
        <w:widowControl/>
        <w:autoSpaceDE/>
        <w:autoSpaceDN/>
        <w:adjustRightInd/>
        <w:ind w:left="720"/>
        <w:contextualSpacing/>
        <w:rPr>
          <w:rFonts w:eastAsia="Calibri"/>
          <w:b w:val="0"/>
          <w:bCs w:val="0"/>
          <w:sz w:val="24"/>
          <w:szCs w:val="24"/>
        </w:rPr>
      </w:pPr>
      <w:r w:rsidRPr="007B182C">
        <w:rPr>
          <w:rFonts w:eastAsia="Calibri"/>
          <w:b w:val="0"/>
          <w:bCs w:val="0"/>
          <w:sz w:val="24"/>
          <w:szCs w:val="24"/>
        </w:rPr>
        <w:t>Finally, paragraph (e)(</w:t>
      </w:r>
      <w:r w:rsidR="003E63D6">
        <w:rPr>
          <w:rFonts w:eastAsia="Calibri"/>
          <w:b w:val="0"/>
          <w:bCs w:val="0"/>
          <w:sz w:val="24"/>
          <w:szCs w:val="24"/>
        </w:rPr>
        <w:t>6</w:t>
      </w:r>
      <w:r w:rsidRPr="007B182C">
        <w:rPr>
          <w:rFonts w:eastAsia="Calibri"/>
          <w:b w:val="0"/>
          <w:bCs w:val="0"/>
          <w:sz w:val="24"/>
          <w:szCs w:val="24"/>
        </w:rPr>
        <w:t xml:space="preserve">) of the </w:t>
      </w:r>
      <w:r w:rsidR="003E63D6">
        <w:rPr>
          <w:rFonts w:eastAsia="Calibri"/>
          <w:b w:val="0"/>
          <w:bCs w:val="0"/>
          <w:sz w:val="24"/>
          <w:szCs w:val="24"/>
        </w:rPr>
        <w:t>final rule</w:t>
      </w:r>
      <w:r w:rsidRPr="007B182C">
        <w:rPr>
          <w:rFonts w:eastAsia="Calibri"/>
          <w:b w:val="0"/>
          <w:bCs w:val="0"/>
          <w:sz w:val="24"/>
          <w:szCs w:val="24"/>
        </w:rPr>
        <w:t xml:space="preserve"> requires that the initial disclosure must provide that the responsible plan fiduciary will be notified in advance of any modifications to the formulary that, individually or in the aggregate, are reasonably expected to have a material impact on the reasonableness of compensation under the contract or arrangement. The Department considers that this is a regular business activity and PBMs are providing this information prior to the </w:t>
      </w:r>
      <w:r w:rsidR="00D92FAA">
        <w:rPr>
          <w:rFonts w:eastAsia="Calibri"/>
          <w:b w:val="0"/>
          <w:bCs w:val="0"/>
          <w:sz w:val="24"/>
          <w:szCs w:val="24"/>
        </w:rPr>
        <w:t>final</w:t>
      </w:r>
      <w:r w:rsidRPr="007B182C">
        <w:rPr>
          <w:rFonts w:eastAsia="Calibri"/>
          <w:b w:val="0"/>
          <w:bCs w:val="0"/>
          <w:sz w:val="24"/>
          <w:szCs w:val="24"/>
        </w:rPr>
        <w:t xml:space="preserve"> regulation. Therefore, PBMs will not incur any additional cost burden. </w:t>
      </w:r>
    </w:p>
    <w:p w:rsidR="00731A50" w:rsidRPr="00731A50" w:rsidP="00731A50" w14:paraId="564ABF33" w14:textId="77777777">
      <w:pPr>
        <w:widowControl/>
        <w:tabs>
          <w:tab w:val="left" w:pos="-1440"/>
        </w:tabs>
        <w:ind w:left="720"/>
        <w:rPr>
          <w:b w:val="0"/>
          <w:bCs w:val="0"/>
          <w:iCs/>
          <w:sz w:val="24"/>
          <w:szCs w:val="24"/>
        </w:rPr>
      </w:pPr>
    </w:p>
    <w:p w:rsidR="006E1899" w:rsidRPr="0057004B" w:rsidP="006E1899" w14:paraId="472FC1A6" w14:textId="3FE1B92F">
      <w:pPr>
        <w:widowControl/>
        <w:tabs>
          <w:tab w:val="left" w:pos="-1440"/>
        </w:tabs>
        <w:ind w:left="720"/>
        <w:rPr>
          <w:b w:val="0"/>
          <w:bCs w:val="0"/>
          <w:i/>
          <w:iCs/>
          <w:sz w:val="24"/>
          <w:szCs w:val="24"/>
          <w:u w:val="single"/>
        </w:rPr>
      </w:pPr>
      <w:r w:rsidRPr="00004420">
        <w:rPr>
          <w:b w:val="0"/>
          <w:bCs w:val="0"/>
          <w:i/>
          <w:iCs/>
          <w:sz w:val="24"/>
          <w:szCs w:val="24"/>
          <w:u w:val="single"/>
        </w:rPr>
        <w:t>Semiannual Disclosures from PBMs</w:t>
      </w:r>
    </w:p>
    <w:p w:rsidR="006E1899" w:rsidRPr="00BD40E9" w:rsidP="006E1899" w14:paraId="51400200" w14:textId="77777777">
      <w:pPr>
        <w:widowControl/>
        <w:tabs>
          <w:tab w:val="left" w:pos="-1440"/>
        </w:tabs>
        <w:ind w:left="720"/>
        <w:rPr>
          <w:b w:val="0"/>
          <w:bCs w:val="0"/>
          <w:iCs/>
          <w:sz w:val="24"/>
          <w:szCs w:val="24"/>
        </w:rPr>
      </w:pPr>
    </w:p>
    <w:p w:rsidR="0033561C" w:rsidP="0033561C" w14:paraId="151DCDA7" w14:textId="3DEB15D9">
      <w:pPr>
        <w:widowControl/>
        <w:autoSpaceDE/>
        <w:autoSpaceDN/>
        <w:adjustRightInd/>
        <w:ind w:left="720"/>
        <w:contextualSpacing/>
        <w:rPr>
          <w:rFonts w:eastAsia="Calibri"/>
          <w:b w:val="0"/>
          <w:bCs w:val="0"/>
          <w:sz w:val="24"/>
          <w:szCs w:val="24"/>
        </w:rPr>
      </w:pPr>
      <w:r w:rsidRPr="0033561C">
        <w:rPr>
          <w:rFonts w:eastAsia="Calibri"/>
          <w:b w:val="0"/>
          <w:bCs w:val="0"/>
          <w:sz w:val="24"/>
          <w:szCs w:val="24"/>
        </w:rPr>
        <w:t>The final rule requires that PBMs or covered service providers furnish disclosures on a semiannual basis (or at the request of the covered plan, quarterly) within 30 calendar days following the conclusion of each six-month period starting from the contract or arrangement initiation date, disclosing the actual compensation that the PBM or other covered service provider received or reasonably expected to receive, under the specific categories that were estimated in the initial disclosures, as discussed earlier. This includes all direct compensation, rebate payments, spread pricing, recoup</w:t>
      </w:r>
      <w:r w:rsidR="00956653">
        <w:rPr>
          <w:rFonts w:eastAsia="Calibri"/>
          <w:b w:val="0"/>
          <w:bCs w:val="0"/>
          <w:sz w:val="24"/>
          <w:szCs w:val="24"/>
        </w:rPr>
        <w:t>ments</w:t>
      </w:r>
      <w:r w:rsidRPr="0033561C">
        <w:rPr>
          <w:rFonts w:eastAsia="Calibri"/>
          <w:b w:val="0"/>
          <w:bCs w:val="0"/>
          <w:sz w:val="24"/>
          <w:szCs w:val="24"/>
        </w:rPr>
        <w:t xml:space="preserve"> from pharmac</w:t>
      </w:r>
      <w:r w:rsidR="00956653">
        <w:rPr>
          <w:rFonts w:eastAsia="Calibri"/>
          <w:b w:val="0"/>
          <w:bCs w:val="0"/>
          <w:sz w:val="24"/>
          <w:szCs w:val="24"/>
        </w:rPr>
        <w:t>ies</w:t>
      </w:r>
      <w:r w:rsidRPr="0033561C">
        <w:rPr>
          <w:rFonts w:eastAsia="Calibri"/>
          <w:b w:val="0"/>
          <w:bCs w:val="0"/>
          <w:sz w:val="24"/>
          <w:szCs w:val="24"/>
        </w:rPr>
        <w:t xml:space="preserve"> by the PBM or other covered service provider, price protection payments, and other compensation. If any category of compensation, in the aggregate, materially exceeds the corresponding estimate described in the initial disclosure, the PBM or other covered service provider must provide an identification of the amount and a reason for the overage. For this purpose, “materially” means five percent or more, or a lower dollar amount or percentage agreed to by the responsible plan fiduciary and set forth in writing in the contract or arrangement.</w:t>
      </w:r>
    </w:p>
    <w:p w:rsidR="0033561C" w:rsidRPr="0033561C" w:rsidP="0033561C" w14:paraId="26B85C64" w14:textId="77777777">
      <w:pPr>
        <w:widowControl/>
        <w:autoSpaceDE/>
        <w:autoSpaceDN/>
        <w:adjustRightInd/>
        <w:ind w:left="720"/>
        <w:contextualSpacing/>
        <w:rPr>
          <w:rFonts w:eastAsia="Calibri"/>
          <w:b w:val="0"/>
          <w:bCs w:val="0"/>
          <w:sz w:val="24"/>
          <w:szCs w:val="24"/>
        </w:rPr>
      </w:pPr>
    </w:p>
    <w:p w:rsidR="0033561C" w:rsidP="0033561C" w14:paraId="336747E6" w14:textId="165669B7">
      <w:pPr>
        <w:widowControl/>
        <w:autoSpaceDE/>
        <w:autoSpaceDN/>
        <w:adjustRightInd/>
        <w:ind w:left="720"/>
        <w:contextualSpacing/>
        <w:rPr>
          <w:rFonts w:eastAsia="Calibri"/>
          <w:b w:val="0"/>
          <w:bCs w:val="0"/>
          <w:sz w:val="24"/>
          <w:szCs w:val="24"/>
        </w:rPr>
      </w:pPr>
      <w:r w:rsidRPr="0033561C">
        <w:rPr>
          <w:rFonts w:eastAsia="Calibri"/>
          <w:b w:val="0"/>
          <w:bCs w:val="0"/>
          <w:sz w:val="24"/>
          <w:szCs w:val="24"/>
        </w:rPr>
        <w:t>It is anticipated that the PBM or other covered service provider will already possess the necessary information to fulfil this requirement, as these breakouts are already required in the initial disclosure and standard practice in PBM contracts is to regularly provide self-insured group health plans with invoices or statements that include claims payments, rebates, and administrative fees. The Department assumes these semiannual disclosures will require less time, as they often involve system-generated data, draw on similar information from initial disclosures, and rely on standardized templates. The Department assumes PBMs will rely on standardized templates and batch processing to prepare the notice. Therefore, the Department estimates that requiring PBMs to compile and disclose this information will require 15 minutes of work from a benefits specialist for compilation and distribution of the information semiannually, resulting in 30 minutes of benefit specialist time each year</w:t>
      </w:r>
      <w:r>
        <w:rPr>
          <w:rFonts w:eastAsia="Calibri"/>
          <w:b w:val="0"/>
          <w:bCs w:val="0"/>
          <w:sz w:val="24"/>
          <w:szCs w:val="24"/>
        </w:rPr>
        <w:t>.</w:t>
      </w:r>
    </w:p>
    <w:p w:rsidR="0033561C" w:rsidRPr="0033561C" w:rsidP="0033561C" w14:paraId="0EF54433" w14:textId="77777777">
      <w:pPr>
        <w:widowControl/>
        <w:autoSpaceDE/>
        <w:autoSpaceDN/>
        <w:adjustRightInd/>
        <w:ind w:left="720"/>
        <w:contextualSpacing/>
        <w:rPr>
          <w:rFonts w:eastAsia="Calibri"/>
          <w:b w:val="0"/>
          <w:bCs w:val="0"/>
          <w:sz w:val="24"/>
          <w:szCs w:val="24"/>
        </w:rPr>
      </w:pPr>
    </w:p>
    <w:p w:rsidR="0033561C" w:rsidRPr="0033561C" w:rsidP="0033561C" w14:paraId="1C3E204B" w14:textId="4CF774E2">
      <w:pPr>
        <w:widowControl/>
        <w:autoSpaceDE/>
        <w:autoSpaceDN/>
        <w:adjustRightInd/>
        <w:ind w:left="720"/>
        <w:contextualSpacing/>
        <w:rPr>
          <w:rFonts w:eastAsia="Calibri"/>
          <w:b w:val="0"/>
          <w:bCs w:val="0"/>
          <w:sz w:val="24"/>
          <w:szCs w:val="24"/>
        </w:rPr>
      </w:pPr>
      <w:r w:rsidRPr="0033561C">
        <w:rPr>
          <w:rFonts w:eastAsia="Calibri"/>
          <w:b w:val="0"/>
          <w:bCs w:val="0"/>
          <w:sz w:val="24"/>
          <w:szCs w:val="24"/>
        </w:rPr>
        <w:t xml:space="preserve">The required semiannual disclosures cover two quarters each year, leaving two quarters in which no semiannual disclosure is provided. During those remaining quarters, the Department also estimates that it will take 15 minutes of a benefit specialist’s time to prepare and distribute the requested information. Please see Table </w:t>
      </w:r>
      <w:r>
        <w:rPr>
          <w:rFonts w:eastAsia="Calibri"/>
          <w:b w:val="0"/>
          <w:bCs w:val="0"/>
          <w:sz w:val="24"/>
          <w:szCs w:val="24"/>
        </w:rPr>
        <w:t>3</w:t>
      </w:r>
      <w:r w:rsidRPr="0033561C">
        <w:rPr>
          <w:rFonts w:eastAsia="Calibri"/>
          <w:b w:val="0"/>
          <w:bCs w:val="0"/>
          <w:sz w:val="24"/>
          <w:szCs w:val="24"/>
        </w:rPr>
        <w:t xml:space="preserve"> for calculations and burden. </w:t>
      </w:r>
    </w:p>
    <w:p w:rsidR="00BD40E9" w:rsidP="005F0A7C" w14:paraId="591612D1" w14:textId="77777777">
      <w:pPr>
        <w:widowControl/>
        <w:tabs>
          <w:tab w:val="left" w:pos="-1440"/>
        </w:tabs>
        <w:rPr>
          <w:b w:val="0"/>
          <w:bCs w:val="0"/>
          <w:iCs/>
          <w:sz w:val="24"/>
          <w:szCs w:val="24"/>
        </w:rPr>
      </w:pPr>
    </w:p>
    <w:p w:rsidR="004D6B71" w:rsidRPr="004D6B71" w:rsidP="004D6B71" w14:paraId="35B2AD28" w14:textId="77777777">
      <w:pPr>
        <w:widowControl/>
        <w:tabs>
          <w:tab w:val="left" w:pos="-1440"/>
        </w:tabs>
        <w:ind w:left="720"/>
        <w:rPr>
          <w:b w:val="0"/>
          <w:bCs w:val="0"/>
          <w:i/>
          <w:iCs/>
          <w:sz w:val="24"/>
          <w:szCs w:val="24"/>
          <w:u w:val="single"/>
        </w:rPr>
      </w:pPr>
      <w:r w:rsidRPr="004D6B71">
        <w:rPr>
          <w:b w:val="0"/>
          <w:bCs w:val="0"/>
          <w:i/>
          <w:iCs/>
          <w:sz w:val="24"/>
          <w:szCs w:val="24"/>
          <w:u w:val="single"/>
        </w:rPr>
        <w:t>Information Upon Request</w:t>
      </w:r>
    </w:p>
    <w:p w:rsidR="005944CD" w:rsidP="00A9373D" w14:paraId="6B023C30" w14:textId="77777777">
      <w:pPr>
        <w:widowControl/>
        <w:tabs>
          <w:tab w:val="left" w:pos="-1440"/>
        </w:tabs>
        <w:ind w:left="720"/>
        <w:rPr>
          <w:b w:val="0"/>
          <w:bCs w:val="0"/>
          <w:iCs/>
          <w:sz w:val="24"/>
          <w:szCs w:val="24"/>
        </w:rPr>
      </w:pPr>
    </w:p>
    <w:p w:rsidR="003E1755" w:rsidRPr="003E1755" w:rsidP="003E1755" w14:paraId="2271BC13" w14:textId="6E97828A">
      <w:pPr>
        <w:ind w:left="720"/>
        <w:rPr>
          <w:b w:val="0"/>
          <w:bCs w:val="0"/>
          <w:sz w:val="24"/>
          <w:szCs w:val="24"/>
        </w:rPr>
      </w:pPr>
      <w:r w:rsidRPr="003E1755">
        <w:rPr>
          <w:b w:val="0"/>
          <w:bCs w:val="0"/>
          <w:sz w:val="24"/>
          <w:szCs w:val="24"/>
        </w:rPr>
        <w:t>Paragraph (</w:t>
      </w:r>
      <w:r w:rsidRPr="003E1755">
        <w:rPr>
          <w:b w:val="0"/>
          <w:bCs w:val="0"/>
          <w:sz w:val="24"/>
          <w:szCs w:val="24"/>
        </w:rPr>
        <w:t>i</w:t>
      </w:r>
      <w:r w:rsidRPr="003E1755">
        <w:rPr>
          <w:b w:val="0"/>
          <w:bCs w:val="0"/>
          <w:sz w:val="24"/>
          <w:szCs w:val="24"/>
        </w:rPr>
        <w:t xml:space="preserve">) of the final rule provides that, upon the written request of the responsible plan fiduciary, the covered service provider must furnish any other information relating to the contract or arrangement that is required for the self-insured group health plan to comply with the reporting and disclosure requirements of Title I of the Act and the </w:t>
      </w:r>
      <w:r w:rsidRPr="003E1755">
        <w:rPr>
          <w:b w:val="0"/>
          <w:bCs w:val="0"/>
          <w:sz w:val="24"/>
          <w:szCs w:val="24"/>
        </w:rPr>
        <w:t>regulations, forms and schedules issued thereunder. Paragraph (</w:t>
      </w:r>
      <w:r w:rsidRPr="003E1755">
        <w:rPr>
          <w:b w:val="0"/>
          <w:bCs w:val="0"/>
          <w:sz w:val="24"/>
          <w:szCs w:val="24"/>
        </w:rPr>
        <w:t>i</w:t>
      </w:r>
      <w:r w:rsidRPr="003E1755">
        <w:rPr>
          <w:b w:val="0"/>
          <w:bCs w:val="0"/>
          <w:sz w:val="24"/>
          <w:szCs w:val="24"/>
        </w:rPr>
        <w:t xml:space="preserve">)(1) requires the covered service provider to disclose the information requested reasonably in advance of the date upon which such responsible plan fiduciary states that it must comply with the applicable reporting or disclosure requirement, unless such disclosure is precluded due to extraordinary circumstances beyond the covered service provider's control, in which case the information must be disclosed as soon as practicable. The Department assumes that PBMs will rely on automated IT systems to prepare the information. Therefore, the Department estimates that it would only require 15 minutes of a benefit specialist’s time to prepare and distribute the covered information for each plan annually. Please see Table </w:t>
      </w:r>
      <w:r>
        <w:rPr>
          <w:b w:val="0"/>
          <w:bCs w:val="0"/>
          <w:sz w:val="24"/>
          <w:szCs w:val="24"/>
        </w:rPr>
        <w:t>3</w:t>
      </w:r>
      <w:r w:rsidRPr="003E1755">
        <w:rPr>
          <w:b w:val="0"/>
          <w:bCs w:val="0"/>
          <w:sz w:val="24"/>
          <w:szCs w:val="24"/>
        </w:rPr>
        <w:t xml:space="preserve"> for the estimated costs of disclosures.</w:t>
      </w:r>
    </w:p>
    <w:p w:rsidR="006E1899" w:rsidP="006E1899" w14:paraId="401EE6AC" w14:textId="77777777">
      <w:pPr>
        <w:widowControl/>
        <w:tabs>
          <w:tab w:val="left" w:pos="-1440"/>
        </w:tabs>
        <w:ind w:left="720"/>
        <w:rPr>
          <w:iCs/>
          <w:sz w:val="24"/>
          <w:szCs w:val="24"/>
        </w:rPr>
      </w:pPr>
    </w:p>
    <w:p w:rsidR="00F62BB4" w:rsidRPr="00F62BB4" w:rsidP="00F62BB4" w14:paraId="63AF5460" w14:textId="77777777">
      <w:pPr>
        <w:widowControl/>
        <w:tabs>
          <w:tab w:val="left" w:pos="-1440"/>
        </w:tabs>
        <w:ind w:left="720"/>
        <w:rPr>
          <w:b w:val="0"/>
          <w:bCs w:val="0"/>
          <w:i/>
          <w:iCs/>
          <w:sz w:val="24"/>
          <w:szCs w:val="24"/>
          <w:u w:val="single"/>
        </w:rPr>
      </w:pPr>
      <w:r w:rsidRPr="00F62BB4">
        <w:rPr>
          <w:b w:val="0"/>
          <w:bCs w:val="0"/>
          <w:i/>
          <w:iCs/>
          <w:sz w:val="24"/>
          <w:szCs w:val="24"/>
          <w:u w:val="single"/>
        </w:rPr>
        <w:t>Notice to PBMs and DOL</w:t>
      </w:r>
    </w:p>
    <w:p w:rsidR="00A9373D" w:rsidP="006E1899" w14:paraId="6079B98B" w14:textId="77777777">
      <w:pPr>
        <w:widowControl/>
        <w:tabs>
          <w:tab w:val="left" w:pos="-1440"/>
        </w:tabs>
        <w:ind w:left="720"/>
        <w:rPr>
          <w:iCs/>
          <w:sz w:val="24"/>
          <w:szCs w:val="24"/>
        </w:rPr>
      </w:pPr>
    </w:p>
    <w:p w:rsidR="004B7F20" w:rsidP="004B7F20" w14:paraId="365EF84C" w14:textId="77777777">
      <w:pPr>
        <w:widowControl/>
        <w:autoSpaceDE/>
        <w:autoSpaceDN/>
        <w:adjustRightInd/>
        <w:ind w:left="720"/>
        <w:contextualSpacing/>
        <w:rPr>
          <w:rFonts w:eastAsia="Calibri"/>
          <w:b w:val="0"/>
          <w:bCs w:val="0"/>
          <w:sz w:val="24"/>
          <w:szCs w:val="24"/>
        </w:rPr>
      </w:pPr>
      <w:r w:rsidRPr="004B7F20">
        <w:rPr>
          <w:rFonts w:eastAsia="Calibri"/>
          <w:b w:val="0"/>
          <w:bCs w:val="0"/>
          <w:sz w:val="24"/>
          <w:szCs w:val="24"/>
        </w:rPr>
        <w:t>The exemption contained in paragraph (n) of the final rule provides relief from the restrictions of ERISA section 406(a)(1)(C) and (D) for plan fiduciaries who enter into a contract or arrangement where the PBM or other covered service provider fails to comply with its obligations under the regulation. Upon discovering that a PBM or other covered service provider failed to comply, the responsible plan fiduciary must request in writing that the PBM or other covered service provider furnish the information or comply with the audit requirement. As discussed earlier, the Department assumes that 0.3 percent of arrangements may experience an omission or error that will require the responsible plan fiduciary to send the request to the PBM or other covered service provider.</w:t>
      </w:r>
      <w:r>
        <w:rPr>
          <w:rFonts w:eastAsia="Calibri"/>
          <w:b w:val="0"/>
          <w:bCs w:val="0"/>
          <w:sz w:val="24"/>
          <w:szCs w:val="24"/>
          <w:vertAlign w:val="superscript"/>
        </w:rPr>
        <w:footnoteReference w:id="30"/>
      </w:r>
      <w:r w:rsidRPr="004B7F20">
        <w:rPr>
          <w:rFonts w:eastAsia="Calibri"/>
          <w:b w:val="0"/>
          <w:bCs w:val="0"/>
          <w:sz w:val="22"/>
          <w:szCs w:val="22"/>
        </w:rPr>
        <w:t xml:space="preserve"> </w:t>
      </w:r>
      <w:r w:rsidRPr="004B7F20">
        <w:rPr>
          <w:rFonts w:eastAsia="Calibri"/>
          <w:b w:val="0"/>
          <w:bCs w:val="0"/>
          <w:sz w:val="24"/>
          <w:szCs w:val="24"/>
        </w:rPr>
        <w:t>This assumption is based on the Department’s experience that it is rare for pension plans to submit a notice under the requirement in 29 CFR 2550.408b-2. The Department also assumes that PBMs will rely on standardized templates and batch processing to prepare the notice. Therefore, the Department estimates that it will take 15 minutes of a benefit specialist’s time to prepare and send the notice.</w:t>
      </w:r>
    </w:p>
    <w:p w:rsidR="004B7F20" w:rsidRPr="004B7F20" w:rsidP="004B7F20" w14:paraId="632D835F" w14:textId="77777777">
      <w:pPr>
        <w:widowControl/>
        <w:autoSpaceDE/>
        <w:autoSpaceDN/>
        <w:adjustRightInd/>
        <w:ind w:left="720"/>
        <w:contextualSpacing/>
        <w:rPr>
          <w:rFonts w:eastAsia="Calibri"/>
          <w:b w:val="0"/>
          <w:bCs w:val="0"/>
          <w:sz w:val="24"/>
          <w:szCs w:val="24"/>
        </w:rPr>
      </w:pPr>
    </w:p>
    <w:p w:rsidR="004B7F20" w:rsidRPr="004B7F20" w:rsidP="004B7F20" w14:paraId="74685213" w14:textId="6EBF8A28">
      <w:pPr>
        <w:widowControl/>
        <w:autoSpaceDE/>
        <w:autoSpaceDN/>
        <w:adjustRightInd/>
        <w:ind w:left="720"/>
        <w:contextualSpacing/>
        <w:rPr>
          <w:rFonts w:eastAsia="Calibri"/>
          <w:b w:val="0"/>
          <w:bCs w:val="0"/>
          <w:sz w:val="24"/>
          <w:szCs w:val="24"/>
        </w:rPr>
      </w:pPr>
      <w:r w:rsidRPr="004B7F20">
        <w:rPr>
          <w:rFonts w:eastAsia="Calibri"/>
          <w:b w:val="0"/>
          <w:bCs w:val="0"/>
          <w:sz w:val="24"/>
          <w:szCs w:val="24"/>
        </w:rPr>
        <w:t xml:space="preserve">If the PBM or other covered service provider does not respond within 90 calendar days, the responsible plan fiduciary must notify the Department and further must assess whether to terminate or continue the service contract or arrangement consistent with the duty of prudence under section 404 of ERISA, including documenting the basis for that determination. As discussed earlier, the Department assumes that approximately 10 notices will be submitted. </w:t>
      </w:r>
      <w:r w:rsidRPr="004B7F20">
        <w:rPr>
          <w:rFonts w:eastAsia="Calibri"/>
          <w:b w:val="0"/>
          <w:bCs w:val="0"/>
          <w:sz w:val="24"/>
          <w:szCs w:val="24"/>
        </w:rPr>
        <w:t>Similar to</w:t>
      </w:r>
      <w:r w:rsidRPr="004B7F20">
        <w:rPr>
          <w:rFonts w:eastAsia="Calibri"/>
          <w:b w:val="0"/>
          <w:bCs w:val="0"/>
          <w:sz w:val="24"/>
          <w:szCs w:val="24"/>
        </w:rPr>
        <w:t xml:space="preserve"> other notices, the Department assumes that PBMs will rely on standardized templates and batch processing to prepare the notice. Therefore, the Department estimates that it will take 15 minutes of a benefit specialist’s time to document the basis for the determination, and 15 minutes of a benefit specialist’s time to prepare and send the notice. Please see Table </w:t>
      </w:r>
      <w:r>
        <w:rPr>
          <w:rFonts w:eastAsia="Calibri"/>
          <w:b w:val="0"/>
          <w:bCs w:val="0"/>
          <w:sz w:val="24"/>
          <w:szCs w:val="24"/>
        </w:rPr>
        <w:t>3</w:t>
      </w:r>
      <w:r w:rsidRPr="004B7F20">
        <w:rPr>
          <w:rFonts w:eastAsia="Calibri"/>
          <w:b w:val="0"/>
          <w:bCs w:val="0"/>
          <w:sz w:val="24"/>
          <w:szCs w:val="24"/>
        </w:rPr>
        <w:t xml:space="preserve"> for the estimated costs of disclosures. </w:t>
      </w:r>
    </w:p>
    <w:p w:rsidR="00616FD4" w:rsidRPr="0019585A" w:rsidP="00616FD4" w14:paraId="694A622A" w14:textId="77777777">
      <w:pPr>
        <w:rPr>
          <w:sz w:val="24"/>
          <w:szCs w:val="24"/>
        </w:rPr>
      </w:pPr>
    </w:p>
    <w:p w:rsidR="00D05E1F" w:rsidRPr="00875070" w:rsidP="00CA7375" w14:paraId="1B06B73A" w14:textId="2D959FCB">
      <w:pPr>
        <w:pStyle w:val="Heading3"/>
        <w:rPr>
          <w:szCs w:val="24"/>
        </w:rPr>
      </w:pPr>
      <w:r w:rsidRPr="00875070">
        <w:rPr>
          <w:szCs w:val="24"/>
        </w:rPr>
        <w:t xml:space="preserve">TABLE </w:t>
      </w:r>
      <w:r w:rsidRPr="00875070" w:rsidR="00CA7375">
        <w:rPr>
          <w:szCs w:val="24"/>
        </w:rPr>
        <w:t>3</w:t>
      </w:r>
      <w:r w:rsidRPr="00875070">
        <w:rPr>
          <w:szCs w:val="24"/>
        </w:rPr>
        <w:t>. Annual Disclosure Costs</w:t>
      </w:r>
    </w:p>
    <w:p w:rsidR="00D05E1F" w:rsidP="006E1899" w14:paraId="54791708" w14:textId="77777777">
      <w:pPr>
        <w:widowControl/>
        <w:tabs>
          <w:tab w:val="left" w:pos="-1440"/>
        </w:tabs>
        <w:ind w:left="720"/>
        <w:rPr>
          <w:b w:val="0"/>
          <w:bCs w:val="0"/>
          <w:iCs/>
          <w:sz w:val="24"/>
          <w:szCs w:val="24"/>
        </w:rPr>
      </w:pPr>
    </w:p>
    <w:tbl>
      <w:tblPr>
        <w:tblW w:w="9810" w:type="dxa"/>
        <w:tblInd w:w="-5" w:type="dxa"/>
        <w:tblLayout w:type="fixed"/>
        <w:tblLook w:val="04A0"/>
      </w:tblPr>
      <w:tblGrid>
        <w:gridCol w:w="2481"/>
        <w:gridCol w:w="1288"/>
        <w:gridCol w:w="1034"/>
        <w:gridCol w:w="1714"/>
        <w:gridCol w:w="1373"/>
        <w:gridCol w:w="1920"/>
      </w:tblGrid>
      <w:tr w14:paraId="3949CB7D" w14:textId="77777777" w:rsidTr="00B10ECF">
        <w:tblPrEx>
          <w:tblW w:w="9810" w:type="dxa"/>
          <w:tblInd w:w="-5" w:type="dxa"/>
          <w:tblLayout w:type="fixed"/>
          <w:tblLook w:val="04A0"/>
        </w:tblPrEx>
        <w:trPr>
          <w:trHeight w:val="1755"/>
        </w:trPr>
        <w:tc>
          <w:tcPr>
            <w:tcW w:w="2481" w:type="dxa"/>
            <w:tcBorders>
              <w:top w:val="single" w:sz="4" w:space="0" w:color="auto"/>
              <w:left w:val="single" w:sz="4" w:space="0" w:color="auto"/>
              <w:bottom w:val="single" w:sz="4" w:space="0" w:color="auto"/>
              <w:right w:val="single" w:sz="4" w:space="0" w:color="auto"/>
            </w:tcBorders>
            <w:noWrap/>
            <w:vAlign w:val="bottom"/>
            <w:hideMark/>
          </w:tcPr>
          <w:p w:rsidR="00397616" w:rsidRPr="00EE7408" w14:paraId="209A6F1C" w14:textId="77777777">
            <w:pPr>
              <w:jc w:val="center"/>
              <w:rPr>
                <w:kern w:val="2"/>
                <w:sz w:val="24"/>
                <w:szCs w:val="24"/>
                <w14:ligatures w14:val="standardContextual"/>
              </w:rPr>
            </w:pPr>
          </w:p>
        </w:tc>
        <w:tc>
          <w:tcPr>
            <w:tcW w:w="1288" w:type="dxa"/>
            <w:tcBorders>
              <w:top w:val="single" w:sz="4" w:space="0" w:color="auto"/>
              <w:left w:val="nil"/>
              <w:bottom w:val="single" w:sz="4" w:space="0" w:color="auto"/>
              <w:right w:val="single" w:sz="4" w:space="0" w:color="auto"/>
            </w:tcBorders>
            <w:vAlign w:val="center"/>
            <w:hideMark/>
          </w:tcPr>
          <w:p w:rsidR="00397616" w:rsidRPr="00EE7408" w14:paraId="5FA540D0" w14:textId="77777777">
            <w:pPr>
              <w:jc w:val="center"/>
              <w:rPr>
                <w:kern w:val="2"/>
                <w:sz w:val="24"/>
                <w:szCs w:val="24"/>
                <w14:ligatures w14:val="standardContextual"/>
              </w:rPr>
            </w:pPr>
            <w:r w:rsidRPr="00EE7408">
              <w:rPr>
                <w:kern w:val="2"/>
                <w:sz w:val="24"/>
                <w:szCs w:val="24"/>
                <w14:ligatures w14:val="standardContextual"/>
              </w:rPr>
              <w:t xml:space="preserve">Number of Notices </w:t>
            </w:r>
          </w:p>
        </w:tc>
        <w:tc>
          <w:tcPr>
            <w:tcW w:w="1034" w:type="dxa"/>
            <w:tcBorders>
              <w:top w:val="single" w:sz="4" w:space="0" w:color="auto"/>
              <w:left w:val="nil"/>
              <w:bottom w:val="single" w:sz="4" w:space="0" w:color="auto"/>
              <w:right w:val="single" w:sz="4" w:space="0" w:color="auto"/>
            </w:tcBorders>
            <w:vAlign w:val="center"/>
            <w:hideMark/>
          </w:tcPr>
          <w:p w:rsidR="00397616" w:rsidRPr="00EE7408" w14:paraId="61B45BE1" w14:textId="77777777">
            <w:pPr>
              <w:jc w:val="center"/>
              <w:rPr>
                <w:kern w:val="2"/>
                <w:sz w:val="24"/>
                <w:szCs w:val="24"/>
                <w14:ligatures w14:val="standardContextual"/>
              </w:rPr>
            </w:pPr>
            <w:r w:rsidRPr="00EE7408">
              <w:rPr>
                <w:kern w:val="2"/>
                <w:sz w:val="24"/>
                <w:szCs w:val="24"/>
                <w14:ligatures w14:val="standardContextual"/>
              </w:rPr>
              <w:t>Number of Hours Per Notice</w:t>
            </w:r>
          </w:p>
        </w:tc>
        <w:tc>
          <w:tcPr>
            <w:tcW w:w="1714" w:type="dxa"/>
            <w:tcBorders>
              <w:top w:val="single" w:sz="4" w:space="0" w:color="auto"/>
              <w:left w:val="nil"/>
              <w:bottom w:val="single" w:sz="4" w:space="0" w:color="auto"/>
              <w:right w:val="single" w:sz="4" w:space="0" w:color="auto"/>
            </w:tcBorders>
            <w:vAlign w:val="center"/>
            <w:hideMark/>
          </w:tcPr>
          <w:p w:rsidR="00397616" w:rsidRPr="00EE7408" w14:paraId="5F35AB4A" w14:textId="77777777">
            <w:pPr>
              <w:jc w:val="center"/>
              <w:rPr>
                <w:kern w:val="2"/>
                <w:sz w:val="24"/>
                <w:szCs w:val="24"/>
                <w14:ligatures w14:val="standardContextual"/>
              </w:rPr>
            </w:pPr>
            <w:r w:rsidRPr="00EE7408">
              <w:rPr>
                <w:kern w:val="2"/>
                <w:sz w:val="24"/>
                <w:szCs w:val="24"/>
                <w14:ligatures w14:val="standardContextual"/>
              </w:rPr>
              <w:t>Total Hour Burden</w:t>
            </w:r>
          </w:p>
        </w:tc>
        <w:tc>
          <w:tcPr>
            <w:tcW w:w="1373" w:type="dxa"/>
            <w:tcBorders>
              <w:top w:val="single" w:sz="4" w:space="0" w:color="auto"/>
              <w:left w:val="nil"/>
              <w:bottom w:val="single" w:sz="4" w:space="0" w:color="auto"/>
              <w:right w:val="single" w:sz="4" w:space="0" w:color="auto"/>
            </w:tcBorders>
            <w:vAlign w:val="center"/>
            <w:hideMark/>
          </w:tcPr>
          <w:p w:rsidR="00397616" w:rsidRPr="00EE7408" w14:paraId="28F92CF2" w14:textId="77777777">
            <w:pPr>
              <w:jc w:val="center"/>
              <w:rPr>
                <w:kern w:val="2"/>
                <w:sz w:val="24"/>
                <w:szCs w:val="24"/>
                <w14:ligatures w14:val="standardContextual"/>
              </w:rPr>
            </w:pPr>
            <w:r w:rsidRPr="00EE7408">
              <w:rPr>
                <w:kern w:val="2"/>
                <w:sz w:val="24"/>
                <w:szCs w:val="24"/>
                <w14:ligatures w14:val="standardContextual"/>
              </w:rPr>
              <w:t>Hourly Wage Rate</w:t>
            </w:r>
          </w:p>
        </w:tc>
        <w:tc>
          <w:tcPr>
            <w:tcW w:w="1920" w:type="dxa"/>
            <w:tcBorders>
              <w:top w:val="single" w:sz="4" w:space="0" w:color="auto"/>
              <w:left w:val="nil"/>
              <w:bottom w:val="single" w:sz="4" w:space="0" w:color="auto"/>
              <w:right w:val="single" w:sz="4" w:space="0" w:color="auto"/>
            </w:tcBorders>
            <w:vAlign w:val="center"/>
            <w:hideMark/>
          </w:tcPr>
          <w:p w:rsidR="00397616" w:rsidRPr="00EE7408" w14:paraId="7A3E0B70" w14:textId="77777777">
            <w:pPr>
              <w:jc w:val="center"/>
              <w:rPr>
                <w:kern w:val="2"/>
                <w:sz w:val="24"/>
                <w:szCs w:val="24"/>
                <w14:ligatures w14:val="standardContextual"/>
              </w:rPr>
            </w:pPr>
            <w:r w:rsidRPr="00EE7408">
              <w:rPr>
                <w:kern w:val="2"/>
                <w:sz w:val="24"/>
                <w:szCs w:val="24"/>
                <w14:ligatures w14:val="standardContextual"/>
              </w:rPr>
              <w:t>Cost Equivalent of Hour Burden</w:t>
            </w:r>
          </w:p>
        </w:tc>
      </w:tr>
      <w:tr w14:paraId="55B21BB9" w14:textId="77777777" w:rsidTr="00B10ECF">
        <w:tblPrEx>
          <w:tblW w:w="9810" w:type="dxa"/>
          <w:tblInd w:w="-5" w:type="dxa"/>
          <w:tblLayout w:type="fixed"/>
          <w:tblLook w:val="04A0"/>
        </w:tblPrEx>
        <w:trPr>
          <w:trHeight w:val="521"/>
        </w:trPr>
        <w:tc>
          <w:tcPr>
            <w:tcW w:w="2481" w:type="dxa"/>
            <w:tcBorders>
              <w:top w:val="single" w:sz="4" w:space="0" w:color="auto"/>
              <w:left w:val="single" w:sz="4" w:space="0" w:color="auto"/>
              <w:bottom w:val="single" w:sz="4" w:space="0" w:color="auto"/>
              <w:right w:val="single" w:sz="4" w:space="0" w:color="auto"/>
            </w:tcBorders>
            <w:noWrap/>
            <w:vAlign w:val="bottom"/>
          </w:tcPr>
          <w:p w:rsidR="00397616" w:rsidRPr="00EE7408" w14:paraId="5F10415E" w14:textId="77777777">
            <w:pPr>
              <w:jc w:val="center"/>
              <w:rPr>
                <w:kern w:val="2"/>
                <w:sz w:val="24"/>
                <w:szCs w:val="24"/>
                <w14:ligatures w14:val="standardContextual"/>
              </w:rPr>
            </w:pPr>
          </w:p>
        </w:tc>
        <w:tc>
          <w:tcPr>
            <w:tcW w:w="1288" w:type="dxa"/>
            <w:tcBorders>
              <w:top w:val="single" w:sz="4" w:space="0" w:color="auto"/>
              <w:left w:val="nil"/>
              <w:bottom w:val="single" w:sz="4" w:space="0" w:color="auto"/>
              <w:right w:val="single" w:sz="4" w:space="0" w:color="auto"/>
            </w:tcBorders>
            <w:vAlign w:val="center"/>
          </w:tcPr>
          <w:p w:rsidR="00397616" w:rsidRPr="00EE7408" w14:paraId="0DA88D84" w14:textId="77777777">
            <w:pPr>
              <w:jc w:val="center"/>
              <w:rPr>
                <w:kern w:val="2"/>
                <w:sz w:val="24"/>
                <w:szCs w:val="24"/>
                <w14:ligatures w14:val="standardContextual"/>
              </w:rPr>
            </w:pPr>
            <w:r w:rsidRPr="00EE7408">
              <w:rPr>
                <w:kern w:val="2"/>
                <w:sz w:val="24"/>
                <w:szCs w:val="24"/>
                <w14:ligatures w14:val="standardContextual"/>
              </w:rPr>
              <w:t>(A)</w:t>
            </w:r>
          </w:p>
        </w:tc>
        <w:tc>
          <w:tcPr>
            <w:tcW w:w="1034" w:type="dxa"/>
            <w:tcBorders>
              <w:top w:val="single" w:sz="4" w:space="0" w:color="auto"/>
              <w:left w:val="nil"/>
              <w:bottom w:val="single" w:sz="4" w:space="0" w:color="auto"/>
              <w:right w:val="single" w:sz="4" w:space="0" w:color="auto"/>
            </w:tcBorders>
            <w:vAlign w:val="center"/>
          </w:tcPr>
          <w:p w:rsidR="00397616" w:rsidRPr="00EE7408" w14:paraId="1649B6AE" w14:textId="77777777">
            <w:pPr>
              <w:jc w:val="center"/>
              <w:rPr>
                <w:kern w:val="2"/>
                <w:sz w:val="24"/>
                <w:szCs w:val="24"/>
                <w14:ligatures w14:val="standardContextual"/>
              </w:rPr>
            </w:pPr>
            <w:r w:rsidRPr="00EE7408">
              <w:rPr>
                <w:kern w:val="2"/>
                <w:sz w:val="24"/>
                <w:szCs w:val="24"/>
                <w14:ligatures w14:val="standardContextual"/>
              </w:rPr>
              <w:t>(B)</w:t>
            </w:r>
          </w:p>
        </w:tc>
        <w:tc>
          <w:tcPr>
            <w:tcW w:w="1714" w:type="dxa"/>
            <w:tcBorders>
              <w:top w:val="single" w:sz="4" w:space="0" w:color="auto"/>
              <w:left w:val="nil"/>
              <w:bottom w:val="single" w:sz="4" w:space="0" w:color="auto"/>
              <w:right w:val="single" w:sz="4" w:space="0" w:color="auto"/>
            </w:tcBorders>
            <w:vAlign w:val="center"/>
          </w:tcPr>
          <w:p w:rsidR="00397616" w:rsidRPr="00EE7408" w14:paraId="24F1EDC1" w14:textId="77777777">
            <w:pPr>
              <w:jc w:val="center"/>
              <w:rPr>
                <w:kern w:val="2"/>
                <w:sz w:val="24"/>
                <w:szCs w:val="24"/>
                <w14:ligatures w14:val="standardContextual"/>
              </w:rPr>
            </w:pPr>
            <w:r w:rsidRPr="00EE7408">
              <w:rPr>
                <w:kern w:val="2"/>
                <w:sz w:val="24"/>
                <w:szCs w:val="24"/>
                <w14:ligatures w14:val="standardContextual"/>
              </w:rPr>
              <w:t>(C) = (A x B)</w:t>
            </w:r>
          </w:p>
        </w:tc>
        <w:tc>
          <w:tcPr>
            <w:tcW w:w="1373" w:type="dxa"/>
            <w:tcBorders>
              <w:top w:val="single" w:sz="4" w:space="0" w:color="auto"/>
              <w:left w:val="nil"/>
              <w:bottom w:val="single" w:sz="4" w:space="0" w:color="auto"/>
              <w:right w:val="single" w:sz="4" w:space="0" w:color="auto"/>
            </w:tcBorders>
            <w:vAlign w:val="center"/>
          </w:tcPr>
          <w:p w:rsidR="00397616" w:rsidRPr="00EE7408" w14:paraId="703AD5F5" w14:textId="77777777">
            <w:pPr>
              <w:jc w:val="center"/>
              <w:rPr>
                <w:kern w:val="2"/>
                <w:sz w:val="24"/>
                <w:szCs w:val="24"/>
                <w14:ligatures w14:val="standardContextual"/>
              </w:rPr>
            </w:pPr>
            <w:r w:rsidRPr="00EE7408">
              <w:rPr>
                <w:kern w:val="2"/>
                <w:sz w:val="24"/>
                <w:szCs w:val="24"/>
                <w14:ligatures w14:val="standardContextual"/>
              </w:rPr>
              <w:t>(D)</w:t>
            </w:r>
          </w:p>
        </w:tc>
        <w:tc>
          <w:tcPr>
            <w:tcW w:w="1920" w:type="dxa"/>
            <w:tcBorders>
              <w:top w:val="single" w:sz="4" w:space="0" w:color="auto"/>
              <w:left w:val="nil"/>
              <w:bottom w:val="single" w:sz="4" w:space="0" w:color="auto"/>
              <w:right w:val="single" w:sz="4" w:space="0" w:color="auto"/>
            </w:tcBorders>
            <w:vAlign w:val="center"/>
          </w:tcPr>
          <w:p w:rsidR="00397616" w:rsidRPr="00EE7408" w14:paraId="1C2F17D6" w14:textId="77777777">
            <w:pPr>
              <w:jc w:val="center"/>
              <w:rPr>
                <w:kern w:val="2"/>
                <w:sz w:val="24"/>
                <w:szCs w:val="24"/>
                <w14:ligatures w14:val="standardContextual"/>
              </w:rPr>
            </w:pPr>
            <w:r w:rsidRPr="00EE7408">
              <w:rPr>
                <w:kern w:val="2"/>
                <w:sz w:val="24"/>
                <w:szCs w:val="24"/>
                <w14:ligatures w14:val="standardContextual"/>
              </w:rPr>
              <w:t>(E) = (C x D)</w:t>
            </w:r>
          </w:p>
        </w:tc>
      </w:tr>
      <w:tr w14:paraId="69C05F67" w14:textId="77777777" w:rsidTr="00B10ECF">
        <w:tblPrEx>
          <w:tblW w:w="9810" w:type="dxa"/>
          <w:tblInd w:w="-5" w:type="dxa"/>
          <w:tblLayout w:type="fixed"/>
          <w:tblLook w:val="04A0"/>
        </w:tblPrEx>
        <w:trPr>
          <w:trHeight w:val="270"/>
        </w:trPr>
        <w:tc>
          <w:tcPr>
            <w:tcW w:w="9810" w:type="dxa"/>
            <w:gridSpan w:val="6"/>
            <w:tcBorders>
              <w:top w:val="single" w:sz="4" w:space="0" w:color="auto"/>
              <w:left w:val="single" w:sz="4" w:space="0" w:color="auto"/>
              <w:bottom w:val="single" w:sz="4" w:space="0" w:color="auto"/>
              <w:right w:val="single" w:sz="4" w:space="0" w:color="auto"/>
            </w:tcBorders>
            <w:noWrap/>
            <w:vAlign w:val="bottom"/>
            <w:hideMark/>
          </w:tcPr>
          <w:p w:rsidR="00397616" w:rsidRPr="00EE7408" w14:paraId="2CDE5DC7" w14:textId="77777777">
            <w:pPr>
              <w:jc w:val="center"/>
              <w:rPr>
                <w:kern w:val="2"/>
                <w:sz w:val="24"/>
                <w:szCs w:val="24"/>
                <w:u w:val="single"/>
                <w14:ligatures w14:val="standardContextual"/>
              </w:rPr>
            </w:pPr>
            <w:r w:rsidRPr="00EE7408">
              <w:rPr>
                <w:kern w:val="2"/>
                <w:sz w:val="24"/>
                <w:szCs w:val="24"/>
                <w:u w:val="single"/>
                <w14:ligatures w14:val="standardContextual"/>
              </w:rPr>
              <w:t>PBMs send disclosures to self-insured group health plans with 100 or more participants and beneficiaries</w:t>
            </w:r>
          </w:p>
        </w:tc>
      </w:tr>
      <w:tr w14:paraId="1704AA48" w14:textId="77777777" w:rsidTr="00B10ECF">
        <w:tblPrEx>
          <w:tblW w:w="9810" w:type="dxa"/>
          <w:tblInd w:w="-5" w:type="dxa"/>
          <w:tblLayout w:type="fixed"/>
          <w:tblLook w:val="04A0"/>
        </w:tblPrEx>
        <w:trPr>
          <w:trHeight w:val="310"/>
        </w:trPr>
        <w:tc>
          <w:tcPr>
            <w:tcW w:w="9810" w:type="dxa"/>
            <w:gridSpan w:val="6"/>
            <w:tcBorders>
              <w:top w:val="nil"/>
              <w:left w:val="single" w:sz="4" w:space="0" w:color="auto"/>
              <w:bottom w:val="single" w:sz="4" w:space="0" w:color="auto"/>
              <w:right w:val="single" w:sz="4" w:space="0" w:color="auto"/>
            </w:tcBorders>
            <w:noWrap/>
            <w:vAlign w:val="bottom"/>
            <w:hideMark/>
          </w:tcPr>
          <w:p w:rsidR="00397616" w:rsidRPr="00397616" w14:paraId="1418D088" w14:textId="77777777">
            <w:pPr>
              <w:jc w:val="both"/>
              <w:rPr>
                <w:b w:val="0"/>
                <w:bCs w:val="0"/>
                <w:i/>
                <w:iCs/>
                <w:sz w:val="24"/>
                <w:szCs w:val="24"/>
                <w:u w:val="single"/>
              </w:rPr>
            </w:pPr>
            <w:r w:rsidRPr="00397616">
              <w:rPr>
                <w:b w:val="0"/>
                <w:bCs w:val="0"/>
                <w:i/>
                <w:iCs/>
                <w:sz w:val="24"/>
                <w:szCs w:val="24"/>
                <w:u w:val="single"/>
              </w:rPr>
              <w:t>PBMs provide initial disclosures to self-insured group health plans</w:t>
            </w:r>
          </w:p>
        </w:tc>
      </w:tr>
      <w:tr w14:paraId="6B9C1468" w14:textId="77777777" w:rsidTr="00B10ECF">
        <w:tblPrEx>
          <w:tblW w:w="9810" w:type="dxa"/>
          <w:tblInd w:w="-5" w:type="dxa"/>
          <w:tblLayout w:type="fixed"/>
          <w:tblLook w:val="04A0"/>
        </w:tblPrEx>
        <w:trPr>
          <w:trHeight w:val="476"/>
        </w:trPr>
        <w:tc>
          <w:tcPr>
            <w:tcW w:w="2481" w:type="dxa"/>
            <w:tcBorders>
              <w:top w:val="single" w:sz="4" w:space="0" w:color="auto"/>
              <w:left w:val="single" w:sz="4" w:space="0" w:color="auto"/>
              <w:bottom w:val="single" w:sz="4" w:space="0" w:color="auto"/>
              <w:right w:val="single" w:sz="4" w:space="0" w:color="auto"/>
            </w:tcBorders>
            <w:vAlign w:val="bottom"/>
          </w:tcPr>
          <w:p w:rsidR="00397616" w:rsidRPr="00397616" w14:paraId="29053A77" w14:textId="77777777">
            <w:pPr>
              <w:rPr>
                <w:b w:val="0"/>
                <w:bCs w:val="0"/>
                <w:kern w:val="2"/>
                <w:sz w:val="24"/>
                <w:szCs w:val="24"/>
                <w14:ligatures w14:val="standardContextual"/>
              </w:rPr>
            </w:pPr>
            <w:r w:rsidRPr="00397616">
              <w:rPr>
                <w:b w:val="0"/>
                <w:bCs w:val="0"/>
                <w:kern w:val="2"/>
                <w:sz w:val="24"/>
                <w:szCs w:val="24"/>
                <w14:ligatures w14:val="standardContextual"/>
              </w:rPr>
              <w:t xml:space="preserve">Legal professionals and benefit specialists prepare disclosures for self-insured group health plans </w:t>
            </w:r>
          </w:p>
        </w:tc>
        <w:tc>
          <w:tcPr>
            <w:tcW w:w="1288" w:type="dxa"/>
            <w:tcBorders>
              <w:top w:val="single" w:sz="4" w:space="0" w:color="auto"/>
              <w:left w:val="single" w:sz="4" w:space="0" w:color="auto"/>
              <w:bottom w:val="single" w:sz="4" w:space="0" w:color="auto"/>
              <w:right w:val="single" w:sz="4" w:space="0" w:color="auto"/>
            </w:tcBorders>
            <w:noWrap/>
            <w:vAlign w:val="center"/>
          </w:tcPr>
          <w:p w:rsidR="00397616" w:rsidRPr="00397616" w14:paraId="48A0A472"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43,701</w:t>
            </w:r>
          </w:p>
        </w:tc>
        <w:tc>
          <w:tcPr>
            <w:tcW w:w="1034" w:type="dxa"/>
            <w:tcBorders>
              <w:top w:val="single" w:sz="4" w:space="0" w:color="auto"/>
              <w:left w:val="nil"/>
              <w:bottom w:val="single" w:sz="4" w:space="0" w:color="auto"/>
              <w:right w:val="single" w:sz="4" w:space="0" w:color="auto"/>
            </w:tcBorders>
            <w:noWrap/>
            <w:vAlign w:val="center"/>
          </w:tcPr>
          <w:p w:rsidR="00397616" w:rsidRPr="00397616" w14:paraId="55D1929D"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0.50</w:t>
            </w:r>
          </w:p>
        </w:tc>
        <w:tc>
          <w:tcPr>
            <w:tcW w:w="1714" w:type="dxa"/>
            <w:tcBorders>
              <w:top w:val="single" w:sz="4" w:space="0" w:color="auto"/>
              <w:left w:val="nil"/>
              <w:bottom w:val="single" w:sz="4" w:space="0" w:color="auto"/>
              <w:right w:val="single" w:sz="4" w:space="0" w:color="auto"/>
            </w:tcBorders>
            <w:noWrap/>
            <w:vAlign w:val="center"/>
          </w:tcPr>
          <w:p w:rsidR="00397616" w:rsidRPr="00397616" w14:paraId="63F26BC5"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21,851</w:t>
            </w:r>
          </w:p>
        </w:tc>
        <w:tc>
          <w:tcPr>
            <w:tcW w:w="1373" w:type="dxa"/>
            <w:tcBorders>
              <w:top w:val="single" w:sz="4" w:space="0" w:color="auto"/>
              <w:left w:val="nil"/>
              <w:bottom w:val="single" w:sz="4" w:space="0" w:color="auto"/>
              <w:right w:val="single" w:sz="4" w:space="0" w:color="auto"/>
            </w:tcBorders>
            <w:noWrap/>
            <w:vAlign w:val="center"/>
          </w:tcPr>
          <w:p w:rsidR="00397616" w:rsidRPr="00397616" w14:paraId="661D637E"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$156.16</w:t>
            </w:r>
          </w:p>
        </w:tc>
        <w:tc>
          <w:tcPr>
            <w:tcW w:w="1920" w:type="dxa"/>
            <w:tcBorders>
              <w:top w:val="single" w:sz="4" w:space="0" w:color="auto"/>
              <w:left w:val="nil"/>
              <w:bottom w:val="single" w:sz="4" w:space="0" w:color="auto"/>
              <w:right w:val="single" w:sz="4" w:space="0" w:color="auto"/>
            </w:tcBorders>
            <w:noWrap/>
            <w:vAlign w:val="center"/>
          </w:tcPr>
          <w:p w:rsidR="00397616" w:rsidRPr="00397616" w14:paraId="107ECD71"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$3,412,174</w:t>
            </w:r>
          </w:p>
        </w:tc>
      </w:tr>
      <w:tr w14:paraId="54508955" w14:textId="77777777" w:rsidTr="00B10ECF">
        <w:tblPrEx>
          <w:tblW w:w="9810" w:type="dxa"/>
          <w:tblInd w:w="-5" w:type="dxa"/>
          <w:tblLayout w:type="fixed"/>
          <w:tblLook w:val="04A0"/>
        </w:tblPrEx>
        <w:trPr>
          <w:trHeight w:val="233"/>
        </w:trPr>
        <w:tc>
          <w:tcPr>
            <w:tcW w:w="9810" w:type="dxa"/>
            <w:gridSpan w:val="6"/>
            <w:tcBorders>
              <w:top w:val="single" w:sz="4" w:space="0" w:color="auto"/>
              <w:left w:val="single" w:sz="4" w:space="0" w:color="auto"/>
              <w:bottom w:val="single" w:sz="4" w:space="0" w:color="auto"/>
              <w:right w:val="single" w:sz="4" w:space="0" w:color="auto"/>
            </w:tcBorders>
            <w:noWrap/>
            <w:vAlign w:val="bottom"/>
            <w:hideMark/>
          </w:tcPr>
          <w:p w:rsidR="00397616" w:rsidRPr="00397616" w14:paraId="5DC7C800" w14:textId="77777777">
            <w:pPr>
              <w:rPr>
                <w:b w:val="0"/>
                <w:bCs w:val="0"/>
                <w:i/>
                <w:iCs/>
                <w:kern w:val="2"/>
                <w:sz w:val="24"/>
                <w:szCs w:val="24"/>
                <w:u w:val="single"/>
                <w14:ligatures w14:val="standardContextual"/>
              </w:rPr>
            </w:pPr>
            <w:r w:rsidRPr="00397616">
              <w:rPr>
                <w:b w:val="0"/>
                <w:bCs w:val="0"/>
                <w:i/>
                <w:iCs/>
                <w:kern w:val="2"/>
                <w:sz w:val="24"/>
                <w:szCs w:val="24"/>
                <w:u w:val="single"/>
                <w14:ligatures w14:val="standardContextual"/>
              </w:rPr>
              <w:t>PBMs provide missing/other information requested by self-insured group health plans</w:t>
            </w:r>
          </w:p>
        </w:tc>
      </w:tr>
      <w:tr w14:paraId="493BB95A" w14:textId="77777777" w:rsidTr="00B10ECF">
        <w:tblPrEx>
          <w:tblW w:w="9810" w:type="dxa"/>
          <w:tblInd w:w="-5" w:type="dxa"/>
          <w:tblLayout w:type="fixed"/>
          <w:tblLook w:val="04A0"/>
        </w:tblPrEx>
        <w:trPr>
          <w:trHeight w:val="350"/>
        </w:trPr>
        <w:tc>
          <w:tcPr>
            <w:tcW w:w="2481" w:type="dxa"/>
            <w:tcBorders>
              <w:top w:val="single" w:sz="4" w:space="0" w:color="auto"/>
              <w:left w:val="single" w:sz="4" w:space="0" w:color="auto"/>
              <w:bottom w:val="single" w:sz="4" w:space="0" w:color="auto"/>
              <w:right w:val="single" w:sz="4" w:space="0" w:color="auto"/>
            </w:tcBorders>
            <w:vAlign w:val="bottom"/>
            <w:hideMark/>
          </w:tcPr>
          <w:p w:rsidR="00397616" w:rsidRPr="00397616" w14:paraId="30B159D9" w14:textId="77777777">
            <w:pPr>
              <w:rPr>
                <w:b w:val="0"/>
                <w:bCs w:val="0"/>
                <w:kern w:val="2"/>
                <w:sz w:val="24"/>
                <w:szCs w:val="24"/>
                <w14:ligatures w14:val="standardContextual"/>
              </w:rPr>
            </w:pPr>
            <w:r w:rsidRPr="00397616">
              <w:rPr>
                <w:b w:val="0"/>
                <w:bCs w:val="0"/>
                <w:kern w:val="2"/>
                <w:sz w:val="24"/>
                <w:szCs w:val="24"/>
                <w14:ligatures w14:val="standardContextual"/>
              </w:rPr>
              <w:t xml:space="preserve">Benefit specialists prepare and send information to plans </w:t>
            </w:r>
          </w:p>
        </w:tc>
        <w:tc>
          <w:tcPr>
            <w:tcW w:w="1288" w:type="dxa"/>
            <w:tcBorders>
              <w:top w:val="single" w:sz="4" w:space="0" w:color="auto"/>
              <w:left w:val="single" w:sz="4" w:space="0" w:color="auto"/>
              <w:bottom w:val="single" w:sz="4" w:space="0" w:color="auto"/>
              <w:right w:val="single" w:sz="4" w:space="0" w:color="auto"/>
            </w:tcBorders>
            <w:noWrap/>
            <w:vAlign w:val="center"/>
            <w:hideMark/>
          </w:tcPr>
          <w:p w:rsidR="00397616" w:rsidRPr="00397616" w14:paraId="1ED096C0" w14:textId="77777777">
            <w:pPr>
              <w:jc w:val="center"/>
              <w:rPr>
                <w:b w:val="0"/>
                <w:bCs w:val="0"/>
                <w:kern w:val="2"/>
                <w:sz w:val="24"/>
                <w:szCs w:val="24"/>
                <w14:ligatures w14:val="standardContextual"/>
              </w:rPr>
            </w:pPr>
            <w:r w:rsidRPr="00397616">
              <w:rPr>
                <w:b w:val="0"/>
                <w:bCs w:val="0"/>
                <w:sz w:val="24"/>
                <w:szCs w:val="24"/>
              </w:rPr>
              <w:t>4,370</w:t>
            </w:r>
          </w:p>
        </w:tc>
        <w:tc>
          <w:tcPr>
            <w:tcW w:w="1034" w:type="dxa"/>
            <w:tcBorders>
              <w:top w:val="single" w:sz="4" w:space="0" w:color="auto"/>
              <w:left w:val="nil"/>
              <w:bottom w:val="single" w:sz="4" w:space="0" w:color="auto"/>
              <w:right w:val="single" w:sz="4" w:space="0" w:color="auto"/>
            </w:tcBorders>
            <w:noWrap/>
            <w:vAlign w:val="center"/>
            <w:hideMark/>
          </w:tcPr>
          <w:p w:rsidR="00397616" w:rsidRPr="00397616" w14:paraId="43341113" w14:textId="77777777">
            <w:pPr>
              <w:jc w:val="center"/>
              <w:rPr>
                <w:b w:val="0"/>
                <w:bCs w:val="0"/>
                <w:kern w:val="2"/>
                <w:sz w:val="24"/>
                <w:szCs w:val="24"/>
                <w14:ligatures w14:val="standardContextual"/>
              </w:rPr>
            </w:pPr>
            <w:r w:rsidRPr="00397616">
              <w:rPr>
                <w:b w:val="0"/>
                <w:bCs w:val="0"/>
                <w:sz w:val="24"/>
                <w:szCs w:val="24"/>
              </w:rPr>
              <w:t>0.25</w:t>
            </w:r>
          </w:p>
        </w:tc>
        <w:tc>
          <w:tcPr>
            <w:tcW w:w="1714" w:type="dxa"/>
            <w:tcBorders>
              <w:top w:val="single" w:sz="4" w:space="0" w:color="auto"/>
              <w:left w:val="nil"/>
              <w:bottom w:val="single" w:sz="4" w:space="0" w:color="auto"/>
              <w:right w:val="single" w:sz="4" w:space="0" w:color="auto"/>
            </w:tcBorders>
            <w:noWrap/>
            <w:vAlign w:val="center"/>
            <w:hideMark/>
          </w:tcPr>
          <w:p w:rsidR="00397616" w:rsidRPr="00397616" w14:paraId="3F7FF120" w14:textId="77777777">
            <w:pPr>
              <w:jc w:val="center"/>
              <w:rPr>
                <w:b w:val="0"/>
                <w:bCs w:val="0"/>
                <w:kern w:val="2"/>
                <w:sz w:val="24"/>
                <w:szCs w:val="24"/>
                <w14:ligatures w14:val="standardContextual"/>
              </w:rPr>
            </w:pPr>
            <w:r w:rsidRPr="00397616">
              <w:rPr>
                <w:b w:val="0"/>
                <w:bCs w:val="0"/>
                <w:sz w:val="24"/>
                <w:szCs w:val="24"/>
              </w:rPr>
              <w:t>1,093</w:t>
            </w:r>
          </w:p>
        </w:tc>
        <w:tc>
          <w:tcPr>
            <w:tcW w:w="1373" w:type="dxa"/>
            <w:tcBorders>
              <w:top w:val="single" w:sz="4" w:space="0" w:color="auto"/>
              <w:left w:val="nil"/>
              <w:bottom w:val="single" w:sz="4" w:space="0" w:color="auto"/>
              <w:right w:val="single" w:sz="4" w:space="0" w:color="auto"/>
            </w:tcBorders>
            <w:noWrap/>
            <w:vAlign w:val="center"/>
            <w:hideMark/>
          </w:tcPr>
          <w:p w:rsidR="00397616" w:rsidRPr="00397616" w14:paraId="2A522FB1" w14:textId="77777777">
            <w:pPr>
              <w:jc w:val="center"/>
              <w:rPr>
                <w:b w:val="0"/>
                <w:bCs w:val="0"/>
                <w:kern w:val="2"/>
                <w:sz w:val="24"/>
                <w:szCs w:val="24"/>
                <w14:ligatures w14:val="standardContextual"/>
              </w:rPr>
            </w:pPr>
            <w:r w:rsidRPr="00397616">
              <w:rPr>
                <w:b w:val="0"/>
                <w:bCs w:val="0"/>
                <w:sz w:val="24"/>
                <w:szCs w:val="24"/>
              </w:rPr>
              <w:t>$124.74</w:t>
            </w:r>
          </w:p>
        </w:tc>
        <w:tc>
          <w:tcPr>
            <w:tcW w:w="1920" w:type="dxa"/>
            <w:tcBorders>
              <w:top w:val="single" w:sz="4" w:space="0" w:color="auto"/>
              <w:left w:val="nil"/>
              <w:bottom w:val="single" w:sz="4" w:space="0" w:color="auto"/>
              <w:right w:val="single" w:sz="4" w:space="0" w:color="auto"/>
            </w:tcBorders>
            <w:noWrap/>
            <w:vAlign w:val="center"/>
            <w:hideMark/>
          </w:tcPr>
          <w:p w:rsidR="00397616" w:rsidRPr="00397616" w14:paraId="2DFC75B0" w14:textId="77777777">
            <w:pPr>
              <w:jc w:val="center"/>
              <w:rPr>
                <w:b w:val="0"/>
                <w:bCs w:val="0"/>
                <w:kern w:val="2"/>
                <w:sz w:val="24"/>
                <w:szCs w:val="24"/>
                <w14:ligatures w14:val="standardContextual"/>
              </w:rPr>
            </w:pPr>
            <w:r w:rsidRPr="00397616">
              <w:rPr>
                <w:b w:val="0"/>
                <w:bCs w:val="0"/>
                <w:sz w:val="24"/>
                <w:szCs w:val="24"/>
              </w:rPr>
              <w:t>$136,278</w:t>
            </w:r>
          </w:p>
        </w:tc>
      </w:tr>
      <w:tr w14:paraId="7CDE4232" w14:textId="77777777" w:rsidTr="00B10ECF">
        <w:tblPrEx>
          <w:tblW w:w="9810" w:type="dxa"/>
          <w:tblInd w:w="-5" w:type="dxa"/>
          <w:tblLayout w:type="fixed"/>
          <w:tblLook w:val="04A0"/>
        </w:tblPrEx>
        <w:trPr>
          <w:trHeight w:val="310"/>
        </w:trPr>
        <w:tc>
          <w:tcPr>
            <w:tcW w:w="9810" w:type="dxa"/>
            <w:gridSpan w:val="6"/>
            <w:tcBorders>
              <w:top w:val="nil"/>
              <w:left w:val="single" w:sz="4" w:space="0" w:color="auto"/>
              <w:bottom w:val="single" w:sz="4" w:space="0" w:color="auto"/>
              <w:right w:val="single" w:sz="4" w:space="0" w:color="auto"/>
            </w:tcBorders>
            <w:noWrap/>
            <w:vAlign w:val="bottom"/>
            <w:hideMark/>
          </w:tcPr>
          <w:p w:rsidR="00397616" w:rsidRPr="00397616" w14:paraId="1342986D" w14:textId="77777777">
            <w:pPr>
              <w:rPr>
                <w:b w:val="0"/>
                <w:bCs w:val="0"/>
                <w:i/>
                <w:iCs/>
                <w:sz w:val="24"/>
                <w:szCs w:val="24"/>
                <w:u w:val="single"/>
              </w:rPr>
            </w:pPr>
            <w:r w:rsidRPr="00397616">
              <w:rPr>
                <w:b w:val="0"/>
                <w:bCs w:val="0"/>
                <w:i/>
                <w:iCs/>
                <w:sz w:val="24"/>
                <w:szCs w:val="24"/>
                <w:u w:val="single"/>
              </w:rPr>
              <w:t>PBMs provide semiannual disclosures to self-insured group health plans</w:t>
            </w:r>
          </w:p>
        </w:tc>
      </w:tr>
      <w:tr w14:paraId="77B29D3C" w14:textId="77777777" w:rsidTr="00B10ECF">
        <w:tblPrEx>
          <w:tblW w:w="9810" w:type="dxa"/>
          <w:tblInd w:w="-5" w:type="dxa"/>
          <w:tblLayout w:type="fixed"/>
          <w:tblLook w:val="04A0"/>
        </w:tblPrEx>
        <w:trPr>
          <w:trHeight w:val="413"/>
        </w:trPr>
        <w:tc>
          <w:tcPr>
            <w:tcW w:w="2481" w:type="dxa"/>
            <w:tcBorders>
              <w:top w:val="single" w:sz="4" w:space="0" w:color="auto"/>
              <w:left w:val="single" w:sz="4" w:space="0" w:color="auto"/>
              <w:bottom w:val="single" w:sz="4" w:space="0" w:color="auto"/>
              <w:right w:val="single" w:sz="4" w:space="0" w:color="auto"/>
            </w:tcBorders>
            <w:vAlign w:val="bottom"/>
            <w:hideMark/>
          </w:tcPr>
          <w:p w:rsidR="00397616" w:rsidRPr="00397616" w14:paraId="759E65A2" w14:textId="77777777">
            <w:pPr>
              <w:rPr>
                <w:b w:val="0"/>
                <w:bCs w:val="0"/>
                <w:kern w:val="2"/>
                <w:sz w:val="24"/>
                <w:szCs w:val="24"/>
                <w14:ligatures w14:val="standardContextual"/>
              </w:rPr>
            </w:pPr>
            <w:r w:rsidRPr="00397616">
              <w:rPr>
                <w:b w:val="0"/>
                <w:bCs w:val="0"/>
                <w:kern w:val="2"/>
                <w:sz w:val="24"/>
                <w:szCs w:val="24"/>
                <w14:ligatures w14:val="standardContextual"/>
              </w:rPr>
              <w:t xml:space="preserve">Benefit specialists prepare and send disclosures to plans </w:t>
            </w:r>
          </w:p>
        </w:tc>
        <w:tc>
          <w:tcPr>
            <w:tcW w:w="1288" w:type="dxa"/>
            <w:tcBorders>
              <w:top w:val="single" w:sz="4" w:space="0" w:color="auto"/>
              <w:left w:val="single" w:sz="4" w:space="0" w:color="auto"/>
              <w:bottom w:val="single" w:sz="4" w:space="0" w:color="auto"/>
              <w:right w:val="single" w:sz="4" w:space="0" w:color="auto"/>
            </w:tcBorders>
            <w:noWrap/>
            <w:vAlign w:val="center"/>
            <w:hideMark/>
          </w:tcPr>
          <w:p w:rsidR="00397616" w:rsidRPr="00397616" w14:paraId="58ADE03A"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262,204</w:t>
            </w:r>
          </w:p>
        </w:tc>
        <w:tc>
          <w:tcPr>
            <w:tcW w:w="1034" w:type="dxa"/>
            <w:tcBorders>
              <w:top w:val="single" w:sz="4" w:space="0" w:color="auto"/>
              <w:left w:val="nil"/>
              <w:bottom w:val="single" w:sz="4" w:space="0" w:color="auto"/>
              <w:right w:val="single" w:sz="4" w:space="0" w:color="auto"/>
            </w:tcBorders>
            <w:noWrap/>
            <w:vAlign w:val="center"/>
            <w:hideMark/>
          </w:tcPr>
          <w:p w:rsidR="00397616" w:rsidRPr="00397616" w14:paraId="217FEBF6"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0.25</w:t>
            </w:r>
          </w:p>
        </w:tc>
        <w:tc>
          <w:tcPr>
            <w:tcW w:w="1714" w:type="dxa"/>
            <w:tcBorders>
              <w:top w:val="single" w:sz="4" w:space="0" w:color="auto"/>
              <w:left w:val="nil"/>
              <w:bottom w:val="single" w:sz="4" w:space="0" w:color="auto"/>
              <w:right w:val="single" w:sz="4" w:space="0" w:color="auto"/>
            </w:tcBorders>
            <w:noWrap/>
            <w:vAlign w:val="center"/>
            <w:hideMark/>
          </w:tcPr>
          <w:p w:rsidR="00397616" w:rsidRPr="00397616" w14:paraId="438BFC82"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65,551</w:t>
            </w:r>
          </w:p>
        </w:tc>
        <w:tc>
          <w:tcPr>
            <w:tcW w:w="1373" w:type="dxa"/>
            <w:tcBorders>
              <w:top w:val="single" w:sz="4" w:space="0" w:color="auto"/>
              <w:left w:val="nil"/>
              <w:bottom w:val="single" w:sz="4" w:space="0" w:color="auto"/>
              <w:right w:val="single" w:sz="4" w:space="0" w:color="auto"/>
            </w:tcBorders>
            <w:noWrap/>
            <w:vAlign w:val="center"/>
            <w:hideMark/>
          </w:tcPr>
          <w:p w:rsidR="00397616" w:rsidRPr="00397616" w14:paraId="6C62CD48"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$124.74</w:t>
            </w:r>
          </w:p>
        </w:tc>
        <w:tc>
          <w:tcPr>
            <w:tcW w:w="1920" w:type="dxa"/>
            <w:tcBorders>
              <w:top w:val="single" w:sz="4" w:space="0" w:color="auto"/>
              <w:left w:val="nil"/>
              <w:bottom w:val="single" w:sz="4" w:space="0" w:color="auto"/>
              <w:right w:val="single" w:sz="4" w:space="0" w:color="auto"/>
            </w:tcBorders>
            <w:noWrap/>
            <w:vAlign w:val="center"/>
            <w:hideMark/>
          </w:tcPr>
          <w:p w:rsidR="00397616" w:rsidRPr="00397616" w14:paraId="256A3CFE"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$8,176,832</w:t>
            </w:r>
          </w:p>
        </w:tc>
      </w:tr>
      <w:tr w14:paraId="2EEA9F18" w14:textId="77777777" w:rsidTr="00B10ECF">
        <w:tblPrEx>
          <w:tblW w:w="9810" w:type="dxa"/>
          <w:tblInd w:w="-5" w:type="dxa"/>
          <w:tblLayout w:type="fixed"/>
          <w:tblLook w:val="04A0"/>
        </w:tblPrEx>
        <w:trPr>
          <w:trHeight w:val="242"/>
        </w:trPr>
        <w:tc>
          <w:tcPr>
            <w:tcW w:w="9810" w:type="dxa"/>
            <w:gridSpan w:val="6"/>
            <w:tcBorders>
              <w:top w:val="single" w:sz="4" w:space="0" w:color="auto"/>
              <w:left w:val="single" w:sz="4" w:space="0" w:color="auto"/>
              <w:bottom w:val="single" w:sz="4" w:space="0" w:color="auto"/>
              <w:right w:val="single" w:sz="4" w:space="0" w:color="auto"/>
            </w:tcBorders>
            <w:vAlign w:val="bottom"/>
          </w:tcPr>
          <w:p w:rsidR="00397616" w:rsidRPr="00397616" w14:paraId="1A46F325" w14:textId="77777777">
            <w:pPr>
              <w:rPr>
                <w:rFonts w:eastAsia="Aptos"/>
                <w:b w:val="0"/>
                <w:bCs w:val="0"/>
                <w:i/>
                <w:iCs/>
                <w:kern w:val="2"/>
                <w:sz w:val="24"/>
                <w:szCs w:val="24"/>
                <w:u w:val="single"/>
                <w14:ligatures w14:val="standardContextual"/>
              </w:rPr>
            </w:pPr>
            <w:r w:rsidRPr="00397616">
              <w:rPr>
                <w:rFonts w:eastAsia="Aptos"/>
                <w:b w:val="0"/>
                <w:bCs w:val="0"/>
                <w:i/>
                <w:iCs/>
                <w:kern w:val="2"/>
                <w:sz w:val="24"/>
                <w:szCs w:val="24"/>
                <w:u w:val="single"/>
                <w14:ligatures w14:val="standardContextual"/>
              </w:rPr>
              <w:t xml:space="preserve">PBM provides quarterly disclosures to plans </w:t>
            </w:r>
          </w:p>
        </w:tc>
      </w:tr>
      <w:tr w14:paraId="36347C37" w14:textId="77777777" w:rsidTr="00B10ECF">
        <w:tblPrEx>
          <w:tblW w:w="9810" w:type="dxa"/>
          <w:tblInd w:w="-5" w:type="dxa"/>
          <w:tblLayout w:type="fixed"/>
          <w:tblLook w:val="04A0"/>
        </w:tblPrEx>
        <w:trPr>
          <w:trHeight w:val="413"/>
        </w:trPr>
        <w:tc>
          <w:tcPr>
            <w:tcW w:w="2481" w:type="dxa"/>
            <w:tcBorders>
              <w:top w:val="single" w:sz="4" w:space="0" w:color="auto"/>
              <w:left w:val="single" w:sz="4" w:space="0" w:color="auto"/>
              <w:bottom w:val="single" w:sz="4" w:space="0" w:color="auto"/>
              <w:right w:val="single" w:sz="4" w:space="0" w:color="auto"/>
            </w:tcBorders>
            <w:vAlign w:val="bottom"/>
          </w:tcPr>
          <w:p w:rsidR="00397616" w:rsidRPr="00397616" w14:paraId="79E62E96" w14:textId="77777777">
            <w:pPr>
              <w:rPr>
                <w:b w:val="0"/>
                <w:bCs w:val="0"/>
                <w:kern w:val="2"/>
                <w:sz w:val="24"/>
                <w:szCs w:val="24"/>
                <w14:ligatures w14:val="standardContextual"/>
              </w:rPr>
            </w:pPr>
            <w:r w:rsidRPr="00397616">
              <w:rPr>
                <w:b w:val="0"/>
                <w:bCs w:val="0"/>
                <w:kern w:val="2"/>
                <w:sz w:val="24"/>
                <w:szCs w:val="24"/>
                <w14:ligatures w14:val="standardContextual"/>
              </w:rPr>
              <w:t xml:space="preserve">Benefit specialists prepare and send disclosures to plans </w:t>
            </w:r>
          </w:p>
        </w:tc>
        <w:tc>
          <w:tcPr>
            <w:tcW w:w="1288" w:type="dxa"/>
            <w:tcBorders>
              <w:top w:val="single" w:sz="4" w:space="0" w:color="auto"/>
              <w:left w:val="single" w:sz="4" w:space="0" w:color="auto"/>
              <w:bottom w:val="single" w:sz="4" w:space="0" w:color="auto"/>
              <w:right w:val="single" w:sz="4" w:space="0" w:color="auto"/>
            </w:tcBorders>
            <w:noWrap/>
            <w:vAlign w:val="center"/>
          </w:tcPr>
          <w:p w:rsidR="00397616" w:rsidRPr="00397616" w14:paraId="0E962CA7" w14:textId="77777777">
            <w:pPr>
              <w:jc w:val="center"/>
              <w:rPr>
                <w:rFonts w:eastAsia="Aptos"/>
                <w:b w:val="0"/>
                <w:bCs w:val="0"/>
                <w:kern w:val="2"/>
                <w:sz w:val="24"/>
                <w:szCs w:val="24"/>
                <w14:ligatures w14:val="standardContextual"/>
              </w:rPr>
            </w:pPr>
            <w:r w:rsidRPr="00397616">
              <w:rPr>
                <w:rFonts w:eastAsia="Aptos"/>
                <w:b w:val="0"/>
                <w:bCs w:val="0"/>
                <w:kern w:val="2"/>
                <w:sz w:val="24"/>
                <w:szCs w:val="24"/>
                <w14:ligatures w14:val="standardContextual"/>
              </w:rPr>
              <w:t>26,220</w:t>
            </w:r>
          </w:p>
        </w:tc>
        <w:tc>
          <w:tcPr>
            <w:tcW w:w="1034" w:type="dxa"/>
            <w:tcBorders>
              <w:top w:val="single" w:sz="4" w:space="0" w:color="auto"/>
              <w:left w:val="nil"/>
              <w:bottom w:val="single" w:sz="4" w:space="0" w:color="auto"/>
              <w:right w:val="single" w:sz="4" w:space="0" w:color="auto"/>
            </w:tcBorders>
            <w:noWrap/>
            <w:vAlign w:val="center"/>
          </w:tcPr>
          <w:p w:rsidR="00397616" w:rsidRPr="00397616" w14:paraId="323BB565" w14:textId="77777777">
            <w:pPr>
              <w:jc w:val="center"/>
              <w:rPr>
                <w:rFonts w:eastAsia="Aptos"/>
                <w:b w:val="0"/>
                <w:bCs w:val="0"/>
                <w:kern w:val="2"/>
                <w:sz w:val="24"/>
                <w:szCs w:val="24"/>
                <w14:ligatures w14:val="standardContextual"/>
              </w:rPr>
            </w:pPr>
            <w:r w:rsidRPr="00397616">
              <w:rPr>
                <w:rFonts w:eastAsia="Aptos"/>
                <w:b w:val="0"/>
                <w:bCs w:val="0"/>
                <w:kern w:val="2"/>
                <w:sz w:val="24"/>
                <w:szCs w:val="24"/>
                <w14:ligatures w14:val="standardContextual"/>
              </w:rPr>
              <w:t>0.25</w:t>
            </w:r>
          </w:p>
        </w:tc>
        <w:tc>
          <w:tcPr>
            <w:tcW w:w="1714" w:type="dxa"/>
            <w:tcBorders>
              <w:top w:val="single" w:sz="4" w:space="0" w:color="auto"/>
              <w:left w:val="nil"/>
              <w:bottom w:val="single" w:sz="4" w:space="0" w:color="auto"/>
              <w:right w:val="single" w:sz="4" w:space="0" w:color="auto"/>
            </w:tcBorders>
            <w:noWrap/>
            <w:vAlign w:val="center"/>
          </w:tcPr>
          <w:p w:rsidR="00397616" w:rsidRPr="00397616" w14:paraId="37AABC68" w14:textId="77777777">
            <w:pPr>
              <w:jc w:val="center"/>
              <w:rPr>
                <w:rFonts w:eastAsia="Aptos"/>
                <w:b w:val="0"/>
                <w:bCs w:val="0"/>
                <w:kern w:val="2"/>
                <w:sz w:val="24"/>
                <w:szCs w:val="24"/>
                <w14:ligatures w14:val="standardContextual"/>
              </w:rPr>
            </w:pPr>
            <w:r w:rsidRPr="00397616">
              <w:rPr>
                <w:rFonts w:eastAsia="Aptos"/>
                <w:b w:val="0"/>
                <w:bCs w:val="0"/>
                <w:kern w:val="2"/>
                <w:sz w:val="24"/>
                <w:szCs w:val="24"/>
                <w14:ligatures w14:val="standardContextual"/>
              </w:rPr>
              <w:t>6,555</w:t>
            </w:r>
          </w:p>
        </w:tc>
        <w:tc>
          <w:tcPr>
            <w:tcW w:w="1373" w:type="dxa"/>
            <w:tcBorders>
              <w:top w:val="single" w:sz="4" w:space="0" w:color="auto"/>
              <w:left w:val="nil"/>
              <w:bottom w:val="single" w:sz="4" w:space="0" w:color="auto"/>
              <w:right w:val="single" w:sz="4" w:space="0" w:color="auto"/>
            </w:tcBorders>
            <w:noWrap/>
            <w:vAlign w:val="center"/>
          </w:tcPr>
          <w:p w:rsidR="00397616" w:rsidRPr="00397616" w14:paraId="2C0ABE05" w14:textId="77777777">
            <w:pPr>
              <w:jc w:val="center"/>
              <w:rPr>
                <w:rFonts w:eastAsia="Aptos"/>
                <w:b w:val="0"/>
                <w:bCs w:val="0"/>
                <w:kern w:val="2"/>
                <w:sz w:val="24"/>
                <w:szCs w:val="24"/>
                <w14:ligatures w14:val="standardContextual"/>
              </w:rPr>
            </w:pPr>
            <w:r w:rsidRPr="00397616">
              <w:rPr>
                <w:rFonts w:eastAsia="Aptos"/>
                <w:b w:val="0"/>
                <w:bCs w:val="0"/>
                <w:kern w:val="2"/>
                <w:sz w:val="24"/>
                <w:szCs w:val="24"/>
                <w14:ligatures w14:val="standardContextual"/>
              </w:rPr>
              <w:t>$124.74</w:t>
            </w:r>
          </w:p>
        </w:tc>
        <w:tc>
          <w:tcPr>
            <w:tcW w:w="1920" w:type="dxa"/>
            <w:tcBorders>
              <w:top w:val="single" w:sz="4" w:space="0" w:color="auto"/>
              <w:left w:val="nil"/>
              <w:bottom w:val="single" w:sz="4" w:space="0" w:color="auto"/>
              <w:right w:val="single" w:sz="4" w:space="0" w:color="auto"/>
            </w:tcBorders>
            <w:noWrap/>
            <w:vAlign w:val="center"/>
          </w:tcPr>
          <w:p w:rsidR="00397616" w:rsidRPr="00397616" w14:paraId="3328904C" w14:textId="77777777">
            <w:pPr>
              <w:jc w:val="center"/>
              <w:rPr>
                <w:rFonts w:eastAsia="Aptos"/>
                <w:b w:val="0"/>
                <w:bCs w:val="0"/>
                <w:kern w:val="2"/>
                <w:sz w:val="24"/>
                <w:szCs w:val="24"/>
                <w14:ligatures w14:val="standardContextual"/>
              </w:rPr>
            </w:pPr>
            <w:r w:rsidRPr="00397616">
              <w:rPr>
                <w:rFonts w:eastAsia="Aptos"/>
                <w:b w:val="0"/>
                <w:bCs w:val="0"/>
                <w:kern w:val="2"/>
                <w:sz w:val="24"/>
                <w:szCs w:val="24"/>
                <w14:ligatures w14:val="standardContextual"/>
              </w:rPr>
              <w:t>$817,671</w:t>
            </w:r>
          </w:p>
        </w:tc>
      </w:tr>
      <w:tr w14:paraId="660F6050" w14:textId="77777777" w:rsidTr="00B10ECF">
        <w:tblPrEx>
          <w:tblW w:w="9810" w:type="dxa"/>
          <w:tblInd w:w="-5" w:type="dxa"/>
          <w:tblLayout w:type="fixed"/>
          <w:tblLook w:val="04A0"/>
        </w:tblPrEx>
        <w:trPr>
          <w:trHeight w:val="188"/>
        </w:trPr>
        <w:tc>
          <w:tcPr>
            <w:tcW w:w="9810" w:type="dxa"/>
            <w:gridSpan w:val="6"/>
            <w:tcBorders>
              <w:top w:val="single" w:sz="4" w:space="0" w:color="auto"/>
              <w:left w:val="single" w:sz="4" w:space="0" w:color="auto"/>
              <w:bottom w:val="single" w:sz="4" w:space="0" w:color="auto"/>
              <w:right w:val="single" w:sz="4" w:space="0" w:color="auto"/>
            </w:tcBorders>
            <w:noWrap/>
            <w:vAlign w:val="bottom"/>
            <w:hideMark/>
          </w:tcPr>
          <w:p w:rsidR="00397616" w:rsidRPr="00EE7408" w14:paraId="168E2432" w14:textId="77777777">
            <w:pPr>
              <w:jc w:val="center"/>
              <w:rPr>
                <w:kern w:val="2"/>
                <w:sz w:val="24"/>
                <w:szCs w:val="24"/>
                <w:u w:val="single"/>
                <w14:ligatures w14:val="standardContextual"/>
              </w:rPr>
            </w:pPr>
            <w:r w:rsidRPr="00EE7408">
              <w:rPr>
                <w:kern w:val="2"/>
                <w:sz w:val="24"/>
                <w:szCs w:val="24"/>
                <w:u w:val="single"/>
                <w14:ligatures w14:val="standardContextual"/>
              </w:rPr>
              <w:t xml:space="preserve">Self-insured group health plans with 100 or more participants </w:t>
            </w:r>
            <w:r w:rsidRPr="00EE7408">
              <w:rPr>
                <w:sz w:val="24"/>
                <w:szCs w:val="24"/>
                <w:u w:val="single"/>
              </w:rPr>
              <w:t>and beneficiaries</w:t>
            </w:r>
            <w:r w:rsidRPr="00EE7408">
              <w:rPr>
                <w:kern w:val="2"/>
                <w:sz w:val="24"/>
                <w:szCs w:val="24"/>
                <w:u w:val="single"/>
                <w14:ligatures w14:val="standardContextual"/>
              </w:rPr>
              <w:t xml:space="preserve"> send notice to PBMs and DOL</w:t>
            </w:r>
          </w:p>
        </w:tc>
      </w:tr>
      <w:tr w14:paraId="41838FB7" w14:textId="77777777" w:rsidTr="00B10ECF">
        <w:tblPrEx>
          <w:tblW w:w="9810" w:type="dxa"/>
          <w:tblInd w:w="-5" w:type="dxa"/>
          <w:tblLayout w:type="fixed"/>
          <w:tblLook w:val="04A0"/>
        </w:tblPrEx>
        <w:trPr>
          <w:trHeight w:val="310"/>
        </w:trPr>
        <w:tc>
          <w:tcPr>
            <w:tcW w:w="9810" w:type="dxa"/>
            <w:gridSpan w:val="6"/>
            <w:tcBorders>
              <w:top w:val="single" w:sz="4" w:space="0" w:color="auto"/>
              <w:left w:val="single" w:sz="4" w:space="0" w:color="auto"/>
              <w:bottom w:val="single" w:sz="4" w:space="0" w:color="auto"/>
              <w:right w:val="single" w:sz="4" w:space="0" w:color="auto"/>
            </w:tcBorders>
            <w:noWrap/>
            <w:vAlign w:val="bottom"/>
            <w:hideMark/>
          </w:tcPr>
          <w:p w:rsidR="00397616" w:rsidRPr="00397616" w14:paraId="76EEC835" w14:textId="77777777">
            <w:pPr>
              <w:rPr>
                <w:b w:val="0"/>
                <w:bCs w:val="0"/>
                <w:i/>
                <w:iCs/>
                <w:sz w:val="24"/>
                <w:szCs w:val="24"/>
                <w:u w:val="single"/>
              </w:rPr>
            </w:pPr>
            <w:r w:rsidRPr="00397616">
              <w:rPr>
                <w:b w:val="0"/>
                <w:bCs w:val="0"/>
                <w:i/>
                <w:iCs/>
                <w:sz w:val="24"/>
                <w:szCs w:val="24"/>
                <w:u w:val="single"/>
              </w:rPr>
              <w:t xml:space="preserve">Self-insured group health plans send </w:t>
            </w:r>
            <w:r w:rsidRPr="00397616">
              <w:rPr>
                <w:b w:val="0"/>
                <w:bCs w:val="0"/>
                <w:i/>
                <w:iCs/>
                <w:sz w:val="24"/>
                <w:szCs w:val="24"/>
                <w:u w:val="single"/>
              </w:rPr>
              <w:t>request</w:t>
            </w:r>
            <w:r w:rsidRPr="00397616">
              <w:rPr>
                <w:b w:val="0"/>
                <w:bCs w:val="0"/>
                <w:i/>
                <w:iCs/>
                <w:sz w:val="24"/>
                <w:szCs w:val="24"/>
                <w:u w:val="single"/>
              </w:rPr>
              <w:t xml:space="preserve"> to PBMs to disclose missing/other information</w:t>
            </w:r>
          </w:p>
        </w:tc>
      </w:tr>
      <w:tr w14:paraId="2AB5CF28" w14:textId="77777777" w:rsidTr="00B10ECF">
        <w:tblPrEx>
          <w:tblW w:w="9810" w:type="dxa"/>
          <w:tblInd w:w="-5" w:type="dxa"/>
          <w:tblLayout w:type="fixed"/>
          <w:tblLook w:val="04A0"/>
        </w:tblPrEx>
        <w:trPr>
          <w:trHeight w:val="377"/>
        </w:trPr>
        <w:tc>
          <w:tcPr>
            <w:tcW w:w="2481" w:type="dxa"/>
            <w:tcBorders>
              <w:top w:val="single" w:sz="4" w:space="0" w:color="auto"/>
              <w:left w:val="single" w:sz="4" w:space="0" w:color="auto"/>
              <w:bottom w:val="single" w:sz="4" w:space="0" w:color="auto"/>
              <w:right w:val="single" w:sz="4" w:space="0" w:color="auto"/>
            </w:tcBorders>
            <w:vAlign w:val="bottom"/>
            <w:hideMark/>
          </w:tcPr>
          <w:p w:rsidR="00397616" w:rsidRPr="00397616" w14:paraId="6F2D400F" w14:textId="77777777">
            <w:pPr>
              <w:rPr>
                <w:b w:val="0"/>
                <w:bCs w:val="0"/>
                <w:kern w:val="2"/>
                <w:sz w:val="24"/>
                <w:szCs w:val="24"/>
                <w14:ligatures w14:val="standardContextual"/>
              </w:rPr>
            </w:pPr>
            <w:r w:rsidRPr="00397616">
              <w:rPr>
                <w:b w:val="0"/>
                <w:bCs w:val="0"/>
                <w:kern w:val="2"/>
                <w:sz w:val="24"/>
                <w:szCs w:val="24"/>
                <w14:ligatures w14:val="standardContextual"/>
              </w:rPr>
              <w:t>Benefits specialists prepare and send request</w:t>
            </w:r>
          </w:p>
        </w:tc>
        <w:tc>
          <w:tcPr>
            <w:tcW w:w="1288" w:type="dxa"/>
            <w:tcBorders>
              <w:top w:val="single" w:sz="4" w:space="0" w:color="auto"/>
              <w:left w:val="single" w:sz="4" w:space="0" w:color="auto"/>
              <w:bottom w:val="single" w:sz="4" w:space="0" w:color="auto"/>
              <w:right w:val="single" w:sz="4" w:space="0" w:color="auto"/>
            </w:tcBorders>
            <w:noWrap/>
            <w:vAlign w:val="center"/>
            <w:hideMark/>
          </w:tcPr>
          <w:p w:rsidR="00397616" w:rsidRPr="00397616" w14:paraId="35FF84D3" w14:textId="77777777">
            <w:pPr>
              <w:jc w:val="center"/>
              <w:rPr>
                <w:b w:val="0"/>
                <w:bCs w:val="0"/>
                <w:kern w:val="2"/>
                <w:sz w:val="24"/>
                <w:szCs w:val="24"/>
                <w14:ligatures w14:val="standardContextual"/>
              </w:rPr>
            </w:pPr>
            <w:r w:rsidRPr="00397616">
              <w:rPr>
                <w:b w:val="0"/>
                <w:bCs w:val="0"/>
                <w:sz w:val="24"/>
                <w:szCs w:val="24"/>
              </w:rPr>
              <w:t>131</w:t>
            </w:r>
          </w:p>
        </w:tc>
        <w:tc>
          <w:tcPr>
            <w:tcW w:w="1034" w:type="dxa"/>
            <w:tcBorders>
              <w:top w:val="single" w:sz="4" w:space="0" w:color="auto"/>
              <w:left w:val="nil"/>
              <w:bottom w:val="single" w:sz="4" w:space="0" w:color="auto"/>
              <w:right w:val="single" w:sz="4" w:space="0" w:color="auto"/>
            </w:tcBorders>
            <w:noWrap/>
            <w:vAlign w:val="center"/>
            <w:hideMark/>
          </w:tcPr>
          <w:p w:rsidR="00397616" w:rsidRPr="00397616" w14:paraId="2697526B" w14:textId="77777777">
            <w:pPr>
              <w:jc w:val="center"/>
              <w:rPr>
                <w:b w:val="0"/>
                <w:bCs w:val="0"/>
                <w:kern w:val="2"/>
                <w:sz w:val="24"/>
                <w:szCs w:val="24"/>
                <w14:ligatures w14:val="standardContextual"/>
              </w:rPr>
            </w:pPr>
            <w:r w:rsidRPr="00397616">
              <w:rPr>
                <w:b w:val="0"/>
                <w:bCs w:val="0"/>
                <w:sz w:val="24"/>
                <w:szCs w:val="24"/>
              </w:rPr>
              <w:t>0.25</w:t>
            </w:r>
          </w:p>
        </w:tc>
        <w:tc>
          <w:tcPr>
            <w:tcW w:w="1714" w:type="dxa"/>
            <w:tcBorders>
              <w:top w:val="single" w:sz="4" w:space="0" w:color="auto"/>
              <w:left w:val="nil"/>
              <w:bottom w:val="single" w:sz="4" w:space="0" w:color="auto"/>
              <w:right w:val="single" w:sz="4" w:space="0" w:color="auto"/>
            </w:tcBorders>
            <w:noWrap/>
            <w:vAlign w:val="center"/>
            <w:hideMark/>
          </w:tcPr>
          <w:p w:rsidR="00397616" w:rsidRPr="00397616" w14:paraId="16419C74" w14:textId="77777777">
            <w:pPr>
              <w:jc w:val="center"/>
              <w:rPr>
                <w:b w:val="0"/>
                <w:bCs w:val="0"/>
                <w:kern w:val="2"/>
                <w:sz w:val="24"/>
                <w:szCs w:val="24"/>
                <w14:ligatures w14:val="standardContextual"/>
              </w:rPr>
            </w:pPr>
            <w:r w:rsidRPr="00397616">
              <w:rPr>
                <w:b w:val="0"/>
                <w:bCs w:val="0"/>
                <w:sz w:val="24"/>
                <w:szCs w:val="24"/>
              </w:rPr>
              <w:t>33</w:t>
            </w:r>
          </w:p>
        </w:tc>
        <w:tc>
          <w:tcPr>
            <w:tcW w:w="1373" w:type="dxa"/>
            <w:tcBorders>
              <w:top w:val="single" w:sz="4" w:space="0" w:color="auto"/>
              <w:left w:val="nil"/>
              <w:bottom w:val="single" w:sz="4" w:space="0" w:color="auto"/>
              <w:right w:val="single" w:sz="4" w:space="0" w:color="auto"/>
            </w:tcBorders>
            <w:noWrap/>
            <w:vAlign w:val="center"/>
            <w:hideMark/>
          </w:tcPr>
          <w:p w:rsidR="00397616" w:rsidRPr="00397616" w14:paraId="6E1BCFDA" w14:textId="77777777">
            <w:pPr>
              <w:jc w:val="center"/>
              <w:rPr>
                <w:b w:val="0"/>
                <w:bCs w:val="0"/>
                <w:kern w:val="2"/>
                <w:sz w:val="24"/>
                <w:szCs w:val="24"/>
                <w14:ligatures w14:val="standardContextual"/>
              </w:rPr>
            </w:pPr>
            <w:r w:rsidRPr="00397616">
              <w:rPr>
                <w:b w:val="0"/>
                <w:bCs w:val="0"/>
                <w:sz w:val="24"/>
                <w:szCs w:val="24"/>
              </w:rPr>
              <w:t>$124.74</w:t>
            </w:r>
          </w:p>
        </w:tc>
        <w:tc>
          <w:tcPr>
            <w:tcW w:w="1920" w:type="dxa"/>
            <w:tcBorders>
              <w:top w:val="single" w:sz="4" w:space="0" w:color="auto"/>
              <w:left w:val="nil"/>
              <w:bottom w:val="single" w:sz="4" w:space="0" w:color="auto"/>
              <w:right w:val="single" w:sz="4" w:space="0" w:color="auto"/>
            </w:tcBorders>
            <w:noWrap/>
            <w:vAlign w:val="center"/>
            <w:hideMark/>
          </w:tcPr>
          <w:p w:rsidR="00397616" w:rsidRPr="00397616" w14:paraId="3C01C380" w14:textId="77777777">
            <w:pPr>
              <w:jc w:val="center"/>
              <w:rPr>
                <w:b w:val="0"/>
                <w:bCs w:val="0"/>
                <w:kern w:val="2"/>
                <w:sz w:val="24"/>
                <w:szCs w:val="24"/>
                <w14:ligatures w14:val="standardContextual"/>
              </w:rPr>
            </w:pPr>
            <w:r w:rsidRPr="00397616">
              <w:rPr>
                <w:b w:val="0"/>
                <w:bCs w:val="0"/>
                <w:sz w:val="24"/>
                <w:szCs w:val="24"/>
              </w:rPr>
              <w:t>$4,085</w:t>
            </w:r>
          </w:p>
        </w:tc>
      </w:tr>
      <w:tr w14:paraId="6E03CACC" w14:textId="77777777" w:rsidTr="00B10ECF">
        <w:tblPrEx>
          <w:tblW w:w="9810" w:type="dxa"/>
          <w:tblInd w:w="-5" w:type="dxa"/>
          <w:tblLayout w:type="fixed"/>
          <w:tblLook w:val="04A0"/>
        </w:tblPrEx>
        <w:trPr>
          <w:trHeight w:val="377"/>
        </w:trPr>
        <w:tc>
          <w:tcPr>
            <w:tcW w:w="9810" w:type="dxa"/>
            <w:gridSpan w:val="6"/>
            <w:tcBorders>
              <w:top w:val="single" w:sz="4" w:space="0" w:color="auto"/>
              <w:left w:val="single" w:sz="4" w:space="0" w:color="auto"/>
              <w:bottom w:val="single" w:sz="4" w:space="0" w:color="auto"/>
              <w:right w:val="single" w:sz="4" w:space="0" w:color="auto"/>
            </w:tcBorders>
            <w:vAlign w:val="bottom"/>
          </w:tcPr>
          <w:p w:rsidR="00397616" w:rsidRPr="00397616" w14:paraId="1BD8FA37" w14:textId="77777777">
            <w:pPr>
              <w:rPr>
                <w:b w:val="0"/>
                <w:bCs w:val="0"/>
                <w:i/>
                <w:sz w:val="24"/>
                <w:szCs w:val="24"/>
                <w:u w:val="single"/>
              </w:rPr>
            </w:pPr>
            <w:r w:rsidRPr="00397616">
              <w:rPr>
                <w:b w:val="0"/>
                <w:bCs w:val="0"/>
                <w:i/>
                <w:sz w:val="24"/>
                <w:szCs w:val="24"/>
                <w:u w:val="single"/>
              </w:rPr>
              <w:t>Self-insured group health plans document the basis for determination on whether to terminate or continue the service contract or arrangement, after PBMs has not responded in 90 days</w:t>
            </w:r>
          </w:p>
        </w:tc>
      </w:tr>
      <w:tr w14:paraId="3D108378" w14:textId="77777777" w:rsidTr="00B10ECF">
        <w:tblPrEx>
          <w:tblW w:w="9810" w:type="dxa"/>
          <w:tblInd w:w="-5" w:type="dxa"/>
          <w:tblLayout w:type="fixed"/>
          <w:tblLook w:val="04A0"/>
        </w:tblPrEx>
        <w:trPr>
          <w:trHeight w:val="377"/>
        </w:trPr>
        <w:tc>
          <w:tcPr>
            <w:tcW w:w="2481" w:type="dxa"/>
            <w:tcBorders>
              <w:top w:val="single" w:sz="4" w:space="0" w:color="auto"/>
              <w:left w:val="single" w:sz="4" w:space="0" w:color="auto"/>
              <w:bottom w:val="single" w:sz="4" w:space="0" w:color="auto"/>
              <w:right w:val="single" w:sz="4" w:space="0" w:color="auto"/>
            </w:tcBorders>
            <w:vAlign w:val="bottom"/>
          </w:tcPr>
          <w:p w:rsidR="00397616" w:rsidRPr="00397616" w14:paraId="2287E481" w14:textId="77777777">
            <w:pPr>
              <w:rPr>
                <w:b w:val="0"/>
                <w:bCs w:val="0"/>
                <w:kern w:val="2"/>
                <w:sz w:val="24"/>
                <w:szCs w:val="24"/>
                <w14:ligatures w14:val="standardContextual"/>
              </w:rPr>
            </w:pPr>
            <w:r w:rsidRPr="00397616">
              <w:rPr>
                <w:b w:val="0"/>
                <w:bCs w:val="0"/>
                <w:kern w:val="2"/>
                <w:sz w:val="24"/>
                <w:szCs w:val="24"/>
                <w14:ligatures w14:val="standardContextual"/>
              </w:rPr>
              <w:t xml:space="preserve">Benefit specialists document </w:t>
            </w:r>
            <w:r w:rsidRPr="00397616">
              <w:rPr>
                <w:b w:val="0"/>
                <w:bCs w:val="0"/>
                <w:kern w:val="2"/>
                <w:sz w:val="24"/>
                <w:szCs w:val="24"/>
                <w14:ligatures w14:val="standardContextual"/>
              </w:rPr>
              <w:t xml:space="preserve">determination </w:t>
            </w:r>
          </w:p>
        </w:tc>
        <w:tc>
          <w:tcPr>
            <w:tcW w:w="1288" w:type="dxa"/>
            <w:tcBorders>
              <w:top w:val="single" w:sz="4" w:space="0" w:color="auto"/>
              <w:left w:val="single" w:sz="4" w:space="0" w:color="auto"/>
              <w:bottom w:val="single" w:sz="4" w:space="0" w:color="auto"/>
              <w:right w:val="single" w:sz="4" w:space="0" w:color="auto"/>
            </w:tcBorders>
            <w:noWrap/>
            <w:vAlign w:val="center"/>
          </w:tcPr>
          <w:p w:rsidR="00397616" w:rsidRPr="00397616" w14:paraId="5255EE05" w14:textId="77777777">
            <w:pPr>
              <w:jc w:val="center"/>
              <w:rPr>
                <w:b w:val="0"/>
                <w:bCs w:val="0"/>
                <w:sz w:val="24"/>
                <w:szCs w:val="24"/>
              </w:rPr>
            </w:pPr>
            <w:r w:rsidRPr="00397616">
              <w:rPr>
                <w:rFonts w:eastAsia="Aptos"/>
                <w:b w:val="0"/>
                <w:bCs w:val="0"/>
                <w:kern w:val="2"/>
                <w:sz w:val="24"/>
                <w:szCs w:val="24"/>
                <w14:ligatures w14:val="standardContextual"/>
              </w:rPr>
              <w:t>10</w:t>
            </w:r>
          </w:p>
        </w:tc>
        <w:tc>
          <w:tcPr>
            <w:tcW w:w="1034" w:type="dxa"/>
            <w:tcBorders>
              <w:top w:val="single" w:sz="4" w:space="0" w:color="auto"/>
              <w:left w:val="nil"/>
              <w:bottom w:val="single" w:sz="4" w:space="0" w:color="auto"/>
              <w:right w:val="single" w:sz="4" w:space="0" w:color="auto"/>
            </w:tcBorders>
            <w:noWrap/>
            <w:vAlign w:val="center"/>
          </w:tcPr>
          <w:p w:rsidR="00397616" w:rsidRPr="00397616" w14:paraId="459928C2" w14:textId="77777777">
            <w:pPr>
              <w:jc w:val="center"/>
              <w:rPr>
                <w:b w:val="0"/>
                <w:bCs w:val="0"/>
                <w:sz w:val="24"/>
                <w:szCs w:val="24"/>
              </w:rPr>
            </w:pPr>
            <w:r w:rsidRPr="00397616">
              <w:rPr>
                <w:rFonts w:eastAsia="Aptos"/>
                <w:b w:val="0"/>
                <w:bCs w:val="0"/>
                <w:kern w:val="2"/>
                <w:sz w:val="24"/>
                <w:szCs w:val="24"/>
                <w14:ligatures w14:val="standardContextual"/>
              </w:rPr>
              <w:t>0.25</w:t>
            </w:r>
          </w:p>
        </w:tc>
        <w:tc>
          <w:tcPr>
            <w:tcW w:w="1714" w:type="dxa"/>
            <w:tcBorders>
              <w:top w:val="single" w:sz="4" w:space="0" w:color="auto"/>
              <w:left w:val="nil"/>
              <w:bottom w:val="single" w:sz="4" w:space="0" w:color="auto"/>
              <w:right w:val="single" w:sz="4" w:space="0" w:color="auto"/>
            </w:tcBorders>
            <w:noWrap/>
            <w:vAlign w:val="center"/>
          </w:tcPr>
          <w:p w:rsidR="00397616" w:rsidRPr="00397616" w14:paraId="1FBD6662" w14:textId="77777777">
            <w:pPr>
              <w:jc w:val="center"/>
              <w:rPr>
                <w:b w:val="0"/>
                <w:bCs w:val="0"/>
                <w:sz w:val="24"/>
                <w:szCs w:val="24"/>
              </w:rPr>
            </w:pPr>
            <w:r w:rsidRPr="00397616">
              <w:rPr>
                <w:rFonts w:eastAsia="Aptos"/>
                <w:b w:val="0"/>
                <w:bCs w:val="0"/>
                <w:kern w:val="2"/>
                <w:sz w:val="24"/>
                <w:szCs w:val="24"/>
                <w14:ligatures w14:val="standardContextual"/>
              </w:rPr>
              <w:t>3</w:t>
            </w:r>
          </w:p>
        </w:tc>
        <w:tc>
          <w:tcPr>
            <w:tcW w:w="1373" w:type="dxa"/>
            <w:tcBorders>
              <w:top w:val="single" w:sz="4" w:space="0" w:color="auto"/>
              <w:left w:val="nil"/>
              <w:bottom w:val="single" w:sz="4" w:space="0" w:color="auto"/>
              <w:right w:val="single" w:sz="4" w:space="0" w:color="auto"/>
            </w:tcBorders>
            <w:noWrap/>
            <w:vAlign w:val="center"/>
          </w:tcPr>
          <w:p w:rsidR="00397616" w:rsidRPr="00397616" w14:paraId="400D7127" w14:textId="77777777">
            <w:pPr>
              <w:jc w:val="center"/>
              <w:rPr>
                <w:b w:val="0"/>
                <w:bCs w:val="0"/>
                <w:sz w:val="24"/>
                <w:szCs w:val="24"/>
              </w:rPr>
            </w:pPr>
            <w:r w:rsidRPr="00397616">
              <w:rPr>
                <w:rFonts w:eastAsia="Aptos"/>
                <w:b w:val="0"/>
                <w:bCs w:val="0"/>
                <w:kern w:val="2"/>
                <w:sz w:val="24"/>
                <w:szCs w:val="24"/>
                <w14:ligatures w14:val="standardContextual"/>
              </w:rPr>
              <w:t>$124.74</w:t>
            </w:r>
          </w:p>
        </w:tc>
        <w:tc>
          <w:tcPr>
            <w:tcW w:w="1920" w:type="dxa"/>
            <w:tcBorders>
              <w:top w:val="single" w:sz="4" w:space="0" w:color="auto"/>
              <w:left w:val="nil"/>
              <w:bottom w:val="single" w:sz="4" w:space="0" w:color="auto"/>
              <w:right w:val="single" w:sz="4" w:space="0" w:color="auto"/>
            </w:tcBorders>
            <w:noWrap/>
            <w:vAlign w:val="center"/>
          </w:tcPr>
          <w:p w:rsidR="00397616" w:rsidRPr="00397616" w14:paraId="5EBABDCE" w14:textId="77777777">
            <w:pPr>
              <w:jc w:val="center"/>
              <w:rPr>
                <w:b w:val="0"/>
                <w:bCs w:val="0"/>
                <w:sz w:val="24"/>
                <w:szCs w:val="24"/>
              </w:rPr>
            </w:pPr>
            <w:r w:rsidRPr="00397616">
              <w:rPr>
                <w:rFonts w:eastAsia="Aptos"/>
                <w:b w:val="0"/>
                <w:bCs w:val="0"/>
                <w:kern w:val="2"/>
                <w:sz w:val="24"/>
                <w:szCs w:val="24"/>
                <w14:ligatures w14:val="standardContextual"/>
              </w:rPr>
              <w:t>$312</w:t>
            </w:r>
          </w:p>
        </w:tc>
      </w:tr>
      <w:tr w14:paraId="66ED8365" w14:textId="77777777" w:rsidTr="00B10ECF">
        <w:tblPrEx>
          <w:tblW w:w="9810" w:type="dxa"/>
          <w:tblInd w:w="-5" w:type="dxa"/>
          <w:tblLayout w:type="fixed"/>
          <w:tblLook w:val="04A0"/>
        </w:tblPrEx>
        <w:trPr>
          <w:trHeight w:val="179"/>
        </w:trPr>
        <w:tc>
          <w:tcPr>
            <w:tcW w:w="9810" w:type="dxa"/>
            <w:gridSpan w:val="6"/>
            <w:tcBorders>
              <w:top w:val="single" w:sz="4" w:space="0" w:color="auto"/>
              <w:left w:val="single" w:sz="4" w:space="0" w:color="auto"/>
              <w:bottom w:val="single" w:sz="4" w:space="0" w:color="auto"/>
              <w:right w:val="single" w:sz="4" w:space="0" w:color="auto"/>
            </w:tcBorders>
            <w:noWrap/>
            <w:vAlign w:val="bottom"/>
            <w:hideMark/>
          </w:tcPr>
          <w:p w:rsidR="00397616" w:rsidRPr="00397616" w14:paraId="3D906132" w14:textId="77777777">
            <w:pPr>
              <w:rPr>
                <w:b w:val="0"/>
                <w:bCs w:val="0"/>
                <w:i/>
                <w:iCs/>
                <w:sz w:val="24"/>
                <w:szCs w:val="24"/>
                <w:u w:val="single"/>
              </w:rPr>
            </w:pPr>
            <w:r w:rsidRPr="00397616">
              <w:rPr>
                <w:b w:val="0"/>
                <w:bCs w:val="0"/>
                <w:i/>
                <w:iCs/>
                <w:sz w:val="24"/>
                <w:szCs w:val="24"/>
                <w:u w:val="single"/>
              </w:rPr>
              <w:t xml:space="preserve">Self-insured group health plans send notice to DOL after the PBM has not </w:t>
            </w:r>
            <w:r w:rsidRPr="00397616">
              <w:rPr>
                <w:b w:val="0"/>
                <w:bCs w:val="0"/>
                <w:i/>
                <w:iCs/>
                <w:sz w:val="24"/>
                <w:szCs w:val="24"/>
                <w:u w:val="single"/>
              </w:rPr>
              <w:t>responded</w:t>
            </w:r>
            <w:r w:rsidRPr="00397616">
              <w:rPr>
                <w:b w:val="0"/>
                <w:bCs w:val="0"/>
                <w:i/>
                <w:iCs/>
                <w:sz w:val="24"/>
                <w:szCs w:val="24"/>
                <w:u w:val="single"/>
              </w:rPr>
              <w:t xml:space="preserve"> within 90 days</w:t>
            </w:r>
          </w:p>
        </w:tc>
      </w:tr>
      <w:tr w14:paraId="5E84F88F" w14:textId="77777777" w:rsidTr="00B10ECF">
        <w:tblPrEx>
          <w:tblW w:w="9810" w:type="dxa"/>
          <w:tblInd w:w="-5" w:type="dxa"/>
          <w:tblLayout w:type="fixed"/>
          <w:tblLook w:val="04A0"/>
        </w:tblPrEx>
        <w:trPr>
          <w:trHeight w:val="555"/>
        </w:trPr>
        <w:tc>
          <w:tcPr>
            <w:tcW w:w="2481" w:type="dxa"/>
            <w:tcBorders>
              <w:top w:val="single" w:sz="4" w:space="0" w:color="auto"/>
              <w:left w:val="single" w:sz="4" w:space="0" w:color="auto"/>
              <w:bottom w:val="single" w:sz="4" w:space="0" w:color="auto"/>
              <w:right w:val="single" w:sz="4" w:space="0" w:color="auto"/>
            </w:tcBorders>
            <w:vAlign w:val="bottom"/>
            <w:hideMark/>
          </w:tcPr>
          <w:p w:rsidR="00397616" w:rsidRPr="00397616" w14:paraId="40D6976D" w14:textId="77777777">
            <w:pPr>
              <w:rPr>
                <w:b w:val="0"/>
                <w:bCs w:val="0"/>
                <w:kern w:val="2"/>
                <w:sz w:val="24"/>
                <w:szCs w:val="24"/>
                <w14:ligatures w14:val="standardContextual"/>
              </w:rPr>
            </w:pPr>
            <w:r w:rsidRPr="00397616">
              <w:rPr>
                <w:b w:val="0"/>
                <w:bCs w:val="0"/>
                <w:kern w:val="2"/>
                <w:sz w:val="24"/>
                <w:szCs w:val="24"/>
                <w14:ligatures w14:val="standardContextual"/>
              </w:rPr>
              <w:t>Benefits specialists prepare and send notice, and document basis for determination</w:t>
            </w:r>
          </w:p>
        </w:tc>
        <w:tc>
          <w:tcPr>
            <w:tcW w:w="1288" w:type="dxa"/>
            <w:tcBorders>
              <w:top w:val="single" w:sz="4" w:space="0" w:color="auto"/>
              <w:left w:val="single" w:sz="4" w:space="0" w:color="auto"/>
              <w:bottom w:val="single" w:sz="4" w:space="0" w:color="auto"/>
              <w:right w:val="single" w:sz="4" w:space="0" w:color="auto"/>
            </w:tcBorders>
            <w:noWrap/>
            <w:vAlign w:val="center"/>
            <w:hideMark/>
          </w:tcPr>
          <w:p w:rsidR="00397616" w:rsidRPr="00397616" w14:paraId="037C135B"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10</w:t>
            </w:r>
          </w:p>
        </w:tc>
        <w:tc>
          <w:tcPr>
            <w:tcW w:w="1034" w:type="dxa"/>
            <w:tcBorders>
              <w:top w:val="single" w:sz="4" w:space="0" w:color="auto"/>
              <w:left w:val="nil"/>
              <w:bottom w:val="single" w:sz="4" w:space="0" w:color="auto"/>
              <w:right w:val="single" w:sz="4" w:space="0" w:color="auto"/>
            </w:tcBorders>
            <w:noWrap/>
            <w:vAlign w:val="center"/>
            <w:hideMark/>
          </w:tcPr>
          <w:p w:rsidR="00397616" w:rsidRPr="00397616" w14:paraId="49FF4CF8"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0.25</w:t>
            </w:r>
          </w:p>
        </w:tc>
        <w:tc>
          <w:tcPr>
            <w:tcW w:w="1714" w:type="dxa"/>
            <w:tcBorders>
              <w:top w:val="single" w:sz="4" w:space="0" w:color="auto"/>
              <w:left w:val="nil"/>
              <w:bottom w:val="single" w:sz="4" w:space="0" w:color="auto"/>
              <w:right w:val="single" w:sz="4" w:space="0" w:color="auto"/>
            </w:tcBorders>
            <w:noWrap/>
            <w:vAlign w:val="center"/>
            <w:hideMark/>
          </w:tcPr>
          <w:p w:rsidR="00397616" w:rsidRPr="00397616" w14:paraId="6238A7CC"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3</w:t>
            </w:r>
          </w:p>
        </w:tc>
        <w:tc>
          <w:tcPr>
            <w:tcW w:w="1373" w:type="dxa"/>
            <w:tcBorders>
              <w:top w:val="single" w:sz="4" w:space="0" w:color="auto"/>
              <w:left w:val="nil"/>
              <w:bottom w:val="single" w:sz="4" w:space="0" w:color="auto"/>
              <w:right w:val="single" w:sz="4" w:space="0" w:color="auto"/>
            </w:tcBorders>
            <w:noWrap/>
            <w:vAlign w:val="center"/>
            <w:hideMark/>
          </w:tcPr>
          <w:p w:rsidR="00397616" w:rsidRPr="00397616" w14:paraId="328A37EB"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$124.74</w:t>
            </w:r>
          </w:p>
        </w:tc>
        <w:tc>
          <w:tcPr>
            <w:tcW w:w="1920" w:type="dxa"/>
            <w:tcBorders>
              <w:top w:val="single" w:sz="4" w:space="0" w:color="auto"/>
              <w:left w:val="nil"/>
              <w:bottom w:val="single" w:sz="4" w:space="0" w:color="auto"/>
              <w:right w:val="single" w:sz="4" w:space="0" w:color="auto"/>
            </w:tcBorders>
            <w:noWrap/>
            <w:vAlign w:val="center"/>
            <w:hideMark/>
          </w:tcPr>
          <w:p w:rsidR="00397616" w:rsidRPr="00397616" w14:paraId="7B90010B" w14:textId="77777777">
            <w:pPr>
              <w:jc w:val="center"/>
              <w:rPr>
                <w:b w:val="0"/>
                <w:bCs w:val="0"/>
                <w:kern w:val="2"/>
                <w:sz w:val="24"/>
                <w:szCs w:val="24"/>
                <w14:ligatures w14:val="standardContextual"/>
              </w:rPr>
            </w:pPr>
            <w:r w:rsidRPr="00397616">
              <w:rPr>
                <w:rFonts w:eastAsia="Aptos"/>
                <w:b w:val="0"/>
                <w:bCs w:val="0"/>
                <w:kern w:val="2"/>
                <w:sz w:val="24"/>
                <w:szCs w:val="24"/>
                <w14:ligatures w14:val="standardContextual"/>
              </w:rPr>
              <w:t>$312</w:t>
            </w:r>
          </w:p>
        </w:tc>
      </w:tr>
      <w:tr w14:paraId="470B129B" w14:textId="77777777" w:rsidTr="00B10ECF">
        <w:tblPrEx>
          <w:tblW w:w="9810" w:type="dxa"/>
          <w:tblInd w:w="-5" w:type="dxa"/>
          <w:tblLayout w:type="fixed"/>
          <w:tblLook w:val="04A0"/>
        </w:tblPrEx>
        <w:trPr>
          <w:trHeight w:val="310"/>
        </w:trPr>
        <w:tc>
          <w:tcPr>
            <w:tcW w:w="2481" w:type="dxa"/>
            <w:tcBorders>
              <w:top w:val="single" w:sz="4" w:space="0" w:color="auto"/>
              <w:left w:val="single" w:sz="4" w:space="0" w:color="auto"/>
              <w:bottom w:val="single" w:sz="4" w:space="0" w:color="auto"/>
              <w:right w:val="single" w:sz="4" w:space="0" w:color="auto"/>
            </w:tcBorders>
            <w:noWrap/>
            <w:vAlign w:val="center"/>
            <w:hideMark/>
          </w:tcPr>
          <w:p w:rsidR="00397616" w:rsidRPr="00EE7408" w14:paraId="2E405FA4" w14:textId="77777777">
            <w:pPr>
              <w:jc w:val="center"/>
              <w:rPr>
                <w:kern w:val="2"/>
                <w:sz w:val="24"/>
                <w:szCs w:val="24"/>
                <w14:ligatures w14:val="standardContextual"/>
              </w:rPr>
            </w:pPr>
            <w:r w:rsidRPr="00EE7408">
              <w:rPr>
                <w:kern w:val="2"/>
                <w:sz w:val="24"/>
                <w:szCs w:val="24"/>
                <w14:ligatures w14:val="standardContextual"/>
              </w:rPr>
              <w:t>Total</w:t>
            </w:r>
          </w:p>
        </w:tc>
        <w:tc>
          <w:tcPr>
            <w:tcW w:w="1288" w:type="dxa"/>
            <w:tcBorders>
              <w:top w:val="single" w:sz="4" w:space="0" w:color="auto"/>
              <w:left w:val="single" w:sz="4" w:space="0" w:color="auto"/>
              <w:bottom w:val="single" w:sz="4" w:space="0" w:color="auto"/>
              <w:right w:val="single" w:sz="4" w:space="0" w:color="auto"/>
            </w:tcBorders>
            <w:noWrap/>
            <w:vAlign w:val="center"/>
            <w:hideMark/>
          </w:tcPr>
          <w:p w:rsidR="00397616" w:rsidRPr="00EE7408" w14:paraId="76A1DA4F" w14:textId="77777777">
            <w:pPr>
              <w:jc w:val="center"/>
              <w:rPr>
                <w:kern w:val="2"/>
                <w:sz w:val="24"/>
                <w:szCs w:val="24"/>
                <w14:ligatures w14:val="standardContextual"/>
              </w:rPr>
            </w:pPr>
            <w:r w:rsidRPr="00EE7408">
              <w:rPr>
                <w:sz w:val="24"/>
                <w:szCs w:val="24"/>
              </w:rPr>
              <w:t>336,636</w:t>
            </w:r>
          </w:p>
        </w:tc>
        <w:tc>
          <w:tcPr>
            <w:tcW w:w="1034" w:type="dxa"/>
            <w:tcBorders>
              <w:top w:val="single" w:sz="4" w:space="0" w:color="auto"/>
              <w:left w:val="nil"/>
              <w:bottom w:val="single" w:sz="4" w:space="0" w:color="auto"/>
              <w:right w:val="single" w:sz="4" w:space="0" w:color="auto"/>
            </w:tcBorders>
            <w:noWrap/>
            <w:vAlign w:val="center"/>
            <w:hideMark/>
          </w:tcPr>
          <w:p w:rsidR="00397616" w:rsidRPr="00EE7408" w14:paraId="3A4110B2" w14:textId="77777777">
            <w:pPr>
              <w:jc w:val="center"/>
              <w:rPr>
                <w:kern w:val="2"/>
                <w:sz w:val="24"/>
                <w:szCs w:val="24"/>
                <w14:ligatures w14:val="standardContextual"/>
              </w:rPr>
            </w:pPr>
            <w:r w:rsidRPr="00EE7408">
              <w:rPr>
                <w:sz w:val="24"/>
                <w:szCs w:val="24"/>
              </w:rPr>
              <w:t>-</w:t>
            </w:r>
          </w:p>
        </w:tc>
        <w:tc>
          <w:tcPr>
            <w:tcW w:w="1714" w:type="dxa"/>
            <w:tcBorders>
              <w:top w:val="single" w:sz="4" w:space="0" w:color="auto"/>
              <w:left w:val="nil"/>
              <w:bottom w:val="single" w:sz="4" w:space="0" w:color="auto"/>
              <w:right w:val="single" w:sz="4" w:space="0" w:color="auto"/>
            </w:tcBorders>
            <w:noWrap/>
            <w:vAlign w:val="center"/>
            <w:hideMark/>
          </w:tcPr>
          <w:p w:rsidR="00397616" w:rsidRPr="00EE7408" w14:paraId="6D2A4A36" w14:textId="77777777">
            <w:pPr>
              <w:jc w:val="center"/>
              <w:rPr>
                <w:kern w:val="2"/>
                <w:sz w:val="24"/>
                <w:szCs w:val="24"/>
                <w14:ligatures w14:val="standardContextual"/>
              </w:rPr>
            </w:pPr>
            <w:r w:rsidRPr="00EE7408">
              <w:rPr>
                <w:sz w:val="24"/>
                <w:szCs w:val="24"/>
              </w:rPr>
              <w:t>95,087</w:t>
            </w:r>
          </w:p>
        </w:tc>
        <w:tc>
          <w:tcPr>
            <w:tcW w:w="1373" w:type="dxa"/>
            <w:tcBorders>
              <w:top w:val="single" w:sz="4" w:space="0" w:color="auto"/>
              <w:left w:val="nil"/>
              <w:bottom w:val="single" w:sz="4" w:space="0" w:color="auto"/>
              <w:right w:val="single" w:sz="4" w:space="0" w:color="auto"/>
            </w:tcBorders>
            <w:noWrap/>
            <w:vAlign w:val="center"/>
            <w:hideMark/>
          </w:tcPr>
          <w:p w:rsidR="00397616" w:rsidRPr="00EE7408" w14:paraId="0A6DF9C0" w14:textId="77777777">
            <w:pPr>
              <w:jc w:val="center"/>
              <w:rPr>
                <w:kern w:val="2"/>
                <w:sz w:val="24"/>
                <w:szCs w:val="24"/>
                <w14:ligatures w14:val="standardContextual"/>
              </w:rPr>
            </w:pPr>
            <w:r w:rsidRPr="00EE7408">
              <w:rPr>
                <w:sz w:val="24"/>
                <w:szCs w:val="24"/>
              </w:rPr>
              <w:t>-</w:t>
            </w:r>
          </w:p>
        </w:tc>
        <w:tc>
          <w:tcPr>
            <w:tcW w:w="1920" w:type="dxa"/>
            <w:tcBorders>
              <w:top w:val="single" w:sz="4" w:space="0" w:color="auto"/>
              <w:left w:val="nil"/>
              <w:bottom w:val="single" w:sz="4" w:space="0" w:color="auto"/>
              <w:right w:val="single" w:sz="4" w:space="0" w:color="auto"/>
            </w:tcBorders>
            <w:noWrap/>
            <w:vAlign w:val="center"/>
            <w:hideMark/>
          </w:tcPr>
          <w:p w:rsidR="00397616" w:rsidRPr="00EE7408" w14:paraId="3812DF3E" w14:textId="77777777">
            <w:pPr>
              <w:jc w:val="center"/>
              <w:rPr>
                <w:kern w:val="2"/>
                <w:sz w:val="24"/>
                <w:szCs w:val="24"/>
                <w14:ligatures w14:val="standardContextual"/>
              </w:rPr>
            </w:pPr>
            <w:r w:rsidRPr="00EE7408">
              <w:rPr>
                <w:sz w:val="24"/>
                <w:szCs w:val="24"/>
              </w:rPr>
              <w:t xml:space="preserve">$12,547,664 </w:t>
            </w:r>
          </w:p>
        </w:tc>
      </w:tr>
    </w:tbl>
    <w:p w:rsidR="00BE5CB9" w:rsidRPr="006E1899" w:rsidP="00860F17" w14:paraId="4E611DDE" w14:textId="77777777">
      <w:pPr>
        <w:widowControl/>
        <w:tabs>
          <w:tab w:val="left" w:pos="-1440"/>
        </w:tabs>
        <w:rPr>
          <w:b w:val="0"/>
          <w:bCs w:val="0"/>
          <w:iCs/>
          <w:sz w:val="24"/>
          <w:szCs w:val="24"/>
        </w:rPr>
      </w:pPr>
    </w:p>
    <w:p w:rsidR="006E1899" w:rsidRPr="00CA0B11" w:rsidP="00CA0B11" w14:paraId="3E8FDEAE" w14:textId="1A5B6124">
      <w:pPr>
        <w:pStyle w:val="ListParagraph"/>
        <w:widowControl/>
        <w:numPr>
          <w:ilvl w:val="0"/>
          <w:numId w:val="45"/>
        </w:numPr>
        <w:tabs>
          <w:tab w:val="left" w:pos="-1440"/>
        </w:tabs>
        <w:rPr>
          <w:sz w:val="24"/>
          <w:szCs w:val="24"/>
          <w:u w:val="single"/>
        </w:rPr>
      </w:pPr>
      <w:r w:rsidRPr="00CA0B11">
        <w:rPr>
          <w:sz w:val="24"/>
          <w:szCs w:val="24"/>
          <w:u w:val="single"/>
        </w:rPr>
        <w:t>Audit Right Costs</w:t>
      </w:r>
    </w:p>
    <w:p w:rsidR="00BD3FBB" w:rsidRPr="00BD3FBB" w:rsidP="007F5B4A" w14:paraId="22A597C2" w14:textId="072235E1">
      <w:pPr>
        <w:widowControl/>
        <w:tabs>
          <w:tab w:val="left" w:pos="-1440"/>
        </w:tabs>
        <w:rPr>
          <w:b w:val="0"/>
          <w:bCs w:val="0"/>
          <w:iCs/>
          <w:sz w:val="24"/>
          <w:szCs w:val="24"/>
        </w:rPr>
      </w:pPr>
    </w:p>
    <w:p w:rsidR="00E82E7B" w:rsidP="00E82E7B" w14:paraId="51D78CD2" w14:textId="7A918EA3">
      <w:pPr>
        <w:widowControl/>
        <w:autoSpaceDE/>
        <w:autoSpaceDN/>
        <w:adjustRightInd/>
        <w:ind w:left="720"/>
        <w:contextualSpacing/>
        <w:rPr>
          <w:rFonts w:eastAsia="Calibri"/>
          <w:b w:val="0"/>
          <w:bCs w:val="0"/>
          <w:sz w:val="24"/>
          <w:szCs w:val="24"/>
        </w:rPr>
      </w:pPr>
      <w:r w:rsidRPr="00E82E7B">
        <w:rPr>
          <w:rFonts w:eastAsia="Calibri"/>
          <w:b w:val="0"/>
          <w:bCs w:val="0"/>
          <w:sz w:val="24"/>
          <w:szCs w:val="24"/>
        </w:rPr>
        <w:t xml:space="preserve">A right to audit the veracity of </w:t>
      </w:r>
      <w:r w:rsidRPr="00E82E7B">
        <w:rPr>
          <w:rFonts w:eastAsia="Calibri"/>
          <w:b w:val="0"/>
          <w:bCs w:val="0"/>
          <w:sz w:val="24"/>
          <w:szCs w:val="24"/>
        </w:rPr>
        <w:t>any and all</w:t>
      </w:r>
      <w:r w:rsidRPr="00E82E7B">
        <w:rPr>
          <w:rFonts w:eastAsia="Calibri"/>
          <w:b w:val="0"/>
          <w:bCs w:val="0"/>
          <w:sz w:val="24"/>
          <w:szCs w:val="24"/>
        </w:rPr>
        <w:t xml:space="preserve"> disclosures made by the PBM or other covered service provider to a responsible plan fiduciary under the regulation is an essential part of the final rule’s framework for establishing transparency in the marketplace for pharmacy benefit management services. This includes the responsibility of the PBM or other covered service provider to deliver all necessary information to conduct such an audit, subject to reasonable confidentiality agreements that prevent redisclosure of such information and limit its use to purposes related to </w:t>
      </w:r>
      <w:r w:rsidR="00201B37">
        <w:rPr>
          <w:rFonts w:eastAsia="Calibri"/>
          <w:b w:val="0"/>
          <w:bCs w:val="0"/>
          <w:sz w:val="24"/>
          <w:szCs w:val="24"/>
        </w:rPr>
        <w:t>the covered plan’s contract or arrangement</w:t>
      </w:r>
      <w:r w:rsidRPr="00E82E7B">
        <w:rPr>
          <w:rFonts w:eastAsia="Calibri"/>
          <w:b w:val="0"/>
          <w:bCs w:val="0"/>
          <w:sz w:val="24"/>
          <w:szCs w:val="24"/>
        </w:rPr>
        <w:t xml:space="preserve">. Though the final rule does not impose an obligation for responsible plan fiduciaries to conduct an audit, it does require that the PBM or other covered service provider allow, not less than once per year, for the self-insured group health plan to conduct an audit for accuracy of any disclosures made to comply with the regulation. </w:t>
      </w:r>
    </w:p>
    <w:p w:rsidR="00E82E7B" w:rsidP="00E82E7B" w14:paraId="68EB2FBC" w14:textId="77777777">
      <w:pPr>
        <w:widowControl/>
        <w:autoSpaceDE/>
        <w:autoSpaceDN/>
        <w:adjustRightInd/>
        <w:ind w:left="720"/>
        <w:contextualSpacing/>
        <w:rPr>
          <w:rFonts w:eastAsia="Calibri"/>
          <w:b w:val="0"/>
          <w:bCs w:val="0"/>
          <w:sz w:val="24"/>
          <w:szCs w:val="24"/>
        </w:rPr>
      </w:pPr>
    </w:p>
    <w:p w:rsidR="00E82E7B" w:rsidP="00E82E7B" w14:paraId="68188C56" w14:textId="34317891">
      <w:pPr>
        <w:widowControl/>
        <w:autoSpaceDE/>
        <w:autoSpaceDN/>
        <w:adjustRightInd/>
        <w:ind w:left="720"/>
        <w:contextualSpacing/>
        <w:rPr>
          <w:rFonts w:eastAsia="Calibri"/>
          <w:b w:val="0"/>
          <w:bCs w:val="0"/>
          <w:sz w:val="24"/>
          <w:szCs w:val="24"/>
        </w:rPr>
      </w:pPr>
      <w:r w:rsidRPr="00E82E7B">
        <w:rPr>
          <w:rFonts w:eastAsia="Calibri"/>
          <w:b w:val="0"/>
          <w:bCs w:val="0"/>
          <w:sz w:val="24"/>
          <w:szCs w:val="24"/>
        </w:rPr>
        <w:t>Under the final rule, the cost of selecting an auditor and performing an audit of PBMs and other service providers is borne by the plan itself, while service providers are required to provide the necessary information to the self-insured group health plan or its auditor without conditions that would restrict the self-insured group health plan’s right to conduct the audit. The PBM or other covered service provider must confirm receipt of the audit request within 10 business days and must provide the information within a commercially reasonable period.</w:t>
      </w:r>
    </w:p>
    <w:p w:rsidR="00E82E7B" w:rsidRPr="00E82E7B" w:rsidP="00E82E7B" w14:paraId="10CCBC87" w14:textId="1A42A0CB">
      <w:pPr>
        <w:widowControl/>
        <w:autoSpaceDE/>
        <w:autoSpaceDN/>
        <w:adjustRightInd/>
        <w:contextualSpacing/>
        <w:rPr>
          <w:rFonts w:eastAsia="Calibri"/>
          <w:b w:val="0"/>
          <w:bCs w:val="0"/>
          <w:sz w:val="24"/>
          <w:szCs w:val="24"/>
        </w:rPr>
      </w:pPr>
    </w:p>
    <w:p w:rsidR="00E82E7B" w:rsidP="00E82E7B" w14:paraId="19692F22" w14:textId="77777777">
      <w:pPr>
        <w:widowControl/>
        <w:autoSpaceDE/>
        <w:autoSpaceDN/>
        <w:adjustRightInd/>
        <w:ind w:left="720"/>
        <w:contextualSpacing/>
        <w:rPr>
          <w:rFonts w:eastAsia="Calibri"/>
          <w:b w:val="0"/>
          <w:bCs w:val="0"/>
          <w:sz w:val="24"/>
          <w:szCs w:val="24"/>
        </w:rPr>
      </w:pPr>
      <w:r w:rsidRPr="00E82E7B">
        <w:rPr>
          <w:rFonts w:eastAsia="Calibri"/>
          <w:b w:val="0"/>
          <w:bCs w:val="0"/>
          <w:sz w:val="24"/>
          <w:szCs w:val="24"/>
        </w:rPr>
        <w:t>The Department estimates that only one-third of self-insured group health plans will annually submit a request to their PBM or other covered service provider for all information necessary to perform an audit. This assumption is based on PBM contracts being structured around a three-year master agreement and audits typically taking six to nine months to complete, making it challenging to conduct more than one audit in a given contract period.</w:t>
      </w:r>
      <w:r>
        <w:rPr>
          <w:rFonts w:eastAsia="Calibri"/>
          <w:b w:val="0"/>
          <w:bCs w:val="0"/>
          <w:sz w:val="24"/>
          <w:szCs w:val="24"/>
          <w:vertAlign w:val="superscript"/>
        </w:rPr>
        <w:footnoteReference w:id="31"/>
      </w:r>
      <w:r w:rsidRPr="00E82E7B">
        <w:rPr>
          <w:rFonts w:eastAsia="Calibri"/>
          <w:b w:val="0"/>
          <w:bCs w:val="0"/>
          <w:sz w:val="24"/>
          <w:szCs w:val="24"/>
        </w:rPr>
        <w:t xml:space="preserve"> As one commenter stated, PBM contracts are usually set up as one-to-three-year agreements, with three years being the typical standard. These contracts </w:t>
      </w:r>
      <w:r w:rsidRPr="00E82E7B">
        <w:rPr>
          <w:rFonts w:eastAsia="Calibri"/>
          <w:b w:val="0"/>
          <w:bCs w:val="0"/>
          <w:sz w:val="24"/>
          <w:szCs w:val="24"/>
        </w:rPr>
        <w:t>often renew</w:t>
      </w:r>
      <w:r w:rsidRPr="00E82E7B">
        <w:rPr>
          <w:rFonts w:eastAsia="Calibri"/>
          <w:b w:val="0"/>
          <w:bCs w:val="0"/>
          <w:sz w:val="24"/>
          <w:szCs w:val="24"/>
        </w:rPr>
        <w:t xml:space="preserve"> automatically unless one party provides an advance notice to end the agreement.</w:t>
      </w:r>
    </w:p>
    <w:p w:rsidR="00E82E7B" w:rsidRPr="00E82E7B" w:rsidP="00E82E7B" w14:paraId="49DB5388" w14:textId="77777777">
      <w:pPr>
        <w:widowControl/>
        <w:autoSpaceDE/>
        <w:autoSpaceDN/>
        <w:adjustRightInd/>
        <w:ind w:left="720"/>
        <w:contextualSpacing/>
        <w:rPr>
          <w:rFonts w:eastAsia="Calibri"/>
          <w:b w:val="0"/>
          <w:bCs w:val="0"/>
          <w:sz w:val="24"/>
          <w:szCs w:val="24"/>
        </w:rPr>
      </w:pPr>
    </w:p>
    <w:p w:rsidR="00E82E7B" w:rsidP="00E82E7B" w14:paraId="7341E5A5" w14:textId="78E919F0">
      <w:pPr>
        <w:widowControl/>
        <w:autoSpaceDE/>
        <w:autoSpaceDN/>
        <w:adjustRightInd/>
        <w:ind w:left="720"/>
        <w:contextualSpacing/>
        <w:rPr>
          <w:rFonts w:eastAsia="Calibri"/>
          <w:b w:val="0"/>
          <w:bCs w:val="0"/>
          <w:sz w:val="24"/>
          <w:szCs w:val="24"/>
        </w:rPr>
      </w:pPr>
      <w:r w:rsidRPr="00E82E7B">
        <w:rPr>
          <w:rFonts w:eastAsia="Calibri"/>
          <w:b w:val="0"/>
          <w:bCs w:val="0"/>
          <w:sz w:val="24"/>
          <w:szCs w:val="24"/>
        </w:rPr>
        <w:t>To estimate the burden associated with responding to an audit request, the Department assumes that PBMs already have access to all information and data available, but may require time to compile the records, data and other necessary information, including contracts with retail pharmacies and drug manufacturers, for each self-insured group health plan. As one commenter stated, PBMs already collect and analyze the data underlying these disclosures as part of their normal business operations to negotiate with manufacturers, establish pharmacy reimbursement rates, design formularies, and report to State regulators and CMS (for Medicare Part D). Additionally, because this disclosure will also include contracts with agents, affiliates and service providers such as retail pharmacies and drug manufacturers, the Department also assumes that PBM may require additional legal assistance to put in place confidentiality agreements to prevent sharing of the disclosed information.</w:t>
      </w:r>
    </w:p>
    <w:p w:rsidR="00E82E7B" w:rsidRPr="00E82E7B" w:rsidP="00E82E7B" w14:paraId="6D3FA21F" w14:textId="77777777">
      <w:pPr>
        <w:widowControl/>
        <w:autoSpaceDE/>
        <w:autoSpaceDN/>
        <w:adjustRightInd/>
        <w:contextualSpacing/>
        <w:rPr>
          <w:rFonts w:eastAsia="Calibri"/>
          <w:b w:val="0"/>
          <w:bCs w:val="0"/>
          <w:sz w:val="24"/>
          <w:szCs w:val="24"/>
        </w:rPr>
      </w:pPr>
    </w:p>
    <w:p w:rsidR="0002248A" w:rsidRPr="0002248A" w:rsidP="0002248A" w14:paraId="01E58414" w14:textId="657E006B">
      <w:pPr>
        <w:widowControl/>
        <w:autoSpaceDE/>
        <w:autoSpaceDN/>
        <w:adjustRightInd/>
        <w:ind w:left="720"/>
        <w:contextualSpacing/>
        <w:rPr>
          <w:rFonts w:eastAsia="Calibri"/>
          <w:b w:val="0"/>
          <w:bCs w:val="0"/>
          <w:sz w:val="24"/>
          <w:szCs w:val="24"/>
        </w:rPr>
      </w:pPr>
      <w:r w:rsidRPr="00E82E7B">
        <w:rPr>
          <w:rFonts w:eastAsia="Calibri"/>
          <w:b w:val="0"/>
          <w:bCs w:val="0"/>
          <w:sz w:val="24"/>
          <w:szCs w:val="24"/>
        </w:rPr>
        <w:t xml:space="preserve">Therefore, the Department assumes that PBMs will rely on standardized templates and batch processing to prepare the audit request. The Department estimates it will take 30 minutes for a benefit specialist at a TPA or issuer to prepare and send the audit request on behalf of </w:t>
      </w:r>
      <w:r w:rsidRPr="00E82E7B">
        <w:rPr>
          <w:b w:val="0"/>
          <w:bCs w:val="0"/>
          <w:sz w:val="24"/>
          <w:szCs w:val="24"/>
        </w:rPr>
        <w:t xml:space="preserve">self-insured group health plans with </w:t>
      </w:r>
      <w:r w:rsidRPr="00E82E7B">
        <w:rPr>
          <w:rFonts w:eastAsia="Calibri"/>
          <w:b w:val="0"/>
          <w:bCs w:val="0"/>
          <w:sz w:val="24"/>
          <w:szCs w:val="24"/>
        </w:rPr>
        <w:t>100 or more participants and beneficiaries. The Department also assumes it will take two hours of a PBM’s benefit specialist and IT staff’s time to prepare and disclose information needed for each requested audit, at a composite wage rate of $151.41.</w:t>
      </w:r>
      <w:r>
        <w:rPr>
          <w:rFonts w:eastAsia="Calibri"/>
          <w:b w:val="0"/>
          <w:bCs w:val="0"/>
          <w:sz w:val="24"/>
          <w:szCs w:val="24"/>
          <w:vertAlign w:val="superscript"/>
        </w:rPr>
        <w:footnoteReference w:id="32"/>
      </w:r>
      <w:r w:rsidRPr="00E82E7B">
        <w:rPr>
          <w:rFonts w:eastAsia="Calibri"/>
          <w:b w:val="0"/>
          <w:bCs w:val="0"/>
          <w:sz w:val="24"/>
          <w:szCs w:val="24"/>
        </w:rPr>
        <w:t xml:space="preserve"> This includes the time to retrieve documents, gather data and put in place any necessary confidentiality agreements. </w:t>
      </w:r>
      <w:r w:rsidRPr="0002248A">
        <w:rPr>
          <w:rFonts w:eastAsia="Calibri"/>
          <w:b w:val="0"/>
          <w:bCs w:val="0"/>
          <w:sz w:val="24"/>
          <w:szCs w:val="24"/>
        </w:rPr>
        <w:t>Please see Table</w:t>
      </w:r>
      <w:r>
        <w:rPr>
          <w:rFonts w:eastAsia="Calibri"/>
          <w:b w:val="0"/>
          <w:bCs w:val="0"/>
          <w:sz w:val="24"/>
          <w:szCs w:val="24"/>
        </w:rPr>
        <w:t xml:space="preserve"> 4</w:t>
      </w:r>
      <w:r w:rsidRPr="0002248A">
        <w:rPr>
          <w:rFonts w:eastAsia="Calibri"/>
          <w:b w:val="0"/>
          <w:bCs w:val="0"/>
          <w:sz w:val="24"/>
          <w:szCs w:val="24"/>
        </w:rPr>
        <w:t xml:space="preserve"> for calculations and burden. </w:t>
      </w:r>
    </w:p>
    <w:p w:rsidR="00F23B39" w:rsidRPr="003A3C25" w:rsidP="00F96911" w14:paraId="3D849AFE" w14:textId="77777777">
      <w:pPr>
        <w:widowControl/>
        <w:tabs>
          <w:tab w:val="left" w:pos="-1440"/>
        </w:tabs>
        <w:rPr>
          <w:b w:val="0"/>
          <w:bCs w:val="0"/>
          <w:iCs/>
          <w:sz w:val="24"/>
          <w:szCs w:val="24"/>
        </w:rPr>
      </w:pPr>
    </w:p>
    <w:p w:rsidR="006E1899" w:rsidRPr="006E1899" w:rsidP="00CA7375" w14:paraId="5D35ED1C" w14:textId="60729B74">
      <w:pPr>
        <w:pStyle w:val="Heading3"/>
      </w:pPr>
      <w:r w:rsidRPr="006E1899">
        <w:t xml:space="preserve">TABLE </w:t>
      </w:r>
      <w:r w:rsidR="00CA7375">
        <w:t>4</w:t>
      </w:r>
      <w:r w:rsidRPr="006E1899">
        <w:t>. Annual Audit Cost</w:t>
      </w:r>
    </w:p>
    <w:p w:rsidR="006E1899" w:rsidP="006E1899" w14:paraId="0DCA0C1D" w14:textId="77777777">
      <w:pPr>
        <w:widowControl/>
        <w:tabs>
          <w:tab w:val="left" w:pos="-1440"/>
        </w:tabs>
        <w:ind w:left="720"/>
        <w:rPr>
          <w:b w:val="0"/>
          <w:bCs w:val="0"/>
          <w:iCs/>
          <w:sz w:val="24"/>
          <w:szCs w:val="24"/>
        </w:rPr>
      </w:pPr>
    </w:p>
    <w:tbl>
      <w:tblPr>
        <w:tblW w:w="9985" w:type="dxa"/>
        <w:tblLayout w:type="fixed"/>
        <w:tblLook w:val="04A0"/>
      </w:tblPr>
      <w:tblGrid>
        <w:gridCol w:w="2332"/>
        <w:gridCol w:w="1540"/>
        <w:gridCol w:w="1433"/>
        <w:gridCol w:w="1710"/>
        <w:gridCol w:w="1138"/>
        <w:gridCol w:w="1832"/>
      </w:tblGrid>
      <w:tr w14:paraId="18BDAD4E" w14:textId="77777777">
        <w:tblPrEx>
          <w:tblW w:w="9985" w:type="dxa"/>
          <w:tblLayout w:type="fixed"/>
          <w:tblLook w:val="04A0"/>
        </w:tblPrEx>
        <w:trPr>
          <w:trHeight w:val="647"/>
        </w:trPr>
        <w:tc>
          <w:tcPr>
            <w:tcW w:w="2332" w:type="dxa"/>
            <w:tcBorders>
              <w:top w:val="single" w:sz="4" w:space="0" w:color="auto"/>
              <w:left w:val="single" w:sz="4" w:space="0" w:color="auto"/>
              <w:bottom w:val="single" w:sz="4" w:space="0" w:color="auto"/>
              <w:right w:val="nil"/>
            </w:tcBorders>
            <w:noWrap/>
            <w:vAlign w:val="bottom"/>
            <w:hideMark/>
          </w:tcPr>
          <w:p w:rsidR="000364F5" w:rsidRPr="00842292" w14:paraId="6E310CF0" w14:textId="77777777">
            <w:pPr>
              <w:rPr>
                <w:sz w:val="24"/>
                <w:szCs w:val="24"/>
              </w:rPr>
            </w:pPr>
            <w:r w:rsidRPr="00842292">
              <w:rPr>
                <w:sz w:val="24"/>
                <w:szCs w:val="24"/>
              </w:rPr>
              <w:t> </w:t>
            </w:r>
          </w:p>
        </w:tc>
        <w:tc>
          <w:tcPr>
            <w:tcW w:w="1540" w:type="dxa"/>
            <w:tcBorders>
              <w:top w:val="single" w:sz="4" w:space="0" w:color="auto"/>
              <w:left w:val="single" w:sz="4" w:space="0" w:color="auto"/>
              <w:bottom w:val="single" w:sz="4" w:space="0" w:color="auto"/>
              <w:right w:val="single" w:sz="4" w:space="0" w:color="auto"/>
            </w:tcBorders>
            <w:vAlign w:val="center"/>
            <w:hideMark/>
          </w:tcPr>
          <w:p w:rsidR="000364F5" w:rsidRPr="00842292" w14:paraId="6ACA46E0" w14:textId="77777777">
            <w:pPr>
              <w:jc w:val="center"/>
              <w:rPr>
                <w:b w:val="0"/>
                <w:sz w:val="24"/>
                <w:szCs w:val="24"/>
              </w:rPr>
            </w:pPr>
            <w:r w:rsidRPr="00842292">
              <w:rPr>
                <w:sz w:val="24"/>
                <w:szCs w:val="24"/>
              </w:rPr>
              <w:t xml:space="preserve">Number of </w:t>
            </w:r>
            <w:r w:rsidRPr="00842292">
              <w:rPr>
                <w:kern w:val="2"/>
                <w:sz w:val="24"/>
                <w:szCs w:val="24"/>
                <w14:ligatures w14:val="standardContextual"/>
              </w:rPr>
              <w:t>Requests</w:t>
            </w:r>
          </w:p>
        </w:tc>
        <w:tc>
          <w:tcPr>
            <w:tcW w:w="1433" w:type="dxa"/>
            <w:tcBorders>
              <w:top w:val="single" w:sz="4" w:space="0" w:color="auto"/>
              <w:left w:val="nil"/>
              <w:bottom w:val="single" w:sz="4" w:space="0" w:color="auto"/>
              <w:right w:val="single" w:sz="4" w:space="0" w:color="auto"/>
            </w:tcBorders>
            <w:vAlign w:val="center"/>
            <w:hideMark/>
          </w:tcPr>
          <w:p w:rsidR="000364F5" w:rsidRPr="00842292" w14:paraId="6D0DEA98" w14:textId="77777777">
            <w:pPr>
              <w:jc w:val="center"/>
              <w:rPr>
                <w:b w:val="0"/>
                <w:sz w:val="24"/>
                <w:szCs w:val="24"/>
              </w:rPr>
            </w:pPr>
            <w:r w:rsidRPr="00842292">
              <w:rPr>
                <w:sz w:val="24"/>
                <w:szCs w:val="24"/>
              </w:rPr>
              <w:t xml:space="preserve">Number of Hours Per </w:t>
            </w:r>
            <w:r w:rsidRPr="00842292">
              <w:rPr>
                <w:kern w:val="2"/>
                <w:sz w:val="24"/>
                <w:szCs w:val="24"/>
                <w14:ligatures w14:val="standardContextual"/>
              </w:rPr>
              <w:t>Requests</w:t>
            </w:r>
          </w:p>
        </w:tc>
        <w:tc>
          <w:tcPr>
            <w:tcW w:w="1710" w:type="dxa"/>
            <w:tcBorders>
              <w:top w:val="single" w:sz="4" w:space="0" w:color="auto"/>
              <w:left w:val="nil"/>
              <w:bottom w:val="single" w:sz="4" w:space="0" w:color="auto"/>
              <w:right w:val="single" w:sz="4" w:space="0" w:color="auto"/>
            </w:tcBorders>
            <w:vAlign w:val="center"/>
            <w:hideMark/>
          </w:tcPr>
          <w:p w:rsidR="000364F5" w:rsidRPr="00842292" w14:paraId="49EDC6B9" w14:textId="77777777">
            <w:pPr>
              <w:jc w:val="center"/>
              <w:rPr>
                <w:b w:val="0"/>
                <w:sz w:val="24"/>
                <w:szCs w:val="24"/>
              </w:rPr>
            </w:pPr>
            <w:r w:rsidRPr="00842292">
              <w:rPr>
                <w:sz w:val="24"/>
                <w:szCs w:val="24"/>
              </w:rPr>
              <w:t>Total Hour Burden</w:t>
            </w:r>
          </w:p>
        </w:tc>
        <w:tc>
          <w:tcPr>
            <w:tcW w:w="1138" w:type="dxa"/>
            <w:tcBorders>
              <w:top w:val="single" w:sz="4" w:space="0" w:color="auto"/>
              <w:left w:val="nil"/>
              <w:bottom w:val="single" w:sz="4" w:space="0" w:color="auto"/>
              <w:right w:val="single" w:sz="4" w:space="0" w:color="auto"/>
            </w:tcBorders>
            <w:vAlign w:val="center"/>
            <w:hideMark/>
          </w:tcPr>
          <w:p w:rsidR="000364F5" w:rsidRPr="00842292" w14:paraId="41ED8AA3" w14:textId="77777777">
            <w:pPr>
              <w:jc w:val="center"/>
              <w:rPr>
                <w:b w:val="0"/>
                <w:sz w:val="24"/>
                <w:szCs w:val="24"/>
              </w:rPr>
            </w:pPr>
            <w:r w:rsidRPr="00842292">
              <w:rPr>
                <w:sz w:val="24"/>
                <w:szCs w:val="24"/>
              </w:rPr>
              <w:t>Hourly Wage</w:t>
            </w:r>
          </w:p>
        </w:tc>
        <w:tc>
          <w:tcPr>
            <w:tcW w:w="1832" w:type="dxa"/>
            <w:tcBorders>
              <w:top w:val="single" w:sz="4" w:space="0" w:color="auto"/>
              <w:left w:val="nil"/>
              <w:bottom w:val="single" w:sz="4" w:space="0" w:color="auto"/>
              <w:right w:val="single" w:sz="4" w:space="0" w:color="auto"/>
            </w:tcBorders>
            <w:vAlign w:val="center"/>
            <w:hideMark/>
          </w:tcPr>
          <w:p w:rsidR="000364F5" w:rsidRPr="00842292" w14:paraId="50EC6A7A" w14:textId="77777777">
            <w:pPr>
              <w:jc w:val="center"/>
              <w:rPr>
                <w:b w:val="0"/>
                <w:sz w:val="24"/>
                <w:szCs w:val="24"/>
              </w:rPr>
            </w:pPr>
            <w:r w:rsidRPr="00842292">
              <w:rPr>
                <w:sz w:val="24"/>
                <w:szCs w:val="24"/>
              </w:rPr>
              <w:t>Cost Equivalent of Hour Burden</w:t>
            </w:r>
          </w:p>
        </w:tc>
      </w:tr>
      <w:tr w14:paraId="521FB463" w14:textId="77777777">
        <w:tblPrEx>
          <w:tblW w:w="9985" w:type="dxa"/>
          <w:tblLayout w:type="fixed"/>
          <w:tblLook w:val="04A0"/>
        </w:tblPrEx>
        <w:trPr>
          <w:trHeight w:val="480"/>
        </w:trPr>
        <w:tc>
          <w:tcPr>
            <w:tcW w:w="2332" w:type="dxa"/>
            <w:tcBorders>
              <w:top w:val="nil"/>
              <w:left w:val="single" w:sz="4" w:space="0" w:color="auto"/>
              <w:bottom w:val="nil"/>
              <w:right w:val="single" w:sz="4" w:space="0" w:color="auto"/>
            </w:tcBorders>
            <w:noWrap/>
            <w:vAlign w:val="bottom"/>
            <w:hideMark/>
          </w:tcPr>
          <w:p w:rsidR="000364F5" w:rsidRPr="00842292" w14:paraId="3FAE3ACA" w14:textId="77777777">
            <w:pPr>
              <w:jc w:val="center"/>
              <w:rPr>
                <w:sz w:val="24"/>
                <w:szCs w:val="24"/>
              </w:rPr>
            </w:pPr>
          </w:p>
        </w:tc>
        <w:tc>
          <w:tcPr>
            <w:tcW w:w="1540" w:type="dxa"/>
            <w:tcBorders>
              <w:top w:val="nil"/>
              <w:left w:val="nil"/>
              <w:bottom w:val="nil"/>
              <w:right w:val="single" w:sz="4" w:space="0" w:color="auto"/>
            </w:tcBorders>
            <w:vAlign w:val="center"/>
            <w:hideMark/>
          </w:tcPr>
          <w:p w:rsidR="000364F5" w:rsidRPr="00842292" w14:paraId="1A122CBB" w14:textId="77777777">
            <w:pPr>
              <w:jc w:val="center"/>
              <w:rPr>
                <w:b w:val="0"/>
                <w:sz w:val="24"/>
                <w:szCs w:val="24"/>
              </w:rPr>
            </w:pPr>
            <w:r w:rsidRPr="00842292">
              <w:rPr>
                <w:sz w:val="24"/>
                <w:szCs w:val="24"/>
              </w:rPr>
              <w:t>(A)</w:t>
            </w:r>
          </w:p>
        </w:tc>
        <w:tc>
          <w:tcPr>
            <w:tcW w:w="1433" w:type="dxa"/>
            <w:tcBorders>
              <w:top w:val="nil"/>
              <w:left w:val="nil"/>
              <w:bottom w:val="nil"/>
              <w:right w:val="single" w:sz="4" w:space="0" w:color="auto"/>
            </w:tcBorders>
            <w:vAlign w:val="center"/>
            <w:hideMark/>
          </w:tcPr>
          <w:p w:rsidR="000364F5" w:rsidRPr="00842292" w14:paraId="464AB123" w14:textId="77777777">
            <w:pPr>
              <w:jc w:val="center"/>
              <w:rPr>
                <w:b w:val="0"/>
                <w:sz w:val="24"/>
                <w:szCs w:val="24"/>
              </w:rPr>
            </w:pPr>
            <w:r w:rsidRPr="00842292">
              <w:rPr>
                <w:sz w:val="24"/>
                <w:szCs w:val="24"/>
              </w:rPr>
              <w:t>(B)</w:t>
            </w:r>
          </w:p>
        </w:tc>
        <w:tc>
          <w:tcPr>
            <w:tcW w:w="1710" w:type="dxa"/>
            <w:tcBorders>
              <w:top w:val="nil"/>
              <w:left w:val="nil"/>
              <w:bottom w:val="nil"/>
              <w:right w:val="single" w:sz="4" w:space="0" w:color="auto"/>
            </w:tcBorders>
            <w:vAlign w:val="center"/>
            <w:hideMark/>
          </w:tcPr>
          <w:p w:rsidR="000364F5" w:rsidRPr="00842292" w14:paraId="3A7A7630" w14:textId="77777777">
            <w:pPr>
              <w:jc w:val="center"/>
              <w:rPr>
                <w:b w:val="0"/>
                <w:sz w:val="24"/>
                <w:szCs w:val="24"/>
              </w:rPr>
            </w:pPr>
            <w:r w:rsidRPr="00842292">
              <w:rPr>
                <w:sz w:val="24"/>
                <w:szCs w:val="24"/>
              </w:rPr>
              <w:t>(C) = (A x B)</w:t>
            </w:r>
          </w:p>
        </w:tc>
        <w:tc>
          <w:tcPr>
            <w:tcW w:w="1138" w:type="dxa"/>
            <w:tcBorders>
              <w:top w:val="nil"/>
              <w:left w:val="nil"/>
              <w:bottom w:val="nil"/>
              <w:right w:val="single" w:sz="4" w:space="0" w:color="auto"/>
            </w:tcBorders>
            <w:vAlign w:val="center"/>
            <w:hideMark/>
          </w:tcPr>
          <w:p w:rsidR="000364F5" w:rsidRPr="00842292" w14:paraId="0714ED8D" w14:textId="77777777">
            <w:pPr>
              <w:jc w:val="center"/>
              <w:rPr>
                <w:b w:val="0"/>
                <w:sz w:val="24"/>
                <w:szCs w:val="24"/>
              </w:rPr>
            </w:pPr>
            <w:r w:rsidRPr="00842292">
              <w:rPr>
                <w:sz w:val="24"/>
                <w:szCs w:val="24"/>
              </w:rPr>
              <w:t>(D)</w:t>
            </w:r>
          </w:p>
        </w:tc>
        <w:tc>
          <w:tcPr>
            <w:tcW w:w="1832" w:type="dxa"/>
            <w:tcBorders>
              <w:top w:val="nil"/>
              <w:left w:val="nil"/>
              <w:bottom w:val="nil"/>
              <w:right w:val="single" w:sz="4" w:space="0" w:color="auto"/>
            </w:tcBorders>
            <w:vAlign w:val="center"/>
            <w:hideMark/>
          </w:tcPr>
          <w:p w:rsidR="000364F5" w:rsidRPr="00842292" w14:paraId="48E9F318" w14:textId="77777777">
            <w:pPr>
              <w:jc w:val="center"/>
              <w:rPr>
                <w:b w:val="0"/>
                <w:sz w:val="24"/>
                <w:szCs w:val="24"/>
              </w:rPr>
            </w:pPr>
            <w:r w:rsidRPr="00842292">
              <w:rPr>
                <w:sz w:val="24"/>
                <w:szCs w:val="24"/>
              </w:rPr>
              <w:t>(E) = (C x D)</w:t>
            </w:r>
          </w:p>
        </w:tc>
      </w:tr>
      <w:tr w14:paraId="407246B2" w14:textId="77777777">
        <w:tblPrEx>
          <w:tblW w:w="9985" w:type="dxa"/>
          <w:tblLayout w:type="fixed"/>
          <w:tblLook w:val="04A0"/>
        </w:tblPrEx>
        <w:trPr>
          <w:trHeight w:val="98"/>
        </w:trPr>
        <w:tc>
          <w:tcPr>
            <w:tcW w:w="9985" w:type="dxa"/>
            <w:gridSpan w:val="6"/>
            <w:tcBorders>
              <w:top w:val="single" w:sz="4" w:space="0" w:color="auto"/>
              <w:left w:val="single" w:sz="4" w:space="0" w:color="auto"/>
              <w:bottom w:val="single" w:sz="4" w:space="0" w:color="auto"/>
              <w:right w:val="single" w:sz="4" w:space="0" w:color="000000"/>
            </w:tcBorders>
            <w:noWrap/>
            <w:vAlign w:val="bottom"/>
            <w:hideMark/>
          </w:tcPr>
          <w:p w:rsidR="000364F5" w:rsidRPr="00842292" w:rsidP="00842292" w14:paraId="25581D8C" w14:textId="77777777">
            <w:pPr>
              <w:jc w:val="center"/>
              <w:rPr>
                <w:b w:val="0"/>
                <w:i/>
                <w:sz w:val="24"/>
                <w:szCs w:val="24"/>
                <w:u w:val="single"/>
              </w:rPr>
            </w:pPr>
            <w:r w:rsidRPr="00842292">
              <w:rPr>
                <w:kern w:val="2"/>
                <w:sz w:val="24"/>
                <w:szCs w:val="24"/>
                <w:u w:val="single"/>
                <w14:ligatures w14:val="standardContextual"/>
              </w:rPr>
              <w:t>Self</w:t>
            </w:r>
            <w:r w:rsidRPr="00842292">
              <w:rPr>
                <w:i/>
                <w:sz w:val="24"/>
                <w:szCs w:val="24"/>
                <w:u w:val="single"/>
              </w:rPr>
              <w:t xml:space="preserve">-insured group health plans with </w:t>
            </w:r>
            <w:r w:rsidRPr="00842292">
              <w:rPr>
                <w:kern w:val="2"/>
                <w:sz w:val="24"/>
                <w:szCs w:val="24"/>
                <w:u w:val="single"/>
                <w14:ligatures w14:val="standardContextual"/>
              </w:rPr>
              <w:t>100 or more participants and beneficiaries send audit request</w:t>
            </w:r>
          </w:p>
        </w:tc>
      </w:tr>
      <w:tr w14:paraId="7C31696E" w14:textId="77777777">
        <w:tblPrEx>
          <w:tblW w:w="9985" w:type="dxa"/>
          <w:tblLayout w:type="fixed"/>
          <w:tblLook w:val="04A0"/>
        </w:tblPrEx>
        <w:trPr>
          <w:trHeight w:val="548"/>
        </w:trPr>
        <w:tc>
          <w:tcPr>
            <w:tcW w:w="2332" w:type="dxa"/>
            <w:tcBorders>
              <w:top w:val="nil"/>
              <w:left w:val="single" w:sz="4" w:space="0" w:color="auto"/>
              <w:bottom w:val="single" w:sz="4" w:space="0" w:color="auto"/>
              <w:right w:val="single" w:sz="4" w:space="0" w:color="auto"/>
            </w:tcBorders>
            <w:vAlign w:val="bottom"/>
            <w:hideMark/>
          </w:tcPr>
          <w:p w:rsidR="000364F5" w:rsidRPr="00842292" w14:paraId="7B0EF566" w14:textId="77777777">
            <w:pPr>
              <w:rPr>
                <w:b w:val="0"/>
                <w:bCs w:val="0"/>
                <w:sz w:val="24"/>
                <w:szCs w:val="24"/>
              </w:rPr>
            </w:pPr>
            <w:r w:rsidRPr="00842292">
              <w:rPr>
                <w:b w:val="0"/>
                <w:bCs w:val="0"/>
                <w:sz w:val="24"/>
                <w:szCs w:val="24"/>
              </w:rPr>
              <w:t xml:space="preserve">Benefit specialists prepare and send audit request </w:t>
            </w:r>
          </w:p>
        </w:tc>
        <w:tc>
          <w:tcPr>
            <w:tcW w:w="1540" w:type="dxa"/>
            <w:tcBorders>
              <w:top w:val="nil"/>
              <w:left w:val="nil"/>
              <w:bottom w:val="single" w:sz="4" w:space="0" w:color="auto"/>
              <w:right w:val="single" w:sz="4" w:space="0" w:color="auto"/>
            </w:tcBorders>
            <w:vAlign w:val="center"/>
            <w:hideMark/>
          </w:tcPr>
          <w:p w:rsidR="000364F5" w:rsidRPr="00842292" w14:paraId="07E948FD" w14:textId="77777777">
            <w:pPr>
              <w:jc w:val="center"/>
              <w:rPr>
                <w:b w:val="0"/>
                <w:bCs w:val="0"/>
                <w:sz w:val="24"/>
                <w:szCs w:val="24"/>
              </w:rPr>
            </w:pPr>
            <w:r w:rsidRPr="00842292">
              <w:rPr>
                <w:rFonts w:eastAsia="Aptos"/>
                <w:b w:val="0"/>
                <w:bCs w:val="0"/>
                <w:kern w:val="2"/>
                <w:sz w:val="24"/>
                <w:szCs w:val="24"/>
                <w14:ligatures w14:val="standardContextual"/>
              </w:rPr>
              <w:t>43,701</w:t>
            </w:r>
          </w:p>
        </w:tc>
        <w:tc>
          <w:tcPr>
            <w:tcW w:w="1433" w:type="dxa"/>
            <w:tcBorders>
              <w:top w:val="nil"/>
              <w:left w:val="nil"/>
              <w:bottom w:val="single" w:sz="4" w:space="0" w:color="auto"/>
              <w:right w:val="single" w:sz="4" w:space="0" w:color="auto"/>
            </w:tcBorders>
            <w:vAlign w:val="center"/>
            <w:hideMark/>
          </w:tcPr>
          <w:p w:rsidR="000364F5" w:rsidRPr="00842292" w14:paraId="1BA1BA00" w14:textId="77777777">
            <w:pPr>
              <w:jc w:val="center"/>
              <w:rPr>
                <w:b w:val="0"/>
                <w:bCs w:val="0"/>
                <w:sz w:val="24"/>
                <w:szCs w:val="24"/>
              </w:rPr>
            </w:pPr>
            <w:r w:rsidRPr="00842292">
              <w:rPr>
                <w:b w:val="0"/>
                <w:bCs w:val="0"/>
                <w:sz w:val="24"/>
                <w:szCs w:val="24"/>
              </w:rPr>
              <w:t>0.</w:t>
            </w:r>
            <w:r w:rsidRPr="00842292">
              <w:rPr>
                <w:rFonts w:eastAsia="Aptos"/>
                <w:b w:val="0"/>
                <w:bCs w:val="0"/>
                <w:kern w:val="2"/>
                <w:sz w:val="24"/>
                <w:szCs w:val="24"/>
                <w14:ligatures w14:val="standardContextual"/>
              </w:rPr>
              <w:t>5</w:t>
            </w:r>
          </w:p>
        </w:tc>
        <w:tc>
          <w:tcPr>
            <w:tcW w:w="1710" w:type="dxa"/>
            <w:tcBorders>
              <w:top w:val="nil"/>
              <w:left w:val="nil"/>
              <w:bottom w:val="single" w:sz="4" w:space="0" w:color="auto"/>
              <w:right w:val="single" w:sz="4" w:space="0" w:color="auto"/>
            </w:tcBorders>
            <w:vAlign w:val="center"/>
            <w:hideMark/>
          </w:tcPr>
          <w:p w:rsidR="000364F5" w:rsidRPr="00842292" w14:paraId="26694C4C" w14:textId="77777777">
            <w:pPr>
              <w:jc w:val="center"/>
              <w:rPr>
                <w:b w:val="0"/>
                <w:bCs w:val="0"/>
                <w:sz w:val="24"/>
                <w:szCs w:val="24"/>
              </w:rPr>
            </w:pPr>
            <w:r w:rsidRPr="00842292">
              <w:rPr>
                <w:rFonts w:eastAsia="Aptos"/>
                <w:b w:val="0"/>
                <w:bCs w:val="0"/>
                <w:kern w:val="2"/>
                <w:sz w:val="24"/>
                <w:szCs w:val="24"/>
                <w14:ligatures w14:val="standardContextual"/>
              </w:rPr>
              <w:t>21,851</w:t>
            </w:r>
          </w:p>
        </w:tc>
        <w:tc>
          <w:tcPr>
            <w:tcW w:w="1138" w:type="dxa"/>
            <w:tcBorders>
              <w:top w:val="nil"/>
              <w:left w:val="nil"/>
              <w:bottom w:val="single" w:sz="4" w:space="0" w:color="auto"/>
              <w:right w:val="single" w:sz="4" w:space="0" w:color="auto"/>
            </w:tcBorders>
            <w:vAlign w:val="center"/>
            <w:hideMark/>
          </w:tcPr>
          <w:p w:rsidR="000364F5" w:rsidRPr="00842292" w14:paraId="30A0BF3A" w14:textId="77777777">
            <w:pPr>
              <w:jc w:val="center"/>
              <w:rPr>
                <w:b w:val="0"/>
                <w:bCs w:val="0"/>
                <w:sz w:val="24"/>
                <w:szCs w:val="24"/>
              </w:rPr>
            </w:pPr>
            <w:r w:rsidRPr="00842292">
              <w:rPr>
                <w:b w:val="0"/>
                <w:bCs w:val="0"/>
                <w:sz w:val="24"/>
                <w:szCs w:val="24"/>
              </w:rPr>
              <w:t>$</w:t>
            </w:r>
            <w:r w:rsidRPr="00842292">
              <w:rPr>
                <w:rFonts w:eastAsia="Aptos"/>
                <w:b w:val="0"/>
                <w:bCs w:val="0"/>
                <w:kern w:val="2"/>
                <w:sz w:val="24"/>
                <w:szCs w:val="24"/>
                <w14:ligatures w14:val="standardContextual"/>
              </w:rPr>
              <w:t>124.74</w:t>
            </w:r>
          </w:p>
        </w:tc>
        <w:tc>
          <w:tcPr>
            <w:tcW w:w="1832" w:type="dxa"/>
            <w:tcBorders>
              <w:top w:val="nil"/>
              <w:left w:val="nil"/>
              <w:bottom w:val="single" w:sz="4" w:space="0" w:color="auto"/>
              <w:right w:val="single" w:sz="4" w:space="0" w:color="auto"/>
            </w:tcBorders>
            <w:vAlign w:val="center"/>
            <w:hideMark/>
          </w:tcPr>
          <w:p w:rsidR="000364F5" w:rsidRPr="00842292" w14:paraId="21D4CFB7" w14:textId="77777777">
            <w:pPr>
              <w:jc w:val="center"/>
              <w:rPr>
                <w:b w:val="0"/>
                <w:bCs w:val="0"/>
                <w:sz w:val="24"/>
                <w:szCs w:val="24"/>
              </w:rPr>
            </w:pPr>
            <w:r w:rsidRPr="00842292">
              <w:rPr>
                <w:b w:val="0"/>
                <w:bCs w:val="0"/>
                <w:sz w:val="24"/>
                <w:szCs w:val="24"/>
              </w:rPr>
              <w:t>$</w:t>
            </w:r>
            <w:r w:rsidRPr="00842292">
              <w:rPr>
                <w:rFonts w:eastAsia="Aptos"/>
                <w:b w:val="0"/>
                <w:bCs w:val="0"/>
                <w:kern w:val="2"/>
                <w:sz w:val="24"/>
                <w:szCs w:val="24"/>
                <w14:ligatures w14:val="standardContextual"/>
              </w:rPr>
              <w:t>2,725,631</w:t>
            </w:r>
          </w:p>
        </w:tc>
      </w:tr>
      <w:tr w14:paraId="2B1CA796" w14:textId="77777777">
        <w:tblPrEx>
          <w:tblW w:w="9985" w:type="dxa"/>
          <w:tblLayout w:type="fixed"/>
          <w:tblLook w:val="04A0"/>
        </w:tblPrEx>
        <w:trPr>
          <w:trHeight w:val="313"/>
        </w:trPr>
        <w:tc>
          <w:tcPr>
            <w:tcW w:w="9985" w:type="dxa"/>
            <w:gridSpan w:val="6"/>
            <w:tcBorders>
              <w:top w:val="nil"/>
              <w:left w:val="single" w:sz="4" w:space="0" w:color="auto"/>
              <w:bottom w:val="single" w:sz="4" w:space="0" w:color="auto"/>
              <w:right w:val="single" w:sz="4" w:space="0" w:color="auto"/>
            </w:tcBorders>
            <w:noWrap/>
            <w:vAlign w:val="center"/>
            <w:hideMark/>
          </w:tcPr>
          <w:p w:rsidR="000364F5" w:rsidRPr="00842292" w14:paraId="0EA6ABE2" w14:textId="77777777">
            <w:pPr>
              <w:jc w:val="center"/>
              <w:rPr>
                <w:b w:val="0"/>
                <w:i/>
                <w:sz w:val="24"/>
                <w:szCs w:val="24"/>
                <w:u w:val="single"/>
              </w:rPr>
            </w:pPr>
            <w:r w:rsidRPr="00842292">
              <w:rPr>
                <w:i/>
                <w:sz w:val="24"/>
                <w:szCs w:val="24"/>
                <w:u w:val="single"/>
              </w:rPr>
              <w:t>PBMs prepare and disclose the needed info for the audit</w:t>
            </w:r>
          </w:p>
        </w:tc>
      </w:tr>
      <w:tr w14:paraId="0C750685" w14:textId="77777777">
        <w:tblPrEx>
          <w:tblW w:w="9985" w:type="dxa"/>
          <w:tblLayout w:type="fixed"/>
          <w:tblLook w:val="04A0"/>
        </w:tblPrEx>
        <w:trPr>
          <w:trHeight w:val="600"/>
        </w:trPr>
        <w:tc>
          <w:tcPr>
            <w:tcW w:w="2332" w:type="dxa"/>
            <w:tcBorders>
              <w:top w:val="single" w:sz="4" w:space="0" w:color="auto"/>
              <w:left w:val="single" w:sz="4" w:space="0" w:color="auto"/>
              <w:bottom w:val="single" w:sz="4" w:space="0" w:color="auto"/>
              <w:right w:val="single" w:sz="4" w:space="0" w:color="auto"/>
            </w:tcBorders>
            <w:vAlign w:val="bottom"/>
            <w:hideMark/>
          </w:tcPr>
          <w:p w:rsidR="000364F5" w:rsidRPr="00842292" w14:paraId="0555FEF6" w14:textId="77777777">
            <w:pPr>
              <w:rPr>
                <w:b w:val="0"/>
                <w:bCs w:val="0"/>
                <w:sz w:val="24"/>
                <w:szCs w:val="24"/>
              </w:rPr>
            </w:pPr>
            <w:r w:rsidRPr="00842292">
              <w:rPr>
                <w:b w:val="0"/>
                <w:bCs w:val="0"/>
                <w:sz w:val="24"/>
                <w:szCs w:val="24"/>
              </w:rPr>
              <w:t>Benefit specialists and IT staff prepare for requested audit</w:t>
            </w:r>
          </w:p>
        </w:tc>
        <w:tc>
          <w:tcPr>
            <w:tcW w:w="1540" w:type="dxa"/>
            <w:tcBorders>
              <w:top w:val="single" w:sz="4" w:space="0" w:color="auto"/>
              <w:left w:val="nil"/>
              <w:bottom w:val="double" w:sz="4" w:space="0" w:color="auto"/>
              <w:right w:val="single" w:sz="4" w:space="0" w:color="auto"/>
            </w:tcBorders>
            <w:vAlign w:val="center"/>
            <w:hideMark/>
          </w:tcPr>
          <w:p w:rsidR="000364F5" w:rsidRPr="00842292" w14:paraId="4F22D232" w14:textId="77777777">
            <w:pPr>
              <w:jc w:val="center"/>
              <w:rPr>
                <w:b w:val="0"/>
                <w:bCs w:val="0"/>
                <w:sz w:val="24"/>
                <w:szCs w:val="24"/>
              </w:rPr>
            </w:pPr>
            <w:r w:rsidRPr="00842292">
              <w:rPr>
                <w:b w:val="0"/>
                <w:bCs w:val="0"/>
                <w:sz w:val="24"/>
                <w:szCs w:val="24"/>
              </w:rPr>
              <w:t>43,701</w:t>
            </w:r>
          </w:p>
        </w:tc>
        <w:tc>
          <w:tcPr>
            <w:tcW w:w="1433" w:type="dxa"/>
            <w:tcBorders>
              <w:top w:val="single" w:sz="4" w:space="0" w:color="auto"/>
              <w:left w:val="single" w:sz="4" w:space="0" w:color="auto"/>
              <w:bottom w:val="double" w:sz="4" w:space="0" w:color="auto"/>
              <w:right w:val="single" w:sz="4" w:space="0" w:color="auto"/>
            </w:tcBorders>
            <w:vAlign w:val="center"/>
            <w:hideMark/>
          </w:tcPr>
          <w:p w:rsidR="000364F5" w:rsidRPr="00842292" w14:paraId="05E6B62A" w14:textId="77777777">
            <w:pPr>
              <w:jc w:val="center"/>
              <w:rPr>
                <w:b w:val="0"/>
                <w:bCs w:val="0"/>
                <w:sz w:val="24"/>
                <w:szCs w:val="24"/>
              </w:rPr>
            </w:pPr>
            <w:r w:rsidRPr="00842292">
              <w:rPr>
                <w:b w:val="0"/>
                <w:bCs w:val="0"/>
                <w:sz w:val="24"/>
                <w:szCs w:val="24"/>
              </w:rPr>
              <w:t>2</w:t>
            </w:r>
          </w:p>
        </w:tc>
        <w:tc>
          <w:tcPr>
            <w:tcW w:w="1710" w:type="dxa"/>
            <w:tcBorders>
              <w:top w:val="single" w:sz="4" w:space="0" w:color="auto"/>
              <w:left w:val="nil"/>
              <w:bottom w:val="double" w:sz="4" w:space="0" w:color="auto"/>
              <w:right w:val="single" w:sz="4" w:space="0" w:color="auto"/>
            </w:tcBorders>
            <w:vAlign w:val="center"/>
            <w:hideMark/>
          </w:tcPr>
          <w:p w:rsidR="000364F5" w:rsidRPr="00842292" w14:paraId="7EE70F3E" w14:textId="77777777">
            <w:pPr>
              <w:jc w:val="center"/>
              <w:rPr>
                <w:b w:val="0"/>
                <w:bCs w:val="0"/>
                <w:sz w:val="24"/>
                <w:szCs w:val="24"/>
              </w:rPr>
            </w:pPr>
            <w:r w:rsidRPr="00842292">
              <w:rPr>
                <w:b w:val="0"/>
                <w:bCs w:val="0"/>
                <w:sz w:val="24"/>
                <w:szCs w:val="24"/>
              </w:rPr>
              <w:t>87,402</w:t>
            </w:r>
          </w:p>
        </w:tc>
        <w:tc>
          <w:tcPr>
            <w:tcW w:w="1138" w:type="dxa"/>
            <w:tcBorders>
              <w:top w:val="single" w:sz="4" w:space="0" w:color="auto"/>
              <w:left w:val="nil"/>
              <w:bottom w:val="double" w:sz="4" w:space="0" w:color="auto"/>
              <w:right w:val="nil"/>
            </w:tcBorders>
            <w:vAlign w:val="center"/>
            <w:hideMark/>
          </w:tcPr>
          <w:p w:rsidR="000364F5" w:rsidRPr="00842292" w14:paraId="0140C140" w14:textId="77777777">
            <w:pPr>
              <w:jc w:val="center"/>
              <w:rPr>
                <w:b w:val="0"/>
                <w:bCs w:val="0"/>
                <w:sz w:val="24"/>
                <w:szCs w:val="24"/>
              </w:rPr>
            </w:pPr>
            <w:r w:rsidRPr="00842292">
              <w:rPr>
                <w:b w:val="0"/>
                <w:bCs w:val="0"/>
                <w:sz w:val="24"/>
                <w:szCs w:val="24"/>
              </w:rPr>
              <w:t>$151.41</w:t>
            </w:r>
          </w:p>
        </w:tc>
        <w:tc>
          <w:tcPr>
            <w:tcW w:w="1832" w:type="dxa"/>
            <w:tcBorders>
              <w:top w:val="single" w:sz="4" w:space="0" w:color="auto"/>
              <w:left w:val="single" w:sz="4" w:space="0" w:color="auto"/>
              <w:bottom w:val="double" w:sz="4" w:space="0" w:color="auto"/>
              <w:right w:val="single" w:sz="4" w:space="0" w:color="auto"/>
            </w:tcBorders>
            <w:vAlign w:val="center"/>
            <w:hideMark/>
          </w:tcPr>
          <w:p w:rsidR="000364F5" w:rsidRPr="00842292" w14:paraId="2C427451" w14:textId="77777777">
            <w:pPr>
              <w:jc w:val="center"/>
              <w:rPr>
                <w:b w:val="0"/>
                <w:bCs w:val="0"/>
                <w:sz w:val="24"/>
                <w:szCs w:val="24"/>
              </w:rPr>
            </w:pPr>
            <w:r w:rsidRPr="00842292">
              <w:rPr>
                <w:b w:val="0"/>
                <w:bCs w:val="0"/>
                <w:sz w:val="24"/>
                <w:szCs w:val="24"/>
              </w:rPr>
              <w:t>$13,233,537</w:t>
            </w:r>
          </w:p>
        </w:tc>
      </w:tr>
      <w:tr w14:paraId="65270D45" w14:textId="77777777">
        <w:tblPrEx>
          <w:tblW w:w="9985" w:type="dxa"/>
          <w:tblLayout w:type="fixed"/>
          <w:tblLook w:val="04A0"/>
        </w:tblPrEx>
        <w:trPr>
          <w:trHeight w:val="141"/>
        </w:trPr>
        <w:tc>
          <w:tcPr>
            <w:tcW w:w="2332" w:type="dxa"/>
            <w:tcBorders>
              <w:top w:val="single" w:sz="4" w:space="0" w:color="auto"/>
              <w:left w:val="single" w:sz="4" w:space="0" w:color="auto"/>
              <w:bottom w:val="single" w:sz="4" w:space="0" w:color="auto"/>
              <w:right w:val="single" w:sz="4" w:space="0" w:color="auto"/>
            </w:tcBorders>
            <w:noWrap/>
            <w:vAlign w:val="bottom"/>
            <w:hideMark/>
          </w:tcPr>
          <w:p w:rsidR="000364F5" w:rsidRPr="00842292" w14:paraId="0087D90D" w14:textId="77777777">
            <w:pPr>
              <w:rPr>
                <w:b w:val="0"/>
                <w:sz w:val="24"/>
                <w:szCs w:val="24"/>
              </w:rPr>
            </w:pPr>
            <w:r w:rsidRPr="00842292">
              <w:rPr>
                <w:sz w:val="24"/>
                <w:szCs w:val="24"/>
              </w:rPr>
              <w:t xml:space="preserve">Total </w:t>
            </w:r>
          </w:p>
        </w:tc>
        <w:tc>
          <w:tcPr>
            <w:tcW w:w="1540" w:type="dxa"/>
            <w:tcBorders>
              <w:top w:val="double" w:sz="4" w:space="0" w:color="auto"/>
              <w:left w:val="single" w:sz="4" w:space="0" w:color="auto"/>
              <w:bottom w:val="single" w:sz="4" w:space="0" w:color="auto"/>
              <w:right w:val="single" w:sz="4" w:space="0" w:color="auto"/>
            </w:tcBorders>
            <w:noWrap/>
            <w:vAlign w:val="bottom"/>
            <w:hideMark/>
          </w:tcPr>
          <w:p w:rsidR="000364F5" w:rsidRPr="00842292" w14:paraId="769E7071" w14:textId="77777777">
            <w:pPr>
              <w:jc w:val="center"/>
              <w:rPr>
                <w:b w:val="0"/>
                <w:sz w:val="24"/>
                <w:szCs w:val="24"/>
              </w:rPr>
            </w:pPr>
            <w:r w:rsidRPr="00842292">
              <w:rPr>
                <w:sz w:val="24"/>
                <w:szCs w:val="24"/>
              </w:rPr>
              <w:t>43,701</w:t>
            </w:r>
          </w:p>
        </w:tc>
        <w:tc>
          <w:tcPr>
            <w:tcW w:w="1433" w:type="dxa"/>
            <w:tcBorders>
              <w:top w:val="double" w:sz="4" w:space="0" w:color="auto"/>
              <w:left w:val="single" w:sz="4" w:space="0" w:color="auto"/>
              <w:bottom w:val="single" w:sz="4" w:space="0" w:color="auto"/>
              <w:right w:val="single" w:sz="4" w:space="0" w:color="auto"/>
            </w:tcBorders>
            <w:noWrap/>
            <w:vAlign w:val="bottom"/>
            <w:hideMark/>
          </w:tcPr>
          <w:p w:rsidR="000364F5" w:rsidRPr="00842292" w14:paraId="374CA7C2" w14:textId="77777777">
            <w:pPr>
              <w:jc w:val="center"/>
              <w:rPr>
                <w:b w:val="0"/>
                <w:sz w:val="24"/>
                <w:szCs w:val="24"/>
              </w:rPr>
            </w:pPr>
          </w:p>
        </w:tc>
        <w:tc>
          <w:tcPr>
            <w:tcW w:w="1710" w:type="dxa"/>
            <w:tcBorders>
              <w:top w:val="double" w:sz="4" w:space="0" w:color="auto"/>
              <w:left w:val="nil"/>
              <w:bottom w:val="single" w:sz="4" w:space="0" w:color="auto"/>
              <w:right w:val="single" w:sz="4" w:space="0" w:color="auto"/>
            </w:tcBorders>
            <w:noWrap/>
            <w:vAlign w:val="bottom"/>
            <w:hideMark/>
          </w:tcPr>
          <w:p w:rsidR="000364F5" w:rsidRPr="00842292" w14:paraId="12CC9F1C" w14:textId="77777777">
            <w:pPr>
              <w:jc w:val="center"/>
              <w:rPr>
                <w:b w:val="0"/>
                <w:sz w:val="24"/>
                <w:szCs w:val="24"/>
              </w:rPr>
            </w:pPr>
            <w:r w:rsidRPr="00842292">
              <w:rPr>
                <w:sz w:val="24"/>
                <w:szCs w:val="24"/>
              </w:rPr>
              <w:t>109,253</w:t>
            </w:r>
          </w:p>
        </w:tc>
        <w:tc>
          <w:tcPr>
            <w:tcW w:w="1138" w:type="dxa"/>
            <w:tcBorders>
              <w:top w:val="double" w:sz="4" w:space="0" w:color="auto"/>
              <w:left w:val="nil"/>
              <w:bottom w:val="single" w:sz="4" w:space="0" w:color="auto"/>
              <w:right w:val="single" w:sz="4" w:space="0" w:color="auto"/>
            </w:tcBorders>
            <w:noWrap/>
            <w:vAlign w:val="bottom"/>
            <w:hideMark/>
          </w:tcPr>
          <w:p w:rsidR="000364F5" w:rsidRPr="00842292" w14:paraId="4F00C2A6" w14:textId="77777777">
            <w:pPr>
              <w:jc w:val="center"/>
              <w:rPr>
                <w:b w:val="0"/>
                <w:sz w:val="24"/>
                <w:szCs w:val="24"/>
              </w:rPr>
            </w:pPr>
            <w:r w:rsidRPr="00842292">
              <w:rPr>
                <w:sz w:val="24"/>
                <w:szCs w:val="24"/>
              </w:rPr>
              <w:t>-</w:t>
            </w:r>
          </w:p>
        </w:tc>
        <w:tc>
          <w:tcPr>
            <w:tcW w:w="1832" w:type="dxa"/>
            <w:tcBorders>
              <w:top w:val="double" w:sz="4" w:space="0" w:color="auto"/>
              <w:left w:val="nil"/>
              <w:bottom w:val="single" w:sz="4" w:space="0" w:color="auto"/>
              <w:right w:val="single" w:sz="4" w:space="0" w:color="auto"/>
            </w:tcBorders>
            <w:noWrap/>
            <w:vAlign w:val="bottom"/>
            <w:hideMark/>
          </w:tcPr>
          <w:p w:rsidR="000364F5" w:rsidRPr="00842292" w14:paraId="6B382D19" w14:textId="77777777">
            <w:pPr>
              <w:jc w:val="center"/>
              <w:rPr>
                <w:b w:val="0"/>
                <w:sz w:val="24"/>
                <w:szCs w:val="24"/>
              </w:rPr>
            </w:pPr>
            <w:r w:rsidRPr="00842292">
              <w:rPr>
                <w:sz w:val="24"/>
                <w:szCs w:val="24"/>
              </w:rPr>
              <w:t>$15,959,168</w:t>
            </w:r>
          </w:p>
        </w:tc>
      </w:tr>
    </w:tbl>
    <w:p w:rsidR="001D12F0" w:rsidRPr="002272CF" w:rsidP="006E1899" w14:paraId="3288D78E" w14:textId="77777777">
      <w:pPr>
        <w:widowControl/>
        <w:tabs>
          <w:tab w:val="left" w:pos="-1440"/>
        </w:tabs>
        <w:ind w:left="720"/>
        <w:rPr>
          <w:b w:val="0"/>
          <w:bCs w:val="0"/>
          <w:iCs/>
          <w:sz w:val="24"/>
          <w:szCs w:val="24"/>
        </w:rPr>
      </w:pPr>
    </w:p>
    <w:p w:rsidR="00D309FC" w:rsidRPr="00CA0B11" w:rsidP="00CA0B11" w14:paraId="7CF25680" w14:textId="1ED29734">
      <w:pPr>
        <w:pStyle w:val="ListParagraph"/>
        <w:widowControl/>
        <w:numPr>
          <w:ilvl w:val="0"/>
          <w:numId w:val="45"/>
        </w:numPr>
        <w:tabs>
          <w:tab w:val="left" w:pos="-1440"/>
          <w:tab w:val="left" w:pos="990"/>
        </w:tabs>
        <w:rPr>
          <w:iCs/>
          <w:sz w:val="24"/>
          <w:szCs w:val="24"/>
          <w:u w:val="single"/>
        </w:rPr>
      </w:pPr>
      <w:r w:rsidRPr="00CA0B11">
        <w:rPr>
          <w:iCs/>
          <w:sz w:val="24"/>
          <w:szCs w:val="24"/>
          <w:u w:val="single"/>
        </w:rPr>
        <w:t>Summary</w:t>
      </w:r>
      <w:r w:rsidRPr="00CA0B11" w:rsidR="0057004B">
        <w:rPr>
          <w:iCs/>
          <w:sz w:val="24"/>
          <w:szCs w:val="24"/>
          <w:u w:val="single"/>
        </w:rPr>
        <w:t xml:space="preserve"> of Hour Burden</w:t>
      </w:r>
    </w:p>
    <w:p w:rsidR="00860F17" w:rsidP="00860F17" w14:paraId="72E8A4B4" w14:textId="77777777">
      <w:pPr>
        <w:widowControl/>
        <w:tabs>
          <w:tab w:val="left" w:pos="-1440"/>
        </w:tabs>
        <w:ind w:left="720"/>
        <w:rPr>
          <w:b w:val="0"/>
          <w:bCs w:val="0"/>
          <w:iCs/>
          <w:sz w:val="24"/>
          <w:szCs w:val="24"/>
        </w:rPr>
      </w:pPr>
    </w:p>
    <w:p w:rsidR="00860F17" w:rsidRPr="00860F17" w:rsidP="00860F17" w14:paraId="2E7A7AB1" w14:textId="716E01E8">
      <w:pPr>
        <w:widowControl/>
        <w:tabs>
          <w:tab w:val="left" w:pos="-1440"/>
        </w:tabs>
        <w:ind w:left="720"/>
        <w:rPr>
          <w:b w:val="0"/>
          <w:bCs w:val="0"/>
          <w:iCs/>
          <w:sz w:val="24"/>
          <w:szCs w:val="24"/>
        </w:rPr>
      </w:pPr>
      <w:r w:rsidRPr="00860F17">
        <w:rPr>
          <w:b w:val="0"/>
          <w:bCs w:val="0"/>
          <w:iCs/>
          <w:sz w:val="24"/>
          <w:szCs w:val="24"/>
        </w:rPr>
        <w:t xml:space="preserve">Table </w:t>
      </w:r>
      <w:r w:rsidR="00CA7375">
        <w:rPr>
          <w:b w:val="0"/>
          <w:bCs w:val="0"/>
          <w:iCs/>
          <w:sz w:val="24"/>
          <w:szCs w:val="24"/>
        </w:rPr>
        <w:t>5</w:t>
      </w:r>
      <w:r>
        <w:rPr>
          <w:b w:val="0"/>
          <w:bCs w:val="0"/>
          <w:iCs/>
          <w:sz w:val="24"/>
          <w:szCs w:val="24"/>
        </w:rPr>
        <w:t xml:space="preserve"> provides</w:t>
      </w:r>
      <w:r w:rsidRPr="00860F17">
        <w:rPr>
          <w:b w:val="0"/>
          <w:bCs w:val="0"/>
          <w:iCs/>
          <w:sz w:val="24"/>
          <w:szCs w:val="24"/>
        </w:rPr>
        <w:t xml:space="preserve"> a summary of the hour </w:t>
      </w:r>
      <w:r>
        <w:rPr>
          <w:b w:val="0"/>
          <w:bCs w:val="0"/>
          <w:iCs/>
          <w:sz w:val="24"/>
          <w:szCs w:val="24"/>
        </w:rPr>
        <w:t>burden</w:t>
      </w:r>
      <w:r w:rsidRPr="00860F17">
        <w:rPr>
          <w:b w:val="0"/>
          <w:bCs w:val="0"/>
          <w:iCs/>
          <w:sz w:val="24"/>
          <w:szCs w:val="24"/>
        </w:rPr>
        <w:t xml:space="preserve">. </w:t>
      </w:r>
    </w:p>
    <w:p w:rsidR="00860F17" w:rsidP="00860F17" w14:paraId="23B036FA" w14:textId="77777777">
      <w:pPr>
        <w:widowControl/>
        <w:tabs>
          <w:tab w:val="left" w:pos="-1440"/>
        </w:tabs>
        <w:ind w:left="720"/>
        <w:rPr>
          <w:iCs/>
          <w:sz w:val="24"/>
          <w:szCs w:val="24"/>
        </w:rPr>
      </w:pPr>
    </w:p>
    <w:p w:rsidR="00860F17" w:rsidP="00CA7375" w14:paraId="2BC19585" w14:textId="5724361D">
      <w:pPr>
        <w:pStyle w:val="Heading3"/>
      </w:pPr>
      <w:r w:rsidRPr="00860F17">
        <w:t xml:space="preserve">TABLE </w:t>
      </w:r>
      <w:r w:rsidR="00CA7375">
        <w:t>5</w:t>
      </w:r>
      <w:r w:rsidRPr="00860F17">
        <w:t>. Summary of Hour Burden</w:t>
      </w:r>
    </w:p>
    <w:p w:rsidR="00860F17" w:rsidRPr="00860F17" w:rsidP="00860F17" w14:paraId="1526C612" w14:textId="77777777">
      <w:pPr>
        <w:widowControl/>
        <w:tabs>
          <w:tab w:val="left" w:pos="-1440"/>
        </w:tabs>
        <w:ind w:left="720"/>
        <w:rPr>
          <w:iCs/>
          <w:sz w:val="24"/>
          <w:szCs w:val="24"/>
        </w:rPr>
      </w:pPr>
    </w:p>
    <w:tbl>
      <w:tblPr>
        <w:tblW w:w="0" w:type="auto"/>
        <w:tblLook w:val="04A0"/>
      </w:tblPr>
      <w:tblGrid>
        <w:gridCol w:w="3355"/>
        <w:gridCol w:w="1597"/>
        <w:gridCol w:w="2881"/>
        <w:gridCol w:w="1517"/>
      </w:tblGrid>
      <w:tr w14:paraId="1104F015" w14:textId="77777777" w:rsidTr="00B84028">
        <w:tblPrEx>
          <w:tblW w:w="0" w:type="auto"/>
          <w:tblLook w:val="04A0"/>
        </w:tblPrEx>
        <w:trPr>
          <w:trHeight w:val="610"/>
        </w:trPr>
        <w:tc>
          <w:tcPr>
            <w:tcW w:w="0" w:type="auto"/>
            <w:tcBorders>
              <w:top w:val="single" w:sz="4" w:space="0" w:color="auto"/>
              <w:left w:val="single" w:sz="4" w:space="0" w:color="auto"/>
              <w:bottom w:val="single" w:sz="4" w:space="0" w:color="auto"/>
              <w:right w:val="single" w:sz="4" w:space="0" w:color="auto"/>
            </w:tcBorders>
            <w:noWrap/>
            <w:vAlign w:val="bottom"/>
            <w:hideMark/>
          </w:tcPr>
          <w:p w:rsidR="00B84028" w:rsidRPr="00B84028" w:rsidP="00B84028" w14:paraId="1A2F4D76" w14:textId="77777777">
            <w:pPr>
              <w:widowControl/>
              <w:autoSpaceDE/>
              <w:autoSpaceDN/>
              <w:adjustRightInd/>
              <w:rPr>
                <w:b w:val="0"/>
                <w:bCs w:val="0"/>
                <w:sz w:val="24"/>
                <w:szCs w:val="24"/>
              </w:rPr>
            </w:pPr>
            <w:r w:rsidRPr="00B84028">
              <w:rPr>
                <w:b w:val="0"/>
                <w:bCs w:val="0"/>
                <w:sz w:val="24"/>
                <w:szCs w:val="24"/>
              </w:rPr>
              <w:t> </w:t>
            </w:r>
          </w:p>
        </w:tc>
        <w:tc>
          <w:tcPr>
            <w:tcW w:w="0" w:type="auto"/>
            <w:tcBorders>
              <w:top w:val="single" w:sz="4" w:space="0" w:color="auto"/>
              <w:left w:val="nil"/>
              <w:bottom w:val="single" w:sz="4" w:space="0" w:color="auto"/>
              <w:right w:val="single" w:sz="4" w:space="0" w:color="auto"/>
            </w:tcBorders>
            <w:noWrap/>
            <w:vAlign w:val="bottom"/>
            <w:hideMark/>
          </w:tcPr>
          <w:p w:rsidR="00B84028" w:rsidRPr="00B84028" w:rsidP="00B84028" w14:paraId="23BB5FB1" w14:textId="77777777">
            <w:pPr>
              <w:widowControl/>
              <w:autoSpaceDE/>
              <w:autoSpaceDN/>
              <w:adjustRightInd/>
              <w:jc w:val="center"/>
              <w:rPr>
                <w:sz w:val="24"/>
                <w:szCs w:val="24"/>
              </w:rPr>
            </w:pPr>
            <w:r w:rsidRPr="00B84028">
              <w:rPr>
                <w:sz w:val="24"/>
                <w:szCs w:val="24"/>
              </w:rPr>
              <w:t xml:space="preserve">Hour Burden </w:t>
            </w:r>
          </w:p>
        </w:tc>
        <w:tc>
          <w:tcPr>
            <w:tcW w:w="0" w:type="auto"/>
            <w:tcBorders>
              <w:top w:val="single" w:sz="4" w:space="0" w:color="auto"/>
              <w:left w:val="nil"/>
              <w:bottom w:val="single" w:sz="4" w:space="0" w:color="auto"/>
              <w:right w:val="single" w:sz="4" w:space="0" w:color="auto"/>
            </w:tcBorders>
            <w:vAlign w:val="bottom"/>
            <w:hideMark/>
          </w:tcPr>
          <w:p w:rsidR="00B84028" w:rsidRPr="00B84028" w:rsidP="00B84028" w14:paraId="6652C923" w14:textId="77777777">
            <w:pPr>
              <w:widowControl/>
              <w:autoSpaceDE/>
              <w:autoSpaceDN/>
              <w:adjustRightInd/>
              <w:jc w:val="center"/>
              <w:rPr>
                <w:sz w:val="24"/>
                <w:szCs w:val="24"/>
              </w:rPr>
            </w:pPr>
            <w:r w:rsidRPr="00B84028">
              <w:rPr>
                <w:sz w:val="24"/>
                <w:szCs w:val="24"/>
              </w:rPr>
              <w:t>Cost Equivalent of Hour Burden</w:t>
            </w:r>
          </w:p>
        </w:tc>
        <w:tc>
          <w:tcPr>
            <w:tcW w:w="0" w:type="auto"/>
            <w:tcBorders>
              <w:top w:val="single" w:sz="4" w:space="0" w:color="auto"/>
              <w:left w:val="nil"/>
              <w:bottom w:val="single" w:sz="4" w:space="0" w:color="auto"/>
              <w:right w:val="single" w:sz="4" w:space="0" w:color="auto"/>
            </w:tcBorders>
            <w:noWrap/>
            <w:vAlign w:val="bottom"/>
            <w:hideMark/>
          </w:tcPr>
          <w:p w:rsidR="00B84028" w:rsidRPr="00B84028" w:rsidP="00B84028" w14:paraId="10FB3AA1" w14:textId="77777777">
            <w:pPr>
              <w:widowControl/>
              <w:autoSpaceDE/>
              <w:autoSpaceDN/>
              <w:adjustRightInd/>
              <w:jc w:val="center"/>
              <w:rPr>
                <w:sz w:val="24"/>
                <w:szCs w:val="24"/>
              </w:rPr>
            </w:pPr>
            <w:r w:rsidRPr="00B84028">
              <w:rPr>
                <w:sz w:val="24"/>
                <w:szCs w:val="24"/>
              </w:rPr>
              <w:t>Cost Burden</w:t>
            </w:r>
          </w:p>
        </w:tc>
      </w:tr>
      <w:tr w14:paraId="6A95870A" w14:textId="77777777" w:rsidTr="00B84028">
        <w:tblPrEx>
          <w:tblW w:w="0" w:type="auto"/>
          <w:tblLook w:val="04A0"/>
        </w:tblPrEx>
        <w:trPr>
          <w:trHeight w:val="310"/>
        </w:trPr>
        <w:tc>
          <w:tcPr>
            <w:tcW w:w="0" w:type="auto"/>
            <w:tcBorders>
              <w:top w:val="nil"/>
              <w:left w:val="single" w:sz="4" w:space="0" w:color="auto"/>
              <w:bottom w:val="single" w:sz="4" w:space="0" w:color="auto"/>
              <w:right w:val="single" w:sz="4" w:space="0" w:color="auto"/>
            </w:tcBorders>
            <w:noWrap/>
            <w:vAlign w:val="bottom"/>
            <w:hideMark/>
          </w:tcPr>
          <w:p w:rsidR="00B84028" w:rsidRPr="00B84028" w:rsidP="00B84028" w14:paraId="057B14F2" w14:textId="77777777">
            <w:pPr>
              <w:widowControl/>
              <w:autoSpaceDE/>
              <w:autoSpaceDN/>
              <w:adjustRightInd/>
              <w:rPr>
                <w:b w:val="0"/>
                <w:bCs w:val="0"/>
                <w:sz w:val="24"/>
                <w:szCs w:val="24"/>
              </w:rPr>
            </w:pPr>
            <w:r w:rsidRPr="00B84028">
              <w:rPr>
                <w:b w:val="0"/>
                <w:bCs w:val="0"/>
                <w:sz w:val="24"/>
                <w:szCs w:val="24"/>
              </w:rPr>
              <w:t>IT Infrastructure (first year)</w:t>
            </w:r>
          </w:p>
        </w:tc>
        <w:tc>
          <w:tcPr>
            <w:tcW w:w="0" w:type="auto"/>
            <w:tcBorders>
              <w:top w:val="nil"/>
              <w:left w:val="nil"/>
              <w:bottom w:val="single" w:sz="4" w:space="0" w:color="auto"/>
              <w:right w:val="single" w:sz="4" w:space="0" w:color="auto"/>
            </w:tcBorders>
            <w:noWrap/>
            <w:vAlign w:val="bottom"/>
            <w:hideMark/>
          </w:tcPr>
          <w:p w:rsidR="00B84028" w:rsidRPr="00B84028" w:rsidP="00B84028" w14:paraId="5DDF4E0C" w14:textId="77777777">
            <w:pPr>
              <w:widowControl/>
              <w:autoSpaceDE/>
              <w:autoSpaceDN/>
              <w:adjustRightInd/>
              <w:jc w:val="center"/>
              <w:rPr>
                <w:b w:val="0"/>
                <w:bCs w:val="0"/>
                <w:sz w:val="24"/>
                <w:szCs w:val="24"/>
              </w:rPr>
            </w:pPr>
            <w:r w:rsidRPr="00B84028">
              <w:rPr>
                <w:b w:val="0"/>
                <w:bCs w:val="0"/>
                <w:sz w:val="24"/>
                <w:szCs w:val="24"/>
              </w:rPr>
              <w:t>474,500</w:t>
            </w:r>
          </w:p>
        </w:tc>
        <w:tc>
          <w:tcPr>
            <w:tcW w:w="0" w:type="auto"/>
            <w:tcBorders>
              <w:top w:val="nil"/>
              <w:left w:val="nil"/>
              <w:bottom w:val="single" w:sz="4" w:space="0" w:color="auto"/>
              <w:right w:val="single" w:sz="4" w:space="0" w:color="auto"/>
            </w:tcBorders>
            <w:vAlign w:val="bottom"/>
            <w:hideMark/>
          </w:tcPr>
          <w:p w:rsidR="00B84028" w:rsidRPr="00B84028" w:rsidP="00B84028" w14:paraId="5AC1FCCC" w14:textId="77777777">
            <w:pPr>
              <w:widowControl/>
              <w:autoSpaceDE/>
              <w:autoSpaceDN/>
              <w:adjustRightInd/>
              <w:jc w:val="center"/>
              <w:rPr>
                <w:b w:val="0"/>
                <w:bCs w:val="0"/>
                <w:sz w:val="24"/>
                <w:szCs w:val="24"/>
              </w:rPr>
            </w:pPr>
            <w:r w:rsidRPr="00B84028">
              <w:rPr>
                <w:b w:val="0"/>
                <w:bCs w:val="0"/>
                <w:sz w:val="24"/>
                <w:szCs w:val="24"/>
              </w:rPr>
              <w:t>$80,300,000</w:t>
            </w:r>
          </w:p>
        </w:tc>
        <w:tc>
          <w:tcPr>
            <w:tcW w:w="0" w:type="auto"/>
            <w:tcBorders>
              <w:top w:val="nil"/>
              <w:left w:val="nil"/>
              <w:bottom w:val="single" w:sz="4" w:space="0" w:color="auto"/>
              <w:right w:val="single" w:sz="4" w:space="0" w:color="auto"/>
            </w:tcBorders>
            <w:noWrap/>
            <w:vAlign w:val="bottom"/>
            <w:hideMark/>
          </w:tcPr>
          <w:p w:rsidR="00B84028" w:rsidRPr="00B84028" w:rsidP="00B84028" w14:paraId="5F0C012A" w14:textId="77777777">
            <w:pPr>
              <w:widowControl/>
              <w:autoSpaceDE/>
              <w:autoSpaceDN/>
              <w:adjustRightInd/>
              <w:jc w:val="center"/>
              <w:rPr>
                <w:b w:val="0"/>
                <w:bCs w:val="0"/>
                <w:sz w:val="24"/>
                <w:szCs w:val="24"/>
              </w:rPr>
            </w:pPr>
            <w:r w:rsidRPr="00B84028">
              <w:rPr>
                <w:b w:val="0"/>
                <w:bCs w:val="0"/>
                <w:sz w:val="24"/>
                <w:szCs w:val="24"/>
              </w:rPr>
              <w:t xml:space="preserve">$0 </w:t>
            </w:r>
          </w:p>
        </w:tc>
      </w:tr>
      <w:tr w14:paraId="45AB020D" w14:textId="77777777" w:rsidTr="00B84028">
        <w:tblPrEx>
          <w:tblW w:w="0" w:type="auto"/>
          <w:tblLook w:val="04A0"/>
        </w:tblPrEx>
        <w:trPr>
          <w:trHeight w:val="310"/>
        </w:trPr>
        <w:tc>
          <w:tcPr>
            <w:tcW w:w="0" w:type="auto"/>
            <w:tcBorders>
              <w:top w:val="nil"/>
              <w:left w:val="single" w:sz="4" w:space="0" w:color="auto"/>
              <w:bottom w:val="single" w:sz="4" w:space="0" w:color="auto"/>
              <w:right w:val="single" w:sz="4" w:space="0" w:color="auto"/>
            </w:tcBorders>
            <w:vAlign w:val="bottom"/>
            <w:hideMark/>
          </w:tcPr>
          <w:p w:rsidR="00B84028" w:rsidRPr="00B84028" w:rsidP="00B84028" w14:paraId="056A8239" w14:textId="77777777">
            <w:pPr>
              <w:widowControl/>
              <w:autoSpaceDE/>
              <w:autoSpaceDN/>
              <w:adjustRightInd/>
              <w:rPr>
                <w:b w:val="0"/>
                <w:bCs w:val="0"/>
                <w:sz w:val="24"/>
                <w:szCs w:val="24"/>
              </w:rPr>
            </w:pPr>
            <w:r w:rsidRPr="00B84028">
              <w:rPr>
                <w:b w:val="0"/>
                <w:bCs w:val="0"/>
                <w:sz w:val="24"/>
                <w:szCs w:val="24"/>
              </w:rPr>
              <w:t>IT Infrastructure (subsequent year)</w:t>
            </w:r>
          </w:p>
        </w:tc>
        <w:tc>
          <w:tcPr>
            <w:tcW w:w="0" w:type="auto"/>
            <w:tcBorders>
              <w:top w:val="nil"/>
              <w:left w:val="nil"/>
              <w:bottom w:val="single" w:sz="4" w:space="0" w:color="auto"/>
              <w:right w:val="single" w:sz="4" w:space="0" w:color="auto"/>
            </w:tcBorders>
            <w:noWrap/>
            <w:vAlign w:val="bottom"/>
            <w:hideMark/>
          </w:tcPr>
          <w:p w:rsidR="00B84028" w:rsidRPr="00B84028" w:rsidP="00B84028" w14:paraId="62127449" w14:textId="77777777">
            <w:pPr>
              <w:widowControl/>
              <w:autoSpaceDE/>
              <w:autoSpaceDN/>
              <w:adjustRightInd/>
              <w:jc w:val="center"/>
              <w:rPr>
                <w:b w:val="0"/>
                <w:bCs w:val="0"/>
                <w:sz w:val="24"/>
                <w:szCs w:val="24"/>
              </w:rPr>
            </w:pPr>
            <w:r w:rsidRPr="00B84028">
              <w:rPr>
                <w:b w:val="0"/>
                <w:bCs w:val="0"/>
                <w:sz w:val="24"/>
                <w:szCs w:val="24"/>
              </w:rPr>
              <w:t>94,900</w:t>
            </w:r>
          </w:p>
        </w:tc>
        <w:tc>
          <w:tcPr>
            <w:tcW w:w="0" w:type="auto"/>
            <w:tcBorders>
              <w:top w:val="nil"/>
              <w:left w:val="nil"/>
              <w:bottom w:val="single" w:sz="4" w:space="0" w:color="auto"/>
              <w:right w:val="single" w:sz="4" w:space="0" w:color="auto"/>
            </w:tcBorders>
            <w:vAlign w:val="bottom"/>
            <w:hideMark/>
          </w:tcPr>
          <w:p w:rsidR="00B84028" w:rsidRPr="00B84028" w:rsidP="00B84028" w14:paraId="7903FB78" w14:textId="77777777">
            <w:pPr>
              <w:widowControl/>
              <w:autoSpaceDE/>
              <w:autoSpaceDN/>
              <w:adjustRightInd/>
              <w:jc w:val="center"/>
              <w:rPr>
                <w:b w:val="0"/>
                <w:bCs w:val="0"/>
                <w:sz w:val="24"/>
                <w:szCs w:val="24"/>
              </w:rPr>
            </w:pPr>
            <w:r w:rsidRPr="00B84028">
              <w:rPr>
                <w:b w:val="0"/>
                <w:bCs w:val="0"/>
                <w:sz w:val="24"/>
                <w:szCs w:val="24"/>
              </w:rPr>
              <w:t>$21,900,000</w:t>
            </w:r>
          </w:p>
        </w:tc>
        <w:tc>
          <w:tcPr>
            <w:tcW w:w="0" w:type="auto"/>
            <w:tcBorders>
              <w:top w:val="nil"/>
              <w:left w:val="nil"/>
              <w:bottom w:val="single" w:sz="4" w:space="0" w:color="auto"/>
              <w:right w:val="single" w:sz="4" w:space="0" w:color="auto"/>
            </w:tcBorders>
            <w:noWrap/>
            <w:vAlign w:val="bottom"/>
            <w:hideMark/>
          </w:tcPr>
          <w:p w:rsidR="00B84028" w:rsidRPr="00B84028" w:rsidP="00B84028" w14:paraId="28D31A77" w14:textId="77777777">
            <w:pPr>
              <w:widowControl/>
              <w:autoSpaceDE/>
              <w:autoSpaceDN/>
              <w:adjustRightInd/>
              <w:jc w:val="center"/>
              <w:rPr>
                <w:b w:val="0"/>
                <w:bCs w:val="0"/>
                <w:sz w:val="24"/>
                <w:szCs w:val="24"/>
              </w:rPr>
            </w:pPr>
            <w:r w:rsidRPr="00B84028">
              <w:rPr>
                <w:b w:val="0"/>
                <w:bCs w:val="0"/>
                <w:sz w:val="24"/>
                <w:szCs w:val="24"/>
              </w:rPr>
              <w:t xml:space="preserve">$0 </w:t>
            </w:r>
          </w:p>
        </w:tc>
      </w:tr>
      <w:tr w14:paraId="7FEE9766" w14:textId="77777777" w:rsidTr="00B84028">
        <w:tblPrEx>
          <w:tblW w:w="0" w:type="auto"/>
          <w:tblLook w:val="04A0"/>
        </w:tblPrEx>
        <w:trPr>
          <w:trHeight w:val="310"/>
        </w:trPr>
        <w:tc>
          <w:tcPr>
            <w:tcW w:w="0" w:type="auto"/>
            <w:tcBorders>
              <w:top w:val="nil"/>
              <w:left w:val="single" w:sz="4" w:space="0" w:color="auto"/>
              <w:bottom w:val="single" w:sz="4" w:space="0" w:color="auto"/>
              <w:right w:val="single" w:sz="4" w:space="0" w:color="auto"/>
            </w:tcBorders>
            <w:vAlign w:val="bottom"/>
            <w:hideMark/>
          </w:tcPr>
          <w:p w:rsidR="00B84028" w:rsidRPr="00B84028" w:rsidP="00B84028" w14:paraId="4C7A76C0" w14:textId="77777777">
            <w:pPr>
              <w:widowControl/>
              <w:autoSpaceDE/>
              <w:autoSpaceDN/>
              <w:adjustRightInd/>
              <w:rPr>
                <w:b w:val="0"/>
                <w:bCs w:val="0"/>
                <w:sz w:val="24"/>
                <w:szCs w:val="24"/>
              </w:rPr>
            </w:pPr>
            <w:r w:rsidRPr="00B84028">
              <w:rPr>
                <w:b w:val="0"/>
                <w:bCs w:val="0"/>
                <w:sz w:val="24"/>
                <w:szCs w:val="24"/>
              </w:rPr>
              <w:t>Disclosure (annual)</w:t>
            </w:r>
          </w:p>
        </w:tc>
        <w:tc>
          <w:tcPr>
            <w:tcW w:w="0" w:type="auto"/>
            <w:tcBorders>
              <w:top w:val="nil"/>
              <w:left w:val="nil"/>
              <w:bottom w:val="single" w:sz="4" w:space="0" w:color="auto"/>
              <w:right w:val="single" w:sz="4" w:space="0" w:color="auto"/>
            </w:tcBorders>
            <w:noWrap/>
            <w:vAlign w:val="bottom"/>
            <w:hideMark/>
          </w:tcPr>
          <w:p w:rsidR="00B84028" w:rsidRPr="00B84028" w:rsidP="00B84028" w14:paraId="112A8F46" w14:textId="77777777">
            <w:pPr>
              <w:widowControl/>
              <w:autoSpaceDE/>
              <w:autoSpaceDN/>
              <w:adjustRightInd/>
              <w:jc w:val="center"/>
              <w:rPr>
                <w:b w:val="0"/>
                <w:bCs w:val="0"/>
                <w:sz w:val="24"/>
                <w:szCs w:val="24"/>
              </w:rPr>
            </w:pPr>
            <w:r w:rsidRPr="00B84028">
              <w:rPr>
                <w:b w:val="0"/>
                <w:bCs w:val="0"/>
                <w:sz w:val="24"/>
                <w:szCs w:val="24"/>
              </w:rPr>
              <w:t>95,087</w:t>
            </w:r>
          </w:p>
        </w:tc>
        <w:tc>
          <w:tcPr>
            <w:tcW w:w="0" w:type="auto"/>
            <w:tcBorders>
              <w:top w:val="nil"/>
              <w:left w:val="nil"/>
              <w:bottom w:val="single" w:sz="4" w:space="0" w:color="auto"/>
              <w:right w:val="single" w:sz="4" w:space="0" w:color="auto"/>
            </w:tcBorders>
            <w:noWrap/>
            <w:vAlign w:val="bottom"/>
            <w:hideMark/>
          </w:tcPr>
          <w:p w:rsidR="00B84028" w:rsidRPr="00B84028" w:rsidP="00B84028" w14:paraId="28C73D02" w14:textId="77777777">
            <w:pPr>
              <w:widowControl/>
              <w:autoSpaceDE/>
              <w:autoSpaceDN/>
              <w:adjustRightInd/>
              <w:jc w:val="center"/>
              <w:rPr>
                <w:b w:val="0"/>
                <w:bCs w:val="0"/>
                <w:sz w:val="24"/>
                <w:szCs w:val="24"/>
              </w:rPr>
            </w:pPr>
            <w:r w:rsidRPr="00B84028">
              <w:rPr>
                <w:b w:val="0"/>
                <w:bCs w:val="0"/>
                <w:sz w:val="24"/>
                <w:szCs w:val="24"/>
              </w:rPr>
              <w:t>$12,547,664</w:t>
            </w:r>
          </w:p>
        </w:tc>
        <w:tc>
          <w:tcPr>
            <w:tcW w:w="0" w:type="auto"/>
            <w:tcBorders>
              <w:top w:val="nil"/>
              <w:left w:val="nil"/>
              <w:bottom w:val="single" w:sz="4" w:space="0" w:color="auto"/>
              <w:right w:val="single" w:sz="4" w:space="0" w:color="auto"/>
            </w:tcBorders>
            <w:noWrap/>
            <w:vAlign w:val="bottom"/>
            <w:hideMark/>
          </w:tcPr>
          <w:p w:rsidR="00B84028" w:rsidRPr="00B84028" w:rsidP="00B84028" w14:paraId="7E7C41A0" w14:textId="77777777">
            <w:pPr>
              <w:widowControl/>
              <w:autoSpaceDE/>
              <w:autoSpaceDN/>
              <w:adjustRightInd/>
              <w:jc w:val="center"/>
              <w:rPr>
                <w:b w:val="0"/>
                <w:bCs w:val="0"/>
                <w:sz w:val="24"/>
                <w:szCs w:val="24"/>
              </w:rPr>
            </w:pPr>
            <w:r w:rsidRPr="00B84028">
              <w:rPr>
                <w:b w:val="0"/>
                <w:bCs w:val="0"/>
                <w:sz w:val="24"/>
                <w:szCs w:val="24"/>
              </w:rPr>
              <w:t>$0</w:t>
            </w:r>
          </w:p>
        </w:tc>
      </w:tr>
      <w:tr w14:paraId="6D70BAC5" w14:textId="77777777" w:rsidTr="00B84028">
        <w:tblPrEx>
          <w:tblW w:w="0" w:type="auto"/>
          <w:tblLook w:val="04A0"/>
        </w:tblPrEx>
        <w:trPr>
          <w:trHeight w:val="320"/>
        </w:trPr>
        <w:tc>
          <w:tcPr>
            <w:tcW w:w="0" w:type="auto"/>
            <w:tcBorders>
              <w:top w:val="nil"/>
              <w:left w:val="single" w:sz="4" w:space="0" w:color="auto"/>
              <w:bottom w:val="single" w:sz="4" w:space="0" w:color="auto"/>
              <w:right w:val="single" w:sz="4" w:space="0" w:color="auto"/>
            </w:tcBorders>
            <w:noWrap/>
            <w:vAlign w:val="bottom"/>
            <w:hideMark/>
          </w:tcPr>
          <w:p w:rsidR="00B84028" w:rsidRPr="00B84028" w:rsidP="00B84028" w14:paraId="7F33230E" w14:textId="77777777">
            <w:pPr>
              <w:widowControl/>
              <w:autoSpaceDE/>
              <w:autoSpaceDN/>
              <w:adjustRightInd/>
              <w:rPr>
                <w:b w:val="0"/>
                <w:bCs w:val="0"/>
                <w:sz w:val="24"/>
                <w:szCs w:val="24"/>
              </w:rPr>
            </w:pPr>
            <w:r w:rsidRPr="00B84028">
              <w:rPr>
                <w:b w:val="0"/>
                <w:bCs w:val="0"/>
                <w:sz w:val="24"/>
                <w:szCs w:val="24"/>
              </w:rPr>
              <w:t>Audit (annual)</w:t>
            </w:r>
          </w:p>
        </w:tc>
        <w:tc>
          <w:tcPr>
            <w:tcW w:w="0" w:type="auto"/>
            <w:tcBorders>
              <w:top w:val="nil"/>
              <w:left w:val="nil"/>
              <w:bottom w:val="double" w:sz="6" w:space="0" w:color="auto"/>
              <w:right w:val="single" w:sz="4" w:space="0" w:color="auto"/>
            </w:tcBorders>
            <w:noWrap/>
            <w:vAlign w:val="bottom"/>
            <w:hideMark/>
          </w:tcPr>
          <w:p w:rsidR="00B84028" w:rsidRPr="00B84028" w:rsidP="00B84028" w14:paraId="67D4CBCA" w14:textId="77777777">
            <w:pPr>
              <w:widowControl/>
              <w:autoSpaceDE/>
              <w:autoSpaceDN/>
              <w:adjustRightInd/>
              <w:jc w:val="center"/>
              <w:rPr>
                <w:b w:val="0"/>
                <w:bCs w:val="0"/>
                <w:sz w:val="24"/>
                <w:szCs w:val="24"/>
              </w:rPr>
            </w:pPr>
            <w:r w:rsidRPr="00B84028">
              <w:rPr>
                <w:b w:val="0"/>
                <w:bCs w:val="0"/>
                <w:sz w:val="24"/>
                <w:szCs w:val="24"/>
              </w:rPr>
              <w:t>109,253</w:t>
            </w:r>
          </w:p>
        </w:tc>
        <w:tc>
          <w:tcPr>
            <w:tcW w:w="0" w:type="auto"/>
            <w:tcBorders>
              <w:top w:val="nil"/>
              <w:left w:val="nil"/>
              <w:bottom w:val="double" w:sz="6" w:space="0" w:color="auto"/>
              <w:right w:val="single" w:sz="4" w:space="0" w:color="auto"/>
            </w:tcBorders>
            <w:noWrap/>
            <w:vAlign w:val="bottom"/>
            <w:hideMark/>
          </w:tcPr>
          <w:p w:rsidR="00B84028" w:rsidRPr="00B84028" w:rsidP="00B84028" w14:paraId="699B0063" w14:textId="77777777">
            <w:pPr>
              <w:widowControl/>
              <w:autoSpaceDE/>
              <w:autoSpaceDN/>
              <w:adjustRightInd/>
              <w:jc w:val="center"/>
              <w:rPr>
                <w:b w:val="0"/>
                <w:bCs w:val="0"/>
                <w:sz w:val="24"/>
                <w:szCs w:val="24"/>
              </w:rPr>
            </w:pPr>
            <w:r w:rsidRPr="00B84028">
              <w:rPr>
                <w:b w:val="0"/>
                <w:bCs w:val="0"/>
                <w:sz w:val="24"/>
                <w:szCs w:val="24"/>
              </w:rPr>
              <w:t>$15,959,168</w:t>
            </w:r>
          </w:p>
        </w:tc>
        <w:tc>
          <w:tcPr>
            <w:tcW w:w="0" w:type="auto"/>
            <w:tcBorders>
              <w:top w:val="nil"/>
              <w:left w:val="nil"/>
              <w:bottom w:val="double" w:sz="6" w:space="0" w:color="auto"/>
              <w:right w:val="single" w:sz="4" w:space="0" w:color="auto"/>
            </w:tcBorders>
            <w:noWrap/>
            <w:vAlign w:val="bottom"/>
            <w:hideMark/>
          </w:tcPr>
          <w:p w:rsidR="00B84028" w:rsidRPr="00B84028" w:rsidP="00B84028" w14:paraId="7A6AC767" w14:textId="77777777">
            <w:pPr>
              <w:widowControl/>
              <w:autoSpaceDE/>
              <w:autoSpaceDN/>
              <w:adjustRightInd/>
              <w:jc w:val="center"/>
              <w:rPr>
                <w:b w:val="0"/>
                <w:bCs w:val="0"/>
                <w:sz w:val="24"/>
                <w:szCs w:val="24"/>
              </w:rPr>
            </w:pPr>
            <w:r w:rsidRPr="00B84028">
              <w:rPr>
                <w:b w:val="0"/>
                <w:bCs w:val="0"/>
                <w:sz w:val="24"/>
                <w:szCs w:val="24"/>
              </w:rPr>
              <w:t>$0</w:t>
            </w:r>
          </w:p>
        </w:tc>
      </w:tr>
      <w:tr w14:paraId="49912B97" w14:textId="77777777" w:rsidTr="00B84028">
        <w:tblPrEx>
          <w:tblW w:w="0" w:type="auto"/>
          <w:tblLook w:val="04A0"/>
        </w:tblPrEx>
        <w:trPr>
          <w:trHeight w:val="320"/>
        </w:trPr>
        <w:tc>
          <w:tcPr>
            <w:tcW w:w="0" w:type="auto"/>
            <w:tcBorders>
              <w:top w:val="nil"/>
              <w:left w:val="single" w:sz="4" w:space="0" w:color="auto"/>
              <w:bottom w:val="single" w:sz="4" w:space="0" w:color="auto"/>
              <w:right w:val="single" w:sz="4" w:space="0" w:color="auto"/>
            </w:tcBorders>
            <w:noWrap/>
            <w:vAlign w:val="bottom"/>
            <w:hideMark/>
          </w:tcPr>
          <w:p w:rsidR="00B84028" w:rsidRPr="00B84028" w:rsidP="00B84028" w14:paraId="18B9F741" w14:textId="77777777">
            <w:pPr>
              <w:widowControl/>
              <w:autoSpaceDE/>
              <w:autoSpaceDN/>
              <w:adjustRightInd/>
              <w:rPr>
                <w:sz w:val="24"/>
                <w:szCs w:val="24"/>
              </w:rPr>
            </w:pPr>
            <w:r w:rsidRPr="00B84028">
              <w:rPr>
                <w:sz w:val="24"/>
                <w:szCs w:val="24"/>
              </w:rPr>
              <w:t>First Year Total</w:t>
            </w:r>
          </w:p>
        </w:tc>
        <w:tc>
          <w:tcPr>
            <w:tcW w:w="0" w:type="auto"/>
            <w:tcBorders>
              <w:top w:val="nil"/>
              <w:left w:val="nil"/>
              <w:bottom w:val="nil"/>
              <w:right w:val="single" w:sz="4" w:space="0" w:color="auto"/>
            </w:tcBorders>
            <w:noWrap/>
            <w:vAlign w:val="bottom"/>
            <w:hideMark/>
          </w:tcPr>
          <w:p w:rsidR="00B84028" w:rsidRPr="00B84028" w:rsidP="00B84028" w14:paraId="314F2A71" w14:textId="77777777">
            <w:pPr>
              <w:widowControl/>
              <w:autoSpaceDE/>
              <w:autoSpaceDN/>
              <w:adjustRightInd/>
              <w:jc w:val="center"/>
              <w:rPr>
                <w:sz w:val="24"/>
                <w:szCs w:val="24"/>
              </w:rPr>
            </w:pPr>
            <w:r w:rsidRPr="00B84028">
              <w:rPr>
                <w:sz w:val="24"/>
                <w:szCs w:val="24"/>
              </w:rPr>
              <w:t>678,839</w:t>
            </w:r>
          </w:p>
        </w:tc>
        <w:tc>
          <w:tcPr>
            <w:tcW w:w="0" w:type="auto"/>
            <w:tcBorders>
              <w:top w:val="nil"/>
              <w:left w:val="nil"/>
              <w:bottom w:val="nil"/>
              <w:right w:val="single" w:sz="4" w:space="0" w:color="auto"/>
            </w:tcBorders>
            <w:noWrap/>
            <w:vAlign w:val="bottom"/>
            <w:hideMark/>
          </w:tcPr>
          <w:p w:rsidR="00B84028" w:rsidRPr="00B84028" w:rsidP="00B84028" w14:paraId="451C02DF" w14:textId="77777777">
            <w:pPr>
              <w:widowControl/>
              <w:autoSpaceDE/>
              <w:autoSpaceDN/>
              <w:adjustRightInd/>
              <w:jc w:val="center"/>
              <w:rPr>
                <w:sz w:val="24"/>
                <w:szCs w:val="24"/>
              </w:rPr>
            </w:pPr>
            <w:r w:rsidRPr="00B84028">
              <w:rPr>
                <w:sz w:val="24"/>
                <w:szCs w:val="24"/>
              </w:rPr>
              <w:t>$108,806,832</w:t>
            </w:r>
          </w:p>
        </w:tc>
        <w:tc>
          <w:tcPr>
            <w:tcW w:w="0" w:type="auto"/>
            <w:tcBorders>
              <w:top w:val="nil"/>
              <w:left w:val="nil"/>
              <w:bottom w:val="nil"/>
              <w:right w:val="single" w:sz="4" w:space="0" w:color="auto"/>
            </w:tcBorders>
            <w:noWrap/>
            <w:vAlign w:val="bottom"/>
            <w:hideMark/>
          </w:tcPr>
          <w:p w:rsidR="00B84028" w:rsidRPr="00B84028" w:rsidP="00B84028" w14:paraId="5EA70C56" w14:textId="77777777">
            <w:pPr>
              <w:widowControl/>
              <w:autoSpaceDE/>
              <w:autoSpaceDN/>
              <w:adjustRightInd/>
              <w:jc w:val="center"/>
              <w:rPr>
                <w:sz w:val="24"/>
                <w:szCs w:val="24"/>
              </w:rPr>
            </w:pPr>
            <w:r w:rsidRPr="00B84028">
              <w:rPr>
                <w:sz w:val="24"/>
                <w:szCs w:val="24"/>
              </w:rPr>
              <w:t>$0</w:t>
            </w:r>
          </w:p>
        </w:tc>
      </w:tr>
      <w:tr w14:paraId="430C277D" w14:textId="77777777" w:rsidTr="00B84028">
        <w:tblPrEx>
          <w:tblW w:w="0" w:type="auto"/>
          <w:tblLook w:val="04A0"/>
        </w:tblPrEx>
        <w:trPr>
          <w:trHeight w:val="310"/>
        </w:trPr>
        <w:tc>
          <w:tcPr>
            <w:tcW w:w="0" w:type="auto"/>
            <w:tcBorders>
              <w:top w:val="nil"/>
              <w:left w:val="single" w:sz="4" w:space="0" w:color="auto"/>
              <w:bottom w:val="single" w:sz="4" w:space="0" w:color="auto"/>
              <w:right w:val="single" w:sz="4" w:space="0" w:color="auto"/>
            </w:tcBorders>
            <w:noWrap/>
            <w:vAlign w:val="bottom"/>
            <w:hideMark/>
          </w:tcPr>
          <w:p w:rsidR="00B84028" w:rsidRPr="00B84028" w:rsidP="00B84028" w14:paraId="61420C5B" w14:textId="77777777">
            <w:pPr>
              <w:widowControl/>
              <w:autoSpaceDE/>
              <w:autoSpaceDN/>
              <w:adjustRightInd/>
              <w:rPr>
                <w:sz w:val="24"/>
                <w:szCs w:val="24"/>
              </w:rPr>
            </w:pPr>
            <w:r w:rsidRPr="00B84028">
              <w:rPr>
                <w:sz w:val="24"/>
                <w:szCs w:val="24"/>
              </w:rPr>
              <w:t xml:space="preserve">Subsequent Year Total </w:t>
            </w:r>
          </w:p>
        </w:tc>
        <w:tc>
          <w:tcPr>
            <w:tcW w:w="0" w:type="auto"/>
            <w:tcBorders>
              <w:top w:val="single" w:sz="4" w:space="0" w:color="auto"/>
              <w:left w:val="nil"/>
              <w:bottom w:val="single" w:sz="4" w:space="0" w:color="auto"/>
              <w:right w:val="single" w:sz="4" w:space="0" w:color="auto"/>
            </w:tcBorders>
            <w:noWrap/>
            <w:vAlign w:val="bottom"/>
            <w:hideMark/>
          </w:tcPr>
          <w:p w:rsidR="00B84028" w:rsidRPr="00B84028" w:rsidP="00B84028" w14:paraId="3DE0EA5B" w14:textId="77777777">
            <w:pPr>
              <w:widowControl/>
              <w:autoSpaceDE/>
              <w:autoSpaceDN/>
              <w:adjustRightInd/>
              <w:jc w:val="center"/>
              <w:rPr>
                <w:sz w:val="24"/>
                <w:szCs w:val="24"/>
              </w:rPr>
            </w:pPr>
            <w:r w:rsidRPr="00B84028">
              <w:rPr>
                <w:sz w:val="24"/>
                <w:szCs w:val="24"/>
              </w:rPr>
              <w:t>299,239</w:t>
            </w:r>
          </w:p>
        </w:tc>
        <w:tc>
          <w:tcPr>
            <w:tcW w:w="0" w:type="auto"/>
            <w:tcBorders>
              <w:top w:val="single" w:sz="4" w:space="0" w:color="auto"/>
              <w:left w:val="nil"/>
              <w:bottom w:val="single" w:sz="4" w:space="0" w:color="auto"/>
              <w:right w:val="single" w:sz="4" w:space="0" w:color="auto"/>
            </w:tcBorders>
            <w:noWrap/>
            <w:vAlign w:val="bottom"/>
            <w:hideMark/>
          </w:tcPr>
          <w:p w:rsidR="00B84028" w:rsidRPr="00B84028" w:rsidP="00B84028" w14:paraId="788B8317" w14:textId="77777777">
            <w:pPr>
              <w:widowControl/>
              <w:autoSpaceDE/>
              <w:autoSpaceDN/>
              <w:adjustRightInd/>
              <w:jc w:val="center"/>
              <w:rPr>
                <w:sz w:val="24"/>
                <w:szCs w:val="24"/>
              </w:rPr>
            </w:pPr>
            <w:r w:rsidRPr="00B84028">
              <w:rPr>
                <w:sz w:val="24"/>
                <w:szCs w:val="24"/>
              </w:rPr>
              <w:t>$50,406,832</w:t>
            </w:r>
          </w:p>
        </w:tc>
        <w:tc>
          <w:tcPr>
            <w:tcW w:w="0" w:type="auto"/>
            <w:tcBorders>
              <w:top w:val="single" w:sz="4" w:space="0" w:color="auto"/>
              <w:left w:val="nil"/>
              <w:bottom w:val="single" w:sz="4" w:space="0" w:color="auto"/>
              <w:right w:val="single" w:sz="4" w:space="0" w:color="auto"/>
            </w:tcBorders>
            <w:noWrap/>
            <w:vAlign w:val="bottom"/>
            <w:hideMark/>
          </w:tcPr>
          <w:p w:rsidR="00B84028" w:rsidRPr="00B84028" w:rsidP="00B84028" w14:paraId="1B3107FD" w14:textId="77777777">
            <w:pPr>
              <w:widowControl/>
              <w:autoSpaceDE/>
              <w:autoSpaceDN/>
              <w:adjustRightInd/>
              <w:jc w:val="center"/>
              <w:rPr>
                <w:sz w:val="24"/>
                <w:szCs w:val="24"/>
              </w:rPr>
            </w:pPr>
            <w:r w:rsidRPr="00B84028">
              <w:rPr>
                <w:sz w:val="24"/>
                <w:szCs w:val="24"/>
              </w:rPr>
              <w:t>$0</w:t>
            </w:r>
          </w:p>
        </w:tc>
      </w:tr>
      <w:tr w14:paraId="0EC4E9DC" w14:textId="77777777" w:rsidTr="00B84028">
        <w:tblPrEx>
          <w:tblW w:w="0" w:type="auto"/>
          <w:tblLook w:val="04A0"/>
        </w:tblPrEx>
        <w:trPr>
          <w:trHeight w:val="310"/>
        </w:trPr>
        <w:tc>
          <w:tcPr>
            <w:tcW w:w="0" w:type="auto"/>
            <w:tcBorders>
              <w:top w:val="single" w:sz="4" w:space="0" w:color="auto"/>
              <w:left w:val="single" w:sz="4" w:space="0" w:color="auto"/>
              <w:bottom w:val="single" w:sz="4" w:space="0" w:color="auto"/>
              <w:right w:val="single" w:sz="4" w:space="0" w:color="auto"/>
            </w:tcBorders>
            <w:noWrap/>
            <w:vAlign w:val="bottom"/>
            <w:hideMark/>
          </w:tcPr>
          <w:p w:rsidR="00B84028" w:rsidRPr="00B84028" w:rsidP="00B84028" w14:paraId="4453B130" w14:textId="77777777">
            <w:pPr>
              <w:widowControl/>
              <w:autoSpaceDE/>
              <w:autoSpaceDN/>
              <w:adjustRightInd/>
              <w:rPr>
                <w:sz w:val="24"/>
                <w:szCs w:val="24"/>
              </w:rPr>
            </w:pPr>
            <w:r w:rsidRPr="00B84028">
              <w:rPr>
                <w:sz w:val="24"/>
                <w:szCs w:val="24"/>
              </w:rPr>
              <w:t>Three-Year Average Total</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B84028" w:rsidRPr="00B84028" w:rsidP="00B84028" w14:paraId="59C162EA" w14:textId="77777777">
            <w:pPr>
              <w:widowControl/>
              <w:autoSpaceDE/>
              <w:autoSpaceDN/>
              <w:adjustRightInd/>
              <w:jc w:val="center"/>
              <w:rPr>
                <w:sz w:val="24"/>
                <w:szCs w:val="24"/>
              </w:rPr>
            </w:pPr>
            <w:r w:rsidRPr="00B84028">
              <w:rPr>
                <w:sz w:val="24"/>
                <w:szCs w:val="24"/>
              </w:rPr>
              <w:t>425,773</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B84028" w:rsidRPr="00B84028" w:rsidP="00B84028" w14:paraId="6AFC9B19" w14:textId="77777777">
            <w:pPr>
              <w:widowControl/>
              <w:autoSpaceDE/>
              <w:autoSpaceDN/>
              <w:adjustRightInd/>
              <w:jc w:val="center"/>
              <w:rPr>
                <w:sz w:val="24"/>
                <w:szCs w:val="24"/>
              </w:rPr>
            </w:pPr>
            <w:r w:rsidRPr="00B84028">
              <w:rPr>
                <w:sz w:val="24"/>
                <w:szCs w:val="24"/>
              </w:rPr>
              <w:t>$69,873,499</w:t>
            </w:r>
          </w:p>
        </w:tc>
        <w:tc>
          <w:tcPr>
            <w:tcW w:w="0" w:type="auto"/>
            <w:tcBorders>
              <w:top w:val="single" w:sz="4" w:space="0" w:color="auto"/>
              <w:left w:val="single" w:sz="4" w:space="0" w:color="auto"/>
              <w:bottom w:val="single" w:sz="4" w:space="0" w:color="auto"/>
              <w:right w:val="single" w:sz="4" w:space="0" w:color="auto"/>
            </w:tcBorders>
            <w:noWrap/>
            <w:vAlign w:val="bottom"/>
            <w:hideMark/>
          </w:tcPr>
          <w:p w:rsidR="00B84028" w:rsidRPr="00B84028" w:rsidP="00B84028" w14:paraId="77D70417" w14:textId="77777777">
            <w:pPr>
              <w:widowControl/>
              <w:autoSpaceDE/>
              <w:autoSpaceDN/>
              <w:adjustRightInd/>
              <w:jc w:val="center"/>
              <w:rPr>
                <w:sz w:val="24"/>
                <w:szCs w:val="24"/>
              </w:rPr>
            </w:pPr>
            <w:r w:rsidRPr="00B84028">
              <w:rPr>
                <w:sz w:val="24"/>
                <w:szCs w:val="24"/>
              </w:rPr>
              <w:t>$0</w:t>
            </w:r>
          </w:p>
        </w:tc>
      </w:tr>
    </w:tbl>
    <w:p w:rsidR="00860F17" w:rsidP="00B84028" w14:paraId="00C09BA4" w14:textId="77777777">
      <w:pPr>
        <w:widowControl/>
        <w:tabs>
          <w:tab w:val="left" w:pos="-1440"/>
        </w:tabs>
        <w:rPr>
          <w:b w:val="0"/>
          <w:bCs w:val="0"/>
          <w:iCs/>
          <w:sz w:val="24"/>
          <w:szCs w:val="24"/>
        </w:rPr>
      </w:pPr>
    </w:p>
    <w:p w:rsidR="00E56974" w:rsidP="00CA7375" w14:paraId="510DFBE6" w14:textId="13ABAFAE">
      <w:pPr>
        <w:pStyle w:val="Heading3"/>
      </w:pPr>
      <w:r>
        <w:t xml:space="preserve">TABLE 6. </w:t>
      </w:r>
      <w:r w:rsidRPr="00D309FC" w:rsidR="00540514">
        <w:t>Estimated Annualized Respondent Cost and Hour Burden</w:t>
      </w:r>
    </w:p>
    <w:p w:rsidR="00546A83" w:rsidP="00C35E46" w14:paraId="1281159C" w14:textId="77777777">
      <w:pPr>
        <w:rPr>
          <w:b w:val="0"/>
          <w:bCs w:val="0"/>
          <w:iCs/>
          <w:sz w:val="24"/>
          <w:szCs w:val="24"/>
        </w:rPr>
      </w:pPr>
    </w:p>
    <w:tbl>
      <w:tblPr>
        <w:tblW w:w="11195" w:type="dxa"/>
        <w:tblInd w:w="-635" w:type="dxa"/>
        <w:tblLayout w:type="fixed"/>
        <w:tblLook w:val="04A0"/>
      </w:tblPr>
      <w:tblGrid>
        <w:gridCol w:w="1800"/>
        <w:gridCol w:w="1523"/>
        <w:gridCol w:w="1430"/>
        <w:gridCol w:w="1270"/>
        <w:gridCol w:w="1076"/>
        <w:gridCol w:w="1076"/>
        <w:gridCol w:w="1596"/>
        <w:gridCol w:w="1416"/>
        <w:gridCol w:w="8"/>
      </w:tblGrid>
      <w:tr w14:paraId="55FADC39" w14:textId="77777777" w:rsidTr="004E7E9E">
        <w:tblPrEx>
          <w:tblW w:w="11195" w:type="dxa"/>
          <w:tblInd w:w="-635" w:type="dxa"/>
          <w:tblLayout w:type="fixed"/>
          <w:tblLook w:val="04A0"/>
        </w:tblPrEx>
        <w:trPr>
          <w:gridAfter w:val="1"/>
          <w:wAfter w:w="8" w:type="dxa"/>
          <w:trHeight w:val="523"/>
        </w:trPr>
        <w:tc>
          <w:tcPr>
            <w:tcW w:w="1800"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P="00C35E46" w14:paraId="37C71C5C" w14:textId="77777777">
            <w:pPr>
              <w:widowControl/>
              <w:autoSpaceDE/>
              <w:autoSpaceDN/>
              <w:adjustRightInd/>
              <w:jc w:val="center"/>
              <w:rPr>
                <w:color w:val="000000"/>
                <w:sz w:val="24"/>
                <w:szCs w:val="24"/>
              </w:rPr>
            </w:pPr>
            <w:r w:rsidRPr="004E7E9E">
              <w:rPr>
                <w:color w:val="000000"/>
                <w:sz w:val="24"/>
                <w:szCs w:val="24"/>
              </w:rPr>
              <w:t>Activity</w:t>
            </w:r>
            <w:r w:rsidRPr="004E7E9E">
              <w:rPr>
                <w:b w:val="0"/>
                <w:bCs w:val="0"/>
                <w:color w:val="000000"/>
                <w:sz w:val="24"/>
                <w:szCs w:val="24"/>
              </w:rPr>
              <w:t> </w:t>
            </w:r>
          </w:p>
          <w:p w:rsidR="004E7E9E" w:rsidP="004E7E9E" w14:paraId="17BA8638" w14:textId="77777777">
            <w:pPr>
              <w:rPr>
                <w:color w:val="000000"/>
                <w:sz w:val="24"/>
                <w:szCs w:val="24"/>
              </w:rPr>
            </w:pPr>
          </w:p>
          <w:p w:rsidR="004E7E9E" w:rsidRPr="004E7E9E" w:rsidP="004E7E9E" w14:paraId="2F8CEE25" w14:textId="77777777">
            <w:pPr>
              <w:rPr>
                <w:sz w:val="24"/>
                <w:szCs w:val="24"/>
              </w:rPr>
            </w:pPr>
          </w:p>
        </w:tc>
        <w:tc>
          <w:tcPr>
            <w:tcW w:w="1523"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4C98C028" w14:textId="77777777">
            <w:pPr>
              <w:widowControl/>
              <w:autoSpaceDE/>
              <w:autoSpaceDN/>
              <w:adjustRightInd/>
              <w:jc w:val="center"/>
              <w:rPr>
                <w:color w:val="000000"/>
                <w:sz w:val="24"/>
                <w:szCs w:val="24"/>
              </w:rPr>
            </w:pPr>
            <w:r w:rsidRPr="004E7E9E">
              <w:rPr>
                <w:color w:val="000000"/>
                <w:sz w:val="24"/>
                <w:szCs w:val="24"/>
              </w:rPr>
              <w:t>Number of Respondents</w:t>
            </w:r>
          </w:p>
        </w:tc>
        <w:tc>
          <w:tcPr>
            <w:tcW w:w="1430"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1B1099A6" w14:textId="77777777">
            <w:pPr>
              <w:widowControl/>
              <w:autoSpaceDE/>
              <w:autoSpaceDN/>
              <w:adjustRightInd/>
              <w:jc w:val="center"/>
              <w:rPr>
                <w:color w:val="000000"/>
                <w:sz w:val="24"/>
                <w:szCs w:val="24"/>
              </w:rPr>
            </w:pPr>
            <w:r w:rsidRPr="004E7E9E">
              <w:rPr>
                <w:color w:val="000000"/>
                <w:sz w:val="24"/>
                <w:szCs w:val="24"/>
              </w:rPr>
              <w:t>Number of Responses</w:t>
            </w:r>
            <w:r w:rsidRPr="004E7E9E">
              <w:rPr>
                <w:b w:val="0"/>
                <w:bCs w:val="0"/>
                <w:color w:val="000000"/>
                <w:sz w:val="24"/>
                <w:szCs w:val="24"/>
              </w:rPr>
              <w:t xml:space="preserve"> </w:t>
            </w:r>
            <w:r w:rsidRPr="004E7E9E">
              <w:rPr>
                <w:color w:val="000000"/>
                <w:sz w:val="24"/>
                <w:szCs w:val="24"/>
              </w:rPr>
              <w:t>per Respondent</w:t>
            </w:r>
          </w:p>
        </w:tc>
        <w:tc>
          <w:tcPr>
            <w:tcW w:w="1270"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66E323FC" w14:textId="77777777">
            <w:pPr>
              <w:widowControl/>
              <w:autoSpaceDE/>
              <w:autoSpaceDN/>
              <w:adjustRightInd/>
              <w:jc w:val="center"/>
              <w:rPr>
                <w:color w:val="000000"/>
                <w:sz w:val="24"/>
                <w:szCs w:val="24"/>
              </w:rPr>
            </w:pPr>
            <w:r w:rsidRPr="004E7E9E">
              <w:rPr>
                <w:color w:val="000000"/>
                <w:sz w:val="24"/>
                <w:szCs w:val="24"/>
              </w:rPr>
              <w:t>Total Responses</w:t>
            </w:r>
          </w:p>
        </w:tc>
        <w:tc>
          <w:tcPr>
            <w:tcW w:w="1076"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32E85A9B" w14:textId="77777777">
            <w:pPr>
              <w:widowControl/>
              <w:autoSpaceDE/>
              <w:autoSpaceDN/>
              <w:adjustRightInd/>
              <w:jc w:val="center"/>
              <w:rPr>
                <w:color w:val="000000"/>
                <w:sz w:val="24"/>
                <w:szCs w:val="24"/>
              </w:rPr>
            </w:pPr>
            <w:r w:rsidRPr="004E7E9E">
              <w:rPr>
                <w:color w:val="000000"/>
                <w:sz w:val="24"/>
                <w:szCs w:val="24"/>
              </w:rPr>
              <w:t>Average Burden (Hours)</w:t>
            </w:r>
            <w:r w:rsidRPr="004E7E9E">
              <w:rPr>
                <w:b w:val="0"/>
                <w:bCs w:val="0"/>
                <w:color w:val="000000"/>
                <w:sz w:val="24"/>
                <w:szCs w:val="24"/>
              </w:rPr>
              <w:t> </w:t>
            </w:r>
          </w:p>
        </w:tc>
        <w:tc>
          <w:tcPr>
            <w:tcW w:w="1076"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16E8C0E8" w14:textId="77777777">
            <w:pPr>
              <w:widowControl/>
              <w:autoSpaceDE/>
              <w:autoSpaceDN/>
              <w:adjustRightInd/>
              <w:jc w:val="center"/>
              <w:rPr>
                <w:color w:val="000000"/>
                <w:sz w:val="24"/>
                <w:szCs w:val="24"/>
              </w:rPr>
            </w:pPr>
            <w:r w:rsidRPr="004E7E9E">
              <w:rPr>
                <w:color w:val="000000"/>
                <w:sz w:val="24"/>
                <w:szCs w:val="24"/>
              </w:rPr>
              <w:t>Total Burden (Hours)</w:t>
            </w:r>
            <w:r w:rsidRPr="004E7E9E">
              <w:rPr>
                <w:b w:val="0"/>
                <w:bCs w:val="0"/>
                <w:color w:val="000000"/>
                <w:sz w:val="24"/>
                <w:szCs w:val="24"/>
              </w:rPr>
              <w:t> </w:t>
            </w:r>
          </w:p>
        </w:tc>
        <w:tc>
          <w:tcPr>
            <w:tcW w:w="1596"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7A3D3A87" w14:textId="77777777">
            <w:pPr>
              <w:widowControl/>
              <w:autoSpaceDE/>
              <w:autoSpaceDN/>
              <w:adjustRightInd/>
              <w:jc w:val="center"/>
              <w:rPr>
                <w:color w:val="000000"/>
                <w:sz w:val="24"/>
                <w:szCs w:val="24"/>
              </w:rPr>
            </w:pPr>
            <w:r w:rsidRPr="004E7E9E">
              <w:rPr>
                <w:color w:val="000000"/>
                <w:sz w:val="24"/>
                <w:szCs w:val="24"/>
              </w:rPr>
              <w:t>Hourly</w:t>
            </w:r>
            <w:r w:rsidRPr="004E7E9E">
              <w:rPr>
                <w:b w:val="0"/>
                <w:bCs w:val="0"/>
                <w:color w:val="000000"/>
                <w:sz w:val="24"/>
                <w:szCs w:val="24"/>
              </w:rPr>
              <w:t> </w:t>
            </w:r>
            <w:r w:rsidRPr="004E7E9E">
              <w:rPr>
                <w:color w:val="000000"/>
                <w:sz w:val="24"/>
                <w:szCs w:val="24"/>
              </w:rPr>
              <w:t>Wage Rate</w:t>
            </w:r>
          </w:p>
        </w:tc>
        <w:tc>
          <w:tcPr>
            <w:tcW w:w="1416" w:type="dxa"/>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rsidR="00C35E46" w:rsidRPr="004E7E9E" w:rsidP="00C35E46" w14:paraId="19FB3A5E" w14:textId="77777777">
            <w:pPr>
              <w:widowControl/>
              <w:autoSpaceDE/>
              <w:autoSpaceDN/>
              <w:adjustRightInd/>
              <w:jc w:val="center"/>
              <w:rPr>
                <w:color w:val="000000"/>
                <w:sz w:val="24"/>
                <w:szCs w:val="24"/>
              </w:rPr>
            </w:pPr>
            <w:r w:rsidRPr="004E7E9E">
              <w:rPr>
                <w:color w:val="000000"/>
                <w:sz w:val="24"/>
                <w:szCs w:val="24"/>
              </w:rPr>
              <w:t>Equivalent Cost of Hour Burden</w:t>
            </w:r>
          </w:p>
        </w:tc>
      </w:tr>
      <w:tr w14:paraId="3F9B0783" w14:textId="77777777" w:rsidTr="004E7E9E">
        <w:tblPrEx>
          <w:tblW w:w="11195" w:type="dxa"/>
          <w:tblInd w:w="-635" w:type="dxa"/>
          <w:tblLayout w:type="fixed"/>
          <w:tblLook w:val="04A0"/>
        </w:tblPrEx>
        <w:trPr>
          <w:gridAfter w:val="1"/>
          <w:wAfter w:w="8" w:type="dxa"/>
          <w:trHeight w:val="276"/>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13DF59C4" w14:textId="77777777">
            <w:pPr>
              <w:widowControl/>
              <w:autoSpaceDE/>
              <w:autoSpaceDN/>
              <w:adjustRightInd/>
              <w:rPr>
                <w:color w:val="000000"/>
                <w:sz w:val="24"/>
                <w:szCs w:val="24"/>
              </w:rPr>
            </w:pPr>
          </w:p>
        </w:tc>
        <w:tc>
          <w:tcPr>
            <w:tcW w:w="1523"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7A836C9F" w14:textId="77777777">
            <w:pPr>
              <w:widowControl/>
              <w:autoSpaceDE/>
              <w:autoSpaceDN/>
              <w:adjustRightInd/>
              <w:rPr>
                <w:color w:val="000000"/>
                <w:sz w:val="24"/>
                <w:szCs w:val="24"/>
              </w:rPr>
            </w:pPr>
          </w:p>
        </w:tc>
        <w:tc>
          <w:tcPr>
            <w:tcW w:w="143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1EEB075A" w14:textId="77777777">
            <w:pPr>
              <w:widowControl/>
              <w:autoSpaceDE/>
              <w:autoSpaceDN/>
              <w:adjustRightInd/>
              <w:rPr>
                <w:color w:val="000000"/>
                <w:sz w:val="24"/>
                <w:szCs w:val="24"/>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3985B747" w14:textId="77777777">
            <w:pPr>
              <w:widowControl/>
              <w:autoSpaceDE/>
              <w:autoSpaceDN/>
              <w:adjustRightInd/>
              <w:rPr>
                <w:color w:val="000000"/>
                <w:sz w:val="24"/>
                <w:szCs w:val="24"/>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59D4DF61" w14:textId="77777777">
            <w:pPr>
              <w:widowControl/>
              <w:autoSpaceDE/>
              <w:autoSpaceDN/>
              <w:adjustRightInd/>
              <w:rPr>
                <w:color w:val="000000"/>
                <w:sz w:val="24"/>
                <w:szCs w:val="24"/>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568A7C1B" w14:textId="77777777">
            <w:pPr>
              <w:widowControl/>
              <w:autoSpaceDE/>
              <w:autoSpaceDN/>
              <w:adjustRightInd/>
              <w:rPr>
                <w:color w:val="000000"/>
                <w:sz w:val="24"/>
                <w:szCs w:val="24"/>
              </w:rPr>
            </w:pPr>
          </w:p>
        </w:tc>
        <w:tc>
          <w:tcPr>
            <w:tcW w:w="159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19C7F8EB" w14:textId="77777777">
            <w:pPr>
              <w:widowControl/>
              <w:autoSpaceDE/>
              <w:autoSpaceDN/>
              <w:adjustRightInd/>
              <w:rPr>
                <w:color w:val="000000"/>
                <w:sz w:val="24"/>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27A5126F" w14:textId="77777777">
            <w:pPr>
              <w:widowControl/>
              <w:autoSpaceDE/>
              <w:autoSpaceDN/>
              <w:adjustRightInd/>
              <w:rPr>
                <w:color w:val="000000"/>
                <w:sz w:val="24"/>
                <w:szCs w:val="24"/>
              </w:rPr>
            </w:pPr>
          </w:p>
        </w:tc>
      </w:tr>
      <w:tr w14:paraId="39C8563D" w14:textId="77777777" w:rsidTr="004E7E9E">
        <w:tblPrEx>
          <w:tblW w:w="11195" w:type="dxa"/>
          <w:tblInd w:w="-635" w:type="dxa"/>
          <w:tblLayout w:type="fixed"/>
          <w:tblLook w:val="04A0"/>
        </w:tblPrEx>
        <w:trPr>
          <w:gridAfter w:val="1"/>
          <w:wAfter w:w="8" w:type="dxa"/>
          <w:trHeight w:val="276"/>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397BFC04" w14:textId="77777777">
            <w:pPr>
              <w:widowControl/>
              <w:autoSpaceDE/>
              <w:autoSpaceDN/>
              <w:adjustRightInd/>
              <w:rPr>
                <w:color w:val="000000"/>
                <w:sz w:val="24"/>
                <w:szCs w:val="24"/>
              </w:rPr>
            </w:pPr>
          </w:p>
        </w:tc>
        <w:tc>
          <w:tcPr>
            <w:tcW w:w="1523"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6480049C" w14:textId="77777777">
            <w:pPr>
              <w:widowControl/>
              <w:autoSpaceDE/>
              <w:autoSpaceDN/>
              <w:adjustRightInd/>
              <w:rPr>
                <w:color w:val="000000"/>
                <w:sz w:val="24"/>
                <w:szCs w:val="24"/>
              </w:rPr>
            </w:pPr>
          </w:p>
        </w:tc>
        <w:tc>
          <w:tcPr>
            <w:tcW w:w="143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1E3DC8BD" w14:textId="77777777">
            <w:pPr>
              <w:widowControl/>
              <w:autoSpaceDE/>
              <w:autoSpaceDN/>
              <w:adjustRightInd/>
              <w:rPr>
                <w:color w:val="000000"/>
                <w:sz w:val="24"/>
                <w:szCs w:val="24"/>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434ABBFF" w14:textId="77777777">
            <w:pPr>
              <w:widowControl/>
              <w:autoSpaceDE/>
              <w:autoSpaceDN/>
              <w:adjustRightInd/>
              <w:rPr>
                <w:color w:val="000000"/>
                <w:sz w:val="24"/>
                <w:szCs w:val="24"/>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251B0E77" w14:textId="77777777">
            <w:pPr>
              <w:widowControl/>
              <w:autoSpaceDE/>
              <w:autoSpaceDN/>
              <w:adjustRightInd/>
              <w:rPr>
                <w:color w:val="000000"/>
                <w:sz w:val="24"/>
                <w:szCs w:val="24"/>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1A06A321" w14:textId="77777777">
            <w:pPr>
              <w:widowControl/>
              <w:autoSpaceDE/>
              <w:autoSpaceDN/>
              <w:adjustRightInd/>
              <w:rPr>
                <w:color w:val="000000"/>
                <w:sz w:val="24"/>
                <w:szCs w:val="24"/>
              </w:rPr>
            </w:pPr>
          </w:p>
        </w:tc>
        <w:tc>
          <w:tcPr>
            <w:tcW w:w="159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0BACEFCD" w14:textId="77777777">
            <w:pPr>
              <w:widowControl/>
              <w:autoSpaceDE/>
              <w:autoSpaceDN/>
              <w:adjustRightInd/>
              <w:rPr>
                <w:color w:val="000000"/>
                <w:sz w:val="24"/>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0478318A" w14:textId="77777777">
            <w:pPr>
              <w:widowControl/>
              <w:autoSpaceDE/>
              <w:autoSpaceDN/>
              <w:adjustRightInd/>
              <w:rPr>
                <w:color w:val="000000"/>
                <w:sz w:val="24"/>
                <w:szCs w:val="24"/>
              </w:rPr>
            </w:pPr>
          </w:p>
        </w:tc>
      </w:tr>
      <w:tr w14:paraId="176C4636" w14:textId="77777777" w:rsidTr="004E7E9E">
        <w:tblPrEx>
          <w:tblW w:w="11195" w:type="dxa"/>
          <w:tblInd w:w="-635" w:type="dxa"/>
          <w:tblLayout w:type="fixed"/>
          <w:tblLook w:val="04A0"/>
        </w:tblPrEx>
        <w:trPr>
          <w:gridAfter w:val="1"/>
          <w:wAfter w:w="8" w:type="dxa"/>
          <w:trHeight w:val="276"/>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55A13A0D" w14:textId="77777777">
            <w:pPr>
              <w:widowControl/>
              <w:autoSpaceDE/>
              <w:autoSpaceDN/>
              <w:adjustRightInd/>
              <w:rPr>
                <w:color w:val="000000"/>
                <w:sz w:val="24"/>
                <w:szCs w:val="24"/>
              </w:rPr>
            </w:pPr>
          </w:p>
        </w:tc>
        <w:tc>
          <w:tcPr>
            <w:tcW w:w="1523"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253CE109" w14:textId="77777777">
            <w:pPr>
              <w:widowControl/>
              <w:autoSpaceDE/>
              <w:autoSpaceDN/>
              <w:adjustRightInd/>
              <w:rPr>
                <w:color w:val="000000"/>
                <w:sz w:val="24"/>
                <w:szCs w:val="24"/>
              </w:rPr>
            </w:pPr>
          </w:p>
        </w:tc>
        <w:tc>
          <w:tcPr>
            <w:tcW w:w="143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2B91E7B8" w14:textId="77777777">
            <w:pPr>
              <w:widowControl/>
              <w:autoSpaceDE/>
              <w:autoSpaceDN/>
              <w:adjustRightInd/>
              <w:rPr>
                <w:color w:val="000000"/>
                <w:sz w:val="24"/>
                <w:szCs w:val="24"/>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17734255" w14:textId="77777777">
            <w:pPr>
              <w:widowControl/>
              <w:autoSpaceDE/>
              <w:autoSpaceDN/>
              <w:adjustRightInd/>
              <w:rPr>
                <w:color w:val="000000"/>
                <w:sz w:val="24"/>
                <w:szCs w:val="24"/>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3BC46B1B" w14:textId="77777777">
            <w:pPr>
              <w:widowControl/>
              <w:autoSpaceDE/>
              <w:autoSpaceDN/>
              <w:adjustRightInd/>
              <w:rPr>
                <w:color w:val="000000"/>
                <w:sz w:val="24"/>
                <w:szCs w:val="24"/>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794DB56F" w14:textId="77777777">
            <w:pPr>
              <w:widowControl/>
              <w:autoSpaceDE/>
              <w:autoSpaceDN/>
              <w:adjustRightInd/>
              <w:rPr>
                <w:color w:val="000000"/>
                <w:sz w:val="24"/>
                <w:szCs w:val="24"/>
              </w:rPr>
            </w:pPr>
          </w:p>
        </w:tc>
        <w:tc>
          <w:tcPr>
            <w:tcW w:w="159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3536603B" w14:textId="77777777">
            <w:pPr>
              <w:widowControl/>
              <w:autoSpaceDE/>
              <w:autoSpaceDN/>
              <w:adjustRightInd/>
              <w:rPr>
                <w:color w:val="000000"/>
                <w:sz w:val="24"/>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0216897C" w14:textId="77777777">
            <w:pPr>
              <w:widowControl/>
              <w:autoSpaceDE/>
              <w:autoSpaceDN/>
              <w:adjustRightInd/>
              <w:rPr>
                <w:color w:val="000000"/>
                <w:sz w:val="24"/>
                <w:szCs w:val="24"/>
              </w:rPr>
            </w:pPr>
          </w:p>
        </w:tc>
      </w:tr>
      <w:tr w14:paraId="3769A8F9" w14:textId="77777777" w:rsidTr="004E7E9E">
        <w:tblPrEx>
          <w:tblW w:w="11195" w:type="dxa"/>
          <w:tblInd w:w="-635" w:type="dxa"/>
          <w:tblLayout w:type="fixed"/>
          <w:tblLook w:val="04A0"/>
        </w:tblPrEx>
        <w:trPr>
          <w:trHeight w:val="223"/>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2FCE43E2" w14:textId="77777777">
            <w:pPr>
              <w:widowControl/>
              <w:autoSpaceDE/>
              <w:autoSpaceDN/>
              <w:adjustRightInd/>
              <w:rPr>
                <w:color w:val="000000"/>
                <w:sz w:val="24"/>
                <w:szCs w:val="24"/>
                <w:u w:val="single"/>
              </w:rPr>
            </w:pPr>
            <w:r w:rsidRPr="004E7E9E">
              <w:rPr>
                <w:color w:val="000000"/>
                <w:sz w:val="24"/>
                <w:szCs w:val="24"/>
                <w:u w:val="single"/>
              </w:rPr>
              <w:t>(1) IT Infrastructure Costs</w:t>
            </w:r>
          </w:p>
        </w:tc>
      </w:tr>
      <w:tr w14:paraId="310A12D4" w14:textId="77777777" w:rsidTr="004E7E9E">
        <w:tblPrEx>
          <w:tblW w:w="11195" w:type="dxa"/>
          <w:tblInd w:w="-635" w:type="dxa"/>
          <w:tblLayout w:type="fixed"/>
          <w:tblLook w:val="04A0"/>
        </w:tblPrEx>
        <w:trPr>
          <w:trHeight w:val="283"/>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6B843644" w14:textId="77777777">
            <w:pPr>
              <w:widowControl/>
              <w:autoSpaceDE/>
              <w:autoSpaceDN/>
              <w:adjustRightInd/>
              <w:rPr>
                <w:color w:val="000000"/>
                <w:sz w:val="24"/>
                <w:szCs w:val="24"/>
                <w:u w:val="single"/>
              </w:rPr>
            </w:pPr>
            <w:r w:rsidRPr="004E7E9E">
              <w:rPr>
                <w:color w:val="000000"/>
                <w:sz w:val="24"/>
                <w:szCs w:val="24"/>
                <w:u w:val="single"/>
              </w:rPr>
              <w:t>(A) PBMs design, develop, and implement needed IT systems changes (first year)</w:t>
            </w:r>
          </w:p>
        </w:tc>
      </w:tr>
      <w:tr w14:paraId="0832C39E" w14:textId="77777777" w:rsidTr="004E7E9E">
        <w:tblPrEx>
          <w:tblW w:w="11195" w:type="dxa"/>
          <w:tblInd w:w="-635" w:type="dxa"/>
          <w:tblLayout w:type="fixed"/>
          <w:tblLook w:val="04A0"/>
        </w:tblPrEx>
        <w:trPr>
          <w:gridAfter w:val="1"/>
          <w:wAfter w:w="8" w:type="dxa"/>
          <w:trHeight w:val="283"/>
        </w:trPr>
        <w:tc>
          <w:tcPr>
            <w:tcW w:w="1800" w:type="dxa"/>
            <w:tcBorders>
              <w:top w:val="nil"/>
              <w:left w:val="single" w:sz="4" w:space="0" w:color="auto"/>
              <w:bottom w:val="single" w:sz="4" w:space="0" w:color="auto"/>
              <w:right w:val="single" w:sz="4" w:space="0" w:color="auto"/>
            </w:tcBorders>
            <w:vAlign w:val="center"/>
            <w:hideMark/>
          </w:tcPr>
          <w:p w:rsidR="00C35E46" w:rsidRPr="004E7E9E" w:rsidP="00C35E46" w14:paraId="6A8111B3" w14:textId="77777777">
            <w:pPr>
              <w:widowControl/>
              <w:autoSpaceDE/>
              <w:autoSpaceDN/>
              <w:adjustRightInd/>
              <w:rPr>
                <w:b w:val="0"/>
                <w:bCs w:val="0"/>
                <w:color w:val="000000"/>
                <w:sz w:val="24"/>
                <w:szCs w:val="24"/>
              </w:rPr>
            </w:pPr>
            <w:r w:rsidRPr="004E7E9E">
              <w:rPr>
                <w:b w:val="0"/>
                <w:bCs w:val="0"/>
                <w:color w:val="000000"/>
                <w:sz w:val="24"/>
                <w:szCs w:val="24"/>
              </w:rPr>
              <w:t>Lawyers</w:t>
            </w:r>
          </w:p>
        </w:tc>
        <w:tc>
          <w:tcPr>
            <w:tcW w:w="1523" w:type="dxa"/>
            <w:tcBorders>
              <w:top w:val="nil"/>
              <w:left w:val="nil"/>
              <w:bottom w:val="single" w:sz="4" w:space="0" w:color="auto"/>
              <w:right w:val="single" w:sz="4" w:space="0" w:color="auto"/>
            </w:tcBorders>
            <w:vAlign w:val="center"/>
            <w:hideMark/>
          </w:tcPr>
          <w:p w:rsidR="00C35E46" w:rsidRPr="004E7E9E" w:rsidP="00C35E46" w14:paraId="7490F330"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77CE7F9B"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nil"/>
              <w:left w:val="nil"/>
              <w:bottom w:val="single" w:sz="4" w:space="0" w:color="auto"/>
              <w:right w:val="single" w:sz="4" w:space="0" w:color="auto"/>
            </w:tcBorders>
            <w:vAlign w:val="center"/>
            <w:hideMark/>
          </w:tcPr>
          <w:p w:rsidR="00C35E46" w:rsidRPr="004E7E9E" w:rsidP="00C35E46" w14:paraId="48025139"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nil"/>
              <w:left w:val="nil"/>
              <w:bottom w:val="single" w:sz="4" w:space="0" w:color="auto"/>
              <w:right w:val="single" w:sz="4" w:space="0" w:color="auto"/>
            </w:tcBorders>
            <w:vAlign w:val="center"/>
            <w:hideMark/>
          </w:tcPr>
          <w:p w:rsidR="00C35E46" w:rsidRPr="004E7E9E" w:rsidP="00C35E46" w14:paraId="1BF2D18C" w14:textId="77777777">
            <w:pPr>
              <w:widowControl/>
              <w:autoSpaceDE/>
              <w:autoSpaceDN/>
              <w:adjustRightInd/>
              <w:jc w:val="center"/>
              <w:rPr>
                <w:b w:val="0"/>
                <w:bCs w:val="0"/>
                <w:color w:val="000000"/>
                <w:sz w:val="24"/>
                <w:szCs w:val="24"/>
              </w:rPr>
            </w:pPr>
            <w:r w:rsidRPr="004E7E9E">
              <w:rPr>
                <w:b w:val="0"/>
                <w:bCs w:val="0"/>
                <w:color w:val="000000"/>
                <w:sz w:val="24"/>
                <w:szCs w:val="24"/>
              </w:rPr>
              <w:t>160</w:t>
            </w:r>
          </w:p>
        </w:tc>
        <w:tc>
          <w:tcPr>
            <w:tcW w:w="1076" w:type="dxa"/>
            <w:tcBorders>
              <w:top w:val="nil"/>
              <w:left w:val="nil"/>
              <w:bottom w:val="single" w:sz="4" w:space="0" w:color="auto"/>
              <w:right w:val="single" w:sz="4" w:space="0" w:color="auto"/>
            </w:tcBorders>
            <w:vAlign w:val="center"/>
            <w:hideMark/>
          </w:tcPr>
          <w:p w:rsidR="00C35E46" w:rsidRPr="004E7E9E" w:rsidP="00C35E46" w14:paraId="4D5DB988" w14:textId="77777777">
            <w:pPr>
              <w:widowControl/>
              <w:autoSpaceDE/>
              <w:autoSpaceDN/>
              <w:adjustRightInd/>
              <w:jc w:val="center"/>
              <w:rPr>
                <w:b w:val="0"/>
                <w:bCs w:val="0"/>
                <w:color w:val="000000"/>
                <w:sz w:val="24"/>
                <w:szCs w:val="24"/>
              </w:rPr>
            </w:pPr>
            <w:r w:rsidRPr="004E7E9E">
              <w:rPr>
                <w:b w:val="0"/>
                <w:bCs w:val="0"/>
                <w:color w:val="000000"/>
                <w:sz w:val="24"/>
                <w:szCs w:val="24"/>
              </w:rPr>
              <w:t>11,680</w:t>
            </w:r>
          </w:p>
        </w:tc>
        <w:tc>
          <w:tcPr>
            <w:tcW w:w="1596" w:type="dxa"/>
            <w:tcBorders>
              <w:top w:val="nil"/>
              <w:left w:val="nil"/>
              <w:bottom w:val="single" w:sz="4" w:space="0" w:color="auto"/>
              <w:right w:val="single" w:sz="4" w:space="0" w:color="auto"/>
            </w:tcBorders>
            <w:vAlign w:val="center"/>
            <w:hideMark/>
          </w:tcPr>
          <w:p w:rsidR="00C35E46" w:rsidRPr="004E7E9E" w:rsidP="00C35E46" w14:paraId="1FA36FCC" w14:textId="77777777">
            <w:pPr>
              <w:widowControl/>
              <w:autoSpaceDE/>
              <w:autoSpaceDN/>
              <w:adjustRightInd/>
              <w:jc w:val="center"/>
              <w:rPr>
                <w:b w:val="0"/>
                <w:bCs w:val="0"/>
                <w:color w:val="000000"/>
                <w:sz w:val="24"/>
                <w:szCs w:val="24"/>
              </w:rPr>
            </w:pPr>
            <w:r w:rsidRPr="004E7E9E">
              <w:rPr>
                <w:b w:val="0"/>
                <w:bCs w:val="0"/>
                <w:color w:val="000000"/>
                <w:sz w:val="24"/>
                <w:szCs w:val="24"/>
              </w:rPr>
              <w:t>$659.15</w:t>
            </w:r>
          </w:p>
        </w:tc>
        <w:tc>
          <w:tcPr>
            <w:tcW w:w="1416" w:type="dxa"/>
            <w:tcBorders>
              <w:top w:val="nil"/>
              <w:left w:val="nil"/>
              <w:bottom w:val="single" w:sz="4" w:space="0" w:color="auto"/>
              <w:right w:val="single" w:sz="4" w:space="0" w:color="auto"/>
            </w:tcBorders>
            <w:vAlign w:val="center"/>
            <w:hideMark/>
          </w:tcPr>
          <w:p w:rsidR="00C35E46" w:rsidRPr="004E7E9E" w:rsidP="00C35E46" w14:paraId="5C04B355" w14:textId="77777777">
            <w:pPr>
              <w:widowControl/>
              <w:autoSpaceDE/>
              <w:autoSpaceDN/>
              <w:adjustRightInd/>
              <w:jc w:val="center"/>
              <w:rPr>
                <w:b w:val="0"/>
                <w:bCs w:val="0"/>
                <w:color w:val="000000"/>
                <w:sz w:val="24"/>
                <w:szCs w:val="24"/>
              </w:rPr>
            </w:pPr>
            <w:r w:rsidRPr="004E7E9E">
              <w:rPr>
                <w:b w:val="0"/>
                <w:bCs w:val="0"/>
                <w:color w:val="000000"/>
                <w:sz w:val="24"/>
                <w:szCs w:val="24"/>
              </w:rPr>
              <w:t>$7,698,872</w:t>
            </w:r>
          </w:p>
        </w:tc>
      </w:tr>
      <w:tr w14:paraId="38A6B1D1" w14:textId="77777777" w:rsidTr="004E7E9E">
        <w:tblPrEx>
          <w:tblW w:w="11195" w:type="dxa"/>
          <w:tblInd w:w="-635" w:type="dxa"/>
          <w:tblLayout w:type="fixed"/>
          <w:tblLook w:val="04A0"/>
        </w:tblPrEx>
        <w:trPr>
          <w:gridAfter w:val="1"/>
          <w:wAfter w:w="8" w:type="dxa"/>
          <w:trHeight w:val="223"/>
        </w:trPr>
        <w:tc>
          <w:tcPr>
            <w:tcW w:w="1800" w:type="dxa"/>
            <w:tcBorders>
              <w:top w:val="nil"/>
              <w:left w:val="single" w:sz="4" w:space="0" w:color="auto"/>
              <w:bottom w:val="single" w:sz="4" w:space="0" w:color="auto"/>
              <w:right w:val="single" w:sz="4" w:space="0" w:color="auto"/>
            </w:tcBorders>
            <w:vAlign w:val="center"/>
            <w:hideMark/>
          </w:tcPr>
          <w:p w:rsidR="00C35E46" w:rsidRPr="004E7E9E" w:rsidP="00C35E46" w14:paraId="1E873EEB" w14:textId="77777777">
            <w:pPr>
              <w:widowControl/>
              <w:autoSpaceDE/>
              <w:autoSpaceDN/>
              <w:adjustRightInd/>
              <w:rPr>
                <w:b w:val="0"/>
                <w:bCs w:val="0"/>
                <w:color w:val="000000"/>
                <w:sz w:val="24"/>
                <w:szCs w:val="24"/>
              </w:rPr>
            </w:pPr>
            <w:r w:rsidRPr="004E7E9E">
              <w:rPr>
                <w:b w:val="0"/>
                <w:bCs w:val="0"/>
                <w:color w:val="000000"/>
                <w:sz w:val="24"/>
                <w:szCs w:val="24"/>
              </w:rPr>
              <w:t>Project Management Specialists</w:t>
            </w:r>
          </w:p>
        </w:tc>
        <w:tc>
          <w:tcPr>
            <w:tcW w:w="1523" w:type="dxa"/>
            <w:tcBorders>
              <w:top w:val="nil"/>
              <w:left w:val="nil"/>
              <w:bottom w:val="single" w:sz="4" w:space="0" w:color="auto"/>
              <w:right w:val="single" w:sz="4" w:space="0" w:color="auto"/>
            </w:tcBorders>
            <w:vAlign w:val="center"/>
            <w:hideMark/>
          </w:tcPr>
          <w:p w:rsidR="00C35E46" w:rsidRPr="004E7E9E" w:rsidP="00C35E46" w14:paraId="458591E4"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303AAD79"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nil"/>
              <w:left w:val="nil"/>
              <w:bottom w:val="single" w:sz="4" w:space="0" w:color="auto"/>
              <w:right w:val="single" w:sz="4" w:space="0" w:color="auto"/>
            </w:tcBorders>
            <w:vAlign w:val="center"/>
            <w:hideMark/>
          </w:tcPr>
          <w:p w:rsidR="00C35E46" w:rsidRPr="004E7E9E" w:rsidP="00C35E46" w14:paraId="561DC609"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nil"/>
              <w:left w:val="nil"/>
              <w:bottom w:val="single" w:sz="4" w:space="0" w:color="auto"/>
              <w:right w:val="single" w:sz="4" w:space="0" w:color="auto"/>
            </w:tcBorders>
            <w:vAlign w:val="center"/>
            <w:hideMark/>
          </w:tcPr>
          <w:p w:rsidR="00C35E46" w:rsidRPr="004E7E9E" w:rsidP="00C35E46" w14:paraId="4F432142" w14:textId="77777777">
            <w:pPr>
              <w:widowControl/>
              <w:autoSpaceDE/>
              <w:autoSpaceDN/>
              <w:adjustRightInd/>
              <w:jc w:val="center"/>
              <w:rPr>
                <w:b w:val="0"/>
                <w:bCs w:val="0"/>
                <w:color w:val="000000"/>
                <w:sz w:val="24"/>
                <w:szCs w:val="24"/>
              </w:rPr>
            </w:pPr>
            <w:r w:rsidRPr="004E7E9E">
              <w:rPr>
                <w:b w:val="0"/>
                <w:bCs w:val="0"/>
                <w:color w:val="000000"/>
                <w:sz w:val="24"/>
                <w:szCs w:val="24"/>
              </w:rPr>
              <w:t>2,250</w:t>
            </w:r>
          </w:p>
        </w:tc>
        <w:tc>
          <w:tcPr>
            <w:tcW w:w="1076" w:type="dxa"/>
            <w:tcBorders>
              <w:top w:val="nil"/>
              <w:left w:val="nil"/>
              <w:bottom w:val="single" w:sz="4" w:space="0" w:color="auto"/>
              <w:right w:val="single" w:sz="4" w:space="0" w:color="auto"/>
            </w:tcBorders>
            <w:vAlign w:val="center"/>
            <w:hideMark/>
          </w:tcPr>
          <w:p w:rsidR="00C35E46" w:rsidRPr="004E7E9E" w:rsidP="00C35E46" w14:paraId="5D5FC095" w14:textId="77777777">
            <w:pPr>
              <w:widowControl/>
              <w:autoSpaceDE/>
              <w:autoSpaceDN/>
              <w:adjustRightInd/>
              <w:jc w:val="center"/>
              <w:rPr>
                <w:b w:val="0"/>
                <w:bCs w:val="0"/>
                <w:color w:val="000000"/>
                <w:sz w:val="24"/>
                <w:szCs w:val="24"/>
              </w:rPr>
            </w:pPr>
            <w:r w:rsidRPr="004E7E9E">
              <w:rPr>
                <w:b w:val="0"/>
                <w:bCs w:val="0"/>
                <w:color w:val="000000"/>
                <w:sz w:val="24"/>
                <w:szCs w:val="24"/>
              </w:rPr>
              <w:t>164,250</w:t>
            </w:r>
          </w:p>
        </w:tc>
        <w:tc>
          <w:tcPr>
            <w:tcW w:w="1596" w:type="dxa"/>
            <w:tcBorders>
              <w:top w:val="nil"/>
              <w:left w:val="nil"/>
              <w:bottom w:val="single" w:sz="4" w:space="0" w:color="auto"/>
              <w:right w:val="single" w:sz="4" w:space="0" w:color="auto"/>
            </w:tcBorders>
            <w:vAlign w:val="center"/>
            <w:hideMark/>
          </w:tcPr>
          <w:p w:rsidR="00C35E46" w:rsidRPr="004E7E9E" w:rsidP="00C35E46" w14:paraId="3D6C0BA4" w14:textId="77777777">
            <w:pPr>
              <w:widowControl/>
              <w:autoSpaceDE/>
              <w:autoSpaceDN/>
              <w:adjustRightInd/>
              <w:jc w:val="center"/>
              <w:rPr>
                <w:b w:val="0"/>
                <w:bCs w:val="0"/>
                <w:color w:val="000000"/>
                <w:sz w:val="24"/>
                <w:szCs w:val="24"/>
              </w:rPr>
            </w:pPr>
            <w:r w:rsidRPr="004E7E9E">
              <w:rPr>
                <w:b w:val="0"/>
                <w:bCs w:val="0"/>
                <w:color w:val="000000"/>
                <w:sz w:val="24"/>
                <w:szCs w:val="24"/>
              </w:rPr>
              <w:t>$126.72</w:t>
            </w:r>
          </w:p>
        </w:tc>
        <w:tc>
          <w:tcPr>
            <w:tcW w:w="1416" w:type="dxa"/>
            <w:tcBorders>
              <w:top w:val="nil"/>
              <w:left w:val="nil"/>
              <w:bottom w:val="single" w:sz="4" w:space="0" w:color="auto"/>
              <w:right w:val="single" w:sz="4" w:space="0" w:color="auto"/>
            </w:tcBorders>
            <w:vAlign w:val="center"/>
            <w:hideMark/>
          </w:tcPr>
          <w:p w:rsidR="00C35E46" w:rsidRPr="004E7E9E" w:rsidP="00C35E46" w14:paraId="7507618D" w14:textId="77777777">
            <w:pPr>
              <w:widowControl/>
              <w:autoSpaceDE/>
              <w:autoSpaceDN/>
              <w:adjustRightInd/>
              <w:jc w:val="center"/>
              <w:rPr>
                <w:b w:val="0"/>
                <w:bCs w:val="0"/>
                <w:color w:val="000000"/>
                <w:sz w:val="24"/>
                <w:szCs w:val="24"/>
              </w:rPr>
            </w:pPr>
            <w:r w:rsidRPr="004E7E9E">
              <w:rPr>
                <w:b w:val="0"/>
                <w:bCs w:val="0"/>
                <w:color w:val="000000"/>
                <w:sz w:val="24"/>
                <w:szCs w:val="24"/>
              </w:rPr>
              <w:t>$20,813,760</w:t>
            </w:r>
          </w:p>
        </w:tc>
      </w:tr>
      <w:tr w14:paraId="596CB2A3" w14:textId="77777777" w:rsidTr="004E7E9E">
        <w:tblPrEx>
          <w:tblW w:w="11195" w:type="dxa"/>
          <w:tblInd w:w="-635" w:type="dxa"/>
          <w:tblLayout w:type="fixed"/>
          <w:tblLook w:val="04A0"/>
        </w:tblPrEx>
        <w:trPr>
          <w:gridAfter w:val="1"/>
          <w:wAfter w:w="8" w:type="dxa"/>
          <w:trHeight w:val="223"/>
        </w:trPr>
        <w:tc>
          <w:tcPr>
            <w:tcW w:w="1800" w:type="dxa"/>
            <w:tcBorders>
              <w:top w:val="nil"/>
              <w:left w:val="single" w:sz="4" w:space="0" w:color="auto"/>
              <w:bottom w:val="single" w:sz="4" w:space="0" w:color="auto"/>
              <w:right w:val="single" w:sz="4" w:space="0" w:color="auto"/>
            </w:tcBorders>
            <w:vAlign w:val="center"/>
            <w:hideMark/>
          </w:tcPr>
          <w:p w:rsidR="00C35E46" w:rsidRPr="004E7E9E" w:rsidP="00C35E46" w14:paraId="6E006428" w14:textId="77777777">
            <w:pPr>
              <w:widowControl/>
              <w:autoSpaceDE/>
              <w:autoSpaceDN/>
              <w:adjustRightInd/>
              <w:rPr>
                <w:b w:val="0"/>
                <w:bCs w:val="0"/>
                <w:color w:val="000000"/>
                <w:sz w:val="24"/>
                <w:szCs w:val="24"/>
              </w:rPr>
            </w:pPr>
            <w:r w:rsidRPr="004E7E9E">
              <w:rPr>
                <w:b w:val="0"/>
                <w:bCs w:val="0"/>
                <w:color w:val="000000"/>
                <w:sz w:val="24"/>
                <w:szCs w:val="24"/>
              </w:rPr>
              <w:t>Business Operations Specialist</w:t>
            </w:r>
          </w:p>
        </w:tc>
        <w:tc>
          <w:tcPr>
            <w:tcW w:w="1523" w:type="dxa"/>
            <w:tcBorders>
              <w:top w:val="nil"/>
              <w:left w:val="nil"/>
              <w:bottom w:val="single" w:sz="4" w:space="0" w:color="auto"/>
              <w:right w:val="single" w:sz="4" w:space="0" w:color="auto"/>
            </w:tcBorders>
            <w:vAlign w:val="center"/>
            <w:hideMark/>
          </w:tcPr>
          <w:p w:rsidR="00C35E46" w:rsidRPr="004E7E9E" w:rsidP="00C35E46" w14:paraId="200F4C71"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05F452E9"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nil"/>
              <w:left w:val="nil"/>
              <w:bottom w:val="single" w:sz="4" w:space="0" w:color="auto"/>
              <w:right w:val="single" w:sz="4" w:space="0" w:color="auto"/>
            </w:tcBorders>
            <w:vAlign w:val="center"/>
            <w:hideMark/>
          </w:tcPr>
          <w:p w:rsidR="00C35E46" w:rsidRPr="004E7E9E" w:rsidP="00C35E46" w14:paraId="091D6F8B"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nil"/>
              <w:left w:val="nil"/>
              <w:bottom w:val="single" w:sz="4" w:space="0" w:color="auto"/>
              <w:right w:val="single" w:sz="4" w:space="0" w:color="auto"/>
            </w:tcBorders>
            <w:vAlign w:val="center"/>
            <w:hideMark/>
          </w:tcPr>
          <w:p w:rsidR="00C35E46" w:rsidRPr="004E7E9E" w:rsidP="00C35E46" w14:paraId="494CD221" w14:textId="77777777">
            <w:pPr>
              <w:widowControl/>
              <w:autoSpaceDE/>
              <w:autoSpaceDN/>
              <w:adjustRightInd/>
              <w:jc w:val="center"/>
              <w:rPr>
                <w:b w:val="0"/>
                <w:bCs w:val="0"/>
                <w:color w:val="000000"/>
                <w:sz w:val="24"/>
                <w:szCs w:val="24"/>
              </w:rPr>
            </w:pPr>
            <w:r w:rsidRPr="004E7E9E">
              <w:rPr>
                <w:b w:val="0"/>
                <w:bCs w:val="0"/>
                <w:color w:val="000000"/>
                <w:sz w:val="24"/>
                <w:szCs w:val="24"/>
              </w:rPr>
              <w:t>750</w:t>
            </w:r>
          </w:p>
        </w:tc>
        <w:tc>
          <w:tcPr>
            <w:tcW w:w="1076" w:type="dxa"/>
            <w:tcBorders>
              <w:top w:val="nil"/>
              <w:left w:val="nil"/>
              <w:bottom w:val="single" w:sz="4" w:space="0" w:color="auto"/>
              <w:right w:val="single" w:sz="4" w:space="0" w:color="auto"/>
            </w:tcBorders>
            <w:vAlign w:val="center"/>
            <w:hideMark/>
          </w:tcPr>
          <w:p w:rsidR="00C35E46" w:rsidRPr="004E7E9E" w:rsidP="00C35E46" w14:paraId="23262364" w14:textId="77777777">
            <w:pPr>
              <w:widowControl/>
              <w:autoSpaceDE/>
              <w:autoSpaceDN/>
              <w:adjustRightInd/>
              <w:jc w:val="center"/>
              <w:rPr>
                <w:b w:val="0"/>
                <w:bCs w:val="0"/>
                <w:color w:val="000000"/>
                <w:sz w:val="24"/>
                <w:szCs w:val="24"/>
              </w:rPr>
            </w:pPr>
            <w:r w:rsidRPr="004E7E9E">
              <w:rPr>
                <w:b w:val="0"/>
                <w:bCs w:val="0"/>
                <w:color w:val="000000"/>
                <w:sz w:val="24"/>
                <w:szCs w:val="24"/>
              </w:rPr>
              <w:t>54,750</w:t>
            </w:r>
          </w:p>
        </w:tc>
        <w:tc>
          <w:tcPr>
            <w:tcW w:w="1596" w:type="dxa"/>
            <w:tcBorders>
              <w:top w:val="nil"/>
              <w:left w:val="nil"/>
              <w:bottom w:val="single" w:sz="4" w:space="0" w:color="auto"/>
              <w:right w:val="single" w:sz="4" w:space="0" w:color="auto"/>
            </w:tcBorders>
            <w:vAlign w:val="center"/>
            <w:hideMark/>
          </w:tcPr>
          <w:p w:rsidR="00C35E46" w:rsidRPr="004E7E9E" w:rsidP="00C35E46" w14:paraId="09288048" w14:textId="77777777">
            <w:pPr>
              <w:widowControl/>
              <w:autoSpaceDE/>
              <w:autoSpaceDN/>
              <w:adjustRightInd/>
              <w:jc w:val="center"/>
              <w:rPr>
                <w:b w:val="0"/>
                <w:bCs w:val="0"/>
                <w:color w:val="000000"/>
                <w:sz w:val="24"/>
                <w:szCs w:val="24"/>
              </w:rPr>
            </w:pPr>
            <w:r w:rsidRPr="004E7E9E">
              <w:rPr>
                <w:b w:val="0"/>
                <w:bCs w:val="0"/>
                <w:color w:val="000000"/>
                <w:sz w:val="24"/>
                <w:szCs w:val="24"/>
              </w:rPr>
              <w:t>$120.40</w:t>
            </w:r>
          </w:p>
        </w:tc>
        <w:tc>
          <w:tcPr>
            <w:tcW w:w="1416" w:type="dxa"/>
            <w:tcBorders>
              <w:top w:val="nil"/>
              <w:left w:val="nil"/>
              <w:bottom w:val="single" w:sz="4" w:space="0" w:color="auto"/>
              <w:right w:val="single" w:sz="4" w:space="0" w:color="auto"/>
            </w:tcBorders>
            <w:vAlign w:val="center"/>
            <w:hideMark/>
          </w:tcPr>
          <w:p w:rsidR="00C35E46" w:rsidRPr="004E7E9E" w:rsidP="00C35E46" w14:paraId="71CE1289" w14:textId="77777777">
            <w:pPr>
              <w:widowControl/>
              <w:autoSpaceDE/>
              <w:autoSpaceDN/>
              <w:adjustRightInd/>
              <w:jc w:val="center"/>
              <w:rPr>
                <w:b w:val="0"/>
                <w:bCs w:val="0"/>
                <w:color w:val="000000"/>
                <w:sz w:val="24"/>
                <w:szCs w:val="24"/>
              </w:rPr>
            </w:pPr>
            <w:r w:rsidRPr="004E7E9E">
              <w:rPr>
                <w:b w:val="0"/>
                <w:bCs w:val="0"/>
                <w:color w:val="000000"/>
                <w:sz w:val="24"/>
                <w:szCs w:val="24"/>
              </w:rPr>
              <w:t>$6,591,900</w:t>
            </w:r>
          </w:p>
        </w:tc>
      </w:tr>
      <w:tr w14:paraId="22DB6A52" w14:textId="77777777" w:rsidTr="004E7E9E">
        <w:tblPrEx>
          <w:tblW w:w="11195" w:type="dxa"/>
          <w:tblInd w:w="-635" w:type="dxa"/>
          <w:tblLayout w:type="fixed"/>
          <w:tblLook w:val="04A0"/>
        </w:tblPrEx>
        <w:trPr>
          <w:gridAfter w:val="1"/>
          <w:wAfter w:w="8" w:type="dxa"/>
          <w:trHeight w:val="510"/>
        </w:trPr>
        <w:tc>
          <w:tcPr>
            <w:tcW w:w="1800" w:type="dxa"/>
            <w:tcBorders>
              <w:top w:val="nil"/>
              <w:left w:val="single" w:sz="4" w:space="0" w:color="auto"/>
              <w:bottom w:val="single" w:sz="4" w:space="0" w:color="auto"/>
              <w:right w:val="single" w:sz="4" w:space="0" w:color="auto"/>
            </w:tcBorders>
            <w:vAlign w:val="center"/>
            <w:hideMark/>
          </w:tcPr>
          <w:p w:rsidR="00C35E46" w:rsidRPr="004E7E9E" w:rsidP="00C35E46" w14:paraId="3A0E0835" w14:textId="77777777">
            <w:pPr>
              <w:widowControl/>
              <w:autoSpaceDE/>
              <w:autoSpaceDN/>
              <w:adjustRightInd/>
              <w:rPr>
                <w:b w:val="0"/>
                <w:bCs w:val="0"/>
                <w:color w:val="000000"/>
                <w:sz w:val="24"/>
                <w:szCs w:val="24"/>
              </w:rPr>
            </w:pPr>
            <w:r w:rsidRPr="004E7E9E">
              <w:rPr>
                <w:b w:val="0"/>
                <w:bCs w:val="0"/>
                <w:color w:val="000000"/>
                <w:sz w:val="24"/>
                <w:szCs w:val="24"/>
              </w:rPr>
              <w:t>Software and Web Developers, Programmers, and Testers</w:t>
            </w:r>
          </w:p>
        </w:tc>
        <w:tc>
          <w:tcPr>
            <w:tcW w:w="1523" w:type="dxa"/>
            <w:tcBorders>
              <w:top w:val="nil"/>
              <w:left w:val="nil"/>
              <w:bottom w:val="single" w:sz="4" w:space="0" w:color="auto"/>
              <w:right w:val="single" w:sz="4" w:space="0" w:color="auto"/>
            </w:tcBorders>
            <w:vAlign w:val="center"/>
            <w:hideMark/>
          </w:tcPr>
          <w:p w:rsidR="00C35E46" w:rsidRPr="004E7E9E" w:rsidP="00C35E46" w14:paraId="475DAFCC"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702DF714"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nil"/>
              <w:left w:val="nil"/>
              <w:bottom w:val="single" w:sz="4" w:space="0" w:color="auto"/>
              <w:right w:val="single" w:sz="4" w:space="0" w:color="auto"/>
            </w:tcBorders>
            <w:vAlign w:val="center"/>
            <w:hideMark/>
          </w:tcPr>
          <w:p w:rsidR="00C35E46" w:rsidRPr="004E7E9E" w:rsidP="00C35E46" w14:paraId="2E6CAF88"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nil"/>
              <w:left w:val="nil"/>
              <w:bottom w:val="single" w:sz="4" w:space="0" w:color="auto"/>
              <w:right w:val="single" w:sz="4" w:space="0" w:color="auto"/>
            </w:tcBorders>
            <w:vAlign w:val="center"/>
            <w:hideMark/>
          </w:tcPr>
          <w:p w:rsidR="00C35E46" w:rsidRPr="004E7E9E" w:rsidP="00C35E46" w14:paraId="1A96B23A" w14:textId="77777777">
            <w:pPr>
              <w:widowControl/>
              <w:autoSpaceDE/>
              <w:autoSpaceDN/>
              <w:adjustRightInd/>
              <w:jc w:val="center"/>
              <w:rPr>
                <w:b w:val="0"/>
                <w:bCs w:val="0"/>
                <w:color w:val="000000"/>
                <w:sz w:val="24"/>
                <w:szCs w:val="24"/>
              </w:rPr>
            </w:pPr>
            <w:r w:rsidRPr="004E7E9E">
              <w:rPr>
                <w:b w:val="0"/>
                <w:bCs w:val="0"/>
                <w:color w:val="000000"/>
                <w:sz w:val="24"/>
                <w:szCs w:val="24"/>
              </w:rPr>
              <w:t>3,500</w:t>
            </w:r>
          </w:p>
        </w:tc>
        <w:tc>
          <w:tcPr>
            <w:tcW w:w="1076" w:type="dxa"/>
            <w:tcBorders>
              <w:top w:val="nil"/>
              <w:left w:val="nil"/>
              <w:bottom w:val="single" w:sz="4" w:space="0" w:color="auto"/>
              <w:right w:val="single" w:sz="4" w:space="0" w:color="auto"/>
            </w:tcBorders>
            <w:vAlign w:val="center"/>
            <w:hideMark/>
          </w:tcPr>
          <w:p w:rsidR="00C35E46" w:rsidRPr="004E7E9E" w:rsidP="00C35E46" w14:paraId="224008EE" w14:textId="77777777">
            <w:pPr>
              <w:widowControl/>
              <w:autoSpaceDE/>
              <w:autoSpaceDN/>
              <w:adjustRightInd/>
              <w:jc w:val="center"/>
              <w:rPr>
                <w:b w:val="0"/>
                <w:bCs w:val="0"/>
                <w:color w:val="000000"/>
                <w:sz w:val="24"/>
                <w:szCs w:val="24"/>
              </w:rPr>
            </w:pPr>
            <w:r w:rsidRPr="004E7E9E">
              <w:rPr>
                <w:b w:val="0"/>
                <w:bCs w:val="0"/>
                <w:color w:val="000000"/>
                <w:sz w:val="24"/>
                <w:szCs w:val="24"/>
              </w:rPr>
              <w:t>255,500</w:t>
            </w:r>
          </w:p>
        </w:tc>
        <w:tc>
          <w:tcPr>
            <w:tcW w:w="1596" w:type="dxa"/>
            <w:tcBorders>
              <w:top w:val="nil"/>
              <w:left w:val="nil"/>
              <w:bottom w:val="single" w:sz="4" w:space="0" w:color="auto"/>
              <w:right w:val="single" w:sz="4" w:space="0" w:color="auto"/>
            </w:tcBorders>
            <w:vAlign w:val="center"/>
            <w:hideMark/>
          </w:tcPr>
          <w:p w:rsidR="00C35E46" w:rsidRPr="004E7E9E" w:rsidP="00C35E46" w14:paraId="0DA34C3C" w14:textId="77777777">
            <w:pPr>
              <w:widowControl/>
              <w:autoSpaceDE/>
              <w:autoSpaceDN/>
              <w:adjustRightInd/>
              <w:jc w:val="center"/>
              <w:rPr>
                <w:b w:val="0"/>
                <w:bCs w:val="0"/>
                <w:color w:val="000000"/>
                <w:sz w:val="24"/>
                <w:szCs w:val="24"/>
              </w:rPr>
            </w:pPr>
            <w:r w:rsidRPr="004E7E9E">
              <w:rPr>
                <w:b w:val="0"/>
                <w:bCs w:val="0"/>
                <w:color w:val="000000"/>
                <w:sz w:val="24"/>
                <w:szCs w:val="24"/>
              </w:rPr>
              <w:t>$171.89</w:t>
            </w:r>
          </w:p>
        </w:tc>
        <w:tc>
          <w:tcPr>
            <w:tcW w:w="1416" w:type="dxa"/>
            <w:tcBorders>
              <w:top w:val="nil"/>
              <w:left w:val="nil"/>
              <w:bottom w:val="single" w:sz="4" w:space="0" w:color="auto"/>
              <w:right w:val="single" w:sz="4" w:space="0" w:color="auto"/>
            </w:tcBorders>
            <w:vAlign w:val="center"/>
            <w:hideMark/>
          </w:tcPr>
          <w:p w:rsidR="00C35E46" w:rsidRPr="004E7E9E" w:rsidP="00C35E46" w14:paraId="4CB04EFF" w14:textId="77777777">
            <w:pPr>
              <w:widowControl/>
              <w:autoSpaceDE/>
              <w:autoSpaceDN/>
              <w:adjustRightInd/>
              <w:jc w:val="center"/>
              <w:rPr>
                <w:b w:val="0"/>
                <w:bCs w:val="0"/>
                <w:color w:val="000000"/>
                <w:sz w:val="24"/>
                <w:szCs w:val="24"/>
              </w:rPr>
            </w:pPr>
            <w:r w:rsidRPr="004E7E9E">
              <w:rPr>
                <w:b w:val="0"/>
                <w:bCs w:val="0"/>
                <w:color w:val="000000"/>
                <w:sz w:val="24"/>
                <w:szCs w:val="24"/>
              </w:rPr>
              <w:t>$43,917,895</w:t>
            </w:r>
          </w:p>
        </w:tc>
      </w:tr>
      <w:tr w14:paraId="2216E9A9" w14:textId="77777777" w:rsidTr="004E7E9E">
        <w:tblPrEx>
          <w:tblW w:w="11195" w:type="dxa"/>
          <w:tblInd w:w="-635" w:type="dxa"/>
          <w:tblLayout w:type="fixed"/>
          <w:tblLook w:val="04A0"/>
        </w:tblPrEx>
        <w:trPr>
          <w:trHeight w:val="270"/>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568AA2A1" w14:textId="77777777">
            <w:pPr>
              <w:widowControl/>
              <w:autoSpaceDE/>
              <w:autoSpaceDN/>
              <w:adjustRightInd/>
              <w:rPr>
                <w:color w:val="000000"/>
                <w:sz w:val="24"/>
                <w:szCs w:val="24"/>
                <w:u w:val="single"/>
              </w:rPr>
            </w:pPr>
            <w:r w:rsidRPr="004E7E9E">
              <w:rPr>
                <w:color w:val="000000"/>
                <w:sz w:val="24"/>
                <w:szCs w:val="24"/>
                <w:u w:val="single"/>
              </w:rPr>
              <w:t>(B) PBMs design, develop, and implement needed IT systems changes (subsequent year)</w:t>
            </w:r>
          </w:p>
        </w:tc>
      </w:tr>
      <w:tr w14:paraId="765C521B" w14:textId="77777777" w:rsidTr="00B10ECF">
        <w:tblPrEx>
          <w:tblW w:w="11195" w:type="dxa"/>
          <w:tblInd w:w="-635" w:type="dxa"/>
          <w:tblLayout w:type="fixed"/>
          <w:tblLook w:val="04A0"/>
        </w:tblPrEx>
        <w:trPr>
          <w:gridAfter w:val="1"/>
          <w:wAfter w:w="8" w:type="dxa"/>
          <w:trHeight w:val="270"/>
        </w:trPr>
        <w:tc>
          <w:tcPr>
            <w:tcW w:w="1800" w:type="dxa"/>
            <w:tcBorders>
              <w:top w:val="nil"/>
              <w:left w:val="single" w:sz="4" w:space="0" w:color="auto"/>
              <w:bottom w:val="single" w:sz="4" w:space="0" w:color="auto"/>
              <w:right w:val="single" w:sz="4" w:space="0" w:color="auto"/>
            </w:tcBorders>
            <w:vAlign w:val="center"/>
            <w:hideMark/>
          </w:tcPr>
          <w:p w:rsidR="00C35E46" w:rsidRPr="004E7E9E" w:rsidP="00C35E46" w14:paraId="640EB7A2" w14:textId="77777777">
            <w:pPr>
              <w:widowControl/>
              <w:autoSpaceDE/>
              <w:autoSpaceDN/>
              <w:adjustRightInd/>
              <w:rPr>
                <w:b w:val="0"/>
                <w:bCs w:val="0"/>
                <w:color w:val="000000"/>
                <w:sz w:val="24"/>
                <w:szCs w:val="24"/>
              </w:rPr>
            </w:pPr>
            <w:r w:rsidRPr="004E7E9E">
              <w:rPr>
                <w:b w:val="0"/>
                <w:bCs w:val="0"/>
                <w:color w:val="000000"/>
                <w:sz w:val="24"/>
                <w:szCs w:val="24"/>
              </w:rPr>
              <w:t>Lawyers</w:t>
            </w:r>
          </w:p>
        </w:tc>
        <w:tc>
          <w:tcPr>
            <w:tcW w:w="1523" w:type="dxa"/>
            <w:tcBorders>
              <w:top w:val="nil"/>
              <w:left w:val="nil"/>
              <w:bottom w:val="single" w:sz="4" w:space="0" w:color="auto"/>
              <w:right w:val="single" w:sz="4" w:space="0" w:color="auto"/>
            </w:tcBorders>
            <w:vAlign w:val="center"/>
            <w:hideMark/>
          </w:tcPr>
          <w:p w:rsidR="00C35E46" w:rsidRPr="004E7E9E" w:rsidP="00C35E46" w14:paraId="23A7A762"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71CD12CC"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nil"/>
              <w:left w:val="nil"/>
              <w:bottom w:val="single" w:sz="4" w:space="0" w:color="auto"/>
              <w:right w:val="single" w:sz="4" w:space="0" w:color="auto"/>
            </w:tcBorders>
            <w:vAlign w:val="center"/>
            <w:hideMark/>
          </w:tcPr>
          <w:p w:rsidR="00C35E46" w:rsidRPr="004E7E9E" w:rsidP="00C35E46" w14:paraId="6356FECA"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nil"/>
              <w:left w:val="nil"/>
              <w:bottom w:val="single" w:sz="4" w:space="0" w:color="auto"/>
              <w:right w:val="single" w:sz="4" w:space="0" w:color="auto"/>
            </w:tcBorders>
            <w:vAlign w:val="center"/>
            <w:hideMark/>
          </w:tcPr>
          <w:p w:rsidR="00C35E46" w:rsidRPr="004E7E9E" w:rsidP="00C35E46" w14:paraId="1B796DC4" w14:textId="77777777">
            <w:pPr>
              <w:widowControl/>
              <w:autoSpaceDE/>
              <w:autoSpaceDN/>
              <w:adjustRightInd/>
              <w:jc w:val="center"/>
              <w:rPr>
                <w:b w:val="0"/>
                <w:bCs w:val="0"/>
                <w:color w:val="000000"/>
                <w:sz w:val="24"/>
                <w:szCs w:val="24"/>
              </w:rPr>
            </w:pPr>
            <w:r w:rsidRPr="004E7E9E">
              <w:rPr>
                <w:b w:val="0"/>
                <w:bCs w:val="0"/>
                <w:color w:val="000000"/>
                <w:sz w:val="24"/>
                <w:szCs w:val="24"/>
              </w:rPr>
              <w:t>100</w:t>
            </w:r>
          </w:p>
        </w:tc>
        <w:tc>
          <w:tcPr>
            <w:tcW w:w="1076" w:type="dxa"/>
            <w:tcBorders>
              <w:top w:val="nil"/>
              <w:left w:val="nil"/>
              <w:bottom w:val="single" w:sz="4" w:space="0" w:color="auto"/>
              <w:right w:val="single" w:sz="4" w:space="0" w:color="auto"/>
            </w:tcBorders>
            <w:vAlign w:val="center"/>
            <w:hideMark/>
          </w:tcPr>
          <w:p w:rsidR="00C35E46" w:rsidRPr="004E7E9E" w:rsidP="00C35E46" w14:paraId="1C74BEA3" w14:textId="77777777">
            <w:pPr>
              <w:widowControl/>
              <w:autoSpaceDE/>
              <w:autoSpaceDN/>
              <w:adjustRightInd/>
              <w:jc w:val="center"/>
              <w:rPr>
                <w:b w:val="0"/>
                <w:bCs w:val="0"/>
                <w:color w:val="000000"/>
                <w:sz w:val="24"/>
                <w:szCs w:val="24"/>
              </w:rPr>
            </w:pPr>
            <w:r w:rsidRPr="004E7E9E">
              <w:rPr>
                <w:b w:val="0"/>
                <w:bCs w:val="0"/>
                <w:color w:val="000000"/>
                <w:sz w:val="24"/>
                <w:szCs w:val="24"/>
              </w:rPr>
              <w:t>7,300</w:t>
            </w:r>
          </w:p>
        </w:tc>
        <w:tc>
          <w:tcPr>
            <w:tcW w:w="1596" w:type="dxa"/>
            <w:tcBorders>
              <w:top w:val="nil"/>
              <w:left w:val="nil"/>
              <w:bottom w:val="single" w:sz="4" w:space="0" w:color="auto"/>
              <w:right w:val="single" w:sz="4" w:space="0" w:color="auto"/>
            </w:tcBorders>
            <w:vAlign w:val="center"/>
            <w:hideMark/>
          </w:tcPr>
          <w:p w:rsidR="00C35E46" w:rsidRPr="004E7E9E" w:rsidP="00C35E46" w14:paraId="45C2432A" w14:textId="77777777">
            <w:pPr>
              <w:widowControl/>
              <w:autoSpaceDE/>
              <w:autoSpaceDN/>
              <w:adjustRightInd/>
              <w:jc w:val="center"/>
              <w:rPr>
                <w:b w:val="0"/>
                <w:bCs w:val="0"/>
                <w:color w:val="000000"/>
                <w:sz w:val="24"/>
                <w:szCs w:val="24"/>
              </w:rPr>
            </w:pPr>
            <w:r w:rsidRPr="004E7E9E">
              <w:rPr>
                <w:b w:val="0"/>
                <w:bCs w:val="0"/>
                <w:color w:val="000000"/>
                <w:sz w:val="24"/>
                <w:szCs w:val="24"/>
              </w:rPr>
              <w:t>$659.15</w:t>
            </w:r>
          </w:p>
        </w:tc>
        <w:tc>
          <w:tcPr>
            <w:tcW w:w="1416" w:type="dxa"/>
            <w:tcBorders>
              <w:top w:val="nil"/>
              <w:left w:val="nil"/>
              <w:bottom w:val="single" w:sz="4" w:space="0" w:color="auto"/>
              <w:right w:val="single" w:sz="4" w:space="0" w:color="auto"/>
            </w:tcBorders>
            <w:vAlign w:val="center"/>
            <w:hideMark/>
          </w:tcPr>
          <w:p w:rsidR="00C35E46" w:rsidRPr="004E7E9E" w:rsidP="00C35E46" w14:paraId="489774D4" w14:textId="77777777">
            <w:pPr>
              <w:widowControl/>
              <w:autoSpaceDE/>
              <w:autoSpaceDN/>
              <w:adjustRightInd/>
              <w:jc w:val="center"/>
              <w:rPr>
                <w:b w:val="0"/>
                <w:bCs w:val="0"/>
                <w:color w:val="000000"/>
                <w:sz w:val="24"/>
                <w:szCs w:val="24"/>
              </w:rPr>
            </w:pPr>
            <w:r w:rsidRPr="004E7E9E">
              <w:rPr>
                <w:b w:val="0"/>
                <w:bCs w:val="0"/>
                <w:color w:val="000000"/>
                <w:sz w:val="24"/>
                <w:szCs w:val="24"/>
              </w:rPr>
              <w:t>$4,811,795</w:t>
            </w:r>
          </w:p>
        </w:tc>
      </w:tr>
      <w:tr w14:paraId="3E1E4516" w14:textId="77777777" w:rsidTr="00B10ECF">
        <w:tblPrEx>
          <w:tblW w:w="11195" w:type="dxa"/>
          <w:tblInd w:w="-635" w:type="dxa"/>
          <w:tblLayout w:type="fixed"/>
          <w:tblLook w:val="04A0"/>
        </w:tblPrEx>
        <w:trPr>
          <w:gridAfter w:val="1"/>
          <w:wAfter w:w="8" w:type="dxa"/>
          <w:trHeight w:val="223"/>
        </w:trPr>
        <w:tc>
          <w:tcPr>
            <w:tcW w:w="1800" w:type="dxa"/>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4EC6CC6B" w14:textId="77777777">
            <w:pPr>
              <w:widowControl/>
              <w:autoSpaceDE/>
              <w:autoSpaceDN/>
              <w:adjustRightInd/>
              <w:rPr>
                <w:b w:val="0"/>
                <w:bCs w:val="0"/>
                <w:color w:val="000000"/>
                <w:sz w:val="24"/>
                <w:szCs w:val="24"/>
              </w:rPr>
            </w:pPr>
            <w:r w:rsidRPr="004E7E9E">
              <w:rPr>
                <w:b w:val="0"/>
                <w:bCs w:val="0"/>
                <w:color w:val="000000"/>
                <w:sz w:val="24"/>
                <w:szCs w:val="24"/>
              </w:rPr>
              <w:t>Project Management Specialists</w:t>
            </w:r>
          </w:p>
        </w:tc>
        <w:tc>
          <w:tcPr>
            <w:tcW w:w="1523" w:type="dxa"/>
            <w:tcBorders>
              <w:top w:val="single" w:sz="4" w:space="0" w:color="auto"/>
              <w:left w:val="nil"/>
              <w:bottom w:val="single" w:sz="4" w:space="0" w:color="auto"/>
              <w:right w:val="single" w:sz="4" w:space="0" w:color="auto"/>
            </w:tcBorders>
            <w:vAlign w:val="center"/>
            <w:hideMark/>
          </w:tcPr>
          <w:p w:rsidR="00C35E46" w:rsidRPr="004E7E9E" w:rsidP="00C35E46" w14:paraId="3B9D1364"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single" w:sz="4" w:space="0" w:color="auto"/>
              <w:left w:val="nil"/>
              <w:bottom w:val="single" w:sz="4" w:space="0" w:color="auto"/>
              <w:right w:val="single" w:sz="4" w:space="0" w:color="auto"/>
            </w:tcBorders>
            <w:vAlign w:val="center"/>
            <w:hideMark/>
          </w:tcPr>
          <w:p w:rsidR="00C35E46" w:rsidRPr="004E7E9E" w:rsidP="00C35E46" w14:paraId="13FDBA19"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single" w:sz="4" w:space="0" w:color="auto"/>
              <w:left w:val="nil"/>
              <w:bottom w:val="single" w:sz="4" w:space="0" w:color="auto"/>
              <w:right w:val="single" w:sz="4" w:space="0" w:color="auto"/>
            </w:tcBorders>
            <w:vAlign w:val="center"/>
            <w:hideMark/>
          </w:tcPr>
          <w:p w:rsidR="00C35E46" w:rsidRPr="004E7E9E" w:rsidP="00C35E46" w14:paraId="07D91199"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single" w:sz="4" w:space="0" w:color="auto"/>
              <w:left w:val="nil"/>
              <w:bottom w:val="single" w:sz="4" w:space="0" w:color="auto"/>
              <w:right w:val="single" w:sz="4" w:space="0" w:color="auto"/>
            </w:tcBorders>
            <w:vAlign w:val="center"/>
            <w:hideMark/>
          </w:tcPr>
          <w:p w:rsidR="00C35E46" w:rsidRPr="004E7E9E" w:rsidP="00C35E46" w14:paraId="2D84DD1F" w14:textId="77777777">
            <w:pPr>
              <w:widowControl/>
              <w:autoSpaceDE/>
              <w:autoSpaceDN/>
              <w:adjustRightInd/>
              <w:jc w:val="center"/>
              <w:rPr>
                <w:b w:val="0"/>
                <w:bCs w:val="0"/>
                <w:color w:val="000000"/>
                <w:sz w:val="24"/>
                <w:szCs w:val="24"/>
              </w:rPr>
            </w:pPr>
            <w:r w:rsidRPr="004E7E9E">
              <w:rPr>
                <w:b w:val="0"/>
                <w:bCs w:val="0"/>
                <w:color w:val="000000"/>
                <w:sz w:val="24"/>
                <w:szCs w:val="24"/>
              </w:rPr>
              <w:t>500</w:t>
            </w:r>
          </w:p>
        </w:tc>
        <w:tc>
          <w:tcPr>
            <w:tcW w:w="1076" w:type="dxa"/>
            <w:tcBorders>
              <w:top w:val="single" w:sz="4" w:space="0" w:color="auto"/>
              <w:left w:val="nil"/>
              <w:bottom w:val="single" w:sz="4" w:space="0" w:color="auto"/>
              <w:right w:val="single" w:sz="4" w:space="0" w:color="auto"/>
            </w:tcBorders>
            <w:vAlign w:val="center"/>
            <w:hideMark/>
          </w:tcPr>
          <w:p w:rsidR="00C35E46" w:rsidRPr="004E7E9E" w:rsidP="00C35E46" w14:paraId="5D23AD20" w14:textId="77777777">
            <w:pPr>
              <w:widowControl/>
              <w:autoSpaceDE/>
              <w:autoSpaceDN/>
              <w:adjustRightInd/>
              <w:jc w:val="center"/>
              <w:rPr>
                <w:b w:val="0"/>
                <w:bCs w:val="0"/>
                <w:color w:val="000000"/>
                <w:sz w:val="24"/>
                <w:szCs w:val="24"/>
              </w:rPr>
            </w:pPr>
            <w:r w:rsidRPr="004E7E9E">
              <w:rPr>
                <w:b w:val="0"/>
                <w:bCs w:val="0"/>
                <w:color w:val="000000"/>
                <w:sz w:val="24"/>
                <w:szCs w:val="24"/>
              </w:rPr>
              <w:t>36,500</w:t>
            </w:r>
          </w:p>
        </w:tc>
        <w:tc>
          <w:tcPr>
            <w:tcW w:w="1596" w:type="dxa"/>
            <w:tcBorders>
              <w:top w:val="single" w:sz="4" w:space="0" w:color="auto"/>
              <w:left w:val="nil"/>
              <w:bottom w:val="single" w:sz="4" w:space="0" w:color="auto"/>
              <w:right w:val="single" w:sz="4" w:space="0" w:color="auto"/>
            </w:tcBorders>
            <w:vAlign w:val="center"/>
            <w:hideMark/>
          </w:tcPr>
          <w:p w:rsidR="00C35E46" w:rsidRPr="004E7E9E" w:rsidP="00C35E46" w14:paraId="3CB58DAD" w14:textId="77777777">
            <w:pPr>
              <w:widowControl/>
              <w:autoSpaceDE/>
              <w:autoSpaceDN/>
              <w:adjustRightInd/>
              <w:jc w:val="center"/>
              <w:rPr>
                <w:b w:val="0"/>
                <w:bCs w:val="0"/>
                <w:color w:val="000000"/>
                <w:sz w:val="24"/>
                <w:szCs w:val="24"/>
              </w:rPr>
            </w:pPr>
            <w:r w:rsidRPr="004E7E9E">
              <w:rPr>
                <w:b w:val="0"/>
                <w:bCs w:val="0"/>
                <w:color w:val="000000"/>
                <w:sz w:val="24"/>
                <w:szCs w:val="24"/>
              </w:rPr>
              <w:t>$126.72</w:t>
            </w:r>
          </w:p>
        </w:tc>
        <w:tc>
          <w:tcPr>
            <w:tcW w:w="1416" w:type="dxa"/>
            <w:tcBorders>
              <w:top w:val="single" w:sz="4" w:space="0" w:color="auto"/>
              <w:left w:val="nil"/>
              <w:bottom w:val="single" w:sz="4" w:space="0" w:color="auto"/>
              <w:right w:val="single" w:sz="4" w:space="0" w:color="auto"/>
            </w:tcBorders>
            <w:vAlign w:val="center"/>
            <w:hideMark/>
          </w:tcPr>
          <w:p w:rsidR="00C35E46" w:rsidRPr="004E7E9E" w:rsidP="00C35E46" w14:paraId="1C08F2A7" w14:textId="77777777">
            <w:pPr>
              <w:widowControl/>
              <w:autoSpaceDE/>
              <w:autoSpaceDN/>
              <w:adjustRightInd/>
              <w:jc w:val="center"/>
              <w:rPr>
                <w:b w:val="0"/>
                <w:bCs w:val="0"/>
                <w:color w:val="000000"/>
                <w:sz w:val="24"/>
                <w:szCs w:val="24"/>
              </w:rPr>
            </w:pPr>
            <w:r w:rsidRPr="004E7E9E">
              <w:rPr>
                <w:b w:val="0"/>
                <w:bCs w:val="0"/>
                <w:color w:val="000000"/>
                <w:sz w:val="24"/>
                <w:szCs w:val="24"/>
              </w:rPr>
              <w:t>$4,625,280</w:t>
            </w:r>
          </w:p>
        </w:tc>
      </w:tr>
      <w:tr w14:paraId="75B81667" w14:textId="77777777" w:rsidTr="00B046FE">
        <w:tblPrEx>
          <w:tblW w:w="11195" w:type="dxa"/>
          <w:tblInd w:w="-635" w:type="dxa"/>
          <w:tblLayout w:type="fixed"/>
          <w:tblLook w:val="04A0"/>
        </w:tblPrEx>
        <w:trPr>
          <w:gridAfter w:val="1"/>
          <w:wAfter w:w="8" w:type="dxa"/>
          <w:trHeight w:val="283"/>
        </w:trPr>
        <w:tc>
          <w:tcPr>
            <w:tcW w:w="1800" w:type="dxa"/>
            <w:tcBorders>
              <w:top w:val="single" w:sz="4" w:space="0" w:color="auto"/>
              <w:left w:val="single" w:sz="4" w:space="0" w:color="auto"/>
              <w:bottom w:val="single" w:sz="4" w:space="0" w:color="auto"/>
              <w:right w:val="single" w:sz="4" w:space="0" w:color="auto"/>
            </w:tcBorders>
            <w:vAlign w:val="center"/>
            <w:hideMark/>
          </w:tcPr>
          <w:p w:rsidR="00C35E46" w:rsidRPr="004E7E9E" w:rsidP="00C35E46" w14:paraId="2A4D36C2" w14:textId="77777777">
            <w:pPr>
              <w:widowControl/>
              <w:autoSpaceDE/>
              <w:autoSpaceDN/>
              <w:adjustRightInd/>
              <w:rPr>
                <w:b w:val="0"/>
                <w:bCs w:val="0"/>
                <w:color w:val="000000"/>
                <w:sz w:val="24"/>
                <w:szCs w:val="24"/>
              </w:rPr>
            </w:pPr>
            <w:r w:rsidRPr="004E7E9E">
              <w:rPr>
                <w:b w:val="0"/>
                <w:bCs w:val="0"/>
                <w:color w:val="000000"/>
                <w:sz w:val="24"/>
                <w:szCs w:val="24"/>
              </w:rPr>
              <w:t>Business Operations Specialist</w:t>
            </w:r>
          </w:p>
        </w:tc>
        <w:tc>
          <w:tcPr>
            <w:tcW w:w="1523" w:type="dxa"/>
            <w:tcBorders>
              <w:top w:val="single" w:sz="4" w:space="0" w:color="auto"/>
              <w:left w:val="nil"/>
              <w:bottom w:val="single" w:sz="4" w:space="0" w:color="auto"/>
              <w:right w:val="single" w:sz="4" w:space="0" w:color="auto"/>
            </w:tcBorders>
            <w:vAlign w:val="center"/>
            <w:hideMark/>
          </w:tcPr>
          <w:p w:rsidR="00C35E46" w:rsidRPr="004E7E9E" w:rsidP="00C35E46" w14:paraId="6F3A7B2D"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single" w:sz="4" w:space="0" w:color="auto"/>
              <w:left w:val="nil"/>
              <w:bottom w:val="single" w:sz="4" w:space="0" w:color="auto"/>
              <w:right w:val="single" w:sz="4" w:space="0" w:color="auto"/>
            </w:tcBorders>
            <w:vAlign w:val="center"/>
            <w:hideMark/>
          </w:tcPr>
          <w:p w:rsidR="00C35E46" w:rsidRPr="004E7E9E" w:rsidP="00C35E46" w14:paraId="31947139"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single" w:sz="4" w:space="0" w:color="auto"/>
              <w:left w:val="nil"/>
              <w:bottom w:val="single" w:sz="4" w:space="0" w:color="auto"/>
              <w:right w:val="single" w:sz="4" w:space="0" w:color="auto"/>
            </w:tcBorders>
            <w:vAlign w:val="center"/>
            <w:hideMark/>
          </w:tcPr>
          <w:p w:rsidR="00C35E46" w:rsidRPr="004E7E9E" w:rsidP="00C35E46" w14:paraId="26C8658F"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single" w:sz="4" w:space="0" w:color="auto"/>
              <w:left w:val="nil"/>
              <w:bottom w:val="single" w:sz="4" w:space="0" w:color="auto"/>
              <w:right w:val="single" w:sz="4" w:space="0" w:color="auto"/>
            </w:tcBorders>
            <w:vAlign w:val="center"/>
            <w:hideMark/>
          </w:tcPr>
          <w:p w:rsidR="00C35E46" w:rsidRPr="004E7E9E" w:rsidP="00C35E46" w14:paraId="70ECEE38" w14:textId="77777777">
            <w:pPr>
              <w:widowControl/>
              <w:autoSpaceDE/>
              <w:autoSpaceDN/>
              <w:adjustRightInd/>
              <w:jc w:val="center"/>
              <w:rPr>
                <w:b w:val="0"/>
                <w:bCs w:val="0"/>
                <w:color w:val="000000"/>
                <w:sz w:val="24"/>
                <w:szCs w:val="24"/>
              </w:rPr>
            </w:pPr>
            <w:r w:rsidRPr="004E7E9E">
              <w:rPr>
                <w:b w:val="0"/>
                <w:bCs w:val="0"/>
                <w:color w:val="000000"/>
                <w:sz w:val="24"/>
                <w:szCs w:val="24"/>
              </w:rPr>
              <w:t>50</w:t>
            </w:r>
          </w:p>
        </w:tc>
        <w:tc>
          <w:tcPr>
            <w:tcW w:w="1076" w:type="dxa"/>
            <w:tcBorders>
              <w:top w:val="single" w:sz="4" w:space="0" w:color="auto"/>
              <w:left w:val="nil"/>
              <w:bottom w:val="single" w:sz="4" w:space="0" w:color="auto"/>
              <w:right w:val="single" w:sz="4" w:space="0" w:color="auto"/>
            </w:tcBorders>
            <w:vAlign w:val="center"/>
            <w:hideMark/>
          </w:tcPr>
          <w:p w:rsidR="00C35E46" w:rsidRPr="004E7E9E" w:rsidP="00C35E46" w14:paraId="4C7BE14A" w14:textId="77777777">
            <w:pPr>
              <w:widowControl/>
              <w:autoSpaceDE/>
              <w:autoSpaceDN/>
              <w:adjustRightInd/>
              <w:jc w:val="center"/>
              <w:rPr>
                <w:b w:val="0"/>
                <w:bCs w:val="0"/>
                <w:color w:val="000000"/>
                <w:sz w:val="24"/>
                <w:szCs w:val="24"/>
              </w:rPr>
            </w:pPr>
            <w:r w:rsidRPr="004E7E9E">
              <w:rPr>
                <w:b w:val="0"/>
                <w:bCs w:val="0"/>
                <w:color w:val="000000"/>
                <w:sz w:val="24"/>
                <w:szCs w:val="24"/>
              </w:rPr>
              <w:t>3,650</w:t>
            </w:r>
          </w:p>
        </w:tc>
        <w:tc>
          <w:tcPr>
            <w:tcW w:w="1596" w:type="dxa"/>
            <w:tcBorders>
              <w:top w:val="single" w:sz="4" w:space="0" w:color="auto"/>
              <w:left w:val="nil"/>
              <w:bottom w:val="single" w:sz="4" w:space="0" w:color="auto"/>
              <w:right w:val="single" w:sz="4" w:space="0" w:color="auto"/>
            </w:tcBorders>
            <w:vAlign w:val="center"/>
            <w:hideMark/>
          </w:tcPr>
          <w:p w:rsidR="00C35E46" w:rsidRPr="004E7E9E" w:rsidP="00C35E46" w14:paraId="477EB2F7" w14:textId="77777777">
            <w:pPr>
              <w:widowControl/>
              <w:autoSpaceDE/>
              <w:autoSpaceDN/>
              <w:adjustRightInd/>
              <w:jc w:val="center"/>
              <w:rPr>
                <w:b w:val="0"/>
                <w:bCs w:val="0"/>
                <w:color w:val="000000"/>
                <w:sz w:val="24"/>
                <w:szCs w:val="24"/>
              </w:rPr>
            </w:pPr>
            <w:r w:rsidRPr="004E7E9E">
              <w:rPr>
                <w:b w:val="0"/>
                <w:bCs w:val="0"/>
                <w:color w:val="000000"/>
                <w:sz w:val="24"/>
                <w:szCs w:val="24"/>
              </w:rPr>
              <w:t>$120.40</w:t>
            </w:r>
          </w:p>
        </w:tc>
        <w:tc>
          <w:tcPr>
            <w:tcW w:w="1416" w:type="dxa"/>
            <w:tcBorders>
              <w:top w:val="single" w:sz="4" w:space="0" w:color="auto"/>
              <w:left w:val="nil"/>
              <w:bottom w:val="single" w:sz="4" w:space="0" w:color="auto"/>
              <w:right w:val="single" w:sz="4" w:space="0" w:color="auto"/>
            </w:tcBorders>
            <w:vAlign w:val="center"/>
            <w:hideMark/>
          </w:tcPr>
          <w:p w:rsidR="00C35E46" w:rsidRPr="004E7E9E" w:rsidP="00C35E46" w14:paraId="62A49AD3" w14:textId="77777777">
            <w:pPr>
              <w:widowControl/>
              <w:autoSpaceDE/>
              <w:autoSpaceDN/>
              <w:adjustRightInd/>
              <w:jc w:val="center"/>
              <w:rPr>
                <w:b w:val="0"/>
                <w:bCs w:val="0"/>
                <w:color w:val="000000"/>
                <w:sz w:val="24"/>
                <w:szCs w:val="24"/>
              </w:rPr>
            </w:pPr>
            <w:r w:rsidRPr="004E7E9E">
              <w:rPr>
                <w:b w:val="0"/>
                <w:bCs w:val="0"/>
                <w:color w:val="000000"/>
                <w:sz w:val="24"/>
                <w:szCs w:val="24"/>
              </w:rPr>
              <w:t>$439,460</w:t>
            </w:r>
          </w:p>
        </w:tc>
      </w:tr>
      <w:tr w14:paraId="3E1ED381" w14:textId="77777777" w:rsidTr="00B046FE">
        <w:tblPrEx>
          <w:tblW w:w="11195" w:type="dxa"/>
          <w:tblInd w:w="-635" w:type="dxa"/>
          <w:tblLayout w:type="fixed"/>
          <w:tblLook w:val="04A0"/>
        </w:tblPrEx>
        <w:trPr>
          <w:gridAfter w:val="1"/>
          <w:wAfter w:w="8" w:type="dxa"/>
          <w:trHeight w:val="500"/>
        </w:trPr>
        <w:tc>
          <w:tcPr>
            <w:tcW w:w="1800" w:type="dxa"/>
            <w:tcBorders>
              <w:top w:val="single" w:sz="4" w:space="0" w:color="auto"/>
              <w:left w:val="single" w:sz="4" w:space="0" w:color="auto"/>
              <w:right w:val="single" w:sz="4" w:space="0" w:color="auto"/>
            </w:tcBorders>
            <w:vAlign w:val="center"/>
            <w:hideMark/>
          </w:tcPr>
          <w:p w:rsidR="00C35E46" w:rsidRPr="004E7E9E" w:rsidP="00C35E46" w14:paraId="32407590" w14:textId="77777777">
            <w:pPr>
              <w:widowControl/>
              <w:autoSpaceDE/>
              <w:autoSpaceDN/>
              <w:adjustRightInd/>
              <w:rPr>
                <w:b w:val="0"/>
                <w:bCs w:val="0"/>
                <w:color w:val="000000"/>
                <w:sz w:val="24"/>
                <w:szCs w:val="24"/>
              </w:rPr>
            </w:pPr>
            <w:r w:rsidRPr="004E7E9E">
              <w:rPr>
                <w:b w:val="0"/>
                <w:bCs w:val="0"/>
                <w:color w:val="000000"/>
                <w:sz w:val="24"/>
                <w:szCs w:val="24"/>
              </w:rPr>
              <w:t>Software and Web Developers, Programmers, and Testers</w:t>
            </w:r>
          </w:p>
        </w:tc>
        <w:tc>
          <w:tcPr>
            <w:tcW w:w="1523" w:type="dxa"/>
            <w:tcBorders>
              <w:top w:val="single" w:sz="4" w:space="0" w:color="auto"/>
              <w:left w:val="nil"/>
              <w:right w:val="single" w:sz="4" w:space="0" w:color="auto"/>
            </w:tcBorders>
            <w:vAlign w:val="center"/>
            <w:hideMark/>
          </w:tcPr>
          <w:p w:rsidR="00C35E46" w:rsidRPr="004E7E9E" w:rsidP="00C35E46" w14:paraId="6DEAF0CC"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single" w:sz="4" w:space="0" w:color="auto"/>
              <w:left w:val="nil"/>
              <w:right w:val="single" w:sz="4" w:space="0" w:color="auto"/>
            </w:tcBorders>
            <w:vAlign w:val="center"/>
            <w:hideMark/>
          </w:tcPr>
          <w:p w:rsidR="00C35E46" w:rsidRPr="004E7E9E" w:rsidP="00C35E46" w14:paraId="6924B9FE"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single" w:sz="4" w:space="0" w:color="auto"/>
              <w:left w:val="nil"/>
              <w:right w:val="single" w:sz="4" w:space="0" w:color="auto"/>
            </w:tcBorders>
            <w:vAlign w:val="center"/>
            <w:hideMark/>
          </w:tcPr>
          <w:p w:rsidR="00C35E46" w:rsidRPr="004E7E9E" w:rsidP="00C35E46" w14:paraId="41003717"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076" w:type="dxa"/>
            <w:tcBorders>
              <w:top w:val="single" w:sz="4" w:space="0" w:color="auto"/>
              <w:left w:val="nil"/>
              <w:right w:val="single" w:sz="4" w:space="0" w:color="auto"/>
            </w:tcBorders>
            <w:vAlign w:val="center"/>
            <w:hideMark/>
          </w:tcPr>
          <w:p w:rsidR="00C35E46" w:rsidRPr="004E7E9E" w:rsidP="00C35E46" w14:paraId="404E43D3" w14:textId="77777777">
            <w:pPr>
              <w:widowControl/>
              <w:autoSpaceDE/>
              <w:autoSpaceDN/>
              <w:adjustRightInd/>
              <w:jc w:val="center"/>
              <w:rPr>
                <w:b w:val="0"/>
                <w:bCs w:val="0"/>
                <w:color w:val="000000"/>
                <w:sz w:val="24"/>
                <w:szCs w:val="24"/>
              </w:rPr>
            </w:pPr>
            <w:r w:rsidRPr="004E7E9E">
              <w:rPr>
                <w:b w:val="0"/>
                <w:bCs w:val="0"/>
                <w:color w:val="000000"/>
                <w:sz w:val="24"/>
                <w:szCs w:val="24"/>
              </w:rPr>
              <w:t>750</w:t>
            </w:r>
          </w:p>
        </w:tc>
        <w:tc>
          <w:tcPr>
            <w:tcW w:w="1076" w:type="dxa"/>
            <w:tcBorders>
              <w:top w:val="single" w:sz="4" w:space="0" w:color="auto"/>
              <w:left w:val="nil"/>
              <w:right w:val="single" w:sz="4" w:space="0" w:color="auto"/>
            </w:tcBorders>
            <w:vAlign w:val="center"/>
            <w:hideMark/>
          </w:tcPr>
          <w:p w:rsidR="00C35E46" w:rsidRPr="004E7E9E" w:rsidP="00C35E46" w14:paraId="158CC0A9" w14:textId="77777777">
            <w:pPr>
              <w:widowControl/>
              <w:autoSpaceDE/>
              <w:autoSpaceDN/>
              <w:adjustRightInd/>
              <w:jc w:val="center"/>
              <w:rPr>
                <w:b w:val="0"/>
                <w:bCs w:val="0"/>
                <w:color w:val="000000"/>
                <w:sz w:val="24"/>
                <w:szCs w:val="24"/>
              </w:rPr>
            </w:pPr>
            <w:r w:rsidRPr="004E7E9E">
              <w:rPr>
                <w:b w:val="0"/>
                <w:bCs w:val="0"/>
                <w:color w:val="000000"/>
                <w:sz w:val="24"/>
                <w:szCs w:val="24"/>
              </w:rPr>
              <w:t>54,750</w:t>
            </w:r>
          </w:p>
        </w:tc>
        <w:tc>
          <w:tcPr>
            <w:tcW w:w="1596" w:type="dxa"/>
            <w:tcBorders>
              <w:top w:val="single" w:sz="4" w:space="0" w:color="auto"/>
              <w:left w:val="nil"/>
              <w:right w:val="single" w:sz="4" w:space="0" w:color="auto"/>
            </w:tcBorders>
            <w:vAlign w:val="center"/>
            <w:hideMark/>
          </w:tcPr>
          <w:p w:rsidR="00C35E46" w:rsidRPr="004E7E9E" w:rsidP="00C35E46" w14:paraId="53C7C00D" w14:textId="77777777">
            <w:pPr>
              <w:widowControl/>
              <w:autoSpaceDE/>
              <w:autoSpaceDN/>
              <w:adjustRightInd/>
              <w:jc w:val="center"/>
              <w:rPr>
                <w:b w:val="0"/>
                <w:bCs w:val="0"/>
                <w:color w:val="000000"/>
                <w:sz w:val="24"/>
                <w:szCs w:val="24"/>
              </w:rPr>
            </w:pPr>
            <w:r w:rsidRPr="004E7E9E">
              <w:rPr>
                <w:b w:val="0"/>
                <w:bCs w:val="0"/>
                <w:color w:val="000000"/>
                <w:sz w:val="24"/>
                <w:szCs w:val="24"/>
              </w:rPr>
              <w:t>$171.89</w:t>
            </w:r>
          </w:p>
        </w:tc>
        <w:tc>
          <w:tcPr>
            <w:tcW w:w="1416" w:type="dxa"/>
            <w:tcBorders>
              <w:top w:val="single" w:sz="4" w:space="0" w:color="auto"/>
              <w:left w:val="nil"/>
              <w:right w:val="single" w:sz="4" w:space="0" w:color="auto"/>
            </w:tcBorders>
            <w:vAlign w:val="center"/>
            <w:hideMark/>
          </w:tcPr>
          <w:p w:rsidR="00C35E46" w:rsidRPr="004E7E9E" w:rsidP="00C35E46" w14:paraId="311F9674" w14:textId="77777777">
            <w:pPr>
              <w:widowControl/>
              <w:autoSpaceDE/>
              <w:autoSpaceDN/>
              <w:adjustRightInd/>
              <w:jc w:val="center"/>
              <w:rPr>
                <w:b w:val="0"/>
                <w:bCs w:val="0"/>
                <w:color w:val="000000"/>
                <w:sz w:val="24"/>
                <w:szCs w:val="24"/>
              </w:rPr>
            </w:pPr>
            <w:r w:rsidRPr="004E7E9E">
              <w:rPr>
                <w:b w:val="0"/>
                <w:bCs w:val="0"/>
                <w:color w:val="000000"/>
                <w:sz w:val="24"/>
                <w:szCs w:val="24"/>
              </w:rPr>
              <w:t>$9,410,978</w:t>
            </w:r>
          </w:p>
        </w:tc>
      </w:tr>
      <w:tr w14:paraId="716555F7" w14:textId="77777777" w:rsidTr="004E7E9E">
        <w:tblPrEx>
          <w:tblW w:w="11195" w:type="dxa"/>
          <w:tblInd w:w="-635" w:type="dxa"/>
          <w:tblLayout w:type="fixed"/>
          <w:tblLook w:val="04A0"/>
        </w:tblPrEx>
        <w:trPr>
          <w:trHeight w:val="320"/>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3FA4D52E" w14:textId="77777777">
            <w:pPr>
              <w:widowControl/>
              <w:autoSpaceDE/>
              <w:autoSpaceDN/>
              <w:adjustRightInd/>
              <w:rPr>
                <w:color w:val="000000"/>
                <w:sz w:val="24"/>
                <w:szCs w:val="24"/>
                <w:u w:val="single"/>
              </w:rPr>
            </w:pPr>
            <w:r w:rsidRPr="004E7E9E">
              <w:rPr>
                <w:color w:val="000000"/>
                <w:sz w:val="24"/>
                <w:szCs w:val="24"/>
                <w:u w:val="single"/>
              </w:rPr>
              <w:t>(2) Disclosures</w:t>
            </w:r>
          </w:p>
        </w:tc>
      </w:tr>
      <w:tr w14:paraId="4F75082C" w14:textId="77777777" w:rsidTr="004E7E9E">
        <w:tblPrEx>
          <w:tblW w:w="11195" w:type="dxa"/>
          <w:tblInd w:w="-635" w:type="dxa"/>
          <w:tblLayout w:type="fixed"/>
          <w:tblLook w:val="04A0"/>
        </w:tblPrEx>
        <w:trPr>
          <w:trHeight w:val="240"/>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579FD6B2" w14:textId="77777777">
            <w:pPr>
              <w:widowControl/>
              <w:autoSpaceDE/>
              <w:autoSpaceDN/>
              <w:adjustRightInd/>
              <w:rPr>
                <w:color w:val="000000"/>
                <w:sz w:val="24"/>
                <w:szCs w:val="24"/>
                <w:u w:val="single"/>
              </w:rPr>
            </w:pPr>
            <w:r w:rsidRPr="004E7E9E">
              <w:rPr>
                <w:color w:val="000000"/>
                <w:sz w:val="24"/>
                <w:szCs w:val="24"/>
                <w:u w:val="single"/>
              </w:rPr>
              <w:t>(A) PBMs send disclosures to self-insured group health plans with 100 or more participants and beneficiaries</w:t>
            </w:r>
          </w:p>
        </w:tc>
      </w:tr>
      <w:tr w14:paraId="7CAF9969" w14:textId="77777777" w:rsidTr="004E7E9E">
        <w:tblPrEx>
          <w:tblW w:w="11195" w:type="dxa"/>
          <w:tblInd w:w="-635" w:type="dxa"/>
          <w:tblLayout w:type="fixed"/>
          <w:tblLook w:val="04A0"/>
        </w:tblPrEx>
        <w:trPr>
          <w:trHeight w:val="260"/>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57C74FA2" w14:textId="0D1EDCBE">
            <w:pPr>
              <w:widowControl/>
              <w:autoSpaceDE/>
              <w:autoSpaceDN/>
              <w:adjustRightInd/>
              <w:rPr>
                <w:b w:val="0"/>
                <w:bCs w:val="0"/>
                <w:i/>
                <w:iCs/>
                <w:color w:val="000000"/>
                <w:sz w:val="24"/>
                <w:szCs w:val="24"/>
                <w:u w:val="single"/>
              </w:rPr>
            </w:pPr>
            <w:r w:rsidRPr="004E7E9E">
              <w:rPr>
                <w:b w:val="0"/>
                <w:bCs w:val="0"/>
                <w:i/>
                <w:iCs/>
                <w:color w:val="000000"/>
                <w:sz w:val="24"/>
                <w:szCs w:val="24"/>
                <w:u w:val="single"/>
              </w:rPr>
              <w:t xml:space="preserve">PBMs provide initial disclosures to self-insured group </w:t>
            </w:r>
            <w:r w:rsidRPr="004E7E9E" w:rsidR="00043DDA">
              <w:rPr>
                <w:b w:val="0"/>
                <w:bCs w:val="0"/>
                <w:i/>
                <w:iCs/>
                <w:color w:val="000000"/>
                <w:sz w:val="24"/>
                <w:szCs w:val="24"/>
                <w:u w:val="single"/>
              </w:rPr>
              <w:t>health</w:t>
            </w:r>
            <w:r w:rsidRPr="004E7E9E">
              <w:rPr>
                <w:b w:val="0"/>
                <w:bCs w:val="0"/>
                <w:i/>
                <w:iCs/>
                <w:color w:val="000000"/>
                <w:sz w:val="24"/>
                <w:szCs w:val="24"/>
                <w:u w:val="single"/>
              </w:rPr>
              <w:t xml:space="preserve"> plans</w:t>
            </w:r>
          </w:p>
        </w:tc>
      </w:tr>
      <w:tr w14:paraId="5D8B947F" w14:textId="77777777" w:rsidTr="004E7E9E">
        <w:tblPrEx>
          <w:tblW w:w="11195" w:type="dxa"/>
          <w:tblInd w:w="-635" w:type="dxa"/>
          <w:tblLayout w:type="fixed"/>
          <w:tblLook w:val="04A0"/>
        </w:tblPrEx>
        <w:trPr>
          <w:gridAfter w:val="1"/>
          <w:wAfter w:w="8" w:type="dxa"/>
          <w:trHeight w:val="500"/>
        </w:trPr>
        <w:tc>
          <w:tcPr>
            <w:tcW w:w="1800" w:type="dxa"/>
            <w:tcBorders>
              <w:top w:val="nil"/>
              <w:left w:val="single" w:sz="4" w:space="0" w:color="auto"/>
              <w:bottom w:val="single" w:sz="4" w:space="0" w:color="auto"/>
              <w:right w:val="single" w:sz="4" w:space="0" w:color="auto"/>
            </w:tcBorders>
            <w:vAlign w:val="bottom"/>
            <w:hideMark/>
          </w:tcPr>
          <w:p w:rsidR="00C35E46" w:rsidRPr="004E7E9E" w:rsidP="00C35E46" w14:paraId="779D3924" w14:textId="77777777">
            <w:pPr>
              <w:widowControl/>
              <w:autoSpaceDE/>
              <w:autoSpaceDN/>
              <w:adjustRightInd/>
              <w:rPr>
                <w:b w:val="0"/>
                <w:bCs w:val="0"/>
                <w:sz w:val="24"/>
                <w:szCs w:val="24"/>
              </w:rPr>
            </w:pPr>
            <w:r w:rsidRPr="004E7E9E">
              <w:rPr>
                <w:b w:val="0"/>
                <w:bCs w:val="0"/>
                <w:sz w:val="24"/>
                <w:szCs w:val="24"/>
              </w:rPr>
              <w:t xml:space="preserve">Legal professionals and benefit specialists prepare disclosures </w:t>
            </w:r>
          </w:p>
        </w:tc>
        <w:tc>
          <w:tcPr>
            <w:tcW w:w="1523" w:type="dxa"/>
            <w:tcBorders>
              <w:top w:val="nil"/>
              <w:left w:val="nil"/>
              <w:bottom w:val="single" w:sz="4" w:space="0" w:color="auto"/>
              <w:right w:val="single" w:sz="4" w:space="0" w:color="auto"/>
            </w:tcBorders>
            <w:vAlign w:val="center"/>
            <w:hideMark/>
          </w:tcPr>
          <w:p w:rsidR="00C35E46" w:rsidRPr="004E7E9E" w:rsidP="00C35E46" w14:paraId="65A61EC6" w14:textId="77777777">
            <w:pPr>
              <w:widowControl/>
              <w:autoSpaceDE/>
              <w:autoSpaceDN/>
              <w:adjustRightInd/>
              <w:jc w:val="center"/>
              <w:rPr>
                <w:b w:val="0"/>
                <w:bCs w:val="0"/>
                <w:color w:val="000000"/>
                <w:sz w:val="24"/>
                <w:szCs w:val="24"/>
              </w:rPr>
            </w:pPr>
            <w:r w:rsidRPr="004E7E9E">
              <w:rPr>
                <w:b w:val="0"/>
                <w:bCs w:val="0"/>
                <w:color w:val="00000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30F78625" w14:textId="77777777">
            <w:pPr>
              <w:widowControl/>
              <w:autoSpaceDE/>
              <w:autoSpaceDN/>
              <w:adjustRightInd/>
              <w:jc w:val="center"/>
              <w:rPr>
                <w:b w:val="0"/>
                <w:bCs w:val="0"/>
                <w:color w:val="000000"/>
                <w:sz w:val="24"/>
                <w:szCs w:val="24"/>
              </w:rPr>
            </w:pPr>
            <w:r w:rsidRPr="004E7E9E">
              <w:rPr>
                <w:b w:val="0"/>
                <w:bCs w:val="0"/>
                <w:color w:val="000000"/>
                <w:sz w:val="24"/>
                <w:szCs w:val="24"/>
              </w:rPr>
              <w:t>598.64</w:t>
            </w:r>
          </w:p>
        </w:tc>
        <w:tc>
          <w:tcPr>
            <w:tcW w:w="1270" w:type="dxa"/>
            <w:tcBorders>
              <w:top w:val="nil"/>
              <w:left w:val="nil"/>
              <w:bottom w:val="single" w:sz="4" w:space="0" w:color="auto"/>
              <w:right w:val="single" w:sz="4" w:space="0" w:color="auto"/>
            </w:tcBorders>
            <w:vAlign w:val="center"/>
            <w:hideMark/>
          </w:tcPr>
          <w:p w:rsidR="00C35E46" w:rsidRPr="004E7E9E" w:rsidP="00C35E46" w14:paraId="22E208B8" w14:textId="77777777">
            <w:pPr>
              <w:widowControl/>
              <w:autoSpaceDE/>
              <w:autoSpaceDN/>
              <w:adjustRightInd/>
              <w:jc w:val="center"/>
              <w:rPr>
                <w:b w:val="0"/>
                <w:bCs w:val="0"/>
                <w:color w:val="000000"/>
                <w:sz w:val="24"/>
                <w:szCs w:val="24"/>
              </w:rPr>
            </w:pPr>
            <w:r w:rsidRPr="004E7E9E">
              <w:rPr>
                <w:b w:val="0"/>
                <w:bCs w:val="0"/>
                <w:color w:val="000000"/>
                <w:sz w:val="24"/>
                <w:szCs w:val="24"/>
              </w:rPr>
              <w:t>43,701</w:t>
            </w:r>
          </w:p>
        </w:tc>
        <w:tc>
          <w:tcPr>
            <w:tcW w:w="1076" w:type="dxa"/>
            <w:tcBorders>
              <w:top w:val="nil"/>
              <w:left w:val="nil"/>
              <w:bottom w:val="single" w:sz="4" w:space="0" w:color="auto"/>
              <w:right w:val="single" w:sz="4" w:space="0" w:color="auto"/>
            </w:tcBorders>
            <w:vAlign w:val="center"/>
            <w:hideMark/>
          </w:tcPr>
          <w:p w:rsidR="00C35E46" w:rsidRPr="004E7E9E" w:rsidP="00C35E46" w14:paraId="54753510"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076" w:type="dxa"/>
            <w:tcBorders>
              <w:top w:val="nil"/>
              <w:left w:val="nil"/>
              <w:bottom w:val="single" w:sz="4" w:space="0" w:color="auto"/>
              <w:right w:val="single" w:sz="4" w:space="0" w:color="auto"/>
            </w:tcBorders>
            <w:vAlign w:val="center"/>
            <w:hideMark/>
          </w:tcPr>
          <w:p w:rsidR="00C35E46" w:rsidRPr="004E7E9E" w:rsidP="00C35E46" w14:paraId="2F8185D3" w14:textId="77777777">
            <w:pPr>
              <w:widowControl/>
              <w:autoSpaceDE/>
              <w:autoSpaceDN/>
              <w:adjustRightInd/>
              <w:jc w:val="center"/>
              <w:rPr>
                <w:b w:val="0"/>
                <w:bCs w:val="0"/>
                <w:color w:val="000000"/>
                <w:sz w:val="24"/>
                <w:szCs w:val="24"/>
              </w:rPr>
            </w:pPr>
            <w:r w:rsidRPr="004E7E9E">
              <w:rPr>
                <w:b w:val="0"/>
                <w:bCs w:val="0"/>
                <w:color w:val="000000"/>
                <w:sz w:val="24"/>
                <w:szCs w:val="24"/>
              </w:rPr>
              <w:t>21,851</w:t>
            </w:r>
          </w:p>
        </w:tc>
        <w:tc>
          <w:tcPr>
            <w:tcW w:w="1596" w:type="dxa"/>
            <w:tcBorders>
              <w:top w:val="nil"/>
              <w:left w:val="nil"/>
              <w:bottom w:val="single" w:sz="4" w:space="0" w:color="auto"/>
              <w:right w:val="single" w:sz="4" w:space="0" w:color="auto"/>
            </w:tcBorders>
            <w:vAlign w:val="center"/>
            <w:hideMark/>
          </w:tcPr>
          <w:p w:rsidR="00C35E46" w:rsidRPr="004E7E9E" w:rsidP="00C35E46" w14:paraId="16F7AF6B" w14:textId="77777777">
            <w:pPr>
              <w:widowControl/>
              <w:autoSpaceDE/>
              <w:autoSpaceDN/>
              <w:adjustRightInd/>
              <w:jc w:val="center"/>
              <w:rPr>
                <w:b w:val="0"/>
                <w:bCs w:val="0"/>
                <w:color w:val="000000"/>
                <w:sz w:val="24"/>
                <w:szCs w:val="24"/>
              </w:rPr>
            </w:pPr>
            <w:r w:rsidRPr="004E7E9E">
              <w:rPr>
                <w:b w:val="0"/>
                <w:bCs w:val="0"/>
                <w:color w:val="000000"/>
                <w:sz w:val="24"/>
                <w:szCs w:val="24"/>
              </w:rPr>
              <w:t>$156.16</w:t>
            </w:r>
          </w:p>
        </w:tc>
        <w:tc>
          <w:tcPr>
            <w:tcW w:w="1416" w:type="dxa"/>
            <w:tcBorders>
              <w:top w:val="nil"/>
              <w:left w:val="nil"/>
              <w:bottom w:val="single" w:sz="4" w:space="0" w:color="auto"/>
              <w:right w:val="single" w:sz="4" w:space="0" w:color="auto"/>
            </w:tcBorders>
            <w:vAlign w:val="center"/>
            <w:hideMark/>
          </w:tcPr>
          <w:p w:rsidR="00C35E46" w:rsidRPr="004E7E9E" w:rsidP="00C35E46" w14:paraId="37116574" w14:textId="77777777">
            <w:pPr>
              <w:widowControl/>
              <w:autoSpaceDE/>
              <w:autoSpaceDN/>
              <w:adjustRightInd/>
              <w:jc w:val="center"/>
              <w:rPr>
                <w:b w:val="0"/>
                <w:bCs w:val="0"/>
                <w:color w:val="000000"/>
                <w:sz w:val="24"/>
                <w:szCs w:val="24"/>
              </w:rPr>
            </w:pPr>
            <w:r w:rsidRPr="004E7E9E">
              <w:rPr>
                <w:b w:val="0"/>
                <w:bCs w:val="0"/>
                <w:color w:val="000000"/>
                <w:sz w:val="24"/>
                <w:szCs w:val="24"/>
              </w:rPr>
              <w:t>$3,412,174</w:t>
            </w:r>
          </w:p>
        </w:tc>
      </w:tr>
      <w:tr w14:paraId="03FCDFCE" w14:textId="77777777" w:rsidTr="004E7E9E">
        <w:tblPrEx>
          <w:tblW w:w="11195" w:type="dxa"/>
          <w:tblInd w:w="-635" w:type="dxa"/>
          <w:tblLayout w:type="fixed"/>
          <w:tblLook w:val="04A0"/>
        </w:tblPrEx>
        <w:trPr>
          <w:trHeight w:val="350"/>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4ECCBC27" w14:textId="77777777">
            <w:pPr>
              <w:widowControl/>
              <w:autoSpaceDE/>
              <w:autoSpaceDN/>
              <w:adjustRightInd/>
              <w:rPr>
                <w:b w:val="0"/>
                <w:bCs w:val="0"/>
                <w:i/>
                <w:iCs/>
                <w:sz w:val="24"/>
                <w:szCs w:val="24"/>
                <w:u w:val="single"/>
              </w:rPr>
            </w:pPr>
            <w:r w:rsidRPr="004E7E9E">
              <w:rPr>
                <w:b w:val="0"/>
                <w:bCs w:val="0"/>
                <w:i/>
                <w:iCs/>
                <w:sz w:val="24"/>
                <w:szCs w:val="24"/>
                <w:u w:val="single"/>
              </w:rPr>
              <w:t>PBMs provide missing/other information requested by self-insured group health plans</w:t>
            </w:r>
          </w:p>
        </w:tc>
      </w:tr>
      <w:tr w14:paraId="2AEF346E" w14:textId="77777777" w:rsidTr="004E7E9E">
        <w:tblPrEx>
          <w:tblW w:w="11195" w:type="dxa"/>
          <w:tblInd w:w="-635" w:type="dxa"/>
          <w:tblLayout w:type="fixed"/>
          <w:tblLook w:val="04A0"/>
        </w:tblPrEx>
        <w:trPr>
          <w:gridAfter w:val="1"/>
          <w:wAfter w:w="8" w:type="dxa"/>
          <w:trHeight w:val="553"/>
        </w:trPr>
        <w:tc>
          <w:tcPr>
            <w:tcW w:w="1800" w:type="dxa"/>
            <w:tcBorders>
              <w:top w:val="nil"/>
              <w:left w:val="single" w:sz="4" w:space="0" w:color="auto"/>
              <w:bottom w:val="single" w:sz="4" w:space="0" w:color="auto"/>
              <w:right w:val="single" w:sz="4" w:space="0" w:color="auto"/>
            </w:tcBorders>
            <w:vAlign w:val="center"/>
            <w:hideMark/>
          </w:tcPr>
          <w:p w:rsidR="00C35E46" w:rsidRPr="004E7E9E" w:rsidP="00C35E46" w14:paraId="17228581" w14:textId="77777777">
            <w:pPr>
              <w:widowControl/>
              <w:autoSpaceDE/>
              <w:autoSpaceDN/>
              <w:adjustRightInd/>
              <w:rPr>
                <w:b w:val="0"/>
                <w:bCs w:val="0"/>
                <w:sz w:val="24"/>
                <w:szCs w:val="24"/>
              </w:rPr>
            </w:pPr>
            <w:r w:rsidRPr="004E7E9E">
              <w:rPr>
                <w:b w:val="0"/>
                <w:bCs w:val="0"/>
                <w:sz w:val="24"/>
                <w:szCs w:val="24"/>
              </w:rPr>
              <w:t xml:space="preserve">Benefits specialists prepare information </w:t>
            </w:r>
          </w:p>
        </w:tc>
        <w:tc>
          <w:tcPr>
            <w:tcW w:w="1523" w:type="dxa"/>
            <w:tcBorders>
              <w:top w:val="nil"/>
              <w:left w:val="nil"/>
              <w:bottom w:val="single" w:sz="4" w:space="0" w:color="auto"/>
              <w:right w:val="single" w:sz="4" w:space="0" w:color="auto"/>
            </w:tcBorders>
            <w:vAlign w:val="center"/>
            <w:hideMark/>
          </w:tcPr>
          <w:p w:rsidR="00C35E46" w:rsidRPr="004E7E9E" w:rsidP="00C35E46" w14:paraId="22686B06" w14:textId="77777777">
            <w:pPr>
              <w:widowControl/>
              <w:autoSpaceDE/>
              <w:autoSpaceDN/>
              <w:adjustRightInd/>
              <w:jc w:val="center"/>
              <w:rPr>
                <w:b w:val="0"/>
                <w:bCs w:val="0"/>
                <w:sz w:val="24"/>
                <w:szCs w:val="24"/>
              </w:rPr>
            </w:pPr>
            <w:r w:rsidRPr="004E7E9E">
              <w:rPr>
                <w:b w:val="0"/>
                <w:bCs w:val="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1ADE91C2" w14:textId="77777777">
            <w:pPr>
              <w:widowControl/>
              <w:autoSpaceDE/>
              <w:autoSpaceDN/>
              <w:adjustRightInd/>
              <w:jc w:val="center"/>
              <w:rPr>
                <w:b w:val="0"/>
                <w:bCs w:val="0"/>
                <w:color w:val="000000"/>
                <w:sz w:val="24"/>
                <w:szCs w:val="24"/>
              </w:rPr>
            </w:pPr>
            <w:r w:rsidRPr="004E7E9E">
              <w:rPr>
                <w:b w:val="0"/>
                <w:bCs w:val="0"/>
                <w:color w:val="000000"/>
                <w:sz w:val="24"/>
                <w:szCs w:val="24"/>
              </w:rPr>
              <w:t>59.86</w:t>
            </w:r>
          </w:p>
        </w:tc>
        <w:tc>
          <w:tcPr>
            <w:tcW w:w="1270" w:type="dxa"/>
            <w:tcBorders>
              <w:top w:val="nil"/>
              <w:left w:val="nil"/>
              <w:bottom w:val="single" w:sz="4" w:space="0" w:color="auto"/>
              <w:right w:val="single" w:sz="4" w:space="0" w:color="auto"/>
            </w:tcBorders>
            <w:vAlign w:val="center"/>
            <w:hideMark/>
          </w:tcPr>
          <w:p w:rsidR="00C35E46" w:rsidRPr="004E7E9E" w:rsidP="00C35E46" w14:paraId="678A8B60" w14:textId="77777777">
            <w:pPr>
              <w:widowControl/>
              <w:autoSpaceDE/>
              <w:autoSpaceDN/>
              <w:adjustRightInd/>
              <w:jc w:val="center"/>
              <w:rPr>
                <w:b w:val="0"/>
                <w:bCs w:val="0"/>
                <w:sz w:val="24"/>
                <w:szCs w:val="24"/>
              </w:rPr>
            </w:pPr>
            <w:r w:rsidRPr="004E7E9E">
              <w:rPr>
                <w:b w:val="0"/>
                <w:bCs w:val="0"/>
                <w:sz w:val="24"/>
                <w:szCs w:val="24"/>
              </w:rPr>
              <w:t>4,370</w:t>
            </w:r>
          </w:p>
        </w:tc>
        <w:tc>
          <w:tcPr>
            <w:tcW w:w="1076" w:type="dxa"/>
            <w:tcBorders>
              <w:top w:val="nil"/>
              <w:left w:val="nil"/>
              <w:bottom w:val="single" w:sz="4" w:space="0" w:color="auto"/>
              <w:right w:val="single" w:sz="4" w:space="0" w:color="auto"/>
            </w:tcBorders>
            <w:vAlign w:val="center"/>
            <w:hideMark/>
          </w:tcPr>
          <w:p w:rsidR="00C35E46" w:rsidRPr="004E7E9E" w:rsidP="00C35E46" w14:paraId="4911E227" w14:textId="77777777">
            <w:pPr>
              <w:widowControl/>
              <w:autoSpaceDE/>
              <w:autoSpaceDN/>
              <w:adjustRightInd/>
              <w:jc w:val="center"/>
              <w:rPr>
                <w:b w:val="0"/>
                <w:bCs w:val="0"/>
                <w:color w:val="000000"/>
                <w:sz w:val="24"/>
                <w:szCs w:val="24"/>
              </w:rPr>
            </w:pPr>
            <w:r w:rsidRPr="004E7E9E">
              <w:rPr>
                <w:b w:val="0"/>
                <w:bCs w:val="0"/>
                <w:color w:val="000000"/>
                <w:sz w:val="24"/>
                <w:szCs w:val="24"/>
              </w:rPr>
              <w:t>0.25</w:t>
            </w:r>
          </w:p>
        </w:tc>
        <w:tc>
          <w:tcPr>
            <w:tcW w:w="1076" w:type="dxa"/>
            <w:tcBorders>
              <w:top w:val="nil"/>
              <w:left w:val="nil"/>
              <w:bottom w:val="single" w:sz="4" w:space="0" w:color="auto"/>
              <w:right w:val="single" w:sz="4" w:space="0" w:color="auto"/>
            </w:tcBorders>
            <w:vAlign w:val="center"/>
            <w:hideMark/>
          </w:tcPr>
          <w:p w:rsidR="00C35E46" w:rsidRPr="004E7E9E" w:rsidP="00C35E46" w14:paraId="4E1DCACF" w14:textId="77777777">
            <w:pPr>
              <w:widowControl/>
              <w:autoSpaceDE/>
              <w:autoSpaceDN/>
              <w:adjustRightInd/>
              <w:jc w:val="center"/>
              <w:rPr>
                <w:b w:val="0"/>
                <w:bCs w:val="0"/>
                <w:color w:val="000000"/>
                <w:sz w:val="24"/>
                <w:szCs w:val="24"/>
              </w:rPr>
            </w:pPr>
            <w:r w:rsidRPr="004E7E9E">
              <w:rPr>
                <w:b w:val="0"/>
                <w:bCs w:val="0"/>
                <w:color w:val="000000"/>
                <w:sz w:val="24"/>
                <w:szCs w:val="24"/>
              </w:rPr>
              <w:t>1,093</w:t>
            </w:r>
          </w:p>
        </w:tc>
        <w:tc>
          <w:tcPr>
            <w:tcW w:w="1596" w:type="dxa"/>
            <w:tcBorders>
              <w:top w:val="nil"/>
              <w:left w:val="nil"/>
              <w:bottom w:val="single" w:sz="4" w:space="0" w:color="auto"/>
              <w:right w:val="single" w:sz="4" w:space="0" w:color="auto"/>
            </w:tcBorders>
            <w:vAlign w:val="center"/>
            <w:hideMark/>
          </w:tcPr>
          <w:p w:rsidR="00C35E46" w:rsidRPr="004E7E9E" w:rsidP="00C35E46" w14:paraId="67FA3C77" w14:textId="77777777">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nil"/>
              <w:left w:val="nil"/>
              <w:bottom w:val="single" w:sz="4" w:space="0" w:color="auto"/>
              <w:right w:val="single" w:sz="4" w:space="0" w:color="auto"/>
            </w:tcBorders>
            <w:vAlign w:val="center"/>
            <w:hideMark/>
          </w:tcPr>
          <w:p w:rsidR="00C35E46" w:rsidRPr="004E7E9E" w:rsidP="00C35E46" w14:paraId="05EE9633" w14:textId="77777777">
            <w:pPr>
              <w:widowControl/>
              <w:autoSpaceDE/>
              <w:autoSpaceDN/>
              <w:adjustRightInd/>
              <w:jc w:val="center"/>
              <w:rPr>
                <w:b w:val="0"/>
                <w:bCs w:val="0"/>
                <w:color w:val="000000"/>
                <w:sz w:val="24"/>
                <w:szCs w:val="24"/>
              </w:rPr>
            </w:pPr>
            <w:r w:rsidRPr="004E7E9E">
              <w:rPr>
                <w:b w:val="0"/>
                <w:bCs w:val="0"/>
                <w:color w:val="000000"/>
                <w:sz w:val="24"/>
                <w:szCs w:val="24"/>
              </w:rPr>
              <w:t>$136,278</w:t>
            </w:r>
          </w:p>
        </w:tc>
      </w:tr>
      <w:tr w14:paraId="165BB8CE" w14:textId="77777777" w:rsidTr="004E7E9E">
        <w:tblPrEx>
          <w:tblW w:w="11195" w:type="dxa"/>
          <w:tblInd w:w="-635" w:type="dxa"/>
          <w:tblLayout w:type="fixed"/>
          <w:tblLook w:val="04A0"/>
        </w:tblPrEx>
        <w:trPr>
          <w:trHeight w:val="343"/>
        </w:trPr>
        <w:tc>
          <w:tcPr>
            <w:tcW w:w="11195" w:type="dxa"/>
            <w:gridSpan w:val="9"/>
            <w:tcBorders>
              <w:top w:val="single" w:sz="4" w:space="0" w:color="auto"/>
              <w:left w:val="single" w:sz="4" w:space="0" w:color="auto"/>
              <w:bottom w:val="single" w:sz="4" w:space="0" w:color="auto"/>
              <w:right w:val="single" w:sz="4" w:space="0" w:color="000000"/>
            </w:tcBorders>
            <w:vAlign w:val="center"/>
            <w:hideMark/>
          </w:tcPr>
          <w:p w:rsidR="00C35E46" w:rsidRPr="004E7E9E" w:rsidP="00C35E46" w14:paraId="35BB1C5B" w14:textId="10AA45BC">
            <w:pPr>
              <w:widowControl/>
              <w:autoSpaceDE/>
              <w:autoSpaceDN/>
              <w:adjustRightInd/>
              <w:rPr>
                <w:b w:val="0"/>
                <w:bCs w:val="0"/>
                <w:i/>
                <w:iCs/>
                <w:sz w:val="24"/>
                <w:szCs w:val="24"/>
                <w:u w:val="single"/>
              </w:rPr>
            </w:pPr>
            <w:r w:rsidRPr="004E7E9E">
              <w:rPr>
                <w:b w:val="0"/>
                <w:bCs w:val="0"/>
                <w:i/>
                <w:iCs/>
                <w:sz w:val="24"/>
                <w:szCs w:val="24"/>
                <w:u w:val="single"/>
              </w:rPr>
              <w:t xml:space="preserve">PBMs provide semiannual disclosures to self-insured group </w:t>
            </w:r>
            <w:r w:rsidRPr="004E7E9E" w:rsidR="004E7E9E">
              <w:rPr>
                <w:b w:val="0"/>
                <w:bCs w:val="0"/>
                <w:i/>
                <w:iCs/>
                <w:sz w:val="24"/>
                <w:szCs w:val="24"/>
                <w:u w:val="single"/>
              </w:rPr>
              <w:t>health</w:t>
            </w:r>
            <w:r w:rsidRPr="004E7E9E">
              <w:rPr>
                <w:b w:val="0"/>
                <w:bCs w:val="0"/>
                <w:i/>
                <w:iCs/>
                <w:sz w:val="24"/>
                <w:szCs w:val="24"/>
                <w:u w:val="single"/>
              </w:rPr>
              <w:t xml:space="preserve"> plans</w:t>
            </w:r>
          </w:p>
        </w:tc>
      </w:tr>
      <w:tr w14:paraId="073DFBAB" w14:textId="77777777" w:rsidTr="00345635">
        <w:tblPrEx>
          <w:tblW w:w="11195" w:type="dxa"/>
          <w:tblInd w:w="-635" w:type="dxa"/>
          <w:tblLayout w:type="fixed"/>
          <w:tblLook w:val="04A0"/>
        </w:tblPrEx>
        <w:trPr>
          <w:gridAfter w:val="1"/>
          <w:wAfter w:w="8" w:type="dxa"/>
          <w:trHeight w:val="540"/>
        </w:trPr>
        <w:tc>
          <w:tcPr>
            <w:tcW w:w="1800" w:type="dxa"/>
            <w:tcBorders>
              <w:top w:val="single" w:sz="4" w:space="0" w:color="auto"/>
              <w:left w:val="single" w:sz="4" w:space="0" w:color="auto"/>
              <w:bottom w:val="single" w:sz="4" w:space="0" w:color="auto"/>
              <w:right w:val="single" w:sz="4" w:space="0" w:color="auto"/>
            </w:tcBorders>
            <w:vAlign w:val="bottom"/>
            <w:hideMark/>
          </w:tcPr>
          <w:p w:rsidR="00C35E46" w:rsidRPr="004E7E9E" w:rsidP="00C35E46" w14:paraId="57CD64EA" w14:textId="77777777">
            <w:pPr>
              <w:widowControl/>
              <w:autoSpaceDE/>
              <w:autoSpaceDN/>
              <w:adjustRightInd/>
              <w:rPr>
                <w:b w:val="0"/>
                <w:bCs w:val="0"/>
                <w:sz w:val="24"/>
                <w:szCs w:val="24"/>
              </w:rPr>
            </w:pPr>
            <w:r w:rsidRPr="004E7E9E">
              <w:rPr>
                <w:b w:val="0"/>
                <w:bCs w:val="0"/>
                <w:sz w:val="24"/>
                <w:szCs w:val="24"/>
              </w:rPr>
              <w:t xml:space="preserve">Benefit specialists prepare disclosures </w:t>
            </w:r>
          </w:p>
        </w:tc>
        <w:tc>
          <w:tcPr>
            <w:tcW w:w="1523" w:type="dxa"/>
            <w:tcBorders>
              <w:top w:val="single" w:sz="4" w:space="0" w:color="auto"/>
              <w:left w:val="nil"/>
              <w:bottom w:val="single" w:sz="4" w:space="0" w:color="auto"/>
              <w:right w:val="single" w:sz="4" w:space="0" w:color="auto"/>
            </w:tcBorders>
            <w:vAlign w:val="center"/>
            <w:hideMark/>
          </w:tcPr>
          <w:p w:rsidR="00C35E46" w:rsidRPr="004E7E9E" w:rsidP="00C35E46" w14:paraId="7DA55A0B" w14:textId="77777777">
            <w:pPr>
              <w:widowControl/>
              <w:autoSpaceDE/>
              <w:autoSpaceDN/>
              <w:adjustRightInd/>
              <w:jc w:val="center"/>
              <w:rPr>
                <w:b w:val="0"/>
                <w:bCs w:val="0"/>
                <w:sz w:val="24"/>
                <w:szCs w:val="24"/>
              </w:rPr>
            </w:pPr>
            <w:r w:rsidRPr="004E7E9E">
              <w:rPr>
                <w:b w:val="0"/>
                <w:bCs w:val="0"/>
                <w:sz w:val="24"/>
                <w:szCs w:val="24"/>
              </w:rPr>
              <w:t>73</w:t>
            </w:r>
          </w:p>
        </w:tc>
        <w:tc>
          <w:tcPr>
            <w:tcW w:w="1430" w:type="dxa"/>
            <w:tcBorders>
              <w:top w:val="single" w:sz="4" w:space="0" w:color="auto"/>
              <w:left w:val="nil"/>
              <w:bottom w:val="single" w:sz="4" w:space="0" w:color="auto"/>
              <w:right w:val="single" w:sz="4" w:space="0" w:color="auto"/>
            </w:tcBorders>
            <w:vAlign w:val="center"/>
            <w:hideMark/>
          </w:tcPr>
          <w:p w:rsidR="00C35E46" w:rsidRPr="004E7E9E" w:rsidP="00C35E46" w14:paraId="4B7C4D8F" w14:textId="77777777">
            <w:pPr>
              <w:widowControl/>
              <w:autoSpaceDE/>
              <w:autoSpaceDN/>
              <w:adjustRightInd/>
              <w:jc w:val="center"/>
              <w:rPr>
                <w:b w:val="0"/>
                <w:bCs w:val="0"/>
                <w:color w:val="000000"/>
                <w:sz w:val="24"/>
                <w:szCs w:val="24"/>
              </w:rPr>
            </w:pPr>
            <w:r w:rsidRPr="004E7E9E">
              <w:rPr>
                <w:b w:val="0"/>
                <w:bCs w:val="0"/>
                <w:color w:val="000000"/>
                <w:sz w:val="24"/>
                <w:szCs w:val="24"/>
              </w:rPr>
              <w:t>3,591.84</w:t>
            </w:r>
          </w:p>
        </w:tc>
        <w:tc>
          <w:tcPr>
            <w:tcW w:w="1270" w:type="dxa"/>
            <w:tcBorders>
              <w:top w:val="single" w:sz="4" w:space="0" w:color="auto"/>
              <w:left w:val="nil"/>
              <w:bottom w:val="single" w:sz="4" w:space="0" w:color="auto"/>
              <w:right w:val="single" w:sz="4" w:space="0" w:color="auto"/>
            </w:tcBorders>
            <w:vAlign w:val="center"/>
            <w:hideMark/>
          </w:tcPr>
          <w:p w:rsidR="00C35E46" w:rsidRPr="004E7E9E" w:rsidP="00C35E46" w14:paraId="7AB840A3" w14:textId="77777777">
            <w:pPr>
              <w:widowControl/>
              <w:autoSpaceDE/>
              <w:autoSpaceDN/>
              <w:adjustRightInd/>
              <w:jc w:val="center"/>
              <w:rPr>
                <w:b w:val="0"/>
                <w:bCs w:val="0"/>
                <w:sz w:val="24"/>
                <w:szCs w:val="24"/>
              </w:rPr>
            </w:pPr>
            <w:r w:rsidRPr="004E7E9E">
              <w:rPr>
                <w:b w:val="0"/>
                <w:bCs w:val="0"/>
                <w:sz w:val="24"/>
                <w:szCs w:val="24"/>
              </w:rPr>
              <w:t>262,204</w:t>
            </w:r>
          </w:p>
        </w:tc>
        <w:tc>
          <w:tcPr>
            <w:tcW w:w="1076" w:type="dxa"/>
            <w:tcBorders>
              <w:top w:val="single" w:sz="4" w:space="0" w:color="auto"/>
              <w:left w:val="nil"/>
              <w:bottom w:val="single" w:sz="4" w:space="0" w:color="auto"/>
              <w:right w:val="single" w:sz="4" w:space="0" w:color="auto"/>
            </w:tcBorders>
            <w:vAlign w:val="center"/>
            <w:hideMark/>
          </w:tcPr>
          <w:p w:rsidR="00C35E46" w:rsidRPr="004E7E9E" w:rsidP="00C35E46" w14:paraId="09949751" w14:textId="77777777">
            <w:pPr>
              <w:widowControl/>
              <w:autoSpaceDE/>
              <w:autoSpaceDN/>
              <w:adjustRightInd/>
              <w:jc w:val="center"/>
              <w:rPr>
                <w:b w:val="0"/>
                <w:bCs w:val="0"/>
                <w:color w:val="000000"/>
                <w:sz w:val="24"/>
                <w:szCs w:val="24"/>
              </w:rPr>
            </w:pPr>
            <w:r w:rsidRPr="004E7E9E">
              <w:rPr>
                <w:b w:val="0"/>
                <w:bCs w:val="0"/>
                <w:color w:val="000000"/>
                <w:sz w:val="24"/>
                <w:szCs w:val="24"/>
              </w:rPr>
              <w:t>0.25</w:t>
            </w:r>
          </w:p>
        </w:tc>
        <w:tc>
          <w:tcPr>
            <w:tcW w:w="1076" w:type="dxa"/>
            <w:tcBorders>
              <w:top w:val="single" w:sz="4" w:space="0" w:color="auto"/>
              <w:left w:val="nil"/>
              <w:bottom w:val="single" w:sz="4" w:space="0" w:color="auto"/>
              <w:right w:val="single" w:sz="4" w:space="0" w:color="auto"/>
            </w:tcBorders>
            <w:vAlign w:val="center"/>
            <w:hideMark/>
          </w:tcPr>
          <w:p w:rsidR="00C35E46" w:rsidRPr="004E7E9E" w:rsidP="00C35E46" w14:paraId="247DB9B2" w14:textId="77777777">
            <w:pPr>
              <w:widowControl/>
              <w:autoSpaceDE/>
              <w:autoSpaceDN/>
              <w:adjustRightInd/>
              <w:jc w:val="center"/>
              <w:rPr>
                <w:b w:val="0"/>
                <w:bCs w:val="0"/>
                <w:color w:val="000000"/>
                <w:sz w:val="24"/>
                <w:szCs w:val="24"/>
              </w:rPr>
            </w:pPr>
            <w:r w:rsidRPr="004E7E9E">
              <w:rPr>
                <w:b w:val="0"/>
                <w:bCs w:val="0"/>
                <w:color w:val="000000"/>
                <w:sz w:val="24"/>
                <w:szCs w:val="24"/>
              </w:rPr>
              <w:t>65,551</w:t>
            </w:r>
          </w:p>
        </w:tc>
        <w:tc>
          <w:tcPr>
            <w:tcW w:w="1596" w:type="dxa"/>
            <w:tcBorders>
              <w:top w:val="single" w:sz="4" w:space="0" w:color="auto"/>
              <w:left w:val="nil"/>
              <w:bottom w:val="single" w:sz="4" w:space="0" w:color="auto"/>
              <w:right w:val="single" w:sz="4" w:space="0" w:color="auto"/>
            </w:tcBorders>
            <w:vAlign w:val="center"/>
            <w:hideMark/>
          </w:tcPr>
          <w:p w:rsidR="00C35E46" w:rsidRPr="004E7E9E" w:rsidP="00C35E46" w14:paraId="0649AF25" w14:textId="77777777">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single" w:sz="4" w:space="0" w:color="auto"/>
              <w:left w:val="nil"/>
              <w:bottom w:val="single" w:sz="4" w:space="0" w:color="auto"/>
              <w:right w:val="single" w:sz="4" w:space="0" w:color="auto"/>
            </w:tcBorders>
            <w:vAlign w:val="center"/>
            <w:hideMark/>
          </w:tcPr>
          <w:p w:rsidR="00C35E46" w:rsidRPr="004E7E9E" w:rsidP="00C35E46" w14:paraId="53D0CADF" w14:textId="77777777">
            <w:pPr>
              <w:widowControl/>
              <w:autoSpaceDE/>
              <w:autoSpaceDN/>
              <w:adjustRightInd/>
              <w:jc w:val="center"/>
              <w:rPr>
                <w:b w:val="0"/>
                <w:bCs w:val="0"/>
                <w:color w:val="000000"/>
                <w:sz w:val="24"/>
                <w:szCs w:val="24"/>
              </w:rPr>
            </w:pPr>
            <w:r w:rsidRPr="004E7E9E">
              <w:rPr>
                <w:b w:val="0"/>
                <w:bCs w:val="0"/>
                <w:color w:val="000000"/>
                <w:sz w:val="24"/>
                <w:szCs w:val="24"/>
              </w:rPr>
              <w:t>$8,176,832</w:t>
            </w:r>
          </w:p>
        </w:tc>
      </w:tr>
      <w:tr w14:paraId="13044E70" w14:textId="77777777" w:rsidTr="00345635">
        <w:tblPrEx>
          <w:tblW w:w="11195" w:type="dxa"/>
          <w:tblInd w:w="-635" w:type="dxa"/>
          <w:tblLayout w:type="fixed"/>
          <w:tblLook w:val="04A0"/>
        </w:tblPrEx>
        <w:trPr>
          <w:trHeight w:val="188"/>
        </w:trPr>
        <w:tc>
          <w:tcPr>
            <w:tcW w:w="11195" w:type="dxa"/>
            <w:gridSpan w:val="9"/>
            <w:tcBorders>
              <w:top w:val="single" w:sz="4" w:space="0" w:color="auto"/>
              <w:left w:val="single" w:sz="4" w:space="0" w:color="auto"/>
              <w:bottom w:val="single" w:sz="4" w:space="0" w:color="auto"/>
              <w:right w:val="single" w:sz="4" w:space="0" w:color="000000"/>
            </w:tcBorders>
            <w:vAlign w:val="bottom"/>
            <w:hideMark/>
          </w:tcPr>
          <w:p w:rsidR="00C35E46" w:rsidRPr="004E7E9E" w:rsidP="00C35E46" w14:paraId="6FEC7A21" w14:textId="77777777">
            <w:pPr>
              <w:widowControl/>
              <w:autoSpaceDE/>
              <w:autoSpaceDN/>
              <w:adjustRightInd/>
              <w:rPr>
                <w:b w:val="0"/>
                <w:bCs w:val="0"/>
                <w:i/>
                <w:iCs/>
                <w:sz w:val="24"/>
                <w:szCs w:val="24"/>
                <w:u w:val="single"/>
              </w:rPr>
            </w:pPr>
            <w:r w:rsidRPr="004E7E9E">
              <w:rPr>
                <w:b w:val="0"/>
                <w:bCs w:val="0"/>
                <w:i/>
                <w:iCs/>
                <w:sz w:val="24"/>
                <w:szCs w:val="24"/>
                <w:u w:val="single"/>
              </w:rPr>
              <w:t>PBM provides quarterly disclosures to plans with 100 or more employees upon request</w:t>
            </w:r>
          </w:p>
        </w:tc>
      </w:tr>
      <w:tr w14:paraId="56E858CA" w14:textId="77777777" w:rsidTr="004E7E9E">
        <w:tblPrEx>
          <w:tblW w:w="11195" w:type="dxa"/>
          <w:tblInd w:w="-635" w:type="dxa"/>
          <w:tblLayout w:type="fixed"/>
          <w:tblLook w:val="04A0"/>
        </w:tblPrEx>
        <w:trPr>
          <w:gridAfter w:val="1"/>
          <w:wAfter w:w="8" w:type="dxa"/>
          <w:trHeight w:val="540"/>
        </w:trPr>
        <w:tc>
          <w:tcPr>
            <w:tcW w:w="1800" w:type="dxa"/>
            <w:tcBorders>
              <w:top w:val="nil"/>
              <w:left w:val="single" w:sz="4" w:space="0" w:color="auto"/>
              <w:bottom w:val="single" w:sz="4" w:space="0" w:color="auto"/>
              <w:right w:val="single" w:sz="4" w:space="0" w:color="auto"/>
            </w:tcBorders>
            <w:vAlign w:val="bottom"/>
            <w:hideMark/>
          </w:tcPr>
          <w:p w:rsidR="00C35E46" w:rsidRPr="004E7E9E" w:rsidP="00C35E46" w14:paraId="2741C98C" w14:textId="77777777">
            <w:pPr>
              <w:widowControl/>
              <w:autoSpaceDE/>
              <w:autoSpaceDN/>
              <w:adjustRightInd/>
              <w:rPr>
                <w:b w:val="0"/>
                <w:bCs w:val="0"/>
                <w:sz w:val="24"/>
                <w:szCs w:val="24"/>
              </w:rPr>
            </w:pPr>
            <w:r w:rsidRPr="004E7E9E">
              <w:rPr>
                <w:b w:val="0"/>
                <w:bCs w:val="0"/>
                <w:sz w:val="24"/>
                <w:szCs w:val="24"/>
              </w:rPr>
              <w:t xml:space="preserve">Benefit specialists prepare disclosures </w:t>
            </w:r>
          </w:p>
        </w:tc>
        <w:tc>
          <w:tcPr>
            <w:tcW w:w="1523" w:type="dxa"/>
            <w:tcBorders>
              <w:top w:val="nil"/>
              <w:left w:val="nil"/>
              <w:bottom w:val="single" w:sz="4" w:space="0" w:color="auto"/>
              <w:right w:val="single" w:sz="4" w:space="0" w:color="auto"/>
            </w:tcBorders>
            <w:vAlign w:val="center"/>
            <w:hideMark/>
          </w:tcPr>
          <w:p w:rsidR="00C35E46" w:rsidRPr="004E7E9E" w:rsidP="00C35E46" w14:paraId="21DDD5CE" w14:textId="77777777">
            <w:pPr>
              <w:widowControl/>
              <w:autoSpaceDE/>
              <w:autoSpaceDN/>
              <w:adjustRightInd/>
              <w:jc w:val="center"/>
              <w:rPr>
                <w:b w:val="0"/>
                <w:bCs w:val="0"/>
                <w:sz w:val="24"/>
                <w:szCs w:val="24"/>
              </w:rPr>
            </w:pPr>
            <w:r w:rsidRPr="004E7E9E">
              <w:rPr>
                <w:b w:val="0"/>
                <w:bCs w:val="0"/>
                <w:sz w:val="24"/>
                <w:szCs w:val="24"/>
              </w:rPr>
              <w:t>73</w:t>
            </w:r>
          </w:p>
        </w:tc>
        <w:tc>
          <w:tcPr>
            <w:tcW w:w="1430" w:type="dxa"/>
            <w:tcBorders>
              <w:top w:val="nil"/>
              <w:left w:val="nil"/>
              <w:bottom w:val="single" w:sz="4" w:space="0" w:color="auto"/>
              <w:right w:val="single" w:sz="4" w:space="0" w:color="auto"/>
            </w:tcBorders>
            <w:vAlign w:val="center"/>
            <w:hideMark/>
          </w:tcPr>
          <w:p w:rsidR="00C35E46" w:rsidRPr="004E7E9E" w:rsidP="00C35E46" w14:paraId="5660006C" w14:textId="77777777">
            <w:pPr>
              <w:widowControl/>
              <w:autoSpaceDE/>
              <w:autoSpaceDN/>
              <w:adjustRightInd/>
              <w:jc w:val="center"/>
              <w:rPr>
                <w:b w:val="0"/>
                <w:bCs w:val="0"/>
                <w:color w:val="000000"/>
                <w:sz w:val="24"/>
                <w:szCs w:val="24"/>
              </w:rPr>
            </w:pPr>
            <w:r w:rsidRPr="004E7E9E">
              <w:rPr>
                <w:b w:val="0"/>
                <w:bCs w:val="0"/>
                <w:color w:val="000000"/>
                <w:sz w:val="24"/>
                <w:szCs w:val="24"/>
              </w:rPr>
              <w:t>359.18</w:t>
            </w:r>
          </w:p>
        </w:tc>
        <w:tc>
          <w:tcPr>
            <w:tcW w:w="1270" w:type="dxa"/>
            <w:tcBorders>
              <w:top w:val="nil"/>
              <w:left w:val="nil"/>
              <w:bottom w:val="single" w:sz="4" w:space="0" w:color="auto"/>
              <w:right w:val="single" w:sz="4" w:space="0" w:color="auto"/>
            </w:tcBorders>
            <w:vAlign w:val="center"/>
            <w:hideMark/>
          </w:tcPr>
          <w:p w:rsidR="00C35E46" w:rsidRPr="004E7E9E" w:rsidP="00C35E46" w14:paraId="3BFD1F1A" w14:textId="77777777">
            <w:pPr>
              <w:widowControl/>
              <w:autoSpaceDE/>
              <w:autoSpaceDN/>
              <w:adjustRightInd/>
              <w:jc w:val="center"/>
              <w:rPr>
                <w:b w:val="0"/>
                <w:bCs w:val="0"/>
                <w:sz w:val="24"/>
                <w:szCs w:val="24"/>
              </w:rPr>
            </w:pPr>
            <w:r w:rsidRPr="004E7E9E">
              <w:rPr>
                <w:b w:val="0"/>
                <w:bCs w:val="0"/>
                <w:sz w:val="24"/>
                <w:szCs w:val="24"/>
              </w:rPr>
              <w:t>26,220</w:t>
            </w:r>
          </w:p>
        </w:tc>
        <w:tc>
          <w:tcPr>
            <w:tcW w:w="1076" w:type="dxa"/>
            <w:tcBorders>
              <w:top w:val="nil"/>
              <w:left w:val="nil"/>
              <w:bottom w:val="single" w:sz="4" w:space="0" w:color="auto"/>
              <w:right w:val="single" w:sz="4" w:space="0" w:color="auto"/>
            </w:tcBorders>
            <w:vAlign w:val="center"/>
            <w:hideMark/>
          </w:tcPr>
          <w:p w:rsidR="00C35E46" w:rsidRPr="004E7E9E" w:rsidP="00C35E46" w14:paraId="789F098D" w14:textId="77777777">
            <w:pPr>
              <w:widowControl/>
              <w:autoSpaceDE/>
              <w:autoSpaceDN/>
              <w:adjustRightInd/>
              <w:jc w:val="center"/>
              <w:rPr>
                <w:b w:val="0"/>
                <w:bCs w:val="0"/>
                <w:color w:val="000000"/>
                <w:sz w:val="24"/>
                <w:szCs w:val="24"/>
              </w:rPr>
            </w:pPr>
            <w:r w:rsidRPr="004E7E9E">
              <w:rPr>
                <w:b w:val="0"/>
                <w:bCs w:val="0"/>
                <w:color w:val="000000"/>
                <w:sz w:val="24"/>
                <w:szCs w:val="24"/>
              </w:rPr>
              <w:t>0.25</w:t>
            </w:r>
          </w:p>
        </w:tc>
        <w:tc>
          <w:tcPr>
            <w:tcW w:w="1076" w:type="dxa"/>
            <w:tcBorders>
              <w:top w:val="nil"/>
              <w:left w:val="nil"/>
              <w:bottom w:val="single" w:sz="4" w:space="0" w:color="auto"/>
              <w:right w:val="single" w:sz="4" w:space="0" w:color="auto"/>
            </w:tcBorders>
            <w:vAlign w:val="center"/>
            <w:hideMark/>
          </w:tcPr>
          <w:p w:rsidR="00C35E46" w:rsidRPr="004E7E9E" w:rsidP="00C35E46" w14:paraId="083E4FA7" w14:textId="77777777">
            <w:pPr>
              <w:widowControl/>
              <w:autoSpaceDE/>
              <w:autoSpaceDN/>
              <w:adjustRightInd/>
              <w:jc w:val="center"/>
              <w:rPr>
                <w:b w:val="0"/>
                <w:bCs w:val="0"/>
                <w:color w:val="000000"/>
                <w:sz w:val="24"/>
                <w:szCs w:val="24"/>
              </w:rPr>
            </w:pPr>
            <w:r w:rsidRPr="004E7E9E">
              <w:rPr>
                <w:b w:val="0"/>
                <w:bCs w:val="0"/>
                <w:color w:val="000000"/>
                <w:sz w:val="24"/>
                <w:szCs w:val="24"/>
              </w:rPr>
              <w:t>6,555</w:t>
            </w:r>
          </w:p>
        </w:tc>
        <w:tc>
          <w:tcPr>
            <w:tcW w:w="1596" w:type="dxa"/>
            <w:tcBorders>
              <w:top w:val="nil"/>
              <w:left w:val="nil"/>
              <w:bottom w:val="single" w:sz="4" w:space="0" w:color="auto"/>
              <w:right w:val="single" w:sz="4" w:space="0" w:color="auto"/>
            </w:tcBorders>
            <w:vAlign w:val="center"/>
            <w:hideMark/>
          </w:tcPr>
          <w:p w:rsidR="00C35E46" w:rsidRPr="004E7E9E" w:rsidP="00C35E46" w14:paraId="59825CA9" w14:textId="77777777">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nil"/>
              <w:left w:val="nil"/>
              <w:bottom w:val="single" w:sz="4" w:space="0" w:color="auto"/>
              <w:right w:val="single" w:sz="4" w:space="0" w:color="auto"/>
            </w:tcBorders>
            <w:vAlign w:val="center"/>
            <w:hideMark/>
          </w:tcPr>
          <w:p w:rsidR="00C35E46" w:rsidRPr="004E7E9E" w:rsidP="00C35E46" w14:paraId="79299290" w14:textId="77777777">
            <w:pPr>
              <w:widowControl/>
              <w:autoSpaceDE/>
              <w:autoSpaceDN/>
              <w:adjustRightInd/>
              <w:jc w:val="center"/>
              <w:rPr>
                <w:b w:val="0"/>
                <w:bCs w:val="0"/>
                <w:color w:val="000000"/>
                <w:sz w:val="24"/>
                <w:szCs w:val="24"/>
              </w:rPr>
            </w:pPr>
            <w:r w:rsidRPr="004E7E9E">
              <w:rPr>
                <w:b w:val="0"/>
                <w:bCs w:val="0"/>
                <w:color w:val="000000"/>
                <w:sz w:val="24"/>
                <w:szCs w:val="24"/>
              </w:rPr>
              <w:t>$817,671</w:t>
            </w:r>
          </w:p>
        </w:tc>
      </w:tr>
      <w:tr w14:paraId="4FEDEF15" w14:textId="77777777" w:rsidTr="004E7E9E">
        <w:tblPrEx>
          <w:tblW w:w="11195" w:type="dxa"/>
          <w:tblInd w:w="-635" w:type="dxa"/>
          <w:tblLayout w:type="fixed"/>
          <w:tblLook w:val="04A0"/>
        </w:tblPrEx>
        <w:trPr>
          <w:trHeight w:val="290"/>
        </w:trPr>
        <w:tc>
          <w:tcPr>
            <w:tcW w:w="11195" w:type="dxa"/>
            <w:gridSpan w:val="9"/>
            <w:tcBorders>
              <w:top w:val="single" w:sz="4" w:space="0" w:color="auto"/>
              <w:left w:val="single" w:sz="4" w:space="0" w:color="auto"/>
              <w:bottom w:val="single" w:sz="4" w:space="0" w:color="auto"/>
              <w:right w:val="single" w:sz="4" w:space="0" w:color="000000"/>
            </w:tcBorders>
            <w:vAlign w:val="bottom"/>
            <w:hideMark/>
          </w:tcPr>
          <w:p w:rsidR="00C35E46" w:rsidRPr="004E7E9E" w:rsidP="00C35E46" w14:paraId="2AA31799" w14:textId="77777777">
            <w:pPr>
              <w:widowControl/>
              <w:autoSpaceDE/>
              <w:autoSpaceDN/>
              <w:adjustRightInd/>
              <w:rPr>
                <w:sz w:val="24"/>
                <w:szCs w:val="24"/>
                <w:u w:val="single"/>
              </w:rPr>
            </w:pPr>
            <w:r w:rsidRPr="004E7E9E">
              <w:rPr>
                <w:sz w:val="24"/>
                <w:szCs w:val="24"/>
                <w:u w:val="single"/>
              </w:rPr>
              <w:t xml:space="preserve">(B) Self-insured group health plans with 100 or more participants and </w:t>
            </w:r>
            <w:r w:rsidRPr="004E7E9E">
              <w:rPr>
                <w:sz w:val="24"/>
                <w:szCs w:val="24"/>
                <w:u w:val="single"/>
              </w:rPr>
              <w:t>beneficiaries</w:t>
            </w:r>
            <w:r w:rsidRPr="004E7E9E">
              <w:rPr>
                <w:sz w:val="24"/>
                <w:szCs w:val="24"/>
                <w:u w:val="single"/>
              </w:rPr>
              <w:t xml:space="preserve"> </w:t>
            </w:r>
            <w:r w:rsidRPr="004E7E9E">
              <w:rPr>
                <w:sz w:val="24"/>
                <w:szCs w:val="24"/>
                <w:u w:val="single"/>
              </w:rPr>
              <w:t>sends</w:t>
            </w:r>
            <w:r w:rsidRPr="004E7E9E">
              <w:rPr>
                <w:sz w:val="24"/>
                <w:szCs w:val="24"/>
                <w:u w:val="single"/>
              </w:rPr>
              <w:t xml:space="preserve"> notice to PBMs and DOL</w:t>
            </w:r>
          </w:p>
        </w:tc>
      </w:tr>
      <w:tr w14:paraId="47239F4E" w14:textId="77777777" w:rsidTr="004E7E9E">
        <w:tblPrEx>
          <w:tblW w:w="11195" w:type="dxa"/>
          <w:tblInd w:w="-635" w:type="dxa"/>
          <w:tblLayout w:type="fixed"/>
          <w:tblLook w:val="04A0"/>
        </w:tblPrEx>
        <w:trPr>
          <w:trHeight w:val="343"/>
        </w:trPr>
        <w:tc>
          <w:tcPr>
            <w:tcW w:w="11195" w:type="dxa"/>
            <w:gridSpan w:val="9"/>
            <w:tcBorders>
              <w:top w:val="single" w:sz="4" w:space="0" w:color="auto"/>
              <w:left w:val="single" w:sz="4" w:space="0" w:color="auto"/>
              <w:bottom w:val="single" w:sz="4" w:space="0" w:color="auto"/>
              <w:right w:val="single" w:sz="4" w:space="0" w:color="000000"/>
            </w:tcBorders>
            <w:vAlign w:val="bottom"/>
            <w:hideMark/>
          </w:tcPr>
          <w:p w:rsidR="00C35E46" w:rsidRPr="004E7E9E" w:rsidP="00C35E46" w14:paraId="75F9C8B9" w14:textId="77777777">
            <w:pPr>
              <w:widowControl/>
              <w:autoSpaceDE/>
              <w:autoSpaceDN/>
              <w:adjustRightInd/>
              <w:rPr>
                <w:i/>
                <w:iCs/>
                <w:sz w:val="24"/>
                <w:szCs w:val="24"/>
                <w:u w:val="single"/>
              </w:rPr>
            </w:pPr>
            <w:r w:rsidRPr="004E7E9E">
              <w:rPr>
                <w:i/>
                <w:iCs/>
                <w:sz w:val="24"/>
                <w:szCs w:val="24"/>
                <w:u w:val="single"/>
              </w:rPr>
              <w:t xml:space="preserve">Self-insured group health plans </w:t>
            </w:r>
            <w:r w:rsidRPr="004E7E9E">
              <w:rPr>
                <w:i/>
                <w:iCs/>
                <w:sz w:val="24"/>
                <w:szCs w:val="24"/>
                <w:u w:val="single"/>
              </w:rPr>
              <w:t>sends</w:t>
            </w:r>
            <w:r w:rsidRPr="004E7E9E">
              <w:rPr>
                <w:i/>
                <w:iCs/>
                <w:sz w:val="24"/>
                <w:szCs w:val="24"/>
                <w:u w:val="single"/>
              </w:rPr>
              <w:t xml:space="preserve"> </w:t>
            </w:r>
            <w:r w:rsidRPr="004E7E9E">
              <w:rPr>
                <w:i/>
                <w:iCs/>
                <w:sz w:val="24"/>
                <w:szCs w:val="24"/>
                <w:u w:val="single"/>
              </w:rPr>
              <w:t>request</w:t>
            </w:r>
            <w:r w:rsidRPr="004E7E9E">
              <w:rPr>
                <w:i/>
                <w:iCs/>
                <w:sz w:val="24"/>
                <w:szCs w:val="24"/>
                <w:u w:val="single"/>
              </w:rPr>
              <w:t xml:space="preserve"> to PBMs to disclose missing information</w:t>
            </w:r>
          </w:p>
        </w:tc>
      </w:tr>
      <w:tr w14:paraId="27B0F7F8" w14:textId="77777777" w:rsidTr="004E7E9E">
        <w:tblPrEx>
          <w:tblW w:w="11195" w:type="dxa"/>
          <w:tblInd w:w="-635" w:type="dxa"/>
          <w:tblLayout w:type="fixed"/>
          <w:tblLook w:val="04A0"/>
        </w:tblPrEx>
        <w:trPr>
          <w:gridAfter w:val="1"/>
          <w:wAfter w:w="8" w:type="dxa"/>
          <w:trHeight w:val="523"/>
        </w:trPr>
        <w:tc>
          <w:tcPr>
            <w:tcW w:w="1800" w:type="dxa"/>
            <w:tcBorders>
              <w:top w:val="nil"/>
              <w:left w:val="single" w:sz="4" w:space="0" w:color="auto"/>
              <w:bottom w:val="single" w:sz="4" w:space="0" w:color="auto"/>
              <w:right w:val="single" w:sz="4" w:space="0" w:color="auto"/>
            </w:tcBorders>
            <w:vAlign w:val="bottom"/>
            <w:hideMark/>
          </w:tcPr>
          <w:p w:rsidR="00C35E46" w:rsidRPr="004E7E9E" w:rsidP="00C35E46" w14:paraId="3CA35D96" w14:textId="77777777">
            <w:pPr>
              <w:widowControl/>
              <w:autoSpaceDE/>
              <w:autoSpaceDN/>
              <w:adjustRightInd/>
              <w:rPr>
                <w:b w:val="0"/>
                <w:bCs w:val="0"/>
                <w:sz w:val="24"/>
                <w:szCs w:val="24"/>
              </w:rPr>
            </w:pPr>
            <w:r w:rsidRPr="004E7E9E">
              <w:rPr>
                <w:b w:val="0"/>
                <w:bCs w:val="0"/>
                <w:sz w:val="24"/>
                <w:szCs w:val="24"/>
              </w:rPr>
              <w:t xml:space="preserve">Benefits specialist prepares request </w:t>
            </w:r>
          </w:p>
        </w:tc>
        <w:tc>
          <w:tcPr>
            <w:tcW w:w="1523" w:type="dxa"/>
            <w:tcBorders>
              <w:top w:val="nil"/>
              <w:left w:val="nil"/>
              <w:bottom w:val="single" w:sz="4" w:space="0" w:color="auto"/>
              <w:right w:val="single" w:sz="4" w:space="0" w:color="auto"/>
            </w:tcBorders>
            <w:vAlign w:val="center"/>
            <w:hideMark/>
          </w:tcPr>
          <w:p w:rsidR="00C35E46" w:rsidRPr="004E7E9E" w:rsidP="00C35E46" w14:paraId="624A0CB2" w14:textId="77777777">
            <w:pPr>
              <w:widowControl/>
              <w:autoSpaceDE/>
              <w:autoSpaceDN/>
              <w:adjustRightInd/>
              <w:jc w:val="center"/>
              <w:rPr>
                <w:b w:val="0"/>
                <w:bCs w:val="0"/>
                <w:sz w:val="24"/>
                <w:szCs w:val="24"/>
              </w:rPr>
            </w:pPr>
            <w:r w:rsidRPr="004E7E9E">
              <w:rPr>
                <w:b w:val="0"/>
                <w:bCs w:val="0"/>
                <w:sz w:val="24"/>
                <w:szCs w:val="24"/>
              </w:rPr>
              <w:t>953,420</w:t>
            </w:r>
          </w:p>
        </w:tc>
        <w:tc>
          <w:tcPr>
            <w:tcW w:w="1430" w:type="dxa"/>
            <w:tcBorders>
              <w:top w:val="nil"/>
              <w:left w:val="nil"/>
              <w:bottom w:val="single" w:sz="4" w:space="0" w:color="auto"/>
              <w:right w:val="single" w:sz="4" w:space="0" w:color="auto"/>
            </w:tcBorders>
            <w:vAlign w:val="center"/>
            <w:hideMark/>
          </w:tcPr>
          <w:p w:rsidR="00C35E46" w:rsidRPr="004E7E9E" w:rsidP="00C35E46" w14:paraId="4DD5F443" w14:textId="77777777">
            <w:pPr>
              <w:widowControl/>
              <w:autoSpaceDE/>
              <w:autoSpaceDN/>
              <w:adjustRightInd/>
              <w:jc w:val="center"/>
              <w:rPr>
                <w:b w:val="0"/>
                <w:bCs w:val="0"/>
                <w:color w:val="000000"/>
                <w:sz w:val="24"/>
                <w:szCs w:val="24"/>
              </w:rPr>
            </w:pPr>
            <w:r w:rsidRPr="004E7E9E">
              <w:rPr>
                <w:b w:val="0"/>
                <w:bCs w:val="0"/>
                <w:color w:val="000000"/>
                <w:sz w:val="24"/>
                <w:szCs w:val="24"/>
              </w:rPr>
              <w:t>0.00014</w:t>
            </w:r>
          </w:p>
        </w:tc>
        <w:tc>
          <w:tcPr>
            <w:tcW w:w="1270" w:type="dxa"/>
            <w:tcBorders>
              <w:top w:val="nil"/>
              <w:left w:val="nil"/>
              <w:bottom w:val="single" w:sz="4" w:space="0" w:color="auto"/>
              <w:right w:val="single" w:sz="4" w:space="0" w:color="auto"/>
            </w:tcBorders>
            <w:vAlign w:val="center"/>
            <w:hideMark/>
          </w:tcPr>
          <w:p w:rsidR="00C35E46" w:rsidRPr="004E7E9E" w:rsidP="00C35E46" w14:paraId="240881E3" w14:textId="77777777">
            <w:pPr>
              <w:widowControl/>
              <w:autoSpaceDE/>
              <w:autoSpaceDN/>
              <w:adjustRightInd/>
              <w:jc w:val="center"/>
              <w:rPr>
                <w:b w:val="0"/>
                <w:bCs w:val="0"/>
                <w:sz w:val="24"/>
                <w:szCs w:val="24"/>
              </w:rPr>
            </w:pPr>
            <w:r w:rsidRPr="004E7E9E">
              <w:rPr>
                <w:b w:val="0"/>
                <w:bCs w:val="0"/>
                <w:sz w:val="24"/>
                <w:szCs w:val="24"/>
              </w:rPr>
              <w:t>131</w:t>
            </w:r>
          </w:p>
        </w:tc>
        <w:tc>
          <w:tcPr>
            <w:tcW w:w="1076" w:type="dxa"/>
            <w:tcBorders>
              <w:top w:val="nil"/>
              <w:left w:val="nil"/>
              <w:bottom w:val="single" w:sz="4" w:space="0" w:color="auto"/>
              <w:right w:val="single" w:sz="4" w:space="0" w:color="auto"/>
            </w:tcBorders>
            <w:vAlign w:val="center"/>
            <w:hideMark/>
          </w:tcPr>
          <w:p w:rsidR="00C35E46" w:rsidRPr="004E7E9E" w:rsidP="00C35E46" w14:paraId="756BA93E" w14:textId="77777777">
            <w:pPr>
              <w:widowControl/>
              <w:autoSpaceDE/>
              <w:autoSpaceDN/>
              <w:adjustRightInd/>
              <w:jc w:val="center"/>
              <w:rPr>
                <w:b w:val="0"/>
                <w:bCs w:val="0"/>
                <w:color w:val="000000"/>
                <w:sz w:val="24"/>
                <w:szCs w:val="24"/>
              </w:rPr>
            </w:pPr>
            <w:r w:rsidRPr="004E7E9E">
              <w:rPr>
                <w:b w:val="0"/>
                <w:bCs w:val="0"/>
                <w:color w:val="000000"/>
                <w:sz w:val="24"/>
                <w:szCs w:val="24"/>
              </w:rPr>
              <w:t>0.25</w:t>
            </w:r>
          </w:p>
        </w:tc>
        <w:tc>
          <w:tcPr>
            <w:tcW w:w="1076" w:type="dxa"/>
            <w:tcBorders>
              <w:top w:val="nil"/>
              <w:left w:val="nil"/>
              <w:bottom w:val="single" w:sz="4" w:space="0" w:color="auto"/>
              <w:right w:val="single" w:sz="4" w:space="0" w:color="auto"/>
            </w:tcBorders>
            <w:vAlign w:val="center"/>
            <w:hideMark/>
          </w:tcPr>
          <w:p w:rsidR="00C35E46" w:rsidRPr="004E7E9E" w:rsidP="00C35E46" w14:paraId="3E48B02D" w14:textId="77777777">
            <w:pPr>
              <w:widowControl/>
              <w:autoSpaceDE/>
              <w:autoSpaceDN/>
              <w:adjustRightInd/>
              <w:jc w:val="center"/>
              <w:rPr>
                <w:b w:val="0"/>
                <w:bCs w:val="0"/>
                <w:color w:val="000000"/>
                <w:sz w:val="24"/>
                <w:szCs w:val="24"/>
              </w:rPr>
            </w:pPr>
            <w:r w:rsidRPr="004E7E9E">
              <w:rPr>
                <w:b w:val="0"/>
                <w:bCs w:val="0"/>
                <w:color w:val="000000"/>
                <w:sz w:val="24"/>
                <w:szCs w:val="24"/>
              </w:rPr>
              <w:t>33</w:t>
            </w:r>
          </w:p>
        </w:tc>
        <w:tc>
          <w:tcPr>
            <w:tcW w:w="1596" w:type="dxa"/>
            <w:tcBorders>
              <w:top w:val="nil"/>
              <w:left w:val="nil"/>
              <w:bottom w:val="single" w:sz="4" w:space="0" w:color="auto"/>
              <w:right w:val="single" w:sz="4" w:space="0" w:color="auto"/>
            </w:tcBorders>
            <w:vAlign w:val="center"/>
            <w:hideMark/>
          </w:tcPr>
          <w:p w:rsidR="00C35E46" w:rsidRPr="004E7E9E" w:rsidP="00C35E46" w14:paraId="059B838C" w14:textId="77777777">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nil"/>
              <w:left w:val="nil"/>
              <w:bottom w:val="single" w:sz="4" w:space="0" w:color="auto"/>
              <w:right w:val="single" w:sz="4" w:space="0" w:color="auto"/>
            </w:tcBorders>
            <w:vAlign w:val="center"/>
            <w:hideMark/>
          </w:tcPr>
          <w:p w:rsidR="00C35E46" w:rsidRPr="004E7E9E" w:rsidP="00C35E46" w14:paraId="3A123321" w14:textId="77777777">
            <w:pPr>
              <w:widowControl/>
              <w:autoSpaceDE/>
              <w:autoSpaceDN/>
              <w:adjustRightInd/>
              <w:jc w:val="center"/>
              <w:rPr>
                <w:b w:val="0"/>
                <w:bCs w:val="0"/>
                <w:color w:val="000000"/>
                <w:sz w:val="24"/>
                <w:szCs w:val="24"/>
              </w:rPr>
            </w:pPr>
            <w:r w:rsidRPr="004E7E9E">
              <w:rPr>
                <w:b w:val="0"/>
                <w:bCs w:val="0"/>
                <w:color w:val="000000"/>
                <w:sz w:val="24"/>
                <w:szCs w:val="24"/>
              </w:rPr>
              <w:t>$4,085</w:t>
            </w:r>
          </w:p>
        </w:tc>
      </w:tr>
      <w:tr w14:paraId="7F559C6C" w14:textId="77777777" w:rsidTr="00614FE3">
        <w:tblPrEx>
          <w:tblW w:w="11195" w:type="dxa"/>
          <w:tblInd w:w="-635" w:type="dxa"/>
          <w:tblLayout w:type="fixed"/>
          <w:tblLook w:val="04A0"/>
        </w:tblPrEx>
        <w:trPr>
          <w:gridAfter w:val="1"/>
          <w:wAfter w:w="8" w:type="dxa"/>
          <w:trHeight w:val="523"/>
        </w:trPr>
        <w:tc>
          <w:tcPr>
            <w:tcW w:w="11187" w:type="dxa"/>
            <w:gridSpan w:val="8"/>
            <w:tcBorders>
              <w:top w:val="nil"/>
              <w:left w:val="single" w:sz="4" w:space="0" w:color="auto"/>
              <w:bottom w:val="single" w:sz="4" w:space="0" w:color="auto"/>
              <w:right w:val="single" w:sz="4" w:space="0" w:color="auto"/>
            </w:tcBorders>
            <w:vAlign w:val="center"/>
          </w:tcPr>
          <w:p w:rsidR="00B60B9F" w:rsidRPr="002C0B59" w:rsidP="002C0B59" w14:paraId="7995B535" w14:textId="2AF41126">
            <w:pPr>
              <w:widowControl/>
              <w:autoSpaceDE/>
              <w:autoSpaceDN/>
              <w:adjustRightInd/>
              <w:rPr>
                <w:i/>
                <w:iCs/>
                <w:color w:val="000000"/>
                <w:sz w:val="24"/>
                <w:szCs w:val="24"/>
                <w:u w:val="single"/>
              </w:rPr>
            </w:pPr>
            <w:r w:rsidRPr="002C0B59">
              <w:rPr>
                <w:i/>
                <w:iCs/>
                <w:color w:val="000000"/>
                <w:sz w:val="24"/>
                <w:szCs w:val="24"/>
                <w:u w:val="single"/>
              </w:rPr>
              <w:t>Self-insured group health plans document the basis for determination on whether to terminate or continue the service contract or arrangement, after PBMs has not responded in 90 days</w:t>
            </w:r>
          </w:p>
        </w:tc>
      </w:tr>
      <w:tr w14:paraId="4BB5E85B" w14:textId="77777777" w:rsidTr="00614FE3">
        <w:tblPrEx>
          <w:tblW w:w="11195" w:type="dxa"/>
          <w:tblInd w:w="-635" w:type="dxa"/>
          <w:tblLayout w:type="fixed"/>
          <w:tblLook w:val="04A0"/>
        </w:tblPrEx>
        <w:trPr>
          <w:gridAfter w:val="1"/>
          <w:wAfter w:w="8" w:type="dxa"/>
          <w:trHeight w:val="523"/>
        </w:trPr>
        <w:tc>
          <w:tcPr>
            <w:tcW w:w="1800" w:type="dxa"/>
            <w:tcBorders>
              <w:top w:val="single" w:sz="4" w:space="0" w:color="auto"/>
              <w:left w:val="single" w:sz="4" w:space="0" w:color="auto"/>
              <w:bottom w:val="single" w:sz="4" w:space="0" w:color="auto"/>
              <w:right w:val="single" w:sz="4" w:space="0" w:color="auto"/>
            </w:tcBorders>
            <w:vAlign w:val="center"/>
          </w:tcPr>
          <w:p w:rsidR="009E4B50" w:rsidRPr="004E7E9E" w:rsidP="009E4B50" w14:paraId="08538621" w14:textId="2F796A11">
            <w:pPr>
              <w:widowControl/>
              <w:autoSpaceDE/>
              <w:autoSpaceDN/>
              <w:adjustRightInd/>
              <w:rPr>
                <w:b w:val="0"/>
                <w:bCs w:val="0"/>
                <w:sz w:val="24"/>
                <w:szCs w:val="24"/>
              </w:rPr>
            </w:pPr>
            <w:r w:rsidRPr="009E4B50">
              <w:rPr>
                <w:b w:val="0"/>
                <w:bCs w:val="0"/>
                <w:sz w:val="24"/>
                <w:szCs w:val="24"/>
              </w:rPr>
              <w:t>Benefits specialists prepare and send request</w:t>
            </w:r>
          </w:p>
        </w:tc>
        <w:tc>
          <w:tcPr>
            <w:tcW w:w="1523" w:type="dxa"/>
            <w:tcBorders>
              <w:top w:val="single" w:sz="4" w:space="0" w:color="auto"/>
              <w:left w:val="nil"/>
              <w:bottom w:val="single" w:sz="4" w:space="0" w:color="auto"/>
              <w:right w:val="single" w:sz="4" w:space="0" w:color="auto"/>
            </w:tcBorders>
            <w:vAlign w:val="center"/>
          </w:tcPr>
          <w:p w:rsidR="009E4B50" w:rsidRPr="004E7E9E" w:rsidP="009E4B50" w14:paraId="074D4934" w14:textId="240475F0">
            <w:pPr>
              <w:widowControl/>
              <w:autoSpaceDE/>
              <w:autoSpaceDN/>
              <w:adjustRightInd/>
              <w:jc w:val="center"/>
              <w:rPr>
                <w:b w:val="0"/>
                <w:bCs w:val="0"/>
                <w:sz w:val="24"/>
                <w:szCs w:val="24"/>
              </w:rPr>
            </w:pPr>
            <w:r>
              <w:rPr>
                <w:b w:val="0"/>
                <w:bCs w:val="0"/>
                <w:sz w:val="24"/>
                <w:szCs w:val="24"/>
              </w:rPr>
              <w:t>10</w:t>
            </w:r>
          </w:p>
        </w:tc>
        <w:tc>
          <w:tcPr>
            <w:tcW w:w="1430" w:type="dxa"/>
            <w:tcBorders>
              <w:top w:val="single" w:sz="4" w:space="0" w:color="auto"/>
              <w:left w:val="nil"/>
              <w:bottom w:val="single" w:sz="4" w:space="0" w:color="auto"/>
              <w:right w:val="single" w:sz="4" w:space="0" w:color="auto"/>
            </w:tcBorders>
            <w:vAlign w:val="center"/>
          </w:tcPr>
          <w:p w:rsidR="009E4B50" w:rsidRPr="004E7E9E" w:rsidP="009E4B50" w14:paraId="3AFDFF9F" w14:textId="5A2D315B">
            <w:pPr>
              <w:widowControl/>
              <w:autoSpaceDE/>
              <w:autoSpaceDN/>
              <w:adjustRightInd/>
              <w:jc w:val="center"/>
              <w:rPr>
                <w:b w:val="0"/>
                <w:bCs w:val="0"/>
                <w:color w:val="000000"/>
                <w:sz w:val="24"/>
                <w:szCs w:val="24"/>
              </w:rPr>
            </w:pPr>
            <w:r>
              <w:rPr>
                <w:b w:val="0"/>
                <w:bCs w:val="0"/>
                <w:color w:val="000000"/>
                <w:sz w:val="24"/>
                <w:szCs w:val="24"/>
              </w:rPr>
              <w:t>1</w:t>
            </w:r>
          </w:p>
        </w:tc>
        <w:tc>
          <w:tcPr>
            <w:tcW w:w="1270" w:type="dxa"/>
            <w:tcBorders>
              <w:top w:val="single" w:sz="4" w:space="0" w:color="auto"/>
              <w:left w:val="nil"/>
              <w:bottom w:val="single" w:sz="4" w:space="0" w:color="auto"/>
              <w:right w:val="single" w:sz="4" w:space="0" w:color="auto"/>
            </w:tcBorders>
            <w:vAlign w:val="center"/>
          </w:tcPr>
          <w:p w:rsidR="009E4B50" w:rsidRPr="004E7E9E" w:rsidP="009E4B50" w14:paraId="3D444549" w14:textId="1F45C70B">
            <w:pPr>
              <w:widowControl/>
              <w:autoSpaceDE/>
              <w:autoSpaceDN/>
              <w:adjustRightInd/>
              <w:jc w:val="center"/>
              <w:rPr>
                <w:b w:val="0"/>
                <w:bCs w:val="0"/>
                <w:sz w:val="24"/>
                <w:szCs w:val="24"/>
              </w:rPr>
            </w:pPr>
            <w:r>
              <w:rPr>
                <w:b w:val="0"/>
                <w:bCs w:val="0"/>
                <w:sz w:val="24"/>
                <w:szCs w:val="24"/>
              </w:rPr>
              <w:t>10</w:t>
            </w:r>
          </w:p>
        </w:tc>
        <w:tc>
          <w:tcPr>
            <w:tcW w:w="1076" w:type="dxa"/>
            <w:tcBorders>
              <w:top w:val="single" w:sz="4" w:space="0" w:color="auto"/>
              <w:left w:val="nil"/>
              <w:bottom w:val="single" w:sz="4" w:space="0" w:color="auto"/>
              <w:right w:val="single" w:sz="4" w:space="0" w:color="auto"/>
            </w:tcBorders>
            <w:vAlign w:val="center"/>
          </w:tcPr>
          <w:p w:rsidR="009E4B50" w:rsidRPr="004E7E9E" w:rsidP="009E4B50" w14:paraId="7F22E924" w14:textId="7CBDC371">
            <w:pPr>
              <w:widowControl/>
              <w:autoSpaceDE/>
              <w:autoSpaceDN/>
              <w:adjustRightInd/>
              <w:jc w:val="center"/>
              <w:rPr>
                <w:b w:val="0"/>
                <w:bCs w:val="0"/>
                <w:color w:val="000000"/>
                <w:sz w:val="24"/>
                <w:szCs w:val="24"/>
              </w:rPr>
            </w:pPr>
            <w:r w:rsidRPr="004E7E9E">
              <w:rPr>
                <w:b w:val="0"/>
                <w:bCs w:val="0"/>
                <w:color w:val="000000"/>
                <w:sz w:val="24"/>
                <w:szCs w:val="24"/>
              </w:rPr>
              <w:t>0.25</w:t>
            </w:r>
          </w:p>
        </w:tc>
        <w:tc>
          <w:tcPr>
            <w:tcW w:w="1076" w:type="dxa"/>
            <w:tcBorders>
              <w:top w:val="single" w:sz="4" w:space="0" w:color="auto"/>
              <w:left w:val="nil"/>
              <w:bottom w:val="single" w:sz="4" w:space="0" w:color="auto"/>
              <w:right w:val="single" w:sz="4" w:space="0" w:color="auto"/>
            </w:tcBorders>
            <w:vAlign w:val="center"/>
          </w:tcPr>
          <w:p w:rsidR="009E4B50" w:rsidRPr="004E7E9E" w:rsidP="009E4B50" w14:paraId="7957124B" w14:textId="16FFADFB">
            <w:pPr>
              <w:widowControl/>
              <w:autoSpaceDE/>
              <w:autoSpaceDN/>
              <w:adjustRightInd/>
              <w:jc w:val="center"/>
              <w:rPr>
                <w:b w:val="0"/>
                <w:bCs w:val="0"/>
                <w:color w:val="000000"/>
                <w:sz w:val="24"/>
                <w:szCs w:val="24"/>
              </w:rPr>
            </w:pPr>
            <w:r w:rsidRPr="004E7E9E">
              <w:rPr>
                <w:b w:val="0"/>
                <w:bCs w:val="0"/>
                <w:color w:val="000000"/>
                <w:sz w:val="24"/>
                <w:szCs w:val="24"/>
              </w:rPr>
              <w:t>3</w:t>
            </w:r>
          </w:p>
        </w:tc>
        <w:tc>
          <w:tcPr>
            <w:tcW w:w="1596" w:type="dxa"/>
            <w:tcBorders>
              <w:top w:val="single" w:sz="4" w:space="0" w:color="auto"/>
              <w:left w:val="nil"/>
              <w:bottom w:val="single" w:sz="4" w:space="0" w:color="auto"/>
              <w:right w:val="single" w:sz="4" w:space="0" w:color="auto"/>
            </w:tcBorders>
            <w:vAlign w:val="center"/>
          </w:tcPr>
          <w:p w:rsidR="009E4B50" w:rsidRPr="004E7E9E" w:rsidP="009E4B50" w14:paraId="1C65D025" w14:textId="69C22742">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single" w:sz="4" w:space="0" w:color="auto"/>
              <w:left w:val="nil"/>
              <w:bottom w:val="single" w:sz="4" w:space="0" w:color="auto"/>
              <w:right w:val="single" w:sz="4" w:space="0" w:color="auto"/>
            </w:tcBorders>
            <w:vAlign w:val="center"/>
          </w:tcPr>
          <w:p w:rsidR="009E4B50" w:rsidRPr="004E7E9E" w:rsidP="009E4B50" w14:paraId="08EEC987" w14:textId="58690E34">
            <w:pPr>
              <w:widowControl/>
              <w:autoSpaceDE/>
              <w:autoSpaceDN/>
              <w:adjustRightInd/>
              <w:jc w:val="center"/>
              <w:rPr>
                <w:b w:val="0"/>
                <w:bCs w:val="0"/>
                <w:color w:val="000000"/>
                <w:sz w:val="24"/>
                <w:szCs w:val="24"/>
              </w:rPr>
            </w:pPr>
            <w:r w:rsidRPr="004E7E9E">
              <w:rPr>
                <w:b w:val="0"/>
                <w:bCs w:val="0"/>
                <w:color w:val="000000"/>
                <w:sz w:val="24"/>
                <w:szCs w:val="24"/>
              </w:rPr>
              <w:t>$312</w:t>
            </w:r>
          </w:p>
        </w:tc>
      </w:tr>
      <w:tr w14:paraId="4893CB5B" w14:textId="77777777" w:rsidTr="004E7E9E">
        <w:tblPrEx>
          <w:tblW w:w="11195" w:type="dxa"/>
          <w:tblInd w:w="-635" w:type="dxa"/>
          <w:tblLayout w:type="fixed"/>
          <w:tblLook w:val="04A0"/>
        </w:tblPrEx>
        <w:trPr>
          <w:trHeight w:val="290"/>
        </w:trPr>
        <w:tc>
          <w:tcPr>
            <w:tcW w:w="11195" w:type="dxa"/>
            <w:gridSpan w:val="9"/>
            <w:tcBorders>
              <w:top w:val="single" w:sz="4" w:space="0" w:color="auto"/>
              <w:left w:val="single" w:sz="4" w:space="0" w:color="auto"/>
              <w:bottom w:val="single" w:sz="4" w:space="0" w:color="auto"/>
              <w:right w:val="single" w:sz="4" w:space="0" w:color="000000"/>
            </w:tcBorders>
            <w:noWrap/>
            <w:vAlign w:val="bottom"/>
            <w:hideMark/>
          </w:tcPr>
          <w:p w:rsidR="009E4B50" w:rsidRPr="004E7E9E" w:rsidP="009E4B50" w14:paraId="4B25A502" w14:textId="77777777">
            <w:pPr>
              <w:widowControl/>
              <w:autoSpaceDE/>
              <w:autoSpaceDN/>
              <w:adjustRightInd/>
              <w:rPr>
                <w:i/>
                <w:iCs/>
                <w:sz w:val="24"/>
                <w:szCs w:val="24"/>
                <w:u w:val="single"/>
              </w:rPr>
            </w:pPr>
            <w:r w:rsidRPr="004E7E9E">
              <w:rPr>
                <w:i/>
                <w:iCs/>
                <w:sz w:val="24"/>
                <w:szCs w:val="24"/>
                <w:u w:val="single"/>
              </w:rPr>
              <w:t xml:space="preserve">Self-insured group health plans send notice to DOL after the PBM has not </w:t>
            </w:r>
            <w:r w:rsidRPr="004E7E9E">
              <w:rPr>
                <w:i/>
                <w:iCs/>
                <w:sz w:val="24"/>
                <w:szCs w:val="24"/>
                <w:u w:val="single"/>
              </w:rPr>
              <w:t>responded</w:t>
            </w:r>
            <w:r w:rsidRPr="004E7E9E">
              <w:rPr>
                <w:i/>
                <w:iCs/>
                <w:sz w:val="24"/>
                <w:szCs w:val="24"/>
                <w:u w:val="single"/>
              </w:rPr>
              <w:t xml:space="preserve"> within 90 days</w:t>
            </w:r>
          </w:p>
        </w:tc>
      </w:tr>
      <w:tr w14:paraId="721CF20B" w14:textId="77777777" w:rsidTr="004E7E9E">
        <w:tblPrEx>
          <w:tblW w:w="11195" w:type="dxa"/>
          <w:tblInd w:w="-635" w:type="dxa"/>
          <w:tblLayout w:type="fixed"/>
          <w:tblLook w:val="04A0"/>
        </w:tblPrEx>
        <w:trPr>
          <w:gridAfter w:val="1"/>
          <w:wAfter w:w="8" w:type="dxa"/>
          <w:trHeight w:val="583"/>
        </w:trPr>
        <w:tc>
          <w:tcPr>
            <w:tcW w:w="1800" w:type="dxa"/>
            <w:tcBorders>
              <w:top w:val="nil"/>
              <w:left w:val="single" w:sz="4" w:space="0" w:color="auto"/>
              <w:bottom w:val="single" w:sz="4" w:space="0" w:color="auto"/>
              <w:right w:val="single" w:sz="4" w:space="0" w:color="auto"/>
            </w:tcBorders>
            <w:vAlign w:val="bottom"/>
            <w:hideMark/>
          </w:tcPr>
          <w:p w:rsidR="009E4B50" w:rsidRPr="004E7E9E" w:rsidP="009E4B50" w14:paraId="68ED482F" w14:textId="77777777">
            <w:pPr>
              <w:widowControl/>
              <w:autoSpaceDE/>
              <w:autoSpaceDN/>
              <w:adjustRightInd/>
              <w:rPr>
                <w:b w:val="0"/>
                <w:bCs w:val="0"/>
                <w:sz w:val="24"/>
                <w:szCs w:val="24"/>
              </w:rPr>
            </w:pPr>
            <w:r w:rsidRPr="004E7E9E">
              <w:rPr>
                <w:b w:val="0"/>
                <w:bCs w:val="0"/>
                <w:sz w:val="24"/>
                <w:szCs w:val="24"/>
              </w:rPr>
              <w:t xml:space="preserve">Benefits specialist prepares notice </w:t>
            </w:r>
          </w:p>
        </w:tc>
        <w:tc>
          <w:tcPr>
            <w:tcW w:w="1523" w:type="dxa"/>
            <w:tcBorders>
              <w:top w:val="nil"/>
              <w:left w:val="nil"/>
              <w:bottom w:val="single" w:sz="4" w:space="0" w:color="auto"/>
              <w:right w:val="single" w:sz="4" w:space="0" w:color="auto"/>
            </w:tcBorders>
            <w:vAlign w:val="center"/>
            <w:hideMark/>
          </w:tcPr>
          <w:p w:rsidR="009E4B50" w:rsidRPr="004E7E9E" w:rsidP="009E4B50" w14:paraId="71F72304" w14:textId="77777777">
            <w:pPr>
              <w:widowControl/>
              <w:autoSpaceDE/>
              <w:autoSpaceDN/>
              <w:adjustRightInd/>
              <w:jc w:val="center"/>
              <w:rPr>
                <w:b w:val="0"/>
                <w:bCs w:val="0"/>
                <w:sz w:val="24"/>
                <w:szCs w:val="24"/>
              </w:rPr>
            </w:pPr>
            <w:r w:rsidRPr="004E7E9E">
              <w:rPr>
                <w:b w:val="0"/>
                <w:bCs w:val="0"/>
                <w:sz w:val="24"/>
                <w:szCs w:val="24"/>
              </w:rPr>
              <w:t>10</w:t>
            </w:r>
          </w:p>
        </w:tc>
        <w:tc>
          <w:tcPr>
            <w:tcW w:w="1430" w:type="dxa"/>
            <w:tcBorders>
              <w:top w:val="nil"/>
              <w:left w:val="nil"/>
              <w:bottom w:val="single" w:sz="4" w:space="0" w:color="auto"/>
              <w:right w:val="single" w:sz="4" w:space="0" w:color="auto"/>
            </w:tcBorders>
            <w:vAlign w:val="center"/>
            <w:hideMark/>
          </w:tcPr>
          <w:p w:rsidR="009E4B50" w:rsidRPr="004E7E9E" w:rsidP="009E4B50" w14:paraId="31073888" w14:textId="77777777">
            <w:pPr>
              <w:widowControl/>
              <w:autoSpaceDE/>
              <w:autoSpaceDN/>
              <w:adjustRightInd/>
              <w:jc w:val="center"/>
              <w:rPr>
                <w:b w:val="0"/>
                <w:bCs w:val="0"/>
                <w:color w:val="000000"/>
                <w:sz w:val="24"/>
                <w:szCs w:val="24"/>
              </w:rPr>
            </w:pPr>
            <w:r w:rsidRPr="004E7E9E">
              <w:rPr>
                <w:b w:val="0"/>
                <w:bCs w:val="0"/>
                <w:color w:val="000000"/>
                <w:sz w:val="24"/>
                <w:szCs w:val="24"/>
              </w:rPr>
              <w:t>1</w:t>
            </w:r>
          </w:p>
        </w:tc>
        <w:tc>
          <w:tcPr>
            <w:tcW w:w="1270" w:type="dxa"/>
            <w:tcBorders>
              <w:top w:val="nil"/>
              <w:left w:val="nil"/>
              <w:bottom w:val="single" w:sz="4" w:space="0" w:color="auto"/>
              <w:right w:val="single" w:sz="4" w:space="0" w:color="auto"/>
            </w:tcBorders>
            <w:vAlign w:val="center"/>
            <w:hideMark/>
          </w:tcPr>
          <w:p w:rsidR="009E4B50" w:rsidRPr="004E7E9E" w:rsidP="009E4B50" w14:paraId="7D10786B" w14:textId="77777777">
            <w:pPr>
              <w:widowControl/>
              <w:autoSpaceDE/>
              <w:autoSpaceDN/>
              <w:adjustRightInd/>
              <w:jc w:val="center"/>
              <w:rPr>
                <w:b w:val="0"/>
                <w:bCs w:val="0"/>
                <w:sz w:val="24"/>
                <w:szCs w:val="24"/>
              </w:rPr>
            </w:pPr>
            <w:r w:rsidRPr="004E7E9E">
              <w:rPr>
                <w:b w:val="0"/>
                <w:bCs w:val="0"/>
                <w:sz w:val="24"/>
                <w:szCs w:val="24"/>
              </w:rPr>
              <w:t>10</w:t>
            </w:r>
          </w:p>
        </w:tc>
        <w:tc>
          <w:tcPr>
            <w:tcW w:w="1076" w:type="dxa"/>
            <w:tcBorders>
              <w:top w:val="nil"/>
              <w:left w:val="nil"/>
              <w:bottom w:val="single" w:sz="4" w:space="0" w:color="auto"/>
              <w:right w:val="single" w:sz="4" w:space="0" w:color="auto"/>
            </w:tcBorders>
            <w:vAlign w:val="center"/>
            <w:hideMark/>
          </w:tcPr>
          <w:p w:rsidR="009E4B50" w:rsidRPr="004E7E9E" w:rsidP="009E4B50" w14:paraId="7BE897DB" w14:textId="77777777">
            <w:pPr>
              <w:widowControl/>
              <w:autoSpaceDE/>
              <w:autoSpaceDN/>
              <w:adjustRightInd/>
              <w:jc w:val="center"/>
              <w:rPr>
                <w:b w:val="0"/>
                <w:bCs w:val="0"/>
                <w:color w:val="000000"/>
                <w:sz w:val="24"/>
                <w:szCs w:val="24"/>
              </w:rPr>
            </w:pPr>
            <w:r w:rsidRPr="004E7E9E">
              <w:rPr>
                <w:b w:val="0"/>
                <w:bCs w:val="0"/>
                <w:color w:val="000000"/>
                <w:sz w:val="24"/>
                <w:szCs w:val="24"/>
              </w:rPr>
              <w:t>0.25</w:t>
            </w:r>
          </w:p>
        </w:tc>
        <w:tc>
          <w:tcPr>
            <w:tcW w:w="1076" w:type="dxa"/>
            <w:tcBorders>
              <w:top w:val="nil"/>
              <w:left w:val="nil"/>
              <w:bottom w:val="single" w:sz="4" w:space="0" w:color="auto"/>
              <w:right w:val="single" w:sz="4" w:space="0" w:color="auto"/>
            </w:tcBorders>
            <w:vAlign w:val="center"/>
            <w:hideMark/>
          </w:tcPr>
          <w:p w:rsidR="009E4B50" w:rsidRPr="004E7E9E" w:rsidP="009E4B50" w14:paraId="2516977C" w14:textId="77777777">
            <w:pPr>
              <w:widowControl/>
              <w:autoSpaceDE/>
              <w:autoSpaceDN/>
              <w:adjustRightInd/>
              <w:jc w:val="center"/>
              <w:rPr>
                <w:b w:val="0"/>
                <w:bCs w:val="0"/>
                <w:color w:val="000000"/>
                <w:sz w:val="24"/>
                <w:szCs w:val="24"/>
              </w:rPr>
            </w:pPr>
            <w:r w:rsidRPr="004E7E9E">
              <w:rPr>
                <w:b w:val="0"/>
                <w:bCs w:val="0"/>
                <w:color w:val="000000"/>
                <w:sz w:val="24"/>
                <w:szCs w:val="24"/>
              </w:rPr>
              <w:t>3</w:t>
            </w:r>
          </w:p>
        </w:tc>
        <w:tc>
          <w:tcPr>
            <w:tcW w:w="1596" w:type="dxa"/>
            <w:tcBorders>
              <w:top w:val="nil"/>
              <w:left w:val="nil"/>
              <w:bottom w:val="single" w:sz="4" w:space="0" w:color="auto"/>
              <w:right w:val="single" w:sz="4" w:space="0" w:color="auto"/>
            </w:tcBorders>
            <w:vAlign w:val="center"/>
            <w:hideMark/>
          </w:tcPr>
          <w:p w:rsidR="009E4B50" w:rsidRPr="004E7E9E" w:rsidP="009E4B50" w14:paraId="6EBE2B50" w14:textId="77777777">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nil"/>
              <w:left w:val="nil"/>
              <w:bottom w:val="single" w:sz="4" w:space="0" w:color="auto"/>
              <w:right w:val="single" w:sz="4" w:space="0" w:color="auto"/>
            </w:tcBorders>
            <w:vAlign w:val="center"/>
            <w:hideMark/>
          </w:tcPr>
          <w:p w:rsidR="009E4B50" w:rsidRPr="004E7E9E" w:rsidP="009E4B50" w14:paraId="10908FE8" w14:textId="77777777">
            <w:pPr>
              <w:widowControl/>
              <w:autoSpaceDE/>
              <w:autoSpaceDN/>
              <w:adjustRightInd/>
              <w:jc w:val="center"/>
              <w:rPr>
                <w:b w:val="0"/>
                <w:bCs w:val="0"/>
                <w:color w:val="000000"/>
                <w:sz w:val="24"/>
                <w:szCs w:val="24"/>
              </w:rPr>
            </w:pPr>
            <w:r w:rsidRPr="004E7E9E">
              <w:rPr>
                <w:b w:val="0"/>
                <w:bCs w:val="0"/>
                <w:color w:val="000000"/>
                <w:sz w:val="24"/>
                <w:szCs w:val="24"/>
              </w:rPr>
              <w:t>$312</w:t>
            </w:r>
          </w:p>
        </w:tc>
      </w:tr>
      <w:tr w14:paraId="4391FF01" w14:textId="77777777" w:rsidTr="004E7E9E">
        <w:tblPrEx>
          <w:tblW w:w="11195" w:type="dxa"/>
          <w:tblInd w:w="-635" w:type="dxa"/>
          <w:tblLayout w:type="fixed"/>
          <w:tblLook w:val="04A0"/>
        </w:tblPrEx>
        <w:trPr>
          <w:trHeight w:val="300"/>
        </w:trPr>
        <w:tc>
          <w:tcPr>
            <w:tcW w:w="11195" w:type="dxa"/>
            <w:gridSpan w:val="9"/>
            <w:tcBorders>
              <w:top w:val="single" w:sz="4" w:space="0" w:color="auto"/>
              <w:left w:val="single" w:sz="4" w:space="0" w:color="auto"/>
              <w:bottom w:val="single" w:sz="4" w:space="0" w:color="auto"/>
              <w:right w:val="single" w:sz="4" w:space="0" w:color="000000"/>
            </w:tcBorders>
            <w:vAlign w:val="bottom"/>
            <w:hideMark/>
          </w:tcPr>
          <w:p w:rsidR="009E4B50" w:rsidRPr="004E7E9E" w:rsidP="009E4B50" w14:paraId="5B7E8B40" w14:textId="77777777">
            <w:pPr>
              <w:widowControl/>
              <w:autoSpaceDE/>
              <w:autoSpaceDN/>
              <w:adjustRightInd/>
              <w:rPr>
                <w:sz w:val="24"/>
                <w:szCs w:val="24"/>
                <w:u w:val="single"/>
              </w:rPr>
            </w:pPr>
            <w:r w:rsidRPr="004E7E9E">
              <w:rPr>
                <w:sz w:val="24"/>
                <w:szCs w:val="24"/>
                <w:u w:val="single"/>
              </w:rPr>
              <w:t>(3) Audit Costs</w:t>
            </w:r>
          </w:p>
        </w:tc>
      </w:tr>
      <w:tr w14:paraId="555A7FC3" w14:textId="77777777" w:rsidTr="004E7E9E">
        <w:tblPrEx>
          <w:tblW w:w="11195" w:type="dxa"/>
          <w:tblInd w:w="-635" w:type="dxa"/>
          <w:tblLayout w:type="fixed"/>
          <w:tblLook w:val="04A0"/>
        </w:tblPrEx>
        <w:trPr>
          <w:trHeight w:val="300"/>
        </w:trPr>
        <w:tc>
          <w:tcPr>
            <w:tcW w:w="11195" w:type="dxa"/>
            <w:gridSpan w:val="9"/>
            <w:tcBorders>
              <w:top w:val="single" w:sz="4" w:space="0" w:color="auto"/>
              <w:left w:val="single" w:sz="4" w:space="0" w:color="auto"/>
              <w:bottom w:val="single" w:sz="4" w:space="0" w:color="auto"/>
              <w:right w:val="single" w:sz="4" w:space="0" w:color="000000"/>
            </w:tcBorders>
            <w:vAlign w:val="bottom"/>
            <w:hideMark/>
          </w:tcPr>
          <w:p w:rsidR="009E4B50" w:rsidRPr="004E7E9E" w:rsidP="009E4B50" w14:paraId="52F0A11A" w14:textId="5C2AF431">
            <w:pPr>
              <w:widowControl/>
              <w:autoSpaceDE/>
              <w:autoSpaceDN/>
              <w:adjustRightInd/>
              <w:rPr>
                <w:sz w:val="24"/>
                <w:szCs w:val="24"/>
                <w:u w:val="single"/>
              </w:rPr>
            </w:pPr>
            <w:r w:rsidRPr="004E7E9E">
              <w:rPr>
                <w:sz w:val="24"/>
                <w:szCs w:val="24"/>
                <w:u w:val="single"/>
              </w:rPr>
              <w:t>(A) Self-insured group health plans with 100 or more participants and beneficiaries send audit request</w:t>
            </w:r>
          </w:p>
        </w:tc>
      </w:tr>
      <w:tr w14:paraId="4774408F" w14:textId="77777777" w:rsidTr="004E7E9E">
        <w:tblPrEx>
          <w:tblW w:w="11195" w:type="dxa"/>
          <w:tblInd w:w="-635" w:type="dxa"/>
          <w:tblLayout w:type="fixed"/>
          <w:tblLook w:val="04A0"/>
        </w:tblPrEx>
        <w:trPr>
          <w:gridAfter w:val="1"/>
          <w:wAfter w:w="8" w:type="dxa"/>
          <w:trHeight w:val="583"/>
        </w:trPr>
        <w:tc>
          <w:tcPr>
            <w:tcW w:w="1800" w:type="dxa"/>
            <w:tcBorders>
              <w:top w:val="nil"/>
              <w:left w:val="single" w:sz="4" w:space="0" w:color="auto"/>
              <w:bottom w:val="single" w:sz="4" w:space="0" w:color="auto"/>
              <w:right w:val="single" w:sz="4" w:space="0" w:color="auto"/>
            </w:tcBorders>
            <w:vAlign w:val="bottom"/>
            <w:hideMark/>
          </w:tcPr>
          <w:p w:rsidR="009E4B50" w:rsidRPr="004E7E9E" w:rsidP="009E4B50" w14:paraId="0BE44604" w14:textId="77777777">
            <w:pPr>
              <w:widowControl/>
              <w:autoSpaceDE/>
              <w:autoSpaceDN/>
              <w:adjustRightInd/>
              <w:rPr>
                <w:b w:val="0"/>
                <w:bCs w:val="0"/>
                <w:sz w:val="24"/>
                <w:szCs w:val="24"/>
              </w:rPr>
            </w:pPr>
            <w:r w:rsidRPr="004E7E9E">
              <w:rPr>
                <w:b w:val="0"/>
                <w:bCs w:val="0"/>
                <w:sz w:val="24"/>
                <w:szCs w:val="24"/>
              </w:rPr>
              <w:t>Benefit specialists prepare and send audit request</w:t>
            </w:r>
          </w:p>
        </w:tc>
        <w:tc>
          <w:tcPr>
            <w:tcW w:w="1523" w:type="dxa"/>
            <w:tcBorders>
              <w:top w:val="nil"/>
              <w:left w:val="nil"/>
              <w:bottom w:val="single" w:sz="4" w:space="0" w:color="auto"/>
              <w:right w:val="single" w:sz="4" w:space="0" w:color="auto"/>
            </w:tcBorders>
            <w:vAlign w:val="center"/>
            <w:hideMark/>
          </w:tcPr>
          <w:p w:rsidR="009E4B50" w:rsidRPr="004E7E9E" w:rsidP="009E4B50" w14:paraId="4F5EC9B0" w14:textId="77777777">
            <w:pPr>
              <w:widowControl/>
              <w:autoSpaceDE/>
              <w:autoSpaceDN/>
              <w:adjustRightInd/>
              <w:jc w:val="center"/>
              <w:rPr>
                <w:b w:val="0"/>
                <w:bCs w:val="0"/>
                <w:sz w:val="24"/>
                <w:szCs w:val="24"/>
              </w:rPr>
            </w:pPr>
            <w:r w:rsidRPr="004E7E9E">
              <w:rPr>
                <w:b w:val="0"/>
                <w:bCs w:val="0"/>
                <w:sz w:val="24"/>
                <w:szCs w:val="24"/>
              </w:rPr>
              <w:t>10</w:t>
            </w:r>
          </w:p>
        </w:tc>
        <w:tc>
          <w:tcPr>
            <w:tcW w:w="1430" w:type="dxa"/>
            <w:tcBorders>
              <w:top w:val="nil"/>
              <w:left w:val="nil"/>
              <w:bottom w:val="single" w:sz="4" w:space="0" w:color="auto"/>
              <w:right w:val="single" w:sz="4" w:space="0" w:color="auto"/>
            </w:tcBorders>
            <w:vAlign w:val="center"/>
            <w:hideMark/>
          </w:tcPr>
          <w:p w:rsidR="009E4B50" w:rsidRPr="004E7E9E" w:rsidP="009E4B50" w14:paraId="026C54A9" w14:textId="77777777">
            <w:pPr>
              <w:widowControl/>
              <w:autoSpaceDE/>
              <w:autoSpaceDN/>
              <w:adjustRightInd/>
              <w:jc w:val="center"/>
              <w:rPr>
                <w:b w:val="0"/>
                <w:bCs w:val="0"/>
                <w:color w:val="000000"/>
                <w:sz w:val="24"/>
                <w:szCs w:val="24"/>
              </w:rPr>
            </w:pPr>
            <w:r w:rsidRPr="004E7E9E">
              <w:rPr>
                <w:b w:val="0"/>
                <w:bCs w:val="0"/>
                <w:color w:val="000000"/>
                <w:sz w:val="24"/>
                <w:szCs w:val="24"/>
              </w:rPr>
              <w:t>4,370.10</w:t>
            </w:r>
          </w:p>
        </w:tc>
        <w:tc>
          <w:tcPr>
            <w:tcW w:w="1270" w:type="dxa"/>
            <w:tcBorders>
              <w:top w:val="nil"/>
              <w:left w:val="nil"/>
              <w:bottom w:val="single" w:sz="4" w:space="0" w:color="auto"/>
              <w:right w:val="single" w:sz="4" w:space="0" w:color="auto"/>
            </w:tcBorders>
            <w:vAlign w:val="center"/>
            <w:hideMark/>
          </w:tcPr>
          <w:p w:rsidR="009E4B50" w:rsidRPr="004E7E9E" w:rsidP="009E4B50" w14:paraId="10F88434" w14:textId="77777777">
            <w:pPr>
              <w:widowControl/>
              <w:autoSpaceDE/>
              <w:autoSpaceDN/>
              <w:adjustRightInd/>
              <w:jc w:val="center"/>
              <w:rPr>
                <w:b w:val="0"/>
                <w:bCs w:val="0"/>
                <w:sz w:val="24"/>
                <w:szCs w:val="24"/>
              </w:rPr>
            </w:pPr>
            <w:r w:rsidRPr="004E7E9E">
              <w:rPr>
                <w:b w:val="0"/>
                <w:bCs w:val="0"/>
                <w:sz w:val="24"/>
                <w:szCs w:val="24"/>
              </w:rPr>
              <w:t>43,701</w:t>
            </w:r>
          </w:p>
        </w:tc>
        <w:tc>
          <w:tcPr>
            <w:tcW w:w="1076" w:type="dxa"/>
            <w:tcBorders>
              <w:top w:val="nil"/>
              <w:left w:val="nil"/>
              <w:bottom w:val="single" w:sz="4" w:space="0" w:color="auto"/>
              <w:right w:val="single" w:sz="4" w:space="0" w:color="auto"/>
            </w:tcBorders>
            <w:vAlign w:val="center"/>
            <w:hideMark/>
          </w:tcPr>
          <w:p w:rsidR="009E4B50" w:rsidRPr="004E7E9E" w:rsidP="009E4B50" w14:paraId="28F48A33" w14:textId="77777777">
            <w:pPr>
              <w:widowControl/>
              <w:autoSpaceDE/>
              <w:autoSpaceDN/>
              <w:adjustRightInd/>
              <w:jc w:val="center"/>
              <w:rPr>
                <w:b w:val="0"/>
                <w:bCs w:val="0"/>
                <w:color w:val="000000"/>
                <w:sz w:val="24"/>
                <w:szCs w:val="24"/>
              </w:rPr>
            </w:pPr>
            <w:r w:rsidRPr="004E7E9E">
              <w:rPr>
                <w:b w:val="0"/>
                <w:bCs w:val="0"/>
                <w:color w:val="000000"/>
                <w:sz w:val="24"/>
                <w:szCs w:val="24"/>
              </w:rPr>
              <w:t>0.50</w:t>
            </w:r>
          </w:p>
        </w:tc>
        <w:tc>
          <w:tcPr>
            <w:tcW w:w="1076" w:type="dxa"/>
            <w:tcBorders>
              <w:top w:val="nil"/>
              <w:left w:val="nil"/>
              <w:bottom w:val="single" w:sz="4" w:space="0" w:color="auto"/>
              <w:right w:val="single" w:sz="4" w:space="0" w:color="auto"/>
            </w:tcBorders>
            <w:vAlign w:val="center"/>
            <w:hideMark/>
          </w:tcPr>
          <w:p w:rsidR="009E4B50" w:rsidRPr="004E7E9E" w:rsidP="009E4B50" w14:paraId="48667FB3" w14:textId="77777777">
            <w:pPr>
              <w:widowControl/>
              <w:autoSpaceDE/>
              <w:autoSpaceDN/>
              <w:adjustRightInd/>
              <w:jc w:val="center"/>
              <w:rPr>
                <w:b w:val="0"/>
                <w:bCs w:val="0"/>
                <w:color w:val="000000"/>
                <w:sz w:val="24"/>
                <w:szCs w:val="24"/>
              </w:rPr>
            </w:pPr>
            <w:r w:rsidRPr="004E7E9E">
              <w:rPr>
                <w:b w:val="0"/>
                <w:bCs w:val="0"/>
                <w:color w:val="000000"/>
                <w:sz w:val="24"/>
                <w:szCs w:val="24"/>
              </w:rPr>
              <w:t>21,851</w:t>
            </w:r>
          </w:p>
        </w:tc>
        <w:tc>
          <w:tcPr>
            <w:tcW w:w="1596" w:type="dxa"/>
            <w:tcBorders>
              <w:top w:val="nil"/>
              <w:left w:val="nil"/>
              <w:bottom w:val="single" w:sz="4" w:space="0" w:color="auto"/>
              <w:right w:val="single" w:sz="4" w:space="0" w:color="auto"/>
            </w:tcBorders>
            <w:vAlign w:val="center"/>
            <w:hideMark/>
          </w:tcPr>
          <w:p w:rsidR="009E4B50" w:rsidRPr="004E7E9E" w:rsidP="009E4B50" w14:paraId="1F3DC035" w14:textId="77777777">
            <w:pPr>
              <w:widowControl/>
              <w:autoSpaceDE/>
              <w:autoSpaceDN/>
              <w:adjustRightInd/>
              <w:jc w:val="center"/>
              <w:rPr>
                <w:b w:val="0"/>
                <w:bCs w:val="0"/>
                <w:color w:val="000000"/>
                <w:sz w:val="24"/>
                <w:szCs w:val="24"/>
              </w:rPr>
            </w:pPr>
            <w:r w:rsidRPr="004E7E9E">
              <w:rPr>
                <w:b w:val="0"/>
                <w:bCs w:val="0"/>
                <w:color w:val="000000"/>
                <w:sz w:val="24"/>
                <w:szCs w:val="24"/>
              </w:rPr>
              <w:t>$124.74</w:t>
            </w:r>
          </w:p>
        </w:tc>
        <w:tc>
          <w:tcPr>
            <w:tcW w:w="1416" w:type="dxa"/>
            <w:tcBorders>
              <w:top w:val="nil"/>
              <w:left w:val="nil"/>
              <w:bottom w:val="single" w:sz="4" w:space="0" w:color="auto"/>
              <w:right w:val="single" w:sz="4" w:space="0" w:color="auto"/>
            </w:tcBorders>
            <w:vAlign w:val="center"/>
            <w:hideMark/>
          </w:tcPr>
          <w:p w:rsidR="009E4B50" w:rsidRPr="004E7E9E" w:rsidP="009E4B50" w14:paraId="1F03845A" w14:textId="77777777">
            <w:pPr>
              <w:widowControl/>
              <w:autoSpaceDE/>
              <w:autoSpaceDN/>
              <w:adjustRightInd/>
              <w:jc w:val="center"/>
              <w:rPr>
                <w:b w:val="0"/>
                <w:bCs w:val="0"/>
                <w:color w:val="000000"/>
                <w:sz w:val="24"/>
                <w:szCs w:val="24"/>
              </w:rPr>
            </w:pPr>
            <w:r w:rsidRPr="004E7E9E">
              <w:rPr>
                <w:b w:val="0"/>
                <w:bCs w:val="0"/>
                <w:color w:val="000000"/>
                <w:sz w:val="24"/>
                <w:szCs w:val="24"/>
              </w:rPr>
              <w:t>$2,725,631</w:t>
            </w:r>
          </w:p>
        </w:tc>
      </w:tr>
      <w:tr w14:paraId="5C25D4A4" w14:textId="77777777" w:rsidTr="004E7E9E">
        <w:tblPrEx>
          <w:tblW w:w="11195" w:type="dxa"/>
          <w:tblInd w:w="-635" w:type="dxa"/>
          <w:tblLayout w:type="fixed"/>
          <w:tblLook w:val="04A0"/>
        </w:tblPrEx>
        <w:trPr>
          <w:trHeight w:val="320"/>
        </w:trPr>
        <w:tc>
          <w:tcPr>
            <w:tcW w:w="11195" w:type="dxa"/>
            <w:gridSpan w:val="9"/>
            <w:tcBorders>
              <w:top w:val="single" w:sz="4" w:space="0" w:color="auto"/>
              <w:left w:val="single" w:sz="4" w:space="0" w:color="auto"/>
              <w:bottom w:val="single" w:sz="4" w:space="0" w:color="auto"/>
              <w:right w:val="single" w:sz="4" w:space="0" w:color="000000"/>
            </w:tcBorders>
            <w:vAlign w:val="bottom"/>
            <w:hideMark/>
          </w:tcPr>
          <w:p w:rsidR="009E4B50" w:rsidRPr="004E7E9E" w:rsidP="009E4B50" w14:paraId="51DD80D2" w14:textId="77777777">
            <w:pPr>
              <w:widowControl/>
              <w:autoSpaceDE/>
              <w:autoSpaceDN/>
              <w:adjustRightInd/>
              <w:rPr>
                <w:sz w:val="24"/>
                <w:szCs w:val="24"/>
                <w:u w:val="single"/>
              </w:rPr>
            </w:pPr>
            <w:r w:rsidRPr="004E7E9E">
              <w:rPr>
                <w:sz w:val="24"/>
                <w:szCs w:val="24"/>
                <w:u w:val="single"/>
              </w:rPr>
              <w:t>(B) PBMs prepare and disclose the needed info for the audit</w:t>
            </w:r>
          </w:p>
        </w:tc>
      </w:tr>
      <w:tr w14:paraId="64E8AE24" w14:textId="77777777" w:rsidTr="004E7E9E">
        <w:tblPrEx>
          <w:tblW w:w="11195" w:type="dxa"/>
          <w:tblInd w:w="-635" w:type="dxa"/>
          <w:tblLayout w:type="fixed"/>
          <w:tblLook w:val="04A0"/>
        </w:tblPrEx>
        <w:trPr>
          <w:gridAfter w:val="1"/>
          <w:wAfter w:w="8" w:type="dxa"/>
          <w:trHeight w:val="583"/>
        </w:trPr>
        <w:tc>
          <w:tcPr>
            <w:tcW w:w="1800" w:type="dxa"/>
            <w:tcBorders>
              <w:top w:val="nil"/>
              <w:left w:val="single" w:sz="4" w:space="0" w:color="auto"/>
              <w:bottom w:val="single" w:sz="4" w:space="0" w:color="auto"/>
              <w:right w:val="single" w:sz="4" w:space="0" w:color="auto"/>
            </w:tcBorders>
            <w:vAlign w:val="bottom"/>
            <w:hideMark/>
          </w:tcPr>
          <w:p w:rsidR="009E4B50" w:rsidRPr="004E7E9E" w:rsidP="009E4B50" w14:paraId="325B8FB0" w14:textId="77777777">
            <w:pPr>
              <w:widowControl/>
              <w:autoSpaceDE/>
              <w:autoSpaceDN/>
              <w:adjustRightInd/>
              <w:rPr>
                <w:b w:val="0"/>
                <w:bCs w:val="0"/>
                <w:color w:val="000000"/>
                <w:sz w:val="24"/>
                <w:szCs w:val="24"/>
              </w:rPr>
            </w:pPr>
            <w:r w:rsidRPr="004E7E9E">
              <w:rPr>
                <w:b w:val="0"/>
                <w:bCs w:val="0"/>
                <w:color w:val="000000"/>
                <w:sz w:val="24"/>
                <w:szCs w:val="24"/>
              </w:rPr>
              <w:t>Benefit specialists and IT staff prepare for requested audit</w:t>
            </w:r>
          </w:p>
        </w:tc>
        <w:tc>
          <w:tcPr>
            <w:tcW w:w="1523" w:type="dxa"/>
            <w:tcBorders>
              <w:top w:val="nil"/>
              <w:left w:val="nil"/>
              <w:bottom w:val="single" w:sz="4" w:space="0" w:color="auto"/>
              <w:right w:val="single" w:sz="4" w:space="0" w:color="auto"/>
            </w:tcBorders>
            <w:vAlign w:val="center"/>
            <w:hideMark/>
          </w:tcPr>
          <w:p w:rsidR="009E4B50" w:rsidRPr="004E7E9E" w:rsidP="009E4B50" w14:paraId="7DA4334B" w14:textId="77777777">
            <w:pPr>
              <w:widowControl/>
              <w:autoSpaceDE/>
              <w:autoSpaceDN/>
              <w:adjustRightInd/>
              <w:jc w:val="center"/>
              <w:rPr>
                <w:b w:val="0"/>
                <w:bCs w:val="0"/>
                <w:sz w:val="24"/>
                <w:szCs w:val="24"/>
              </w:rPr>
            </w:pPr>
            <w:r w:rsidRPr="004E7E9E">
              <w:rPr>
                <w:b w:val="0"/>
                <w:bCs w:val="0"/>
                <w:sz w:val="24"/>
                <w:szCs w:val="24"/>
              </w:rPr>
              <w:t>10</w:t>
            </w:r>
          </w:p>
        </w:tc>
        <w:tc>
          <w:tcPr>
            <w:tcW w:w="1430" w:type="dxa"/>
            <w:tcBorders>
              <w:top w:val="nil"/>
              <w:left w:val="nil"/>
              <w:bottom w:val="single" w:sz="4" w:space="0" w:color="auto"/>
              <w:right w:val="single" w:sz="4" w:space="0" w:color="auto"/>
            </w:tcBorders>
            <w:vAlign w:val="center"/>
            <w:hideMark/>
          </w:tcPr>
          <w:p w:rsidR="009E4B50" w:rsidRPr="004E7E9E" w:rsidP="009E4B50" w14:paraId="1F50B4B7" w14:textId="77777777">
            <w:pPr>
              <w:widowControl/>
              <w:autoSpaceDE/>
              <w:autoSpaceDN/>
              <w:adjustRightInd/>
              <w:jc w:val="center"/>
              <w:rPr>
                <w:b w:val="0"/>
                <w:bCs w:val="0"/>
                <w:color w:val="000000"/>
                <w:sz w:val="24"/>
                <w:szCs w:val="24"/>
              </w:rPr>
            </w:pPr>
            <w:r w:rsidRPr="004E7E9E">
              <w:rPr>
                <w:b w:val="0"/>
                <w:bCs w:val="0"/>
                <w:color w:val="000000"/>
                <w:sz w:val="24"/>
                <w:szCs w:val="24"/>
              </w:rPr>
              <w:t>4,370.10</w:t>
            </w:r>
          </w:p>
        </w:tc>
        <w:tc>
          <w:tcPr>
            <w:tcW w:w="1270" w:type="dxa"/>
            <w:tcBorders>
              <w:top w:val="nil"/>
              <w:left w:val="nil"/>
              <w:bottom w:val="single" w:sz="4" w:space="0" w:color="auto"/>
              <w:right w:val="single" w:sz="4" w:space="0" w:color="auto"/>
            </w:tcBorders>
            <w:vAlign w:val="center"/>
            <w:hideMark/>
          </w:tcPr>
          <w:p w:rsidR="009E4B50" w:rsidRPr="004E7E9E" w:rsidP="009E4B50" w14:paraId="76319CAE" w14:textId="77777777">
            <w:pPr>
              <w:widowControl/>
              <w:autoSpaceDE/>
              <w:autoSpaceDN/>
              <w:adjustRightInd/>
              <w:jc w:val="center"/>
              <w:rPr>
                <w:b w:val="0"/>
                <w:bCs w:val="0"/>
                <w:sz w:val="24"/>
                <w:szCs w:val="24"/>
              </w:rPr>
            </w:pPr>
            <w:r w:rsidRPr="004E7E9E">
              <w:rPr>
                <w:b w:val="0"/>
                <w:bCs w:val="0"/>
                <w:sz w:val="24"/>
                <w:szCs w:val="24"/>
              </w:rPr>
              <w:t>43,701</w:t>
            </w:r>
          </w:p>
        </w:tc>
        <w:tc>
          <w:tcPr>
            <w:tcW w:w="1076" w:type="dxa"/>
            <w:tcBorders>
              <w:top w:val="nil"/>
              <w:left w:val="nil"/>
              <w:bottom w:val="single" w:sz="4" w:space="0" w:color="auto"/>
              <w:right w:val="single" w:sz="4" w:space="0" w:color="auto"/>
            </w:tcBorders>
            <w:vAlign w:val="center"/>
            <w:hideMark/>
          </w:tcPr>
          <w:p w:rsidR="009E4B50" w:rsidRPr="004E7E9E" w:rsidP="009E4B50" w14:paraId="6854B4FF" w14:textId="77777777">
            <w:pPr>
              <w:widowControl/>
              <w:autoSpaceDE/>
              <w:autoSpaceDN/>
              <w:adjustRightInd/>
              <w:jc w:val="center"/>
              <w:rPr>
                <w:b w:val="0"/>
                <w:bCs w:val="0"/>
                <w:color w:val="000000"/>
                <w:sz w:val="24"/>
                <w:szCs w:val="24"/>
              </w:rPr>
            </w:pPr>
            <w:r w:rsidRPr="004E7E9E">
              <w:rPr>
                <w:b w:val="0"/>
                <w:bCs w:val="0"/>
                <w:color w:val="000000"/>
                <w:sz w:val="24"/>
                <w:szCs w:val="24"/>
              </w:rPr>
              <w:t>2</w:t>
            </w:r>
          </w:p>
        </w:tc>
        <w:tc>
          <w:tcPr>
            <w:tcW w:w="1076" w:type="dxa"/>
            <w:tcBorders>
              <w:top w:val="nil"/>
              <w:left w:val="nil"/>
              <w:bottom w:val="single" w:sz="4" w:space="0" w:color="auto"/>
              <w:right w:val="single" w:sz="4" w:space="0" w:color="auto"/>
            </w:tcBorders>
            <w:vAlign w:val="center"/>
            <w:hideMark/>
          </w:tcPr>
          <w:p w:rsidR="009E4B50" w:rsidRPr="004E7E9E" w:rsidP="009E4B50" w14:paraId="14B08929" w14:textId="77777777">
            <w:pPr>
              <w:widowControl/>
              <w:autoSpaceDE/>
              <w:autoSpaceDN/>
              <w:adjustRightInd/>
              <w:jc w:val="center"/>
              <w:rPr>
                <w:b w:val="0"/>
                <w:bCs w:val="0"/>
                <w:color w:val="000000"/>
                <w:sz w:val="24"/>
                <w:szCs w:val="24"/>
              </w:rPr>
            </w:pPr>
            <w:r w:rsidRPr="004E7E9E">
              <w:rPr>
                <w:b w:val="0"/>
                <w:bCs w:val="0"/>
                <w:color w:val="000000"/>
                <w:sz w:val="24"/>
                <w:szCs w:val="24"/>
              </w:rPr>
              <w:t>87,402</w:t>
            </w:r>
          </w:p>
        </w:tc>
        <w:tc>
          <w:tcPr>
            <w:tcW w:w="1596" w:type="dxa"/>
            <w:tcBorders>
              <w:top w:val="nil"/>
              <w:left w:val="nil"/>
              <w:bottom w:val="single" w:sz="4" w:space="0" w:color="auto"/>
              <w:right w:val="single" w:sz="4" w:space="0" w:color="auto"/>
            </w:tcBorders>
            <w:vAlign w:val="center"/>
            <w:hideMark/>
          </w:tcPr>
          <w:p w:rsidR="009E4B50" w:rsidRPr="004E7E9E" w:rsidP="009E4B50" w14:paraId="538A9A4C" w14:textId="77777777">
            <w:pPr>
              <w:widowControl/>
              <w:autoSpaceDE/>
              <w:autoSpaceDN/>
              <w:adjustRightInd/>
              <w:jc w:val="center"/>
              <w:rPr>
                <w:b w:val="0"/>
                <w:bCs w:val="0"/>
                <w:color w:val="000000"/>
                <w:sz w:val="24"/>
                <w:szCs w:val="24"/>
              </w:rPr>
            </w:pPr>
            <w:r w:rsidRPr="004E7E9E">
              <w:rPr>
                <w:b w:val="0"/>
                <w:bCs w:val="0"/>
                <w:color w:val="000000"/>
                <w:sz w:val="24"/>
                <w:szCs w:val="24"/>
              </w:rPr>
              <w:t>$151.41</w:t>
            </w:r>
          </w:p>
        </w:tc>
        <w:tc>
          <w:tcPr>
            <w:tcW w:w="1416" w:type="dxa"/>
            <w:tcBorders>
              <w:top w:val="nil"/>
              <w:left w:val="nil"/>
              <w:bottom w:val="single" w:sz="4" w:space="0" w:color="auto"/>
              <w:right w:val="single" w:sz="4" w:space="0" w:color="auto"/>
            </w:tcBorders>
            <w:vAlign w:val="center"/>
            <w:hideMark/>
          </w:tcPr>
          <w:p w:rsidR="009E4B50" w:rsidRPr="004E7E9E" w:rsidP="009E4B50" w14:paraId="074E3C7D" w14:textId="77777777">
            <w:pPr>
              <w:widowControl/>
              <w:autoSpaceDE/>
              <w:autoSpaceDN/>
              <w:adjustRightInd/>
              <w:jc w:val="center"/>
              <w:rPr>
                <w:b w:val="0"/>
                <w:bCs w:val="0"/>
                <w:color w:val="000000"/>
                <w:sz w:val="24"/>
                <w:szCs w:val="24"/>
              </w:rPr>
            </w:pPr>
            <w:r w:rsidRPr="004E7E9E">
              <w:rPr>
                <w:b w:val="0"/>
                <w:bCs w:val="0"/>
                <w:color w:val="000000"/>
                <w:sz w:val="24"/>
                <w:szCs w:val="24"/>
              </w:rPr>
              <w:t>$13,233,537</w:t>
            </w:r>
          </w:p>
        </w:tc>
      </w:tr>
      <w:tr w14:paraId="72A017ED" w14:textId="77777777">
        <w:tblPrEx>
          <w:tblW w:w="11195" w:type="dxa"/>
          <w:tblInd w:w="-635" w:type="dxa"/>
          <w:tblLayout w:type="fixed"/>
          <w:tblLook w:val="04A0"/>
        </w:tblPrEx>
        <w:trPr>
          <w:gridAfter w:val="1"/>
          <w:wAfter w:w="8" w:type="dxa"/>
          <w:trHeight w:val="260"/>
        </w:trPr>
        <w:tc>
          <w:tcPr>
            <w:tcW w:w="1800" w:type="dxa"/>
            <w:tcBorders>
              <w:top w:val="nil"/>
              <w:left w:val="single" w:sz="4" w:space="0" w:color="auto"/>
              <w:bottom w:val="single" w:sz="4" w:space="0" w:color="auto"/>
              <w:right w:val="single" w:sz="4" w:space="0" w:color="auto"/>
            </w:tcBorders>
            <w:vAlign w:val="center"/>
            <w:hideMark/>
          </w:tcPr>
          <w:p w:rsidR="00241280" w:rsidRPr="004E7E9E" w:rsidP="00241280" w14:paraId="4D6D8421" w14:textId="77777777">
            <w:pPr>
              <w:widowControl/>
              <w:autoSpaceDE/>
              <w:autoSpaceDN/>
              <w:adjustRightInd/>
              <w:rPr>
                <w:sz w:val="24"/>
                <w:szCs w:val="24"/>
              </w:rPr>
            </w:pPr>
            <w:r w:rsidRPr="004E7E9E">
              <w:rPr>
                <w:sz w:val="24"/>
                <w:szCs w:val="24"/>
              </w:rPr>
              <w:t>Total</w:t>
            </w:r>
          </w:p>
        </w:tc>
        <w:tc>
          <w:tcPr>
            <w:tcW w:w="1523" w:type="dxa"/>
            <w:tcBorders>
              <w:top w:val="nil"/>
              <w:left w:val="single" w:sz="4" w:space="0" w:color="auto"/>
              <w:bottom w:val="single" w:sz="4" w:space="0" w:color="auto"/>
              <w:right w:val="single" w:sz="4" w:space="0" w:color="auto"/>
            </w:tcBorders>
            <w:vAlign w:val="center"/>
            <w:hideMark/>
          </w:tcPr>
          <w:p w:rsidR="00241280" w:rsidRPr="00241280" w:rsidP="00241280" w14:paraId="7D72B2C9" w14:textId="16965170">
            <w:pPr>
              <w:widowControl/>
              <w:autoSpaceDE/>
              <w:autoSpaceDN/>
              <w:adjustRightInd/>
              <w:jc w:val="center"/>
              <w:rPr>
                <w:sz w:val="24"/>
                <w:szCs w:val="24"/>
              </w:rPr>
            </w:pPr>
            <w:r w:rsidRPr="00241280">
              <w:rPr>
                <w:sz w:val="24"/>
                <w:szCs w:val="24"/>
              </w:rPr>
              <w:t>131,175</w:t>
            </w:r>
          </w:p>
        </w:tc>
        <w:tc>
          <w:tcPr>
            <w:tcW w:w="1430" w:type="dxa"/>
            <w:tcBorders>
              <w:top w:val="nil"/>
              <w:left w:val="nil"/>
              <w:bottom w:val="single" w:sz="4" w:space="0" w:color="auto"/>
              <w:right w:val="single" w:sz="4" w:space="0" w:color="auto"/>
            </w:tcBorders>
            <w:vAlign w:val="center"/>
            <w:hideMark/>
          </w:tcPr>
          <w:p w:rsidR="00241280" w:rsidRPr="00241280" w:rsidP="00241280" w14:paraId="3441D031" w14:textId="7C6246A3">
            <w:pPr>
              <w:widowControl/>
              <w:autoSpaceDE/>
              <w:autoSpaceDN/>
              <w:adjustRightInd/>
              <w:jc w:val="center"/>
              <w:rPr>
                <w:sz w:val="24"/>
                <w:szCs w:val="24"/>
              </w:rPr>
            </w:pPr>
            <w:r w:rsidRPr="00241280">
              <w:rPr>
                <w:sz w:val="24"/>
                <w:szCs w:val="24"/>
              </w:rPr>
              <w:t>-</w:t>
            </w:r>
          </w:p>
        </w:tc>
        <w:tc>
          <w:tcPr>
            <w:tcW w:w="1270" w:type="dxa"/>
            <w:tcBorders>
              <w:top w:val="nil"/>
              <w:left w:val="nil"/>
              <w:bottom w:val="single" w:sz="4" w:space="0" w:color="auto"/>
              <w:right w:val="single" w:sz="4" w:space="0" w:color="auto"/>
            </w:tcBorders>
            <w:vAlign w:val="center"/>
            <w:hideMark/>
          </w:tcPr>
          <w:p w:rsidR="00241280" w:rsidRPr="00241280" w:rsidP="00241280" w14:paraId="5BDCB55A" w14:textId="7894B433">
            <w:pPr>
              <w:widowControl/>
              <w:autoSpaceDE/>
              <w:autoSpaceDN/>
              <w:adjustRightInd/>
              <w:jc w:val="center"/>
              <w:rPr>
                <w:sz w:val="24"/>
                <w:szCs w:val="24"/>
              </w:rPr>
            </w:pPr>
            <w:r w:rsidRPr="00241280">
              <w:rPr>
                <w:sz w:val="24"/>
                <w:szCs w:val="24"/>
              </w:rPr>
              <w:t>424,111</w:t>
            </w:r>
          </w:p>
        </w:tc>
        <w:tc>
          <w:tcPr>
            <w:tcW w:w="1076" w:type="dxa"/>
            <w:tcBorders>
              <w:top w:val="nil"/>
              <w:left w:val="nil"/>
              <w:bottom w:val="single" w:sz="4" w:space="0" w:color="auto"/>
              <w:right w:val="single" w:sz="4" w:space="0" w:color="auto"/>
            </w:tcBorders>
            <w:vAlign w:val="center"/>
            <w:hideMark/>
          </w:tcPr>
          <w:p w:rsidR="00241280" w:rsidRPr="00241280" w:rsidP="00241280" w14:paraId="3D261776" w14:textId="4529CE4C">
            <w:pPr>
              <w:widowControl/>
              <w:autoSpaceDE/>
              <w:autoSpaceDN/>
              <w:adjustRightInd/>
              <w:jc w:val="center"/>
              <w:rPr>
                <w:sz w:val="24"/>
                <w:szCs w:val="24"/>
              </w:rPr>
            </w:pPr>
            <w:r w:rsidRPr="00241280">
              <w:rPr>
                <w:sz w:val="24"/>
                <w:szCs w:val="24"/>
              </w:rPr>
              <w:t>-</w:t>
            </w:r>
          </w:p>
        </w:tc>
        <w:tc>
          <w:tcPr>
            <w:tcW w:w="1076" w:type="dxa"/>
            <w:tcBorders>
              <w:top w:val="nil"/>
              <w:left w:val="nil"/>
              <w:bottom w:val="single" w:sz="4" w:space="0" w:color="auto"/>
              <w:right w:val="single" w:sz="4" w:space="0" w:color="auto"/>
            </w:tcBorders>
            <w:vAlign w:val="center"/>
            <w:hideMark/>
          </w:tcPr>
          <w:p w:rsidR="00241280" w:rsidRPr="00241280" w:rsidP="00241280" w14:paraId="795ED491" w14:textId="68087E47">
            <w:pPr>
              <w:widowControl/>
              <w:autoSpaceDE/>
              <w:autoSpaceDN/>
              <w:adjustRightInd/>
              <w:jc w:val="center"/>
              <w:rPr>
                <w:sz w:val="24"/>
                <w:szCs w:val="24"/>
              </w:rPr>
            </w:pPr>
            <w:r w:rsidRPr="00241280">
              <w:rPr>
                <w:sz w:val="24"/>
                <w:szCs w:val="24"/>
              </w:rPr>
              <w:t>425,773</w:t>
            </w:r>
          </w:p>
        </w:tc>
        <w:tc>
          <w:tcPr>
            <w:tcW w:w="1596" w:type="dxa"/>
            <w:tcBorders>
              <w:top w:val="nil"/>
              <w:left w:val="nil"/>
              <w:bottom w:val="single" w:sz="4" w:space="0" w:color="auto"/>
              <w:right w:val="single" w:sz="4" w:space="0" w:color="auto"/>
            </w:tcBorders>
            <w:vAlign w:val="center"/>
            <w:hideMark/>
          </w:tcPr>
          <w:p w:rsidR="00241280" w:rsidRPr="00241280" w:rsidP="00241280" w14:paraId="460DC28D" w14:textId="65D2652D">
            <w:pPr>
              <w:widowControl/>
              <w:autoSpaceDE/>
              <w:autoSpaceDN/>
              <w:adjustRightInd/>
              <w:jc w:val="center"/>
              <w:rPr>
                <w:sz w:val="24"/>
                <w:szCs w:val="24"/>
              </w:rPr>
            </w:pPr>
            <w:r w:rsidRPr="00241280">
              <w:rPr>
                <w:sz w:val="24"/>
                <w:szCs w:val="24"/>
              </w:rPr>
              <w:t>-</w:t>
            </w:r>
          </w:p>
        </w:tc>
        <w:tc>
          <w:tcPr>
            <w:tcW w:w="1416" w:type="dxa"/>
            <w:tcBorders>
              <w:top w:val="nil"/>
              <w:left w:val="nil"/>
              <w:bottom w:val="single" w:sz="4" w:space="0" w:color="auto"/>
              <w:right w:val="single" w:sz="4" w:space="0" w:color="auto"/>
            </w:tcBorders>
            <w:vAlign w:val="center"/>
            <w:hideMark/>
          </w:tcPr>
          <w:p w:rsidR="00241280" w:rsidRPr="00241280" w:rsidP="00241280" w14:paraId="18ED6913" w14:textId="7DC92DFB">
            <w:pPr>
              <w:widowControl/>
              <w:autoSpaceDE/>
              <w:autoSpaceDN/>
              <w:adjustRightInd/>
              <w:jc w:val="center"/>
              <w:rPr>
                <w:sz w:val="24"/>
                <w:szCs w:val="24"/>
              </w:rPr>
            </w:pPr>
            <w:r w:rsidRPr="00241280">
              <w:rPr>
                <w:sz w:val="24"/>
                <w:szCs w:val="24"/>
              </w:rPr>
              <w:t>$69,873,499</w:t>
            </w:r>
          </w:p>
        </w:tc>
      </w:tr>
    </w:tbl>
    <w:p w:rsidR="00D309FC" w:rsidRPr="0057004B" w:rsidP="003158CA" w14:paraId="58575254" w14:textId="1537875C">
      <w:pPr>
        <w:widowControl/>
        <w:tabs>
          <w:tab w:val="left" w:pos="-1440"/>
        </w:tabs>
        <w:rPr>
          <w:b w:val="0"/>
          <w:bCs w:val="0"/>
          <w:color w:val="000000"/>
        </w:rPr>
      </w:pPr>
      <w:r w:rsidRPr="0057004B">
        <w:rPr>
          <w:b w:val="0"/>
          <w:bCs w:val="0"/>
          <w:i/>
          <w:iCs/>
          <w:color w:val="000000"/>
        </w:rPr>
        <w:t>Note</w:t>
      </w:r>
      <w:r w:rsidRPr="0057004B">
        <w:rPr>
          <w:b w:val="0"/>
          <w:bCs w:val="0"/>
          <w:color w:val="000000"/>
        </w:rPr>
        <w:t>:</w:t>
      </w:r>
    </w:p>
    <w:p w:rsidR="00D309FC" w:rsidRPr="00C87CA4" w:rsidP="006E1899" w14:paraId="35AF8785" w14:textId="330C8712">
      <w:pPr>
        <w:widowControl/>
        <w:autoSpaceDE/>
        <w:autoSpaceDN/>
        <w:adjustRightInd/>
        <w:rPr>
          <w:b w:val="0"/>
          <w:bCs w:val="0"/>
          <w:sz w:val="24"/>
          <w:szCs w:val="24"/>
        </w:rPr>
      </w:pPr>
      <w:r w:rsidRPr="0057004B">
        <w:rPr>
          <w:b w:val="0"/>
          <w:bCs w:val="0"/>
          <w:color w:val="000000"/>
        </w:rPr>
        <w:t xml:space="preserve">* The number of respondents is calculated in </w:t>
      </w:r>
      <w:r w:rsidR="0005778D">
        <w:rPr>
          <w:b w:val="0"/>
          <w:bCs w:val="0"/>
          <w:color w:val="000000"/>
        </w:rPr>
        <w:t xml:space="preserve">the </w:t>
      </w:r>
      <w:r w:rsidRPr="0057004B">
        <w:rPr>
          <w:b w:val="0"/>
          <w:bCs w:val="0"/>
          <w:color w:val="000000"/>
        </w:rPr>
        <w:t>following manner</w:t>
      </w:r>
      <w:r w:rsidR="00A77218">
        <w:rPr>
          <w:b w:val="0"/>
          <w:bCs w:val="0"/>
          <w:color w:val="000000"/>
        </w:rPr>
        <w:t xml:space="preserve">: </w:t>
      </w:r>
      <w:r w:rsidRPr="00485CDE" w:rsidR="00485CDE">
        <w:rPr>
          <w:b w:val="0"/>
          <w:bCs w:val="0"/>
          <w:color w:val="000000"/>
        </w:rPr>
        <w:t>131,102</w:t>
      </w:r>
      <w:r w:rsidRPr="00C87CA4" w:rsidR="00C87CA4">
        <w:rPr>
          <w:b w:val="0"/>
          <w:bCs w:val="0"/>
        </w:rPr>
        <w:t xml:space="preserve"> self-insured Group Health Plans with 100 to 999 employees</w:t>
      </w:r>
      <w:r w:rsidR="00C87CA4">
        <w:rPr>
          <w:b w:val="0"/>
          <w:bCs w:val="0"/>
        </w:rPr>
        <w:t xml:space="preserve"> +</w:t>
      </w:r>
      <w:r w:rsidRPr="003D2F5A" w:rsidR="003D2F5A">
        <w:t xml:space="preserve"> </w:t>
      </w:r>
      <w:r w:rsidR="00691E08">
        <w:rPr>
          <w:b w:val="0"/>
          <w:bCs w:val="0"/>
        </w:rPr>
        <w:t>73</w:t>
      </w:r>
      <w:r w:rsidR="003D2F5A">
        <w:rPr>
          <w:b w:val="0"/>
          <w:bCs w:val="0"/>
        </w:rPr>
        <w:t xml:space="preserve"> </w:t>
      </w:r>
      <w:r w:rsidR="005312A3">
        <w:rPr>
          <w:b w:val="0"/>
          <w:bCs w:val="0"/>
        </w:rPr>
        <w:t xml:space="preserve">PBMs </w:t>
      </w:r>
      <w:r w:rsidRPr="0057004B" w:rsidR="006E1899">
        <w:rPr>
          <w:b w:val="0"/>
          <w:bCs w:val="0"/>
        </w:rPr>
        <w:t xml:space="preserve">= </w:t>
      </w:r>
      <w:r w:rsidRPr="00443C4D" w:rsidR="00443C4D">
        <w:rPr>
          <w:b w:val="0"/>
          <w:bCs w:val="0"/>
        </w:rPr>
        <w:t>131,</w:t>
      </w:r>
      <w:r w:rsidR="003D2F5A">
        <w:rPr>
          <w:b w:val="0"/>
          <w:bCs w:val="0"/>
        </w:rPr>
        <w:t>175</w:t>
      </w:r>
      <w:r w:rsidR="00043DDA">
        <w:rPr>
          <w:b w:val="0"/>
          <w:bCs w:val="0"/>
        </w:rPr>
        <w:t xml:space="preserve"> respondents</w:t>
      </w:r>
      <w:r w:rsidRPr="0057004B" w:rsidR="006E1899">
        <w:rPr>
          <w:b w:val="0"/>
          <w:bCs w:val="0"/>
        </w:rPr>
        <w:t>.</w:t>
      </w:r>
    </w:p>
    <w:p w:rsidR="006E1899" w:rsidRPr="00201155" w:rsidP="006E1899" w14:paraId="30DA35AA" w14:textId="1D94A853">
      <w:pPr>
        <w:widowControl/>
        <w:autoSpaceDE/>
        <w:autoSpaceDN/>
        <w:adjustRightInd/>
        <w:rPr>
          <w:b w:val="0"/>
          <w:bCs w:val="0"/>
          <w:sz w:val="24"/>
          <w:szCs w:val="24"/>
        </w:rPr>
      </w:pPr>
      <w:r w:rsidRPr="0057004B">
        <w:rPr>
          <w:b w:val="0"/>
          <w:bCs w:val="0"/>
        </w:rPr>
        <w:t xml:space="preserve">**The number of responses is calculated in </w:t>
      </w:r>
      <w:r w:rsidR="0005778D">
        <w:rPr>
          <w:b w:val="0"/>
          <w:bCs w:val="0"/>
        </w:rPr>
        <w:t xml:space="preserve">the </w:t>
      </w:r>
      <w:r w:rsidRPr="0057004B">
        <w:rPr>
          <w:b w:val="0"/>
          <w:bCs w:val="0"/>
        </w:rPr>
        <w:t xml:space="preserve">following manner: </w:t>
      </w:r>
      <w:r w:rsidR="00B634D5">
        <w:rPr>
          <w:b w:val="0"/>
          <w:bCs w:val="0"/>
        </w:rPr>
        <w:t>73 PBMs updating and developing IT infrastructure +</w:t>
      </w:r>
      <w:r w:rsidRPr="001C3179" w:rsidR="001C3179">
        <w:t xml:space="preserve"> </w:t>
      </w:r>
      <w:r w:rsidRPr="001C3179" w:rsidR="001C3179">
        <w:rPr>
          <w:b w:val="0"/>
          <w:bCs w:val="0"/>
        </w:rPr>
        <w:t>336,636</w:t>
      </w:r>
      <w:r w:rsidR="00B634D5">
        <w:rPr>
          <w:b w:val="0"/>
          <w:bCs w:val="0"/>
        </w:rPr>
        <w:t xml:space="preserve"> </w:t>
      </w:r>
      <w:r w:rsidRPr="0057004B">
        <w:rPr>
          <w:b w:val="0"/>
          <w:bCs w:val="0"/>
        </w:rPr>
        <w:t xml:space="preserve">disclosures + </w:t>
      </w:r>
      <w:r w:rsidRPr="00201155" w:rsidR="00201155">
        <w:rPr>
          <w:b w:val="0"/>
          <w:bCs w:val="0"/>
        </w:rPr>
        <w:t>43,701</w:t>
      </w:r>
      <w:r w:rsidR="002A003E">
        <w:rPr>
          <w:b w:val="0"/>
          <w:bCs w:val="0"/>
        </w:rPr>
        <w:t xml:space="preserve"> </w:t>
      </w:r>
      <w:r w:rsidRPr="0057004B">
        <w:rPr>
          <w:b w:val="0"/>
          <w:bCs w:val="0"/>
        </w:rPr>
        <w:t xml:space="preserve">audit </w:t>
      </w:r>
      <w:r w:rsidR="00131465">
        <w:rPr>
          <w:b w:val="0"/>
          <w:bCs w:val="0"/>
        </w:rPr>
        <w:t>request</w:t>
      </w:r>
      <w:r w:rsidR="00AD4FCE">
        <w:rPr>
          <w:b w:val="0"/>
          <w:bCs w:val="0"/>
        </w:rPr>
        <w:t xml:space="preserve"> + 43,701</w:t>
      </w:r>
      <w:r w:rsidR="00131465">
        <w:rPr>
          <w:b w:val="0"/>
          <w:bCs w:val="0"/>
        </w:rPr>
        <w:t xml:space="preserve"> prepar</w:t>
      </w:r>
      <w:r w:rsidR="00B634D5">
        <w:rPr>
          <w:b w:val="0"/>
          <w:bCs w:val="0"/>
        </w:rPr>
        <w:t>ing and disclosing information needed for audits</w:t>
      </w:r>
      <w:r w:rsidR="008A48B2">
        <w:rPr>
          <w:b w:val="0"/>
          <w:bCs w:val="0"/>
        </w:rPr>
        <w:t xml:space="preserve"> </w:t>
      </w:r>
      <w:r w:rsidR="00A21E27">
        <w:rPr>
          <w:b w:val="0"/>
          <w:bCs w:val="0"/>
        </w:rPr>
        <w:t xml:space="preserve">= </w:t>
      </w:r>
      <w:r w:rsidRPr="00201155" w:rsidR="00201155">
        <w:rPr>
          <w:b w:val="0"/>
          <w:bCs w:val="0"/>
        </w:rPr>
        <w:t>424,111</w:t>
      </w:r>
      <w:r w:rsidR="00043DDA">
        <w:rPr>
          <w:b w:val="0"/>
          <w:bCs w:val="0"/>
        </w:rPr>
        <w:t xml:space="preserve"> </w:t>
      </w:r>
      <w:r w:rsidR="00A21E27">
        <w:rPr>
          <w:b w:val="0"/>
          <w:bCs w:val="0"/>
        </w:rPr>
        <w:t>r</w:t>
      </w:r>
      <w:r w:rsidR="00043DDA">
        <w:rPr>
          <w:b w:val="0"/>
          <w:bCs w:val="0"/>
        </w:rPr>
        <w:t>esponses</w:t>
      </w:r>
      <w:r w:rsidR="00A21E27">
        <w:rPr>
          <w:b w:val="0"/>
          <w:bCs w:val="0"/>
        </w:rPr>
        <w:t xml:space="preserve">. </w:t>
      </w:r>
    </w:p>
    <w:p w:rsidR="00D309FC" w:rsidRPr="00A92375" w:rsidP="003158CA" w14:paraId="4B38A1EB" w14:textId="0F45006D">
      <w:pPr>
        <w:widowControl/>
        <w:tabs>
          <w:tab w:val="left" w:pos="-1440"/>
        </w:tabs>
        <w:rPr>
          <w:b w:val="0"/>
          <w:bCs w:val="0"/>
          <w:i/>
          <w:iCs/>
          <w:color w:val="000000"/>
          <w:sz w:val="24"/>
          <w:szCs w:val="24"/>
        </w:rPr>
      </w:pPr>
    </w:p>
    <w:p w:rsidR="0089109B" w:rsidRPr="0005778D" w:rsidP="0005778D" w14:paraId="2742926C" w14:textId="4E5591C8">
      <w:pPr>
        <w:pStyle w:val="Heading1"/>
        <w:numPr>
          <w:ilvl w:val="0"/>
          <w:numId w:val="37"/>
        </w:numPr>
      </w:pPr>
      <w:r w:rsidRPr="0005778D">
        <w:t xml:space="preserve">Provide an estimate of the total annual cost burden to respondents or record-keepers </w:t>
      </w:r>
      <w:r w:rsidRPr="0005778D" w:rsidR="00540514">
        <w:t>resulting from the collection of information.</w:t>
      </w:r>
      <w:r w:rsidRPr="0005778D" w:rsidR="00D309FC">
        <w:t xml:space="preserve"> </w:t>
      </w:r>
      <w:r w:rsidRPr="0005778D" w:rsidR="00540514">
        <w:t>(Do not include the cost of any hour burden shown in Items 12.)</w:t>
      </w:r>
    </w:p>
    <w:p w:rsidR="0089109B" w:rsidRPr="00355DC5" w:rsidP="00355DC5" w14:paraId="2B231006" w14:textId="435636F5">
      <w:pPr>
        <w:numPr>
          <w:ilvl w:val="0"/>
          <w:numId w:val="31"/>
        </w:numPr>
        <w:ind w:left="1260" w:hanging="270"/>
        <w:rPr>
          <w:color w:val="000000"/>
          <w:sz w:val="24"/>
          <w:szCs w:val="24"/>
        </w:rPr>
      </w:pPr>
      <w:r w:rsidRPr="002B7154">
        <w:rPr>
          <w:color w:val="000000"/>
          <w:sz w:val="24"/>
          <w:szCs w:val="24"/>
        </w:rPr>
        <w:t>The cost estimate should be split into two components: (a) a total capital</w:t>
      </w:r>
      <w:r>
        <w:rPr>
          <w:color w:val="000000"/>
          <w:sz w:val="24"/>
          <w:szCs w:val="24"/>
        </w:rPr>
        <w:t xml:space="preserve"> </w:t>
      </w:r>
      <w:r w:rsidRPr="002B7154">
        <w:rPr>
          <w:color w:val="000000"/>
          <w:sz w:val="24"/>
          <w:szCs w:val="24"/>
        </w:rPr>
        <w:t xml:space="preserve">and </w:t>
      </w:r>
      <w:r w:rsidRPr="002B7154">
        <w:rPr>
          <w:color w:val="000000"/>
          <w:sz w:val="24"/>
          <w:szCs w:val="24"/>
        </w:rPr>
        <w:t>start up</w:t>
      </w:r>
      <w:r w:rsidRPr="002B7154">
        <w:rPr>
          <w:color w:val="000000"/>
          <w:sz w:val="24"/>
          <w:szCs w:val="24"/>
        </w:rPr>
        <w:t xml:space="preserve"> cost component (annualized over its expected useful life); and (b) a</w:t>
      </w:r>
      <w:r w:rsidR="00AC3EE8">
        <w:rPr>
          <w:color w:val="000000"/>
          <w:sz w:val="24"/>
          <w:szCs w:val="24"/>
        </w:rPr>
        <w:t xml:space="preserve"> </w:t>
      </w:r>
      <w:r w:rsidRPr="002B7154">
        <w:rPr>
          <w:color w:val="000000"/>
          <w:sz w:val="24"/>
          <w:szCs w:val="24"/>
        </w:rPr>
        <w:t>total operation and maintenance and purchase of service component</w:t>
      </w:r>
      <w:r w:rsidRPr="002B7154" w:rsidR="000F4C95">
        <w:rPr>
          <w:color w:val="000000"/>
          <w:sz w:val="24"/>
          <w:szCs w:val="24"/>
        </w:rPr>
        <w:t>.</w:t>
      </w:r>
      <w:r w:rsidR="00D309FC">
        <w:rPr>
          <w:color w:val="000000"/>
          <w:sz w:val="24"/>
          <w:szCs w:val="24"/>
        </w:rPr>
        <w:t xml:space="preserve"> </w:t>
      </w:r>
      <w:r w:rsidRPr="002B7154">
        <w:rPr>
          <w:color w:val="000000"/>
          <w:sz w:val="24"/>
          <w:szCs w:val="24"/>
        </w:rPr>
        <w:t xml:space="preserve">The estimates should </w:t>
      </w:r>
      <w:r w:rsidRPr="002B7154">
        <w:rPr>
          <w:color w:val="000000"/>
          <w:sz w:val="24"/>
          <w:szCs w:val="24"/>
        </w:rPr>
        <w:t>take into account</w:t>
      </w:r>
      <w:r w:rsidRPr="002B7154">
        <w:rPr>
          <w:color w:val="000000"/>
          <w:sz w:val="24"/>
          <w:szCs w:val="24"/>
        </w:rPr>
        <w:t xml:space="preserve"> costs associated with generating, maintaining, and disclosing or providing the information.</w:t>
      </w:r>
      <w:r w:rsidR="00D309FC">
        <w:rPr>
          <w:color w:val="000000"/>
          <w:sz w:val="24"/>
          <w:szCs w:val="24"/>
        </w:rPr>
        <w:t xml:space="preserve"> </w:t>
      </w:r>
      <w:r w:rsidRPr="002B7154">
        <w:rPr>
          <w:color w:val="000000"/>
          <w:sz w:val="24"/>
          <w:szCs w:val="24"/>
        </w:rPr>
        <w:t xml:space="preserve">Include descriptions of methods used to estimate major cost factors including system and </w:t>
      </w:r>
      <w:r w:rsidRPr="002B7154">
        <w:rPr>
          <w:color w:val="000000"/>
          <w:sz w:val="24"/>
          <w:szCs w:val="24"/>
        </w:rPr>
        <w:t xml:space="preserve">technology acquisition, expected useful life of capital equipment, the discount rate(s), and the </w:t>
      </w:r>
      <w:r w:rsidRPr="002B7154">
        <w:rPr>
          <w:color w:val="000000"/>
          <w:sz w:val="24"/>
          <w:szCs w:val="24"/>
        </w:rPr>
        <w:t>time period</w:t>
      </w:r>
      <w:r w:rsidRPr="002B7154">
        <w:rPr>
          <w:color w:val="000000"/>
          <w:sz w:val="24"/>
          <w:szCs w:val="24"/>
        </w:rPr>
        <w:t xml:space="preserve"> over which costs will be incurred.</w:t>
      </w:r>
      <w:r w:rsidR="00D309FC">
        <w:rPr>
          <w:color w:val="000000"/>
          <w:sz w:val="24"/>
          <w:szCs w:val="24"/>
        </w:rPr>
        <w:t xml:space="preserve"> </w:t>
      </w:r>
      <w:r w:rsidRPr="002B7154">
        <w:rPr>
          <w:color w:val="000000"/>
          <w:sz w:val="24"/>
          <w:szCs w:val="24"/>
        </w:rPr>
        <w:t>Capital and start-up costs include, among other items, preparations for collecting information such as purchasing computers and software; monitoring, sampling, drilling and testing equipment; and record storage facilities.</w:t>
      </w:r>
    </w:p>
    <w:p w:rsidR="0089109B" w:rsidRPr="00355DC5" w:rsidP="0089109B" w14:paraId="29293568" w14:textId="19B34FE7">
      <w:pPr>
        <w:numPr>
          <w:ilvl w:val="0"/>
          <w:numId w:val="31"/>
        </w:numPr>
        <w:ind w:left="1260" w:hanging="270"/>
        <w:rPr>
          <w:color w:val="000000"/>
          <w:sz w:val="24"/>
          <w:szCs w:val="24"/>
        </w:rPr>
      </w:pPr>
      <w:r w:rsidRPr="007919A7">
        <w:rPr>
          <w:color w:val="000000"/>
          <w:sz w:val="24"/>
          <w:szCs w:val="24"/>
        </w:rPr>
        <w:t>If cost estimates are expected to vary widely, agencies should present ranges of cost burdens and explain the reasons for the variance.</w:t>
      </w:r>
      <w:r w:rsidR="00D309FC">
        <w:rPr>
          <w:color w:val="000000"/>
          <w:sz w:val="24"/>
          <w:szCs w:val="24"/>
        </w:rPr>
        <w:t xml:space="preserve"> </w:t>
      </w:r>
      <w:r w:rsidRPr="007919A7">
        <w:rPr>
          <w:color w:val="000000"/>
          <w:sz w:val="24"/>
          <w:szCs w:val="24"/>
        </w:rPr>
        <w:t>The cost of purchasing or contracting out information collection services should be a part of this cost burden estimate.</w:t>
      </w:r>
      <w:r w:rsidR="00D309FC">
        <w:rPr>
          <w:color w:val="000000"/>
          <w:sz w:val="24"/>
          <w:szCs w:val="24"/>
        </w:rPr>
        <w:t xml:space="preserve"> </w:t>
      </w:r>
      <w:r w:rsidRPr="007919A7">
        <w:rPr>
          <w:color w:val="000000"/>
          <w:sz w:val="24"/>
          <w:szCs w:val="24"/>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89109B" w:rsidRPr="007919A7" w:rsidP="0089109B" w14:paraId="2CF29EA4" w14:textId="77777777">
      <w:pPr>
        <w:numPr>
          <w:ilvl w:val="0"/>
          <w:numId w:val="31"/>
        </w:numPr>
        <w:ind w:left="1260" w:hanging="270"/>
        <w:rPr>
          <w:color w:val="000000"/>
          <w:sz w:val="24"/>
          <w:szCs w:val="24"/>
        </w:rPr>
      </w:pPr>
      <w:r w:rsidRPr="007919A7">
        <w:rPr>
          <w:color w:val="000000"/>
          <w:sz w:val="24"/>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EB5A4E" w:rsidRPr="00A92375" w:rsidP="00857404" w14:paraId="72BCB478" w14:textId="77777777">
      <w:pPr>
        <w:widowControl/>
        <w:tabs>
          <w:tab w:val="left" w:pos="-1440"/>
        </w:tabs>
        <w:rPr>
          <w:b w:val="0"/>
          <w:bCs w:val="0"/>
          <w:iCs/>
          <w:sz w:val="24"/>
          <w:szCs w:val="24"/>
        </w:rPr>
      </w:pPr>
    </w:p>
    <w:p w:rsidR="00C034D4" w:rsidRPr="00B34F3B" w:rsidP="00B34F3B" w14:paraId="77F476BD" w14:textId="1243C8ED">
      <w:pPr>
        <w:widowControl/>
        <w:ind w:left="720"/>
        <w:rPr>
          <w:b w:val="0"/>
          <w:bCs w:val="0"/>
          <w:sz w:val="32"/>
          <w:szCs w:val="32"/>
        </w:rPr>
      </w:pPr>
      <w:r w:rsidRPr="00042748">
        <w:rPr>
          <w:b w:val="0"/>
          <w:bCs w:val="0"/>
          <w:sz w:val="24"/>
          <w:szCs w:val="24"/>
        </w:rPr>
        <w:t>The</w:t>
      </w:r>
      <w:r w:rsidR="00BA2D2F">
        <w:rPr>
          <w:b w:val="0"/>
          <w:bCs w:val="0"/>
          <w:sz w:val="24"/>
          <w:szCs w:val="24"/>
        </w:rPr>
        <w:t xml:space="preserve"> final</w:t>
      </w:r>
      <w:r w:rsidRPr="00042748">
        <w:rPr>
          <w:b w:val="0"/>
          <w:bCs w:val="0"/>
          <w:sz w:val="24"/>
          <w:szCs w:val="24"/>
        </w:rPr>
        <w:t xml:space="preserve"> regulation does not preclude distribution </w:t>
      </w:r>
      <w:r w:rsidRPr="00042748">
        <w:rPr>
          <w:b w:val="0"/>
          <w:bCs w:val="0"/>
          <w:sz w:val="24"/>
          <w:szCs w:val="24"/>
        </w:rPr>
        <w:t>through the use of</w:t>
      </w:r>
      <w:r w:rsidRPr="00042748">
        <w:rPr>
          <w:b w:val="0"/>
          <w:bCs w:val="0"/>
          <w:sz w:val="24"/>
          <w:szCs w:val="24"/>
        </w:rPr>
        <w:t xml:space="preserve"> electronic technology. Consequently, the Department has assumed that interactions between parties will be carried out electronically. As a result, </w:t>
      </w:r>
      <w:r w:rsidR="00834D9A">
        <w:rPr>
          <w:b w:val="0"/>
          <w:bCs w:val="0"/>
          <w:sz w:val="24"/>
          <w:szCs w:val="24"/>
        </w:rPr>
        <w:t xml:space="preserve">the cost burden is </w:t>
      </w:r>
      <w:r w:rsidR="00834D9A">
        <w:rPr>
          <w:b w:val="0"/>
          <w:bCs w:val="0"/>
          <w:sz w:val="24"/>
          <w:szCs w:val="24"/>
        </w:rPr>
        <w:t>$0</w:t>
      </w:r>
      <w:r w:rsidR="00834D9A">
        <w:rPr>
          <w:b w:val="0"/>
          <w:bCs w:val="0"/>
          <w:sz w:val="24"/>
          <w:szCs w:val="24"/>
        </w:rPr>
        <w:t xml:space="preserve"> and </w:t>
      </w:r>
      <w:r w:rsidRPr="00042748">
        <w:rPr>
          <w:b w:val="0"/>
          <w:bCs w:val="0"/>
          <w:sz w:val="24"/>
          <w:szCs w:val="24"/>
        </w:rPr>
        <w:t>all costs associated with distributing the disclosures have already been included in</w:t>
      </w:r>
      <w:r>
        <w:rPr>
          <w:b w:val="0"/>
          <w:bCs w:val="0"/>
          <w:sz w:val="24"/>
          <w:szCs w:val="24"/>
        </w:rPr>
        <w:t xml:space="preserve"> </w:t>
      </w:r>
      <w:r w:rsidRPr="00B34F3B" w:rsidR="00B34F3B">
        <w:rPr>
          <w:b w:val="0"/>
          <w:bCs w:val="0"/>
          <w:sz w:val="24"/>
          <w:szCs w:val="24"/>
        </w:rPr>
        <w:t>Question 12.</w:t>
      </w:r>
    </w:p>
    <w:p w:rsidR="00B34F3B" w:rsidRPr="00A92375" w:rsidP="0062736F" w14:paraId="50F26122" w14:textId="77777777">
      <w:pPr>
        <w:widowControl/>
        <w:rPr>
          <w:b w:val="0"/>
          <w:bCs w:val="0"/>
          <w:sz w:val="24"/>
          <w:szCs w:val="24"/>
        </w:rPr>
      </w:pPr>
    </w:p>
    <w:p w:rsidR="00BE1236" w:rsidRPr="0005778D" w:rsidP="0005778D" w14:paraId="0AEC9E73" w14:textId="5683F5E7">
      <w:pPr>
        <w:pStyle w:val="Heading1"/>
        <w:numPr>
          <w:ilvl w:val="0"/>
          <w:numId w:val="37"/>
        </w:numPr>
      </w:pPr>
      <w:r w:rsidRPr="00BE4E63">
        <w:t>Provide estimates of annualized cost to the Federal government.</w:t>
      </w:r>
      <w:r w:rsidR="00D309FC">
        <w:t xml:space="preserve"> </w:t>
      </w:r>
      <w:r w:rsidRPr="00BE4E63">
        <w:t xml:space="preserve">Also, provide a description of the method used to estimate cost, which should include quantification of hours, operational expenses (such as equipment, overhead, printing, and support staff), and any other </w:t>
      </w:r>
      <w:r w:rsidRPr="00BE4E63">
        <w:t>expense</w:t>
      </w:r>
      <w:r w:rsidRPr="00BE4E63">
        <w:t xml:space="preserve"> that would not have been incurred without this collection of information.</w:t>
      </w:r>
      <w:r w:rsidR="00D309FC">
        <w:t xml:space="preserve"> </w:t>
      </w:r>
      <w:r w:rsidRPr="00BE4E63">
        <w:t>Agencies also may aggregate cost estimates from Items 12, 13, and 14 in a single table</w:t>
      </w:r>
      <w:r w:rsidRPr="00BE4E63" w:rsidR="00A96D34">
        <w:t>.</w:t>
      </w:r>
    </w:p>
    <w:p w:rsidR="00AA1E33" w:rsidP="0006528F" w14:paraId="32874E36" w14:textId="77777777">
      <w:pPr>
        <w:widowControl/>
        <w:rPr>
          <w:b w:val="0"/>
          <w:bCs w:val="0"/>
          <w:sz w:val="24"/>
          <w:szCs w:val="24"/>
        </w:rPr>
      </w:pPr>
    </w:p>
    <w:p w:rsidR="000700BA" w:rsidRPr="00096513" w:rsidP="0006528F" w14:paraId="37A683F9" w14:textId="793A6F3A">
      <w:pPr>
        <w:widowControl/>
        <w:rPr>
          <w:b w:val="0"/>
          <w:bCs w:val="0"/>
          <w:sz w:val="24"/>
          <w:szCs w:val="24"/>
        </w:rPr>
      </w:pPr>
      <w:r>
        <w:rPr>
          <w:b w:val="0"/>
          <w:bCs w:val="0"/>
          <w:sz w:val="24"/>
          <w:szCs w:val="24"/>
        </w:rPr>
        <w:tab/>
      </w:r>
      <w:r w:rsidRPr="00261797" w:rsidR="00261797">
        <w:rPr>
          <w:b w:val="0"/>
          <w:bCs w:val="0"/>
          <w:sz w:val="24"/>
          <w:szCs w:val="24"/>
        </w:rPr>
        <w:t>There are no costs to the Federal government associated with this information collection.</w:t>
      </w:r>
    </w:p>
    <w:p w:rsidR="00FF59F5" w:rsidRPr="00096513" w:rsidP="00917C25" w14:paraId="4EAB9830" w14:textId="77777777">
      <w:pPr>
        <w:widowControl/>
        <w:ind w:left="720"/>
        <w:rPr>
          <w:b w:val="0"/>
          <w:bCs w:val="0"/>
          <w:sz w:val="24"/>
          <w:szCs w:val="24"/>
        </w:rPr>
      </w:pPr>
    </w:p>
    <w:p w:rsidR="00BE1236" w:rsidRPr="00BE4E63" w:rsidP="0005778D" w14:paraId="27FA3AD0" w14:textId="65EADA1C">
      <w:pPr>
        <w:pStyle w:val="Heading1"/>
      </w:pPr>
      <w:r w:rsidRPr="00BE4E63">
        <w:t>15</w:t>
      </w:r>
      <w:r w:rsidRPr="00BE4E63">
        <w:t>.</w:t>
      </w:r>
      <w:r w:rsidR="00D309FC">
        <w:t xml:space="preserve"> </w:t>
      </w:r>
      <w:r>
        <w:tab/>
      </w:r>
      <w:r w:rsidRPr="00BE4E63">
        <w:t>Explain</w:t>
      </w:r>
      <w:r w:rsidRPr="00BE4E63">
        <w:t xml:space="preserve"> the reasons for any</w:t>
      </w:r>
      <w:r>
        <w:t xml:space="preserve"> program changes or adjustments.</w:t>
      </w:r>
    </w:p>
    <w:p w:rsidR="003D5E7E" w:rsidP="00F67132" w14:paraId="714C502A" w14:textId="77777777">
      <w:pPr>
        <w:widowControl/>
        <w:tabs>
          <w:tab w:val="left" w:pos="-1440"/>
        </w:tabs>
        <w:ind w:left="720"/>
        <w:rPr>
          <w:b w:val="0"/>
          <w:bCs w:val="0"/>
          <w:iCs/>
          <w:sz w:val="24"/>
          <w:szCs w:val="24"/>
        </w:rPr>
      </w:pPr>
    </w:p>
    <w:p w:rsidR="000700BA" w:rsidRPr="00C34578" w:rsidP="00F67132" w14:paraId="290F4CE8" w14:textId="0A721661">
      <w:pPr>
        <w:widowControl/>
        <w:tabs>
          <w:tab w:val="left" w:pos="-1440"/>
        </w:tabs>
        <w:ind w:left="720"/>
        <w:rPr>
          <w:b w:val="0"/>
          <w:bCs w:val="0"/>
          <w:iCs/>
          <w:sz w:val="24"/>
          <w:szCs w:val="24"/>
        </w:rPr>
      </w:pPr>
      <w:r>
        <w:rPr>
          <w:b w:val="0"/>
          <w:bCs w:val="0"/>
          <w:iCs/>
          <w:sz w:val="24"/>
          <w:szCs w:val="24"/>
        </w:rPr>
        <w:t>The</w:t>
      </w:r>
      <w:r w:rsidR="00E0095A">
        <w:rPr>
          <w:b w:val="0"/>
          <w:bCs w:val="0"/>
          <w:iCs/>
          <w:sz w:val="24"/>
          <w:szCs w:val="24"/>
        </w:rPr>
        <w:t xml:space="preserve"> Department is issuing the final rule. </w:t>
      </w:r>
    </w:p>
    <w:p w:rsidR="00E25857" w:rsidRPr="00A92375" w:rsidP="00E25857" w14:paraId="5974B4DC" w14:textId="77777777">
      <w:pPr>
        <w:widowControl/>
        <w:tabs>
          <w:tab w:val="left" w:pos="-1440"/>
        </w:tabs>
        <w:ind w:left="720"/>
        <w:rPr>
          <w:b w:val="0"/>
          <w:bCs w:val="0"/>
          <w:sz w:val="24"/>
          <w:szCs w:val="24"/>
        </w:rPr>
      </w:pPr>
    </w:p>
    <w:p w:rsidR="00AA1E33" w:rsidRPr="0005778D" w:rsidP="0005778D" w14:paraId="1DAD3878" w14:textId="41909B9B">
      <w:pPr>
        <w:pStyle w:val="Heading1"/>
        <w:numPr>
          <w:ilvl w:val="0"/>
          <w:numId w:val="38"/>
        </w:numPr>
        <w:ind w:hanging="720"/>
      </w:pPr>
      <w:r w:rsidRPr="00BE4E63">
        <w:t>For collections of information whose results will be published, outline plans for tabulation, and publication.</w:t>
      </w:r>
      <w:r w:rsidR="00D309FC">
        <w:t xml:space="preserve"> </w:t>
      </w:r>
      <w:r w:rsidRPr="00BE4E63">
        <w:t>Address any complex analytical techniques that will be used.</w:t>
      </w:r>
      <w:r w:rsidR="00D309FC">
        <w:t xml:space="preserve"> </w:t>
      </w:r>
      <w:r w:rsidRPr="00BE4E63">
        <w:t>Provide the time schedule for the entire project, including beginning and</w:t>
      </w:r>
      <w:r w:rsidR="0005778D">
        <w:t xml:space="preserve"> </w:t>
      </w:r>
      <w:r w:rsidRPr="00BE4E63">
        <w:t xml:space="preserve">ending dates of the collection of information, completion of report, publication </w:t>
      </w:r>
      <w:r w:rsidRPr="00BE4E63">
        <w:t>dates, and other actions.</w:t>
      </w:r>
    </w:p>
    <w:p w:rsidR="000700BA" w:rsidP="000700BA" w14:paraId="0412686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rsidR="000700BA" w:rsidRPr="000700BA" w:rsidP="000700BA" w14:paraId="34ED062B" w14:textId="762B18B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val="0"/>
          <w:bCs w:val="0"/>
          <w:sz w:val="24"/>
          <w:szCs w:val="24"/>
        </w:rPr>
      </w:pPr>
      <w:r w:rsidRPr="000700BA">
        <w:rPr>
          <w:b w:val="0"/>
          <w:bCs w:val="0"/>
          <w:sz w:val="24"/>
          <w:szCs w:val="24"/>
        </w:rPr>
        <w:t>There are no plans to publish the results of this collection of information.</w:t>
      </w:r>
    </w:p>
    <w:p w:rsidR="00BE1236" w:rsidRPr="00BE4E63" w:rsidP="00BE1236" w14:paraId="195C1ADA" w14:textId="77777777">
      <w:pPr>
        <w:widowControl/>
        <w:rPr>
          <w:bCs w:val="0"/>
          <w:i/>
          <w:sz w:val="24"/>
          <w:szCs w:val="24"/>
        </w:rPr>
      </w:pPr>
    </w:p>
    <w:p w:rsidR="00BE1236" w:rsidRPr="00BE4E63" w:rsidP="0005778D" w14:paraId="7D7EED11" w14:textId="33AF2F1C">
      <w:pPr>
        <w:pStyle w:val="Heading1"/>
        <w:ind w:left="720" w:hanging="720"/>
      </w:pPr>
      <w:r w:rsidRPr="00BE4E63">
        <w:t>17</w:t>
      </w:r>
      <w:r w:rsidRPr="00BE4E63">
        <w:t>.</w:t>
      </w:r>
      <w:r w:rsidR="00D309FC">
        <w:t xml:space="preserve"> </w:t>
      </w:r>
      <w:r>
        <w:tab/>
      </w:r>
      <w:r w:rsidRPr="00BE4E63">
        <w:t>If</w:t>
      </w:r>
      <w:r w:rsidRPr="00BE4E63">
        <w:t xml:space="preserve"> seeking approval to not display the expiration date for OMB approval of the information collection, explain the reasons that display would be inappropriate.</w:t>
      </w:r>
    </w:p>
    <w:p w:rsidR="00A7230A" w:rsidRPr="00A92375" w:rsidP="0006528F" w14:paraId="09599725" w14:textId="77777777">
      <w:pPr>
        <w:widowControl/>
        <w:tabs>
          <w:tab w:val="left" w:pos="-1440"/>
        </w:tabs>
        <w:rPr>
          <w:b w:val="0"/>
          <w:bCs w:val="0"/>
          <w:sz w:val="24"/>
          <w:szCs w:val="24"/>
        </w:rPr>
      </w:pPr>
    </w:p>
    <w:p w:rsidR="00A7230A" w:rsidRPr="00B10ECF" w:rsidP="00456895" w14:paraId="4C6F4BAE" w14:textId="52EFFED3">
      <w:pPr>
        <w:widowControl/>
        <w:tabs>
          <w:tab w:val="left" w:pos="-1440"/>
        </w:tabs>
        <w:ind w:left="720"/>
        <w:rPr>
          <w:b w:val="0"/>
          <w:sz w:val="24"/>
          <w:szCs w:val="24"/>
        </w:rPr>
      </w:pPr>
      <w:r w:rsidRPr="00B10ECF">
        <w:rPr>
          <w:b w:val="0"/>
          <w:sz w:val="24"/>
          <w:szCs w:val="24"/>
        </w:rPr>
        <w:t>This information collection will display the expiration date.</w:t>
      </w:r>
    </w:p>
    <w:p w:rsidR="0086378F" w:rsidRPr="00A92375" w:rsidP="00456895" w14:paraId="50AF1BEE" w14:textId="77777777">
      <w:pPr>
        <w:widowControl/>
        <w:tabs>
          <w:tab w:val="left" w:pos="-1440"/>
        </w:tabs>
        <w:ind w:left="720"/>
        <w:rPr>
          <w:b w:val="0"/>
          <w:bCs w:val="0"/>
          <w:sz w:val="24"/>
          <w:szCs w:val="24"/>
        </w:rPr>
      </w:pPr>
    </w:p>
    <w:p w:rsidR="00BE1236" w:rsidRPr="00BE4E63" w:rsidP="0086378F" w14:paraId="64B721DC" w14:textId="61B5A8D5">
      <w:pPr>
        <w:pStyle w:val="Heading1"/>
        <w:ind w:left="720" w:hanging="720"/>
      </w:pPr>
      <w:r w:rsidRPr="00BE4E63">
        <w:t>18.</w:t>
      </w:r>
      <w:r w:rsidR="00D309FC">
        <w:t xml:space="preserve"> </w:t>
      </w:r>
      <w:r>
        <w:tab/>
      </w:r>
      <w:r w:rsidRPr="0043092C" w:rsidR="0043092C">
        <w:rPr>
          <w:iCs/>
        </w:rPr>
        <w:t>Explain each exception to the topics of the certification statement identified in “Certification for Paperwork Reduction Act Submissions.”</w:t>
      </w:r>
    </w:p>
    <w:p w:rsidR="00AA1E33" w:rsidRPr="00A92375" w:rsidP="0006528F" w14:paraId="609AD1FB" w14:textId="77777777">
      <w:pPr>
        <w:widowControl/>
        <w:rPr>
          <w:sz w:val="24"/>
          <w:szCs w:val="24"/>
        </w:rPr>
      </w:pPr>
    </w:p>
    <w:p w:rsidR="00AA1E33" w:rsidRPr="00A92375" w:rsidP="00860F17" w14:paraId="2E767AF4" w14:textId="29F0639E">
      <w:pPr>
        <w:ind w:firstLine="720"/>
        <w:rPr>
          <w:b w:val="0"/>
          <w:bCs w:val="0"/>
          <w:sz w:val="24"/>
          <w:szCs w:val="24"/>
        </w:rPr>
      </w:pPr>
      <w:r>
        <w:rPr>
          <w:b w:val="0"/>
          <w:bCs w:val="0"/>
          <w:sz w:val="24"/>
          <w:szCs w:val="24"/>
        </w:rPr>
        <w:t xml:space="preserve">There are no exceptions to the certification statement identified in Item 19. </w:t>
      </w:r>
    </w:p>
    <w:p w:rsidR="00AA1E33" w:rsidRPr="00A92375" w:rsidP="00456895" w14:paraId="1257A448" w14:textId="77777777">
      <w:pPr>
        <w:widowControl/>
        <w:ind w:left="720"/>
        <w:rPr>
          <w:b w:val="0"/>
          <w:bCs w:val="0"/>
          <w:sz w:val="24"/>
          <w:szCs w:val="24"/>
        </w:rPr>
      </w:pPr>
    </w:p>
    <w:p w:rsidR="00BE1236" w:rsidP="0005778D" w14:paraId="47461621" w14:textId="77777777">
      <w:pPr>
        <w:pStyle w:val="Heading1"/>
      </w:pPr>
      <w:r w:rsidRPr="0005778D">
        <w:t>B.</w:t>
      </w:r>
      <w:r w:rsidRPr="0005778D">
        <w:tab/>
        <w:t>COLLECTIONS OF INFORMATION EMPLOYING STATISTICAL METHODS</w:t>
      </w:r>
    </w:p>
    <w:p w:rsidR="00AA1E33" w:rsidRPr="000700BA" w:rsidP="000700BA" w14:paraId="66CBBDC3" w14:textId="77777777"/>
    <w:p w:rsidR="00AA1E33" w:rsidRPr="00A92375" w:rsidP="00456895" w14:paraId="313BD083" w14:textId="69F8ED39">
      <w:pPr>
        <w:widowControl/>
        <w:ind w:left="720"/>
        <w:rPr>
          <w:b w:val="0"/>
          <w:bCs w:val="0"/>
          <w:sz w:val="24"/>
          <w:szCs w:val="24"/>
        </w:rPr>
      </w:pPr>
      <w:r>
        <w:rPr>
          <w:b w:val="0"/>
          <w:bCs w:val="0"/>
          <w:sz w:val="24"/>
          <w:szCs w:val="24"/>
        </w:rPr>
        <w:t>Th</w:t>
      </w:r>
      <w:r w:rsidR="00080210">
        <w:rPr>
          <w:b w:val="0"/>
          <w:bCs w:val="0"/>
          <w:sz w:val="24"/>
          <w:szCs w:val="24"/>
        </w:rPr>
        <w:t xml:space="preserve">ere are no statistical methods used in this information </w:t>
      </w:r>
      <w:r w:rsidR="00FE6578">
        <w:rPr>
          <w:b w:val="0"/>
          <w:bCs w:val="0"/>
          <w:sz w:val="24"/>
          <w:szCs w:val="24"/>
        </w:rPr>
        <w:t>collection</w:t>
      </w:r>
      <w:r w:rsidR="00A74343">
        <w:rPr>
          <w:b w:val="0"/>
          <w:bCs w:val="0"/>
          <w:sz w:val="24"/>
          <w:szCs w:val="24"/>
        </w:rPr>
        <w:t>.</w:t>
      </w:r>
    </w:p>
    <w:sectPr>
      <w:headerReference w:type="default" r:id="rId9"/>
      <w:footerReference w:type="even" r:id="rId10"/>
      <w:footerReference w:type="default" r:id="rId11"/>
      <w:endnotePr>
        <w:numFmt w:val="decimal"/>
      </w:endnotePr>
      <w:type w:val="continuous"/>
      <w:pgSz w:w="12240" w:h="15840"/>
      <w:pgMar w:top="1350" w:right="1440" w:bottom="1440" w:left="1440" w:header="135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5C13" w14:paraId="37F94D1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C13" w14:paraId="72106B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5C13" w:rsidRPr="00FF362D" w:rsidP="00FF362D" w14:paraId="292B6171" w14:textId="20A62578">
    <w:pPr>
      <w:pStyle w:val="Footer"/>
      <w:framePr w:wrap="around" w:vAnchor="text" w:hAnchor="page" w:x="6001" w:y="126"/>
      <w:rPr>
        <w:rStyle w:val="PageNumber"/>
        <w:b w:val="0"/>
        <w:bCs w:val="0"/>
        <w:sz w:val="24"/>
        <w:szCs w:val="24"/>
      </w:rPr>
    </w:pPr>
    <w:r w:rsidRPr="00FF362D">
      <w:rPr>
        <w:rStyle w:val="PageNumber"/>
        <w:b w:val="0"/>
        <w:bCs w:val="0"/>
        <w:sz w:val="24"/>
        <w:szCs w:val="24"/>
      </w:rPr>
      <w:fldChar w:fldCharType="begin"/>
    </w:r>
    <w:r w:rsidRPr="00FF362D">
      <w:rPr>
        <w:rStyle w:val="PageNumber"/>
        <w:b w:val="0"/>
        <w:bCs w:val="0"/>
        <w:sz w:val="24"/>
        <w:szCs w:val="24"/>
      </w:rPr>
      <w:instrText xml:space="preserve">PAGE  </w:instrText>
    </w:r>
    <w:r w:rsidRPr="00FF362D">
      <w:rPr>
        <w:rStyle w:val="PageNumber"/>
        <w:b w:val="0"/>
        <w:bCs w:val="0"/>
        <w:sz w:val="24"/>
        <w:szCs w:val="24"/>
      </w:rPr>
      <w:fldChar w:fldCharType="separate"/>
    </w:r>
    <w:r w:rsidRPr="00FF362D" w:rsidR="00D83A6D">
      <w:rPr>
        <w:rStyle w:val="PageNumber"/>
        <w:b w:val="0"/>
        <w:bCs w:val="0"/>
        <w:noProof/>
        <w:sz w:val="24"/>
        <w:szCs w:val="24"/>
      </w:rPr>
      <w:t>11</w:t>
    </w:r>
    <w:r w:rsidRPr="00FF362D">
      <w:rPr>
        <w:rStyle w:val="PageNumber"/>
        <w:b w:val="0"/>
        <w:bCs w:val="0"/>
        <w:sz w:val="24"/>
        <w:szCs w:val="24"/>
      </w:rPr>
      <w:fldChar w:fldCharType="end"/>
    </w:r>
  </w:p>
  <w:p w:rsidR="00C15C13" w14:paraId="0045E28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04EC" w14:paraId="002C4939" w14:textId="77777777">
      <w:r>
        <w:separator/>
      </w:r>
    </w:p>
  </w:footnote>
  <w:footnote w:type="continuationSeparator" w:id="1">
    <w:p w:rsidR="00CF04EC" w14:paraId="645C173D" w14:textId="77777777">
      <w:r>
        <w:continuationSeparator/>
      </w:r>
    </w:p>
  </w:footnote>
  <w:footnote w:type="continuationNotice" w:id="2">
    <w:p w:rsidR="00CF04EC" w14:paraId="298B3537" w14:textId="77777777"/>
  </w:footnote>
  <w:footnote w:id="3">
    <w:p w:rsidR="00B04F4E" w:rsidRPr="00B04F4E" w:rsidP="00B04F4E" w14:paraId="47256791" w14:textId="77777777">
      <w:pPr>
        <w:pStyle w:val="FootnoteText"/>
        <w:contextualSpacing/>
        <w:rPr>
          <w:b w:val="0"/>
          <w:bCs w:val="0"/>
          <w:sz w:val="20"/>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sz w:val="20"/>
        </w:rPr>
        <w:t>90 FR 16441 (Apr. 18, 2025).</w:t>
      </w:r>
    </w:p>
  </w:footnote>
  <w:footnote w:id="4">
    <w:p w:rsidR="00B04F4E" w:rsidRPr="00B04F4E" w:rsidP="00B04F4E" w14:paraId="010308E3" w14:textId="77777777">
      <w:pPr>
        <w:pStyle w:val="FootnoteText"/>
        <w:contextualSpacing/>
        <w:rPr>
          <w:b w:val="0"/>
          <w:bCs w:val="0"/>
          <w:sz w:val="20"/>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i/>
          <w:iCs/>
          <w:sz w:val="20"/>
        </w:rPr>
        <w:t>See</w:t>
      </w:r>
      <w:r w:rsidRPr="00B04F4E">
        <w:rPr>
          <w:b w:val="0"/>
          <w:bCs w:val="0"/>
          <w:sz w:val="20"/>
        </w:rPr>
        <w:t xml:space="preserve"> Fact Sheet: President Donald J. Trump Announces Actions to Lower Prescription Drug Prices (Apr. 15, 2025) (“The [Executive] Order builds off [the Administration’s] critical work and reevaluates the role of middlemen by: Improving disclosure of fees that pharmaceutical benefit managers (PBMs) pay to brokers for steering employers to utilize their services . . .”), available at </w:t>
      </w:r>
      <w:hyperlink r:id="rId1" w:history="1">
        <w:r w:rsidRPr="00B04F4E">
          <w:rPr>
            <w:rStyle w:val="Hyperlink"/>
            <w:b w:val="0"/>
            <w:bCs w:val="0"/>
            <w:sz w:val="20"/>
          </w:rPr>
          <w:t>https://www.whitehouse.gov/fact-sheets/2025/04/fact-sheet-president-donald-j-trump-announces-actions-to-lower-prescription-drug-prices/</w:t>
        </w:r>
      </w:hyperlink>
      <w:r w:rsidRPr="00B04F4E">
        <w:rPr>
          <w:b w:val="0"/>
          <w:bCs w:val="0"/>
          <w:sz w:val="20"/>
        </w:rPr>
        <w:t xml:space="preserve">. </w:t>
      </w:r>
    </w:p>
  </w:footnote>
  <w:footnote w:id="5">
    <w:p w:rsidR="00B04F4E" w:rsidRPr="00A64CD4" w:rsidP="00B04F4E" w14:paraId="6C788C75" w14:textId="77777777">
      <w:pPr>
        <w:pStyle w:val="FootnoteText"/>
        <w:contextualSpacing/>
        <w:rPr>
          <w:rStyle w:val="Hyperlink"/>
          <w:color w:val="467886"/>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i/>
          <w:iCs/>
          <w:sz w:val="20"/>
        </w:rPr>
        <w:t>See, e.g.</w:t>
      </w:r>
      <w:r w:rsidRPr="00B04F4E">
        <w:rPr>
          <w:b w:val="0"/>
          <w:bCs w:val="0"/>
          <w:iCs/>
          <w:sz w:val="20"/>
        </w:rPr>
        <w:t>,</w:t>
      </w:r>
      <w:r w:rsidRPr="00B04F4E">
        <w:rPr>
          <w:b w:val="0"/>
          <w:bCs w:val="0"/>
          <w:sz w:val="20"/>
        </w:rPr>
        <w:t xml:space="preserve"> Department of Labor News Release, </w:t>
      </w:r>
      <w:r w:rsidRPr="00B04F4E">
        <w:rPr>
          <w:b w:val="0"/>
          <w:bCs w:val="0"/>
          <w:i/>
          <w:iCs/>
          <w:sz w:val="20"/>
        </w:rPr>
        <w:t>Departments of Labor, Health and Human Services, Treasury Announce Move to Strengthen Healthcare Price Transparency</w:t>
      </w:r>
      <w:r w:rsidRPr="00B04F4E">
        <w:rPr>
          <w:b w:val="0"/>
          <w:bCs w:val="0"/>
          <w:sz w:val="20"/>
        </w:rPr>
        <w:t xml:space="preserve">, available at </w:t>
      </w:r>
      <w:hyperlink r:id="rId2" w:history="1">
        <w:r w:rsidRPr="00B04F4E">
          <w:rPr>
            <w:rStyle w:val="Hyperlink"/>
            <w:b w:val="0"/>
            <w:bCs w:val="0"/>
            <w:sz w:val="20"/>
          </w:rPr>
          <w:t>https://www.dol.gov/newsroom/releases/ebsa/ebsa20250522</w:t>
        </w:r>
      </w:hyperlink>
      <w:r w:rsidRPr="00B04F4E">
        <w:rPr>
          <w:b w:val="0"/>
          <w:bCs w:val="0"/>
          <w:sz w:val="20"/>
        </w:rPr>
        <w:t xml:space="preserve"> (May 22, 2025); Executive Order 14221, “Making America Healthy Again by Empowering Patients with Clear, Accurate, and Actionable Healthcare Pricing Information,” </w:t>
      </w:r>
      <w:r w:rsidRPr="00B04F4E">
        <w:rPr>
          <w:b w:val="0"/>
          <w:bCs w:val="0"/>
          <w:color w:val="212121"/>
          <w:sz w:val="20"/>
        </w:rPr>
        <w:t xml:space="preserve">which directs the Secretaries of Treasury, Labor, and Health and Human Services to build on the groundbreaking transparency regulations launched during President Trump’s first term. </w:t>
      </w:r>
      <w:hyperlink r:id="rId3" w:history="1">
        <w:r w:rsidRPr="00B04F4E">
          <w:rPr>
            <w:rStyle w:val="Hyperlink"/>
            <w:b w:val="0"/>
            <w:bCs w:val="0"/>
            <w:sz w:val="20"/>
          </w:rPr>
          <w:t>E.O. 14221 (Feb. 25, 2025); Executive Order 13877, “Improving Price and Quality Transparency in American Healthcare to Put Patients First” (June 24, 2019); Executive Order 13813, “Promoting Healthcare Choice and Competition Across the United States” (Oct. 12, 2017).</w:t>
        </w:r>
      </w:hyperlink>
    </w:p>
  </w:footnote>
  <w:footnote w:id="6">
    <w:p w:rsidR="00B04F4E" w:rsidRPr="00B04F4E" w:rsidP="00B04F4E" w14:paraId="7958DAAB" w14:textId="77777777">
      <w:pPr>
        <w:pStyle w:val="FootnoteText"/>
        <w:rPr>
          <w:b w:val="0"/>
          <w:bCs w:val="0"/>
          <w:sz w:val="20"/>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sz w:val="20"/>
        </w:rPr>
        <w:t>Section 6702 of Title VII of Division B of the Consolidated Appropriations Act, 2026, amending definition of “covered service provider” in ERISA section 408(b)(2)(B).</w:t>
      </w:r>
    </w:p>
  </w:footnote>
  <w:footnote w:id="7">
    <w:p w:rsidR="00B04F4E" w:rsidRPr="00B04F4E" w:rsidP="00B04F4E" w14:paraId="60C9D0AC" w14:textId="77777777">
      <w:pPr>
        <w:pStyle w:val="FootnoteText"/>
        <w:contextualSpacing/>
        <w:rPr>
          <w:b w:val="0"/>
          <w:bCs w:val="0"/>
          <w:sz w:val="20"/>
        </w:rPr>
      </w:pPr>
      <w:r w:rsidRPr="00B04F4E">
        <w:rPr>
          <w:rStyle w:val="FootnoteReference"/>
          <w:b w:val="0"/>
          <w:bCs w:val="0"/>
          <w:sz w:val="20"/>
          <w:vertAlign w:val="superscript"/>
        </w:rPr>
        <w:footnoteRef/>
      </w:r>
      <w:r w:rsidRPr="00B04F4E">
        <w:rPr>
          <w:b w:val="0"/>
          <w:bCs w:val="0"/>
          <w:sz w:val="20"/>
        </w:rPr>
        <w:t xml:space="preserve"> </w:t>
      </w:r>
      <w:r w:rsidRPr="00B04F4E">
        <w:rPr>
          <w:b w:val="0"/>
          <w:bCs w:val="0"/>
          <w:i/>
          <w:iCs/>
          <w:sz w:val="20"/>
        </w:rPr>
        <w:t>See, e.g.</w:t>
      </w:r>
      <w:r w:rsidRPr="00B04F4E">
        <w:rPr>
          <w:b w:val="0"/>
          <w:bCs w:val="0"/>
          <w:sz w:val="20"/>
        </w:rPr>
        <w:t xml:space="preserve">, Federal Trade Commission, </w:t>
      </w:r>
      <w:r w:rsidRPr="00B04F4E">
        <w:rPr>
          <w:b w:val="0"/>
          <w:bCs w:val="0"/>
          <w:i/>
          <w:sz w:val="20"/>
        </w:rPr>
        <w:t>Interim Staff Report</w:t>
      </w:r>
      <w:r w:rsidRPr="00B04F4E">
        <w:rPr>
          <w:b w:val="0"/>
          <w:bCs w:val="0"/>
          <w:sz w:val="20"/>
        </w:rPr>
        <w:t xml:space="preserve">, </w:t>
      </w:r>
      <w:r w:rsidRPr="00B04F4E">
        <w:rPr>
          <w:b w:val="0"/>
          <w:bCs w:val="0"/>
          <w:i/>
          <w:iCs/>
          <w:sz w:val="20"/>
        </w:rPr>
        <w:t>Pharmacy Benefit Managers: The Powerful Middlemen Inflating Drug Costs and Squeezing Main Street Pharmacies</w:t>
      </w:r>
      <w:r w:rsidRPr="00B04F4E">
        <w:rPr>
          <w:b w:val="0"/>
          <w:bCs w:val="0"/>
          <w:sz w:val="20"/>
        </w:rPr>
        <w:t xml:space="preserve"> (July 2024), available at </w:t>
      </w:r>
      <w:hyperlink r:id="rId4" w:history="1">
        <w:r w:rsidRPr="00B04F4E">
          <w:rPr>
            <w:rStyle w:val="Hyperlink"/>
            <w:b w:val="0"/>
            <w:bCs w:val="0"/>
            <w:sz w:val="20"/>
          </w:rPr>
          <w:t>https://www.ftc.gov/system/files/ftc_gov/pdf/pharmacy-benefit-managers-staff-report.pdf</w:t>
        </w:r>
      </w:hyperlink>
      <w:r w:rsidRPr="00B04F4E">
        <w:rPr>
          <w:b w:val="0"/>
          <w:bCs w:val="0"/>
          <w:sz w:val="20"/>
        </w:rPr>
        <w:t xml:space="preserve">. </w:t>
      </w:r>
    </w:p>
  </w:footnote>
  <w:footnote w:id="8">
    <w:p w:rsidR="00B04F4E" w:rsidRPr="00B04F4E" w:rsidP="00B04F4E" w14:paraId="39574EBF" w14:textId="77777777">
      <w:pPr>
        <w:pStyle w:val="FootnoteText"/>
        <w:rPr>
          <w:b w:val="0"/>
          <w:bCs w:val="0"/>
          <w:sz w:val="20"/>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sz w:val="20"/>
        </w:rPr>
        <w:t>As discussed below in section B.3.2 of this preamble, rebates are discounts on drugs offered by the pharmaceutical manufacturer in return for preferred placement on a self-insured group health plan’s formulary.</w:t>
      </w:r>
    </w:p>
  </w:footnote>
  <w:footnote w:id="9">
    <w:p w:rsidR="00B04F4E" w:rsidRPr="00B04F4E" w:rsidP="00B04F4E" w14:paraId="6574BD51" w14:textId="77777777">
      <w:pPr>
        <w:pStyle w:val="FootnoteText"/>
        <w:contextualSpacing/>
        <w:rPr>
          <w:b w:val="0"/>
          <w:bCs w:val="0"/>
          <w:sz w:val="20"/>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sz w:val="20"/>
        </w:rPr>
        <w:t xml:space="preserve">A formulary is a list of drugs covered by the plan. </w:t>
      </w:r>
    </w:p>
  </w:footnote>
  <w:footnote w:id="10">
    <w:p w:rsidR="00B04F4E" w:rsidRPr="00B04F4E" w:rsidP="00B04F4E" w14:paraId="0612378C" w14:textId="77777777">
      <w:pPr>
        <w:pStyle w:val="FootnoteText"/>
        <w:contextualSpacing/>
        <w:rPr>
          <w:b w:val="0"/>
          <w:bCs w:val="0"/>
          <w:sz w:val="20"/>
        </w:rPr>
      </w:pPr>
      <w:r w:rsidRPr="00B04F4E">
        <w:rPr>
          <w:rStyle w:val="FootnoteReference"/>
          <w:b w:val="0"/>
          <w:bCs w:val="0"/>
          <w:sz w:val="20"/>
          <w:vertAlign w:val="superscript"/>
        </w:rPr>
        <w:footnoteRef/>
      </w:r>
      <w:r w:rsidRPr="00B04F4E">
        <w:rPr>
          <w:b w:val="0"/>
          <w:bCs w:val="0"/>
          <w:sz w:val="20"/>
          <w:vertAlign w:val="superscript"/>
        </w:rPr>
        <w:t xml:space="preserve"> </w:t>
      </w:r>
      <w:r w:rsidRPr="00B04F4E">
        <w:rPr>
          <w:b w:val="0"/>
          <w:bCs w:val="0"/>
          <w:i/>
          <w:iCs/>
          <w:sz w:val="20"/>
        </w:rPr>
        <w:t>See</w:t>
      </w:r>
      <w:r w:rsidRPr="00B04F4E">
        <w:rPr>
          <w:b w:val="0"/>
          <w:bCs w:val="0"/>
          <w:sz w:val="20"/>
        </w:rPr>
        <w:t xml:space="preserve"> Advisory Council on Employee Welfare and Pension Benefit Plans (ERISA Advisory Council), </w:t>
      </w:r>
      <w:r w:rsidRPr="00B04F4E">
        <w:rPr>
          <w:b w:val="0"/>
          <w:bCs w:val="0"/>
          <w:i/>
          <w:iCs/>
          <w:sz w:val="20"/>
        </w:rPr>
        <w:t>PBM Compensation and Fee Disclosure</w:t>
      </w:r>
      <w:r w:rsidRPr="00B04F4E">
        <w:rPr>
          <w:b w:val="0"/>
          <w:bCs w:val="0"/>
          <w:sz w:val="20"/>
        </w:rPr>
        <w:t xml:space="preserve"> at 20 (Nov. 2014) available at </w:t>
      </w:r>
      <w:hyperlink r:id="rId5" w:history="1">
        <w:r w:rsidRPr="00B04F4E">
          <w:rPr>
            <w:rStyle w:val="Hyperlink"/>
            <w:b w:val="0"/>
            <w:bCs w:val="0"/>
            <w:sz w:val="20"/>
          </w:rPr>
          <w:t>https://www.dol.gov/sites/dolgov/files/ebsa/pdf_files/2014-pbm-compensation-and-fee-disclosure.pdf</w:t>
        </w:r>
      </w:hyperlink>
      <w:r w:rsidRPr="00B04F4E">
        <w:rPr>
          <w:b w:val="0"/>
          <w:bCs w:val="0"/>
          <w:sz w:val="20"/>
        </w:rPr>
        <w:t xml:space="preserve"> (“Plan sponsors uniformly testified about the difficulties in obtaining the disclosure of PBM compensation, and how this interfered with their efforts to negotiate and monitor PBM contracts.”).</w:t>
      </w:r>
    </w:p>
  </w:footnote>
  <w:footnote w:id="11">
    <w:p w:rsidR="00B04F4E" w:rsidRPr="00B04F4E" w:rsidP="00B04F4E" w14:paraId="03E9B747" w14:textId="77777777">
      <w:pPr>
        <w:rPr>
          <w:b w:val="0"/>
          <w:bCs w:val="0"/>
        </w:rPr>
      </w:pPr>
      <w:r w:rsidRPr="00B04F4E">
        <w:rPr>
          <w:b w:val="0"/>
          <w:bCs w:val="0"/>
          <w:vertAlign w:val="superscript"/>
        </w:rPr>
        <w:footnoteRef/>
      </w:r>
      <w:r w:rsidRPr="00B04F4E">
        <w:rPr>
          <w:b w:val="0"/>
          <w:bCs w:val="0"/>
        </w:rPr>
        <w:t xml:space="preserve"> Section 6702 of Title VII of Division B of the Consolidated Appropriations Act, 2026 amended subparagraph (b)(2)(B) of ERISA section 408.</w:t>
      </w:r>
    </w:p>
  </w:footnote>
  <w:footnote w:id="12">
    <w:p w:rsidR="00B04F4E" w:rsidRPr="00B04F4E" w:rsidP="00B04F4E" w14:paraId="3828C1DC" w14:textId="77777777">
      <w:pPr>
        <w:pStyle w:val="FootnoteText"/>
        <w:rPr>
          <w:b w:val="0"/>
          <w:bCs w:val="0"/>
          <w:sz w:val="20"/>
        </w:rPr>
      </w:pPr>
      <w:r w:rsidRPr="00B04F4E">
        <w:rPr>
          <w:rStyle w:val="FootnoteReference"/>
          <w:b w:val="0"/>
          <w:bCs w:val="0"/>
          <w:sz w:val="20"/>
        </w:rPr>
        <w:footnoteRef/>
      </w:r>
      <w:r w:rsidRPr="00B04F4E">
        <w:rPr>
          <w:b w:val="0"/>
          <w:bCs w:val="0"/>
          <w:sz w:val="20"/>
        </w:rPr>
        <w:t xml:space="preserve"> Section 6702 of Title VII of Division B of the Consolidated Appropriations Act, 2026 added subparagraph (b)(2)(C) to ERISA section 408.</w:t>
      </w:r>
    </w:p>
  </w:footnote>
  <w:footnote w:id="13">
    <w:p w:rsidR="00B04F4E" w:rsidP="00B04F4E" w14:paraId="0EA1EF10" w14:textId="77777777">
      <w:r w:rsidRPr="00B04F4E">
        <w:rPr>
          <w:b w:val="0"/>
          <w:bCs w:val="0"/>
          <w:vertAlign w:val="superscript"/>
        </w:rPr>
        <w:footnoteRef/>
      </w:r>
      <w:r w:rsidRPr="00B04F4E">
        <w:rPr>
          <w:b w:val="0"/>
          <w:bCs w:val="0"/>
        </w:rPr>
        <w:t xml:space="preserve"> ERISA section 726, added by section 6701 of Title VII of Division B of the Consolidated Appropriations Act, 2026. Section 6701 also added parallel provisions in Public Health Service Act section 2799A-11 and Internal Revenue Code section 9826.</w:t>
      </w:r>
    </w:p>
  </w:footnote>
  <w:footnote w:id="14">
    <w:p w:rsidR="006871C0" w:rsidRPr="006871C0" w:rsidP="006871C0" w14:paraId="4E4189A6" w14:textId="77777777">
      <w:pPr>
        <w:pStyle w:val="FootnoteText"/>
        <w:rPr>
          <w:b w:val="0"/>
          <w:bCs w:val="0"/>
          <w:sz w:val="20"/>
        </w:rPr>
      </w:pPr>
      <w:r w:rsidRPr="00162034">
        <w:rPr>
          <w:rStyle w:val="FootnoteReference"/>
          <w:b w:val="0"/>
          <w:bCs w:val="0"/>
          <w:sz w:val="20"/>
          <w:vertAlign w:val="superscript"/>
        </w:rPr>
        <w:footnoteRef/>
      </w:r>
      <w:r w:rsidRPr="00162034">
        <w:rPr>
          <w:b w:val="0"/>
          <w:bCs w:val="0"/>
          <w:sz w:val="20"/>
          <w:vertAlign w:val="superscript"/>
        </w:rPr>
        <w:t xml:space="preserve"> </w:t>
      </w:r>
      <w:r w:rsidRPr="006871C0">
        <w:rPr>
          <w:b w:val="0"/>
          <w:bCs w:val="0"/>
          <w:sz w:val="20"/>
        </w:rPr>
        <w:t xml:space="preserve">Government Accountability Office, </w:t>
      </w:r>
      <w:r w:rsidRPr="006871C0">
        <w:rPr>
          <w:b w:val="0"/>
          <w:bCs w:val="0"/>
          <w:i/>
          <w:iCs/>
          <w:sz w:val="20"/>
        </w:rPr>
        <w:t>Prescription Drugs: Selected States’ Regulation of Pharmacy Benefit Managers</w:t>
      </w:r>
      <w:r w:rsidRPr="006871C0">
        <w:rPr>
          <w:b w:val="0"/>
          <w:bCs w:val="0"/>
          <w:sz w:val="20"/>
        </w:rPr>
        <w:t xml:space="preserve"> (March 2024). </w:t>
      </w:r>
      <w:hyperlink r:id="rId6" w:history="1">
        <w:r w:rsidRPr="006871C0">
          <w:rPr>
            <w:rStyle w:val="Hyperlink"/>
            <w:rFonts w:eastAsiaTheme="majorEastAsia"/>
            <w:b w:val="0"/>
            <w:bCs w:val="0"/>
            <w:sz w:val="20"/>
          </w:rPr>
          <w:t>https://www.gao.gov/assets/d24106898.pdf</w:t>
        </w:r>
      </w:hyperlink>
      <w:r w:rsidRPr="006871C0">
        <w:rPr>
          <w:b w:val="0"/>
          <w:bCs w:val="0"/>
          <w:sz w:val="20"/>
        </w:rPr>
        <w:t>.</w:t>
      </w:r>
    </w:p>
  </w:footnote>
  <w:footnote w:id="15">
    <w:p w:rsidR="003151BF" w:rsidRPr="004F1C08" w:rsidP="003151BF" w14:paraId="5497D140" w14:textId="77777777">
      <w:pPr>
        <w:pStyle w:val="FootnoteText"/>
      </w:pPr>
      <w:r w:rsidRPr="00ED2463">
        <w:rPr>
          <w:rStyle w:val="FootnoteReference"/>
          <w:b w:val="0"/>
          <w:bCs w:val="0"/>
          <w:sz w:val="20"/>
          <w:vertAlign w:val="superscript"/>
        </w:rPr>
        <w:footnoteRef/>
      </w:r>
      <w:r w:rsidRPr="00ED2463">
        <w:rPr>
          <w:b w:val="0"/>
          <w:bCs w:val="0"/>
          <w:sz w:val="20"/>
          <w:vertAlign w:val="superscript"/>
        </w:rPr>
        <w:t xml:space="preserve"> </w:t>
      </w:r>
      <w:r w:rsidRPr="00ED2463">
        <w:rPr>
          <w:b w:val="0"/>
          <w:bCs w:val="0"/>
          <w:sz w:val="20"/>
        </w:rPr>
        <w:t xml:space="preserve">Drug Channels, </w:t>
      </w:r>
      <w:r w:rsidRPr="00ED2463">
        <w:rPr>
          <w:b w:val="0"/>
          <w:bCs w:val="0"/>
          <w:i/>
          <w:iCs/>
          <w:sz w:val="20"/>
        </w:rPr>
        <w:t>Plan Sponsors Like More Transparent PBMs—Yet Not All Choose Transparency</w:t>
      </w:r>
      <w:r w:rsidRPr="00ED2463">
        <w:rPr>
          <w:b w:val="0"/>
          <w:bCs w:val="0"/>
          <w:sz w:val="20"/>
        </w:rPr>
        <w:t xml:space="preserve">, (December 2016), </w:t>
      </w:r>
      <w:hyperlink r:id="rId7" w:history="1">
        <w:r w:rsidRPr="00ED2463">
          <w:rPr>
            <w:rStyle w:val="Hyperlink"/>
            <w:b w:val="0"/>
            <w:bCs w:val="0"/>
            <w:sz w:val="20"/>
          </w:rPr>
          <w:t>https://www.drugchannels.net/2016/12/plan-sponsors-like-more-transparent.html</w:t>
        </w:r>
      </w:hyperlink>
      <w:r>
        <w:t>.</w:t>
      </w:r>
    </w:p>
  </w:footnote>
  <w:footnote w:id="16">
    <w:p w:rsidR="00B706C9" w:rsidRPr="00B706C9" w:rsidP="00B706C9" w14:paraId="415ED1E2" w14:textId="77777777">
      <w:pPr>
        <w:pStyle w:val="FootnoteText"/>
        <w:rPr>
          <w:b w:val="0"/>
          <w:bCs w:val="0"/>
          <w:sz w:val="20"/>
        </w:rPr>
      </w:pPr>
      <w:r w:rsidRPr="00B706C9">
        <w:rPr>
          <w:rStyle w:val="FootnoteReference"/>
          <w:b w:val="0"/>
          <w:bCs w:val="0"/>
          <w:sz w:val="20"/>
          <w:vertAlign w:val="superscript"/>
        </w:rPr>
        <w:footnoteRef/>
      </w:r>
      <w:r w:rsidRPr="00B706C9">
        <w:rPr>
          <w:b w:val="0"/>
          <w:bCs w:val="0"/>
          <w:sz w:val="20"/>
          <w:vertAlign w:val="superscript"/>
        </w:rPr>
        <w:t xml:space="preserve"> </w:t>
      </w:r>
      <w:r w:rsidRPr="00B706C9">
        <w:rPr>
          <w:b w:val="0"/>
          <w:bCs w:val="0"/>
          <w:sz w:val="20"/>
        </w:rPr>
        <w:t xml:space="preserve">The Department estimated that there are 113,226 self-insured ERISA-covered group health plans with 100 to 999 participants and 17,876 self-insured ERISA-covered group health plans with 1,000 or more participants using the 2024 Medical Expenditure Panel Survey Insurance Component (MEPS-IC) and the 2022 County Business Patterns from the Census Bureau. </w:t>
      </w:r>
    </w:p>
  </w:footnote>
  <w:footnote w:id="17">
    <w:p w:rsidR="00B706C9" w:rsidRPr="00B706C9" w:rsidP="00B706C9" w14:paraId="6DA69953" w14:textId="77777777">
      <w:pPr>
        <w:pStyle w:val="FootnoteText"/>
        <w:rPr>
          <w:b w:val="0"/>
          <w:bCs w:val="0"/>
          <w:sz w:val="20"/>
        </w:rPr>
      </w:pPr>
      <w:r w:rsidRPr="00B706C9">
        <w:rPr>
          <w:rStyle w:val="FootnoteReference"/>
          <w:b w:val="0"/>
          <w:bCs w:val="0"/>
          <w:sz w:val="20"/>
          <w:vertAlign w:val="superscript"/>
        </w:rPr>
        <w:footnoteRef/>
      </w:r>
      <w:r w:rsidRPr="00B706C9">
        <w:rPr>
          <w:b w:val="0"/>
          <w:bCs w:val="0"/>
          <w:sz w:val="20"/>
        </w:rPr>
        <w:t xml:space="preserve"> KFF reported this estimate for large firms only, as small firm respondents had a high percentage of “don’t know” responses to these questions.</w:t>
      </w:r>
    </w:p>
  </w:footnote>
  <w:footnote w:id="18">
    <w:p w:rsidR="00B706C9" w:rsidRPr="00C51AF7" w:rsidP="00B706C9" w14:paraId="2B54F745" w14:textId="77777777">
      <w:pPr>
        <w:pStyle w:val="FootnoteText"/>
        <w:rPr>
          <w:b w:val="0"/>
          <w:bCs w:val="0"/>
          <w:sz w:val="20"/>
        </w:rPr>
      </w:pPr>
      <w:r w:rsidRPr="00B706C9">
        <w:rPr>
          <w:rStyle w:val="FootnoteReference"/>
          <w:b w:val="0"/>
          <w:bCs w:val="0"/>
          <w:sz w:val="20"/>
          <w:vertAlign w:val="superscript"/>
        </w:rPr>
        <w:footnoteRef/>
      </w:r>
      <w:r w:rsidRPr="00B706C9">
        <w:rPr>
          <w:b w:val="0"/>
          <w:bCs w:val="0"/>
          <w:sz w:val="20"/>
          <w:vertAlign w:val="superscript"/>
        </w:rPr>
        <w:t xml:space="preserve"> </w:t>
      </w:r>
      <w:r w:rsidRPr="00B706C9">
        <w:rPr>
          <w:b w:val="0"/>
          <w:bCs w:val="0"/>
          <w:sz w:val="20"/>
        </w:rPr>
        <w:t xml:space="preserve">KFF, </w:t>
      </w:r>
      <w:r w:rsidRPr="00B706C9">
        <w:rPr>
          <w:b w:val="0"/>
          <w:bCs w:val="0"/>
          <w:i/>
          <w:iCs/>
          <w:sz w:val="20"/>
        </w:rPr>
        <w:t>2025 Employer Health Benefits Survey</w:t>
      </w:r>
      <w:r w:rsidRPr="00B706C9">
        <w:rPr>
          <w:b w:val="0"/>
          <w:bCs w:val="0"/>
          <w:sz w:val="20"/>
        </w:rPr>
        <w:t xml:space="preserve"> (Oct. 22, 2025), </w:t>
      </w:r>
      <w:hyperlink r:id="rId8" w:history="1">
        <w:r w:rsidRPr="00C51AF7">
          <w:rPr>
            <w:rStyle w:val="Hyperlink"/>
            <w:b w:val="0"/>
            <w:bCs w:val="0"/>
            <w:sz w:val="20"/>
          </w:rPr>
          <w:t>https://www.kff.org/report-section/ehbs-2024-section-9-prescription-drug-benefits/</w:t>
        </w:r>
      </w:hyperlink>
      <w:r w:rsidRPr="00C51AF7">
        <w:rPr>
          <w:b w:val="0"/>
          <w:bCs w:val="0"/>
          <w:sz w:val="20"/>
        </w:rPr>
        <w:t>.</w:t>
      </w:r>
    </w:p>
  </w:footnote>
  <w:footnote w:id="19">
    <w:p w:rsidR="00C51AF7" w:rsidRPr="0026766E" w:rsidP="00C51AF7" w14:paraId="712D8F2F" w14:textId="77777777">
      <w:pPr>
        <w:pStyle w:val="FootnoteText"/>
      </w:pPr>
      <w:r w:rsidRPr="00C51AF7">
        <w:rPr>
          <w:rStyle w:val="FootnoteReference"/>
          <w:b w:val="0"/>
          <w:bCs w:val="0"/>
          <w:sz w:val="20"/>
          <w:vertAlign w:val="superscript"/>
        </w:rPr>
        <w:footnoteRef/>
      </w:r>
      <w:r w:rsidRPr="00C51AF7">
        <w:rPr>
          <w:b w:val="0"/>
          <w:bCs w:val="0"/>
          <w:sz w:val="20"/>
          <w:vertAlign w:val="superscript"/>
        </w:rPr>
        <w:t xml:space="preserve"> </w:t>
      </w:r>
      <w:r w:rsidRPr="00C51AF7">
        <w:rPr>
          <w:b w:val="0"/>
          <w:bCs w:val="0"/>
          <w:sz w:val="20"/>
        </w:rPr>
        <w:t xml:space="preserve">An “issuer/state combination” refers to a health insurance issuer and the state in which it offers coverage, such that the same issuer operating in multiple states is treated as separate issuer/state combinations. Data source: Centers for Medicare and Medicaid Services, </w:t>
      </w:r>
      <w:r w:rsidRPr="00C51AF7">
        <w:rPr>
          <w:b w:val="0"/>
          <w:bCs w:val="0"/>
          <w:i/>
          <w:sz w:val="20"/>
        </w:rPr>
        <w:t>2023 Medical Loss Ratio Data</w:t>
      </w:r>
      <w:r w:rsidRPr="00C51AF7">
        <w:rPr>
          <w:b w:val="0"/>
          <w:bCs w:val="0"/>
          <w:sz w:val="20"/>
        </w:rPr>
        <w:t xml:space="preserve">, </w:t>
      </w:r>
      <w:hyperlink r:id="rId9" w:history="1">
        <w:r w:rsidRPr="00C51AF7">
          <w:rPr>
            <w:rStyle w:val="Hyperlink"/>
            <w:b w:val="0"/>
            <w:bCs w:val="0"/>
            <w:sz w:val="20"/>
          </w:rPr>
          <w:t>https://www.cms.gov/marketplace/resources/data/medical-loss-ratio-data-systems-resources</w:t>
        </w:r>
      </w:hyperlink>
      <w:r w:rsidRPr="00C51AF7">
        <w:rPr>
          <w:b w:val="0"/>
          <w:bCs w:val="0"/>
          <w:sz w:val="20"/>
        </w:rPr>
        <w:t>.</w:t>
      </w:r>
    </w:p>
  </w:footnote>
  <w:footnote w:id="20">
    <w:p w:rsidR="00D158FE" w:rsidRPr="00267E1D" w:rsidP="00D158FE" w14:paraId="7AAAFD52" w14:textId="4A73F4E0">
      <w:pPr>
        <w:pStyle w:val="FootnoteText"/>
        <w:rPr>
          <w:b w:val="0"/>
          <w:bCs w:val="0"/>
          <w:sz w:val="20"/>
        </w:rPr>
      </w:pPr>
      <w:r w:rsidRPr="00267E1D">
        <w:rPr>
          <w:rStyle w:val="FootnoteReference"/>
          <w:b w:val="0"/>
          <w:bCs w:val="0"/>
          <w:sz w:val="20"/>
          <w:vertAlign w:val="superscript"/>
        </w:rPr>
        <w:footnoteRef/>
      </w:r>
      <w:r w:rsidRPr="00267E1D">
        <w:rPr>
          <w:b w:val="0"/>
          <w:bCs w:val="0"/>
          <w:sz w:val="20"/>
          <w:vertAlign w:val="superscript"/>
        </w:rPr>
        <w:t xml:space="preserve"> </w:t>
      </w:r>
      <w:r w:rsidRPr="00267E1D">
        <w:rPr>
          <w:b w:val="0"/>
          <w:bCs w:val="0"/>
          <w:sz w:val="20"/>
        </w:rPr>
        <w:t>Internal DOL calculation based on 202</w:t>
      </w:r>
      <w:r w:rsidRPr="00267E1D" w:rsidR="00373162">
        <w:rPr>
          <w:b w:val="0"/>
          <w:bCs w:val="0"/>
          <w:sz w:val="20"/>
        </w:rPr>
        <w:t>6</w:t>
      </w:r>
      <w:r w:rsidRPr="00267E1D">
        <w:rPr>
          <w:b w:val="0"/>
          <w:bCs w:val="0"/>
          <w:sz w:val="20"/>
        </w:rPr>
        <w:t xml:space="preserve"> labor cost data. For a description of DOL’s methodology for calculating wage rates, see </w:t>
      </w:r>
      <w:hyperlink r:id="rId10" w:history="1">
        <w:r w:rsidRPr="00267E1D">
          <w:rPr>
            <w:rStyle w:val="Hyperlink"/>
            <w:b w:val="0"/>
            <w:bCs w:val="0"/>
            <w:sz w:val="20"/>
          </w:rPr>
          <w:t>https://www.dol.gov/sites/dolgov/files/EBSA/laws-and-regulations/rules-and-regulations/technical-appendices/labor-cost-inputs-used-in-ebsa-opr-ria-and-pra-burden-calculations-june-2019.pdf</w:t>
        </w:r>
      </w:hyperlink>
      <w:r w:rsidRPr="00267E1D">
        <w:rPr>
          <w:b w:val="0"/>
          <w:bCs w:val="0"/>
          <w:sz w:val="20"/>
        </w:rPr>
        <w:t>.</w:t>
      </w:r>
    </w:p>
  </w:footnote>
  <w:footnote w:id="21">
    <w:p w:rsidR="00267E1D" w:rsidRPr="0026766E" w:rsidP="00267E1D" w14:paraId="03590A2C" w14:textId="77777777">
      <w:pPr>
        <w:pStyle w:val="FootnoteText"/>
        <w:rPr>
          <w:i/>
        </w:rPr>
      </w:pPr>
      <w:r w:rsidRPr="00267E1D">
        <w:rPr>
          <w:rStyle w:val="FootnoteReference"/>
          <w:b w:val="0"/>
          <w:bCs w:val="0"/>
          <w:sz w:val="20"/>
          <w:vertAlign w:val="superscript"/>
        </w:rPr>
        <w:footnoteRef/>
      </w:r>
      <w:r w:rsidRPr="00267E1D">
        <w:rPr>
          <w:b w:val="0"/>
          <w:bCs w:val="0"/>
          <w:sz w:val="20"/>
        </w:rPr>
        <w:t xml:space="preserve"> National Academy for State Health Policy, </w:t>
      </w:r>
      <w:r w:rsidRPr="00267E1D">
        <w:rPr>
          <w:b w:val="0"/>
          <w:bCs w:val="0"/>
          <w:i/>
          <w:iCs/>
          <w:sz w:val="20"/>
        </w:rPr>
        <w:t xml:space="preserve">State Pharmacy Benefit Manger Legislation </w:t>
      </w:r>
      <w:r w:rsidRPr="00267E1D">
        <w:rPr>
          <w:b w:val="0"/>
          <w:bCs w:val="0"/>
          <w:sz w:val="20"/>
        </w:rPr>
        <w:t xml:space="preserve">(last updated Mar. 10, 2026), available at </w:t>
      </w:r>
      <w:hyperlink r:id="rId11" w:history="1">
        <w:r w:rsidRPr="00267E1D">
          <w:rPr>
            <w:rStyle w:val="Hyperlink"/>
            <w:b w:val="0"/>
            <w:bCs w:val="0"/>
            <w:sz w:val="20"/>
          </w:rPr>
          <w:t>https://nashp.org/state-tracker/state-pharmacy-benefit-manager-legislation/</w:t>
        </w:r>
      </w:hyperlink>
      <w:r w:rsidRPr="00267E1D">
        <w:rPr>
          <w:b w:val="0"/>
          <w:bCs w:val="0"/>
          <w:sz w:val="20"/>
        </w:rPr>
        <w:t>.</w:t>
      </w:r>
    </w:p>
  </w:footnote>
  <w:footnote w:id="22">
    <w:p w:rsidR="00267E1D" w:rsidRPr="00267E1D" w:rsidP="00267E1D" w14:paraId="36A2E2D3" w14:textId="0A36CF68">
      <w:pPr>
        <w:pStyle w:val="FootnoteText"/>
        <w:rPr>
          <w:b w:val="0"/>
          <w:bCs w:val="0"/>
          <w:sz w:val="20"/>
        </w:rPr>
      </w:pPr>
      <w:r w:rsidRPr="00C51F00">
        <w:rPr>
          <w:rStyle w:val="FootnoteReference"/>
          <w:b w:val="0"/>
          <w:bCs w:val="0"/>
          <w:sz w:val="20"/>
          <w:vertAlign w:val="superscript"/>
        </w:rPr>
        <w:footnoteRef/>
      </w:r>
      <w:r w:rsidRPr="00C51F00">
        <w:rPr>
          <w:b w:val="0"/>
          <w:bCs w:val="0"/>
          <w:sz w:val="20"/>
          <w:vertAlign w:val="superscript"/>
        </w:rPr>
        <w:t xml:space="preserve"> </w:t>
      </w:r>
      <w:r w:rsidRPr="00267E1D">
        <w:rPr>
          <w:b w:val="0"/>
          <w:bCs w:val="0"/>
          <w:i/>
          <w:iCs/>
          <w:sz w:val="20"/>
        </w:rPr>
        <w:t>Prescription Drug and Health Care Spending</w:t>
      </w:r>
      <w:r w:rsidRPr="00267E1D">
        <w:rPr>
          <w:b w:val="0"/>
          <w:bCs w:val="0"/>
          <w:sz w:val="20"/>
        </w:rPr>
        <w:t xml:space="preserve">, 86 FR 66662 (Nov. 23, 2021), available at </w:t>
      </w:r>
      <w:hyperlink r:id="rId12" w:history="1">
        <w:r w:rsidRPr="00267E1D">
          <w:rPr>
            <w:rStyle w:val="Hyperlink"/>
            <w:b w:val="0"/>
            <w:bCs w:val="0"/>
            <w:sz w:val="20"/>
          </w:rPr>
          <w:t>https://www.federalregister.gov/documents/2021/11/23/2021-25183/prescription-drug-and-health-care-spending</w:t>
        </w:r>
      </w:hyperlink>
      <w:r w:rsidRPr="00267E1D">
        <w:rPr>
          <w:b w:val="0"/>
          <w:bCs w:val="0"/>
          <w:sz w:val="20"/>
        </w:rPr>
        <w:t>.</w:t>
      </w:r>
    </w:p>
  </w:footnote>
  <w:footnote w:id="23">
    <w:p w:rsidR="00267E1D" w:rsidRPr="00267E1D" w:rsidP="00267E1D" w14:paraId="21E4835C" w14:textId="3B8C2366">
      <w:pPr>
        <w:pStyle w:val="FootnoteText"/>
        <w:rPr>
          <w:b w:val="0"/>
          <w:bCs w:val="0"/>
          <w:sz w:val="20"/>
        </w:rPr>
      </w:pPr>
      <w:r w:rsidRPr="00C51F00">
        <w:rPr>
          <w:rStyle w:val="FootnoteReference"/>
          <w:b w:val="0"/>
          <w:bCs w:val="0"/>
          <w:sz w:val="20"/>
          <w:vertAlign w:val="superscript"/>
        </w:rPr>
        <w:footnoteRef/>
      </w:r>
      <w:r w:rsidRPr="00C51F00">
        <w:rPr>
          <w:b w:val="0"/>
          <w:bCs w:val="0"/>
          <w:sz w:val="20"/>
          <w:vertAlign w:val="superscript"/>
        </w:rPr>
        <w:t xml:space="preserve"> </w:t>
      </w:r>
      <w:r w:rsidRPr="00267E1D">
        <w:rPr>
          <w:b w:val="0"/>
          <w:bCs w:val="0"/>
          <w:i/>
          <w:iCs/>
          <w:sz w:val="20"/>
        </w:rPr>
        <w:t>Medical Loss Ratio Requirements Under the Patient Protection and Affordable Care</w:t>
      </w:r>
      <w:r w:rsidRPr="00267E1D">
        <w:rPr>
          <w:b w:val="0"/>
          <w:bCs w:val="0"/>
          <w:sz w:val="20"/>
        </w:rPr>
        <w:t xml:space="preserve"> Act, 77 FR 28790 (May 16, 2012), available at </w:t>
      </w:r>
      <w:hyperlink r:id="rId13" w:history="1">
        <w:r w:rsidRPr="00267E1D">
          <w:rPr>
            <w:rStyle w:val="Hyperlink"/>
            <w:b w:val="0"/>
            <w:bCs w:val="0"/>
            <w:sz w:val="20"/>
          </w:rPr>
          <w:t>https://www.federalregister.gov/documents/2012/05/16/2012-11753/medical-loss-ratio-requirements-under-the-patient-protection-and-affordable-care-act</w:t>
        </w:r>
      </w:hyperlink>
      <w:r w:rsidRPr="00267E1D">
        <w:rPr>
          <w:b w:val="0"/>
          <w:bCs w:val="0"/>
          <w:sz w:val="20"/>
        </w:rPr>
        <w:t>.</w:t>
      </w:r>
    </w:p>
  </w:footnote>
  <w:footnote w:id="24">
    <w:p w:rsidR="00267E1D" w:rsidRPr="00267E1D" w:rsidP="00267E1D" w14:paraId="56901791" w14:textId="77777777">
      <w:pPr>
        <w:pStyle w:val="FootnoteText"/>
        <w:rPr>
          <w:b w:val="0"/>
          <w:bCs w:val="0"/>
          <w:sz w:val="20"/>
        </w:rPr>
      </w:pPr>
      <w:r w:rsidRPr="00C51F00">
        <w:rPr>
          <w:rStyle w:val="FootnoteReference"/>
          <w:b w:val="0"/>
          <w:bCs w:val="0"/>
          <w:sz w:val="20"/>
          <w:vertAlign w:val="superscript"/>
        </w:rPr>
        <w:footnoteRef/>
      </w:r>
      <w:r w:rsidRPr="00C51F00">
        <w:rPr>
          <w:b w:val="0"/>
          <w:bCs w:val="0"/>
          <w:sz w:val="20"/>
          <w:vertAlign w:val="superscript"/>
        </w:rPr>
        <w:t xml:space="preserve"> </w:t>
      </w:r>
      <w:r w:rsidRPr="00267E1D">
        <w:rPr>
          <w:b w:val="0"/>
          <w:bCs w:val="0"/>
          <w:sz w:val="20"/>
        </w:rPr>
        <w:t xml:space="preserve">CMS, </w:t>
      </w:r>
      <w:r w:rsidRPr="00267E1D">
        <w:rPr>
          <w:b w:val="0"/>
          <w:bCs w:val="0"/>
          <w:i/>
          <w:iCs/>
          <w:sz w:val="20"/>
        </w:rPr>
        <w:t>Part D Reporting Requirements</w:t>
      </w:r>
      <w:r w:rsidRPr="00267E1D">
        <w:rPr>
          <w:b w:val="0"/>
          <w:bCs w:val="0"/>
          <w:sz w:val="20"/>
        </w:rPr>
        <w:t xml:space="preserve">, </w:t>
      </w:r>
      <w:hyperlink r:id="rId14" w:history="1">
        <w:r w:rsidRPr="00267E1D">
          <w:rPr>
            <w:rStyle w:val="Hyperlink"/>
            <w:b w:val="0"/>
            <w:bCs w:val="0"/>
            <w:sz w:val="20"/>
          </w:rPr>
          <w:t>https://www.cms.gov/medicare/coverage/prescription-drug-coverage-contracting/part-d-reporting-requirements</w:t>
        </w:r>
      </w:hyperlink>
      <w:r w:rsidRPr="00267E1D">
        <w:rPr>
          <w:b w:val="0"/>
          <w:bCs w:val="0"/>
          <w:sz w:val="20"/>
        </w:rPr>
        <w:t>.</w:t>
      </w:r>
    </w:p>
  </w:footnote>
  <w:footnote w:id="25">
    <w:p w:rsidR="00267E1D" w:rsidRPr="00267E1D" w:rsidP="00267E1D" w14:paraId="70E509E3" w14:textId="3DECABEB">
      <w:pPr>
        <w:pStyle w:val="FootnoteText"/>
        <w:rPr>
          <w:b w:val="0"/>
          <w:bCs w:val="0"/>
          <w:sz w:val="20"/>
        </w:rPr>
      </w:pPr>
      <w:r w:rsidRPr="00267E1D">
        <w:rPr>
          <w:rStyle w:val="FootnoteReference"/>
          <w:b w:val="0"/>
          <w:bCs w:val="0"/>
          <w:sz w:val="20"/>
          <w:vertAlign w:val="superscript"/>
        </w:rPr>
        <w:footnoteRef/>
      </w:r>
      <w:r w:rsidRPr="00267E1D">
        <w:rPr>
          <w:b w:val="0"/>
          <w:bCs w:val="0"/>
          <w:sz w:val="20"/>
        </w:rPr>
        <w:t xml:space="preserve"> </w:t>
      </w:r>
      <w:r w:rsidRPr="00267E1D">
        <w:rPr>
          <w:b w:val="0"/>
          <w:bCs w:val="0"/>
          <w:i/>
          <w:iCs/>
          <w:sz w:val="20"/>
        </w:rPr>
        <w:t>Price Transparency Requirements for Hospitals to Make Standard Charges Public</w:t>
      </w:r>
      <w:r w:rsidRPr="00267E1D">
        <w:rPr>
          <w:b w:val="0"/>
          <w:bCs w:val="0"/>
          <w:sz w:val="20"/>
        </w:rPr>
        <w:t xml:space="preserve">, 84 FR 65524 (Nov. 27, 2019), available at </w:t>
      </w:r>
      <w:hyperlink r:id="rId15" w:anchor="p-40" w:history="1">
        <w:r w:rsidRPr="00267E1D">
          <w:rPr>
            <w:rStyle w:val="Hyperlink"/>
            <w:b w:val="0"/>
            <w:bCs w:val="0"/>
            <w:sz w:val="20"/>
          </w:rPr>
          <w:t>https://www.federalregister.gov/documents/2019/11/27/2019-24931/medicare-and-medicaid-programs-cy-2020-hospital-outpatient-pps-policy-changes-and-payment-rates-and#p-40</w:t>
        </w:r>
      </w:hyperlink>
      <w:r w:rsidRPr="00267E1D">
        <w:rPr>
          <w:b w:val="0"/>
          <w:bCs w:val="0"/>
          <w:sz w:val="20"/>
        </w:rPr>
        <w:t>.</w:t>
      </w:r>
    </w:p>
  </w:footnote>
  <w:footnote w:id="26">
    <w:p w:rsidR="00267E1D" w:rsidRPr="00267E1D" w:rsidP="00267E1D" w14:paraId="5CE1D665" w14:textId="4147CBB4">
      <w:pPr>
        <w:pStyle w:val="FootnoteText"/>
        <w:rPr>
          <w:b w:val="0"/>
          <w:bCs w:val="0"/>
          <w:sz w:val="20"/>
        </w:rPr>
      </w:pPr>
      <w:r w:rsidRPr="00267E1D">
        <w:rPr>
          <w:rStyle w:val="FootnoteReference"/>
          <w:b w:val="0"/>
          <w:bCs w:val="0"/>
          <w:sz w:val="20"/>
          <w:vertAlign w:val="superscript"/>
        </w:rPr>
        <w:footnoteRef/>
      </w:r>
      <w:r w:rsidRPr="00267E1D">
        <w:rPr>
          <w:b w:val="0"/>
          <w:bCs w:val="0"/>
          <w:sz w:val="20"/>
          <w:vertAlign w:val="superscript"/>
        </w:rPr>
        <w:t xml:space="preserve"> </w:t>
      </w:r>
      <w:r w:rsidRPr="00267E1D">
        <w:rPr>
          <w:b w:val="0"/>
          <w:bCs w:val="0"/>
          <w:sz w:val="20"/>
        </w:rPr>
        <w:t>The Department estimates that each PBM will incur a one-time first-year cost and burden to design, develop, and implement any necessary IT system changes to collect and report the required data. The Department estimates that for each PBM, on average, it will take outside legal counsel (at $659.15 per hour) 160 hours, project management specialists 2,250 hours (at $131.29 per hour), business operations specialists 750 hours (at $124.74 per hour), as well as software and web developers, programmers, and testers 3,500 hours (at $178.08 per hour) to complete this task. The Department estimates the total burden per PBM will be approximately 6,660 hours, with an equivalent cost of approximately $1,117,702, rounded to $1,100,000. For all 73 PBMs, the total one-time first-year implementation and reporting burden is estimated to be 486,180 hours with an equivalent total cost of approximately $81,592,210.</w:t>
      </w:r>
    </w:p>
  </w:footnote>
  <w:footnote w:id="27">
    <w:p w:rsidR="00267E1D" w:rsidRPr="00F96911" w:rsidP="00267E1D" w14:paraId="5EEACACA" w14:textId="5B83A40B">
      <w:pPr>
        <w:pStyle w:val="FootnoteText"/>
        <w:rPr>
          <w:b w:val="0"/>
          <w:bCs w:val="0"/>
          <w:sz w:val="20"/>
        </w:rPr>
      </w:pPr>
      <w:r w:rsidRPr="00267E1D">
        <w:rPr>
          <w:rStyle w:val="FootnoteReference"/>
          <w:b w:val="0"/>
          <w:bCs w:val="0"/>
          <w:sz w:val="20"/>
          <w:vertAlign w:val="superscript"/>
        </w:rPr>
        <w:footnoteRef/>
      </w:r>
      <w:r w:rsidRPr="00267E1D">
        <w:rPr>
          <w:b w:val="0"/>
          <w:bCs w:val="0"/>
          <w:sz w:val="20"/>
          <w:vertAlign w:val="superscript"/>
        </w:rPr>
        <w:t xml:space="preserve"> </w:t>
      </w:r>
      <w:r w:rsidRPr="00267E1D">
        <w:rPr>
          <w:b w:val="0"/>
          <w:bCs w:val="0"/>
          <w:color w:val="000000" w:themeColor="text1"/>
          <w:sz w:val="20"/>
        </w:rPr>
        <w:t xml:space="preserve">In addition to the </w:t>
      </w:r>
      <w:r w:rsidRPr="00267E1D">
        <w:rPr>
          <w:b w:val="0"/>
          <w:bCs w:val="0"/>
          <w:color w:val="000000" w:themeColor="text1"/>
          <w:sz w:val="20"/>
        </w:rPr>
        <w:t>one</w:t>
      </w:r>
      <w:r w:rsidRPr="00267E1D">
        <w:rPr>
          <w:b w:val="0"/>
          <w:bCs w:val="0"/>
          <w:color w:val="000000" w:themeColor="text1"/>
          <w:sz w:val="20"/>
        </w:rPr>
        <w:t>-</w:t>
      </w:r>
      <w:r w:rsidRPr="00267E1D">
        <w:rPr>
          <w:b w:val="0"/>
          <w:bCs w:val="0"/>
          <w:color w:val="000000" w:themeColor="text1"/>
          <w:sz w:val="20"/>
        </w:rPr>
        <w:t>time first-year</w:t>
      </w:r>
      <w:r w:rsidRPr="00267E1D">
        <w:rPr>
          <w:b w:val="0"/>
          <w:bCs w:val="0"/>
          <w:color w:val="000000" w:themeColor="text1"/>
          <w:sz w:val="20"/>
        </w:rPr>
        <w:t xml:space="preserve"> costs and burdens previously estimated, PBMs will incur ongoing annual costs related to maintaining and updating IT systems, providing ongoing quality assurance, and submitting the required data to the Department. The Department estimates that for each PBM it will take </w:t>
      </w:r>
      <w:r w:rsidRPr="00267E1D">
        <w:rPr>
          <w:b w:val="0"/>
          <w:bCs w:val="0"/>
          <w:sz w:val="20"/>
        </w:rPr>
        <w:t>outside legal counsel (at $659.15 per hour) 100 hours,</w:t>
      </w:r>
      <w:r w:rsidRPr="00267E1D">
        <w:rPr>
          <w:b w:val="0"/>
          <w:bCs w:val="0"/>
          <w:color w:val="000000" w:themeColor="text1"/>
          <w:sz w:val="20"/>
        </w:rPr>
        <w:t xml:space="preserve"> project management specialists 500 hours (at $131.29 per hour), business operations specialists 50 hours (at $124.74 per hour), as well as software and web developers, programmers, and testers 750 hours (at $178.08 per hour) to perform these tasks. The Department estimates the total annual burden for each PBM will be 1,400 hours, with an equivalent cost of approximately $271,3579, rounded to $300,000. For all 73 PBMs, the total annual maintenance and submission burden is estimated to be 102,200 hours with an equivalent total cost of approximately $19,809,061.</w:t>
      </w:r>
    </w:p>
  </w:footnote>
  <w:footnote w:id="28">
    <w:p w:rsidR="002D639A" w:rsidRPr="00B5489F" w:rsidP="002D639A" w14:paraId="6CEE347B" w14:textId="02849977">
      <w:pPr>
        <w:pStyle w:val="FootnoteText"/>
        <w:rPr>
          <w:b w:val="0"/>
          <w:bCs w:val="0"/>
          <w:sz w:val="20"/>
        </w:rPr>
      </w:pPr>
      <w:r w:rsidRPr="00B5489F">
        <w:rPr>
          <w:rStyle w:val="FootnoteReference"/>
          <w:b w:val="0"/>
          <w:bCs w:val="0"/>
          <w:sz w:val="20"/>
          <w:vertAlign w:val="superscript"/>
        </w:rPr>
        <w:footnoteRef/>
      </w:r>
      <w:r w:rsidRPr="00B5489F">
        <w:rPr>
          <w:b w:val="0"/>
          <w:bCs w:val="0"/>
          <w:sz w:val="20"/>
          <w:vertAlign w:val="superscript"/>
        </w:rPr>
        <w:t xml:space="preserve"> </w:t>
      </w:r>
      <w:r w:rsidRPr="00B5489F">
        <w:rPr>
          <w:b w:val="0"/>
          <w:bCs w:val="0"/>
          <w:sz w:val="20"/>
        </w:rPr>
        <w:t xml:space="preserve">Scott McEachern and Patrick Cambel, PBM Contracts: Understand then Optimize, Milliman White Paper (Aug. 2, 2020), available at </w:t>
      </w:r>
      <w:hyperlink r:id="rId16" w:history="1">
        <w:r w:rsidRPr="00B5489F">
          <w:rPr>
            <w:rStyle w:val="Hyperlink"/>
            <w:b w:val="0"/>
            <w:bCs w:val="0"/>
            <w:sz w:val="20"/>
          </w:rPr>
          <w:t>https://us.milliman.com/en/insight/pbm-contracts-understand-then-optimize</w:t>
        </w:r>
      </w:hyperlink>
      <w:r w:rsidRPr="00B5489F">
        <w:rPr>
          <w:b w:val="0"/>
          <w:bCs w:val="0"/>
          <w:sz w:val="20"/>
        </w:rPr>
        <w:t>.</w:t>
      </w:r>
    </w:p>
  </w:footnote>
  <w:footnote w:id="29">
    <w:p w:rsidR="00C52082" w:rsidRPr="00C52082" w:rsidP="00C52082" w14:paraId="55A168D7" w14:textId="77777777">
      <w:pPr>
        <w:pStyle w:val="FootnoteText"/>
        <w:rPr>
          <w:b w:val="0"/>
          <w:bCs w:val="0"/>
          <w:sz w:val="20"/>
        </w:rPr>
      </w:pPr>
      <w:r w:rsidRPr="00C52082">
        <w:rPr>
          <w:rStyle w:val="FootnoteReference"/>
          <w:b w:val="0"/>
          <w:bCs w:val="0"/>
          <w:sz w:val="20"/>
          <w:vertAlign w:val="superscript"/>
        </w:rPr>
        <w:footnoteRef/>
      </w:r>
      <w:r w:rsidRPr="00C52082">
        <w:rPr>
          <w:b w:val="0"/>
          <w:bCs w:val="0"/>
          <w:sz w:val="20"/>
        </w:rPr>
        <w:t xml:space="preserve"> Based on a review of the 2023 Form 5500 Schedule C filings, approximately 0.3 percent of ERISA-covered group health plans that filed Schedule C reported service providers who failed or refused to provide some of the information required to complete Part I. This estimate is used as a proxy for the percentage of self-insured group health plans that may need to request missing information from PBMs. </w:t>
      </w:r>
    </w:p>
  </w:footnote>
  <w:footnote w:id="30">
    <w:p w:rsidR="004B7F20" w:rsidRPr="004B7F20" w:rsidP="004B7F20" w14:paraId="61219444" w14:textId="77777777">
      <w:pPr>
        <w:pStyle w:val="FootnoteText"/>
        <w:rPr>
          <w:b w:val="0"/>
          <w:bCs w:val="0"/>
          <w:sz w:val="20"/>
        </w:rPr>
      </w:pPr>
      <w:r w:rsidRPr="004B7F20">
        <w:rPr>
          <w:rStyle w:val="FootnoteReference"/>
          <w:b w:val="0"/>
          <w:bCs w:val="0"/>
          <w:sz w:val="20"/>
          <w:vertAlign w:val="superscript"/>
        </w:rPr>
        <w:footnoteRef/>
      </w:r>
      <w:r w:rsidRPr="004B7F20">
        <w:rPr>
          <w:b w:val="0"/>
          <w:bCs w:val="0"/>
          <w:sz w:val="20"/>
          <w:vertAlign w:val="superscript"/>
        </w:rPr>
        <w:t xml:space="preserve"> </w:t>
      </w:r>
      <w:r w:rsidRPr="004B7F20">
        <w:rPr>
          <w:b w:val="0"/>
          <w:bCs w:val="0"/>
          <w:sz w:val="20"/>
        </w:rPr>
        <w:t xml:space="preserve">Based on a review of the 2023 Form 5500 Schedule C filings, approximately 0.3 percent of ERISA-covered group health plans that filed Schedule C reported service providers who failed or refused to provide some of the information required to complete Part I. This estimate is used as a proxy for the percentage of self-insured group health plans that may need to request missing information from PBMs. </w:t>
      </w:r>
    </w:p>
  </w:footnote>
  <w:footnote w:id="31">
    <w:p w:rsidR="00E82E7B" w:rsidRPr="00E82E7B" w:rsidP="00E82E7B" w14:paraId="516B9810" w14:textId="77777777">
      <w:pPr>
        <w:pStyle w:val="FootnoteText"/>
        <w:rPr>
          <w:b w:val="0"/>
          <w:bCs w:val="0"/>
          <w:sz w:val="20"/>
        </w:rPr>
      </w:pPr>
      <w:r w:rsidRPr="00E82E7B">
        <w:rPr>
          <w:rStyle w:val="FootnoteReference"/>
          <w:b w:val="0"/>
          <w:bCs w:val="0"/>
          <w:sz w:val="20"/>
          <w:vertAlign w:val="superscript"/>
        </w:rPr>
        <w:footnoteRef/>
      </w:r>
      <w:r w:rsidRPr="00E82E7B">
        <w:rPr>
          <w:b w:val="0"/>
          <w:bCs w:val="0"/>
          <w:sz w:val="20"/>
          <w:vertAlign w:val="superscript"/>
        </w:rPr>
        <w:t xml:space="preserve"> </w:t>
      </w:r>
      <w:r w:rsidRPr="00E82E7B">
        <w:rPr>
          <w:b w:val="0"/>
          <w:bCs w:val="0"/>
          <w:sz w:val="20"/>
        </w:rPr>
        <w:t xml:space="preserve">Janus Desquitado &amp; Francis Ayson, PBM Best Practice Series: Pharmacy Benefit Claims Auditing, Milliman White Paper (Sept. 21, 2023), available at </w:t>
      </w:r>
      <w:hyperlink r:id="rId17" w:history="1">
        <w:r w:rsidRPr="00E82E7B">
          <w:rPr>
            <w:rStyle w:val="Hyperlink"/>
            <w:b w:val="0"/>
            <w:bCs w:val="0"/>
            <w:sz w:val="20"/>
          </w:rPr>
          <w:t>https://www.milliman.com/en/insight/pbm-best-practices-pharmacy-benefits-claims-auditing</w:t>
        </w:r>
      </w:hyperlink>
      <w:r w:rsidRPr="00E82E7B">
        <w:rPr>
          <w:b w:val="0"/>
          <w:bCs w:val="0"/>
          <w:sz w:val="20"/>
        </w:rPr>
        <w:t>.</w:t>
      </w:r>
    </w:p>
  </w:footnote>
  <w:footnote w:id="32">
    <w:p w:rsidR="00E82E7B" w:rsidRPr="0026766E" w:rsidP="00E82E7B" w14:paraId="27B57E3F" w14:textId="77777777">
      <w:pPr>
        <w:pStyle w:val="FootnoteText"/>
      </w:pPr>
      <w:r w:rsidRPr="00E82E7B">
        <w:rPr>
          <w:rStyle w:val="FootnoteReference"/>
          <w:b w:val="0"/>
          <w:bCs w:val="0"/>
          <w:sz w:val="20"/>
          <w:vertAlign w:val="superscript"/>
        </w:rPr>
        <w:footnoteRef/>
      </w:r>
      <w:r w:rsidRPr="00E82E7B">
        <w:rPr>
          <w:b w:val="0"/>
          <w:bCs w:val="0"/>
          <w:sz w:val="20"/>
          <w:vertAlign w:val="superscript"/>
        </w:rPr>
        <w:t xml:space="preserve"> </w:t>
      </w:r>
      <w:r w:rsidRPr="00E82E7B">
        <w:rPr>
          <w:b w:val="0"/>
          <w:bCs w:val="0"/>
          <w:sz w:val="20"/>
        </w:rPr>
        <w:t>The wage rate is calculated in the following manner</w:t>
      </w:r>
      <w:r w:rsidRPr="00E82E7B">
        <w:rPr>
          <w:b w:val="0"/>
          <w:bCs w:val="0"/>
          <w:sz w:val="20"/>
        </w:rPr>
        <w:t>: [(</w:t>
      </w:r>
      <w:r w:rsidRPr="00E82E7B">
        <w:rPr>
          <w:b w:val="0"/>
          <w:bCs w:val="0"/>
          <w:sz w:val="20"/>
        </w:rPr>
        <w:t>$124.74 for a benefits specialist x (1/2)) + ($178.08 for an IT Professional) x (1/</w:t>
      </w:r>
      <w:r w:rsidRPr="00E82E7B">
        <w:rPr>
          <w:b w:val="0"/>
          <w:bCs w:val="0"/>
          <w:sz w:val="20"/>
        </w:rPr>
        <w:t>2))</w:t>
      </w:r>
      <w:r w:rsidRPr="00E82E7B">
        <w:rPr>
          <w:b w:val="0"/>
          <w:bCs w:val="0"/>
          <w:sz w:val="20"/>
        </w:rPr>
        <w:t>] = $151.41.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52" w:rsidP="00F0391B" w14:paraId="3D688220" w14:textId="687E89E6">
    <w:pPr>
      <w:pStyle w:val="Header"/>
      <w:rPr>
        <w:b w:val="0"/>
        <w:bCs w:val="0"/>
      </w:rPr>
    </w:pPr>
    <w:r w:rsidRPr="005D6B52">
      <w:rPr>
        <w:b w:val="0"/>
        <w:bCs w:val="0"/>
      </w:rPr>
      <w:t>PBM Fee Disclosure Regulation under 408(b)(</w:t>
    </w:r>
    <w:r>
      <w:rPr>
        <w:b w:val="0"/>
        <w:bCs w:val="0"/>
      </w:rPr>
      <w:t>2)</w:t>
    </w:r>
  </w:p>
  <w:p w:rsidR="00C15C13" w:rsidP="00F0391B" w14:paraId="177EF0BA" w14:textId="036BF470">
    <w:pPr>
      <w:pStyle w:val="Header"/>
      <w:rPr>
        <w:b w:val="0"/>
        <w:bCs w:val="0"/>
      </w:rPr>
    </w:pPr>
    <w:r>
      <w:rPr>
        <w:b w:val="0"/>
        <w:bCs w:val="0"/>
      </w:rPr>
      <w:t>OMB Control Number 1210</w:t>
    </w:r>
    <w:r w:rsidR="005D6B52">
      <w:rPr>
        <w:b w:val="0"/>
        <w:bCs w:val="0"/>
      </w:rPr>
      <w:t>-</w:t>
    </w:r>
    <w:r w:rsidR="004523B5">
      <w:rPr>
        <w:b w:val="0"/>
        <w:bCs w:val="0"/>
      </w:rPr>
      <w:t>017</w:t>
    </w:r>
    <w:r w:rsidR="002C6B4E">
      <w:rPr>
        <w:b w:val="0"/>
        <w:bCs w:val="0"/>
      </w:rPr>
      <w:t>3</w:t>
    </w:r>
  </w:p>
  <w:p w:rsidR="001772CB" w:rsidP="00F0391B" w14:paraId="7BE5BE06" w14:textId="225CC704">
    <w:pPr>
      <w:pStyle w:val="Header"/>
      <w:rPr>
        <w:b w:val="0"/>
        <w:bCs w:val="0"/>
      </w:rPr>
    </w:pPr>
    <w:r>
      <w:rPr>
        <w:b w:val="0"/>
        <w:bCs w:val="0"/>
      </w:rPr>
      <w:t xml:space="preserve">Expiration Date: </w:t>
    </w:r>
    <w:r w:rsidR="00A60BDE">
      <w:rPr>
        <w:b w:val="0"/>
        <w:bCs w:val="0"/>
      </w:rPr>
      <w:t>NEW</w:t>
    </w:r>
  </w:p>
  <w:p w:rsidR="00C15C13" w:rsidP="00F0391B" w14:paraId="37B7DD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00000000"/>
    <w:lvl w:ilvl="0">
      <w:start w:val="1"/>
      <w:numFmt w:val="decimal"/>
      <w:pStyle w:val="Quick1"/>
      <w:lvlText w:val="%1."/>
      <w:lvlJc w:val="left"/>
      <w:pPr>
        <w:tabs>
          <w:tab w:val="num" w:pos="720"/>
        </w:tabs>
      </w:pPr>
      <w:rPr>
        <w:rFonts w:ascii="Times New Roman" w:hAnsi="Times New Roman" w:cs="Times New Roman"/>
        <w:sz w:val="24"/>
        <w:szCs w:val="24"/>
      </w:rPr>
    </w:lvl>
  </w:abstractNum>
  <w:abstractNum w:abstractNumId="1">
    <w:nsid w:val="02CE3F56"/>
    <w:multiLevelType w:val="hybridMultilevel"/>
    <w:tmpl w:val="4C8AA262"/>
    <w:lvl w:ilvl="0">
      <w:start w:val="12"/>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47F3223"/>
    <w:multiLevelType w:val="multilevel"/>
    <w:tmpl w:val="74BA6A46"/>
    <w:lvl w:ilvl="0">
      <w:start w:val="1"/>
      <w:numFmt w:val="decimal"/>
      <w:lvlText w:val="%1."/>
      <w:lvlJc w:val="left"/>
      <w:pPr>
        <w:ind w:left="360" w:hanging="360"/>
      </w:pPr>
    </w:lvl>
    <w:lvl w:ilvl="1">
      <w:start w:val="1"/>
      <w:numFmt w:val="decimal"/>
      <w:lvlText w:val="%1.%2."/>
      <w:lvlJc w:val="left"/>
      <w:pPr>
        <w:ind w:left="792" w:hanging="432"/>
      </w:pPr>
      <w:rPr>
        <w:b w:val="0"/>
        <w:bCs/>
        <w:i w:val="0"/>
        <w:iCs/>
        <w:vertAlign w:val="baseline"/>
      </w:rPr>
    </w:lvl>
    <w:lvl w:ilvl="2">
      <w:start w:val="1"/>
      <w:numFmt w:val="decimal"/>
      <w:lvlText w:val="%1.%2.%3."/>
      <w:lvlJc w:val="left"/>
      <w:pPr>
        <w:ind w:left="1224" w:hanging="504"/>
      </w:pPr>
      <w:rPr>
        <w:b w:val="0"/>
        <w:bCs w:val="0"/>
        <w:i/>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B236435"/>
    <w:multiLevelType w:val="hybridMultilevel"/>
    <w:tmpl w:val="7FCA0D8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F4C7844"/>
    <w:multiLevelType w:val="hybridMultilevel"/>
    <w:tmpl w:val="A56CB3BC"/>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D52C5C"/>
    <w:multiLevelType w:val="hybridMultilevel"/>
    <w:tmpl w:val="FD9E367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505255F"/>
    <w:multiLevelType w:val="hybridMultilevel"/>
    <w:tmpl w:val="DD385C5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15C976E0"/>
    <w:multiLevelType w:val="hybridMultilevel"/>
    <w:tmpl w:val="7FCA0D8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8407F7C"/>
    <w:multiLevelType w:val="hybridMultilevel"/>
    <w:tmpl w:val="F9D607C0"/>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D046665"/>
    <w:multiLevelType w:val="hybridMultilevel"/>
    <w:tmpl w:val="DAB4BFA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0">
    <w:nsid w:val="203F507E"/>
    <w:multiLevelType w:val="hybridMultilevel"/>
    <w:tmpl w:val="95CEAD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31B7955"/>
    <w:multiLevelType w:val="hybridMultilevel"/>
    <w:tmpl w:val="EE445ED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267D5320"/>
    <w:multiLevelType w:val="hybridMultilevel"/>
    <w:tmpl w:val="3DF448D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27651808"/>
    <w:multiLevelType w:val="hybridMultilevel"/>
    <w:tmpl w:val="7D50D022"/>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4">
    <w:nsid w:val="2F3D042E"/>
    <w:multiLevelType w:val="hybridMultilevel"/>
    <w:tmpl w:val="05CA8F9A"/>
    <w:lvl w:ilvl="0">
      <w:start w:val="1"/>
      <w:numFmt w:val="bullet"/>
      <w:lvlText w:val=""/>
      <w:lvlJc w:val="left"/>
      <w:pPr>
        <w:ind w:left="1980"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15">
    <w:nsid w:val="2F9A6CCB"/>
    <w:multiLevelType w:val="hybridMultilevel"/>
    <w:tmpl w:val="D396991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6">
    <w:nsid w:val="32826821"/>
    <w:multiLevelType w:val="hybridMultilevel"/>
    <w:tmpl w:val="29506F44"/>
    <w:lvl w:ilvl="0">
      <w:start w:val="1"/>
      <w:numFmt w:val="decimal"/>
      <w:lvlText w:val="%1."/>
      <w:lvlJc w:val="left"/>
      <w:pPr>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2DF4E66"/>
    <w:multiLevelType w:val="hybridMultilevel"/>
    <w:tmpl w:val="DAB4BFA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8">
    <w:nsid w:val="345D1452"/>
    <w:multiLevelType w:val="hybridMultilevel"/>
    <w:tmpl w:val="7F6856F4"/>
    <w:lvl w:ilvl="0">
      <w:start w:val="3"/>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38DB7668"/>
    <w:multiLevelType w:val="hybridMultilevel"/>
    <w:tmpl w:val="952E908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39F9564E"/>
    <w:multiLevelType w:val="hybridMultilevel"/>
    <w:tmpl w:val="825A324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42C40C23"/>
    <w:multiLevelType w:val="hybridMultilevel"/>
    <w:tmpl w:val="F1CA5354"/>
    <w:lvl w:ilvl="0">
      <w:start w:val="12"/>
      <w:numFmt w:val="decimal"/>
      <w:lvlText w:val="%1."/>
      <w:lvlJc w:val="left"/>
      <w:pPr>
        <w:tabs>
          <w:tab w:val="num" w:pos="720"/>
        </w:tabs>
        <w:ind w:left="720" w:hanging="360"/>
      </w:pPr>
      <w:rPr>
        <w:rFonts w:hint="default"/>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434D2F16"/>
    <w:multiLevelType w:val="hybridMultilevel"/>
    <w:tmpl w:val="51D0152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3">
    <w:nsid w:val="445D5E05"/>
    <w:multiLevelType w:val="hybridMultilevel"/>
    <w:tmpl w:val="6074BA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6532FA9"/>
    <w:multiLevelType w:val="hybridMultilevel"/>
    <w:tmpl w:val="4A1A3032"/>
    <w:lvl w:ilvl="0">
      <w:start w:val="1"/>
      <w:numFmt w:val="decimal"/>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48D54706"/>
    <w:multiLevelType w:val="hybridMultilevel"/>
    <w:tmpl w:val="0198A7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5A3AA1"/>
    <w:multiLevelType w:val="hybridMultilevel"/>
    <w:tmpl w:val="58425808"/>
    <w:lvl w:ilvl="0">
      <w:start w:val="4"/>
      <w:numFmt w:val="decimal"/>
      <w:lvlText w:val="%1."/>
      <w:lvlJc w:val="left"/>
      <w:pPr>
        <w:tabs>
          <w:tab w:val="num" w:pos="720"/>
        </w:tabs>
        <w:ind w:left="72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4AF14DA0"/>
    <w:multiLevelType w:val="hybridMultilevel"/>
    <w:tmpl w:val="76C60E2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4B6D55E6"/>
    <w:multiLevelType w:val="hybridMultilevel"/>
    <w:tmpl w:val="586A369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9">
    <w:nsid w:val="4D613C92"/>
    <w:multiLevelType w:val="hybridMultilevel"/>
    <w:tmpl w:val="D2CE9FA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565843FC"/>
    <w:multiLevelType w:val="hybridMultilevel"/>
    <w:tmpl w:val="96223948"/>
    <w:lvl w:ilvl="0">
      <w:start w:val="2022"/>
      <w:numFmt w:val="decimal"/>
      <w:lvlText w:val="%1"/>
      <w:lvlJc w:val="left"/>
      <w:pPr>
        <w:ind w:left="1200" w:hanging="480"/>
      </w:pPr>
      <w:rPr>
        <w:rFonts w:hint="default"/>
        <w:i/>
        <w:i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581A2B7B"/>
    <w:multiLevelType w:val="hybridMultilevel"/>
    <w:tmpl w:val="9CA01454"/>
    <w:lvl w:ilvl="0">
      <w:start w:val="3"/>
      <w:numFmt w:val="decimal"/>
      <w:lvlText w:val="%1."/>
      <w:lvlJc w:val="left"/>
      <w:pPr>
        <w:ind w:left="288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2">
    <w:nsid w:val="59316EE5"/>
    <w:multiLevelType w:val="hybridMultilevel"/>
    <w:tmpl w:val="5634813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3">
    <w:nsid w:val="5E912CF6"/>
    <w:multiLevelType w:val="hybridMultilevel"/>
    <w:tmpl w:val="3048A8EA"/>
    <w:lvl w:ilvl="0">
      <w:start w:val="4"/>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nsid w:val="604A32B7"/>
    <w:multiLevelType w:val="hybridMultilevel"/>
    <w:tmpl w:val="F3CC83D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1AA025A"/>
    <w:multiLevelType w:val="hybridMultilevel"/>
    <w:tmpl w:val="D0B0AE6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6">
    <w:nsid w:val="6A1F6E23"/>
    <w:multiLevelType w:val="hybridMultilevel"/>
    <w:tmpl w:val="469AF0D0"/>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7">
    <w:nsid w:val="6A341828"/>
    <w:multiLevelType w:val="hybridMultilevel"/>
    <w:tmpl w:val="E5AEFBE0"/>
    <w:lvl w:ilvl="0">
      <w:start w:val="1"/>
      <w:numFmt w:val="decimal"/>
      <w:lvlText w:val="%1."/>
      <w:lvlJc w:val="left"/>
      <w:pPr>
        <w:ind w:left="2880" w:hanging="360"/>
      </w:pPr>
      <w:rPr>
        <w:rFonts w:hint="default"/>
      </w:rPr>
    </w:lvl>
    <w:lvl w:ilvl="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38">
    <w:nsid w:val="73555839"/>
    <w:multiLevelType w:val="hybridMultilevel"/>
    <w:tmpl w:val="981015B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761552FF"/>
    <w:multiLevelType w:val="hybridMultilevel"/>
    <w:tmpl w:val="448E853E"/>
    <w:lvl w:ilvl="0">
      <w:start w:val="12"/>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7B0B38DF"/>
    <w:multiLevelType w:val="hybridMultilevel"/>
    <w:tmpl w:val="AEF44CD4"/>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B9B3109"/>
    <w:multiLevelType w:val="hybridMultilevel"/>
    <w:tmpl w:val="E5EC3B7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2">
    <w:nsid w:val="7BE00CBA"/>
    <w:multiLevelType w:val="hybridMultilevel"/>
    <w:tmpl w:val="5658FDE4"/>
    <w:lvl w:ilvl="0">
      <w:start w:val="2022"/>
      <w:numFmt w:val="decimal"/>
      <w:lvlText w:val="%1"/>
      <w:lvlJc w:val="left"/>
      <w:pPr>
        <w:ind w:left="1200" w:hanging="48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3">
    <w:nsid w:val="7DFE4577"/>
    <w:multiLevelType w:val="hybridMultilevel"/>
    <w:tmpl w:val="6240B908"/>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16cid:durableId="1928418217">
    <w:abstractNumId w:val="0"/>
    <w:lvlOverride w:ilvl="0">
      <w:startOverride w:val="1"/>
      <w:lvl w:ilvl="0">
        <w:start w:val="1"/>
        <w:numFmt w:val="decimal"/>
        <w:pStyle w:val="Quick1"/>
        <w:lvlText w:val="%1."/>
        <w:lvlJc w:val="left"/>
      </w:lvl>
    </w:lvlOverride>
  </w:num>
  <w:num w:numId="2" w16cid:durableId="1851412261">
    <w:abstractNumId w:val="0"/>
    <w:lvlOverride w:ilvl="0">
      <w:startOverride w:val="13"/>
      <w:lvl w:ilvl="0">
        <w:start w:val="13"/>
        <w:numFmt w:val="decimal"/>
        <w:pStyle w:val="Quick1"/>
        <w:lvlText w:val="%1."/>
        <w:lvlJc w:val="left"/>
      </w:lvl>
    </w:lvlOverride>
  </w:num>
  <w:num w:numId="3" w16cid:durableId="1269384414">
    <w:abstractNumId w:val="0"/>
    <w:lvlOverride w:ilvl="0">
      <w:startOverride w:val="3"/>
      <w:lvl w:ilvl="0">
        <w:start w:val="3"/>
        <w:numFmt w:val="decimal"/>
        <w:pStyle w:val="Quick1"/>
        <w:lvlText w:val="%1."/>
        <w:lvlJc w:val="left"/>
      </w:lvl>
    </w:lvlOverride>
  </w:num>
  <w:num w:numId="4" w16cid:durableId="7023327">
    <w:abstractNumId w:val="33"/>
  </w:num>
  <w:num w:numId="5" w16cid:durableId="1571038047">
    <w:abstractNumId w:val="17"/>
  </w:num>
  <w:num w:numId="6" w16cid:durableId="662314324">
    <w:abstractNumId w:val="35"/>
  </w:num>
  <w:num w:numId="7" w16cid:durableId="962077153">
    <w:abstractNumId w:val="18"/>
  </w:num>
  <w:num w:numId="8" w16cid:durableId="2048872017">
    <w:abstractNumId w:val="7"/>
  </w:num>
  <w:num w:numId="9" w16cid:durableId="1095662958">
    <w:abstractNumId w:val="21"/>
  </w:num>
  <w:num w:numId="10" w16cid:durableId="173419921">
    <w:abstractNumId w:val="3"/>
  </w:num>
  <w:num w:numId="11" w16cid:durableId="1541700513">
    <w:abstractNumId w:val="9"/>
  </w:num>
  <w:num w:numId="12" w16cid:durableId="1174026980">
    <w:abstractNumId w:val="39"/>
  </w:num>
  <w:num w:numId="13" w16cid:durableId="715740995">
    <w:abstractNumId w:val="1"/>
  </w:num>
  <w:num w:numId="14" w16cid:durableId="986587274">
    <w:abstractNumId w:val="23"/>
  </w:num>
  <w:num w:numId="15" w16cid:durableId="881987123">
    <w:abstractNumId w:val="29"/>
  </w:num>
  <w:num w:numId="16" w16cid:durableId="840895826">
    <w:abstractNumId w:val="5"/>
  </w:num>
  <w:num w:numId="17" w16cid:durableId="1014260506">
    <w:abstractNumId w:val="43"/>
  </w:num>
  <w:num w:numId="18" w16cid:durableId="553078609">
    <w:abstractNumId w:val="11"/>
  </w:num>
  <w:num w:numId="19" w16cid:durableId="1297612978">
    <w:abstractNumId w:val="22"/>
  </w:num>
  <w:num w:numId="20" w16cid:durableId="2082293180">
    <w:abstractNumId w:val="32"/>
  </w:num>
  <w:num w:numId="21" w16cid:durableId="1453598203">
    <w:abstractNumId w:val="36"/>
  </w:num>
  <w:num w:numId="22" w16cid:durableId="1189182412">
    <w:abstractNumId w:val="38"/>
  </w:num>
  <w:num w:numId="23" w16cid:durableId="19821557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5602686">
    <w:abstractNumId w:val="26"/>
  </w:num>
  <w:num w:numId="25" w16cid:durableId="453980596">
    <w:abstractNumId w:val="34"/>
  </w:num>
  <w:num w:numId="26" w16cid:durableId="1155756722">
    <w:abstractNumId w:val="8"/>
  </w:num>
  <w:num w:numId="27" w16cid:durableId="806897643">
    <w:abstractNumId w:val="24"/>
  </w:num>
  <w:num w:numId="28" w16cid:durableId="1774666367">
    <w:abstractNumId w:val="37"/>
  </w:num>
  <w:num w:numId="29" w16cid:durableId="85540247">
    <w:abstractNumId w:val="13"/>
  </w:num>
  <w:num w:numId="30" w16cid:durableId="1456830832">
    <w:abstractNumId w:val="31"/>
  </w:num>
  <w:num w:numId="31" w16cid:durableId="460466468">
    <w:abstractNumId w:val="14"/>
  </w:num>
  <w:num w:numId="32" w16cid:durableId="792334898">
    <w:abstractNumId w:val="25"/>
  </w:num>
  <w:num w:numId="33" w16cid:durableId="749698479">
    <w:abstractNumId w:val="2"/>
  </w:num>
  <w:num w:numId="34" w16cid:durableId="808788017">
    <w:abstractNumId w:val="42"/>
  </w:num>
  <w:num w:numId="35" w16cid:durableId="1851096525">
    <w:abstractNumId w:val="30"/>
  </w:num>
  <w:num w:numId="36" w16cid:durableId="188642660">
    <w:abstractNumId w:val="6"/>
  </w:num>
  <w:num w:numId="37" w16cid:durableId="334575803">
    <w:abstractNumId w:val="16"/>
  </w:num>
  <w:num w:numId="38" w16cid:durableId="1046223658">
    <w:abstractNumId w:val="40"/>
  </w:num>
  <w:num w:numId="39" w16cid:durableId="1529491875">
    <w:abstractNumId w:val="28"/>
  </w:num>
  <w:num w:numId="40" w16cid:durableId="112214389">
    <w:abstractNumId w:val="15"/>
  </w:num>
  <w:num w:numId="41" w16cid:durableId="987243284">
    <w:abstractNumId w:val="41"/>
  </w:num>
  <w:num w:numId="42" w16cid:durableId="674578205">
    <w:abstractNumId w:val="10"/>
  </w:num>
  <w:num w:numId="43" w16cid:durableId="528420752">
    <w:abstractNumId w:val="12"/>
  </w:num>
  <w:num w:numId="44" w16cid:durableId="1936592730">
    <w:abstractNumId w:val="27"/>
  </w:num>
  <w:num w:numId="45" w16cid:durableId="396171000">
    <w:abstractNumId w:val="4"/>
  </w:num>
  <w:num w:numId="46" w16cid:durableId="1109827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A8C"/>
    <w:rsid w:val="00000033"/>
    <w:rsid w:val="0000006D"/>
    <w:rsid w:val="00000165"/>
    <w:rsid w:val="0000034E"/>
    <w:rsid w:val="00000728"/>
    <w:rsid w:val="00000A61"/>
    <w:rsid w:val="00000B77"/>
    <w:rsid w:val="00001111"/>
    <w:rsid w:val="0000116C"/>
    <w:rsid w:val="00001E1B"/>
    <w:rsid w:val="00001E80"/>
    <w:rsid w:val="0000293D"/>
    <w:rsid w:val="00002E3B"/>
    <w:rsid w:val="00003256"/>
    <w:rsid w:val="000040E4"/>
    <w:rsid w:val="00004420"/>
    <w:rsid w:val="00004865"/>
    <w:rsid w:val="00005091"/>
    <w:rsid w:val="000054A2"/>
    <w:rsid w:val="000055CD"/>
    <w:rsid w:val="00006E43"/>
    <w:rsid w:val="00007192"/>
    <w:rsid w:val="0000729D"/>
    <w:rsid w:val="00010802"/>
    <w:rsid w:val="00010BB5"/>
    <w:rsid w:val="000111F1"/>
    <w:rsid w:val="00012278"/>
    <w:rsid w:val="00012FB8"/>
    <w:rsid w:val="0001380A"/>
    <w:rsid w:val="00015314"/>
    <w:rsid w:val="00015332"/>
    <w:rsid w:val="00015462"/>
    <w:rsid w:val="00016EBD"/>
    <w:rsid w:val="0001706F"/>
    <w:rsid w:val="000176E8"/>
    <w:rsid w:val="0002026D"/>
    <w:rsid w:val="0002248A"/>
    <w:rsid w:val="00022B3B"/>
    <w:rsid w:val="000230DB"/>
    <w:rsid w:val="000242A5"/>
    <w:rsid w:val="00024471"/>
    <w:rsid w:val="0002489E"/>
    <w:rsid w:val="00024A47"/>
    <w:rsid w:val="000251AB"/>
    <w:rsid w:val="0002544C"/>
    <w:rsid w:val="00025884"/>
    <w:rsid w:val="00026204"/>
    <w:rsid w:val="0003069C"/>
    <w:rsid w:val="00031451"/>
    <w:rsid w:val="000318AC"/>
    <w:rsid w:val="0003297D"/>
    <w:rsid w:val="00032CB0"/>
    <w:rsid w:val="0003391E"/>
    <w:rsid w:val="0003431F"/>
    <w:rsid w:val="00034533"/>
    <w:rsid w:val="000349AA"/>
    <w:rsid w:val="00035D27"/>
    <w:rsid w:val="000364F5"/>
    <w:rsid w:val="00036FD4"/>
    <w:rsid w:val="00037FF4"/>
    <w:rsid w:val="00040237"/>
    <w:rsid w:val="000407B8"/>
    <w:rsid w:val="00041201"/>
    <w:rsid w:val="0004181B"/>
    <w:rsid w:val="00042748"/>
    <w:rsid w:val="00043206"/>
    <w:rsid w:val="000436F1"/>
    <w:rsid w:val="00043DDA"/>
    <w:rsid w:val="000444E6"/>
    <w:rsid w:val="000448D8"/>
    <w:rsid w:val="00044E03"/>
    <w:rsid w:val="0004517F"/>
    <w:rsid w:val="000457E8"/>
    <w:rsid w:val="0004618B"/>
    <w:rsid w:val="000462A2"/>
    <w:rsid w:val="0004729A"/>
    <w:rsid w:val="00047EF1"/>
    <w:rsid w:val="00047F06"/>
    <w:rsid w:val="00051006"/>
    <w:rsid w:val="0005190F"/>
    <w:rsid w:val="00052484"/>
    <w:rsid w:val="00052606"/>
    <w:rsid w:val="0005311E"/>
    <w:rsid w:val="00053FAD"/>
    <w:rsid w:val="0005444A"/>
    <w:rsid w:val="00055360"/>
    <w:rsid w:val="00055639"/>
    <w:rsid w:val="0005710C"/>
    <w:rsid w:val="000574B7"/>
    <w:rsid w:val="0005778D"/>
    <w:rsid w:val="00060407"/>
    <w:rsid w:val="00060861"/>
    <w:rsid w:val="000608FB"/>
    <w:rsid w:val="0006243E"/>
    <w:rsid w:val="000627FC"/>
    <w:rsid w:val="00063342"/>
    <w:rsid w:val="000635E5"/>
    <w:rsid w:val="00064A52"/>
    <w:rsid w:val="00064A9F"/>
    <w:rsid w:val="00064F60"/>
    <w:rsid w:val="0006528F"/>
    <w:rsid w:val="00065DB6"/>
    <w:rsid w:val="0006615D"/>
    <w:rsid w:val="00066250"/>
    <w:rsid w:val="00066334"/>
    <w:rsid w:val="00067109"/>
    <w:rsid w:val="000672D9"/>
    <w:rsid w:val="00067AC3"/>
    <w:rsid w:val="00067C6D"/>
    <w:rsid w:val="000700BA"/>
    <w:rsid w:val="00072AF0"/>
    <w:rsid w:val="00072B55"/>
    <w:rsid w:val="00073748"/>
    <w:rsid w:val="00074924"/>
    <w:rsid w:val="00074D42"/>
    <w:rsid w:val="000752DD"/>
    <w:rsid w:val="00075731"/>
    <w:rsid w:val="000758E4"/>
    <w:rsid w:val="00075A54"/>
    <w:rsid w:val="00075DD6"/>
    <w:rsid w:val="000768C9"/>
    <w:rsid w:val="00076BF3"/>
    <w:rsid w:val="00077E52"/>
    <w:rsid w:val="00080210"/>
    <w:rsid w:val="00080ABC"/>
    <w:rsid w:val="00080C70"/>
    <w:rsid w:val="00082771"/>
    <w:rsid w:val="00082C26"/>
    <w:rsid w:val="00082D74"/>
    <w:rsid w:val="00083274"/>
    <w:rsid w:val="000834B6"/>
    <w:rsid w:val="000844A7"/>
    <w:rsid w:val="0008464C"/>
    <w:rsid w:val="0008467B"/>
    <w:rsid w:val="00085B93"/>
    <w:rsid w:val="00085DE9"/>
    <w:rsid w:val="00086838"/>
    <w:rsid w:val="00087A5E"/>
    <w:rsid w:val="00087AA9"/>
    <w:rsid w:val="0009027F"/>
    <w:rsid w:val="00090E2F"/>
    <w:rsid w:val="00091346"/>
    <w:rsid w:val="00091B1B"/>
    <w:rsid w:val="000922E3"/>
    <w:rsid w:val="000949C1"/>
    <w:rsid w:val="00095300"/>
    <w:rsid w:val="00095EFD"/>
    <w:rsid w:val="00096513"/>
    <w:rsid w:val="00096648"/>
    <w:rsid w:val="00096BDA"/>
    <w:rsid w:val="0009729A"/>
    <w:rsid w:val="00097AE5"/>
    <w:rsid w:val="000A0A4B"/>
    <w:rsid w:val="000A15AA"/>
    <w:rsid w:val="000A39FE"/>
    <w:rsid w:val="000A3DF9"/>
    <w:rsid w:val="000A464A"/>
    <w:rsid w:val="000A4D64"/>
    <w:rsid w:val="000A4F06"/>
    <w:rsid w:val="000A4F3A"/>
    <w:rsid w:val="000A6A90"/>
    <w:rsid w:val="000A6FC5"/>
    <w:rsid w:val="000A7B10"/>
    <w:rsid w:val="000A7C85"/>
    <w:rsid w:val="000B1457"/>
    <w:rsid w:val="000B1E79"/>
    <w:rsid w:val="000B1ED7"/>
    <w:rsid w:val="000B203D"/>
    <w:rsid w:val="000B2636"/>
    <w:rsid w:val="000B2925"/>
    <w:rsid w:val="000B41C2"/>
    <w:rsid w:val="000B4879"/>
    <w:rsid w:val="000B4949"/>
    <w:rsid w:val="000B49D6"/>
    <w:rsid w:val="000B5058"/>
    <w:rsid w:val="000B50CF"/>
    <w:rsid w:val="000B51DB"/>
    <w:rsid w:val="000B5DF2"/>
    <w:rsid w:val="000B6280"/>
    <w:rsid w:val="000B6CF3"/>
    <w:rsid w:val="000B7029"/>
    <w:rsid w:val="000B712C"/>
    <w:rsid w:val="000B75D1"/>
    <w:rsid w:val="000B78EA"/>
    <w:rsid w:val="000C051C"/>
    <w:rsid w:val="000C0C8C"/>
    <w:rsid w:val="000C183B"/>
    <w:rsid w:val="000C260F"/>
    <w:rsid w:val="000C2621"/>
    <w:rsid w:val="000C2789"/>
    <w:rsid w:val="000C2F10"/>
    <w:rsid w:val="000C3231"/>
    <w:rsid w:val="000C3AE1"/>
    <w:rsid w:val="000C423B"/>
    <w:rsid w:val="000C49C9"/>
    <w:rsid w:val="000C4A7B"/>
    <w:rsid w:val="000C4FBF"/>
    <w:rsid w:val="000C6BED"/>
    <w:rsid w:val="000C7AA3"/>
    <w:rsid w:val="000D006B"/>
    <w:rsid w:val="000D046F"/>
    <w:rsid w:val="000D1765"/>
    <w:rsid w:val="000D1B40"/>
    <w:rsid w:val="000D1C8E"/>
    <w:rsid w:val="000D1EEF"/>
    <w:rsid w:val="000D21B4"/>
    <w:rsid w:val="000D3063"/>
    <w:rsid w:val="000D40B7"/>
    <w:rsid w:val="000D4366"/>
    <w:rsid w:val="000D7356"/>
    <w:rsid w:val="000D774A"/>
    <w:rsid w:val="000D7DC0"/>
    <w:rsid w:val="000E10FD"/>
    <w:rsid w:val="000E1CAC"/>
    <w:rsid w:val="000E211A"/>
    <w:rsid w:val="000E24B7"/>
    <w:rsid w:val="000E3176"/>
    <w:rsid w:val="000E31C1"/>
    <w:rsid w:val="000E3DEC"/>
    <w:rsid w:val="000E439D"/>
    <w:rsid w:val="000E488F"/>
    <w:rsid w:val="000E4971"/>
    <w:rsid w:val="000E538E"/>
    <w:rsid w:val="000E5A88"/>
    <w:rsid w:val="000E5B97"/>
    <w:rsid w:val="000E5FF9"/>
    <w:rsid w:val="000E6974"/>
    <w:rsid w:val="000E6A06"/>
    <w:rsid w:val="000E6D17"/>
    <w:rsid w:val="000E6E5F"/>
    <w:rsid w:val="000F0248"/>
    <w:rsid w:val="000F08F2"/>
    <w:rsid w:val="000F143A"/>
    <w:rsid w:val="000F1ADE"/>
    <w:rsid w:val="000F1CD3"/>
    <w:rsid w:val="000F1DE6"/>
    <w:rsid w:val="000F23CC"/>
    <w:rsid w:val="000F24C3"/>
    <w:rsid w:val="000F3328"/>
    <w:rsid w:val="000F3F95"/>
    <w:rsid w:val="000F4BD1"/>
    <w:rsid w:val="000F4C95"/>
    <w:rsid w:val="000F4DA3"/>
    <w:rsid w:val="000F518B"/>
    <w:rsid w:val="000F60B3"/>
    <w:rsid w:val="000F6343"/>
    <w:rsid w:val="000F671D"/>
    <w:rsid w:val="000F724D"/>
    <w:rsid w:val="000F74B8"/>
    <w:rsid w:val="000F778A"/>
    <w:rsid w:val="000F7921"/>
    <w:rsid w:val="0010092F"/>
    <w:rsid w:val="001010AC"/>
    <w:rsid w:val="00101D15"/>
    <w:rsid w:val="00102C4A"/>
    <w:rsid w:val="00102D80"/>
    <w:rsid w:val="00102F80"/>
    <w:rsid w:val="00103034"/>
    <w:rsid w:val="0010398C"/>
    <w:rsid w:val="00103AC6"/>
    <w:rsid w:val="00104E0C"/>
    <w:rsid w:val="00104EB5"/>
    <w:rsid w:val="00105143"/>
    <w:rsid w:val="00106633"/>
    <w:rsid w:val="00107438"/>
    <w:rsid w:val="00107918"/>
    <w:rsid w:val="00110105"/>
    <w:rsid w:val="00110D19"/>
    <w:rsid w:val="0011148B"/>
    <w:rsid w:val="00111C13"/>
    <w:rsid w:val="0011264D"/>
    <w:rsid w:val="00113403"/>
    <w:rsid w:val="00113E21"/>
    <w:rsid w:val="00115010"/>
    <w:rsid w:val="00115277"/>
    <w:rsid w:val="00115A75"/>
    <w:rsid w:val="0011694B"/>
    <w:rsid w:val="001169AD"/>
    <w:rsid w:val="00117EFB"/>
    <w:rsid w:val="001213F7"/>
    <w:rsid w:val="00122BA4"/>
    <w:rsid w:val="00123383"/>
    <w:rsid w:val="0012355D"/>
    <w:rsid w:val="00124111"/>
    <w:rsid w:val="00124F99"/>
    <w:rsid w:val="001254A9"/>
    <w:rsid w:val="00126228"/>
    <w:rsid w:val="001266C2"/>
    <w:rsid w:val="00127492"/>
    <w:rsid w:val="001279EF"/>
    <w:rsid w:val="00127A53"/>
    <w:rsid w:val="001305A2"/>
    <w:rsid w:val="00131465"/>
    <w:rsid w:val="00133C7C"/>
    <w:rsid w:val="00134A4E"/>
    <w:rsid w:val="00134CC1"/>
    <w:rsid w:val="00135204"/>
    <w:rsid w:val="001362AA"/>
    <w:rsid w:val="00137260"/>
    <w:rsid w:val="00140C1B"/>
    <w:rsid w:val="00140C23"/>
    <w:rsid w:val="00140FA3"/>
    <w:rsid w:val="001416FC"/>
    <w:rsid w:val="001418E2"/>
    <w:rsid w:val="00141915"/>
    <w:rsid w:val="00141C4D"/>
    <w:rsid w:val="00141E46"/>
    <w:rsid w:val="001434CA"/>
    <w:rsid w:val="00144DA2"/>
    <w:rsid w:val="00145496"/>
    <w:rsid w:val="00145719"/>
    <w:rsid w:val="00145E4E"/>
    <w:rsid w:val="0014636F"/>
    <w:rsid w:val="00146713"/>
    <w:rsid w:val="00146C3F"/>
    <w:rsid w:val="0014715D"/>
    <w:rsid w:val="001479AA"/>
    <w:rsid w:val="001508A9"/>
    <w:rsid w:val="00150A08"/>
    <w:rsid w:val="0015115C"/>
    <w:rsid w:val="00151A3A"/>
    <w:rsid w:val="00151B4E"/>
    <w:rsid w:val="00151C62"/>
    <w:rsid w:val="00152ACD"/>
    <w:rsid w:val="00152DA0"/>
    <w:rsid w:val="00155486"/>
    <w:rsid w:val="00157102"/>
    <w:rsid w:val="001573C0"/>
    <w:rsid w:val="00157A3A"/>
    <w:rsid w:val="001608DC"/>
    <w:rsid w:val="00160FD1"/>
    <w:rsid w:val="001616D6"/>
    <w:rsid w:val="00161CCF"/>
    <w:rsid w:val="00161E70"/>
    <w:rsid w:val="00162034"/>
    <w:rsid w:val="001623F5"/>
    <w:rsid w:val="00163DA0"/>
    <w:rsid w:val="00164268"/>
    <w:rsid w:val="001651E6"/>
    <w:rsid w:val="00165D85"/>
    <w:rsid w:val="00165DCD"/>
    <w:rsid w:val="00165F4E"/>
    <w:rsid w:val="00166E93"/>
    <w:rsid w:val="001672F6"/>
    <w:rsid w:val="00167778"/>
    <w:rsid w:val="00167982"/>
    <w:rsid w:val="00170248"/>
    <w:rsid w:val="00170273"/>
    <w:rsid w:val="00170799"/>
    <w:rsid w:val="00171123"/>
    <w:rsid w:val="00171608"/>
    <w:rsid w:val="0017186E"/>
    <w:rsid w:val="00171D97"/>
    <w:rsid w:val="0017215B"/>
    <w:rsid w:val="001730BD"/>
    <w:rsid w:val="00173A14"/>
    <w:rsid w:val="001745DB"/>
    <w:rsid w:val="00175961"/>
    <w:rsid w:val="0017697D"/>
    <w:rsid w:val="0017698D"/>
    <w:rsid w:val="00176D52"/>
    <w:rsid w:val="001772CB"/>
    <w:rsid w:val="00177909"/>
    <w:rsid w:val="001818F3"/>
    <w:rsid w:val="00181BFB"/>
    <w:rsid w:val="00181C9F"/>
    <w:rsid w:val="00181D9D"/>
    <w:rsid w:val="001821B2"/>
    <w:rsid w:val="001826B7"/>
    <w:rsid w:val="0018280D"/>
    <w:rsid w:val="00182857"/>
    <w:rsid w:val="00183482"/>
    <w:rsid w:val="00183873"/>
    <w:rsid w:val="001842C4"/>
    <w:rsid w:val="001845B3"/>
    <w:rsid w:val="00184809"/>
    <w:rsid w:val="00184897"/>
    <w:rsid w:val="00185321"/>
    <w:rsid w:val="001853D9"/>
    <w:rsid w:val="00186146"/>
    <w:rsid w:val="00186863"/>
    <w:rsid w:val="0018706C"/>
    <w:rsid w:val="00190119"/>
    <w:rsid w:val="00190142"/>
    <w:rsid w:val="00190F13"/>
    <w:rsid w:val="00191210"/>
    <w:rsid w:val="001912CD"/>
    <w:rsid w:val="001915F3"/>
    <w:rsid w:val="001919D4"/>
    <w:rsid w:val="001921FA"/>
    <w:rsid w:val="0019238B"/>
    <w:rsid w:val="001923D0"/>
    <w:rsid w:val="00192969"/>
    <w:rsid w:val="00192C86"/>
    <w:rsid w:val="00193003"/>
    <w:rsid w:val="00194615"/>
    <w:rsid w:val="00194735"/>
    <w:rsid w:val="0019473D"/>
    <w:rsid w:val="00194D54"/>
    <w:rsid w:val="0019585A"/>
    <w:rsid w:val="001965DF"/>
    <w:rsid w:val="00196B58"/>
    <w:rsid w:val="001970B0"/>
    <w:rsid w:val="001974F2"/>
    <w:rsid w:val="0019792E"/>
    <w:rsid w:val="00197D10"/>
    <w:rsid w:val="00197DD0"/>
    <w:rsid w:val="001A02AD"/>
    <w:rsid w:val="001A10D8"/>
    <w:rsid w:val="001A147C"/>
    <w:rsid w:val="001A2E3F"/>
    <w:rsid w:val="001A33E1"/>
    <w:rsid w:val="001A3797"/>
    <w:rsid w:val="001A38A6"/>
    <w:rsid w:val="001A3C90"/>
    <w:rsid w:val="001A4982"/>
    <w:rsid w:val="001A524F"/>
    <w:rsid w:val="001A59FB"/>
    <w:rsid w:val="001A6654"/>
    <w:rsid w:val="001A6CF4"/>
    <w:rsid w:val="001A7D35"/>
    <w:rsid w:val="001B006C"/>
    <w:rsid w:val="001B10C8"/>
    <w:rsid w:val="001B1228"/>
    <w:rsid w:val="001B1913"/>
    <w:rsid w:val="001B1B08"/>
    <w:rsid w:val="001B21C7"/>
    <w:rsid w:val="001B21D4"/>
    <w:rsid w:val="001B3570"/>
    <w:rsid w:val="001B35FD"/>
    <w:rsid w:val="001B37C2"/>
    <w:rsid w:val="001B3DB6"/>
    <w:rsid w:val="001B4047"/>
    <w:rsid w:val="001B40B8"/>
    <w:rsid w:val="001B4DE3"/>
    <w:rsid w:val="001B5409"/>
    <w:rsid w:val="001B64A2"/>
    <w:rsid w:val="001B74CF"/>
    <w:rsid w:val="001B771D"/>
    <w:rsid w:val="001B7B85"/>
    <w:rsid w:val="001C047C"/>
    <w:rsid w:val="001C18D0"/>
    <w:rsid w:val="001C1EB3"/>
    <w:rsid w:val="001C2565"/>
    <w:rsid w:val="001C2581"/>
    <w:rsid w:val="001C3179"/>
    <w:rsid w:val="001C3E09"/>
    <w:rsid w:val="001C4447"/>
    <w:rsid w:val="001C5232"/>
    <w:rsid w:val="001C667F"/>
    <w:rsid w:val="001C6C2D"/>
    <w:rsid w:val="001C72CF"/>
    <w:rsid w:val="001D1023"/>
    <w:rsid w:val="001D12F0"/>
    <w:rsid w:val="001D19F0"/>
    <w:rsid w:val="001D1D88"/>
    <w:rsid w:val="001D3CD3"/>
    <w:rsid w:val="001D59DC"/>
    <w:rsid w:val="001D5B76"/>
    <w:rsid w:val="001D7974"/>
    <w:rsid w:val="001D7D31"/>
    <w:rsid w:val="001E022A"/>
    <w:rsid w:val="001E0B11"/>
    <w:rsid w:val="001E12BF"/>
    <w:rsid w:val="001E1C34"/>
    <w:rsid w:val="001E2081"/>
    <w:rsid w:val="001E365B"/>
    <w:rsid w:val="001E4882"/>
    <w:rsid w:val="001E4937"/>
    <w:rsid w:val="001E4B8B"/>
    <w:rsid w:val="001E4C84"/>
    <w:rsid w:val="001E5501"/>
    <w:rsid w:val="001E5704"/>
    <w:rsid w:val="001E6391"/>
    <w:rsid w:val="001E67B7"/>
    <w:rsid w:val="001E7500"/>
    <w:rsid w:val="001E7B4A"/>
    <w:rsid w:val="001F158D"/>
    <w:rsid w:val="001F251F"/>
    <w:rsid w:val="001F2592"/>
    <w:rsid w:val="001F3826"/>
    <w:rsid w:val="001F3B31"/>
    <w:rsid w:val="001F3E7E"/>
    <w:rsid w:val="001F4D03"/>
    <w:rsid w:val="001F5B4F"/>
    <w:rsid w:val="001F5DE4"/>
    <w:rsid w:val="001F61B9"/>
    <w:rsid w:val="001F68D0"/>
    <w:rsid w:val="001F7342"/>
    <w:rsid w:val="001F7470"/>
    <w:rsid w:val="001F77BC"/>
    <w:rsid w:val="001F7A65"/>
    <w:rsid w:val="00201155"/>
    <w:rsid w:val="002012EA"/>
    <w:rsid w:val="00201B37"/>
    <w:rsid w:val="00201BC4"/>
    <w:rsid w:val="0020216A"/>
    <w:rsid w:val="00202599"/>
    <w:rsid w:val="00203FFE"/>
    <w:rsid w:val="0020516B"/>
    <w:rsid w:val="00205767"/>
    <w:rsid w:val="0020592B"/>
    <w:rsid w:val="00206390"/>
    <w:rsid w:val="00206DED"/>
    <w:rsid w:val="002072A0"/>
    <w:rsid w:val="002074E2"/>
    <w:rsid w:val="00207541"/>
    <w:rsid w:val="0020798A"/>
    <w:rsid w:val="0021025C"/>
    <w:rsid w:val="0021058F"/>
    <w:rsid w:val="002110F7"/>
    <w:rsid w:val="0021181A"/>
    <w:rsid w:val="00211E70"/>
    <w:rsid w:val="00211F8A"/>
    <w:rsid w:val="002120C9"/>
    <w:rsid w:val="00212913"/>
    <w:rsid w:val="00212AF6"/>
    <w:rsid w:val="00212F9B"/>
    <w:rsid w:val="00213F86"/>
    <w:rsid w:val="00214214"/>
    <w:rsid w:val="002142F2"/>
    <w:rsid w:val="002143CC"/>
    <w:rsid w:val="00214504"/>
    <w:rsid w:val="00215A49"/>
    <w:rsid w:val="00215CBE"/>
    <w:rsid w:val="00215DE2"/>
    <w:rsid w:val="00215EC6"/>
    <w:rsid w:val="00216225"/>
    <w:rsid w:val="00216909"/>
    <w:rsid w:val="00217AFD"/>
    <w:rsid w:val="002218B0"/>
    <w:rsid w:val="00221F97"/>
    <w:rsid w:val="0022297B"/>
    <w:rsid w:val="002230C7"/>
    <w:rsid w:val="0022433E"/>
    <w:rsid w:val="002255F9"/>
    <w:rsid w:val="00226772"/>
    <w:rsid w:val="00226C0B"/>
    <w:rsid w:val="002272CF"/>
    <w:rsid w:val="00227ABA"/>
    <w:rsid w:val="00227D65"/>
    <w:rsid w:val="002308D2"/>
    <w:rsid w:val="00231058"/>
    <w:rsid w:val="002311D7"/>
    <w:rsid w:val="00231284"/>
    <w:rsid w:val="002312AE"/>
    <w:rsid w:val="00231C32"/>
    <w:rsid w:val="00231F9A"/>
    <w:rsid w:val="00232C5C"/>
    <w:rsid w:val="00233A82"/>
    <w:rsid w:val="00233A8B"/>
    <w:rsid w:val="00233B31"/>
    <w:rsid w:val="00235077"/>
    <w:rsid w:val="002350DE"/>
    <w:rsid w:val="0023574E"/>
    <w:rsid w:val="00235B54"/>
    <w:rsid w:val="002360D3"/>
    <w:rsid w:val="00236ED6"/>
    <w:rsid w:val="002374AC"/>
    <w:rsid w:val="00237EEB"/>
    <w:rsid w:val="002409B6"/>
    <w:rsid w:val="00240CAF"/>
    <w:rsid w:val="00241280"/>
    <w:rsid w:val="002421D4"/>
    <w:rsid w:val="002422D9"/>
    <w:rsid w:val="002424D9"/>
    <w:rsid w:val="00242624"/>
    <w:rsid w:val="00243B60"/>
    <w:rsid w:val="0024588A"/>
    <w:rsid w:val="00245AD5"/>
    <w:rsid w:val="00245CC1"/>
    <w:rsid w:val="002461A7"/>
    <w:rsid w:val="002466AF"/>
    <w:rsid w:val="00246EF2"/>
    <w:rsid w:val="002475D3"/>
    <w:rsid w:val="002478BC"/>
    <w:rsid w:val="0025061E"/>
    <w:rsid w:val="002507EE"/>
    <w:rsid w:val="00251186"/>
    <w:rsid w:val="00251B1C"/>
    <w:rsid w:val="00251D9F"/>
    <w:rsid w:val="00252940"/>
    <w:rsid w:val="002532E2"/>
    <w:rsid w:val="002534C9"/>
    <w:rsid w:val="00254266"/>
    <w:rsid w:val="002545E8"/>
    <w:rsid w:val="002555C8"/>
    <w:rsid w:val="00255BF4"/>
    <w:rsid w:val="00256072"/>
    <w:rsid w:val="002576FD"/>
    <w:rsid w:val="002578BF"/>
    <w:rsid w:val="00260285"/>
    <w:rsid w:val="00260634"/>
    <w:rsid w:val="002608E2"/>
    <w:rsid w:val="00260914"/>
    <w:rsid w:val="00261079"/>
    <w:rsid w:val="00261328"/>
    <w:rsid w:val="00261797"/>
    <w:rsid w:val="00262790"/>
    <w:rsid w:val="002631A4"/>
    <w:rsid w:val="00263578"/>
    <w:rsid w:val="002643B8"/>
    <w:rsid w:val="0026454C"/>
    <w:rsid w:val="00264C3A"/>
    <w:rsid w:val="00264C9D"/>
    <w:rsid w:val="00265507"/>
    <w:rsid w:val="00265A3F"/>
    <w:rsid w:val="00265AC4"/>
    <w:rsid w:val="00265C9B"/>
    <w:rsid w:val="00265EB4"/>
    <w:rsid w:val="002666AD"/>
    <w:rsid w:val="00266A67"/>
    <w:rsid w:val="0026766E"/>
    <w:rsid w:val="00267932"/>
    <w:rsid w:val="002679B1"/>
    <w:rsid w:val="00267E1D"/>
    <w:rsid w:val="002710B5"/>
    <w:rsid w:val="002710F2"/>
    <w:rsid w:val="002713A2"/>
    <w:rsid w:val="00273C80"/>
    <w:rsid w:val="00273FA0"/>
    <w:rsid w:val="002745C2"/>
    <w:rsid w:val="002746BA"/>
    <w:rsid w:val="00275858"/>
    <w:rsid w:val="00275B1C"/>
    <w:rsid w:val="00276334"/>
    <w:rsid w:val="0027741F"/>
    <w:rsid w:val="002777B1"/>
    <w:rsid w:val="00277C40"/>
    <w:rsid w:val="00277E95"/>
    <w:rsid w:val="00280617"/>
    <w:rsid w:val="00280E3E"/>
    <w:rsid w:val="0028101E"/>
    <w:rsid w:val="00281CDE"/>
    <w:rsid w:val="00281FAC"/>
    <w:rsid w:val="00282367"/>
    <w:rsid w:val="002823A4"/>
    <w:rsid w:val="00282618"/>
    <w:rsid w:val="00282B87"/>
    <w:rsid w:val="00282D86"/>
    <w:rsid w:val="00282E01"/>
    <w:rsid w:val="00282FF7"/>
    <w:rsid w:val="0028315B"/>
    <w:rsid w:val="0028319D"/>
    <w:rsid w:val="0028470F"/>
    <w:rsid w:val="00285A54"/>
    <w:rsid w:val="00285E9D"/>
    <w:rsid w:val="002860F3"/>
    <w:rsid w:val="00286963"/>
    <w:rsid w:val="0028726E"/>
    <w:rsid w:val="002900FA"/>
    <w:rsid w:val="00290467"/>
    <w:rsid w:val="0029064E"/>
    <w:rsid w:val="00290D06"/>
    <w:rsid w:val="002917EB"/>
    <w:rsid w:val="00291D8D"/>
    <w:rsid w:val="0029326C"/>
    <w:rsid w:val="00294B62"/>
    <w:rsid w:val="00295B8B"/>
    <w:rsid w:val="00296CB2"/>
    <w:rsid w:val="00296E41"/>
    <w:rsid w:val="00297CA9"/>
    <w:rsid w:val="002A003E"/>
    <w:rsid w:val="002A01BA"/>
    <w:rsid w:val="002A05BF"/>
    <w:rsid w:val="002A0A3E"/>
    <w:rsid w:val="002A13C8"/>
    <w:rsid w:val="002A1A89"/>
    <w:rsid w:val="002A331E"/>
    <w:rsid w:val="002A3A83"/>
    <w:rsid w:val="002A4C6D"/>
    <w:rsid w:val="002A550A"/>
    <w:rsid w:val="002A5955"/>
    <w:rsid w:val="002A5B00"/>
    <w:rsid w:val="002A749A"/>
    <w:rsid w:val="002B250C"/>
    <w:rsid w:val="002B33DD"/>
    <w:rsid w:val="002B48E2"/>
    <w:rsid w:val="002B4C67"/>
    <w:rsid w:val="002B531E"/>
    <w:rsid w:val="002B5730"/>
    <w:rsid w:val="002B618D"/>
    <w:rsid w:val="002B66CA"/>
    <w:rsid w:val="002B7154"/>
    <w:rsid w:val="002B7315"/>
    <w:rsid w:val="002C00E9"/>
    <w:rsid w:val="002C0590"/>
    <w:rsid w:val="002C0B59"/>
    <w:rsid w:val="002C0DF3"/>
    <w:rsid w:val="002C14B7"/>
    <w:rsid w:val="002C159F"/>
    <w:rsid w:val="002C1BE7"/>
    <w:rsid w:val="002C24F6"/>
    <w:rsid w:val="002C28C7"/>
    <w:rsid w:val="002C32B4"/>
    <w:rsid w:val="002C3790"/>
    <w:rsid w:val="002C44EC"/>
    <w:rsid w:val="002C570B"/>
    <w:rsid w:val="002C60EE"/>
    <w:rsid w:val="002C62CB"/>
    <w:rsid w:val="002C6B4E"/>
    <w:rsid w:val="002C6CC7"/>
    <w:rsid w:val="002C723F"/>
    <w:rsid w:val="002C7CB0"/>
    <w:rsid w:val="002C7DCF"/>
    <w:rsid w:val="002D05D1"/>
    <w:rsid w:val="002D0BD0"/>
    <w:rsid w:val="002D1BAC"/>
    <w:rsid w:val="002D2275"/>
    <w:rsid w:val="002D25BC"/>
    <w:rsid w:val="002D28E5"/>
    <w:rsid w:val="002D2CBF"/>
    <w:rsid w:val="002D2F1C"/>
    <w:rsid w:val="002D3AE7"/>
    <w:rsid w:val="002D3CA1"/>
    <w:rsid w:val="002D4876"/>
    <w:rsid w:val="002D4A5B"/>
    <w:rsid w:val="002D545A"/>
    <w:rsid w:val="002D556A"/>
    <w:rsid w:val="002D6113"/>
    <w:rsid w:val="002D639A"/>
    <w:rsid w:val="002D6D32"/>
    <w:rsid w:val="002D7DF8"/>
    <w:rsid w:val="002E1CD8"/>
    <w:rsid w:val="002E1D3E"/>
    <w:rsid w:val="002E2C95"/>
    <w:rsid w:val="002E3421"/>
    <w:rsid w:val="002E3694"/>
    <w:rsid w:val="002E3AEE"/>
    <w:rsid w:val="002E45B8"/>
    <w:rsid w:val="002E4731"/>
    <w:rsid w:val="002E6550"/>
    <w:rsid w:val="002E6ECB"/>
    <w:rsid w:val="002E786C"/>
    <w:rsid w:val="002F0A39"/>
    <w:rsid w:val="002F0EB6"/>
    <w:rsid w:val="002F19A9"/>
    <w:rsid w:val="002F1C67"/>
    <w:rsid w:val="002F2E6D"/>
    <w:rsid w:val="002F305D"/>
    <w:rsid w:val="002F3AF0"/>
    <w:rsid w:val="002F5EBF"/>
    <w:rsid w:val="002F6BCB"/>
    <w:rsid w:val="002F76B8"/>
    <w:rsid w:val="002F76FB"/>
    <w:rsid w:val="002F7F70"/>
    <w:rsid w:val="0030097E"/>
    <w:rsid w:val="00300DF7"/>
    <w:rsid w:val="003013B0"/>
    <w:rsid w:val="0030163D"/>
    <w:rsid w:val="00301F0A"/>
    <w:rsid w:val="003023C7"/>
    <w:rsid w:val="003027B7"/>
    <w:rsid w:val="00302A72"/>
    <w:rsid w:val="00303F1B"/>
    <w:rsid w:val="0030473E"/>
    <w:rsid w:val="003054A4"/>
    <w:rsid w:val="00306595"/>
    <w:rsid w:val="0031027C"/>
    <w:rsid w:val="00310445"/>
    <w:rsid w:val="0031046A"/>
    <w:rsid w:val="00311552"/>
    <w:rsid w:val="003119FF"/>
    <w:rsid w:val="00311F9C"/>
    <w:rsid w:val="003121F8"/>
    <w:rsid w:val="00312DD7"/>
    <w:rsid w:val="00313B19"/>
    <w:rsid w:val="0031442D"/>
    <w:rsid w:val="0031498D"/>
    <w:rsid w:val="003151BF"/>
    <w:rsid w:val="00315824"/>
    <w:rsid w:val="003158CA"/>
    <w:rsid w:val="00316891"/>
    <w:rsid w:val="00316A73"/>
    <w:rsid w:val="003177F8"/>
    <w:rsid w:val="003200D1"/>
    <w:rsid w:val="003207B5"/>
    <w:rsid w:val="00320EF7"/>
    <w:rsid w:val="00320F2B"/>
    <w:rsid w:val="00321053"/>
    <w:rsid w:val="00321123"/>
    <w:rsid w:val="0032132E"/>
    <w:rsid w:val="00321DF4"/>
    <w:rsid w:val="0032273F"/>
    <w:rsid w:val="00322F10"/>
    <w:rsid w:val="00324D6E"/>
    <w:rsid w:val="003251D4"/>
    <w:rsid w:val="00325DB8"/>
    <w:rsid w:val="00326332"/>
    <w:rsid w:val="00326DCB"/>
    <w:rsid w:val="00327182"/>
    <w:rsid w:val="003273DB"/>
    <w:rsid w:val="00327832"/>
    <w:rsid w:val="0033063B"/>
    <w:rsid w:val="003312F1"/>
    <w:rsid w:val="003313DC"/>
    <w:rsid w:val="003318F6"/>
    <w:rsid w:val="00332C61"/>
    <w:rsid w:val="003336A9"/>
    <w:rsid w:val="00334B90"/>
    <w:rsid w:val="0033561C"/>
    <w:rsid w:val="003362F5"/>
    <w:rsid w:val="0033699D"/>
    <w:rsid w:val="00336F43"/>
    <w:rsid w:val="00337116"/>
    <w:rsid w:val="00337343"/>
    <w:rsid w:val="00340163"/>
    <w:rsid w:val="00340260"/>
    <w:rsid w:val="003408B4"/>
    <w:rsid w:val="00340CE9"/>
    <w:rsid w:val="00340E46"/>
    <w:rsid w:val="00341545"/>
    <w:rsid w:val="00341959"/>
    <w:rsid w:val="00343489"/>
    <w:rsid w:val="0034449E"/>
    <w:rsid w:val="00345318"/>
    <w:rsid w:val="00345486"/>
    <w:rsid w:val="00345635"/>
    <w:rsid w:val="003456B7"/>
    <w:rsid w:val="00345884"/>
    <w:rsid w:val="00345AA2"/>
    <w:rsid w:val="00345E7D"/>
    <w:rsid w:val="003468A6"/>
    <w:rsid w:val="0034706F"/>
    <w:rsid w:val="003501DC"/>
    <w:rsid w:val="0035026B"/>
    <w:rsid w:val="003506AB"/>
    <w:rsid w:val="00350C3C"/>
    <w:rsid w:val="00350CDE"/>
    <w:rsid w:val="0035177E"/>
    <w:rsid w:val="00352334"/>
    <w:rsid w:val="0035309C"/>
    <w:rsid w:val="0035465E"/>
    <w:rsid w:val="0035498E"/>
    <w:rsid w:val="00355DC5"/>
    <w:rsid w:val="003576B5"/>
    <w:rsid w:val="003578EC"/>
    <w:rsid w:val="00362154"/>
    <w:rsid w:val="00362ECA"/>
    <w:rsid w:val="003630B9"/>
    <w:rsid w:val="00363D29"/>
    <w:rsid w:val="0036438A"/>
    <w:rsid w:val="003658F3"/>
    <w:rsid w:val="00366332"/>
    <w:rsid w:val="00366BBF"/>
    <w:rsid w:val="00366D69"/>
    <w:rsid w:val="00366F7F"/>
    <w:rsid w:val="003673C6"/>
    <w:rsid w:val="0036756A"/>
    <w:rsid w:val="00367BE0"/>
    <w:rsid w:val="00370877"/>
    <w:rsid w:val="00370F76"/>
    <w:rsid w:val="003714D2"/>
    <w:rsid w:val="00371A6E"/>
    <w:rsid w:val="00372681"/>
    <w:rsid w:val="00373162"/>
    <w:rsid w:val="00373356"/>
    <w:rsid w:val="00373864"/>
    <w:rsid w:val="00373FF5"/>
    <w:rsid w:val="00374188"/>
    <w:rsid w:val="00374457"/>
    <w:rsid w:val="00376007"/>
    <w:rsid w:val="00377003"/>
    <w:rsid w:val="00377EE5"/>
    <w:rsid w:val="00380205"/>
    <w:rsid w:val="00380756"/>
    <w:rsid w:val="003807DE"/>
    <w:rsid w:val="00380D0F"/>
    <w:rsid w:val="00381971"/>
    <w:rsid w:val="00381C43"/>
    <w:rsid w:val="003827D2"/>
    <w:rsid w:val="003829F9"/>
    <w:rsid w:val="00383262"/>
    <w:rsid w:val="003833C1"/>
    <w:rsid w:val="003839BF"/>
    <w:rsid w:val="00383C2A"/>
    <w:rsid w:val="003846E2"/>
    <w:rsid w:val="00385684"/>
    <w:rsid w:val="003860F7"/>
    <w:rsid w:val="003871D4"/>
    <w:rsid w:val="003909C7"/>
    <w:rsid w:val="00390D02"/>
    <w:rsid w:val="00391607"/>
    <w:rsid w:val="00392153"/>
    <w:rsid w:val="00392E6A"/>
    <w:rsid w:val="00393E09"/>
    <w:rsid w:val="00394407"/>
    <w:rsid w:val="003945A8"/>
    <w:rsid w:val="0039510E"/>
    <w:rsid w:val="003954B4"/>
    <w:rsid w:val="0039551D"/>
    <w:rsid w:val="00395880"/>
    <w:rsid w:val="003958AD"/>
    <w:rsid w:val="00395924"/>
    <w:rsid w:val="0039677F"/>
    <w:rsid w:val="003971F5"/>
    <w:rsid w:val="0039750E"/>
    <w:rsid w:val="003975DE"/>
    <w:rsid w:val="00397616"/>
    <w:rsid w:val="00397AA9"/>
    <w:rsid w:val="00397D6B"/>
    <w:rsid w:val="00397DF2"/>
    <w:rsid w:val="003A041D"/>
    <w:rsid w:val="003A0C39"/>
    <w:rsid w:val="003A0E1E"/>
    <w:rsid w:val="003A1BE2"/>
    <w:rsid w:val="003A2462"/>
    <w:rsid w:val="003A2AE9"/>
    <w:rsid w:val="003A3C25"/>
    <w:rsid w:val="003A4578"/>
    <w:rsid w:val="003A6436"/>
    <w:rsid w:val="003A6F6A"/>
    <w:rsid w:val="003A72B4"/>
    <w:rsid w:val="003A736C"/>
    <w:rsid w:val="003A7493"/>
    <w:rsid w:val="003A7E73"/>
    <w:rsid w:val="003B0F36"/>
    <w:rsid w:val="003B1502"/>
    <w:rsid w:val="003B1DBF"/>
    <w:rsid w:val="003B23AD"/>
    <w:rsid w:val="003B2889"/>
    <w:rsid w:val="003B45B9"/>
    <w:rsid w:val="003B483C"/>
    <w:rsid w:val="003B507B"/>
    <w:rsid w:val="003B5240"/>
    <w:rsid w:val="003B6105"/>
    <w:rsid w:val="003B6DF2"/>
    <w:rsid w:val="003C0B65"/>
    <w:rsid w:val="003C0E8D"/>
    <w:rsid w:val="003C248E"/>
    <w:rsid w:val="003C281C"/>
    <w:rsid w:val="003C33DC"/>
    <w:rsid w:val="003C377F"/>
    <w:rsid w:val="003C40AD"/>
    <w:rsid w:val="003C4DF4"/>
    <w:rsid w:val="003C53F2"/>
    <w:rsid w:val="003C5497"/>
    <w:rsid w:val="003C5721"/>
    <w:rsid w:val="003C59DB"/>
    <w:rsid w:val="003C5B7B"/>
    <w:rsid w:val="003C6E5E"/>
    <w:rsid w:val="003C711D"/>
    <w:rsid w:val="003C77E9"/>
    <w:rsid w:val="003C7C13"/>
    <w:rsid w:val="003C7EF5"/>
    <w:rsid w:val="003D03A8"/>
    <w:rsid w:val="003D097F"/>
    <w:rsid w:val="003D146E"/>
    <w:rsid w:val="003D2F5A"/>
    <w:rsid w:val="003D37ED"/>
    <w:rsid w:val="003D3834"/>
    <w:rsid w:val="003D3F59"/>
    <w:rsid w:val="003D4C34"/>
    <w:rsid w:val="003D5098"/>
    <w:rsid w:val="003D537B"/>
    <w:rsid w:val="003D5B19"/>
    <w:rsid w:val="003D5E7E"/>
    <w:rsid w:val="003D623A"/>
    <w:rsid w:val="003D6324"/>
    <w:rsid w:val="003D65FF"/>
    <w:rsid w:val="003D7B9A"/>
    <w:rsid w:val="003E02B9"/>
    <w:rsid w:val="003E0A27"/>
    <w:rsid w:val="003E1755"/>
    <w:rsid w:val="003E1E53"/>
    <w:rsid w:val="003E2784"/>
    <w:rsid w:val="003E2B23"/>
    <w:rsid w:val="003E2B40"/>
    <w:rsid w:val="003E3E35"/>
    <w:rsid w:val="003E3EA0"/>
    <w:rsid w:val="003E3F27"/>
    <w:rsid w:val="003E475A"/>
    <w:rsid w:val="003E5AA9"/>
    <w:rsid w:val="003E5E22"/>
    <w:rsid w:val="003E63D6"/>
    <w:rsid w:val="003E65EC"/>
    <w:rsid w:val="003E7706"/>
    <w:rsid w:val="003E7A4E"/>
    <w:rsid w:val="003E7F13"/>
    <w:rsid w:val="003F038C"/>
    <w:rsid w:val="003F1839"/>
    <w:rsid w:val="003F25BE"/>
    <w:rsid w:val="003F2EC9"/>
    <w:rsid w:val="003F33F5"/>
    <w:rsid w:val="003F33F7"/>
    <w:rsid w:val="003F3B48"/>
    <w:rsid w:val="003F722F"/>
    <w:rsid w:val="003F7778"/>
    <w:rsid w:val="003F7AED"/>
    <w:rsid w:val="004009B3"/>
    <w:rsid w:val="00401290"/>
    <w:rsid w:val="004016B2"/>
    <w:rsid w:val="004022CF"/>
    <w:rsid w:val="00402BCA"/>
    <w:rsid w:val="00403D05"/>
    <w:rsid w:val="00406A4D"/>
    <w:rsid w:val="00406F93"/>
    <w:rsid w:val="00406FE5"/>
    <w:rsid w:val="004071B0"/>
    <w:rsid w:val="00407400"/>
    <w:rsid w:val="00407570"/>
    <w:rsid w:val="0041028E"/>
    <w:rsid w:val="004111E2"/>
    <w:rsid w:val="0041126B"/>
    <w:rsid w:val="00411AFE"/>
    <w:rsid w:val="004120BC"/>
    <w:rsid w:val="004123E9"/>
    <w:rsid w:val="004127F3"/>
    <w:rsid w:val="00412E26"/>
    <w:rsid w:val="0041395D"/>
    <w:rsid w:val="00413B64"/>
    <w:rsid w:val="004155F2"/>
    <w:rsid w:val="004179CE"/>
    <w:rsid w:val="0042020C"/>
    <w:rsid w:val="00421798"/>
    <w:rsid w:val="00421A85"/>
    <w:rsid w:val="00421E91"/>
    <w:rsid w:val="00422619"/>
    <w:rsid w:val="00423C20"/>
    <w:rsid w:val="0042400E"/>
    <w:rsid w:val="004243C5"/>
    <w:rsid w:val="0042449D"/>
    <w:rsid w:val="004247E8"/>
    <w:rsid w:val="00424E2C"/>
    <w:rsid w:val="00425B89"/>
    <w:rsid w:val="00425E5C"/>
    <w:rsid w:val="00427864"/>
    <w:rsid w:val="00427E6E"/>
    <w:rsid w:val="0043081C"/>
    <w:rsid w:val="0043092C"/>
    <w:rsid w:val="0043101A"/>
    <w:rsid w:val="004310E6"/>
    <w:rsid w:val="004313BC"/>
    <w:rsid w:val="004318C1"/>
    <w:rsid w:val="00431DF5"/>
    <w:rsid w:val="00432866"/>
    <w:rsid w:val="00432A68"/>
    <w:rsid w:val="00433445"/>
    <w:rsid w:val="004336DE"/>
    <w:rsid w:val="00434C7B"/>
    <w:rsid w:val="0043577D"/>
    <w:rsid w:val="004359AD"/>
    <w:rsid w:val="00435D15"/>
    <w:rsid w:val="00436465"/>
    <w:rsid w:val="0043690D"/>
    <w:rsid w:val="00436F28"/>
    <w:rsid w:val="0043736F"/>
    <w:rsid w:val="004374E0"/>
    <w:rsid w:val="00437EC9"/>
    <w:rsid w:val="004404C4"/>
    <w:rsid w:val="00440574"/>
    <w:rsid w:val="00441367"/>
    <w:rsid w:val="00441E6D"/>
    <w:rsid w:val="00442248"/>
    <w:rsid w:val="00443C4D"/>
    <w:rsid w:val="00443D70"/>
    <w:rsid w:val="0044445C"/>
    <w:rsid w:val="004446C5"/>
    <w:rsid w:val="00444D2E"/>
    <w:rsid w:val="00445108"/>
    <w:rsid w:val="00445AD9"/>
    <w:rsid w:val="00446041"/>
    <w:rsid w:val="00446869"/>
    <w:rsid w:val="004479C4"/>
    <w:rsid w:val="00447B27"/>
    <w:rsid w:val="00447EFE"/>
    <w:rsid w:val="004504F0"/>
    <w:rsid w:val="00450A1C"/>
    <w:rsid w:val="00450A8C"/>
    <w:rsid w:val="00450D2E"/>
    <w:rsid w:val="00450F13"/>
    <w:rsid w:val="004523B5"/>
    <w:rsid w:val="00452F43"/>
    <w:rsid w:val="0045454F"/>
    <w:rsid w:val="00454D04"/>
    <w:rsid w:val="00455F79"/>
    <w:rsid w:val="00456895"/>
    <w:rsid w:val="0045724E"/>
    <w:rsid w:val="00457D74"/>
    <w:rsid w:val="00457FA3"/>
    <w:rsid w:val="00461C38"/>
    <w:rsid w:val="00462C8D"/>
    <w:rsid w:val="004637EE"/>
    <w:rsid w:val="00463BAC"/>
    <w:rsid w:val="00463F8E"/>
    <w:rsid w:val="00464215"/>
    <w:rsid w:val="004642F6"/>
    <w:rsid w:val="004647FD"/>
    <w:rsid w:val="004668C3"/>
    <w:rsid w:val="00466B25"/>
    <w:rsid w:val="0046748E"/>
    <w:rsid w:val="0046798E"/>
    <w:rsid w:val="00467A7D"/>
    <w:rsid w:val="00470034"/>
    <w:rsid w:val="004707B6"/>
    <w:rsid w:val="00470911"/>
    <w:rsid w:val="0047113B"/>
    <w:rsid w:val="00471A07"/>
    <w:rsid w:val="00471D04"/>
    <w:rsid w:val="0047252F"/>
    <w:rsid w:val="00473070"/>
    <w:rsid w:val="0047446B"/>
    <w:rsid w:val="004747BD"/>
    <w:rsid w:val="0047484F"/>
    <w:rsid w:val="00475035"/>
    <w:rsid w:val="00475802"/>
    <w:rsid w:val="004762B1"/>
    <w:rsid w:val="0047702C"/>
    <w:rsid w:val="004771C8"/>
    <w:rsid w:val="00477360"/>
    <w:rsid w:val="00480230"/>
    <w:rsid w:val="00480856"/>
    <w:rsid w:val="00481FD2"/>
    <w:rsid w:val="00482EEA"/>
    <w:rsid w:val="0048388D"/>
    <w:rsid w:val="004851DB"/>
    <w:rsid w:val="00485AA9"/>
    <w:rsid w:val="00485CDE"/>
    <w:rsid w:val="00485D6E"/>
    <w:rsid w:val="00485ECB"/>
    <w:rsid w:val="004901E2"/>
    <w:rsid w:val="00490434"/>
    <w:rsid w:val="00490531"/>
    <w:rsid w:val="00490D9B"/>
    <w:rsid w:val="004914C3"/>
    <w:rsid w:val="0049169F"/>
    <w:rsid w:val="00491702"/>
    <w:rsid w:val="0049199A"/>
    <w:rsid w:val="00491DFC"/>
    <w:rsid w:val="0049216D"/>
    <w:rsid w:val="00493BDC"/>
    <w:rsid w:val="004948BF"/>
    <w:rsid w:val="004959C2"/>
    <w:rsid w:val="0049601B"/>
    <w:rsid w:val="00497BDE"/>
    <w:rsid w:val="004A0F90"/>
    <w:rsid w:val="004A1C39"/>
    <w:rsid w:val="004A2434"/>
    <w:rsid w:val="004A275B"/>
    <w:rsid w:val="004A3B01"/>
    <w:rsid w:val="004A3C26"/>
    <w:rsid w:val="004A5A4C"/>
    <w:rsid w:val="004A5C78"/>
    <w:rsid w:val="004A6A18"/>
    <w:rsid w:val="004A71E1"/>
    <w:rsid w:val="004A7B2F"/>
    <w:rsid w:val="004A7E40"/>
    <w:rsid w:val="004B0E2F"/>
    <w:rsid w:val="004B2931"/>
    <w:rsid w:val="004B43F5"/>
    <w:rsid w:val="004B464B"/>
    <w:rsid w:val="004B4A79"/>
    <w:rsid w:val="004B5B20"/>
    <w:rsid w:val="004B5E8E"/>
    <w:rsid w:val="004B60A2"/>
    <w:rsid w:val="004B62D2"/>
    <w:rsid w:val="004B7653"/>
    <w:rsid w:val="004B7F20"/>
    <w:rsid w:val="004C097F"/>
    <w:rsid w:val="004C1466"/>
    <w:rsid w:val="004C146D"/>
    <w:rsid w:val="004C1B75"/>
    <w:rsid w:val="004C1C08"/>
    <w:rsid w:val="004C1DE8"/>
    <w:rsid w:val="004C25A7"/>
    <w:rsid w:val="004C2A32"/>
    <w:rsid w:val="004C2B74"/>
    <w:rsid w:val="004C2EC9"/>
    <w:rsid w:val="004C3B30"/>
    <w:rsid w:val="004C3D7D"/>
    <w:rsid w:val="004C42CC"/>
    <w:rsid w:val="004C4523"/>
    <w:rsid w:val="004C4F3D"/>
    <w:rsid w:val="004C5CA1"/>
    <w:rsid w:val="004C7751"/>
    <w:rsid w:val="004D09D5"/>
    <w:rsid w:val="004D201A"/>
    <w:rsid w:val="004D2309"/>
    <w:rsid w:val="004D2C8C"/>
    <w:rsid w:val="004D3519"/>
    <w:rsid w:val="004D364E"/>
    <w:rsid w:val="004D5C5B"/>
    <w:rsid w:val="004D650A"/>
    <w:rsid w:val="004D6B71"/>
    <w:rsid w:val="004D6E0F"/>
    <w:rsid w:val="004D6E7C"/>
    <w:rsid w:val="004D737D"/>
    <w:rsid w:val="004E0381"/>
    <w:rsid w:val="004E1DCE"/>
    <w:rsid w:val="004E1F63"/>
    <w:rsid w:val="004E2019"/>
    <w:rsid w:val="004E3DAA"/>
    <w:rsid w:val="004E48EB"/>
    <w:rsid w:val="004E4B11"/>
    <w:rsid w:val="004E4D16"/>
    <w:rsid w:val="004E5414"/>
    <w:rsid w:val="004E5BF3"/>
    <w:rsid w:val="004E62E8"/>
    <w:rsid w:val="004E6FD1"/>
    <w:rsid w:val="004E72BE"/>
    <w:rsid w:val="004E780F"/>
    <w:rsid w:val="004E79FF"/>
    <w:rsid w:val="004E7E9E"/>
    <w:rsid w:val="004F101A"/>
    <w:rsid w:val="004F14B6"/>
    <w:rsid w:val="004F1510"/>
    <w:rsid w:val="004F1C08"/>
    <w:rsid w:val="004F1C1A"/>
    <w:rsid w:val="004F26A1"/>
    <w:rsid w:val="004F375B"/>
    <w:rsid w:val="004F3A10"/>
    <w:rsid w:val="004F3F27"/>
    <w:rsid w:val="004F4CAC"/>
    <w:rsid w:val="004F59A3"/>
    <w:rsid w:val="004F6228"/>
    <w:rsid w:val="004F7953"/>
    <w:rsid w:val="004F795C"/>
    <w:rsid w:val="0050113E"/>
    <w:rsid w:val="00501517"/>
    <w:rsid w:val="005016FC"/>
    <w:rsid w:val="00501DE7"/>
    <w:rsid w:val="00502D6B"/>
    <w:rsid w:val="00502E64"/>
    <w:rsid w:val="00502FDB"/>
    <w:rsid w:val="00502FF3"/>
    <w:rsid w:val="005032FB"/>
    <w:rsid w:val="00503C93"/>
    <w:rsid w:val="0050481D"/>
    <w:rsid w:val="0050488E"/>
    <w:rsid w:val="00504CD0"/>
    <w:rsid w:val="00505051"/>
    <w:rsid w:val="00505683"/>
    <w:rsid w:val="005060CE"/>
    <w:rsid w:val="005067D0"/>
    <w:rsid w:val="00506803"/>
    <w:rsid w:val="00506E30"/>
    <w:rsid w:val="00506EE4"/>
    <w:rsid w:val="00506EEF"/>
    <w:rsid w:val="0051104A"/>
    <w:rsid w:val="0051198B"/>
    <w:rsid w:val="005129FD"/>
    <w:rsid w:val="00512D05"/>
    <w:rsid w:val="00513838"/>
    <w:rsid w:val="0051488E"/>
    <w:rsid w:val="005149FE"/>
    <w:rsid w:val="00515AEF"/>
    <w:rsid w:val="005165AA"/>
    <w:rsid w:val="005169F5"/>
    <w:rsid w:val="00516A46"/>
    <w:rsid w:val="00516C06"/>
    <w:rsid w:val="005171F8"/>
    <w:rsid w:val="0051753E"/>
    <w:rsid w:val="00517A51"/>
    <w:rsid w:val="00517C14"/>
    <w:rsid w:val="00517ECB"/>
    <w:rsid w:val="00520C7E"/>
    <w:rsid w:val="00521584"/>
    <w:rsid w:val="005219F5"/>
    <w:rsid w:val="00521C21"/>
    <w:rsid w:val="00522268"/>
    <w:rsid w:val="005228CC"/>
    <w:rsid w:val="00522E4B"/>
    <w:rsid w:val="005230DB"/>
    <w:rsid w:val="00524D76"/>
    <w:rsid w:val="00525475"/>
    <w:rsid w:val="0052576E"/>
    <w:rsid w:val="00525ADE"/>
    <w:rsid w:val="00525BF4"/>
    <w:rsid w:val="00526A97"/>
    <w:rsid w:val="00527C1D"/>
    <w:rsid w:val="00530FFE"/>
    <w:rsid w:val="00531193"/>
    <w:rsid w:val="005312A3"/>
    <w:rsid w:val="005316B5"/>
    <w:rsid w:val="0053170F"/>
    <w:rsid w:val="005319A3"/>
    <w:rsid w:val="005319FC"/>
    <w:rsid w:val="00531BCB"/>
    <w:rsid w:val="005338A1"/>
    <w:rsid w:val="00534C7D"/>
    <w:rsid w:val="005354BE"/>
    <w:rsid w:val="00535772"/>
    <w:rsid w:val="0053630E"/>
    <w:rsid w:val="00536E60"/>
    <w:rsid w:val="00537490"/>
    <w:rsid w:val="005375F9"/>
    <w:rsid w:val="00537F8B"/>
    <w:rsid w:val="00540096"/>
    <w:rsid w:val="00540514"/>
    <w:rsid w:val="005414E0"/>
    <w:rsid w:val="00542144"/>
    <w:rsid w:val="00542B66"/>
    <w:rsid w:val="00543613"/>
    <w:rsid w:val="00544CA9"/>
    <w:rsid w:val="00544F0E"/>
    <w:rsid w:val="00545079"/>
    <w:rsid w:val="00545EDD"/>
    <w:rsid w:val="00545F04"/>
    <w:rsid w:val="00546A83"/>
    <w:rsid w:val="00546D65"/>
    <w:rsid w:val="00547029"/>
    <w:rsid w:val="00547057"/>
    <w:rsid w:val="005475F0"/>
    <w:rsid w:val="00547A9E"/>
    <w:rsid w:val="005511E9"/>
    <w:rsid w:val="00551B2A"/>
    <w:rsid w:val="0055217B"/>
    <w:rsid w:val="0055424D"/>
    <w:rsid w:val="00555453"/>
    <w:rsid w:val="005571C4"/>
    <w:rsid w:val="00557845"/>
    <w:rsid w:val="00557CC5"/>
    <w:rsid w:val="0056002C"/>
    <w:rsid w:val="00560067"/>
    <w:rsid w:val="00561645"/>
    <w:rsid w:val="00561D3B"/>
    <w:rsid w:val="00562B11"/>
    <w:rsid w:val="00562F38"/>
    <w:rsid w:val="005630FD"/>
    <w:rsid w:val="00563537"/>
    <w:rsid w:val="0056371A"/>
    <w:rsid w:val="00564B46"/>
    <w:rsid w:val="005674AF"/>
    <w:rsid w:val="0057004B"/>
    <w:rsid w:val="0057019F"/>
    <w:rsid w:val="00570229"/>
    <w:rsid w:val="00570D62"/>
    <w:rsid w:val="00571B78"/>
    <w:rsid w:val="00571E82"/>
    <w:rsid w:val="00571EB3"/>
    <w:rsid w:val="00572354"/>
    <w:rsid w:val="0057287F"/>
    <w:rsid w:val="0057317F"/>
    <w:rsid w:val="00573207"/>
    <w:rsid w:val="00573539"/>
    <w:rsid w:val="00573BF9"/>
    <w:rsid w:val="00573E96"/>
    <w:rsid w:val="00574726"/>
    <w:rsid w:val="005748CE"/>
    <w:rsid w:val="00576195"/>
    <w:rsid w:val="00576ED4"/>
    <w:rsid w:val="0057767E"/>
    <w:rsid w:val="00577CF5"/>
    <w:rsid w:val="00577D16"/>
    <w:rsid w:val="00581063"/>
    <w:rsid w:val="005810FE"/>
    <w:rsid w:val="0058117B"/>
    <w:rsid w:val="00582075"/>
    <w:rsid w:val="005827E4"/>
    <w:rsid w:val="0058302F"/>
    <w:rsid w:val="0058334D"/>
    <w:rsid w:val="00583BA9"/>
    <w:rsid w:val="00584D1C"/>
    <w:rsid w:val="00585405"/>
    <w:rsid w:val="005854AF"/>
    <w:rsid w:val="005878F5"/>
    <w:rsid w:val="00590BBA"/>
    <w:rsid w:val="00591373"/>
    <w:rsid w:val="00592D62"/>
    <w:rsid w:val="00592EB5"/>
    <w:rsid w:val="00593776"/>
    <w:rsid w:val="0059438E"/>
    <w:rsid w:val="005944CC"/>
    <w:rsid w:val="005944CD"/>
    <w:rsid w:val="00594691"/>
    <w:rsid w:val="0059494E"/>
    <w:rsid w:val="00594B94"/>
    <w:rsid w:val="00595429"/>
    <w:rsid w:val="005954F9"/>
    <w:rsid w:val="00596844"/>
    <w:rsid w:val="00596896"/>
    <w:rsid w:val="00596A33"/>
    <w:rsid w:val="00596A6B"/>
    <w:rsid w:val="00596EBB"/>
    <w:rsid w:val="0059719C"/>
    <w:rsid w:val="005972FC"/>
    <w:rsid w:val="0059734A"/>
    <w:rsid w:val="005974F6"/>
    <w:rsid w:val="00597A5B"/>
    <w:rsid w:val="005A177F"/>
    <w:rsid w:val="005A17C5"/>
    <w:rsid w:val="005A2751"/>
    <w:rsid w:val="005A2C72"/>
    <w:rsid w:val="005A2D6B"/>
    <w:rsid w:val="005A46FD"/>
    <w:rsid w:val="005A5A89"/>
    <w:rsid w:val="005A6E86"/>
    <w:rsid w:val="005A6EA6"/>
    <w:rsid w:val="005A7058"/>
    <w:rsid w:val="005A7487"/>
    <w:rsid w:val="005A7777"/>
    <w:rsid w:val="005A7D74"/>
    <w:rsid w:val="005B04B0"/>
    <w:rsid w:val="005B073F"/>
    <w:rsid w:val="005B0A4D"/>
    <w:rsid w:val="005B106C"/>
    <w:rsid w:val="005B1290"/>
    <w:rsid w:val="005B13CB"/>
    <w:rsid w:val="005B1DB2"/>
    <w:rsid w:val="005B2933"/>
    <w:rsid w:val="005B2E01"/>
    <w:rsid w:val="005B31F2"/>
    <w:rsid w:val="005B36F9"/>
    <w:rsid w:val="005B3B5A"/>
    <w:rsid w:val="005B52AF"/>
    <w:rsid w:val="005B531B"/>
    <w:rsid w:val="005B63BF"/>
    <w:rsid w:val="005B68FE"/>
    <w:rsid w:val="005B6A99"/>
    <w:rsid w:val="005B6BCC"/>
    <w:rsid w:val="005B7A6E"/>
    <w:rsid w:val="005C02A3"/>
    <w:rsid w:val="005C05D9"/>
    <w:rsid w:val="005C05F4"/>
    <w:rsid w:val="005C2756"/>
    <w:rsid w:val="005C2836"/>
    <w:rsid w:val="005C5743"/>
    <w:rsid w:val="005C599F"/>
    <w:rsid w:val="005C5EAC"/>
    <w:rsid w:val="005C78BB"/>
    <w:rsid w:val="005C79D4"/>
    <w:rsid w:val="005D05A0"/>
    <w:rsid w:val="005D182A"/>
    <w:rsid w:val="005D3461"/>
    <w:rsid w:val="005D37CF"/>
    <w:rsid w:val="005D3AA7"/>
    <w:rsid w:val="005D4C89"/>
    <w:rsid w:val="005D4F47"/>
    <w:rsid w:val="005D4F5F"/>
    <w:rsid w:val="005D59AA"/>
    <w:rsid w:val="005D5FFF"/>
    <w:rsid w:val="005D6B52"/>
    <w:rsid w:val="005D6CF4"/>
    <w:rsid w:val="005D7635"/>
    <w:rsid w:val="005E00BE"/>
    <w:rsid w:val="005E02A7"/>
    <w:rsid w:val="005E0A3B"/>
    <w:rsid w:val="005E1B95"/>
    <w:rsid w:val="005E2265"/>
    <w:rsid w:val="005E2397"/>
    <w:rsid w:val="005E270A"/>
    <w:rsid w:val="005E2886"/>
    <w:rsid w:val="005E3307"/>
    <w:rsid w:val="005E466B"/>
    <w:rsid w:val="005E4CF0"/>
    <w:rsid w:val="005E4DFD"/>
    <w:rsid w:val="005E5096"/>
    <w:rsid w:val="005E548C"/>
    <w:rsid w:val="005E699D"/>
    <w:rsid w:val="005E6E29"/>
    <w:rsid w:val="005E7BA4"/>
    <w:rsid w:val="005E7C77"/>
    <w:rsid w:val="005F06C4"/>
    <w:rsid w:val="005F08EC"/>
    <w:rsid w:val="005F0A7C"/>
    <w:rsid w:val="005F0C4C"/>
    <w:rsid w:val="005F0C5E"/>
    <w:rsid w:val="005F0DD5"/>
    <w:rsid w:val="005F1192"/>
    <w:rsid w:val="005F18B6"/>
    <w:rsid w:val="005F1C04"/>
    <w:rsid w:val="005F1EE1"/>
    <w:rsid w:val="005F1FE6"/>
    <w:rsid w:val="005F2677"/>
    <w:rsid w:val="005F277E"/>
    <w:rsid w:val="005F2BE5"/>
    <w:rsid w:val="005F52E8"/>
    <w:rsid w:val="005F53F2"/>
    <w:rsid w:val="005F5E97"/>
    <w:rsid w:val="005F5EAE"/>
    <w:rsid w:val="005F60CA"/>
    <w:rsid w:val="005F6475"/>
    <w:rsid w:val="005F6FF6"/>
    <w:rsid w:val="005F72CD"/>
    <w:rsid w:val="005F752E"/>
    <w:rsid w:val="006011A8"/>
    <w:rsid w:val="00601F6E"/>
    <w:rsid w:val="00602C8B"/>
    <w:rsid w:val="006030E6"/>
    <w:rsid w:val="0060342D"/>
    <w:rsid w:val="006035B5"/>
    <w:rsid w:val="0060437C"/>
    <w:rsid w:val="00605199"/>
    <w:rsid w:val="006058A2"/>
    <w:rsid w:val="00606781"/>
    <w:rsid w:val="006067C6"/>
    <w:rsid w:val="00606AC9"/>
    <w:rsid w:val="006070DC"/>
    <w:rsid w:val="00607627"/>
    <w:rsid w:val="00610A54"/>
    <w:rsid w:val="00610EE4"/>
    <w:rsid w:val="00611463"/>
    <w:rsid w:val="00611834"/>
    <w:rsid w:val="00612475"/>
    <w:rsid w:val="0061266C"/>
    <w:rsid w:val="00612B48"/>
    <w:rsid w:val="006134B9"/>
    <w:rsid w:val="00613702"/>
    <w:rsid w:val="00613F6F"/>
    <w:rsid w:val="00614FE3"/>
    <w:rsid w:val="006159BA"/>
    <w:rsid w:val="00616D1C"/>
    <w:rsid w:val="00616FD4"/>
    <w:rsid w:val="00617CF0"/>
    <w:rsid w:val="00620FA3"/>
    <w:rsid w:val="006210CB"/>
    <w:rsid w:val="006213C9"/>
    <w:rsid w:val="00621D8E"/>
    <w:rsid w:val="00621DAD"/>
    <w:rsid w:val="0062342F"/>
    <w:rsid w:val="00623436"/>
    <w:rsid w:val="00623966"/>
    <w:rsid w:val="00624487"/>
    <w:rsid w:val="00624CAC"/>
    <w:rsid w:val="006256E1"/>
    <w:rsid w:val="006269C5"/>
    <w:rsid w:val="00626BEC"/>
    <w:rsid w:val="00626E4C"/>
    <w:rsid w:val="0062728B"/>
    <w:rsid w:val="0062736F"/>
    <w:rsid w:val="00630B6C"/>
    <w:rsid w:val="006316B5"/>
    <w:rsid w:val="00631A83"/>
    <w:rsid w:val="006320D8"/>
    <w:rsid w:val="00632187"/>
    <w:rsid w:val="00632302"/>
    <w:rsid w:val="00632BA4"/>
    <w:rsid w:val="00633992"/>
    <w:rsid w:val="0063408D"/>
    <w:rsid w:val="0063492F"/>
    <w:rsid w:val="00634D29"/>
    <w:rsid w:val="00634EA3"/>
    <w:rsid w:val="00634FF7"/>
    <w:rsid w:val="006357F0"/>
    <w:rsid w:val="006360D1"/>
    <w:rsid w:val="006362BE"/>
    <w:rsid w:val="00636BDB"/>
    <w:rsid w:val="00637376"/>
    <w:rsid w:val="00637B02"/>
    <w:rsid w:val="00640AE0"/>
    <w:rsid w:val="00640F86"/>
    <w:rsid w:val="006410A0"/>
    <w:rsid w:val="00643D4C"/>
    <w:rsid w:val="00644FEC"/>
    <w:rsid w:val="00645027"/>
    <w:rsid w:val="00645967"/>
    <w:rsid w:val="00645BD6"/>
    <w:rsid w:val="00650C19"/>
    <w:rsid w:val="00651228"/>
    <w:rsid w:val="0065160C"/>
    <w:rsid w:val="0065178E"/>
    <w:rsid w:val="006523D5"/>
    <w:rsid w:val="006528C0"/>
    <w:rsid w:val="00652C4A"/>
    <w:rsid w:val="00655D5D"/>
    <w:rsid w:val="00656163"/>
    <w:rsid w:val="006569E8"/>
    <w:rsid w:val="006570FD"/>
    <w:rsid w:val="00657823"/>
    <w:rsid w:val="00657C66"/>
    <w:rsid w:val="00660B1E"/>
    <w:rsid w:val="00661F27"/>
    <w:rsid w:val="00662510"/>
    <w:rsid w:val="00662685"/>
    <w:rsid w:val="006637C2"/>
    <w:rsid w:val="00663CA5"/>
    <w:rsid w:val="00663EC5"/>
    <w:rsid w:val="0066472C"/>
    <w:rsid w:val="00664E48"/>
    <w:rsid w:val="0066505F"/>
    <w:rsid w:val="006650D1"/>
    <w:rsid w:val="00665559"/>
    <w:rsid w:val="006655BC"/>
    <w:rsid w:val="00666D10"/>
    <w:rsid w:val="0066765F"/>
    <w:rsid w:val="00667696"/>
    <w:rsid w:val="0066783D"/>
    <w:rsid w:val="00667961"/>
    <w:rsid w:val="00667E6E"/>
    <w:rsid w:val="00667EE4"/>
    <w:rsid w:val="00671729"/>
    <w:rsid w:val="00671A4E"/>
    <w:rsid w:val="00672CCB"/>
    <w:rsid w:val="00672E67"/>
    <w:rsid w:val="00673721"/>
    <w:rsid w:val="006753E9"/>
    <w:rsid w:val="00676A82"/>
    <w:rsid w:val="00677684"/>
    <w:rsid w:val="006777EA"/>
    <w:rsid w:val="006805A0"/>
    <w:rsid w:val="006805CE"/>
    <w:rsid w:val="0068080F"/>
    <w:rsid w:val="00680840"/>
    <w:rsid w:val="00680A0E"/>
    <w:rsid w:val="00680D6D"/>
    <w:rsid w:val="00681E8E"/>
    <w:rsid w:val="00682271"/>
    <w:rsid w:val="006829D8"/>
    <w:rsid w:val="00682F1F"/>
    <w:rsid w:val="006835CC"/>
    <w:rsid w:val="006835F3"/>
    <w:rsid w:val="00683790"/>
    <w:rsid w:val="00683A98"/>
    <w:rsid w:val="00683D33"/>
    <w:rsid w:val="00684601"/>
    <w:rsid w:val="00684E0D"/>
    <w:rsid w:val="00684E28"/>
    <w:rsid w:val="00684E70"/>
    <w:rsid w:val="006871C0"/>
    <w:rsid w:val="006871F3"/>
    <w:rsid w:val="00687809"/>
    <w:rsid w:val="00687CB2"/>
    <w:rsid w:val="00690BCB"/>
    <w:rsid w:val="00690BFC"/>
    <w:rsid w:val="00690EC8"/>
    <w:rsid w:val="00691458"/>
    <w:rsid w:val="00691E08"/>
    <w:rsid w:val="006923AC"/>
    <w:rsid w:val="00693B2B"/>
    <w:rsid w:val="00693DAC"/>
    <w:rsid w:val="00693FBC"/>
    <w:rsid w:val="006942B9"/>
    <w:rsid w:val="0069474B"/>
    <w:rsid w:val="006948B7"/>
    <w:rsid w:val="00695031"/>
    <w:rsid w:val="006953DF"/>
    <w:rsid w:val="00696093"/>
    <w:rsid w:val="006965A6"/>
    <w:rsid w:val="00696BFE"/>
    <w:rsid w:val="006972C7"/>
    <w:rsid w:val="006A0BD2"/>
    <w:rsid w:val="006A185C"/>
    <w:rsid w:val="006A272E"/>
    <w:rsid w:val="006A287A"/>
    <w:rsid w:val="006A2AEA"/>
    <w:rsid w:val="006A36FE"/>
    <w:rsid w:val="006A4541"/>
    <w:rsid w:val="006A47F3"/>
    <w:rsid w:val="006A5888"/>
    <w:rsid w:val="006A6057"/>
    <w:rsid w:val="006A6772"/>
    <w:rsid w:val="006A69AF"/>
    <w:rsid w:val="006A6C3D"/>
    <w:rsid w:val="006A7129"/>
    <w:rsid w:val="006A7289"/>
    <w:rsid w:val="006A7F75"/>
    <w:rsid w:val="006B0388"/>
    <w:rsid w:val="006B073A"/>
    <w:rsid w:val="006B164E"/>
    <w:rsid w:val="006B180C"/>
    <w:rsid w:val="006B2750"/>
    <w:rsid w:val="006B276F"/>
    <w:rsid w:val="006B2998"/>
    <w:rsid w:val="006B36F0"/>
    <w:rsid w:val="006B4419"/>
    <w:rsid w:val="006B467B"/>
    <w:rsid w:val="006B50E4"/>
    <w:rsid w:val="006B5459"/>
    <w:rsid w:val="006B605F"/>
    <w:rsid w:val="006B68FF"/>
    <w:rsid w:val="006B7E44"/>
    <w:rsid w:val="006C0512"/>
    <w:rsid w:val="006C0835"/>
    <w:rsid w:val="006C1075"/>
    <w:rsid w:val="006C2914"/>
    <w:rsid w:val="006C2A6D"/>
    <w:rsid w:val="006C2D24"/>
    <w:rsid w:val="006C325B"/>
    <w:rsid w:val="006C3B2D"/>
    <w:rsid w:val="006C3D15"/>
    <w:rsid w:val="006C4BB2"/>
    <w:rsid w:val="006C4DD2"/>
    <w:rsid w:val="006C5F85"/>
    <w:rsid w:val="006C607D"/>
    <w:rsid w:val="006C6B14"/>
    <w:rsid w:val="006C6D2B"/>
    <w:rsid w:val="006C6E1A"/>
    <w:rsid w:val="006D0B32"/>
    <w:rsid w:val="006D1071"/>
    <w:rsid w:val="006D1777"/>
    <w:rsid w:val="006D19A6"/>
    <w:rsid w:val="006D2545"/>
    <w:rsid w:val="006D296C"/>
    <w:rsid w:val="006D2D5D"/>
    <w:rsid w:val="006D3CC5"/>
    <w:rsid w:val="006D4016"/>
    <w:rsid w:val="006D45FA"/>
    <w:rsid w:val="006D4648"/>
    <w:rsid w:val="006D4C90"/>
    <w:rsid w:val="006D5141"/>
    <w:rsid w:val="006D5B1C"/>
    <w:rsid w:val="006D6F4A"/>
    <w:rsid w:val="006E047C"/>
    <w:rsid w:val="006E0745"/>
    <w:rsid w:val="006E07B8"/>
    <w:rsid w:val="006E08DB"/>
    <w:rsid w:val="006E0BD5"/>
    <w:rsid w:val="006E1899"/>
    <w:rsid w:val="006E1F5E"/>
    <w:rsid w:val="006E2999"/>
    <w:rsid w:val="006E2AD5"/>
    <w:rsid w:val="006E31E6"/>
    <w:rsid w:val="006E3510"/>
    <w:rsid w:val="006E3694"/>
    <w:rsid w:val="006E3B2B"/>
    <w:rsid w:val="006E3DB3"/>
    <w:rsid w:val="006E4415"/>
    <w:rsid w:val="006E594F"/>
    <w:rsid w:val="006E700C"/>
    <w:rsid w:val="006E7C28"/>
    <w:rsid w:val="006F0B38"/>
    <w:rsid w:val="006F0E4C"/>
    <w:rsid w:val="006F1704"/>
    <w:rsid w:val="006F23F7"/>
    <w:rsid w:val="006F36F8"/>
    <w:rsid w:val="006F4191"/>
    <w:rsid w:val="006F45C1"/>
    <w:rsid w:val="006F48B9"/>
    <w:rsid w:val="006F55C2"/>
    <w:rsid w:val="006F5B62"/>
    <w:rsid w:val="007017ED"/>
    <w:rsid w:val="00701AD4"/>
    <w:rsid w:val="00701DF5"/>
    <w:rsid w:val="007020BC"/>
    <w:rsid w:val="007022F4"/>
    <w:rsid w:val="00702428"/>
    <w:rsid w:val="00702643"/>
    <w:rsid w:val="00702A57"/>
    <w:rsid w:val="00703978"/>
    <w:rsid w:val="00703CC9"/>
    <w:rsid w:val="00704692"/>
    <w:rsid w:val="007054A7"/>
    <w:rsid w:val="007055AA"/>
    <w:rsid w:val="007055E6"/>
    <w:rsid w:val="00705B6A"/>
    <w:rsid w:val="00705CAB"/>
    <w:rsid w:val="00705F14"/>
    <w:rsid w:val="0070615A"/>
    <w:rsid w:val="0070645E"/>
    <w:rsid w:val="00706F5F"/>
    <w:rsid w:val="00707FFC"/>
    <w:rsid w:val="00710042"/>
    <w:rsid w:val="00710075"/>
    <w:rsid w:val="00710D1B"/>
    <w:rsid w:val="0071142B"/>
    <w:rsid w:val="00711BA1"/>
    <w:rsid w:val="007120F1"/>
    <w:rsid w:val="00712E6F"/>
    <w:rsid w:val="00714313"/>
    <w:rsid w:val="00714923"/>
    <w:rsid w:val="00715029"/>
    <w:rsid w:val="007157BB"/>
    <w:rsid w:val="00716202"/>
    <w:rsid w:val="00716BE4"/>
    <w:rsid w:val="00716C88"/>
    <w:rsid w:val="00717746"/>
    <w:rsid w:val="00717FB6"/>
    <w:rsid w:val="00720996"/>
    <w:rsid w:val="007217DF"/>
    <w:rsid w:val="00721882"/>
    <w:rsid w:val="00722C85"/>
    <w:rsid w:val="00722CF4"/>
    <w:rsid w:val="00722FF1"/>
    <w:rsid w:val="0072311A"/>
    <w:rsid w:val="00723395"/>
    <w:rsid w:val="007242FC"/>
    <w:rsid w:val="007243B1"/>
    <w:rsid w:val="0072589C"/>
    <w:rsid w:val="00727A84"/>
    <w:rsid w:val="00727B4B"/>
    <w:rsid w:val="00727C72"/>
    <w:rsid w:val="00730392"/>
    <w:rsid w:val="007306E7"/>
    <w:rsid w:val="00730AEC"/>
    <w:rsid w:val="00731A50"/>
    <w:rsid w:val="007323ED"/>
    <w:rsid w:val="007324FC"/>
    <w:rsid w:val="0073254C"/>
    <w:rsid w:val="00733016"/>
    <w:rsid w:val="00734274"/>
    <w:rsid w:val="007343D0"/>
    <w:rsid w:val="00734AD3"/>
    <w:rsid w:val="0073605E"/>
    <w:rsid w:val="00736387"/>
    <w:rsid w:val="00737CD2"/>
    <w:rsid w:val="0074025F"/>
    <w:rsid w:val="00742A93"/>
    <w:rsid w:val="0074392F"/>
    <w:rsid w:val="00743E92"/>
    <w:rsid w:val="00744EAF"/>
    <w:rsid w:val="0074574A"/>
    <w:rsid w:val="00746023"/>
    <w:rsid w:val="00746969"/>
    <w:rsid w:val="00746D22"/>
    <w:rsid w:val="00747109"/>
    <w:rsid w:val="00747662"/>
    <w:rsid w:val="00747968"/>
    <w:rsid w:val="00747B69"/>
    <w:rsid w:val="00750FC7"/>
    <w:rsid w:val="00751169"/>
    <w:rsid w:val="00751894"/>
    <w:rsid w:val="0075190F"/>
    <w:rsid w:val="007521BD"/>
    <w:rsid w:val="00752E98"/>
    <w:rsid w:val="00755E7C"/>
    <w:rsid w:val="0075679F"/>
    <w:rsid w:val="00756A31"/>
    <w:rsid w:val="00756E78"/>
    <w:rsid w:val="00757243"/>
    <w:rsid w:val="0075757E"/>
    <w:rsid w:val="007607C3"/>
    <w:rsid w:val="00760856"/>
    <w:rsid w:val="00760DAE"/>
    <w:rsid w:val="00761676"/>
    <w:rsid w:val="00761B67"/>
    <w:rsid w:val="00761DF9"/>
    <w:rsid w:val="00761F4C"/>
    <w:rsid w:val="00762520"/>
    <w:rsid w:val="007634DD"/>
    <w:rsid w:val="00764685"/>
    <w:rsid w:val="00765592"/>
    <w:rsid w:val="00765DAB"/>
    <w:rsid w:val="00766D5F"/>
    <w:rsid w:val="00767038"/>
    <w:rsid w:val="007676C8"/>
    <w:rsid w:val="0076784C"/>
    <w:rsid w:val="00770EDF"/>
    <w:rsid w:val="0077118C"/>
    <w:rsid w:val="00771463"/>
    <w:rsid w:val="0077147A"/>
    <w:rsid w:val="00771660"/>
    <w:rsid w:val="00772D3F"/>
    <w:rsid w:val="00773CAD"/>
    <w:rsid w:val="007743D1"/>
    <w:rsid w:val="0077459D"/>
    <w:rsid w:val="007745F9"/>
    <w:rsid w:val="00774600"/>
    <w:rsid w:val="00774856"/>
    <w:rsid w:val="00774868"/>
    <w:rsid w:val="00774AEA"/>
    <w:rsid w:val="00775313"/>
    <w:rsid w:val="00775EE4"/>
    <w:rsid w:val="00776327"/>
    <w:rsid w:val="00776B7D"/>
    <w:rsid w:val="00776EC6"/>
    <w:rsid w:val="0077761E"/>
    <w:rsid w:val="007779ED"/>
    <w:rsid w:val="00777B7F"/>
    <w:rsid w:val="00780313"/>
    <w:rsid w:val="007809FB"/>
    <w:rsid w:val="00780C7D"/>
    <w:rsid w:val="00781D25"/>
    <w:rsid w:val="00782EAB"/>
    <w:rsid w:val="0078369C"/>
    <w:rsid w:val="007838A9"/>
    <w:rsid w:val="00783AAC"/>
    <w:rsid w:val="00784107"/>
    <w:rsid w:val="00784337"/>
    <w:rsid w:val="00784549"/>
    <w:rsid w:val="00784D6A"/>
    <w:rsid w:val="007860A0"/>
    <w:rsid w:val="00787E7B"/>
    <w:rsid w:val="00787F25"/>
    <w:rsid w:val="007912DB"/>
    <w:rsid w:val="007919A7"/>
    <w:rsid w:val="00791A19"/>
    <w:rsid w:val="00791BF8"/>
    <w:rsid w:val="00794113"/>
    <w:rsid w:val="00794879"/>
    <w:rsid w:val="00794A82"/>
    <w:rsid w:val="0079644E"/>
    <w:rsid w:val="0079756F"/>
    <w:rsid w:val="007A0114"/>
    <w:rsid w:val="007A1315"/>
    <w:rsid w:val="007A298B"/>
    <w:rsid w:val="007A2C9E"/>
    <w:rsid w:val="007A4A94"/>
    <w:rsid w:val="007A4BC8"/>
    <w:rsid w:val="007A4D02"/>
    <w:rsid w:val="007A4EEE"/>
    <w:rsid w:val="007A52B3"/>
    <w:rsid w:val="007A5F14"/>
    <w:rsid w:val="007A63B4"/>
    <w:rsid w:val="007A653F"/>
    <w:rsid w:val="007A7625"/>
    <w:rsid w:val="007A7650"/>
    <w:rsid w:val="007A799F"/>
    <w:rsid w:val="007B05BB"/>
    <w:rsid w:val="007B0827"/>
    <w:rsid w:val="007B14C3"/>
    <w:rsid w:val="007B182C"/>
    <w:rsid w:val="007B253C"/>
    <w:rsid w:val="007B2612"/>
    <w:rsid w:val="007B2C4C"/>
    <w:rsid w:val="007B3C4F"/>
    <w:rsid w:val="007B6964"/>
    <w:rsid w:val="007B6AE3"/>
    <w:rsid w:val="007B7A11"/>
    <w:rsid w:val="007C2A37"/>
    <w:rsid w:val="007C31F2"/>
    <w:rsid w:val="007C3C1A"/>
    <w:rsid w:val="007C513A"/>
    <w:rsid w:val="007C52E7"/>
    <w:rsid w:val="007C5493"/>
    <w:rsid w:val="007C6578"/>
    <w:rsid w:val="007C7ED0"/>
    <w:rsid w:val="007C7FA5"/>
    <w:rsid w:val="007D03DF"/>
    <w:rsid w:val="007D0457"/>
    <w:rsid w:val="007D14D1"/>
    <w:rsid w:val="007D188D"/>
    <w:rsid w:val="007D1BE2"/>
    <w:rsid w:val="007D294D"/>
    <w:rsid w:val="007D4519"/>
    <w:rsid w:val="007D493B"/>
    <w:rsid w:val="007D5615"/>
    <w:rsid w:val="007D5CB5"/>
    <w:rsid w:val="007D5E79"/>
    <w:rsid w:val="007D6540"/>
    <w:rsid w:val="007D65F2"/>
    <w:rsid w:val="007D7673"/>
    <w:rsid w:val="007D76B8"/>
    <w:rsid w:val="007D7EDC"/>
    <w:rsid w:val="007E0F62"/>
    <w:rsid w:val="007E0F63"/>
    <w:rsid w:val="007E12DC"/>
    <w:rsid w:val="007E2A9B"/>
    <w:rsid w:val="007E2DCA"/>
    <w:rsid w:val="007E450F"/>
    <w:rsid w:val="007E4CBE"/>
    <w:rsid w:val="007E4E6F"/>
    <w:rsid w:val="007E5035"/>
    <w:rsid w:val="007E6251"/>
    <w:rsid w:val="007E696F"/>
    <w:rsid w:val="007E6CD2"/>
    <w:rsid w:val="007E6F8D"/>
    <w:rsid w:val="007E7709"/>
    <w:rsid w:val="007E7BB7"/>
    <w:rsid w:val="007F01CD"/>
    <w:rsid w:val="007F03F7"/>
    <w:rsid w:val="007F04F3"/>
    <w:rsid w:val="007F08F1"/>
    <w:rsid w:val="007F0AE0"/>
    <w:rsid w:val="007F16AB"/>
    <w:rsid w:val="007F17F5"/>
    <w:rsid w:val="007F2095"/>
    <w:rsid w:val="007F2249"/>
    <w:rsid w:val="007F36CB"/>
    <w:rsid w:val="007F37E1"/>
    <w:rsid w:val="007F3AA3"/>
    <w:rsid w:val="007F4152"/>
    <w:rsid w:val="007F50B7"/>
    <w:rsid w:val="007F548D"/>
    <w:rsid w:val="007F598D"/>
    <w:rsid w:val="007F5AC2"/>
    <w:rsid w:val="007F5B4A"/>
    <w:rsid w:val="007F5C93"/>
    <w:rsid w:val="007F5D21"/>
    <w:rsid w:val="007F6732"/>
    <w:rsid w:val="007F6AFC"/>
    <w:rsid w:val="007F6D18"/>
    <w:rsid w:val="007F76F1"/>
    <w:rsid w:val="007F7EC7"/>
    <w:rsid w:val="008006E3"/>
    <w:rsid w:val="00800AF8"/>
    <w:rsid w:val="00801CFE"/>
    <w:rsid w:val="00801D77"/>
    <w:rsid w:val="00801DDA"/>
    <w:rsid w:val="008036E5"/>
    <w:rsid w:val="00803AC8"/>
    <w:rsid w:val="00803EE7"/>
    <w:rsid w:val="00804077"/>
    <w:rsid w:val="00804383"/>
    <w:rsid w:val="0080489A"/>
    <w:rsid w:val="008064BB"/>
    <w:rsid w:val="0080676F"/>
    <w:rsid w:val="00806776"/>
    <w:rsid w:val="00806D63"/>
    <w:rsid w:val="00807607"/>
    <w:rsid w:val="00807E45"/>
    <w:rsid w:val="0081051F"/>
    <w:rsid w:val="00810B28"/>
    <w:rsid w:val="00811154"/>
    <w:rsid w:val="0081136E"/>
    <w:rsid w:val="008116C2"/>
    <w:rsid w:val="00812DB6"/>
    <w:rsid w:val="00812E54"/>
    <w:rsid w:val="00813E37"/>
    <w:rsid w:val="00814A2D"/>
    <w:rsid w:val="00815302"/>
    <w:rsid w:val="00815500"/>
    <w:rsid w:val="00816183"/>
    <w:rsid w:val="00816ABF"/>
    <w:rsid w:val="00816DB8"/>
    <w:rsid w:val="00820CDF"/>
    <w:rsid w:val="00821097"/>
    <w:rsid w:val="0082131F"/>
    <w:rsid w:val="008222C9"/>
    <w:rsid w:val="008226B6"/>
    <w:rsid w:val="008230E5"/>
    <w:rsid w:val="0082363E"/>
    <w:rsid w:val="008236E0"/>
    <w:rsid w:val="0082397A"/>
    <w:rsid w:val="00823D72"/>
    <w:rsid w:val="00823FBE"/>
    <w:rsid w:val="00825165"/>
    <w:rsid w:val="00825233"/>
    <w:rsid w:val="008261CD"/>
    <w:rsid w:val="008275E4"/>
    <w:rsid w:val="00827D6D"/>
    <w:rsid w:val="00827EB7"/>
    <w:rsid w:val="008302DB"/>
    <w:rsid w:val="00830A7F"/>
    <w:rsid w:val="00830C52"/>
    <w:rsid w:val="0083101B"/>
    <w:rsid w:val="008326EB"/>
    <w:rsid w:val="008328E6"/>
    <w:rsid w:val="00832C3E"/>
    <w:rsid w:val="008332FB"/>
    <w:rsid w:val="0083332B"/>
    <w:rsid w:val="00833D66"/>
    <w:rsid w:val="00834811"/>
    <w:rsid w:val="00834D9A"/>
    <w:rsid w:val="0083540C"/>
    <w:rsid w:val="00835895"/>
    <w:rsid w:val="00836049"/>
    <w:rsid w:val="00836351"/>
    <w:rsid w:val="00836EF0"/>
    <w:rsid w:val="00840081"/>
    <w:rsid w:val="00840349"/>
    <w:rsid w:val="00842214"/>
    <w:rsid w:val="00842292"/>
    <w:rsid w:val="00842C85"/>
    <w:rsid w:val="00844258"/>
    <w:rsid w:val="00844D67"/>
    <w:rsid w:val="00844DA8"/>
    <w:rsid w:val="0084500D"/>
    <w:rsid w:val="00846018"/>
    <w:rsid w:val="00846188"/>
    <w:rsid w:val="00846BFD"/>
    <w:rsid w:val="00847298"/>
    <w:rsid w:val="0084797D"/>
    <w:rsid w:val="008479A6"/>
    <w:rsid w:val="008504E7"/>
    <w:rsid w:val="0085081D"/>
    <w:rsid w:val="0085191C"/>
    <w:rsid w:val="00851B04"/>
    <w:rsid w:val="0085380B"/>
    <w:rsid w:val="008538A9"/>
    <w:rsid w:val="00853C95"/>
    <w:rsid w:val="008543AC"/>
    <w:rsid w:val="0085457D"/>
    <w:rsid w:val="00854A04"/>
    <w:rsid w:val="00854F9B"/>
    <w:rsid w:val="00855DC2"/>
    <w:rsid w:val="00856CAD"/>
    <w:rsid w:val="00857023"/>
    <w:rsid w:val="00857404"/>
    <w:rsid w:val="00857519"/>
    <w:rsid w:val="0085769B"/>
    <w:rsid w:val="008578E0"/>
    <w:rsid w:val="00857BFB"/>
    <w:rsid w:val="008602D6"/>
    <w:rsid w:val="008608FD"/>
    <w:rsid w:val="00860BBE"/>
    <w:rsid w:val="00860F17"/>
    <w:rsid w:val="008611BC"/>
    <w:rsid w:val="00861D9C"/>
    <w:rsid w:val="008624B5"/>
    <w:rsid w:val="0086272D"/>
    <w:rsid w:val="00862FFB"/>
    <w:rsid w:val="0086378F"/>
    <w:rsid w:val="00863E52"/>
    <w:rsid w:val="0086477F"/>
    <w:rsid w:val="008654F6"/>
    <w:rsid w:val="00865A07"/>
    <w:rsid w:val="00865C43"/>
    <w:rsid w:val="008669E4"/>
    <w:rsid w:val="0086729B"/>
    <w:rsid w:val="00867706"/>
    <w:rsid w:val="0086775A"/>
    <w:rsid w:val="00867CBD"/>
    <w:rsid w:val="00867E19"/>
    <w:rsid w:val="0087048C"/>
    <w:rsid w:val="0087097D"/>
    <w:rsid w:val="00870CB2"/>
    <w:rsid w:val="008713F6"/>
    <w:rsid w:val="00871C82"/>
    <w:rsid w:val="00872D21"/>
    <w:rsid w:val="008732EE"/>
    <w:rsid w:val="00873451"/>
    <w:rsid w:val="00873520"/>
    <w:rsid w:val="008744E0"/>
    <w:rsid w:val="00875070"/>
    <w:rsid w:val="0087539B"/>
    <w:rsid w:val="008762E0"/>
    <w:rsid w:val="00876663"/>
    <w:rsid w:val="008778F3"/>
    <w:rsid w:val="008779B0"/>
    <w:rsid w:val="008802FA"/>
    <w:rsid w:val="008806DA"/>
    <w:rsid w:val="008815BC"/>
    <w:rsid w:val="00881B56"/>
    <w:rsid w:val="0088255E"/>
    <w:rsid w:val="0088293D"/>
    <w:rsid w:val="00882B50"/>
    <w:rsid w:val="00882DDE"/>
    <w:rsid w:val="0088336C"/>
    <w:rsid w:val="008833BB"/>
    <w:rsid w:val="008837A9"/>
    <w:rsid w:val="00884425"/>
    <w:rsid w:val="00884CC6"/>
    <w:rsid w:val="00884CF0"/>
    <w:rsid w:val="00884D13"/>
    <w:rsid w:val="00884E3D"/>
    <w:rsid w:val="008851BE"/>
    <w:rsid w:val="00886CD1"/>
    <w:rsid w:val="008875B4"/>
    <w:rsid w:val="008876BE"/>
    <w:rsid w:val="00890AE5"/>
    <w:rsid w:val="00890DDC"/>
    <w:rsid w:val="0089109B"/>
    <w:rsid w:val="008910FE"/>
    <w:rsid w:val="00891831"/>
    <w:rsid w:val="00891FE1"/>
    <w:rsid w:val="008920A1"/>
    <w:rsid w:val="00892C76"/>
    <w:rsid w:val="008936B0"/>
    <w:rsid w:val="008959D9"/>
    <w:rsid w:val="00895F2D"/>
    <w:rsid w:val="0089683A"/>
    <w:rsid w:val="0089719D"/>
    <w:rsid w:val="0089757F"/>
    <w:rsid w:val="00897EF8"/>
    <w:rsid w:val="00897F4E"/>
    <w:rsid w:val="008A2E3D"/>
    <w:rsid w:val="008A2E5A"/>
    <w:rsid w:val="008A39FB"/>
    <w:rsid w:val="008A3C6D"/>
    <w:rsid w:val="008A3C89"/>
    <w:rsid w:val="008A48B2"/>
    <w:rsid w:val="008A4DE7"/>
    <w:rsid w:val="008A5450"/>
    <w:rsid w:val="008A58E3"/>
    <w:rsid w:val="008A645C"/>
    <w:rsid w:val="008A64D6"/>
    <w:rsid w:val="008A6E2F"/>
    <w:rsid w:val="008A7AA5"/>
    <w:rsid w:val="008A7E8B"/>
    <w:rsid w:val="008B039B"/>
    <w:rsid w:val="008B0890"/>
    <w:rsid w:val="008B0A39"/>
    <w:rsid w:val="008B1062"/>
    <w:rsid w:val="008B14A0"/>
    <w:rsid w:val="008B1644"/>
    <w:rsid w:val="008B17BB"/>
    <w:rsid w:val="008B1C22"/>
    <w:rsid w:val="008B1F75"/>
    <w:rsid w:val="008B32B2"/>
    <w:rsid w:val="008B357B"/>
    <w:rsid w:val="008B3B70"/>
    <w:rsid w:val="008B44C4"/>
    <w:rsid w:val="008B56BF"/>
    <w:rsid w:val="008B5719"/>
    <w:rsid w:val="008B5E29"/>
    <w:rsid w:val="008B5E5C"/>
    <w:rsid w:val="008B5FA4"/>
    <w:rsid w:val="008C10FA"/>
    <w:rsid w:val="008C11AC"/>
    <w:rsid w:val="008C159B"/>
    <w:rsid w:val="008C2C24"/>
    <w:rsid w:val="008C3A7B"/>
    <w:rsid w:val="008C43EB"/>
    <w:rsid w:val="008C4871"/>
    <w:rsid w:val="008C4BBA"/>
    <w:rsid w:val="008C4D5C"/>
    <w:rsid w:val="008C524B"/>
    <w:rsid w:val="008C5258"/>
    <w:rsid w:val="008C5C42"/>
    <w:rsid w:val="008C618E"/>
    <w:rsid w:val="008C66F8"/>
    <w:rsid w:val="008D0580"/>
    <w:rsid w:val="008D0C0E"/>
    <w:rsid w:val="008D0F23"/>
    <w:rsid w:val="008D0F24"/>
    <w:rsid w:val="008D103B"/>
    <w:rsid w:val="008D1F8E"/>
    <w:rsid w:val="008D27D9"/>
    <w:rsid w:val="008D3256"/>
    <w:rsid w:val="008D3511"/>
    <w:rsid w:val="008D37CA"/>
    <w:rsid w:val="008D5889"/>
    <w:rsid w:val="008D5C8D"/>
    <w:rsid w:val="008D671F"/>
    <w:rsid w:val="008D724A"/>
    <w:rsid w:val="008D7A38"/>
    <w:rsid w:val="008D7CDF"/>
    <w:rsid w:val="008D7FF8"/>
    <w:rsid w:val="008E0115"/>
    <w:rsid w:val="008E04E3"/>
    <w:rsid w:val="008E1CC0"/>
    <w:rsid w:val="008E22FB"/>
    <w:rsid w:val="008E24F1"/>
    <w:rsid w:val="008E2866"/>
    <w:rsid w:val="008E2F80"/>
    <w:rsid w:val="008E36B3"/>
    <w:rsid w:val="008E3DFC"/>
    <w:rsid w:val="008E4911"/>
    <w:rsid w:val="008E4B6E"/>
    <w:rsid w:val="008E53E8"/>
    <w:rsid w:val="008E5A4B"/>
    <w:rsid w:val="008E5C6C"/>
    <w:rsid w:val="008E6072"/>
    <w:rsid w:val="008E6428"/>
    <w:rsid w:val="008E6AED"/>
    <w:rsid w:val="008E7045"/>
    <w:rsid w:val="008F0DD2"/>
    <w:rsid w:val="008F1872"/>
    <w:rsid w:val="008F2110"/>
    <w:rsid w:val="008F2AD4"/>
    <w:rsid w:val="008F3C6B"/>
    <w:rsid w:val="008F4776"/>
    <w:rsid w:val="008F53B2"/>
    <w:rsid w:val="008F54D4"/>
    <w:rsid w:val="008F57A8"/>
    <w:rsid w:val="008F585B"/>
    <w:rsid w:val="008F58E6"/>
    <w:rsid w:val="008F6178"/>
    <w:rsid w:val="008F7C5B"/>
    <w:rsid w:val="008F7C96"/>
    <w:rsid w:val="00900370"/>
    <w:rsid w:val="00900934"/>
    <w:rsid w:val="0090128A"/>
    <w:rsid w:val="0090194B"/>
    <w:rsid w:val="00901C4E"/>
    <w:rsid w:val="00902BF3"/>
    <w:rsid w:val="00902D27"/>
    <w:rsid w:val="00902FCD"/>
    <w:rsid w:val="00904DF1"/>
    <w:rsid w:val="00905BC4"/>
    <w:rsid w:val="0090649A"/>
    <w:rsid w:val="0090793D"/>
    <w:rsid w:val="00907BAF"/>
    <w:rsid w:val="00907D7D"/>
    <w:rsid w:val="00910FE9"/>
    <w:rsid w:val="009110D1"/>
    <w:rsid w:val="0091161A"/>
    <w:rsid w:val="00911FB4"/>
    <w:rsid w:val="00912617"/>
    <w:rsid w:val="00912A56"/>
    <w:rsid w:val="00912AE3"/>
    <w:rsid w:val="0091423C"/>
    <w:rsid w:val="00915152"/>
    <w:rsid w:val="00915811"/>
    <w:rsid w:val="009176D6"/>
    <w:rsid w:val="009179F7"/>
    <w:rsid w:val="00917C25"/>
    <w:rsid w:val="00917C48"/>
    <w:rsid w:val="009200C1"/>
    <w:rsid w:val="00921FD7"/>
    <w:rsid w:val="0092414B"/>
    <w:rsid w:val="00924373"/>
    <w:rsid w:val="00924433"/>
    <w:rsid w:val="00924458"/>
    <w:rsid w:val="00924E13"/>
    <w:rsid w:val="0092511B"/>
    <w:rsid w:val="00925DDF"/>
    <w:rsid w:val="009263FE"/>
    <w:rsid w:val="0092642D"/>
    <w:rsid w:val="00927009"/>
    <w:rsid w:val="009270E4"/>
    <w:rsid w:val="009274AA"/>
    <w:rsid w:val="00927BBB"/>
    <w:rsid w:val="00927E79"/>
    <w:rsid w:val="00930BD0"/>
    <w:rsid w:val="0093114C"/>
    <w:rsid w:val="0093295B"/>
    <w:rsid w:val="00932A79"/>
    <w:rsid w:val="00932BB3"/>
    <w:rsid w:val="00933E8B"/>
    <w:rsid w:val="00933EC3"/>
    <w:rsid w:val="00934171"/>
    <w:rsid w:val="00934FC5"/>
    <w:rsid w:val="00935282"/>
    <w:rsid w:val="009352F3"/>
    <w:rsid w:val="00935B05"/>
    <w:rsid w:val="00935CB3"/>
    <w:rsid w:val="00936426"/>
    <w:rsid w:val="00936B6E"/>
    <w:rsid w:val="00937300"/>
    <w:rsid w:val="009377B1"/>
    <w:rsid w:val="00937F70"/>
    <w:rsid w:val="009400CC"/>
    <w:rsid w:val="00940C35"/>
    <w:rsid w:val="00940C62"/>
    <w:rsid w:val="00941D53"/>
    <w:rsid w:val="009423FE"/>
    <w:rsid w:val="00943562"/>
    <w:rsid w:val="00943844"/>
    <w:rsid w:val="00943DE2"/>
    <w:rsid w:val="009442BF"/>
    <w:rsid w:val="0094544B"/>
    <w:rsid w:val="00945D42"/>
    <w:rsid w:val="00945F1E"/>
    <w:rsid w:val="0094607B"/>
    <w:rsid w:val="0094616D"/>
    <w:rsid w:val="009461A6"/>
    <w:rsid w:val="009466C4"/>
    <w:rsid w:val="00946A0B"/>
    <w:rsid w:val="00947503"/>
    <w:rsid w:val="00947B2C"/>
    <w:rsid w:val="00947B5E"/>
    <w:rsid w:val="009507FF"/>
    <w:rsid w:val="00950D3E"/>
    <w:rsid w:val="00951E48"/>
    <w:rsid w:val="009522CC"/>
    <w:rsid w:val="0095256D"/>
    <w:rsid w:val="00952BA6"/>
    <w:rsid w:val="009546E7"/>
    <w:rsid w:val="00955C8B"/>
    <w:rsid w:val="00956653"/>
    <w:rsid w:val="00956DD0"/>
    <w:rsid w:val="00957502"/>
    <w:rsid w:val="00957B57"/>
    <w:rsid w:val="00960834"/>
    <w:rsid w:val="00961426"/>
    <w:rsid w:val="00961DC7"/>
    <w:rsid w:val="00962460"/>
    <w:rsid w:val="00962643"/>
    <w:rsid w:val="009635FC"/>
    <w:rsid w:val="00963711"/>
    <w:rsid w:val="00964789"/>
    <w:rsid w:val="009649F1"/>
    <w:rsid w:val="00964D0F"/>
    <w:rsid w:val="00966764"/>
    <w:rsid w:val="00966CF2"/>
    <w:rsid w:val="00966FB9"/>
    <w:rsid w:val="0096789C"/>
    <w:rsid w:val="00971239"/>
    <w:rsid w:val="00971D52"/>
    <w:rsid w:val="00971F14"/>
    <w:rsid w:val="0097230D"/>
    <w:rsid w:val="0097371A"/>
    <w:rsid w:val="00974282"/>
    <w:rsid w:val="0097469B"/>
    <w:rsid w:val="00974D53"/>
    <w:rsid w:val="00975578"/>
    <w:rsid w:val="009755CC"/>
    <w:rsid w:val="00975FD2"/>
    <w:rsid w:val="00976299"/>
    <w:rsid w:val="00976DC4"/>
    <w:rsid w:val="00976F33"/>
    <w:rsid w:val="009770A9"/>
    <w:rsid w:val="009777AF"/>
    <w:rsid w:val="00977A15"/>
    <w:rsid w:val="009800CC"/>
    <w:rsid w:val="009806B3"/>
    <w:rsid w:val="009807E3"/>
    <w:rsid w:val="009809C6"/>
    <w:rsid w:val="00981A20"/>
    <w:rsid w:val="00981B46"/>
    <w:rsid w:val="00981E9F"/>
    <w:rsid w:val="0098333C"/>
    <w:rsid w:val="00983446"/>
    <w:rsid w:val="0098406F"/>
    <w:rsid w:val="009840C0"/>
    <w:rsid w:val="00985494"/>
    <w:rsid w:val="00986567"/>
    <w:rsid w:val="00987297"/>
    <w:rsid w:val="009878C5"/>
    <w:rsid w:val="00987A79"/>
    <w:rsid w:val="00991870"/>
    <w:rsid w:val="00992453"/>
    <w:rsid w:val="0099278D"/>
    <w:rsid w:val="00992DBA"/>
    <w:rsid w:val="0099320D"/>
    <w:rsid w:val="00993C6C"/>
    <w:rsid w:val="009944E9"/>
    <w:rsid w:val="0099460D"/>
    <w:rsid w:val="00995312"/>
    <w:rsid w:val="00997F7B"/>
    <w:rsid w:val="009A0807"/>
    <w:rsid w:val="009A1338"/>
    <w:rsid w:val="009A137E"/>
    <w:rsid w:val="009A13E1"/>
    <w:rsid w:val="009A163A"/>
    <w:rsid w:val="009A1A22"/>
    <w:rsid w:val="009A2C13"/>
    <w:rsid w:val="009A2FAA"/>
    <w:rsid w:val="009A32DF"/>
    <w:rsid w:val="009A3673"/>
    <w:rsid w:val="009A3E2C"/>
    <w:rsid w:val="009A532E"/>
    <w:rsid w:val="009A5927"/>
    <w:rsid w:val="009A5A48"/>
    <w:rsid w:val="009A64A2"/>
    <w:rsid w:val="009A6787"/>
    <w:rsid w:val="009A6A38"/>
    <w:rsid w:val="009A6C56"/>
    <w:rsid w:val="009B05B8"/>
    <w:rsid w:val="009B075B"/>
    <w:rsid w:val="009B2C70"/>
    <w:rsid w:val="009B34F7"/>
    <w:rsid w:val="009B47CC"/>
    <w:rsid w:val="009B4CE9"/>
    <w:rsid w:val="009B5946"/>
    <w:rsid w:val="009B5A32"/>
    <w:rsid w:val="009B61F2"/>
    <w:rsid w:val="009B67EC"/>
    <w:rsid w:val="009B690E"/>
    <w:rsid w:val="009B6D9E"/>
    <w:rsid w:val="009B713E"/>
    <w:rsid w:val="009B730B"/>
    <w:rsid w:val="009B74E5"/>
    <w:rsid w:val="009C0155"/>
    <w:rsid w:val="009C060C"/>
    <w:rsid w:val="009C2973"/>
    <w:rsid w:val="009C2B2A"/>
    <w:rsid w:val="009C33B2"/>
    <w:rsid w:val="009C429E"/>
    <w:rsid w:val="009C53E3"/>
    <w:rsid w:val="009C6AD8"/>
    <w:rsid w:val="009C71FE"/>
    <w:rsid w:val="009C72F3"/>
    <w:rsid w:val="009C7900"/>
    <w:rsid w:val="009D05C5"/>
    <w:rsid w:val="009D063E"/>
    <w:rsid w:val="009D0B96"/>
    <w:rsid w:val="009D1229"/>
    <w:rsid w:val="009D15F4"/>
    <w:rsid w:val="009D18AC"/>
    <w:rsid w:val="009D1B5C"/>
    <w:rsid w:val="009D1F7F"/>
    <w:rsid w:val="009D2468"/>
    <w:rsid w:val="009D2C82"/>
    <w:rsid w:val="009D2E43"/>
    <w:rsid w:val="009D36BF"/>
    <w:rsid w:val="009D37F3"/>
    <w:rsid w:val="009D3A3D"/>
    <w:rsid w:val="009D4898"/>
    <w:rsid w:val="009D4C22"/>
    <w:rsid w:val="009D75BB"/>
    <w:rsid w:val="009E03D6"/>
    <w:rsid w:val="009E1E1F"/>
    <w:rsid w:val="009E219E"/>
    <w:rsid w:val="009E237D"/>
    <w:rsid w:val="009E275D"/>
    <w:rsid w:val="009E29C8"/>
    <w:rsid w:val="009E2A0A"/>
    <w:rsid w:val="009E2FA4"/>
    <w:rsid w:val="009E3068"/>
    <w:rsid w:val="009E341E"/>
    <w:rsid w:val="009E36B3"/>
    <w:rsid w:val="009E3D75"/>
    <w:rsid w:val="009E4305"/>
    <w:rsid w:val="009E4B50"/>
    <w:rsid w:val="009E56C3"/>
    <w:rsid w:val="009E5851"/>
    <w:rsid w:val="009E5C46"/>
    <w:rsid w:val="009E612F"/>
    <w:rsid w:val="009E737F"/>
    <w:rsid w:val="009E7675"/>
    <w:rsid w:val="009F04DA"/>
    <w:rsid w:val="009F0BC5"/>
    <w:rsid w:val="009F0C07"/>
    <w:rsid w:val="009F1601"/>
    <w:rsid w:val="009F35B8"/>
    <w:rsid w:val="009F3AEF"/>
    <w:rsid w:val="009F3B9A"/>
    <w:rsid w:val="009F3DD6"/>
    <w:rsid w:val="009F46B6"/>
    <w:rsid w:val="009F5826"/>
    <w:rsid w:val="009F5AE5"/>
    <w:rsid w:val="009F5D74"/>
    <w:rsid w:val="009F5E12"/>
    <w:rsid w:val="009F6187"/>
    <w:rsid w:val="009F65F0"/>
    <w:rsid w:val="009F698B"/>
    <w:rsid w:val="009F6CA7"/>
    <w:rsid w:val="00A00CAA"/>
    <w:rsid w:val="00A014F8"/>
    <w:rsid w:val="00A018FE"/>
    <w:rsid w:val="00A02D10"/>
    <w:rsid w:val="00A03313"/>
    <w:rsid w:val="00A0372B"/>
    <w:rsid w:val="00A03C8E"/>
    <w:rsid w:val="00A03CB4"/>
    <w:rsid w:val="00A03CBB"/>
    <w:rsid w:val="00A0590E"/>
    <w:rsid w:val="00A062AF"/>
    <w:rsid w:val="00A0678C"/>
    <w:rsid w:val="00A1067D"/>
    <w:rsid w:val="00A10D06"/>
    <w:rsid w:val="00A12DC8"/>
    <w:rsid w:val="00A13EA6"/>
    <w:rsid w:val="00A13FFA"/>
    <w:rsid w:val="00A1433C"/>
    <w:rsid w:val="00A14941"/>
    <w:rsid w:val="00A151B1"/>
    <w:rsid w:val="00A1542E"/>
    <w:rsid w:val="00A157E6"/>
    <w:rsid w:val="00A158F3"/>
    <w:rsid w:val="00A16BE8"/>
    <w:rsid w:val="00A171E6"/>
    <w:rsid w:val="00A1732E"/>
    <w:rsid w:val="00A17BB2"/>
    <w:rsid w:val="00A17C93"/>
    <w:rsid w:val="00A20B3B"/>
    <w:rsid w:val="00A21243"/>
    <w:rsid w:val="00A21C03"/>
    <w:rsid w:val="00A21E27"/>
    <w:rsid w:val="00A224C3"/>
    <w:rsid w:val="00A24BC2"/>
    <w:rsid w:val="00A24BF4"/>
    <w:rsid w:val="00A24DEA"/>
    <w:rsid w:val="00A256DD"/>
    <w:rsid w:val="00A26FFD"/>
    <w:rsid w:val="00A2749E"/>
    <w:rsid w:val="00A279A2"/>
    <w:rsid w:val="00A27CB4"/>
    <w:rsid w:val="00A31076"/>
    <w:rsid w:val="00A31722"/>
    <w:rsid w:val="00A318B3"/>
    <w:rsid w:val="00A3220E"/>
    <w:rsid w:val="00A324D0"/>
    <w:rsid w:val="00A32D38"/>
    <w:rsid w:val="00A33176"/>
    <w:rsid w:val="00A33D53"/>
    <w:rsid w:val="00A360BF"/>
    <w:rsid w:val="00A3651E"/>
    <w:rsid w:val="00A366A3"/>
    <w:rsid w:val="00A37AA6"/>
    <w:rsid w:val="00A40085"/>
    <w:rsid w:val="00A40134"/>
    <w:rsid w:val="00A40CDD"/>
    <w:rsid w:val="00A41E2D"/>
    <w:rsid w:val="00A4370A"/>
    <w:rsid w:val="00A43F18"/>
    <w:rsid w:val="00A44482"/>
    <w:rsid w:val="00A446A8"/>
    <w:rsid w:val="00A4476D"/>
    <w:rsid w:val="00A44926"/>
    <w:rsid w:val="00A44A07"/>
    <w:rsid w:val="00A44E0D"/>
    <w:rsid w:val="00A44FF5"/>
    <w:rsid w:val="00A451E9"/>
    <w:rsid w:val="00A45872"/>
    <w:rsid w:val="00A462D6"/>
    <w:rsid w:val="00A467F2"/>
    <w:rsid w:val="00A46A0B"/>
    <w:rsid w:val="00A46E64"/>
    <w:rsid w:val="00A46F70"/>
    <w:rsid w:val="00A47A77"/>
    <w:rsid w:val="00A51083"/>
    <w:rsid w:val="00A513F6"/>
    <w:rsid w:val="00A51677"/>
    <w:rsid w:val="00A51BB0"/>
    <w:rsid w:val="00A52844"/>
    <w:rsid w:val="00A52A92"/>
    <w:rsid w:val="00A53285"/>
    <w:rsid w:val="00A53AED"/>
    <w:rsid w:val="00A5436C"/>
    <w:rsid w:val="00A54D5C"/>
    <w:rsid w:val="00A55033"/>
    <w:rsid w:val="00A5569E"/>
    <w:rsid w:val="00A558D1"/>
    <w:rsid w:val="00A55A32"/>
    <w:rsid w:val="00A56A6F"/>
    <w:rsid w:val="00A56D16"/>
    <w:rsid w:val="00A57815"/>
    <w:rsid w:val="00A57C42"/>
    <w:rsid w:val="00A57CCE"/>
    <w:rsid w:val="00A57E00"/>
    <w:rsid w:val="00A60B80"/>
    <w:rsid w:val="00A60BDE"/>
    <w:rsid w:val="00A61ACE"/>
    <w:rsid w:val="00A62720"/>
    <w:rsid w:val="00A63D9F"/>
    <w:rsid w:val="00A6466E"/>
    <w:rsid w:val="00A64CD4"/>
    <w:rsid w:val="00A655C9"/>
    <w:rsid w:val="00A6651F"/>
    <w:rsid w:val="00A667BB"/>
    <w:rsid w:val="00A6716C"/>
    <w:rsid w:val="00A672B1"/>
    <w:rsid w:val="00A6772D"/>
    <w:rsid w:val="00A7030D"/>
    <w:rsid w:val="00A70F5B"/>
    <w:rsid w:val="00A711EB"/>
    <w:rsid w:val="00A7230A"/>
    <w:rsid w:val="00A72A1B"/>
    <w:rsid w:val="00A72D33"/>
    <w:rsid w:val="00A73525"/>
    <w:rsid w:val="00A73CCA"/>
    <w:rsid w:val="00A741D4"/>
    <w:rsid w:val="00A74343"/>
    <w:rsid w:val="00A7443C"/>
    <w:rsid w:val="00A74942"/>
    <w:rsid w:val="00A752CB"/>
    <w:rsid w:val="00A759CF"/>
    <w:rsid w:val="00A76DEA"/>
    <w:rsid w:val="00A77218"/>
    <w:rsid w:val="00A77A2F"/>
    <w:rsid w:val="00A77C48"/>
    <w:rsid w:val="00A77EA2"/>
    <w:rsid w:val="00A77F1F"/>
    <w:rsid w:val="00A80254"/>
    <w:rsid w:val="00A81A0D"/>
    <w:rsid w:val="00A8236B"/>
    <w:rsid w:val="00A823D2"/>
    <w:rsid w:val="00A83271"/>
    <w:rsid w:val="00A843A7"/>
    <w:rsid w:val="00A84C80"/>
    <w:rsid w:val="00A85569"/>
    <w:rsid w:val="00A85645"/>
    <w:rsid w:val="00A857A7"/>
    <w:rsid w:val="00A85B86"/>
    <w:rsid w:val="00A85E29"/>
    <w:rsid w:val="00A860D2"/>
    <w:rsid w:val="00A86320"/>
    <w:rsid w:val="00A86A0F"/>
    <w:rsid w:val="00A86E40"/>
    <w:rsid w:val="00A87D83"/>
    <w:rsid w:val="00A87F65"/>
    <w:rsid w:val="00A90073"/>
    <w:rsid w:val="00A90384"/>
    <w:rsid w:val="00A903E1"/>
    <w:rsid w:val="00A90A79"/>
    <w:rsid w:val="00A92375"/>
    <w:rsid w:val="00A92F6A"/>
    <w:rsid w:val="00A9373D"/>
    <w:rsid w:val="00A93FB8"/>
    <w:rsid w:val="00A94B11"/>
    <w:rsid w:val="00A95449"/>
    <w:rsid w:val="00A95720"/>
    <w:rsid w:val="00A957A3"/>
    <w:rsid w:val="00A961FD"/>
    <w:rsid w:val="00A96B04"/>
    <w:rsid w:val="00A96D34"/>
    <w:rsid w:val="00A973CF"/>
    <w:rsid w:val="00A97FE8"/>
    <w:rsid w:val="00AA0A03"/>
    <w:rsid w:val="00AA0EEE"/>
    <w:rsid w:val="00AA1241"/>
    <w:rsid w:val="00AA1E33"/>
    <w:rsid w:val="00AA1ED3"/>
    <w:rsid w:val="00AA2203"/>
    <w:rsid w:val="00AA2588"/>
    <w:rsid w:val="00AA2BCE"/>
    <w:rsid w:val="00AA2F1A"/>
    <w:rsid w:val="00AA424A"/>
    <w:rsid w:val="00AA458E"/>
    <w:rsid w:val="00AA4709"/>
    <w:rsid w:val="00AA4733"/>
    <w:rsid w:val="00AA5348"/>
    <w:rsid w:val="00AA57A6"/>
    <w:rsid w:val="00AA5C30"/>
    <w:rsid w:val="00AA63D7"/>
    <w:rsid w:val="00AA6E23"/>
    <w:rsid w:val="00AA7E34"/>
    <w:rsid w:val="00AB00E8"/>
    <w:rsid w:val="00AB07D5"/>
    <w:rsid w:val="00AB1293"/>
    <w:rsid w:val="00AB185E"/>
    <w:rsid w:val="00AB1B27"/>
    <w:rsid w:val="00AB1D65"/>
    <w:rsid w:val="00AB26FF"/>
    <w:rsid w:val="00AB276C"/>
    <w:rsid w:val="00AB2D17"/>
    <w:rsid w:val="00AB31C7"/>
    <w:rsid w:val="00AB433F"/>
    <w:rsid w:val="00AB43F1"/>
    <w:rsid w:val="00AB4B22"/>
    <w:rsid w:val="00AB55D9"/>
    <w:rsid w:val="00AB5671"/>
    <w:rsid w:val="00AB5947"/>
    <w:rsid w:val="00AB5CD2"/>
    <w:rsid w:val="00AB6485"/>
    <w:rsid w:val="00AB683F"/>
    <w:rsid w:val="00AB6D3B"/>
    <w:rsid w:val="00AB73A1"/>
    <w:rsid w:val="00AB743A"/>
    <w:rsid w:val="00AC00F6"/>
    <w:rsid w:val="00AC0652"/>
    <w:rsid w:val="00AC09D6"/>
    <w:rsid w:val="00AC0A8F"/>
    <w:rsid w:val="00AC2D2C"/>
    <w:rsid w:val="00AC3103"/>
    <w:rsid w:val="00AC319C"/>
    <w:rsid w:val="00AC39FF"/>
    <w:rsid w:val="00AC3EE8"/>
    <w:rsid w:val="00AC52A3"/>
    <w:rsid w:val="00AC5B1B"/>
    <w:rsid w:val="00AC7182"/>
    <w:rsid w:val="00AC71E2"/>
    <w:rsid w:val="00AC7797"/>
    <w:rsid w:val="00AC7D20"/>
    <w:rsid w:val="00AC7D98"/>
    <w:rsid w:val="00AD06AD"/>
    <w:rsid w:val="00AD086F"/>
    <w:rsid w:val="00AD09B8"/>
    <w:rsid w:val="00AD1966"/>
    <w:rsid w:val="00AD19A2"/>
    <w:rsid w:val="00AD1B6F"/>
    <w:rsid w:val="00AD1D49"/>
    <w:rsid w:val="00AD32A2"/>
    <w:rsid w:val="00AD35E4"/>
    <w:rsid w:val="00AD393A"/>
    <w:rsid w:val="00AD3C4F"/>
    <w:rsid w:val="00AD48AA"/>
    <w:rsid w:val="00AD4E25"/>
    <w:rsid w:val="00AD4FCE"/>
    <w:rsid w:val="00AD5052"/>
    <w:rsid w:val="00AD65EF"/>
    <w:rsid w:val="00AD6CF2"/>
    <w:rsid w:val="00AD6F92"/>
    <w:rsid w:val="00AD6FB0"/>
    <w:rsid w:val="00AD7919"/>
    <w:rsid w:val="00AD7B08"/>
    <w:rsid w:val="00AD7F64"/>
    <w:rsid w:val="00AE00AC"/>
    <w:rsid w:val="00AE0875"/>
    <w:rsid w:val="00AE0DE5"/>
    <w:rsid w:val="00AE173E"/>
    <w:rsid w:val="00AE1AB4"/>
    <w:rsid w:val="00AE1B38"/>
    <w:rsid w:val="00AE1C23"/>
    <w:rsid w:val="00AE228E"/>
    <w:rsid w:val="00AE2646"/>
    <w:rsid w:val="00AE2CE9"/>
    <w:rsid w:val="00AE416E"/>
    <w:rsid w:val="00AE43FD"/>
    <w:rsid w:val="00AE458D"/>
    <w:rsid w:val="00AE45BD"/>
    <w:rsid w:val="00AE54FA"/>
    <w:rsid w:val="00AE5739"/>
    <w:rsid w:val="00AE57A2"/>
    <w:rsid w:val="00AE679A"/>
    <w:rsid w:val="00AE697B"/>
    <w:rsid w:val="00AE79C8"/>
    <w:rsid w:val="00AF030E"/>
    <w:rsid w:val="00AF05FB"/>
    <w:rsid w:val="00AF2331"/>
    <w:rsid w:val="00AF2482"/>
    <w:rsid w:val="00AF2505"/>
    <w:rsid w:val="00AF4454"/>
    <w:rsid w:val="00AF475B"/>
    <w:rsid w:val="00AF4B65"/>
    <w:rsid w:val="00AF4EFB"/>
    <w:rsid w:val="00AF5422"/>
    <w:rsid w:val="00AF57B8"/>
    <w:rsid w:val="00AF5B1A"/>
    <w:rsid w:val="00AF5D4F"/>
    <w:rsid w:val="00AF5F49"/>
    <w:rsid w:val="00AF613F"/>
    <w:rsid w:val="00AF629E"/>
    <w:rsid w:val="00AF641B"/>
    <w:rsid w:val="00AF6671"/>
    <w:rsid w:val="00AF672F"/>
    <w:rsid w:val="00AF69DD"/>
    <w:rsid w:val="00AF6B8B"/>
    <w:rsid w:val="00AF6D5D"/>
    <w:rsid w:val="00AF6D96"/>
    <w:rsid w:val="00AF6F35"/>
    <w:rsid w:val="00AF703B"/>
    <w:rsid w:val="00AF7548"/>
    <w:rsid w:val="00B0011B"/>
    <w:rsid w:val="00B00506"/>
    <w:rsid w:val="00B01060"/>
    <w:rsid w:val="00B01235"/>
    <w:rsid w:val="00B0172E"/>
    <w:rsid w:val="00B01F17"/>
    <w:rsid w:val="00B01F97"/>
    <w:rsid w:val="00B029B9"/>
    <w:rsid w:val="00B0310B"/>
    <w:rsid w:val="00B031EF"/>
    <w:rsid w:val="00B034B9"/>
    <w:rsid w:val="00B037E3"/>
    <w:rsid w:val="00B0439F"/>
    <w:rsid w:val="00B046FE"/>
    <w:rsid w:val="00B048DD"/>
    <w:rsid w:val="00B04D48"/>
    <w:rsid w:val="00B04EBA"/>
    <w:rsid w:val="00B04F4E"/>
    <w:rsid w:val="00B060B2"/>
    <w:rsid w:val="00B062B9"/>
    <w:rsid w:val="00B073DA"/>
    <w:rsid w:val="00B074CF"/>
    <w:rsid w:val="00B07D11"/>
    <w:rsid w:val="00B101D9"/>
    <w:rsid w:val="00B10853"/>
    <w:rsid w:val="00B10ECF"/>
    <w:rsid w:val="00B10F7A"/>
    <w:rsid w:val="00B11809"/>
    <w:rsid w:val="00B1187A"/>
    <w:rsid w:val="00B120FA"/>
    <w:rsid w:val="00B125C2"/>
    <w:rsid w:val="00B1261F"/>
    <w:rsid w:val="00B12AE1"/>
    <w:rsid w:val="00B12FFA"/>
    <w:rsid w:val="00B137E5"/>
    <w:rsid w:val="00B139B1"/>
    <w:rsid w:val="00B140E1"/>
    <w:rsid w:val="00B150AC"/>
    <w:rsid w:val="00B15317"/>
    <w:rsid w:val="00B16565"/>
    <w:rsid w:val="00B16B84"/>
    <w:rsid w:val="00B16C6B"/>
    <w:rsid w:val="00B172B1"/>
    <w:rsid w:val="00B172C0"/>
    <w:rsid w:val="00B17318"/>
    <w:rsid w:val="00B17985"/>
    <w:rsid w:val="00B17EBB"/>
    <w:rsid w:val="00B20293"/>
    <w:rsid w:val="00B2144E"/>
    <w:rsid w:val="00B21B83"/>
    <w:rsid w:val="00B21D03"/>
    <w:rsid w:val="00B21D3E"/>
    <w:rsid w:val="00B21D42"/>
    <w:rsid w:val="00B21FF5"/>
    <w:rsid w:val="00B2216A"/>
    <w:rsid w:val="00B22B09"/>
    <w:rsid w:val="00B22EEF"/>
    <w:rsid w:val="00B22FB8"/>
    <w:rsid w:val="00B236B7"/>
    <w:rsid w:val="00B247C8"/>
    <w:rsid w:val="00B247DD"/>
    <w:rsid w:val="00B25E55"/>
    <w:rsid w:val="00B25F71"/>
    <w:rsid w:val="00B262F1"/>
    <w:rsid w:val="00B27486"/>
    <w:rsid w:val="00B30C3F"/>
    <w:rsid w:val="00B31CA0"/>
    <w:rsid w:val="00B320AE"/>
    <w:rsid w:val="00B33C2F"/>
    <w:rsid w:val="00B33C32"/>
    <w:rsid w:val="00B33E7E"/>
    <w:rsid w:val="00B34D31"/>
    <w:rsid w:val="00B34D3A"/>
    <w:rsid w:val="00B34F3B"/>
    <w:rsid w:val="00B35D96"/>
    <w:rsid w:val="00B376E9"/>
    <w:rsid w:val="00B37A50"/>
    <w:rsid w:val="00B37B1C"/>
    <w:rsid w:val="00B37DAC"/>
    <w:rsid w:val="00B415EE"/>
    <w:rsid w:val="00B41957"/>
    <w:rsid w:val="00B419E6"/>
    <w:rsid w:val="00B4422D"/>
    <w:rsid w:val="00B4443C"/>
    <w:rsid w:val="00B446D5"/>
    <w:rsid w:val="00B448A0"/>
    <w:rsid w:val="00B44D4D"/>
    <w:rsid w:val="00B4512D"/>
    <w:rsid w:val="00B467C2"/>
    <w:rsid w:val="00B46B7C"/>
    <w:rsid w:val="00B46C9D"/>
    <w:rsid w:val="00B507AD"/>
    <w:rsid w:val="00B518E2"/>
    <w:rsid w:val="00B51D86"/>
    <w:rsid w:val="00B5231C"/>
    <w:rsid w:val="00B524B0"/>
    <w:rsid w:val="00B53B7D"/>
    <w:rsid w:val="00B53F83"/>
    <w:rsid w:val="00B54621"/>
    <w:rsid w:val="00B5489F"/>
    <w:rsid w:val="00B54D18"/>
    <w:rsid w:val="00B55CDA"/>
    <w:rsid w:val="00B55E54"/>
    <w:rsid w:val="00B562B6"/>
    <w:rsid w:val="00B5641F"/>
    <w:rsid w:val="00B566AE"/>
    <w:rsid w:val="00B56EEA"/>
    <w:rsid w:val="00B575E1"/>
    <w:rsid w:val="00B576C3"/>
    <w:rsid w:val="00B60A52"/>
    <w:rsid w:val="00B60B9F"/>
    <w:rsid w:val="00B61542"/>
    <w:rsid w:val="00B62A1B"/>
    <w:rsid w:val="00B62ADD"/>
    <w:rsid w:val="00B62DF9"/>
    <w:rsid w:val="00B62EB4"/>
    <w:rsid w:val="00B634D5"/>
    <w:rsid w:val="00B64166"/>
    <w:rsid w:val="00B642B9"/>
    <w:rsid w:val="00B6451A"/>
    <w:rsid w:val="00B64A25"/>
    <w:rsid w:val="00B65443"/>
    <w:rsid w:val="00B656F1"/>
    <w:rsid w:val="00B65F7D"/>
    <w:rsid w:val="00B66098"/>
    <w:rsid w:val="00B668DA"/>
    <w:rsid w:val="00B67556"/>
    <w:rsid w:val="00B7069E"/>
    <w:rsid w:val="00B706C9"/>
    <w:rsid w:val="00B70CDA"/>
    <w:rsid w:val="00B71094"/>
    <w:rsid w:val="00B73013"/>
    <w:rsid w:val="00B732AD"/>
    <w:rsid w:val="00B733D0"/>
    <w:rsid w:val="00B73C17"/>
    <w:rsid w:val="00B740A0"/>
    <w:rsid w:val="00B749D2"/>
    <w:rsid w:val="00B75794"/>
    <w:rsid w:val="00B765FD"/>
    <w:rsid w:val="00B76962"/>
    <w:rsid w:val="00B76E2B"/>
    <w:rsid w:val="00B807D5"/>
    <w:rsid w:val="00B812BD"/>
    <w:rsid w:val="00B82674"/>
    <w:rsid w:val="00B82AF8"/>
    <w:rsid w:val="00B84028"/>
    <w:rsid w:val="00B843D2"/>
    <w:rsid w:val="00B84EFC"/>
    <w:rsid w:val="00B85393"/>
    <w:rsid w:val="00B853BC"/>
    <w:rsid w:val="00B85A7B"/>
    <w:rsid w:val="00B85DCC"/>
    <w:rsid w:val="00B86B3E"/>
    <w:rsid w:val="00B86C15"/>
    <w:rsid w:val="00B8714D"/>
    <w:rsid w:val="00B878F0"/>
    <w:rsid w:val="00B87AD8"/>
    <w:rsid w:val="00B900E4"/>
    <w:rsid w:val="00B90F6D"/>
    <w:rsid w:val="00B910D0"/>
    <w:rsid w:val="00B91D23"/>
    <w:rsid w:val="00B92377"/>
    <w:rsid w:val="00B92661"/>
    <w:rsid w:val="00B92F60"/>
    <w:rsid w:val="00B936B6"/>
    <w:rsid w:val="00B93827"/>
    <w:rsid w:val="00B93D10"/>
    <w:rsid w:val="00B968EF"/>
    <w:rsid w:val="00B975F4"/>
    <w:rsid w:val="00BA0359"/>
    <w:rsid w:val="00BA113F"/>
    <w:rsid w:val="00BA1AB0"/>
    <w:rsid w:val="00BA288A"/>
    <w:rsid w:val="00BA2D2F"/>
    <w:rsid w:val="00BA30FD"/>
    <w:rsid w:val="00BA3F35"/>
    <w:rsid w:val="00BA408A"/>
    <w:rsid w:val="00BA4C49"/>
    <w:rsid w:val="00BA4E38"/>
    <w:rsid w:val="00BA50D6"/>
    <w:rsid w:val="00BA61F6"/>
    <w:rsid w:val="00BA762C"/>
    <w:rsid w:val="00BB0584"/>
    <w:rsid w:val="00BB0744"/>
    <w:rsid w:val="00BB08A8"/>
    <w:rsid w:val="00BB0B8D"/>
    <w:rsid w:val="00BB0D48"/>
    <w:rsid w:val="00BB2A07"/>
    <w:rsid w:val="00BB3119"/>
    <w:rsid w:val="00BB3470"/>
    <w:rsid w:val="00BB3EE3"/>
    <w:rsid w:val="00BB4256"/>
    <w:rsid w:val="00BB4351"/>
    <w:rsid w:val="00BB4596"/>
    <w:rsid w:val="00BB4859"/>
    <w:rsid w:val="00BB5389"/>
    <w:rsid w:val="00BB5C10"/>
    <w:rsid w:val="00BB64F7"/>
    <w:rsid w:val="00BB6E9B"/>
    <w:rsid w:val="00BB78B6"/>
    <w:rsid w:val="00BC0D5F"/>
    <w:rsid w:val="00BC19BF"/>
    <w:rsid w:val="00BC1AB1"/>
    <w:rsid w:val="00BC2B08"/>
    <w:rsid w:val="00BC2E6A"/>
    <w:rsid w:val="00BC31AF"/>
    <w:rsid w:val="00BC3A0A"/>
    <w:rsid w:val="00BC3B3E"/>
    <w:rsid w:val="00BC47AC"/>
    <w:rsid w:val="00BC4A8C"/>
    <w:rsid w:val="00BC4BCB"/>
    <w:rsid w:val="00BC4DE5"/>
    <w:rsid w:val="00BC54C5"/>
    <w:rsid w:val="00BC56D4"/>
    <w:rsid w:val="00BC6426"/>
    <w:rsid w:val="00BC6753"/>
    <w:rsid w:val="00BC6C59"/>
    <w:rsid w:val="00BC6D45"/>
    <w:rsid w:val="00BC777A"/>
    <w:rsid w:val="00BC7B53"/>
    <w:rsid w:val="00BD0C65"/>
    <w:rsid w:val="00BD0D32"/>
    <w:rsid w:val="00BD3C9A"/>
    <w:rsid w:val="00BD3FBB"/>
    <w:rsid w:val="00BD40E9"/>
    <w:rsid w:val="00BD4874"/>
    <w:rsid w:val="00BD6CEC"/>
    <w:rsid w:val="00BD780A"/>
    <w:rsid w:val="00BD7F44"/>
    <w:rsid w:val="00BE000A"/>
    <w:rsid w:val="00BE08ED"/>
    <w:rsid w:val="00BE0CFA"/>
    <w:rsid w:val="00BE0D6B"/>
    <w:rsid w:val="00BE0E33"/>
    <w:rsid w:val="00BE1236"/>
    <w:rsid w:val="00BE18D5"/>
    <w:rsid w:val="00BE1DCE"/>
    <w:rsid w:val="00BE27D1"/>
    <w:rsid w:val="00BE34D9"/>
    <w:rsid w:val="00BE37C0"/>
    <w:rsid w:val="00BE3A32"/>
    <w:rsid w:val="00BE4425"/>
    <w:rsid w:val="00BE448C"/>
    <w:rsid w:val="00BE4E63"/>
    <w:rsid w:val="00BE5CB9"/>
    <w:rsid w:val="00BE66FA"/>
    <w:rsid w:val="00BE6818"/>
    <w:rsid w:val="00BE6A62"/>
    <w:rsid w:val="00BE708F"/>
    <w:rsid w:val="00BE7524"/>
    <w:rsid w:val="00BF09EA"/>
    <w:rsid w:val="00BF1327"/>
    <w:rsid w:val="00BF4799"/>
    <w:rsid w:val="00BF5677"/>
    <w:rsid w:val="00BF575F"/>
    <w:rsid w:val="00BF61A6"/>
    <w:rsid w:val="00BF6761"/>
    <w:rsid w:val="00BF6786"/>
    <w:rsid w:val="00BF693D"/>
    <w:rsid w:val="00BF6DD9"/>
    <w:rsid w:val="00BF715E"/>
    <w:rsid w:val="00BF7610"/>
    <w:rsid w:val="00BF76A6"/>
    <w:rsid w:val="00C005BA"/>
    <w:rsid w:val="00C007DB"/>
    <w:rsid w:val="00C00EF8"/>
    <w:rsid w:val="00C01013"/>
    <w:rsid w:val="00C012B6"/>
    <w:rsid w:val="00C019A6"/>
    <w:rsid w:val="00C0240D"/>
    <w:rsid w:val="00C02462"/>
    <w:rsid w:val="00C034D4"/>
    <w:rsid w:val="00C0373A"/>
    <w:rsid w:val="00C039CC"/>
    <w:rsid w:val="00C03E52"/>
    <w:rsid w:val="00C04BA8"/>
    <w:rsid w:val="00C04CDD"/>
    <w:rsid w:val="00C04FDF"/>
    <w:rsid w:val="00C0516D"/>
    <w:rsid w:val="00C05432"/>
    <w:rsid w:val="00C0647C"/>
    <w:rsid w:val="00C06B38"/>
    <w:rsid w:val="00C06D3D"/>
    <w:rsid w:val="00C071DE"/>
    <w:rsid w:val="00C0747F"/>
    <w:rsid w:val="00C1007B"/>
    <w:rsid w:val="00C100D5"/>
    <w:rsid w:val="00C10306"/>
    <w:rsid w:val="00C11C92"/>
    <w:rsid w:val="00C11E41"/>
    <w:rsid w:val="00C12473"/>
    <w:rsid w:val="00C12519"/>
    <w:rsid w:val="00C13A3C"/>
    <w:rsid w:val="00C14F47"/>
    <w:rsid w:val="00C1584D"/>
    <w:rsid w:val="00C15A1A"/>
    <w:rsid w:val="00C15C13"/>
    <w:rsid w:val="00C16E62"/>
    <w:rsid w:val="00C173FF"/>
    <w:rsid w:val="00C17609"/>
    <w:rsid w:val="00C206AF"/>
    <w:rsid w:val="00C20D2D"/>
    <w:rsid w:val="00C2115C"/>
    <w:rsid w:val="00C2202C"/>
    <w:rsid w:val="00C232FA"/>
    <w:rsid w:val="00C23C3A"/>
    <w:rsid w:val="00C23F23"/>
    <w:rsid w:val="00C24AC3"/>
    <w:rsid w:val="00C25516"/>
    <w:rsid w:val="00C256B1"/>
    <w:rsid w:val="00C26624"/>
    <w:rsid w:val="00C26B5B"/>
    <w:rsid w:val="00C26EC5"/>
    <w:rsid w:val="00C27A1C"/>
    <w:rsid w:val="00C27EE1"/>
    <w:rsid w:val="00C3136C"/>
    <w:rsid w:val="00C31468"/>
    <w:rsid w:val="00C31654"/>
    <w:rsid w:val="00C31D83"/>
    <w:rsid w:val="00C32784"/>
    <w:rsid w:val="00C3279D"/>
    <w:rsid w:val="00C32B83"/>
    <w:rsid w:val="00C32C37"/>
    <w:rsid w:val="00C33B9C"/>
    <w:rsid w:val="00C34578"/>
    <w:rsid w:val="00C34F9F"/>
    <w:rsid w:val="00C35E46"/>
    <w:rsid w:val="00C3637B"/>
    <w:rsid w:val="00C36572"/>
    <w:rsid w:val="00C37B6B"/>
    <w:rsid w:val="00C4012C"/>
    <w:rsid w:val="00C41249"/>
    <w:rsid w:val="00C4178F"/>
    <w:rsid w:val="00C4179F"/>
    <w:rsid w:val="00C419D0"/>
    <w:rsid w:val="00C41F52"/>
    <w:rsid w:val="00C42646"/>
    <w:rsid w:val="00C4336F"/>
    <w:rsid w:val="00C43F5F"/>
    <w:rsid w:val="00C44574"/>
    <w:rsid w:val="00C44C17"/>
    <w:rsid w:val="00C50031"/>
    <w:rsid w:val="00C501AA"/>
    <w:rsid w:val="00C50681"/>
    <w:rsid w:val="00C50CAE"/>
    <w:rsid w:val="00C5140B"/>
    <w:rsid w:val="00C51549"/>
    <w:rsid w:val="00C51AF7"/>
    <w:rsid w:val="00C51F00"/>
    <w:rsid w:val="00C52082"/>
    <w:rsid w:val="00C52796"/>
    <w:rsid w:val="00C53434"/>
    <w:rsid w:val="00C54772"/>
    <w:rsid w:val="00C5506A"/>
    <w:rsid w:val="00C5539E"/>
    <w:rsid w:val="00C553FC"/>
    <w:rsid w:val="00C56559"/>
    <w:rsid w:val="00C5706C"/>
    <w:rsid w:val="00C608CC"/>
    <w:rsid w:val="00C60B19"/>
    <w:rsid w:val="00C60E97"/>
    <w:rsid w:val="00C61127"/>
    <w:rsid w:val="00C61B94"/>
    <w:rsid w:val="00C6204E"/>
    <w:rsid w:val="00C63DF8"/>
    <w:rsid w:val="00C63F14"/>
    <w:rsid w:val="00C645EC"/>
    <w:rsid w:val="00C64FCD"/>
    <w:rsid w:val="00C65953"/>
    <w:rsid w:val="00C65AC7"/>
    <w:rsid w:val="00C65BFD"/>
    <w:rsid w:val="00C65E7E"/>
    <w:rsid w:val="00C660C3"/>
    <w:rsid w:val="00C67890"/>
    <w:rsid w:val="00C67C4A"/>
    <w:rsid w:val="00C67CA9"/>
    <w:rsid w:val="00C70173"/>
    <w:rsid w:val="00C704D4"/>
    <w:rsid w:val="00C7255A"/>
    <w:rsid w:val="00C7273D"/>
    <w:rsid w:val="00C727C3"/>
    <w:rsid w:val="00C72B30"/>
    <w:rsid w:val="00C73767"/>
    <w:rsid w:val="00C73DA1"/>
    <w:rsid w:val="00C740EB"/>
    <w:rsid w:val="00C745DB"/>
    <w:rsid w:val="00C74B40"/>
    <w:rsid w:val="00C76954"/>
    <w:rsid w:val="00C77215"/>
    <w:rsid w:val="00C800C2"/>
    <w:rsid w:val="00C81446"/>
    <w:rsid w:val="00C81826"/>
    <w:rsid w:val="00C82243"/>
    <w:rsid w:val="00C82707"/>
    <w:rsid w:val="00C83891"/>
    <w:rsid w:val="00C85F4A"/>
    <w:rsid w:val="00C86574"/>
    <w:rsid w:val="00C87CA4"/>
    <w:rsid w:val="00C87D65"/>
    <w:rsid w:val="00C90966"/>
    <w:rsid w:val="00C911EB"/>
    <w:rsid w:val="00C91B55"/>
    <w:rsid w:val="00C91CF4"/>
    <w:rsid w:val="00C927A0"/>
    <w:rsid w:val="00C928A1"/>
    <w:rsid w:val="00C92A82"/>
    <w:rsid w:val="00C92F7D"/>
    <w:rsid w:val="00C94073"/>
    <w:rsid w:val="00C94704"/>
    <w:rsid w:val="00C94D27"/>
    <w:rsid w:val="00C958FA"/>
    <w:rsid w:val="00C9621C"/>
    <w:rsid w:val="00C9652C"/>
    <w:rsid w:val="00C9683E"/>
    <w:rsid w:val="00C96D21"/>
    <w:rsid w:val="00C96DEA"/>
    <w:rsid w:val="00C96F38"/>
    <w:rsid w:val="00CA008A"/>
    <w:rsid w:val="00CA0B11"/>
    <w:rsid w:val="00CA11DE"/>
    <w:rsid w:val="00CA18CA"/>
    <w:rsid w:val="00CA1F6B"/>
    <w:rsid w:val="00CA396D"/>
    <w:rsid w:val="00CA3B9C"/>
    <w:rsid w:val="00CA4279"/>
    <w:rsid w:val="00CA4983"/>
    <w:rsid w:val="00CA5325"/>
    <w:rsid w:val="00CA67EA"/>
    <w:rsid w:val="00CA69FA"/>
    <w:rsid w:val="00CA6B25"/>
    <w:rsid w:val="00CA6FE9"/>
    <w:rsid w:val="00CA7061"/>
    <w:rsid w:val="00CA72FB"/>
    <w:rsid w:val="00CA7333"/>
    <w:rsid w:val="00CA7375"/>
    <w:rsid w:val="00CB00BA"/>
    <w:rsid w:val="00CB1C14"/>
    <w:rsid w:val="00CB1CB0"/>
    <w:rsid w:val="00CB20BB"/>
    <w:rsid w:val="00CB2867"/>
    <w:rsid w:val="00CB3376"/>
    <w:rsid w:val="00CB35FC"/>
    <w:rsid w:val="00CB3B3F"/>
    <w:rsid w:val="00CB4AC8"/>
    <w:rsid w:val="00CB5418"/>
    <w:rsid w:val="00CB58C5"/>
    <w:rsid w:val="00CB5FD2"/>
    <w:rsid w:val="00CB64F4"/>
    <w:rsid w:val="00CB6F1E"/>
    <w:rsid w:val="00CB7116"/>
    <w:rsid w:val="00CB734F"/>
    <w:rsid w:val="00CB7BFE"/>
    <w:rsid w:val="00CB7EAB"/>
    <w:rsid w:val="00CC0A9B"/>
    <w:rsid w:val="00CC16EB"/>
    <w:rsid w:val="00CC28C9"/>
    <w:rsid w:val="00CC2FB7"/>
    <w:rsid w:val="00CC3A1A"/>
    <w:rsid w:val="00CC4BA3"/>
    <w:rsid w:val="00CC5953"/>
    <w:rsid w:val="00CC5A30"/>
    <w:rsid w:val="00CC5D8D"/>
    <w:rsid w:val="00CC631D"/>
    <w:rsid w:val="00CC6F16"/>
    <w:rsid w:val="00CD02ED"/>
    <w:rsid w:val="00CD0A23"/>
    <w:rsid w:val="00CD0BB4"/>
    <w:rsid w:val="00CD1D88"/>
    <w:rsid w:val="00CD2106"/>
    <w:rsid w:val="00CD3AA7"/>
    <w:rsid w:val="00CD3C1C"/>
    <w:rsid w:val="00CD3FF7"/>
    <w:rsid w:val="00CD419C"/>
    <w:rsid w:val="00CD41A3"/>
    <w:rsid w:val="00CD43CA"/>
    <w:rsid w:val="00CD45ED"/>
    <w:rsid w:val="00CD5358"/>
    <w:rsid w:val="00CD7248"/>
    <w:rsid w:val="00CD770A"/>
    <w:rsid w:val="00CD77C0"/>
    <w:rsid w:val="00CE00AA"/>
    <w:rsid w:val="00CE08AC"/>
    <w:rsid w:val="00CE0C31"/>
    <w:rsid w:val="00CE0CBA"/>
    <w:rsid w:val="00CE2597"/>
    <w:rsid w:val="00CE25A3"/>
    <w:rsid w:val="00CE2C34"/>
    <w:rsid w:val="00CE3AAC"/>
    <w:rsid w:val="00CE3EFC"/>
    <w:rsid w:val="00CE4344"/>
    <w:rsid w:val="00CE43B0"/>
    <w:rsid w:val="00CE449E"/>
    <w:rsid w:val="00CE48C8"/>
    <w:rsid w:val="00CE4D56"/>
    <w:rsid w:val="00CE4DDF"/>
    <w:rsid w:val="00CE51EF"/>
    <w:rsid w:val="00CE538A"/>
    <w:rsid w:val="00CE592B"/>
    <w:rsid w:val="00CE5B88"/>
    <w:rsid w:val="00CE6709"/>
    <w:rsid w:val="00CE6798"/>
    <w:rsid w:val="00CE6A67"/>
    <w:rsid w:val="00CE74C8"/>
    <w:rsid w:val="00CE7EE9"/>
    <w:rsid w:val="00CF01D6"/>
    <w:rsid w:val="00CF04EC"/>
    <w:rsid w:val="00CF0F6D"/>
    <w:rsid w:val="00CF1C73"/>
    <w:rsid w:val="00CF225E"/>
    <w:rsid w:val="00CF2668"/>
    <w:rsid w:val="00CF2741"/>
    <w:rsid w:val="00CF2B08"/>
    <w:rsid w:val="00CF2C2F"/>
    <w:rsid w:val="00CF2D3F"/>
    <w:rsid w:val="00CF311F"/>
    <w:rsid w:val="00CF32BF"/>
    <w:rsid w:val="00CF47FC"/>
    <w:rsid w:val="00CF4E3E"/>
    <w:rsid w:val="00CF5F16"/>
    <w:rsid w:val="00CF6239"/>
    <w:rsid w:val="00CF6468"/>
    <w:rsid w:val="00CF6BF4"/>
    <w:rsid w:val="00CF6E85"/>
    <w:rsid w:val="00CF6FCD"/>
    <w:rsid w:val="00CF70D9"/>
    <w:rsid w:val="00CF79E2"/>
    <w:rsid w:val="00CF7AB6"/>
    <w:rsid w:val="00D0131F"/>
    <w:rsid w:val="00D039BC"/>
    <w:rsid w:val="00D03B01"/>
    <w:rsid w:val="00D04384"/>
    <w:rsid w:val="00D04652"/>
    <w:rsid w:val="00D04F03"/>
    <w:rsid w:val="00D05039"/>
    <w:rsid w:val="00D0570D"/>
    <w:rsid w:val="00D05E1F"/>
    <w:rsid w:val="00D05F2D"/>
    <w:rsid w:val="00D06A42"/>
    <w:rsid w:val="00D073D7"/>
    <w:rsid w:val="00D104AC"/>
    <w:rsid w:val="00D11153"/>
    <w:rsid w:val="00D11946"/>
    <w:rsid w:val="00D120CD"/>
    <w:rsid w:val="00D12B7F"/>
    <w:rsid w:val="00D131C4"/>
    <w:rsid w:val="00D13558"/>
    <w:rsid w:val="00D138E7"/>
    <w:rsid w:val="00D142EB"/>
    <w:rsid w:val="00D1530A"/>
    <w:rsid w:val="00D156ED"/>
    <w:rsid w:val="00D158FE"/>
    <w:rsid w:val="00D16BD2"/>
    <w:rsid w:val="00D16D37"/>
    <w:rsid w:val="00D16FB7"/>
    <w:rsid w:val="00D172CA"/>
    <w:rsid w:val="00D17838"/>
    <w:rsid w:val="00D20E64"/>
    <w:rsid w:val="00D212FE"/>
    <w:rsid w:val="00D22547"/>
    <w:rsid w:val="00D234C4"/>
    <w:rsid w:val="00D257B9"/>
    <w:rsid w:val="00D2601F"/>
    <w:rsid w:val="00D26A70"/>
    <w:rsid w:val="00D27148"/>
    <w:rsid w:val="00D273C6"/>
    <w:rsid w:val="00D275B3"/>
    <w:rsid w:val="00D3030A"/>
    <w:rsid w:val="00D30432"/>
    <w:rsid w:val="00D309FC"/>
    <w:rsid w:val="00D318C8"/>
    <w:rsid w:val="00D31CF9"/>
    <w:rsid w:val="00D3218B"/>
    <w:rsid w:val="00D32E4F"/>
    <w:rsid w:val="00D339BB"/>
    <w:rsid w:val="00D34171"/>
    <w:rsid w:val="00D35E52"/>
    <w:rsid w:val="00D362D6"/>
    <w:rsid w:val="00D368B5"/>
    <w:rsid w:val="00D3767A"/>
    <w:rsid w:val="00D40067"/>
    <w:rsid w:val="00D403FB"/>
    <w:rsid w:val="00D40DF0"/>
    <w:rsid w:val="00D41177"/>
    <w:rsid w:val="00D41366"/>
    <w:rsid w:val="00D41ACA"/>
    <w:rsid w:val="00D41BB2"/>
    <w:rsid w:val="00D424CA"/>
    <w:rsid w:val="00D42DA0"/>
    <w:rsid w:val="00D42DC2"/>
    <w:rsid w:val="00D4330A"/>
    <w:rsid w:val="00D434AC"/>
    <w:rsid w:val="00D440E3"/>
    <w:rsid w:val="00D4444E"/>
    <w:rsid w:val="00D44D6A"/>
    <w:rsid w:val="00D4555E"/>
    <w:rsid w:val="00D45EF9"/>
    <w:rsid w:val="00D45FA6"/>
    <w:rsid w:val="00D46F47"/>
    <w:rsid w:val="00D4786C"/>
    <w:rsid w:val="00D51961"/>
    <w:rsid w:val="00D51CC2"/>
    <w:rsid w:val="00D5277B"/>
    <w:rsid w:val="00D54D7C"/>
    <w:rsid w:val="00D5501B"/>
    <w:rsid w:val="00D552B8"/>
    <w:rsid w:val="00D55333"/>
    <w:rsid w:val="00D55D75"/>
    <w:rsid w:val="00D570D7"/>
    <w:rsid w:val="00D57B21"/>
    <w:rsid w:val="00D60F59"/>
    <w:rsid w:val="00D61DAA"/>
    <w:rsid w:val="00D61DDF"/>
    <w:rsid w:val="00D625AF"/>
    <w:rsid w:val="00D62B80"/>
    <w:rsid w:val="00D63622"/>
    <w:rsid w:val="00D63F6C"/>
    <w:rsid w:val="00D6448D"/>
    <w:rsid w:val="00D6518B"/>
    <w:rsid w:val="00D666B3"/>
    <w:rsid w:val="00D70FEB"/>
    <w:rsid w:val="00D72175"/>
    <w:rsid w:val="00D72D62"/>
    <w:rsid w:val="00D738ED"/>
    <w:rsid w:val="00D73C12"/>
    <w:rsid w:val="00D747B5"/>
    <w:rsid w:val="00D749B1"/>
    <w:rsid w:val="00D749B3"/>
    <w:rsid w:val="00D74AEC"/>
    <w:rsid w:val="00D75B73"/>
    <w:rsid w:val="00D75E2E"/>
    <w:rsid w:val="00D76EA9"/>
    <w:rsid w:val="00D77401"/>
    <w:rsid w:val="00D7793C"/>
    <w:rsid w:val="00D77FB6"/>
    <w:rsid w:val="00D8047A"/>
    <w:rsid w:val="00D80794"/>
    <w:rsid w:val="00D80F26"/>
    <w:rsid w:val="00D8113D"/>
    <w:rsid w:val="00D815E1"/>
    <w:rsid w:val="00D8191A"/>
    <w:rsid w:val="00D8241E"/>
    <w:rsid w:val="00D82D88"/>
    <w:rsid w:val="00D838BA"/>
    <w:rsid w:val="00D83A6D"/>
    <w:rsid w:val="00D83EB4"/>
    <w:rsid w:val="00D84A7A"/>
    <w:rsid w:val="00D8500B"/>
    <w:rsid w:val="00D85B4B"/>
    <w:rsid w:val="00D85C1D"/>
    <w:rsid w:val="00D86C33"/>
    <w:rsid w:val="00D9083D"/>
    <w:rsid w:val="00D90CF2"/>
    <w:rsid w:val="00D914C7"/>
    <w:rsid w:val="00D91521"/>
    <w:rsid w:val="00D91E15"/>
    <w:rsid w:val="00D91FF3"/>
    <w:rsid w:val="00D92406"/>
    <w:rsid w:val="00D92BB9"/>
    <w:rsid w:val="00D92FAA"/>
    <w:rsid w:val="00D93336"/>
    <w:rsid w:val="00D935C0"/>
    <w:rsid w:val="00D940DF"/>
    <w:rsid w:val="00D940EA"/>
    <w:rsid w:val="00D94DF7"/>
    <w:rsid w:val="00D94EF4"/>
    <w:rsid w:val="00D9576F"/>
    <w:rsid w:val="00D95E0D"/>
    <w:rsid w:val="00D96240"/>
    <w:rsid w:val="00D963A6"/>
    <w:rsid w:val="00D9726B"/>
    <w:rsid w:val="00D97776"/>
    <w:rsid w:val="00D97D25"/>
    <w:rsid w:val="00D97E57"/>
    <w:rsid w:val="00DA0651"/>
    <w:rsid w:val="00DA068F"/>
    <w:rsid w:val="00DA13A4"/>
    <w:rsid w:val="00DA2018"/>
    <w:rsid w:val="00DA225C"/>
    <w:rsid w:val="00DA318C"/>
    <w:rsid w:val="00DA4DBB"/>
    <w:rsid w:val="00DA4E39"/>
    <w:rsid w:val="00DA4F3C"/>
    <w:rsid w:val="00DA53B7"/>
    <w:rsid w:val="00DA5C4B"/>
    <w:rsid w:val="00DA6B77"/>
    <w:rsid w:val="00DA7A1B"/>
    <w:rsid w:val="00DB115E"/>
    <w:rsid w:val="00DB1378"/>
    <w:rsid w:val="00DB29ED"/>
    <w:rsid w:val="00DB2DE5"/>
    <w:rsid w:val="00DB2DF5"/>
    <w:rsid w:val="00DB2E0D"/>
    <w:rsid w:val="00DB2F46"/>
    <w:rsid w:val="00DB308A"/>
    <w:rsid w:val="00DB35F8"/>
    <w:rsid w:val="00DB43CC"/>
    <w:rsid w:val="00DB4CE0"/>
    <w:rsid w:val="00DB582F"/>
    <w:rsid w:val="00DB6012"/>
    <w:rsid w:val="00DB6F81"/>
    <w:rsid w:val="00DB72EE"/>
    <w:rsid w:val="00DB7939"/>
    <w:rsid w:val="00DB7B21"/>
    <w:rsid w:val="00DC04C9"/>
    <w:rsid w:val="00DC06B7"/>
    <w:rsid w:val="00DC0CF4"/>
    <w:rsid w:val="00DC1ACE"/>
    <w:rsid w:val="00DC20BE"/>
    <w:rsid w:val="00DC3F80"/>
    <w:rsid w:val="00DC49FC"/>
    <w:rsid w:val="00DC5189"/>
    <w:rsid w:val="00DC67AF"/>
    <w:rsid w:val="00DC68B1"/>
    <w:rsid w:val="00DC68F0"/>
    <w:rsid w:val="00DC7EB8"/>
    <w:rsid w:val="00DD0422"/>
    <w:rsid w:val="00DD136B"/>
    <w:rsid w:val="00DD1B1E"/>
    <w:rsid w:val="00DD2554"/>
    <w:rsid w:val="00DD28E2"/>
    <w:rsid w:val="00DD2B46"/>
    <w:rsid w:val="00DD2C40"/>
    <w:rsid w:val="00DD335B"/>
    <w:rsid w:val="00DD4871"/>
    <w:rsid w:val="00DD5308"/>
    <w:rsid w:val="00DD5728"/>
    <w:rsid w:val="00DD5F8E"/>
    <w:rsid w:val="00DD6052"/>
    <w:rsid w:val="00DD654B"/>
    <w:rsid w:val="00DD65E0"/>
    <w:rsid w:val="00DD673D"/>
    <w:rsid w:val="00DD7939"/>
    <w:rsid w:val="00DE0332"/>
    <w:rsid w:val="00DE05FB"/>
    <w:rsid w:val="00DE0F80"/>
    <w:rsid w:val="00DE1E37"/>
    <w:rsid w:val="00DE23D8"/>
    <w:rsid w:val="00DE2599"/>
    <w:rsid w:val="00DE284C"/>
    <w:rsid w:val="00DE296E"/>
    <w:rsid w:val="00DE3DDC"/>
    <w:rsid w:val="00DE4BEB"/>
    <w:rsid w:val="00DE5221"/>
    <w:rsid w:val="00DE53EF"/>
    <w:rsid w:val="00DE576B"/>
    <w:rsid w:val="00DE5C2D"/>
    <w:rsid w:val="00DE71CB"/>
    <w:rsid w:val="00DF1552"/>
    <w:rsid w:val="00DF2E1E"/>
    <w:rsid w:val="00DF2FF0"/>
    <w:rsid w:val="00DF38A5"/>
    <w:rsid w:val="00DF5DBA"/>
    <w:rsid w:val="00DF6A6C"/>
    <w:rsid w:val="00DF7138"/>
    <w:rsid w:val="00DF77DE"/>
    <w:rsid w:val="00E002DE"/>
    <w:rsid w:val="00E00641"/>
    <w:rsid w:val="00E0095A"/>
    <w:rsid w:val="00E00ADC"/>
    <w:rsid w:val="00E00EE9"/>
    <w:rsid w:val="00E01C03"/>
    <w:rsid w:val="00E01C49"/>
    <w:rsid w:val="00E02A90"/>
    <w:rsid w:val="00E0370E"/>
    <w:rsid w:val="00E039AF"/>
    <w:rsid w:val="00E039B6"/>
    <w:rsid w:val="00E040EE"/>
    <w:rsid w:val="00E0470D"/>
    <w:rsid w:val="00E048AB"/>
    <w:rsid w:val="00E04D96"/>
    <w:rsid w:val="00E04FE8"/>
    <w:rsid w:val="00E05902"/>
    <w:rsid w:val="00E06215"/>
    <w:rsid w:val="00E0626C"/>
    <w:rsid w:val="00E06287"/>
    <w:rsid w:val="00E07440"/>
    <w:rsid w:val="00E0799F"/>
    <w:rsid w:val="00E07D65"/>
    <w:rsid w:val="00E10F11"/>
    <w:rsid w:val="00E10F8A"/>
    <w:rsid w:val="00E11A95"/>
    <w:rsid w:val="00E123C9"/>
    <w:rsid w:val="00E12C93"/>
    <w:rsid w:val="00E12EBA"/>
    <w:rsid w:val="00E130C0"/>
    <w:rsid w:val="00E13B1B"/>
    <w:rsid w:val="00E14072"/>
    <w:rsid w:val="00E1538A"/>
    <w:rsid w:val="00E154C2"/>
    <w:rsid w:val="00E15531"/>
    <w:rsid w:val="00E15648"/>
    <w:rsid w:val="00E15BD2"/>
    <w:rsid w:val="00E15E8D"/>
    <w:rsid w:val="00E1665C"/>
    <w:rsid w:val="00E168CC"/>
    <w:rsid w:val="00E1794B"/>
    <w:rsid w:val="00E17D30"/>
    <w:rsid w:val="00E21DFC"/>
    <w:rsid w:val="00E22E78"/>
    <w:rsid w:val="00E22EE8"/>
    <w:rsid w:val="00E234D9"/>
    <w:rsid w:val="00E24780"/>
    <w:rsid w:val="00E24B60"/>
    <w:rsid w:val="00E24BE0"/>
    <w:rsid w:val="00E24C24"/>
    <w:rsid w:val="00E24E4F"/>
    <w:rsid w:val="00E25857"/>
    <w:rsid w:val="00E25FD0"/>
    <w:rsid w:val="00E26F0A"/>
    <w:rsid w:val="00E27635"/>
    <w:rsid w:val="00E30A93"/>
    <w:rsid w:val="00E31954"/>
    <w:rsid w:val="00E31B0D"/>
    <w:rsid w:val="00E324A5"/>
    <w:rsid w:val="00E328E9"/>
    <w:rsid w:val="00E332DA"/>
    <w:rsid w:val="00E340EA"/>
    <w:rsid w:val="00E342DC"/>
    <w:rsid w:val="00E34FC0"/>
    <w:rsid w:val="00E35094"/>
    <w:rsid w:val="00E36B1C"/>
    <w:rsid w:val="00E36CF8"/>
    <w:rsid w:val="00E373A8"/>
    <w:rsid w:val="00E40073"/>
    <w:rsid w:val="00E4079B"/>
    <w:rsid w:val="00E40EA7"/>
    <w:rsid w:val="00E418C7"/>
    <w:rsid w:val="00E41C47"/>
    <w:rsid w:val="00E42EEA"/>
    <w:rsid w:val="00E44450"/>
    <w:rsid w:val="00E44495"/>
    <w:rsid w:val="00E451AD"/>
    <w:rsid w:val="00E451CD"/>
    <w:rsid w:val="00E45B1E"/>
    <w:rsid w:val="00E45B60"/>
    <w:rsid w:val="00E460B9"/>
    <w:rsid w:val="00E46327"/>
    <w:rsid w:val="00E46338"/>
    <w:rsid w:val="00E47EE5"/>
    <w:rsid w:val="00E5295A"/>
    <w:rsid w:val="00E529A6"/>
    <w:rsid w:val="00E52E2F"/>
    <w:rsid w:val="00E56974"/>
    <w:rsid w:val="00E56CCA"/>
    <w:rsid w:val="00E60064"/>
    <w:rsid w:val="00E610D1"/>
    <w:rsid w:val="00E61A86"/>
    <w:rsid w:val="00E61E8D"/>
    <w:rsid w:val="00E61EB4"/>
    <w:rsid w:val="00E6296D"/>
    <w:rsid w:val="00E62D2E"/>
    <w:rsid w:val="00E64054"/>
    <w:rsid w:val="00E64B1D"/>
    <w:rsid w:val="00E64D5A"/>
    <w:rsid w:val="00E66720"/>
    <w:rsid w:val="00E6720A"/>
    <w:rsid w:val="00E673D6"/>
    <w:rsid w:val="00E67919"/>
    <w:rsid w:val="00E67C7F"/>
    <w:rsid w:val="00E70D82"/>
    <w:rsid w:val="00E7116A"/>
    <w:rsid w:val="00E7167F"/>
    <w:rsid w:val="00E717B2"/>
    <w:rsid w:val="00E720DE"/>
    <w:rsid w:val="00E72319"/>
    <w:rsid w:val="00E723B6"/>
    <w:rsid w:val="00E724EA"/>
    <w:rsid w:val="00E726BB"/>
    <w:rsid w:val="00E72E87"/>
    <w:rsid w:val="00E731D3"/>
    <w:rsid w:val="00E732D7"/>
    <w:rsid w:val="00E73C36"/>
    <w:rsid w:val="00E74BE0"/>
    <w:rsid w:val="00E74DA1"/>
    <w:rsid w:val="00E74DFC"/>
    <w:rsid w:val="00E753F9"/>
    <w:rsid w:val="00E7546C"/>
    <w:rsid w:val="00E75A60"/>
    <w:rsid w:val="00E76013"/>
    <w:rsid w:val="00E77B1E"/>
    <w:rsid w:val="00E80431"/>
    <w:rsid w:val="00E80498"/>
    <w:rsid w:val="00E80BC7"/>
    <w:rsid w:val="00E8134A"/>
    <w:rsid w:val="00E81502"/>
    <w:rsid w:val="00E82412"/>
    <w:rsid w:val="00E82546"/>
    <w:rsid w:val="00E82E7B"/>
    <w:rsid w:val="00E83878"/>
    <w:rsid w:val="00E83D0F"/>
    <w:rsid w:val="00E83D10"/>
    <w:rsid w:val="00E84581"/>
    <w:rsid w:val="00E84A75"/>
    <w:rsid w:val="00E868FA"/>
    <w:rsid w:val="00E86C3F"/>
    <w:rsid w:val="00E875D6"/>
    <w:rsid w:val="00E90D81"/>
    <w:rsid w:val="00E90F73"/>
    <w:rsid w:val="00E93852"/>
    <w:rsid w:val="00E94283"/>
    <w:rsid w:val="00E942CE"/>
    <w:rsid w:val="00E9477D"/>
    <w:rsid w:val="00E9478A"/>
    <w:rsid w:val="00E94B41"/>
    <w:rsid w:val="00E95035"/>
    <w:rsid w:val="00E950A1"/>
    <w:rsid w:val="00E95798"/>
    <w:rsid w:val="00EA0920"/>
    <w:rsid w:val="00EA18D7"/>
    <w:rsid w:val="00EA1B91"/>
    <w:rsid w:val="00EA2064"/>
    <w:rsid w:val="00EA24E4"/>
    <w:rsid w:val="00EA2A61"/>
    <w:rsid w:val="00EA463A"/>
    <w:rsid w:val="00EA47D8"/>
    <w:rsid w:val="00EA4986"/>
    <w:rsid w:val="00EA6840"/>
    <w:rsid w:val="00EA6DEF"/>
    <w:rsid w:val="00EA6E8D"/>
    <w:rsid w:val="00EA720E"/>
    <w:rsid w:val="00EA76DD"/>
    <w:rsid w:val="00EB04CE"/>
    <w:rsid w:val="00EB0870"/>
    <w:rsid w:val="00EB0B8E"/>
    <w:rsid w:val="00EB1022"/>
    <w:rsid w:val="00EB12AF"/>
    <w:rsid w:val="00EB1362"/>
    <w:rsid w:val="00EB1A21"/>
    <w:rsid w:val="00EB1CBE"/>
    <w:rsid w:val="00EB4A4A"/>
    <w:rsid w:val="00EB531C"/>
    <w:rsid w:val="00EB5329"/>
    <w:rsid w:val="00EB5A4E"/>
    <w:rsid w:val="00EB5E4E"/>
    <w:rsid w:val="00EB5F3D"/>
    <w:rsid w:val="00EB6763"/>
    <w:rsid w:val="00EB6A7A"/>
    <w:rsid w:val="00EB7447"/>
    <w:rsid w:val="00EB7B05"/>
    <w:rsid w:val="00EB7C6D"/>
    <w:rsid w:val="00EB7EA4"/>
    <w:rsid w:val="00EC0B2C"/>
    <w:rsid w:val="00EC13A4"/>
    <w:rsid w:val="00EC17DC"/>
    <w:rsid w:val="00EC1D06"/>
    <w:rsid w:val="00EC1F40"/>
    <w:rsid w:val="00EC2474"/>
    <w:rsid w:val="00EC275A"/>
    <w:rsid w:val="00EC2BD5"/>
    <w:rsid w:val="00EC3058"/>
    <w:rsid w:val="00EC4C5E"/>
    <w:rsid w:val="00EC585D"/>
    <w:rsid w:val="00EC63D2"/>
    <w:rsid w:val="00EC70CF"/>
    <w:rsid w:val="00ED0AD8"/>
    <w:rsid w:val="00ED2298"/>
    <w:rsid w:val="00ED23B0"/>
    <w:rsid w:val="00ED2463"/>
    <w:rsid w:val="00ED3829"/>
    <w:rsid w:val="00ED3DF2"/>
    <w:rsid w:val="00ED3F54"/>
    <w:rsid w:val="00ED4D58"/>
    <w:rsid w:val="00ED605D"/>
    <w:rsid w:val="00ED6403"/>
    <w:rsid w:val="00ED7446"/>
    <w:rsid w:val="00ED7AB8"/>
    <w:rsid w:val="00EE090C"/>
    <w:rsid w:val="00EE1925"/>
    <w:rsid w:val="00EE1972"/>
    <w:rsid w:val="00EE278E"/>
    <w:rsid w:val="00EE2920"/>
    <w:rsid w:val="00EE36C0"/>
    <w:rsid w:val="00EE55FB"/>
    <w:rsid w:val="00EE5A6F"/>
    <w:rsid w:val="00EE5F5C"/>
    <w:rsid w:val="00EE6077"/>
    <w:rsid w:val="00EE6B60"/>
    <w:rsid w:val="00EE6FF8"/>
    <w:rsid w:val="00EE7408"/>
    <w:rsid w:val="00EF0F34"/>
    <w:rsid w:val="00EF16C7"/>
    <w:rsid w:val="00EF1860"/>
    <w:rsid w:val="00EF2C06"/>
    <w:rsid w:val="00EF4022"/>
    <w:rsid w:val="00EF4861"/>
    <w:rsid w:val="00EF4AB2"/>
    <w:rsid w:val="00EF5493"/>
    <w:rsid w:val="00EF5A8C"/>
    <w:rsid w:val="00EF5F5E"/>
    <w:rsid w:val="00EF6C9F"/>
    <w:rsid w:val="00EF7AF1"/>
    <w:rsid w:val="00EF7D67"/>
    <w:rsid w:val="00F00427"/>
    <w:rsid w:val="00F008FA"/>
    <w:rsid w:val="00F01309"/>
    <w:rsid w:val="00F01502"/>
    <w:rsid w:val="00F020B3"/>
    <w:rsid w:val="00F02F5C"/>
    <w:rsid w:val="00F03755"/>
    <w:rsid w:val="00F0391B"/>
    <w:rsid w:val="00F03E1C"/>
    <w:rsid w:val="00F04733"/>
    <w:rsid w:val="00F04752"/>
    <w:rsid w:val="00F04C0A"/>
    <w:rsid w:val="00F05070"/>
    <w:rsid w:val="00F051AC"/>
    <w:rsid w:val="00F05A15"/>
    <w:rsid w:val="00F063AA"/>
    <w:rsid w:val="00F0725D"/>
    <w:rsid w:val="00F0747C"/>
    <w:rsid w:val="00F07EB2"/>
    <w:rsid w:val="00F110CC"/>
    <w:rsid w:val="00F11557"/>
    <w:rsid w:val="00F11AA4"/>
    <w:rsid w:val="00F13710"/>
    <w:rsid w:val="00F13FAF"/>
    <w:rsid w:val="00F15013"/>
    <w:rsid w:val="00F15B68"/>
    <w:rsid w:val="00F15CC9"/>
    <w:rsid w:val="00F2079B"/>
    <w:rsid w:val="00F20E74"/>
    <w:rsid w:val="00F21224"/>
    <w:rsid w:val="00F215F3"/>
    <w:rsid w:val="00F22577"/>
    <w:rsid w:val="00F230A8"/>
    <w:rsid w:val="00F23B39"/>
    <w:rsid w:val="00F24163"/>
    <w:rsid w:val="00F2506F"/>
    <w:rsid w:val="00F2649A"/>
    <w:rsid w:val="00F26CC6"/>
    <w:rsid w:val="00F30491"/>
    <w:rsid w:val="00F30BFA"/>
    <w:rsid w:val="00F30F73"/>
    <w:rsid w:val="00F31038"/>
    <w:rsid w:val="00F31FAD"/>
    <w:rsid w:val="00F32121"/>
    <w:rsid w:val="00F3217B"/>
    <w:rsid w:val="00F32D85"/>
    <w:rsid w:val="00F3302E"/>
    <w:rsid w:val="00F33714"/>
    <w:rsid w:val="00F3406B"/>
    <w:rsid w:val="00F3444A"/>
    <w:rsid w:val="00F35376"/>
    <w:rsid w:val="00F361DA"/>
    <w:rsid w:val="00F361DC"/>
    <w:rsid w:val="00F37195"/>
    <w:rsid w:val="00F37559"/>
    <w:rsid w:val="00F37BBC"/>
    <w:rsid w:val="00F40841"/>
    <w:rsid w:val="00F40B79"/>
    <w:rsid w:val="00F40F4B"/>
    <w:rsid w:val="00F4193A"/>
    <w:rsid w:val="00F42260"/>
    <w:rsid w:val="00F4250B"/>
    <w:rsid w:val="00F43336"/>
    <w:rsid w:val="00F4360C"/>
    <w:rsid w:val="00F442F1"/>
    <w:rsid w:val="00F44309"/>
    <w:rsid w:val="00F4432A"/>
    <w:rsid w:val="00F4469E"/>
    <w:rsid w:val="00F44988"/>
    <w:rsid w:val="00F44C05"/>
    <w:rsid w:val="00F44E8B"/>
    <w:rsid w:val="00F44F3D"/>
    <w:rsid w:val="00F44F9D"/>
    <w:rsid w:val="00F456B1"/>
    <w:rsid w:val="00F46E9E"/>
    <w:rsid w:val="00F47060"/>
    <w:rsid w:val="00F47202"/>
    <w:rsid w:val="00F5042D"/>
    <w:rsid w:val="00F52277"/>
    <w:rsid w:val="00F526E1"/>
    <w:rsid w:val="00F52E58"/>
    <w:rsid w:val="00F531F4"/>
    <w:rsid w:val="00F5349F"/>
    <w:rsid w:val="00F53FD0"/>
    <w:rsid w:val="00F54584"/>
    <w:rsid w:val="00F5538A"/>
    <w:rsid w:val="00F556FC"/>
    <w:rsid w:val="00F55B33"/>
    <w:rsid w:val="00F5609A"/>
    <w:rsid w:val="00F57019"/>
    <w:rsid w:val="00F57498"/>
    <w:rsid w:val="00F57732"/>
    <w:rsid w:val="00F57D51"/>
    <w:rsid w:val="00F607A9"/>
    <w:rsid w:val="00F60F64"/>
    <w:rsid w:val="00F611EC"/>
    <w:rsid w:val="00F62BB4"/>
    <w:rsid w:val="00F62F12"/>
    <w:rsid w:val="00F62FC8"/>
    <w:rsid w:val="00F639C4"/>
    <w:rsid w:val="00F64972"/>
    <w:rsid w:val="00F649AD"/>
    <w:rsid w:val="00F66A51"/>
    <w:rsid w:val="00F66B2C"/>
    <w:rsid w:val="00F66F71"/>
    <w:rsid w:val="00F67132"/>
    <w:rsid w:val="00F70076"/>
    <w:rsid w:val="00F702C7"/>
    <w:rsid w:val="00F704A1"/>
    <w:rsid w:val="00F7232C"/>
    <w:rsid w:val="00F72521"/>
    <w:rsid w:val="00F7345D"/>
    <w:rsid w:val="00F74126"/>
    <w:rsid w:val="00F74DE3"/>
    <w:rsid w:val="00F75862"/>
    <w:rsid w:val="00F75DBA"/>
    <w:rsid w:val="00F776D3"/>
    <w:rsid w:val="00F77E89"/>
    <w:rsid w:val="00F80386"/>
    <w:rsid w:val="00F80638"/>
    <w:rsid w:val="00F822CA"/>
    <w:rsid w:val="00F829BF"/>
    <w:rsid w:val="00F82EF9"/>
    <w:rsid w:val="00F834E4"/>
    <w:rsid w:val="00F84A7F"/>
    <w:rsid w:val="00F84AF2"/>
    <w:rsid w:val="00F85321"/>
    <w:rsid w:val="00F85BE4"/>
    <w:rsid w:val="00F85E81"/>
    <w:rsid w:val="00F86618"/>
    <w:rsid w:val="00F876D2"/>
    <w:rsid w:val="00F90628"/>
    <w:rsid w:val="00F92AFB"/>
    <w:rsid w:val="00F92DBB"/>
    <w:rsid w:val="00F93839"/>
    <w:rsid w:val="00F93D8B"/>
    <w:rsid w:val="00F94180"/>
    <w:rsid w:val="00F9454C"/>
    <w:rsid w:val="00F9515C"/>
    <w:rsid w:val="00F95CF4"/>
    <w:rsid w:val="00F95FAA"/>
    <w:rsid w:val="00F96911"/>
    <w:rsid w:val="00FA0135"/>
    <w:rsid w:val="00FA1F0D"/>
    <w:rsid w:val="00FA23AB"/>
    <w:rsid w:val="00FA2583"/>
    <w:rsid w:val="00FA42C1"/>
    <w:rsid w:val="00FA4783"/>
    <w:rsid w:val="00FA4E3C"/>
    <w:rsid w:val="00FA4E99"/>
    <w:rsid w:val="00FA61BD"/>
    <w:rsid w:val="00FA6CA4"/>
    <w:rsid w:val="00FA7764"/>
    <w:rsid w:val="00FA7EB3"/>
    <w:rsid w:val="00FB002C"/>
    <w:rsid w:val="00FB102E"/>
    <w:rsid w:val="00FB1CBB"/>
    <w:rsid w:val="00FB1D95"/>
    <w:rsid w:val="00FB20EC"/>
    <w:rsid w:val="00FB219B"/>
    <w:rsid w:val="00FB22DD"/>
    <w:rsid w:val="00FB5429"/>
    <w:rsid w:val="00FB5F22"/>
    <w:rsid w:val="00FB621E"/>
    <w:rsid w:val="00FB7426"/>
    <w:rsid w:val="00FC04A1"/>
    <w:rsid w:val="00FC21B1"/>
    <w:rsid w:val="00FC2733"/>
    <w:rsid w:val="00FC2A11"/>
    <w:rsid w:val="00FC2BBE"/>
    <w:rsid w:val="00FC303B"/>
    <w:rsid w:val="00FC3555"/>
    <w:rsid w:val="00FC41CD"/>
    <w:rsid w:val="00FC49ED"/>
    <w:rsid w:val="00FC67DD"/>
    <w:rsid w:val="00FC68DB"/>
    <w:rsid w:val="00FC7911"/>
    <w:rsid w:val="00FD030F"/>
    <w:rsid w:val="00FD0D77"/>
    <w:rsid w:val="00FD150D"/>
    <w:rsid w:val="00FD1A7E"/>
    <w:rsid w:val="00FD20BE"/>
    <w:rsid w:val="00FD286D"/>
    <w:rsid w:val="00FD2CD9"/>
    <w:rsid w:val="00FD3108"/>
    <w:rsid w:val="00FD34AD"/>
    <w:rsid w:val="00FD4304"/>
    <w:rsid w:val="00FD664A"/>
    <w:rsid w:val="00FD694B"/>
    <w:rsid w:val="00FD6C72"/>
    <w:rsid w:val="00FD7051"/>
    <w:rsid w:val="00FD7B1F"/>
    <w:rsid w:val="00FE0199"/>
    <w:rsid w:val="00FE056E"/>
    <w:rsid w:val="00FE0BF7"/>
    <w:rsid w:val="00FE1264"/>
    <w:rsid w:val="00FE1A2A"/>
    <w:rsid w:val="00FE20AA"/>
    <w:rsid w:val="00FE43D4"/>
    <w:rsid w:val="00FE449D"/>
    <w:rsid w:val="00FE52AC"/>
    <w:rsid w:val="00FE58AD"/>
    <w:rsid w:val="00FE5ED1"/>
    <w:rsid w:val="00FE6029"/>
    <w:rsid w:val="00FE6266"/>
    <w:rsid w:val="00FE6578"/>
    <w:rsid w:val="00FE6C7B"/>
    <w:rsid w:val="00FE6E41"/>
    <w:rsid w:val="00FF0874"/>
    <w:rsid w:val="00FF0B1F"/>
    <w:rsid w:val="00FF10F2"/>
    <w:rsid w:val="00FF1950"/>
    <w:rsid w:val="00FF1ADE"/>
    <w:rsid w:val="00FF1E2B"/>
    <w:rsid w:val="00FF1EBA"/>
    <w:rsid w:val="00FF25B8"/>
    <w:rsid w:val="00FF2EFD"/>
    <w:rsid w:val="00FF362D"/>
    <w:rsid w:val="00FF3880"/>
    <w:rsid w:val="00FF3D31"/>
    <w:rsid w:val="00FF59F5"/>
    <w:rsid w:val="00FF63ED"/>
    <w:rsid w:val="00FF78F0"/>
    <w:rsid w:val="00FF7D41"/>
    <w:rsid w:val="06A57FD9"/>
    <w:rsid w:val="0B904E5A"/>
    <w:rsid w:val="0F7F297E"/>
    <w:rsid w:val="192DF94A"/>
    <w:rsid w:val="466B510E"/>
    <w:rsid w:val="50E4E064"/>
    <w:rsid w:val="70C412A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E5B9284"/>
  <w15:docId w15:val="{2E6F6041-DEC8-496B-ACF7-8A697809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75B1C"/>
    <w:pPr>
      <w:widowControl w:val="0"/>
      <w:autoSpaceDE w:val="0"/>
      <w:autoSpaceDN w:val="0"/>
      <w:adjustRightInd w:val="0"/>
    </w:pPr>
    <w:rPr>
      <w:b/>
      <w:bCs/>
    </w:rPr>
  </w:style>
  <w:style w:type="paragraph" w:styleId="Heading1">
    <w:name w:val="heading 1"/>
    <w:basedOn w:val="Normal"/>
    <w:next w:val="Normal"/>
    <w:uiPriority w:val="9"/>
    <w:qFormat/>
    <w:pPr>
      <w:keepNext/>
      <w:outlineLvl w:val="0"/>
    </w:pPr>
    <w:rPr>
      <w:sz w:val="24"/>
    </w:rPr>
  </w:style>
  <w:style w:type="paragraph" w:styleId="Heading2">
    <w:name w:val="heading 2"/>
    <w:basedOn w:val="Normal"/>
    <w:next w:val="Normal"/>
    <w:uiPriority w:val="9"/>
    <w:qFormat/>
    <w:pPr>
      <w:keepNext/>
      <w:widowControl/>
      <w:ind w:left="720"/>
      <w:outlineLvl w:val="1"/>
    </w:pPr>
    <w:rPr>
      <w:b w:val="0"/>
      <w:bCs w:val="0"/>
      <w:sz w:val="24"/>
    </w:rPr>
  </w:style>
  <w:style w:type="paragraph" w:styleId="Heading3">
    <w:name w:val="heading 3"/>
    <w:basedOn w:val="Normal"/>
    <w:next w:val="Normal"/>
    <w:uiPriority w:val="9"/>
    <w:qFormat/>
    <w:pPr>
      <w:keepNext/>
      <w:widowControl/>
      <w:tabs>
        <w:tab w:val="left" w:pos="-1440"/>
      </w:tabs>
      <w:ind w:left="720" w:hanging="720"/>
      <w:outlineLvl w:val="2"/>
    </w:pPr>
    <w:rPr>
      <w:sz w:val="24"/>
    </w:rPr>
  </w:style>
  <w:style w:type="paragraph" w:styleId="Heading4">
    <w:name w:val="heading 4"/>
    <w:basedOn w:val="Normal"/>
    <w:next w:val="Normal"/>
    <w:link w:val="Heading4Char"/>
    <w:uiPriority w:val="9"/>
    <w:unhideWhenUsed/>
    <w:qFormat/>
    <w:rsid w:val="006E18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E189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E189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EN Footnote Reference,FR,Footnote Reference Superscript,Footnote Reference/,Footnote ReferenceW,Footnote symbol,Footnotes refss,Rimando nota a piè di pagina1,SUPERS,Styl,Style 13,Style 18,Style 49,fr,number,richiamo note eggsi"/>
    <w:qFormat/>
  </w:style>
  <w:style w:type="paragraph" w:customStyle="1" w:styleId="Quick1">
    <w:name w:val="Quick 1."/>
    <w:basedOn w:val="Normal"/>
    <w:pPr>
      <w:numPr>
        <w:numId w:val="2"/>
      </w:numPr>
      <w:ind w:left="720" w:hanging="720"/>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tabs>
        <w:tab w:val="left" w:pos="-1440"/>
      </w:tabs>
      <w:ind w:left="720"/>
    </w:pPr>
    <w:rPr>
      <w:sz w:val="24"/>
    </w:rPr>
  </w:style>
  <w:style w:type="paragraph" w:styleId="BodyTextIndent2">
    <w:name w:val="Body Text Indent 2"/>
    <w:basedOn w:val="Normal"/>
    <w:pPr>
      <w:tabs>
        <w:tab w:val="left" w:pos="-1440"/>
      </w:tabs>
      <w:ind w:left="1440" w:hanging="720"/>
    </w:pPr>
    <w:rPr>
      <w:sz w:val="24"/>
    </w:rPr>
  </w:style>
  <w:style w:type="paragraph" w:styleId="BodyTextIndent3">
    <w:name w:val="Body Text Indent 3"/>
    <w:basedOn w:val="Normal"/>
    <w:pPr>
      <w:ind w:left="720" w:hanging="720"/>
    </w:pPr>
    <w:rPr>
      <w:i/>
      <w:iCs/>
      <w:sz w:val="24"/>
    </w:rPr>
  </w:style>
  <w:style w:type="paragraph" w:styleId="FootnoteText">
    <w:name w:val="footnote text"/>
    <w:aliases w:val=" Char,Char,Char18,Char181,Char182,F1,FT,Footnote Text AG,Footnote Text Char Char,Footnote Text Char Char Char Char,Footnote Text Char1 Char Char,Footnote ak,Footnotes,SD Footnote Text,Style 14,Text,fn,fn - no space,fn1,fnW,footnote text,ft"/>
    <w:basedOn w:val="Normal"/>
    <w:link w:val="FootnoteTextChar"/>
    <w:qFormat/>
    <w:rPr>
      <w:sz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pPr>
    <w:rPr>
      <w:b w:val="0"/>
      <w:bCs w:val="0"/>
      <w:sz w:val="24"/>
    </w:rPr>
  </w:style>
  <w:style w:type="paragraph" w:styleId="BodyText2">
    <w:name w:val="Body Text 2"/>
    <w:basedOn w:val="Normal"/>
    <w:pPr>
      <w:widowControl/>
      <w:tabs>
        <w:tab w:val="left" w:pos="-1440"/>
      </w:tabs>
    </w:pPr>
    <w:rPr>
      <w:b w:val="0"/>
      <w:bCs w:val="0"/>
      <w:i/>
      <w:iCs/>
    </w:rPr>
  </w:style>
  <w:style w:type="paragraph" w:styleId="BodyText3">
    <w:name w:val="Body Text 3"/>
    <w:basedOn w:val="Normal"/>
    <w:pPr>
      <w:widowControl/>
    </w:pPr>
    <w:rPr>
      <w:i/>
      <w:iCs/>
    </w:rPr>
  </w:style>
  <w:style w:type="character" w:styleId="PageNumber">
    <w:name w:val="page number"/>
    <w:basedOn w:val="DefaultParagraphFont"/>
  </w:style>
  <w:style w:type="paragraph" w:styleId="BalloonText">
    <w:name w:val="Balloon Text"/>
    <w:basedOn w:val="Normal"/>
    <w:semiHidden/>
    <w:rsid w:val="00722CF4"/>
    <w:rPr>
      <w:rFonts w:ascii="Tahoma" w:hAnsi="Tahoma" w:cs="Tahoma"/>
      <w:sz w:val="16"/>
      <w:szCs w:val="16"/>
    </w:rPr>
  </w:style>
  <w:style w:type="character" w:styleId="Hyperlink">
    <w:name w:val="Hyperlink"/>
    <w:uiPriority w:val="99"/>
    <w:rsid w:val="008A645C"/>
    <w:rPr>
      <w:color w:val="0000FF"/>
      <w:u w:val="single"/>
    </w:rPr>
  </w:style>
  <w:style w:type="character" w:styleId="FollowedHyperlink">
    <w:name w:val="FollowedHyperlink"/>
    <w:rsid w:val="008A645C"/>
    <w:rPr>
      <w:color w:val="800080"/>
      <w:u w:val="single"/>
    </w:rPr>
  </w:style>
  <w:style w:type="character" w:customStyle="1" w:styleId="footnoteref">
    <w:name w:val="footnote ref"/>
    <w:rsid w:val="00A73525"/>
  </w:style>
  <w:style w:type="paragraph" w:styleId="Caption">
    <w:name w:val="caption"/>
    <w:basedOn w:val="Normal"/>
    <w:next w:val="Normal"/>
    <w:qFormat/>
    <w:rsid w:val="00A6466E"/>
  </w:style>
  <w:style w:type="character" w:customStyle="1" w:styleId="FootnoteTextChar">
    <w:name w:val="Footnote Text Char"/>
    <w:aliases w:val=" Char Char,Char Char,Char18 Char1,Char181 Char,Char182 Char,F1 Char1,FT Char1,Footnote Text AG Char1,Footnote Text Char Char Char Char Char1,Footnote Text Char Char Char1,Footnote Text Char1 Char Char Char,Footnote ak Char1,Text Char"/>
    <w:link w:val="FootnoteText"/>
    <w:uiPriority w:val="99"/>
    <w:rsid w:val="00742A93"/>
    <w:rPr>
      <w:b/>
      <w:bCs/>
      <w:sz w:val="16"/>
      <w:lang w:val="en-US" w:eastAsia="en-US" w:bidi="ar-SA"/>
    </w:rPr>
  </w:style>
  <w:style w:type="character" w:styleId="CommentReference">
    <w:name w:val="annotation reference"/>
    <w:basedOn w:val="DefaultParagraphFont"/>
    <w:uiPriority w:val="99"/>
    <w:rsid w:val="00AD1B6F"/>
    <w:rPr>
      <w:sz w:val="16"/>
      <w:szCs w:val="16"/>
    </w:rPr>
  </w:style>
  <w:style w:type="paragraph" w:styleId="CommentText">
    <w:name w:val="annotation text"/>
    <w:aliases w:val="Times New Roman,t"/>
    <w:basedOn w:val="Normal"/>
    <w:link w:val="CommentTextChar"/>
    <w:uiPriority w:val="99"/>
    <w:qFormat/>
    <w:rsid w:val="00AD1B6F"/>
  </w:style>
  <w:style w:type="character" w:customStyle="1" w:styleId="CommentTextChar">
    <w:name w:val="Comment Text Char"/>
    <w:aliases w:val="Times New Roman Char,t Char"/>
    <w:basedOn w:val="DefaultParagraphFont"/>
    <w:link w:val="CommentText"/>
    <w:uiPriority w:val="99"/>
    <w:rsid w:val="00AD1B6F"/>
    <w:rPr>
      <w:b/>
      <w:bCs/>
    </w:rPr>
  </w:style>
  <w:style w:type="paragraph" w:styleId="CommentSubject">
    <w:name w:val="annotation subject"/>
    <w:basedOn w:val="CommentText"/>
    <w:next w:val="CommentText"/>
    <w:link w:val="CommentSubjectChar"/>
    <w:rsid w:val="00AD1B6F"/>
  </w:style>
  <w:style w:type="character" w:customStyle="1" w:styleId="CommentSubjectChar">
    <w:name w:val="Comment Subject Char"/>
    <w:basedOn w:val="CommentTextChar"/>
    <w:link w:val="CommentSubject"/>
    <w:rsid w:val="00AD1B6F"/>
    <w:rPr>
      <w:b/>
      <w:bCs/>
    </w:rPr>
  </w:style>
  <w:style w:type="paragraph" w:styleId="ListParagraph">
    <w:name w:val="List Paragraph"/>
    <w:basedOn w:val="Normal"/>
    <w:uiPriority w:val="34"/>
    <w:qFormat/>
    <w:rsid w:val="008851BE"/>
    <w:pPr>
      <w:ind w:left="720"/>
      <w:contextualSpacing/>
    </w:pPr>
  </w:style>
  <w:style w:type="paragraph" w:styleId="Revision">
    <w:name w:val="Revision"/>
    <w:hidden/>
    <w:uiPriority w:val="99"/>
    <w:semiHidden/>
    <w:rsid w:val="00F05070"/>
    <w:rPr>
      <w:b/>
      <w:bCs/>
    </w:rPr>
  </w:style>
  <w:style w:type="table" w:styleId="TableGrid">
    <w:name w:val="Table Grid"/>
    <w:basedOn w:val="TableNormal"/>
    <w:rsid w:val="003027B7"/>
    <w:tblPr/>
  </w:style>
  <w:style w:type="character" w:styleId="Emphasis">
    <w:name w:val="Emphasis"/>
    <w:basedOn w:val="DefaultParagraphFont"/>
    <w:qFormat/>
    <w:rsid w:val="00C41F52"/>
    <w:rPr>
      <w:i/>
      <w:iCs/>
    </w:rPr>
  </w:style>
  <w:style w:type="character" w:styleId="UnresolvedMention">
    <w:name w:val="Unresolved Mention"/>
    <w:basedOn w:val="DefaultParagraphFont"/>
    <w:uiPriority w:val="99"/>
    <w:unhideWhenUsed/>
    <w:rsid w:val="00AE54FA"/>
    <w:rPr>
      <w:color w:val="605E5C"/>
      <w:shd w:val="clear" w:color="auto" w:fill="E1DFDD"/>
    </w:rPr>
  </w:style>
  <w:style w:type="character" w:customStyle="1" w:styleId="FootnoteTextChar1">
    <w:name w:val="Footnote Text Char1"/>
    <w:aliases w:val="Char18 Char,F1 Char,FT Char,Footnote Text AG Char,Footnote Text Char Char Char,Footnote Text Char Char Char Char Char,Footnote ak Char,Footnotes Char,SD Footnote Text Char,Style 14 Char,fn Char,fnW Char,footnote text Char,ft Char"/>
    <w:uiPriority w:val="99"/>
    <w:locked/>
    <w:rsid w:val="00F57732"/>
    <w:rPr>
      <w:rFonts w:ascii="Times New Roman" w:eastAsia="Times New Roman" w:hAnsi="Times New Roman" w:cs="Times New Roman"/>
      <w:sz w:val="20"/>
      <w:szCs w:val="20"/>
    </w:rPr>
  </w:style>
  <w:style w:type="character" w:styleId="Mention">
    <w:name w:val="Mention"/>
    <w:basedOn w:val="DefaultParagraphFont"/>
    <w:uiPriority w:val="99"/>
    <w:unhideWhenUsed/>
    <w:rsid w:val="001730BD"/>
    <w:rPr>
      <w:color w:val="2B579A"/>
      <w:shd w:val="clear" w:color="auto" w:fill="E1DFDD"/>
    </w:rPr>
  </w:style>
  <w:style w:type="character" w:customStyle="1" w:styleId="Heading4Char">
    <w:name w:val="Heading 4 Char"/>
    <w:basedOn w:val="DefaultParagraphFont"/>
    <w:link w:val="Heading4"/>
    <w:semiHidden/>
    <w:rsid w:val="006E1899"/>
    <w:rPr>
      <w:rFonts w:asciiTheme="majorHAnsi" w:eastAsiaTheme="majorEastAsia" w:hAnsiTheme="majorHAnsi" w:cstheme="majorBidi"/>
      <w:b/>
      <w:bCs/>
      <w:i/>
      <w:iCs/>
      <w:color w:val="365F91" w:themeColor="accent1" w:themeShade="BF"/>
    </w:rPr>
  </w:style>
  <w:style w:type="character" w:customStyle="1" w:styleId="Heading5Char">
    <w:name w:val="Heading 5 Char"/>
    <w:basedOn w:val="DefaultParagraphFont"/>
    <w:link w:val="Heading5"/>
    <w:semiHidden/>
    <w:rsid w:val="006E1899"/>
    <w:rPr>
      <w:rFonts w:asciiTheme="majorHAnsi" w:eastAsiaTheme="majorEastAsia" w:hAnsiTheme="majorHAnsi" w:cstheme="majorBidi"/>
      <w:b/>
      <w:bCs/>
      <w:color w:val="365F91" w:themeColor="accent1" w:themeShade="BF"/>
    </w:rPr>
  </w:style>
  <w:style w:type="character" w:customStyle="1" w:styleId="Heading6Char">
    <w:name w:val="Heading 6 Char"/>
    <w:basedOn w:val="DefaultParagraphFont"/>
    <w:link w:val="Heading6"/>
    <w:semiHidden/>
    <w:rsid w:val="006E1899"/>
    <w:rPr>
      <w:rFonts w:asciiTheme="majorHAnsi" w:eastAsiaTheme="majorEastAsia" w:hAnsiTheme="majorHAnsi" w:cstheme="majorBidi"/>
      <w:b/>
      <w:bCs/>
      <w:color w:val="243F60" w:themeColor="accent1" w:themeShade="7F"/>
    </w:rPr>
  </w:style>
  <w:style w:type="paragraph" w:customStyle="1" w:styleId="GPOHtml">
    <w:name w:val="GPOHtml"/>
    <w:basedOn w:val="Normal"/>
    <w:rsid w:val="00662510"/>
    <w:pPr>
      <w:widowControl/>
      <w:autoSpaceDE/>
      <w:autoSpaceDN/>
      <w:adjustRightInd/>
      <w:spacing w:after="100" w:afterAutospacing="1" w:line="480" w:lineRule="auto"/>
    </w:pPr>
    <w:rPr>
      <w:rFonts w:ascii="Arial" w:eastAsia="SimSun" w:hAnsi="Arial"/>
      <w:b w:val="0"/>
      <w:bCs w:val="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whitehouse.gov/fact-sheets/2025/04/fact-sheet-president-donald-j-trump-announces-actions-to-lower-prescription-drug-prices/" TargetMode="External" /><Relationship Id="rId10" Type="http://schemas.openxmlformats.org/officeDocument/2006/relationships/hyperlink" Target="https://www.dol.gov/sites/dolgov/files/EBSA/laws-and-regulations/rules-and-regulations/technical-appendices/labor-cost-inputs-used-in-ebsa-opr-ria-and-pra-burden-calculations-june-2019.pdf" TargetMode="External" /><Relationship Id="rId11" Type="http://schemas.openxmlformats.org/officeDocument/2006/relationships/hyperlink" Target="https://nashp.org/state-tracker/state-pharmacy-benefit-manager-legislation/" TargetMode="External" /><Relationship Id="rId12" Type="http://schemas.openxmlformats.org/officeDocument/2006/relationships/hyperlink" Target="https://www.federalregister.gov/documents/2021/11/23/2021-25183/prescription-drug-and-health-care-spending" TargetMode="External" /><Relationship Id="rId13" Type="http://schemas.openxmlformats.org/officeDocument/2006/relationships/hyperlink" Target="https://www.federalregister.gov/documents/2012/05/16/2012-11753/medical-loss-ratio-requirements-under-the-patient-protection-and-affordable-care-act" TargetMode="External" /><Relationship Id="rId14" Type="http://schemas.openxmlformats.org/officeDocument/2006/relationships/hyperlink" Target="https://www.cms.gov/medicare/coverage/prescription-drug-coverage-contracting/part-d-reporting-requirements" TargetMode="External" /><Relationship Id="rId15" Type="http://schemas.openxmlformats.org/officeDocument/2006/relationships/hyperlink" Target="https://www.federalregister.gov/documents/2019/11/27/2019-24931/medicare-and-medicaid-programs-cy-2020-hospital-outpatient-pps-policy-changes-and-payment-rates-and" TargetMode="External" /><Relationship Id="rId16" Type="http://schemas.openxmlformats.org/officeDocument/2006/relationships/hyperlink" Target="https://us.milliman.com/en/insight/pbm-contracts-understand-then-optimize" TargetMode="External" /><Relationship Id="rId17" Type="http://schemas.openxmlformats.org/officeDocument/2006/relationships/hyperlink" Target="https://www.milliman.com/en/insight/pbm-best-practices-pharmacy-benefits-claims-auditing" TargetMode="External" /><Relationship Id="rId2" Type="http://schemas.openxmlformats.org/officeDocument/2006/relationships/hyperlink" Target="https://www.dol.gov/newsroom/releases/ebsa/ebsa20250522" TargetMode="External" /><Relationship Id="rId3" Type="http://schemas.openxmlformats.org/officeDocument/2006/relationships/hyperlink" Target="https://www.whitehouse.gov/presidential-actions/2025/02/making-america-healthy-again-by-empowering-patients-with-clear-accurate-and-actionable-healthcare-pricing-information/" TargetMode="External" /><Relationship Id="rId4" Type="http://schemas.openxmlformats.org/officeDocument/2006/relationships/hyperlink" Target="https://www.ftc.gov/system/files/ftc_gov/pdf/pharmacy-benefit-managers-staff-report.pdf" TargetMode="External" /><Relationship Id="rId5" Type="http://schemas.openxmlformats.org/officeDocument/2006/relationships/hyperlink" Target="https://www.dol.gov/sites/dolgov/files/ebsa/pdf_files/2014-pbm-compensation-and-fee-disclosure.pdf" TargetMode="External" /><Relationship Id="rId6" Type="http://schemas.openxmlformats.org/officeDocument/2006/relationships/hyperlink" Target="https://www.gao.gov/assets/d24106898.pdf" TargetMode="External" /><Relationship Id="rId7" Type="http://schemas.openxmlformats.org/officeDocument/2006/relationships/hyperlink" Target="https://www.drugchannels.net/2016/12/plan-sponsors-like-more-transparent.html" TargetMode="External" /><Relationship Id="rId8" Type="http://schemas.openxmlformats.org/officeDocument/2006/relationships/hyperlink" Target="https://www.kff.org/report-section/ehbs-2024-section-9-prescription-drug-benefits/" TargetMode="External" /><Relationship Id="rId9" Type="http://schemas.openxmlformats.org/officeDocument/2006/relationships/hyperlink" Target="https://www.cms.gov/marketplace/resources/data/medical-loss-ratio-data-systems-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D72D2FFA849DC42B2A0F9FA0A01678D" ma:contentTypeVersion="15" ma:contentTypeDescription="Create a new document." ma:contentTypeScope="" ma:versionID="93b8dd018c47fb6c103bd4b72f5cc86b">
  <xsd:schema xmlns:xsd="http://www.w3.org/2001/XMLSchema" xmlns:xs="http://www.w3.org/2001/XMLSchema" xmlns:p="http://schemas.microsoft.com/office/2006/metadata/properties" xmlns:ns2="3f770ad9-5eb5-4717-9e53-a4191c0fe3a3" xmlns:ns3="702f922a-4822-456a-81ca-e751b937cee3" xmlns:ns4="bee3cffc-2f53-4e00-a92a-7337a39469a7" targetNamespace="http://schemas.microsoft.com/office/2006/metadata/properties" ma:root="true" ma:fieldsID="00198db2c28fb3d09dcfd7aab6e7c8f6" ns2:_="" ns3:_="" ns4:_="">
    <xsd:import namespace="3f770ad9-5eb5-4717-9e53-a4191c0fe3a3"/>
    <xsd:import namespace="702f922a-4822-456a-81ca-e751b937cee3"/>
    <xsd:import namespace="bee3cffc-2f53-4e00-a92a-7337a39469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70ad9-5eb5-4717-9e53-a4191c0fe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2f922a-4822-456a-81ca-e751b937ce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e3cffc-2f53-4e00-a92a-7337a39469a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6930c39-df6b-4781-8bfd-8d00c9785d64}" ma:internalName="TaxCatchAll" ma:showField="CatchAllData" ma:web="bee3cffc-2f53-4e00-a92a-7337a39469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02f922a-4822-456a-81ca-e751b937cee3">
      <UserInfo>
        <DisplayName>Baum, Beth L - EBSA</DisplayName>
        <AccountId>3002</AccountId>
        <AccountType/>
      </UserInfo>
      <UserInfo>
        <DisplayName>Sydlik, David - EBSA</DisplayName>
        <AccountId>429</AccountId>
        <AccountType/>
      </UserInfo>
      <UserInfo>
        <DisplayName>Rivers, Amber - EBSA</DisplayName>
        <AccountId>103</AccountId>
        <AccountType/>
      </UserInfo>
    </SharedWithUsers>
    <lcf76f155ced4ddcb4097134ff3c332f xmlns="3f770ad9-5eb5-4717-9e53-a4191c0fe3a3">
      <Terms xmlns="http://schemas.microsoft.com/office/infopath/2007/PartnerControls"/>
    </lcf76f155ced4ddcb4097134ff3c332f>
    <TaxCatchAll xmlns="bee3cffc-2f53-4e00-a92a-7337a39469a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87E18D-5B74-4ABF-93E1-CD27E7ED5FE9}">
  <ds:schemaRefs>
    <ds:schemaRef ds:uri="http://schemas.openxmlformats.org/officeDocument/2006/bibliography"/>
  </ds:schemaRefs>
</ds:datastoreItem>
</file>

<file path=customXml/itemProps2.xml><?xml version="1.0" encoding="utf-8"?>
<ds:datastoreItem xmlns:ds="http://schemas.openxmlformats.org/officeDocument/2006/customXml" ds:itemID="{69838A6F-2706-4539-BD3F-770D96769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70ad9-5eb5-4717-9e53-a4191c0fe3a3"/>
    <ds:schemaRef ds:uri="702f922a-4822-456a-81ca-e751b937cee3"/>
    <ds:schemaRef ds:uri="bee3cffc-2f53-4e00-a92a-7337a3946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CCBC5-180A-4646-B567-C9CDA2066D32}">
  <ds:schemaRefs>
    <ds:schemaRef ds:uri="http://schemas.microsoft.com/office/2006/metadata/properties"/>
    <ds:schemaRef ds:uri="http://schemas.microsoft.com/office/infopath/2007/PartnerControls"/>
    <ds:schemaRef ds:uri="702f922a-4822-456a-81ca-e751b937cee3"/>
    <ds:schemaRef ds:uri="3f770ad9-5eb5-4717-9e53-a4191c0fe3a3"/>
    <ds:schemaRef ds:uri="bee3cffc-2f53-4e00-a92a-7337a39469a7"/>
  </ds:schemaRefs>
</ds:datastoreItem>
</file>

<file path=customXml/itemProps4.xml><?xml version="1.0" encoding="utf-8"?>
<ds:datastoreItem xmlns:ds="http://schemas.openxmlformats.org/officeDocument/2006/customXml" ds:itemID="{559730A6-35FF-4A69-9D62-C84B5D86AE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28</Pages>
  <Words>9058</Words>
  <Characters>53172</Characters>
  <Application>Microsoft Office Word</Application>
  <DocSecurity>0</DocSecurity>
  <Lines>1107</Lines>
  <Paragraphs>732</Paragraphs>
  <ScaleCrop>false</ScaleCrop>
  <Company>U.S. Department of Labor</Company>
  <LinksUpToDate>false</LinksUpToDate>
  <CharactersWithSpaces>61498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1995 SUBMISSIONS</dc:title>
  <dc:creator>KellyC</dc:creator>
  <cp:lastModifiedBy>Butikofer, James - EBSA</cp:lastModifiedBy>
  <cp:revision>246</cp:revision>
  <cp:lastPrinted>2025-11-19T06:52:00Z</cp:lastPrinted>
  <dcterms:created xsi:type="dcterms:W3CDTF">2025-11-26T02:23:00Z</dcterms:created>
  <dcterms:modified xsi:type="dcterms:W3CDTF">2026-10-09T17:21:00Z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0x0101007D72D2FFA849DC42B2A0F9FA0A01678D</vt:lpwstr>
  </property>
  <property fmtid="{D5CDD505-2E9C-101B-9397-08002B2CF9AE}" pid="3" name="docLang">
    <vt:lpwstr>en</vt:lpwstr>
  </property>
  <property fmtid="{D5CDD505-2E9C-101B-9397-08002B2CF9AE}" pid="4" name="MediaServiceImageTags">
    <vt:lpwstr/>
  </property>
  <property fmtid="{D5CDD505-2E9C-101B-9397-08002B2CF9AE}" pid="5" name="_NewReviewCycle">
    <vt:lpwstr/>
  </property>
</Properties>
</file>