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5.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Java 22.10.0 -->
  <w:body>
    <w:p w:rsidR="00F34DED" w:rsidRPr="005A5A5D" w:rsidP="00C95A3C" w14:paraId="7D7A25F1" w14:textId="26116E9C">
      <w:pPr>
        <w:tabs>
          <w:tab w:val="center" w:pos="4680"/>
        </w:tabs>
        <w:jc w:val="center"/>
        <w:rPr>
          <w:rFonts w:cs="Times New Roman"/>
          <w:szCs w:val="24"/>
        </w:rPr>
      </w:pPr>
      <w:r w:rsidRPr="005A5A5D">
        <w:rPr>
          <w:rFonts w:cs="Times New Roman"/>
          <w:b/>
          <w:bCs/>
          <w:szCs w:val="24"/>
        </w:rPr>
        <w:t xml:space="preserve">Justification for No Material or </w:t>
      </w:r>
      <w:r w:rsidRPr="005A5A5D">
        <w:rPr>
          <w:rFonts w:cs="Times New Roman"/>
          <w:b/>
          <w:bCs/>
          <w:szCs w:val="24"/>
        </w:rPr>
        <w:t>Nonsubstantive</w:t>
      </w:r>
      <w:r w:rsidRPr="005A5A5D">
        <w:rPr>
          <w:rFonts w:cs="Times New Roman"/>
          <w:b/>
          <w:bCs/>
          <w:szCs w:val="24"/>
        </w:rPr>
        <w:t xml:space="preserve"> Change to Currently</w:t>
      </w:r>
      <w:r w:rsidRPr="005A5A5D" w:rsidR="001D0C99">
        <w:rPr>
          <w:rFonts w:cs="Times New Roman"/>
          <w:b/>
          <w:bCs/>
          <w:szCs w:val="24"/>
        </w:rPr>
        <w:t xml:space="preserve"> </w:t>
      </w:r>
      <w:r w:rsidRPr="005A5A5D">
        <w:rPr>
          <w:rFonts w:cs="Times New Roman"/>
          <w:b/>
          <w:bCs/>
          <w:szCs w:val="24"/>
        </w:rPr>
        <w:t>Approved Collection</w:t>
      </w:r>
    </w:p>
    <w:p w:rsidR="00F34DED" w:rsidRPr="005A5A5D" w:rsidP="00C95A3C" w14:paraId="520E8DDA" w14:textId="77777777">
      <w:pPr>
        <w:rPr>
          <w:rFonts w:cs="Times New Roman"/>
          <w:szCs w:val="24"/>
        </w:rPr>
      </w:pPr>
    </w:p>
    <w:p w:rsidR="00F34DED" w:rsidRPr="005A5A5D" w:rsidP="00C95A3C" w14:paraId="1364D56A" w14:textId="77777777">
      <w:pPr>
        <w:rPr>
          <w:rFonts w:cs="Times New Roman"/>
          <w:szCs w:val="24"/>
        </w:rPr>
      </w:pPr>
      <w:r w:rsidRPr="005A5A5D">
        <w:rPr>
          <w:rFonts w:cs="Times New Roman"/>
          <w:b/>
          <w:bCs/>
          <w:szCs w:val="24"/>
        </w:rPr>
        <w:t>AGENCY:</w:t>
      </w:r>
      <w:r w:rsidRPr="005A5A5D">
        <w:rPr>
          <w:rFonts w:cs="Times New Roman"/>
          <w:szCs w:val="24"/>
        </w:rPr>
        <w:tab/>
        <w:t>Pension Benefit Guaranty Corporation (PBGC)</w:t>
      </w:r>
    </w:p>
    <w:p w:rsidR="00F34DED" w:rsidRPr="005A5A5D" w:rsidP="00C95A3C" w14:paraId="1E5C0898" w14:textId="77777777">
      <w:pPr>
        <w:rPr>
          <w:rFonts w:cs="Times New Roman"/>
          <w:szCs w:val="24"/>
        </w:rPr>
      </w:pPr>
    </w:p>
    <w:p w:rsidR="00F34DED" w:rsidRPr="005A5A5D" w:rsidP="00C95A3C" w14:paraId="4BC274D4" w14:textId="387E074F">
      <w:pPr>
        <w:tabs>
          <w:tab w:val="left" w:pos="-1440"/>
        </w:tabs>
        <w:ind w:left="1440" w:hanging="1440"/>
        <w:rPr>
          <w:rFonts w:cs="Times New Roman"/>
          <w:szCs w:val="24"/>
        </w:rPr>
      </w:pPr>
      <w:r w:rsidRPr="005A5A5D">
        <w:rPr>
          <w:rFonts w:cs="Times New Roman"/>
          <w:b/>
          <w:bCs/>
          <w:szCs w:val="24"/>
        </w:rPr>
        <w:t>TITLE:</w:t>
      </w:r>
      <w:r w:rsidRPr="005A5A5D">
        <w:rPr>
          <w:rFonts w:cs="Times New Roman"/>
          <w:szCs w:val="24"/>
        </w:rPr>
        <w:tab/>
      </w:r>
      <w:r w:rsidRPr="005A5A5D" w:rsidR="007907C4">
        <w:rPr>
          <w:rFonts w:cs="Times New Roman"/>
          <w:szCs w:val="24"/>
        </w:rPr>
        <w:t xml:space="preserve">Application for Special Financial Assistance </w:t>
      </w:r>
      <w:r w:rsidRPr="005A5A5D" w:rsidR="006925E4">
        <w:rPr>
          <w:rFonts w:cs="Times New Roman"/>
          <w:szCs w:val="24"/>
        </w:rPr>
        <w:t>(29 CFR part 4</w:t>
      </w:r>
      <w:r w:rsidRPr="005A5A5D" w:rsidR="007907C4">
        <w:rPr>
          <w:rFonts w:cs="Times New Roman"/>
          <w:szCs w:val="24"/>
        </w:rPr>
        <w:t>262</w:t>
      </w:r>
      <w:r w:rsidRPr="005A5A5D" w:rsidR="006925E4">
        <w:rPr>
          <w:rFonts w:cs="Times New Roman"/>
          <w:szCs w:val="24"/>
        </w:rPr>
        <w:t>)</w:t>
      </w:r>
    </w:p>
    <w:p w:rsidR="00F34DED" w:rsidRPr="005A5A5D" w:rsidP="00C95A3C" w14:paraId="7E08B909" w14:textId="77777777">
      <w:pPr>
        <w:rPr>
          <w:rFonts w:cs="Times New Roman"/>
          <w:szCs w:val="24"/>
        </w:rPr>
      </w:pPr>
    </w:p>
    <w:p w:rsidR="00F34DED" w:rsidRPr="005A5A5D" w:rsidP="00C95A3C" w14:paraId="2FAF8E2C" w14:textId="172BF129">
      <w:pPr>
        <w:rPr>
          <w:rFonts w:cs="Times New Roman"/>
          <w:szCs w:val="24"/>
        </w:rPr>
      </w:pPr>
      <w:r w:rsidRPr="005A5A5D">
        <w:rPr>
          <w:rFonts w:cs="Times New Roman"/>
          <w:b/>
          <w:bCs/>
          <w:szCs w:val="24"/>
        </w:rPr>
        <w:t>STATUS:</w:t>
      </w:r>
      <w:r w:rsidRPr="005A5A5D">
        <w:rPr>
          <w:rFonts w:cs="Times New Roman"/>
          <w:szCs w:val="24"/>
        </w:rPr>
        <w:tab/>
        <w:t>OMB control number 1212</w:t>
      </w:r>
      <w:r w:rsidRPr="005A5A5D">
        <w:rPr>
          <w:rFonts w:cs="Times New Roman"/>
          <w:szCs w:val="24"/>
        </w:rPr>
        <w:noBreakHyphen/>
        <w:t>00</w:t>
      </w:r>
      <w:r w:rsidRPr="005A5A5D" w:rsidR="007907C4">
        <w:rPr>
          <w:rFonts w:cs="Times New Roman"/>
          <w:szCs w:val="24"/>
        </w:rPr>
        <w:t>74</w:t>
      </w:r>
      <w:r w:rsidRPr="005A5A5D">
        <w:rPr>
          <w:rFonts w:cs="Times New Roman"/>
          <w:szCs w:val="24"/>
        </w:rPr>
        <w:t xml:space="preserve">; expires </w:t>
      </w:r>
      <w:r w:rsidRPr="005A5A5D" w:rsidR="00F02A4D">
        <w:rPr>
          <w:rFonts w:cs="Times New Roman"/>
          <w:szCs w:val="24"/>
        </w:rPr>
        <w:t>0</w:t>
      </w:r>
      <w:r w:rsidRPr="005A5A5D" w:rsidR="00302050">
        <w:rPr>
          <w:rFonts w:cs="Times New Roman"/>
          <w:szCs w:val="24"/>
        </w:rPr>
        <w:t>5</w:t>
      </w:r>
      <w:r w:rsidRPr="005A5A5D" w:rsidR="00F02A4D">
        <w:rPr>
          <w:rFonts w:cs="Times New Roman"/>
          <w:szCs w:val="24"/>
        </w:rPr>
        <w:t>/31/202</w:t>
      </w:r>
      <w:r w:rsidRPr="005A5A5D" w:rsidR="00302050">
        <w:rPr>
          <w:rFonts w:cs="Times New Roman"/>
          <w:szCs w:val="24"/>
        </w:rPr>
        <w:t>7</w:t>
      </w:r>
    </w:p>
    <w:p w:rsidR="00F34DED" w:rsidRPr="005A5A5D" w:rsidP="00C95A3C" w14:paraId="7CEE0A38" w14:textId="77777777">
      <w:pPr>
        <w:rPr>
          <w:rFonts w:cs="Times New Roman"/>
          <w:szCs w:val="24"/>
        </w:rPr>
      </w:pPr>
    </w:p>
    <w:p w:rsidR="00F34DED" w:rsidRPr="005A5A5D" w:rsidP="00C95A3C" w14:paraId="530AF72F" w14:textId="58361F76">
      <w:pPr>
        <w:tabs>
          <w:tab w:val="left" w:pos="-1440"/>
        </w:tabs>
        <w:ind w:left="1440" w:hanging="1440"/>
        <w:rPr>
          <w:rFonts w:cs="Times New Roman"/>
          <w:szCs w:val="24"/>
        </w:rPr>
      </w:pPr>
      <w:r w:rsidRPr="005A5A5D">
        <w:rPr>
          <w:rFonts w:cs="Times New Roman"/>
          <w:b/>
          <w:bCs/>
          <w:szCs w:val="24"/>
        </w:rPr>
        <w:t>CONTACT:</w:t>
      </w:r>
      <w:r w:rsidRPr="005A5A5D">
        <w:rPr>
          <w:rFonts w:cs="Times New Roman"/>
          <w:szCs w:val="24"/>
        </w:rPr>
        <w:tab/>
      </w:r>
      <w:r w:rsidRPr="005A5A5D" w:rsidR="00375636">
        <w:rPr>
          <w:rFonts w:cs="Times New Roman"/>
          <w:szCs w:val="24"/>
        </w:rPr>
        <w:t>Joseph Krettek</w:t>
      </w:r>
      <w:r w:rsidRPr="005A5A5D" w:rsidR="00074D7F">
        <w:rPr>
          <w:rFonts w:cs="Times New Roman"/>
          <w:szCs w:val="24"/>
        </w:rPr>
        <w:t xml:space="preserve"> (</w:t>
      </w:r>
      <w:r w:rsidR="00610AF5">
        <w:rPr>
          <w:rFonts w:cs="Times New Roman"/>
          <w:szCs w:val="24"/>
        </w:rPr>
        <w:t>202-229-</w:t>
      </w:r>
      <w:r w:rsidR="00093D7E">
        <w:rPr>
          <w:rFonts w:cs="Times New Roman"/>
          <w:szCs w:val="24"/>
        </w:rPr>
        <w:t>6772</w:t>
      </w:r>
      <w:r w:rsidRPr="005A5A5D" w:rsidR="00074D7F">
        <w:rPr>
          <w:rFonts w:cs="Times New Roman"/>
          <w:szCs w:val="24"/>
        </w:rPr>
        <w:t>)</w:t>
      </w:r>
    </w:p>
    <w:p w:rsidR="00F34DED" w:rsidRPr="005A5A5D" w:rsidP="00C95A3C" w14:paraId="66B9B531" w14:textId="77777777">
      <w:pPr>
        <w:rPr>
          <w:rFonts w:cs="Times New Roman"/>
          <w:szCs w:val="24"/>
        </w:rPr>
      </w:pPr>
    </w:p>
    <w:p w:rsidR="00FA057C" w:rsidRPr="005A5A5D" w:rsidP="00C95A3C" w14:paraId="78FFDE57" w14:textId="200CAEC0">
      <w:pPr>
        <w:pStyle w:val="NormalWeb"/>
        <w:spacing w:before="0" w:beforeAutospacing="0" w:after="0" w:afterAutospacing="0"/>
        <w:rPr>
          <w:rStyle w:val="bumpedfont15"/>
          <w:rFonts w:ascii="Times New Roman" w:hAnsi="Times New Roman" w:cs="Times New Roman"/>
          <w:sz w:val="24"/>
          <w:szCs w:val="24"/>
        </w:rPr>
      </w:pPr>
      <w:r w:rsidRPr="005A5A5D">
        <w:rPr>
          <w:rStyle w:val="bumpedfont15"/>
          <w:rFonts w:ascii="Times New Roman" w:hAnsi="Times New Roman" w:cs="Times New Roman"/>
          <w:sz w:val="24"/>
          <w:szCs w:val="24"/>
        </w:rPr>
        <w:t>The</w:t>
      </w:r>
      <w:r w:rsidRPr="005A5A5D" w:rsidR="001D0C99">
        <w:rPr>
          <w:rStyle w:val="apple-converted-space"/>
          <w:rFonts w:ascii="Times New Roman" w:hAnsi="Times New Roman" w:cs="Times New Roman"/>
          <w:sz w:val="24"/>
          <w:szCs w:val="24"/>
        </w:rPr>
        <w:t xml:space="preserve"> </w:t>
      </w:r>
      <w:r w:rsidRPr="005A5A5D">
        <w:rPr>
          <w:rStyle w:val="bumpedfont15"/>
          <w:rFonts w:ascii="Times New Roman" w:hAnsi="Times New Roman" w:cs="Times New Roman"/>
          <w:sz w:val="24"/>
          <w:szCs w:val="24"/>
        </w:rPr>
        <w:t>Pension Benefit Guaranty Corporation (PBGC)</w:t>
      </w:r>
      <w:r w:rsidRPr="005A5A5D" w:rsidR="001D0C99">
        <w:rPr>
          <w:rStyle w:val="apple-converted-space"/>
          <w:rFonts w:ascii="Times New Roman" w:hAnsi="Times New Roman" w:cs="Times New Roman"/>
          <w:sz w:val="24"/>
          <w:szCs w:val="24"/>
        </w:rPr>
        <w:t xml:space="preserve"> </w:t>
      </w:r>
      <w:r w:rsidRPr="005A5A5D">
        <w:rPr>
          <w:rStyle w:val="bumpedfont15"/>
          <w:rFonts w:ascii="Times New Roman" w:hAnsi="Times New Roman" w:cs="Times New Roman"/>
          <w:sz w:val="24"/>
          <w:szCs w:val="24"/>
        </w:rPr>
        <w:t>is making</w:t>
      </w:r>
      <w:r w:rsidRPr="005A5A5D" w:rsidR="001D0C99">
        <w:rPr>
          <w:rStyle w:val="apple-converted-space"/>
          <w:rFonts w:ascii="Times New Roman" w:hAnsi="Times New Roman" w:cs="Times New Roman"/>
          <w:sz w:val="24"/>
          <w:szCs w:val="24"/>
        </w:rPr>
        <w:t xml:space="preserve"> </w:t>
      </w:r>
      <w:r w:rsidRPr="005A5A5D">
        <w:rPr>
          <w:rStyle w:val="apple-converted-space"/>
          <w:rFonts w:ascii="Times New Roman" w:hAnsi="Times New Roman" w:cs="Times New Roman"/>
          <w:sz w:val="24"/>
          <w:szCs w:val="24"/>
        </w:rPr>
        <w:t>changes</w:t>
      </w:r>
      <w:r w:rsidRPr="005A5A5D" w:rsidR="001D0C99">
        <w:rPr>
          <w:rStyle w:val="apple-converted-space"/>
          <w:rFonts w:ascii="Times New Roman" w:hAnsi="Times New Roman" w:cs="Times New Roman"/>
          <w:sz w:val="24"/>
          <w:szCs w:val="24"/>
        </w:rPr>
        <w:t xml:space="preserve"> </w:t>
      </w:r>
      <w:r w:rsidRPr="005A5A5D">
        <w:rPr>
          <w:rStyle w:val="bumpedfont15"/>
          <w:rFonts w:ascii="Times New Roman" w:hAnsi="Times New Roman" w:cs="Times New Roman"/>
          <w:sz w:val="24"/>
          <w:szCs w:val="24"/>
        </w:rPr>
        <w:t>that are not material</w:t>
      </w:r>
      <w:r w:rsidRPr="005A5A5D" w:rsidR="001D0C99">
        <w:rPr>
          <w:rStyle w:val="apple-converted-space"/>
          <w:rFonts w:ascii="Times New Roman" w:hAnsi="Times New Roman" w:cs="Times New Roman"/>
          <w:sz w:val="24"/>
          <w:szCs w:val="24"/>
        </w:rPr>
        <w:t xml:space="preserve"> </w:t>
      </w:r>
      <w:r w:rsidRPr="005A5A5D">
        <w:rPr>
          <w:rStyle w:val="bumpedfont15"/>
          <w:rFonts w:ascii="Times New Roman" w:hAnsi="Times New Roman" w:cs="Times New Roman"/>
          <w:sz w:val="24"/>
          <w:szCs w:val="24"/>
        </w:rPr>
        <w:t>to</w:t>
      </w:r>
      <w:r w:rsidRPr="005A5A5D" w:rsidR="009F6BFC">
        <w:rPr>
          <w:rStyle w:val="bumpedfont15"/>
          <w:rFonts w:ascii="Times New Roman" w:hAnsi="Times New Roman" w:cs="Times New Roman"/>
          <w:sz w:val="24"/>
          <w:szCs w:val="24"/>
        </w:rPr>
        <w:t xml:space="preserve"> the </w:t>
      </w:r>
      <w:r w:rsidRPr="005A5A5D" w:rsidR="001D0C99">
        <w:rPr>
          <w:rStyle w:val="bumpedfont15"/>
          <w:rFonts w:ascii="Times New Roman" w:hAnsi="Times New Roman" w:cs="Times New Roman"/>
          <w:sz w:val="24"/>
          <w:szCs w:val="24"/>
        </w:rPr>
        <w:t>currently approved</w:t>
      </w:r>
      <w:r w:rsidRPr="005A5A5D">
        <w:rPr>
          <w:rStyle w:val="bumpedfont15"/>
          <w:rFonts w:ascii="Times New Roman" w:hAnsi="Times New Roman" w:cs="Times New Roman"/>
          <w:sz w:val="24"/>
          <w:szCs w:val="24"/>
        </w:rPr>
        <w:t xml:space="preserve"> </w:t>
      </w:r>
      <w:r w:rsidRPr="005A5A5D" w:rsidR="0063727D">
        <w:rPr>
          <w:rStyle w:val="bumpedfont15"/>
          <w:rFonts w:ascii="Times New Roman" w:hAnsi="Times New Roman" w:cs="Times New Roman"/>
          <w:sz w:val="24"/>
          <w:szCs w:val="24"/>
        </w:rPr>
        <w:t xml:space="preserve">information collection for </w:t>
      </w:r>
      <w:r w:rsidRPr="005A5A5D" w:rsidR="00137F8F">
        <w:rPr>
          <w:rStyle w:val="bumpedfont15"/>
          <w:rFonts w:ascii="Times New Roman" w:hAnsi="Times New Roman" w:cs="Times New Roman"/>
          <w:sz w:val="24"/>
          <w:szCs w:val="24"/>
        </w:rPr>
        <w:t>multiemployer plans applying for spe</w:t>
      </w:r>
      <w:r w:rsidRPr="005A5A5D" w:rsidR="00395823">
        <w:rPr>
          <w:rStyle w:val="bumpedfont15"/>
          <w:rFonts w:ascii="Times New Roman" w:hAnsi="Times New Roman" w:cs="Times New Roman"/>
          <w:sz w:val="24"/>
          <w:szCs w:val="24"/>
        </w:rPr>
        <w:t>cial financial assistance (SFA)</w:t>
      </w:r>
      <w:r w:rsidRPr="005A5A5D" w:rsidR="0043369F">
        <w:rPr>
          <w:rStyle w:val="bumpedfont15"/>
          <w:rFonts w:ascii="Times New Roman" w:hAnsi="Times New Roman" w:cs="Times New Roman"/>
          <w:sz w:val="24"/>
          <w:szCs w:val="24"/>
        </w:rPr>
        <w:t xml:space="preserve"> under</w:t>
      </w:r>
      <w:r w:rsidRPr="005A5A5D" w:rsidR="00F34DF0">
        <w:rPr>
          <w:rStyle w:val="bumpedfont15"/>
          <w:rFonts w:ascii="Times New Roman" w:hAnsi="Times New Roman" w:cs="Times New Roman"/>
          <w:sz w:val="24"/>
          <w:szCs w:val="24"/>
        </w:rPr>
        <w:t xml:space="preserve"> section 4262 of the Employee Retirement Income Security Act of 1974 and</w:t>
      </w:r>
      <w:r w:rsidRPr="005A5A5D" w:rsidR="001D0C99">
        <w:rPr>
          <w:rStyle w:val="apple-converted-space"/>
          <w:rFonts w:ascii="Times New Roman" w:hAnsi="Times New Roman" w:cs="Times New Roman"/>
          <w:sz w:val="24"/>
          <w:szCs w:val="24"/>
        </w:rPr>
        <w:t xml:space="preserve"> </w:t>
      </w:r>
      <w:r w:rsidRPr="005A5A5D" w:rsidR="00F34DF0">
        <w:rPr>
          <w:rStyle w:val="bumpedfont15"/>
          <w:rFonts w:ascii="Times New Roman" w:hAnsi="Times New Roman" w:cs="Times New Roman"/>
          <w:sz w:val="24"/>
          <w:szCs w:val="24"/>
        </w:rPr>
        <w:t>part 4262 of PBGC’s regulations</w:t>
      </w:r>
      <w:r w:rsidRPr="005A5A5D" w:rsidR="00395823">
        <w:rPr>
          <w:rStyle w:val="bumpedfont15"/>
          <w:rFonts w:ascii="Times New Roman" w:hAnsi="Times New Roman" w:cs="Times New Roman"/>
          <w:sz w:val="24"/>
          <w:szCs w:val="24"/>
        </w:rPr>
        <w:t>.</w:t>
      </w:r>
    </w:p>
    <w:p w:rsidR="00816E04" w:rsidRPr="005A5A5D" w:rsidP="00816E04" w14:paraId="567061C3" w14:textId="4C8787C6">
      <w:pPr>
        <w:pStyle w:val="NormalWeb"/>
        <w:rPr>
          <w:rStyle w:val="bumpedfont15"/>
          <w:rFonts w:ascii="Times New Roman" w:hAnsi="Times New Roman" w:cs="Times New Roman"/>
          <w:sz w:val="24"/>
          <w:szCs w:val="24"/>
        </w:rPr>
      </w:pPr>
      <w:r w:rsidRPr="005A5A5D">
        <w:rPr>
          <w:rStyle w:val="bumpedfont15"/>
          <w:rFonts w:ascii="Times New Roman" w:hAnsi="Times New Roman" w:cs="Times New Roman"/>
          <w:sz w:val="24"/>
          <w:szCs w:val="24"/>
        </w:rPr>
        <w:t>To apply for SFA, a plan sponsor must file an application with PBGC and include information about the plan, plan documentation, and actuarial information, as specified in §§</w:t>
      </w:r>
      <w:r w:rsidRPr="005A5A5D" w:rsidR="00436858">
        <w:rPr>
          <w:rStyle w:val="bumpedfont15"/>
          <w:rFonts w:ascii="Times New Roman" w:hAnsi="Times New Roman" w:cs="Times New Roman"/>
          <w:sz w:val="24"/>
          <w:szCs w:val="24"/>
        </w:rPr>
        <w:t> </w:t>
      </w:r>
      <w:r w:rsidRPr="005A5A5D">
        <w:rPr>
          <w:rStyle w:val="bumpedfont15"/>
          <w:rFonts w:ascii="Times New Roman" w:hAnsi="Times New Roman" w:cs="Times New Roman"/>
          <w:sz w:val="24"/>
          <w:szCs w:val="24"/>
        </w:rPr>
        <w:t xml:space="preserve">4262.6 through 4262.9.  PBGC needs the application information to review a plan’s eligibility for SFA and amount of requested SFA. </w:t>
      </w:r>
      <w:r w:rsidRPr="005A5A5D" w:rsidR="00436858">
        <w:rPr>
          <w:rStyle w:val="bumpedfont15"/>
          <w:rFonts w:ascii="Times New Roman" w:hAnsi="Times New Roman" w:cs="Times New Roman"/>
          <w:sz w:val="24"/>
          <w:szCs w:val="24"/>
        </w:rPr>
        <w:t xml:space="preserve"> </w:t>
      </w:r>
      <w:r w:rsidRPr="005A5A5D">
        <w:rPr>
          <w:rStyle w:val="bumpedfont15"/>
          <w:rFonts w:ascii="Times New Roman" w:hAnsi="Times New Roman" w:cs="Times New Roman"/>
          <w:sz w:val="24"/>
          <w:szCs w:val="24"/>
        </w:rPr>
        <w:t>In addition</w:t>
      </w:r>
      <w:r w:rsidRPr="005A5A5D" w:rsidR="00D0604D">
        <w:rPr>
          <w:rStyle w:val="bumpedfont15"/>
          <w:rFonts w:ascii="Times New Roman" w:hAnsi="Times New Roman" w:cs="Times New Roman"/>
          <w:sz w:val="24"/>
          <w:szCs w:val="24"/>
        </w:rPr>
        <w:t xml:space="preserve">, a plan that receives SFA and wishes to </w:t>
      </w:r>
      <w:r w:rsidRPr="005A5A5D" w:rsidR="001B4D0D">
        <w:rPr>
          <w:rStyle w:val="bumpedfont15"/>
          <w:rFonts w:ascii="Times New Roman" w:hAnsi="Times New Roman" w:cs="Times New Roman"/>
          <w:sz w:val="24"/>
          <w:szCs w:val="24"/>
        </w:rPr>
        <w:t>request that P</w:t>
      </w:r>
      <w:r w:rsidRPr="005A5A5D">
        <w:rPr>
          <w:rStyle w:val="bumpedfont15"/>
          <w:rFonts w:ascii="Times New Roman" w:hAnsi="Times New Roman" w:cs="Times New Roman"/>
          <w:sz w:val="24"/>
          <w:szCs w:val="24"/>
        </w:rPr>
        <w:t>BGC approv</w:t>
      </w:r>
      <w:r w:rsidRPr="005A5A5D" w:rsidR="00D0604D">
        <w:rPr>
          <w:rStyle w:val="bumpedfont15"/>
          <w:rFonts w:ascii="Times New Roman" w:hAnsi="Times New Roman" w:cs="Times New Roman"/>
          <w:sz w:val="24"/>
          <w:szCs w:val="24"/>
        </w:rPr>
        <w:t>e</w:t>
      </w:r>
      <w:r w:rsidRPr="005A5A5D">
        <w:rPr>
          <w:rStyle w:val="bumpedfont15"/>
          <w:rFonts w:ascii="Times New Roman" w:hAnsi="Times New Roman" w:cs="Times New Roman"/>
          <w:sz w:val="24"/>
          <w:szCs w:val="24"/>
        </w:rPr>
        <w:t xml:space="preserve"> an exception </w:t>
      </w:r>
      <w:r w:rsidRPr="005A5A5D" w:rsidR="00D0604D">
        <w:rPr>
          <w:rStyle w:val="bumpedfont15"/>
          <w:rFonts w:ascii="Times New Roman" w:hAnsi="Times New Roman" w:cs="Times New Roman"/>
          <w:sz w:val="24"/>
          <w:szCs w:val="24"/>
        </w:rPr>
        <w:t>under §§ 4262.16(d), (e), (f), (g) and (h)</w:t>
      </w:r>
      <w:r w:rsidRPr="005A5A5D" w:rsidR="004D61A0">
        <w:rPr>
          <w:rStyle w:val="bumpedfont15"/>
          <w:rFonts w:ascii="Times New Roman" w:hAnsi="Times New Roman" w:cs="Times New Roman"/>
          <w:sz w:val="24"/>
          <w:szCs w:val="24"/>
        </w:rPr>
        <w:t xml:space="preserve"> </w:t>
      </w:r>
      <w:r w:rsidRPr="005A5A5D">
        <w:rPr>
          <w:rStyle w:val="bumpedfont15"/>
          <w:rFonts w:ascii="Times New Roman" w:hAnsi="Times New Roman" w:cs="Times New Roman"/>
          <w:sz w:val="24"/>
          <w:szCs w:val="24"/>
        </w:rPr>
        <w:t>for SFA conditions relating to reductions in contributions, reallocation of contributions, transfers or mergers, and withdrawal liability</w:t>
      </w:r>
      <w:r w:rsidRPr="005A5A5D" w:rsidR="00D0604D">
        <w:rPr>
          <w:rStyle w:val="bumpedfont15"/>
          <w:rFonts w:ascii="Times New Roman" w:hAnsi="Times New Roman" w:cs="Times New Roman"/>
          <w:sz w:val="24"/>
          <w:szCs w:val="24"/>
        </w:rPr>
        <w:t xml:space="preserve"> must file the request with the information required under those sections of PBGC’s regulation and related instructions</w:t>
      </w:r>
      <w:r w:rsidRPr="005A5A5D">
        <w:rPr>
          <w:rStyle w:val="bumpedfont15"/>
          <w:rFonts w:ascii="Times New Roman" w:hAnsi="Times New Roman" w:cs="Times New Roman"/>
          <w:sz w:val="24"/>
          <w:szCs w:val="24"/>
        </w:rPr>
        <w:t xml:space="preserve">.  PBGC </w:t>
      </w:r>
      <w:r w:rsidRPr="005A5A5D" w:rsidR="000112C9">
        <w:rPr>
          <w:rStyle w:val="bumpedfont15"/>
          <w:rFonts w:ascii="Times New Roman" w:hAnsi="Times New Roman" w:cs="Times New Roman"/>
          <w:sz w:val="24"/>
          <w:szCs w:val="24"/>
        </w:rPr>
        <w:t>requires this</w:t>
      </w:r>
      <w:r w:rsidRPr="005A5A5D">
        <w:rPr>
          <w:rStyle w:val="bumpedfont15"/>
          <w:rFonts w:ascii="Times New Roman" w:hAnsi="Times New Roman" w:cs="Times New Roman"/>
          <w:sz w:val="24"/>
          <w:szCs w:val="24"/>
        </w:rPr>
        <w:t xml:space="preserve"> information to decide whether to approve an exception from the specified condition of receiving SFA.   </w:t>
      </w:r>
    </w:p>
    <w:p w:rsidR="00106AFB" w:rsidRPr="005A5A5D" w:rsidP="007124C6" w14:paraId="39895B23" w14:textId="1D43B40C">
      <w:pPr>
        <w:pStyle w:val="NormalWeb"/>
        <w:spacing w:before="0" w:beforeAutospacing="0" w:after="0" w:afterAutospacing="0"/>
        <w:rPr>
          <w:rStyle w:val="bumpedfont15"/>
          <w:rFonts w:ascii="Times New Roman" w:hAnsi="Times New Roman" w:cs="Times New Roman"/>
          <w:sz w:val="24"/>
          <w:szCs w:val="24"/>
        </w:rPr>
      </w:pPr>
      <w:r w:rsidRPr="005A5A5D">
        <w:rPr>
          <w:rStyle w:val="bumpedfont15"/>
          <w:rFonts w:ascii="Times New Roman" w:hAnsi="Times New Roman" w:cs="Times New Roman"/>
          <w:sz w:val="24"/>
          <w:szCs w:val="24"/>
        </w:rPr>
        <w:t>PBGC received questions from practitioners about</w:t>
      </w:r>
      <w:r w:rsidRPr="005A5A5D" w:rsidR="008E4D15">
        <w:rPr>
          <w:rStyle w:val="bumpedfont15"/>
          <w:rFonts w:ascii="Times New Roman" w:hAnsi="Times New Roman" w:cs="Times New Roman"/>
          <w:sz w:val="24"/>
          <w:szCs w:val="24"/>
        </w:rPr>
        <w:t xml:space="preserve"> </w:t>
      </w:r>
      <w:r w:rsidRPr="005A5A5D" w:rsidR="00003373">
        <w:rPr>
          <w:rStyle w:val="bumpedfont15"/>
          <w:rFonts w:ascii="Times New Roman" w:hAnsi="Times New Roman" w:cs="Times New Roman"/>
          <w:sz w:val="24"/>
          <w:szCs w:val="24"/>
        </w:rPr>
        <w:t xml:space="preserve">whether </w:t>
      </w:r>
      <w:r w:rsidRPr="005A5A5D" w:rsidR="00E129C6">
        <w:rPr>
          <w:rStyle w:val="bumpedfont15"/>
          <w:rFonts w:ascii="Times New Roman" w:hAnsi="Times New Roman" w:cs="Times New Roman"/>
          <w:sz w:val="24"/>
          <w:szCs w:val="24"/>
        </w:rPr>
        <w:t xml:space="preserve">the </w:t>
      </w:r>
      <w:r w:rsidRPr="005A5A5D" w:rsidR="000B50DC">
        <w:rPr>
          <w:rStyle w:val="bumpedfont15"/>
          <w:rFonts w:ascii="Times New Roman" w:hAnsi="Times New Roman" w:cs="Times New Roman"/>
          <w:sz w:val="24"/>
          <w:szCs w:val="24"/>
        </w:rPr>
        <w:t xml:space="preserve">withdrawal liability modifications </w:t>
      </w:r>
      <w:r w:rsidRPr="005A5A5D" w:rsidR="00B35449">
        <w:rPr>
          <w:rStyle w:val="bumpedfont15"/>
          <w:rFonts w:ascii="Times New Roman" w:hAnsi="Times New Roman" w:cs="Times New Roman"/>
          <w:sz w:val="24"/>
          <w:szCs w:val="24"/>
        </w:rPr>
        <w:t>described in § 4211.36</w:t>
      </w:r>
      <w:r w:rsidRPr="005A5A5D" w:rsidR="00765801">
        <w:rPr>
          <w:rStyle w:val="bumpedfont15"/>
          <w:rFonts w:ascii="Times New Roman" w:hAnsi="Times New Roman" w:cs="Times New Roman"/>
          <w:sz w:val="24"/>
          <w:szCs w:val="24"/>
        </w:rPr>
        <w:t xml:space="preserve">(b), (c), </w:t>
      </w:r>
      <w:r w:rsidRPr="005A5A5D" w:rsidR="00060207">
        <w:rPr>
          <w:rStyle w:val="bumpedfont15"/>
          <w:rFonts w:ascii="Times New Roman" w:hAnsi="Times New Roman" w:cs="Times New Roman"/>
          <w:sz w:val="24"/>
          <w:szCs w:val="24"/>
        </w:rPr>
        <w:t>or</w:t>
      </w:r>
      <w:r w:rsidRPr="005A5A5D" w:rsidR="00765801">
        <w:rPr>
          <w:rStyle w:val="bumpedfont15"/>
          <w:rFonts w:ascii="Times New Roman" w:hAnsi="Times New Roman" w:cs="Times New Roman"/>
          <w:sz w:val="24"/>
          <w:szCs w:val="24"/>
        </w:rPr>
        <w:t xml:space="preserve"> (d)</w:t>
      </w:r>
      <w:r w:rsidRPr="005A5A5D" w:rsidR="00B35449">
        <w:rPr>
          <w:rStyle w:val="bumpedfont15"/>
          <w:rFonts w:ascii="Times New Roman" w:hAnsi="Times New Roman" w:cs="Times New Roman"/>
          <w:sz w:val="24"/>
          <w:szCs w:val="24"/>
        </w:rPr>
        <w:t xml:space="preserve"> </w:t>
      </w:r>
      <w:r w:rsidRPr="005A5A5D" w:rsidR="00E129C6">
        <w:rPr>
          <w:rStyle w:val="bumpedfont15"/>
          <w:rFonts w:ascii="Times New Roman" w:hAnsi="Times New Roman" w:cs="Times New Roman"/>
          <w:sz w:val="24"/>
          <w:szCs w:val="24"/>
        </w:rPr>
        <w:t xml:space="preserve">may be adopted by </w:t>
      </w:r>
      <w:r w:rsidRPr="005A5A5D" w:rsidR="000259E3">
        <w:rPr>
          <w:rStyle w:val="bumpedfont15"/>
          <w:rFonts w:ascii="Times New Roman" w:hAnsi="Times New Roman" w:cs="Times New Roman"/>
          <w:sz w:val="24"/>
          <w:szCs w:val="24"/>
        </w:rPr>
        <w:t xml:space="preserve">plans </w:t>
      </w:r>
      <w:r w:rsidRPr="005A5A5D" w:rsidR="00FD2B96">
        <w:rPr>
          <w:rStyle w:val="bumpedfont15"/>
          <w:rFonts w:ascii="Times New Roman" w:hAnsi="Times New Roman" w:cs="Times New Roman"/>
          <w:sz w:val="24"/>
          <w:szCs w:val="24"/>
        </w:rPr>
        <w:t>requesting approval under §</w:t>
      </w:r>
      <w:r w:rsidR="009A45DB">
        <w:rPr>
          <w:rStyle w:val="bumpedfont15"/>
          <w:rFonts w:ascii="Times New Roman" w:hAnsi="Times New Roman" w:cs="Times New Roman"/>
          <w:sz w:val="24"/>
          <w:szCs w:val="24"/>
        </w:rPr>
        <w:t> </w:t>
      </w:r>
      <w:r w:rsidRPr="005A5A5D" w:rsidR="00FD2B96">
        <w:rPr>
          <w:rStyle w:val="bumpedfont15"/>
          <w:rFonts w:ascii="Times New Roman" w:hAnsi="Times New Roman" w:cs="Times New Roman"/>
          <w:sz w:val="24"/>
          <w:szCs w:val="24"/>
        </w:rPr>
        <w:t>4262.16(f)</w:t>
      </w:r>
      <w:r w:rsidRPr="005A5A5D" w:rsidR="00BC220F">
        <w:rPr>
          <w:rStyle w:val="bumpedfont15"/>
          <w:rFonts w:ascii="Times New Roman" w:hAnsi="Times New Roman" w:cs="Times New Roman"/>
          <w:sz w:val="24"/>
          <w:szCs w:val="24"/>
        </w:rPr>
        <w:t xml:space="preserve"> for a merger involving a plan that received SFA</w:t>
      </w:r>
      <w:r w:rsidRPr="005A5A5D" w:rsidR="001B0280">
        <w:rPr>
          <w:rStyle w:val="bumpedfont15"/>
          <w:rFonts w:ascii="Times New Roman" w:hAnsi="Times New Roman" w:cs="Times New Roman"/>
          <w:sz w:val="24"/>
          <w:szCs w:val="24"/>
        </w:rPr>
        <w:t xml:space="preserve">. </w:t>
      </w:r>
      <w:r w:rsidRPr="005A5A5D" w:rsidR="00E068E4">
        <w:rPr>
          <w:rStyle w:val="bumpedfont15"/>
          <w:rFonts w:ascii="Times New Roman" w:hAnsi="Times New Roman" w:cs="Times New Roman"/>
          <w:sz w:val="24"/>
          <w:szCs w:val="24"/>
        </w:rPr>
        <w:t xml:space="preserve">If any of the pre-merger plans received SFA, the merged plan must </w:t>
      </w:r>
      <w:r w:rsidRPr="005A5A5D" w:rsidR="007124C6">
        <w:rPr>
          <w:rStyle w:val="bumpedfont15"/>
          <w:rFonts w:ascii="Times New Roman" w:hAnsi="Times New Roman" w:cs="Times New Roman"/>
          <w:sz w:val="24"/>
          <w:szCs w:val="24"/>
        </w:rPr>
        <w:t>satisfy the</w:t>
      </w:r>
      <w:r w:rsidR="00C61B6E">
        <w:rPr>
          <w:rStyle w:val="bumpedfont15"/>
          <w:rFonts w:ascii="Times New Roman" w:hAnsi="Times New Roman" w:cs="Times New Roman"/>
          <w:sz w:val="24"/>
          <w:szCs w:val="24"/>
        </w:rPr>
        <w:t xml:space="preserve"> risk of loss</w:t>
      </w:r>
      <w:r w:rsidRPr="005A5A5D" w:rsidR="007124C6">
        <w:rPr>
          <w:rStyle w:val="bumpedfont15"/>
          <w:rFonts w:ascii="Times New Roman" w:hAnsi="Times New Roman" w:cs="Times New Roman"/>
          <w:sz w:val="24"/>
          <w:szCs w:val="24"/>
        </w:rPr>
        <w:t xml:space="preserve"> standard under § 4262.16(f)(1) and </w:t>
      </w:r>
      <w:r w:rsidRPr="005A5A5D" w:rsidR="00E068E4">
        <w:rPr>
          <w:rStyle w:val="bumpedfont15"/>
          <w:rFonts w:ascii="Times New Roman" w:hAnsi="Times New Roman" w:cs="Times New Roman"/>
          <w:sz w:val="24"/>
          <w:szCs w:val="24"/>
        </w:rPr>
        <w:t xml:space="preserve">comply with </w:t>
      </w:r>
      <w:r w:rsidRPr="005A5A5D" w:rsidR="00270471">
        <w:rPr>
          <w:rStyle w:val="bumpedfont15"/>
          <w:rFonts w:ascii="Times New Roman" w:hAnsi="Times New Roman" w:cs="Times New Roman"/>
          <w:sz w:val="24"/>
          <w:szCs w:val="24"/>
        </w:rPr>
        <w:t xml:space="preserve">the </w:t>
      </w:r>
      <w:r w:rsidRPr="005A5A5D" w:rsidR="007124C6">
        <w:rPr>
          <w:rStyle w:val="bumpedfont15"/>
          <w:rFonts w:ascii="Times New Roman" w:hAnsi="Times New Roman" w:cs="Times New Roman"/>
          <w:sz w:val="24"/>
          <w:szCs w:val="24"/>
        </w:rPr>
        <w:t>conditions</w:t>
      </w:r>
      <w:r w:rsidRPr="005A5A5D" w:rsidR="00574219">
        <w:rPr>
          <w:rStyle w:val="bumpedfont15"/>
          <w:rFonts w:ascii="Times New Roman" w:hAnsi="Times New Roman" w:cs="Times New Roman"/>
          <w:sz w:val="24"/>
          <w:szCs w:val="24"/>
        </w:rPr>
        <w:t xml:space="preserve"> in § 4262.16(f)(3)(iv) and (v) </w:t>
      </w:r>
      <w:r w:rsidRPr="005A5A5D" w:rsidR="00574219">
        <w:rPr>
          <w:rFonts w:ascii="Times New Roman" w:hAnsi="Times New Roman" w:cs="Times New Roman"/>
          <w:sz w:val="24"/>
          <w:szCs w:val="24"/>
        </w:rPr>
        <w:t xml:space="preserve">that the merged plan must use 4044 </w:t>
      </w:r>
      <w:r w:rsidRPr="005A5A5D" w:rsidR="007124C6">
        <w:rPr>
          <w:rFonts w:ascii="Times New Roman" w:hAnsi="Times New Roman" w:cs="Times New Roman"/>
          <w:sz w:val="24"/>
          <w:szCs w:val="24"/>
        </w:rPr>
        <w:t>r</w:t>
      </w:r>
      <w:r w:rsidRPr="005A5A5D" w:rsidR="00574219">
        <w:rPr>
          <w:rFonts w:ascii="Times New Roman" w:hAnsi="Times New Roman" w:cs="Times New Roman"/>
          <w:sz w:val="24"/>
          <w:szCs w:val="24"/>
        </w:rPr>
        <w:t>ates until the later of 10 years or until the SFA exhaustion year (as described in §</w:t>
      </w:r>
      <w:r w:rsidR="009A45DB">
        <w:rPr>
          <w:rFonts w:ascii="Times New Roman" w:hAnsi="Times New Roman" w:cs="Times New Roman"/>
          <w:sz w:val="24"/>
          <w:szCs w:val="24"/>
        </w:rPr>
        <w:t> </w:t>
      </w:r>
      <w:r w:rsidRPr="005A5A5D" w:rsidR="00574219">
        <w:rPr>
          <w:rFonts w:ascii="Times New Roman" w:hAnsi="Times New Roman" w:cs="Times New Roman"/>
          <w:sz w:val="24"/>
          <w:szCs w:val="24"/>
        </w:rPr>
        <w:t xml:space="preserve">4262.16(g)(1)(ii)), and must phase-in SFA, to calculate the UVBs that arose under the SFA recipient plan before the merger.  </w:t>
      </w:r>
    </w:p>
    <w:p w:rsidR="00106AFB" w:rsidRPr="005A5A5D" w:rsidP="00081424" w14:paraId="2239A2EA" w14:textId="77777777">
      <w:pPr>
        <w:pStyle w:val="NormalWeb"/>
        <w:spacing w:before="0" w:beforeAutospacing="0" w:after="0" w:afterAutospacing="0"/>
        <w:rPr>
          <w:rFonts w:ascii="Times New Roman" w:hAnsi="Times New Roman" w:cs="Times New Roman"/>
          <w:sz w:val="24"/>
          <w:szCs w:val="24"/>
        </w:rPr>
      </w:pPr>
    </w:p>
    <w:p w:rsidR="00106AFB" w:rsidRPr="005A5A5D" w:rsidP="00081424" w14:paraId="329B98A1" w14:textId="68F68217">
      <w:pPr>
        <w:pStyle w:val="NormalWeb"/>
        <w:spacing w:before="0" w:beforeAutospacing="0" w:after="0" w:afterAutospacing="0"/>
        <w:rPr>
          <w:rStyle w:val="bumpedfont15"/>
          <w:rFonts w:ascii="Times New Roman" w:hAnsi="Times New Roman" w:cs="Times New Roman"/>
          <w:sz w:val="24"/>
          <w:szCs w:val="24"/>
        </w:rPr>
      </w:pPr>
      <w:r w:rsidRPr="005A5A5D">
        <w:rPr>
          <w:rFonts w:ascii="Times New Roman" w:hAnsi="Times New Roman" w:cs="Times New Roman"/>
          <w:sz w:val="24"/>
          <w:szCs w:val="24"/>
        </w:rPr>
        <w:t xml:space="preserve">The withdrawal liability modification described in § 4211.36(b), restarting initial plan year liabilities, is viewed </w:t>
      </w:r>
      <w:r w:rsidR="009A45DB">
        <w:rPr>
          <w:rFonts w:ascii="Times New Roman" w:hAnsi="Times New Roman" w:cs="Times New Roman"/>
          <w:sz w:val="24"/>
          <w:szCs w:val="24"/>
        </w:rPr>
        <w:t xml:space="preserve">by PBGC </w:t>
      </w:r>
      <w:r w:rsidRPr="005A5A5D">
        <w:rPr>
          <w:rFonts w:ascii="Times New Roman" w:hAnsi="Times New Roman" w:cs="Times New Roman"/>
          <w:sz w:val="24"/>
          <w:szCs w:val="24"/>
        </w:rPr>
        <w:t>as inconsistent with the post SFA-merger withdrawal liability conditions under § 4262.16(f)(3)(iv) and (v).</w:t>
      </w:r>
    </w:p>
    <w:p w:rsidR="00D835D1" w:rsidRPr="005A5A5D" w:rsidP="00C62A12" w14:paraId="40C79B64" w14:textId="77777777">
      <w:pPr>
        <w:pStyle w:val="NormalWeb"/>
        <w:spacing w:before="0" w:beforeAutospacing="0" w:after="0" w:afterAutospacing="0"/>
        <w:rPr>
          <w:rFonts w:ascii="Times New Roman" w:hAnsi="Times New Roman" w:cs="Times New Roman"/>
          <w:sz w:val="24"/>
          <w:szCs w:val="24"/>
        </w:rPr>
      </w:pPr>
    </w:p>
    <w:p w:rsidR="00D835D1" w:rsidRPr="005A5A5D" w:rsidP="00C62A12" w14:paraId="253F5906" w14:textId="5ADDEAE9">
      <w:pPr>
        <w:pStyle w:val="Normal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In PBGC’s view, t</w:t>
      </w:r>
      <w:r w:rsidRPr="005A5A5D" w:rsidR="007260A9">
        <w:rPr>
          <w:rFonts w:ascii="Times New Roman" w:hAnsi="Times New Roman" w:cs="Times New Roman"/>
          <w:sz w:val="24"/>
          <w:szCs w:val="24"/>
        </w:rPr>
        <w:t>he withdrawal liability modification</w:t>
      </w:r>
      <w:r w:rsidRPr="005A5A5D" w:rsidR="00C76696">
        <w:rPr>
          <w:rFonts w:ascii="Times New Roman" w:hAnsi="Times New Roman" w:cs="Times New Roman"/>
          <w:sz w:val="24"/>
          <w:szCs w:val="24"/>
        </w:rPr>
        <w:t xml:space="preserve"> described</w:t>
      </w:r>
      <w:r w:rsidRPr="005A5A5D" w:rsidR="007260A9">
        <w:rPr>
          <w:rFonts w:ascii="Times New Roman" w:hAnsi="Times New Roman" w:cs="Times New Roman"/>
          <w:sz w:val="24"/>
          <w:szCs w:val="24"/>
        </w:rPr>
        <w:t xml:space="preserve"> in § 4211.36(c)(1</w:t>
      </w:r>
      <w:r w:rsidRPr="005A5A5D" w:rsidR="005A413E">
        <w:rPr>
          <w:rFonts w:ascii="Times New Roman" w:hAnsi="Times New Roman" w:cs="Times New Roman"/>
          <w:sz w:val="24"/>
          <w:szCs w:val="24"/>
        </w:rPr>
        <w:t>)</w:t>
      </w:r>
      <w:r w:rsidRPr="005A5A5D" w:rsidR="00C76696">
        <w:rPr>
          <w:rFonts w:ascii="Times New Roman" w:hAnsi="Times New Roman" w:cs="Times New Roman"/>
          <w:sz w:val="24"/>
          <w:szCs w:val="24"/>
        </w:rPr>
        <w:t xml:space="preserve">, adjusting the </w:t>
      </w:r>
      <w:r w:rsidRPr="005A5A5D" w:rsidR="000D0DE4">
        <w:rPr>
          <w:rFonts w:ascii="Times New Roman" w:hAnsi="Times New Roman" w:cs="Times New Roman"/>
          <w:sz w:val="24"/>
          <w:szCs w:val="24"/>
        </w:rPr>
        <w:t>amortization of initial liabilities,</w:t>
      </w:r>
      <w:r w:rsidRPr="005A5A5D" w:rsidR="005A413E">
        <w:rPr>
          <w:rFonts w:ascii="Times New Roman" w:hAnsi="Times New Roman" w:cs="Times New Roman"/>
          <w:sz w:val="24"/>
          <w:szCs w:val="24"/>
        </w:rPr>
        <w:t xml:space="preserve"> </w:t>
      </w:r>
      <w:r w:rsidRPr="005A5A5D" w:rsidR="008A0D68">
        <w:rPr>
          <w:rFonts w:ascii="Times New Roman" w:hAnsi="Times New Roman" w:cs="Times New Roman"/>
          <w:sz w:val="24"/>
          <w:szCs w:val="24"/>
        </w:rPr>
        <w:t xml:space="preserve">may be adopted by a merged plan provided </w:t>
      </w:r>
      <w:r w:rsidRPr="005A5A5D" w:rsidR="002F6B8A">
        <w:rPr>
          <w:rFonts w:ascii="Times New Roman" w:hAnsi="Times New Roman" w:cs="Times New Roman"/>
          <w:sz w:val="24"/>
          <w:szCs w:val="24"/>
        </w:rPr>
        <w:t xml:space="preserve">the modification complies with both §§ 4211 and 4262. </w:t>
      </w:r>
    </w:p>
    <w:p w:rsidR="00F201E3" w:rsidRPr="005A5A5D" w:rsidP="00081424" w14:paraId="4EB52C7E" w14:textId="77777777">
      <w:pPr>
        <w:pStyle w:val="NormalWeb"/>
        <w:spacing w:before="0" w:beforeAutospacing="0" w:after="0" w:afterAutospacing="0"/>
        <w:rPr>
          <w:rFonts w:ascii="Times New Roman" w:hAnsi="Times New Roman" w:cs="Times New Roman"/>
          <w:sz w:val="24"/>
          <w:szCs w:val="24"/>
        </w:rPr>
      </w:pPr>
    </w:p>
    <w:p w:rsidR="00F201E3" w:rsidRPr="005A5A5D" w:rsidP="00081424" w14:paraId="6A7C264F" w14:textId="6515E1A5">
      <w:pPr>
        <w:pStyle w:val="NormalWeb"/>
        <w:spacing w:before="0" w:beforeAutospacing="0" w:after="0" w:afterAutospacing="0"/>
        <w:rPr>
          <w:rFonts w:ascii="Times New Roman" w:hAnsi="Times New Roman" w:cs="Times New Roman"/>
          <w:sz w:val="24"/>
          <w:szCs w:val="24"/>
        </w:rPr>
      </w:pPr>
      <w:r>
        <w:rPr>
          <w:rFonts w:ascii="Times New Roman" w:hAnsi="Times New Roman" w:cs="Times New Roman"/>
          <w:sz w:val="24"/>
          <w:szCs w:val="24"/>
        </w:rPr>
        <w:t>In PBGC’s view, t</w:t>
      </w:r>
      <w:r w:rsidRPr="005A5A5D" w:rsidR="005A413E">
        <w:rPr>
          <w:rFonts w:ascii="Times New Roman" w:hAnsi="Times New Roman" w:cs="Times New Roman"/>
          <w:sz w:val="24"/>
          <w:szCs w:val="24"/>
        </w:rPr>
        <w:t>he withdrawal liability modificatio</w:t>
      </w:r>
      <w:r w:rsidRPr="005A5A5D" w:rsidR="0096557B">
        <w:rPr>
          <w:rFonts w:ascii="Times New Roman" w:hAnsi="Times New Roman" w:cs="Times New Roman"/>
          <w:sz w:val="24"/>
          <w:szCs w:val="24"/>
        </w:rPr>
        <w:t>n described in</w:t>
      </w:r>
      <w:r w:rsidRPr="005A5A5D" w:rsidR="005A413E">
        <w:rPr>
          <w:rFonts w:ascii="Times New Roman" w:hAnsi="Times New Roman" w:cs="Times New Roman"/>
          <w:sz w:val="24"/>
          <w:szCs w:val="24"/>
        </w:rPr>
        <w:t xml:space="preserve"> § 42</w:t>
      </w:r>
      <w:r w:rsidRPr="005A5A5D" w:rsidR="00C55E48">
        <w:rPr>
          <w:rFonts w:ascii="Times New Roman" w:hAnsi="Times New Roman" w:cs="Times New Roman"/>
          <w:sz w:val="24"/>
          <w:szCs w:val="24"/>
        </w:rPr>
        <w:t>11.36(d)</w:t>
      </w:r>
      <w:r w:rsidRPr="005A5A5D" w:rsidR="0096557B">
        <w:rPr>
          <w:rFonts w:ascii="Times New Roman" w:hAnsi="Times New Roman" w:cs="Times New Roman"/>
          <w:sz w:val="24"/>
          <w:szCs w:val="24"/>
        </w:rPr>
        <w:t xml:space="preserve">, adopting an allocation </w:t>
      </w:r>
      <w:r w:rsidRPr="005A5A5D" w:rsidR="00EB3F1B">
        <w:rPr>
          <w:rFonts w:ascii="Times New Roman" w:hAnsi="Times New Roman" w:cs="Times New Roman"/>
          <w:sz w:val="24"/>
          <w:szCs w:val="24"/>
        </w:rPr>
        <w:t>fraction based on a withdrawn employer’s share of contributions instead of UVBs,</w:t>
      </w:r>
      <w:r w:rsidRPr="005A5A5D" w:rsidR="00C55E48">
        <w:rPr>
          <w:rFonts w:ascii="Times New Roman" w:hAnsi="Times New Roman" w:cs="Times New Roman"/>
          <w:sz w:val="24"/>
          <w:szCs w:val="24"/>
        </w:rPr>
        <w:t xml:space="preserve"> may be adopted by a merged plan</w:t>
      </w:r>
      <w:r w:rsidRPr="005A5A5D" w:rsidR="006D2B5A">
        <w:rPr>
          <w:rFonts w:ascii="Times New Roman" w:hAnsi="Times New Roman" w:cs="Times New Roman"/>
          <w:sz w:val="24"/>
          <w:szCs w:val="24"/>
        </w:rPr>
        <w:t xml:space="preserve">. This modification tends to yield an amount of withdrawal liability for SFA plan employers that is closer to the amount the SFA-recipient plan would have determined had it not merged.  By adopting an allocation method which better preserves the amount of withdrawal liability assessable to SFA plan employers, it may be more feasible to </w:t>
      </w:r>
      <w:r w:rsidRPr="005A5A5D" w:rsidR="006D2B5A">
        <w:rPr>
          <w:rFonts w:ascii="Times New Roman" w:hAnsi="Times New Roman" w:cs="Times New Roman"/>
          <w:sz w:val="24"/>
          <w:szCs w:val="24"/>
        </w:rPr>
        <w:t xml:space="preserve">show that the merger will not increase the risk of loss to PBGC and will not be adverse to the overall interests of participants and beneficiaries. </w:t>
      </w:r>
    </w:p>
    <w:p w:rsidR="00080724" w:rsidRPr="0095252B" w:rsidP="0095252B" w14:paraId="78F271F0" w14:textId="266A9D72">
      <w:pPr>
        <w:pStyle w:val="NormalWeb"/>
        <w:rPr>
          <w:rStyle w:val="bumpedfont15"/>
          <w:rFonts w:ascii="Times New Roman" w:hAnsi="Times New Roman" w:cs="Times New Roman"/>
          <w:sz w:val="24"/>
          <w:szCs w:val="24"/>
        </w:rPr>
      </w:pPr>
      <w:r w:rsidRPr="0095252B">
        <w:rPr>
          <w:rStyle w:val="bumpedfont15"/>
          <w:rFonts w:ascii="Times New Roman" w:hAnsi="Times New Roman" w:cs="Times New Roman"/>
          <w:sz w:val="24"/>
          <w:szCs w:val="24"/>
        </w:rPr>
        <w:t xml:space="preserve">To demonstrate </w:t>
      </w:r>
      <w:r w:rsidRPr="0095252B" w:rsidR="00F201E3">
        <w:rPr>
          <w:rStyle w:val="bumpedfont15"/>
          <w:rFonts w:ascii="Times New Roman" w:hAnsi="Times New Roman" w:cs="Times New Roman"/>
          <w:sz w:val="24"/>
          <w:szCs w:val="24"/>
        </w:rPr>
        <w:t xml:space="preserve">how the § 4211.36(d) modification </w:t>
      </w:r>
      <w:r w:rsidRPr="0095252B">
        <w:rPr>
          <w:rStyle w:val="bumpedfont15"/>
          <w:rFonts w:ascii="Times New Roman" w:hAnsi="Times New Roman" w:cs="Times New Roman"/>
          <w:sz w:val="24"/>
          <w:szCs w:val="24"/>
        </w:rPr>
        <w:t xml:space="preserve">works, PBGC </w:t>
      </w:r>
      <w:r w:rsidRPr="0095252B">
        <w:rPr>
          <w:rStyle w:val="bumpedfont15"/>
          <w:rFonts w:ascii="Times New Roman" w:hAnsi="Times New Roman" w:cs="Times New Roman"/>
          <w:sz w:val="24"/>
          <w:szCs w:val="24"/>
        </w:rPr>
        <w:t>will</w:t>
      </w:r>
      <w:r w:rsidRPr="0095252B">
        <w:rPr>
          <w:rStyle w:val="bumpedfont15"/>
          <w:rFonts w:ascii="Times New Roman" w:hAnsi="Times New Roman" w:cs="Times New Roman"/>
          <w:sz w:val="24"/>
          <w:szCs w:val="24"/>
        </w:rPr>
        <w:t xml:space="preserve"> publish </w:t>
      </w:r>
      <w:r w:rsidRPr="0095252B" w:rsidR="00702643">
        <w:rPr>
          <w:rStyle w:val="bumpedfont15"/>
          <w:rFonts w:ascii="Times New Roman" w:hAnsi="Times New Roman" w:cs="Times New Roman"/>
          <w:sz w:val="24"/>
          <w:szCs w:val="24"/>
        </w:rPr>
        <w:t>on its websit</w:t>
      </w:r>
      <w:r w:rsidRPr="0095252B" w:rsidR="00233E2A">
        <w:rPr>
          <w:rStyle w:val="bumpedfont15"/>
          <w:rFonts w:ascii="Times New Roman" w:hAnsi="Times New Roman" w:cs="Times New Roman"/>
          <w:sz w:val="24"/>
          <w:szCs w:val="24"/>
        </w:rPr>
        <w:t>e three examples</w:t>
      </w:r>
      <w:r w:rsidRPr="0095252B" w:rsidR="00F201E3">
        <w:rPr>
          <w:rStyle w:val="bumpedfont15"/>
          <w:rFonts w:ascii="Times New Roman" w:hAnsi="Times New Roman" w:cs="Times New Roman"/>
          <w:sz w:val="24"/>
          <w:szCs w:val="24"/>
        </w:rPr>
        <w:t xml:space="preserve"> to illustrate</w:t>
      </w:r>
      <w:r w:rsidRPr="0095252B" w:rsidR="00233E2A">
        <w:rPr>
          <w:rStyle w:val="bumpedfont15"/>
          <w:rFonts w:ascii="Times New Roman" w:hAnsi="Times New Roman" w:cs="Times New Roman"/>
          <w:sz w:val="24"/>
          <w:szCs w:val="24"/>
        </w:rPr>
        <w:t xml:space="preserve"> how the § 4211.36(d)(1) &amp; (2) modifications reduce volatility in the withdrawing employer’s post-merger withdrawal liability assessment across a range of scenarios, as compared to the allocation method specified under § 4211.32.</w:t>
      </w:r>
      <w:r w:rsidRPr="0095252B">
        <w:rPr>
          <w:rStyle w:val="bumpedfont15"/>
          <w:rFonts w:ascii="Times New Roman" w:hAnsi="Times New Roman" w:cs="Times New Roman"/>
          <w:sz w:val="24"/>
          <w:szCs w:val="24"/>
        </w:rPr>
        <w:t xml:space="preserve"> </w:t>
      </w:r>
      <w:r w:rsidRPr="0095252B" w:rsidR="00364540">
        <w:rPr>
          <w:rStyle w:val="bumpedfont15"/>
          <w:rFonts w:ascii="Times New Roman" w:hAnsi="Times New Roman" w:cs="Times New Roman"/>
          <w:sz w:val="24"/>
          <w:szCs w:val="24"/>
        </w:rPr>
        <w:t>Along with th</w:t>
      </w:r>
      <w:r w:rsidRPr="0095252B" w:rsidR="009D08F5">
        <w:rPr>
          <w:rStyle w:val="bumpedfont15"/>
          <w:rFonts w:ascii="Times New Roman" w:hAnsi="Times New Roman" w:cs="Times New Roman"/>
          <w:sz w:val="24"/>
          <w:szCs w:val="24"/>
        </w:rPr>
        <w:t>ese</w:t>
      </w:r>
      <w:r w:rsidRPr="0095252B" w:rsidR="00364540">
        <w:rPr>
          <w:rStyle w:val="bumpedfont15"/>
          <w:rFonts w:ascii="Times New Roman" w:hAnsi="Times New Roman" w:cs="Times New Roman"/>
          <w:sz w:val="24"/>
          <w:szCs w:val="24"/>
        </w:rPr>
        <w:t xml:space="preserve"> example</w:t>
      </w:r>
      <w:r w:rsidRPr="0095252B" w:rsidR="009D08F5">
        <w:rPr>
          <w:rStyle w:val="bumpedfont15"/>
          <w:rFonts w:ascii="Times New Roman" w:hAnsi="Times New Roman" w:cs="Times New Roman"/>
          <w:sz w:val="24"/>
          <w:szCs w:val="24"/>
        </w:rPr>
        <w:t>s</w:t>
      </w:r>
      <w:r w:rsidRPr="0095252B" w:rsidR="00364540">
        <w:rPr>
          <w:rStyle w:val="bumpedfont15"/>
          <w:rFonts w:ascii="Times New Roman" w:hAnsi="Times New Roman" w:cs="Times New Roman"/>
          <w:sz w:val="24"/>
          <w:szCs w:val="24"/>
        </w:rPr>
        <w:t>, PB</w:t>
      </w:r>
      <w:r w:rsidRPr="0095252B" w:rsidR="009D08F5">
        <w:rPr>
          <w:rStyle w:val="bumpedfont15"/>
          <w:rFonts w:ascii="Times New Roman" w:hAnsi="Times New Roman" w:cs="Times New Roman"/>
          <w:sz w:val="24"/>
          <w:szCs w:val="24"/>
        </w:rPr>
        <w:t>GC will publish</w:t>
      </w:r>
      <w:r w:rsidRPr="0095252B" w:rsidR="00364540">
        <w:rPr>
          <w:rStyle w:val="bumpedfont15"/>
          <w:rFonts w:ascii="Times New Roman" w:hAnsi="Times New Roman" w:cs="Times New Roman"/>
          <w:sz w:val="24"/>
          <w:szCs w:val="24"/>
        </w:rPr>
        <w:t xml:space="preserve"> Frequently Asked Questions on its website to </w:t>
      </w:r>
      <w:r w:rsidRPr="0095252B" w:rsidR="009D08F5">
        <w:rPr>
          <w:rStyle w:val="bumpedfont15"/>
          <w:rFonts w:ascii="Times New Roman" w:hAnsi="Times New Roman" w:cs="Times New Roman"/>
          <w:sz w:val="24"/>
          <w:szCs w:val="24"/>
        </w:rPr>
        <w:t xml:space="preserve">explain why these modifications </w:t>
      </w:r>
      <w:r w:rsidRPr="0095252B" w:rsidR="005A5A5D">
        <w:rPr>
          <w:rStyle w:val="bumpedfont15"/>
          <w:rFonts w:ascii="Times New Roman" w:hAnsi="Times New Roman" w:cs="Times New Roman"/>
          <w:sz w:val="24"/>
          <w:szCs w:val="24"/>
        </w:rPr>
        <w:t>are or are not permitted</w:t>
      </w:r>
      <w:r w:rsidRPr="0095252B" w:rsidR="00364540">
        <w:rPr>
          <w:rStyle w:val="bumpedfont15"/>
          <w:rFonts w:ascii="Times New Roman" w:hAnsi="Times New Roman" w:cs="Times New Roman"/>
          <w:sz w:val="24"/>
          <w:szCs w:val="24"/>
        </w:rPr>
        <w:t xml:space="preserve">, as well as answer some other common questions related to </w:t>
      </w:r>
      <w:r w:rsidRPr="0095252B" w:rsidR="00D0604D">
        <w:rPr>
          <w:rStyle w:val="bumpedfont15"/>
          <w:rFonts w:ascii="Times New Roman" w:hAnsi="Times New Roman" w:cs="Times New Roman"/>
          <w:sz w:val="24"/>
          <w:szCs w:val="24"/>
        </w:rPr>
        <w:t>mergers involving SFA plans</w:t>
      </w:r>
      <w:r w:rsidRPr="0095252B" w:rsidR="00364540">
        <w:rPr>
          <w:rStyle w:val="bumpedfont15"/>
          <w:rFonts w:ascii="Times New Roman" w:hAnsi="Times New Roman" w:cs="Times New Roman"/>
          <w:sz w:val="24"/>
          <w:szCs w:val="24"/>
        </w:rPr>
        <w:t>.</w:t>
      </w:r>
    </w:p>
    <w:p w:rsidR="00080724" w:rsidRPr="005A5A5D" w:rsidP="00A679F1" w14:paraId="04FAEF32" w14:textId="6BD6095E">
      <w:pPr>
        <w:rPr>
          <w:rStyle w:val="bumpedfont15"/>
          <w:rFonts w:cs="Times New Roman"/>
          <w:szCs w:val="24"/>
        </w:rPr>
      </w:pPr>
      <w:r w:rsidRPr="005A5A5D">
        <w:rPr>
          <w:rStyle w:val="bumpedfont15"/>
          <w:rFonts w:cs="Times New Roman"/>
          <w:szCs w:val="24"/>
        </w:rPr>
        <w:t>The</w:t>
      </w:r>
      <w:r w:rsidRPr="005A5A5D" w:rsidR="00536C13">
        <w:rPr>
          <w:rStyle w:val="bumpedfont15"/>
          <w:rFonts w:cs="Times New Roman"/>
          <w:szCs w:val="24"/>
        </w:rPr>
        <w:t>se changes will not impact the time or cost burden associated with this information collection.</w:t>
      </w:r>
    </w:p>
    <w:p w:rsidR="00536C13" w:rsidRPr="005A5A5D" w:rsidP="00A679F1" w14:paraId="5F49447A" w14:textId="77777777">
      <w:pPr>
        <w:rPr>
          <w:rStyle w:val="bumpedfont15"/>
          <w:rFonts w:cs="Times New Roman"/>
          <w:szCs w:val="24"/>
        </w:rPr>
      </w:pPr>
    </w:p>
    <w:p w:rsidR="00536C13" w:rsidRPr="005A5A5D" w:rsidP="00A679F1" w14:paraId="3D501935" w14:textId="0165190F">
      <w:pPr>
        <w:rPr>
          <w:rStyle w:val="bumpedfont15"/>
          <w:rFonts w:cs="Times New Roman"/>
          <w:szCs w:val="24"/>
        </w:rPr>
      </w:pPr>
      <w:r w:rsidRPr="005A5A5D">
        <w:rPr>
          <w:rStyle w:val="bumpedfont15"/>
          <w:rFonts w:cs="Times New Roman"/>
          <w:szCs w:val="24"/>
        </w:rPr>
        <w:t>The Frequently Asked Questions are as follows.</w:t>
      </w:r>
    </w:p>
    <w:p w:rsidR="00536C13" w:rsidRPr="005A5A5D" w:rsidP="00A679F1" w14:paraId="3DF7BFCC" w14:textId="77777777">
      <w:pPr>
        <w:rPr>
          <w:rStyle w:val="bumpedfont15"/>
          <w:rFonts w:cs="Times New Roman"/>
          <w:szCs w:val="24"/>
        </w:rPr>
      </w:pPr>
    </w:p>
    <w:p w:rsidR="008B3F21" w:rsidRPr="005A5A5D" w:rsidP="008B3F21" w14:paraId="646DEABA" w14:textId="77777777">
      <w:pPr>
        <w:jc w:val="center"/>
        <w:rPr>
          <w:rFonts w:cs="Times New Roman"/>
          <w:b/>
          <w:bCs/>
          <w:szCs w:val="24"/>
          <w:u w:val="single"/>
        </w:rPr>
      </w:pPr>
      <w:r w:rsidRPr="005A5A5D">
        <w:rPr>
          <w:rFonts w:cs="Times New Roman"/>
          <w:b/>
          <w:bCs/>
          <w:szCs w:val="24"/>
          <w:u w:val="single"/>
        </w:rPr>
        <w:t>SFA Merger FAQs for Practitioners</w:t>
      </w:r>
    </w:p>
    <w:p w:rsidR="008B3F21" w:rsidRPr="005A5A5D" w:rsidP="008B3F21" w14:paraId="24BAF72A" w14:textId="77777777">
      <w:pPr>
        <w:jc w:val="center"/>
        <w:rPr>
          <w:rFonts w:cs="Times New Roman"/>
          <w:b/>
          <w:bCs/>
          <w:szCs w:val="24"/>
          <w:u w:val="single"/>
        </w:rPr>
      </w:pPr>
    </w:p>
    <w:p w:rsidR="008B3F21" w:rsidRPr="005A5A5D" w:rsidP="008B3F21" w14:paraId="73FFAF28" w14:textId="77777777">
      <w:pPr>
        <w:jc w:val="center"/>
        <w:rPr>
          <w:rFonts w:cs="Times New Roman"/>
          <w:szCs w:val="24"/>
        </w:rPr>
      </w:pPr>
    </w:p>
    <w:p w:rsidR="008B3F21" w:rsidRPr="005A5A5D" w:rsidP="008B3F21" w14:paraId="1BDC6C44" w14:textId="77777777">
      <w:pPr>
        <w:rPr>
          <w:rFonts w:cs="Times New Roman"/>
          <w:b/>
          <w:bCs/>
          <w:i/>
          <w:iCs/>
          <w:szCs w:val="24"/>
        </w:rPr>
      </w:pPr>
      <w:r w:rsidRPr="005A5A5D">
        <w:rPr>
          <w:rFonts w:cs="Times New Roman"/>
          <w:b/>
          <w:bCs/>
          <w:i/>
          <w:iCs/>
          <w:szCs w:val="24"/>
        </w:rPr>
        <w:t>Q: What withdrawal liability method may a merged building and construction industry SFA plan use to comply with § 4262.16(f)(3)(iv) and (v)?</w:t>
      </w:r>
    </w:p>
    <w:p w:rsidR="008B3F21" w:rsidRPr="005A5A5D" w:rsidP="008B3F21" w14:paraId="30706A55" w14:textId="77777777">
      <w:pPr>
        <w:rPr>
          <w:rFonts w:cs="Times New Roman"/>
          <w:b/>
          <w:bCs/>
          <w:i/>
          <w:iCs/>
          <w:szCs w:val="24"/>
        </w:rPr>
      </w:pPr>
    </w:p>
    <w:p w:rsidR="008B3F21" w:rsidRPr="005A5A5D" w:rsidP="008B3F21" w14:paraId="72322951" w14:textId="77777777">
      <w:pPr>
        <w:rPr>
          <w:rFonts w:cs="Times New Roman"/>
          <w:szCs w:val="24"/>
        </w:rPr>
      </w:pPr>
      <w:r w:rsidRPr="005A5A5D">
        <w:rPr>
          <w:rFonts w:cs="Times New Roman"/>
          <w:szCs w:val="24"/>
        </w:rPr>
        <w:t>A: A merged building and construction industry SFA plan must use the post-merger presumptive method described in § 4211.32.</w:t>
      </w:r>
      <w:r>
        <w:rPr>
          <w:rStyle w:val="FootnoteReference"/>
          <w:rFonts w:cs="Times New Roman"/>
          <w:szCs w:val="24"/>
        </w:rPr>
        <w:footnoteReference w:id="3"/>
      </w:r>
      <w:r w:rsidRPr="005A5A5D">
        <w:rPr>
          <w:rFonts w:cs="Times New Roman"/>
          <w:szCs w:val="24"/>
        </w:rPr>
        <w:t xml:space="preserve"> Under this method, </w:t>
      </w:r>
      <w:r w:rsidRPr="0095252B">
        <w:rPr>
          <w:rFonts w:cs="Times New Roman"/>
          <w:szCs w:val="24"/>
        </w:rPr>
        <w:t xml:space="preserve">withdrawal liability is calculated as the sum of an employer’s share of initial plan year unfunded vested benefits (UVBs), annual changes in UVBs post-merger, and reallocated UVBs. </w:t>
      </w:r>
    </w:p>
    <w:p w:rsidR="008B3F21" w:rsidRPr="0095252B" w:rsidP="008B3F21" w14:paraId="149E7558" w14:textId="77777777">
      <w:pPr>
        <w:rPr>
          <w:rFonts w:cs="Times New Roman"/>
          <w:szCs w:val="24"/>
        </w:rPr>
      </w:pPr>
    </w:p>
    <w:p w:rsidR="008B3F21" w:rsidRPr="005A5A5D" w:rsidP="008B3F21" w14:paraId="0968069C" w14:textId="77777777">
      <w:pPr>
        <w:rPr>
          <w:rFonts w:cs="Times New Roman"/>
          <w:szCs w:val="24"/>
        </w:rPr>
      </w:pPr>
      <w:r w:rsidRPr="0095252B">
        <w:rPr>
          <w:rFonts w:cs="Times New Roman"/>
          <w:szCs w:val="24"/>
        </w:rPr>
        <w:t xml:space="preserve">Initial plan year UVBs are the sum of prior plan liabilities and adjusted initial plan year UVBs. </w:t>
      </w:r>
    </w:p>
    <w:p w:rsidR="00121EB1" w:rsidRPr="0095252B" w:rsidP="008B3F21" w14:paraId="18ED6131" w14:textId="77777777">
      <w:pPr>
        <w:rPr>
          <w:rFonts w:cs="Times New Roman"/>
          <w:szCs w:val="24"/>
        </w:rPr>
      </w:pPr>
    </w:p>
    <w:p w:rsidR="008B3F21" w:rsidRPr="0095252B" w:rsidP="008B3F21" w14:paraId="76D23DA6" w14:textId="77777777">
      <w:pPr>
        <w:pStyle w:val="ListParagraph"/>
        <w:numPr>
          <w:ilvl w:val="0"/>
          <w:numId w:val="32"/>
        </w:numPr>
        <w:spacing w:after="160" w:line="278" w:lineRule="auto"/>
        <w:rPr>
          <w:rFonts w:cs="Times New Roman"/>
          <w:szCs w:val="24"/>
        </w:rPr>
      </w:pPr>
      <w:r w:rsidRPr="0095252B">
        <w:rPr>
          <w:rFonts w:cs="Times New Roman"/>
          <w:b/>
          <w:bCs/>
          <w:szCs w:val="24"/>
        </w:rPr>
        <w:t>Prior plan liabilities</w:t>
      </w:r>
      <w:r w:rsidRPr="0095252B">
        <w:rPr>
          <w:rFonts w:cs="Times New Roman"/>
          <w:szCs w:val="24"/>
        </w:rPr>
        <w:t xml:space="preserve"> represent the amount of UVBs that would have been allocated to the employer if it had withdrawn on the first day of the first complete plan year beginning after the effective date of the merger, determined “as if each plan had remained a separate plan.” For employers that contributed to the SFA-recipient plan, this amount would be determined using 4044 rates and the phase-in condition.</w:t>
      </w:r>
    </w:p>
    <w:p w:rsidR="008B3F21" w:rsidRPr="0095252B" w:rsidP="008B3F21" w14:paraId="7A94053C" w14:textId="77777777">
      <w:pPr>
        <w:pStyle w:val="Blockquote"/>
        <w:numPr>
          <w:ilvl w:val="0"/>
          <w:numId w:val="32"/>
        </w:numPr>
        <w:spacing w:line="278" w:lineRule="auto"/>
        <w:ind w:right="0"/>
        <w:jc w:val="left"/>
        <w:rPr>
          <w:rFonts w:cs="Times New Roman"/>
          <w:b/>
          <w:bCs/>
          <w:szCs w:val="24"/>
        </w:rPr>
      </w:pPr>
      <w:r w:rsidRPr="0095252B">
        <w:rPr>
          <w:rFonts w:cs="Times New Roman"/>
          <w:b/>
          <w:bCs/>
          <w:szCs w:val="24"/>
        </w:rPr>
        <w:t xml:space="preserve">Adjusted initial plan year UVBs </w:t>
      </w:r>
      <w:r w:rsidRPr="0095252B">
        <w:rPr>
          <w:rFonts w:cs="Times New Roman"/>
          <w:szCs w:val="24"/>
        </w:rPr>
        <w:t>equal the plan’s UVBs at the close of the first full plan year following the merger less</w:t>
      </w:r>
      <w:r w:rsidRPr="0095252B">
        <w:rPr>
          <w:rFonts w:cs="Times New Roman"/>
          <w:b/>
          <w:bCs/>
          <w:szCs w:val="24"/>
        </w:rPr>
        <w:t xml:space="preserve"> </w:t>
      </w:r>
      <w:r w:rsidRPr="0095252B">
        <w:rPr>
          <w:rFonts w:cs="Times New Roman"/>
          <w:szCs w:val="24"/>
        </w:rPr>
        <w:t>the sum of prior plan liabilities of all employers still contributing.</w:t>
      </w:r>
      <w:r>
        <w:rPr>
          <w:rStyle w:val="FootnoteReference"/>
          <w:rFonts w:cs="Times New Roman"/>
          <w:szCs w:val="24"/>
        </w:rPr>
        <w:footnoteReference w:id="4"/>
      </w:r>
      <w:r w:rsidRPr="0095252B">
        <w:rPr>
          <w:rFonts w:cs="Times New Roman"/>
          <w:szCs w:val="24"/>
        </w:rPr>
        <w:t xml:space="preserve"> Because UVBs from the initial plan year did not “arise” before the merger, these UVBs would not have to be determined using 4044 rates and would not be determined using the phase-in condition.</w:t>
      </w:r>
    </w:p>
    <w:p w:rsidR="008B3F21" w:rsidRPr="0095252B" w:rsidP="0095252B" w14:paraId="1B99B96C" w14:textId="77777777">
      <w:pPr>
        <w:pStyle w:val="Blockquote"/>
        <w:spacing w:after="160" w:line="278" w:lineRule="auto"/>
        <w:ind w:left="720" w:right="0"/>
        <w:jc w:val="left"/>
        <w:rPr>
          <w:rFonts w:cs="Times New Roman"/>
          <w:b/>
          <w:bCs/>
          <w:szCs w:val="24"/>
        </w:rPr>
      </w:pPr>
    </w:p>
    <w:p w:rsidR="008B3F21" w:rsidRPr="005A5A5D" w:rsidP="0095252B" w14:paraId="736B29FD" w14:textId="77777777">
      <w:pPr>
        <w:spacing w:after="160" w:line="278" w:lineRule="auto"/>
        <w:rPr>
          <w:rFonts w:cs="Times New Roman"/>
          <w:szCs w:val="24"/>
        </w:rPr>
      </w:pPr>
      <w:r w:rsidRPr="005A5A5D">
        <w:rPr>
          <w:rFonts w:cs="Times New Roman"/>
          <w:szCs w:val="24"/>
        </w:rPr>
        <w:t xml:space="preserve">An employer’s share of initial plan year UVBs is calculated by multiplying the initial plan year UVBs by an allocation fraction based on the employer’s share of total prior plan UVBs. </w:t>
      </w:r>
    </w:p>
    <w:p w:rsidR="008B3F21" w:rsidRPr="005A5A5D" w:rsidP="0095252B" w14:paraId="798F1371" w14:textId="791C5C32">
      <w:pPr>
        <w:spacing w:after="160" w:line="278" w:lineRule="auto"/>
        <w:rPr>
          <w:rFonts w:cs="Times New Roman"/>
          <w:szCs w:val="24"/>
        </w:rPr>
      </w:pPr>
      <w:r w:rsidRPr="005A5A5D">
        <w:rPr>
          <w:rFonts w:cs="Times New Roman"/>
          <w:szCs w:val="24"/>
        </w:rPr>
        <w:t>PBGC has determined that by using 4044 rates and the phase-in condition to calculate prior plan liabilities, a merged plan’s use of the post-merger presumptive method should comply with §</w:t>
      </w:r>
      <w:r w:rsidR="009A45DB">
        <w:rPr>
          <w:rFonts w:cs="Times New Roman"/>
          <w:szCs w:val="24"/>
        </w:rPr>
        <w:t> </w:t>
      </w:r>
      <w:r w:rsidRPr="005A5A5D">
        <w:rPr>
          <w:rFonts w:cs="Times New Roman"/>
          <w:szCs w:val="24"/>
        </w:rPr>
        <w:t xml:space="preserve">4262.16(f)(3)(iv) and (v). </w:t>
      </w:r>
    </w:p>
    <w:p w:rsidR="008B3F21" w:rsidRPr="005A5A5D" w:rsidP="0095252B" w14:paraId="00E9DDFA" w14:textId="77777777">
      <w:pPr>
        <w:spacing w:after="160" w:line="278" w:lineRule="auto"/>
        <w:rPr>
          <w:rFonts w:cs="Times New Roman"/>
          <w:b/>
          <w:bCs/>
          <w:i/>
          <w:iCs/>
          <w:szCs w:val="24"/>
        </w:rPr>
      </w:pPr>
      <w:r w:rsidRPr="005A5A5D">
        <w:rPr>
          <w:rFonts w:cs="Times New Roman"/>
          <w:b/>
          <w:bCs/>
          <w:i/>
          <w:iCs/>
          <w:szCs w:val="24"/>
        </w:rPr>
        <w:t>Q: May a merged building and construction industry SFA plan restart initial plan year liabilities under § 4211.36(b)?</w:t>
      </w:r>
    </w:p>
    <w:p w:rsidR="008B3F21" w:rsidRPr="005A5A5D" w:rsidP="0095252B" w14:paraId="26F5601E" w14:textId="77777777">
      <w:pPr>
        <w:spacing w:after="160" w:line="278" w:lineRule="auto"/>
        <w:rPr>
          <w:rFonts w:cs="Times New Roman"/>
          <w:szCs w:val="24"/>
        </w:rPr>
      </w:pPr>
      <w:r w:rsidRPr="005A5A5D">
        <w:rPr>
          <w:rFonts w:cs="Times New Roman"/>
          <w:szCs w:val="24"/>
        </w:rPr>
        <w:t xml:space="preserve">A: PBGC generally views restarting initial plan year liabilities as being inconsistent with the post SFA-merger withdrawal liability conditions under § 4262.16(f)(3)(iv) and (v). When a merged plan restarts initial plan year liabilities, it allocates to employers the amount of UVBs in the merged plan at the close of the initial plan year. That modification is inconsistent with the requirement that merged plans use 4044 rates and the phase-in condition to determine UVBs that arose before the date of the merger.  </w:t>
      </w:r>
    </w:p>
    <w:p w:rsidR="008B3F21" w:rsidRPr="005A5A5D" w:rsidP="0095252B" w14:paraId="2E751D64" w14:textId="77777777">
      <w:pPr>
        <w:spacing w:after="160" w:line="278" w:lineRule="auto"/>
        <w:rPr>
          <w:rFonts w:cs="Times New Roman"/>
          <w:b/>
          <w:bCs/>
          <w:i/>
          <w:iCs/>
          <w:szCs w:val="24"/>
        </w:rPr>
      </w:pPr>
      <w:r w:rsidRPr="005A5A5D">
        <w:rPr>
          <w:rFonts w:cs="Times New Roman"/>
          <w:b/>
          <w:bCs/>
          <w:i/>
          <w:iCs/>
          <w:szCs w:val="24"/>
        </w:rPr>
        <w:t>Q: May a merged building and construction industry SFA plan adopt a modification to the post-merger presumptive method under § 4211.36(c)(1)?</w:t>
      </w:r>
    </w:p>
    <w:p w:rsidR="008B3F21" w:rsidRPr="005A5A5D" w:rsidP="0095252B" w14:paraId="5DF55709" w14:textId="65FD7B6A">
      <w:pPr>
        <w:spacing w:after="160" w:line="278" w:lineRule="auto"/>
        <w:rPr>
          <w:rFonts w:cs="Times New Roman"/>
          <w:szCs w:val="24"/>
        </w:rPr>
      </w:pPr>
      <w:r w:rsidRPr="005A5A5D">
        <w:rPr>
          <w:rFonts w:cs="Times New Roman"/>
          <w:szCs w:val="24"/>
        </w:rPr>
        <w:t>A: Yes, so long as the modification complies with both 29 C.F.R. parts 4211 and 4262. Under §</w:t>
      </w:r>
      <w:r w:rsidR="009A45DB">
        <w:rPr>
          <w:rFonts w:cs="Times New Roman"/>
          <w:szCs w:val="24"/>
        </w:rPr>
        <w:t> </w:t>
      </w:r>
      <w:r w:rsidRPr="005A5A5D">
        <w:rPr>
          <w:rFonts w:cs="Times New Roman"/>
          <w:szCs w:val="24"/>
        </w:rPr>
        <w:t>4211.36(c)(1), a plan may adjust the amortization of initial liabilities calculated under §</w:t>
      </w:r>
      <w:r w:rsidR="009A45DB">
        <w:rPr>
          <w:rFonts w:cs="Times New Roman"/>
          <w:szCs w:val="24"/>
        </w:rPr>
        <w:t> </w:t>
      </w:r>
      <w:r w:rsidRPr="005A5A5D">
        <w:rPr>
          <w:rFonts w:cs="Times New Roman"/>
          <w:szCs w:val="24"/>
        </w:rPr>
        <w:t xml:space="preserve">4211.32(b) to amortize those UVBs over the remaining length of the prior plans’ amortization schedules. Instead of calculating initial plan year UVBs as the sum of prior plan liabilities and adjusted initial plan year UVBs, as required under § 4211.32(b), this modification effectively permits the merged plan to preserve the plans’ pre-merger UVB pools. However, consistent with § 4211.21(c), the merged plan must not adopt a method that systematically and substantially over allocates UVBs to employers that did not participate in the SFA-recipient plan before the merger.  </w:t>
      </w:r>
    </w:p>
    <w:p w:rsidR="008B3F21" w:rsidRPr="005A5A5D" w:rsidP="0095252B" w14:paraId="2818E454" w14:textId="77777777">
      <w:pPr>
        <w:spacing w:after="160" w:line="278" w:lineRule="auto"/>
        <w:rPr>
          <w:rFonts w:cs="Times New Roman"/>
          <w:szCs w:val="24"/>
        </w:rPr>
      </w:pPr>
      <w:r w:rsidRPr="005A5A5D">
        <w:rPr>
          <w:rFonts w:cs="Times New Roman"/>
          <w:szCs w:val="24"/>
        </w:rPr>
        <w:t>Plans are encouraged to request an informal consultation to discuss what modification(s) may be available by sending an email to: </w:t>
      </w:r>
      <w:hyperlink r:id="rId10" w:history="1">
        <w:r w:rsidRPr="005A5A5D">
          <w:rPr>
            <w:rStyle w:val="Hyperlink"/>
            <w:rFonts w:cs="Times New Roman"/>
            <w:szCs w:val="24"/>
          </w:rPr>
          <w:t>multiemployerprogram@pbgc.gov</w:t>
        </w:r>
      </w:hyperlink>
    </w:p>
    <w:p w:rsidR="008B3F21" w:rsidRPr="005A5A5D" w:rsidP="0095252B" w14:paraId="5DFC2376" w14:textId="77777777">
      <w:pPr>
        <w:spacing w:after="160" w:line="278" w:lineRule="auto"/>
        <w:rPr>
          <w:rFonts w:cs="Times New Roman"/>
          <w:b/>
          <w:bCs/>
          <w:szCs w:val="24"/>
        </w:rPr>
      </w:pPr>
      <w:r w:rsidRPr="005A5A5D">
        <w:rPr>
          <w:rFonts w:cs="Times New Roman"/>
          <w:b/>
          <w:bCs/>
          <w:i/>
          <w:iCs/>
          <w:szCs w:val="24"/>
        </w:rPr>
        <w:t>Q: May a merged building and construction industry SFA plan adopt modifications to the post-merger presumptive method under</w:t>
      </w:r>
      <w:r w:rsidRPr="005A5A5D">
        <w:rPr>
          <w:rFonts w:cs="Times New Roman"/>
          <w:i/>
          <w:iCs/>
          <w:szCs w:val="24"/>
        </w:rPr>
        <w:t xml:space="preserve"> </w:t>
      </w:r>
      <w:r w:rsidRPr="005A5A5D">
        <w:rPr>
          <w:rFonts w:cs="Times New Roman"/>
          <w:b/>
          <w:bCs/>
          <w:i/>
          <w:iCs/>
          <w:szCs w:val="24"/>
        </w:rPr>
        <w:t>§ 4211.36(d)?</w:t>
      </w:r>
    </w:p>
    <w:p w:rsidR="008B3F21" w:rsidRPr="005A5A5D" w:rsidP="0095252B" w14:paraId="2CE94182" w14:textId="0A59FA05">
      <w:pPr>
        <w:spacing w:after="160" w:line="278" w:lineRule="auto"/>
        <w:rPr>
          <w:rFonts w:cs="Times New Roman"/>
          <w:szCs w:val="24"/>
        </w:rPr>
      </w:pPr>
      <w:r w:rsidRPr="005A5A5D">
        <w:rPr>
          <w:rFonts w:cs="Times New Roman"/>
          <w:szCs w:val="24"/>
        </w:rPr>
        <w:t>A: Yes. Under § 4211.36(d), a plan may be amended to adopt an allocation fraction based on a withdrawn employer’s share of contributions, rather than UVBs. This modification tends to yield an amount of withdrawal liability for SFA plan employers that is closer to the amount the SFA-recipient plan would have determined had it not merged.  By adopting an allocation method which better preserves the amount of withdrawal liability assessable to SFA plan employers, it may be more feasible to show that the merger will not increase the risk of loss to PBGC and will not be adverse to the overall interests of participants and beneficiaries.  An example may be found at [</w:t>
      </w:r>
      <w:r w:rsidRPr="005A5A5D">
        <w:rPr>
          <w:rFonts w:cs="Times New Roman"/>
          <w:szCs w:val="24"/>
          <w:highlight w:val="yellow"/>
        </w:rPr>
        <w:t>insert link to example</w:t>
      </w:r>
      <w:r w:rsidR="00547D5F">
        <w:rPr>
          <w:rFonts w:cs="Times New Roman"/>
          <w:szCs w:val="24"/>
        </w:rPr>
        <w:t>s</w:t>
      </w:r>
      <w:r w:rsidRPr="005A5A5D">
        <w:rPr>
          <w:rFonts w:cs="Times New Roman"/>
          <w:szCs w:val="24"/>
        </w:rPr>
        <w:t>].</w:t>
      </w:r>
    </w:p>
    <w:p w:rsidR="008B3F21" w:rsidRPr="005A5A5D" w:rsidP="00121EB1" w14:paraId="3DD76701" w14:textId="18C8CB69">
      <w:pPr>
        <w:spacing w:after="160" w:line="278" w:lineRule="auto"/>
        <w:rPr>
          <w:rFonts w:cs="Times New Roman"/>
          <w:szCs w:val="24"/>
        </w:rPr>
      </w:pPr>
      <w:r w:rsidRPr="005A5A5D">
        <w:rPr>
          <w:rFonts w:cs="Times New Roman"/>
          <w:szCs w:val="24"/>
        </w:rPr>
        <w:t>Plans are encouraged to request an informal consultation to discuss what modification(s) may be available by sending an email to: </w:t>
      </w:r>
      <w:hyperlink r:id="rId10" w:history="1">
        <w:r w:rsidRPr="005A5A5D">
          <w:rPr>
            <w:rStyle w:val="Hyperlink"/>
            <w:rFonts w:cs="Times New Roman"/>
            <w:szCs w:val="24"/>
          </w:rPr>
          <w:t>multiemployerprogram@pbgc.gov</w:t>
        </w:r>
      </w:hyperlink>
    </w:p>
    <w:p w:rsidR="00121EB1" w:rsidRPr="0095252B" w:rsidP="0095252B" w14:paraId="07FB87E3" w14:textId="77777777">
      <w:pPr>
        <w:spacing w:after="160" w:line="278" w:lineRule="auto"/>
        <w:rPr>
          <w:rFonts w:cs="Times New Roman"/>
          <w:szCs w:val="24"/>
        </w:rPr>
      </w:pPr>
    </w:p>
    <w:p w:rsidR="008B3F21" w:rsidRPr="005A5A5D" w:rsidP="0095252B" w14:paraId="0B975554" w14:textId="77777777">
      <w:pPr>
        <w:spacing w:after="160" w:line="278" w:lineRule="auto"/>
        <w:rPr>
          <w:rFonts w:cs="Times New Roman"/>
          <w:b/>
          <w:bCs/>
          <w:i/>
          <w:szCs w:val="24"/>
        </w:rPr>
      </w:pPr>
      <w:r w:rsidRPr="005A5A5D">
        <w:rPr>
          <w:rFonts w:cs="Times New Roman"/>
          <w:b/>
          <w:bCs/>
          <w:i/>
          <w:iCs/>
          <w:szCs w:val="24"/>
        </w:rPr>
        <w:t>Q: May a merged building and construction industry SFA plan adopt a “fresh start” under ERISA section 4211(c)(5)(E) or 29 C.F.R. § 4211.12(d)?</w:t>
      </w:r>
    </w:p>
    <w:p w:rsidR="008B3F21" w:rsidRPr="005A5A5D" w:rsidP="0095252B" w14:paraId="47B12153" w14:textId="77777777">
      <w:pPr>
        <w:spacing w:after="160" w:line="278" w:lineRule="auto"/>
        <w:rPr>
          <w:rFonts w:cs="Times New Roman"/>
          <w:i/>
          <w:iCs/>
          <w:szCs w:val="24"/>
        </w:rPr>
      </w:pPr>
      <w:r w:rsidRPr="005A5A5D">
        <w:rPr>
          <w:rFonts w:cs="Times New Roman"/>
          <w:szCs w:val="24"/>
        </w:rPr>
        <w:t xml:space="preserve">A: PBGC generally views a statutory or regulatory fresh start as being inconsistent with the post SFA-merger withdrawal liability conditions under § 4262.16(f)(3)(iv) and (v). Because the merged plan would not be required to calculate changes in UVBs before the designated fresh start plan year, a fresh start in any plan year prior to the expiration of the withdrawal liability conditions would mean the plan would not use 4044 rates and the phase-in condition to determine UVBs that arose before the date of the merger. </w:t>
      </w:r>
    </w:p>
    <w:p w:rsidR="008B3F21" w:rsidRPr="005A5A5D" w:rsidP="0095252B" w14:paraId="715854A0" w14:textId="77777777">
      <w:pPr>
        <w:spacing w:after="160" w:line="278" w:lineRule="auto"/>
        <w:rPr>
          <w:rFonts w:cs="Times New Roman"/>
          <w:b/>
          <w:bCs/>
          <w:i/>
          <w:iCs/>
          <w:szCs w:val="24"/>
        </w:rPr>
      </w:pPr>
      <w:r w:rsidRPr="005A5A5D">
        <w:rPr>
          <w:rFonts w:cs="Times New Roman"/>
          <w:b/>
          <w:bCs/>
          <w:i/>
          <w:iCs/>
          <w:szCs w:val="24"/>
        </w:rPr>
        <w:t>Q: May a plan that received SFA merge with another plan that received SFA?</w:t>
      </w:r>
    </w:p>
    <w:p w:rsidR="008B3F21" w:rsidRPr="005A5A5D" w:rsidP="0095252B" w14:paraId="64B37868" w14:textId="77777777">
      <w:pPr>
        <w:spacing w:after="160" w:line="278" w:lineRule="auto"/>
        <w:rPr>
          <w:rFonts w:cs="Times New Roman"/>
          <w:szCs w:val="24"/>
        </w:rPr>
      </w:pPr>
      <w:r w:rsidRPr="005A5A5D">
        <w:rPr>
          <w:rFonts w:cs="Times New Roman"/>
          <w:szCs w:val="24"/>
        </w:rPr>
        <w:t xml:space="preserve">A: A merger between two SFA-recipient plans is not prohibited. Each merger must be considered on its own terms to determine whether the merger increases the risk of loss to PBGC and/or is adverse to the overall interests of participants and beneficiaries.  The merger of two SFA-recipient plans may sometimes concentrate the risk of each plan’s insolvency, in which case the proposed merger might fail the risk of loss standard.  But this is far from a foregone conclusion.  </w:t>
      </w:r>
    </w:p>
    <w:p w:rsidR="008B3F21" w:rsidRPr="005A5A5D" w:rsidP="0095252B" w14:paraId="541F1867" w14:textId="03AF00A7">
      <w:pPr>
        <w:spacing w:after="160" w:line="278" w:lineRule="auto"/>
        <w:rPr>
          <w:rFonts w:cs="Times New Roman"/>
          <w:szCs w:val="24"/>
        </w:rPr>
      </w:pPr>
      <w:r w:rsidRPr="005A5A5D">
        <w:rPr>
          <w:rFonts w:cs="Times New Roman"/>
          <w:szCs w:val="24"/>
        </w:rPr>
        <w:t>To the extent PBGC approves the merger of two SFA-recipients plans, the conditions under §</w:t>
      </w:r>
      <w:r w:rsidR="009A45DB">
        <w:rPr>
          <w:rFonts w:cs="Times New Roman"/>
          <w:szCs w:val="24"/>
        </w:rPr>
        <w:t> </w:t>
      </w:r>
      <w:r w:rsidRPr="005A5A5D">
        <w:rPr>
          <w:rFonts w:cs="Times New Roman"/>
          <w:szCs w:val="24"/>
        </w:rPr>
        <w:t xml:space="preserve">4262.16, including the withdrawal liability conditions under subsection (g), will continue to apply to the merged plan.  </w:t>
      </w:r>
    </w:p>
    <w:p w:rsidR="008B3F21" w:rsidRPr="005A5A5D" w:rsidP="0095252B" w14:paraId="47F81377" w14:textId="77777777">
      <w:pPr>
        <w:spacing w:after="160" w:line="278" w:lineRule="auto"/>
        <w:rPr>
          <w:rFonts w:cs="Times New Roman"/>
          <w:szCs w:val="24"/>
        </w:rPr>
      </w:pPr>
      <w:r w:rsidRPr="005A5A5D">
        <w:rPr>
          <w:rFonts w:cs="Times New Roman"/>
          <w:szCs w:val="24"/>
        </w:rPr>
        <w:t>Plans are encouraged to request an informal consultation to discuss whether they may be good candidates for a dual SFA plan merger by sending an email to: </w:t>
      </w:r>
      <w:hyperlink r:id="rId10" w:history="1">
        <w:r w:rsidRPr="005A5A5D">
          <w:rPr>
            <w:rStyle w:val="Hyperlink"/>
            <w:rFonts w:cs="Times New Roman"/>
            <w:szCs w:val="24"/>
          </w:rPr>
          <w:t>multiemployerprogram@pbgc.gov</w:t>
        </w:r>
      </w:hyperlink>
    </w:p>
    <w:p w:rsidR="008B3F21" w:rsidRPr="005A5A5D" w:rsidP="0095252B" w14:paraId="130F933A" w14:textId="77777777">
      <w:pPr>
        <w:spacing w:after="160" w:line="278" w:lineRule="auto"/>
        <w:rPr>
          <w:rFonts w:cs="Times New Roman"/>
          <w:szCs w:val="24"/>
        </w:rPr>
      </w:pPr>
      <w:r w:rsidRPr="005A5A5D">
        <w:rPr>
          <w:rFonts w:cs="Times New Roman"/>
          <w:szCs w:val="24"/>
        </w:rPr>
        <w:t xml:space="preserve"> </w:t>
      </w:r>
    </w:p>
    <w:p w:rsidR="00536C13" w:rsidRPr="005A5A5D" w:rsidP="0095252B" w14:paraId="3696E719" w14:textId="65C189F1">
      <w:pPr>
        <w:spacing w:after="160" w:line="278" w:lineRule="auto"/>
        <w:rPr>
          <w:rStyle w:val="bumpedfont15"/>
          <w:rFonts w:cs="Times New Roman"/>
          <w:szCs w:val="24"/>
        </w:rPr>
      </w:pPr>
    </w:p>
    <w:sectPr w:rsidSect="00DF611B">
      <w:footerReference w:type="default" r:id="rId11"/>
      <w:footerReference w:type="first" r:id="rId12"/>
      <w:pgSz w:w="12240" w:h="15840" w:code="1"/>
      <w:pgMar w:top="1440" w:right="1440" w:bottom="99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sdt>
    <w:sdtPr>
      <w:id w:val="-431824102"/>
      <w:docPartObj>
        <w:docPartGallery w:val="Page Numbers (Bottom of Page)"/>
        <w:docPartUnique/>
      </w:docPartObj>
    </w:sdtPr>
    <w:sdtEndPr>
      <w:rPr>
        <w:noProof/>
      </w:rPr>
    </w:sdtEndPr>
    <w:sdtContent>
      <w:p w:rsidR="002465D5" w14:paraId="7C5ACF75" w14:textId="1D2A198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465D5" w14:paraId="19197DB0" w14:textId="7777777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1C746B" w14:paraId="75362B0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1D320A" w14:paraId="73B701E9" w14:textId="77777777">
      <w:r>
        <w:separator/>
      </w:r>
    </w:p>
  </w:footnote>
  <w:footnote w:type="continuationSeparator" w:id="1">
    <w:p w:rsidR="001D320A" w14:paraId="4C3CF2E8" w14:textId="77777777">
      <w:r>
        <w:continuationSeparator/>
      </w:r>
    </w:p>
  </w:footnote>
  <w:footnote w:type="continuationNotice" w:id="2">
    <w:p w:rsidR="001D320A" w14:paraId="7894998E" w14:textId="77777777"/>
  </w:footnote>
  <w:footnote w:id="3">
    <w:p w:rsidR="008B3F21" w:rsidRPr="00AF45B9" w:rsidP="008B3F21" w14:paraId="578FC720" w14:textId="77777777">
      <w:pPr>
        <w:pStyle w:val="FootnoteText"/>
      </w:pPr>
      <w:r>
        <w:rPr>
          <w:rStyle w:val="FootnoteReference"/>
        </w:rPr>
        <w:footnoteRef/>
      </w:r>
      <w:r>
        <w:t xml:space="preserve"> </w:t>
      </w:r>
      <w:r>
        <w:rPr>
          <w:i/>
          <w:iCs/>
        </w:rPr>
        <w:t xml:space="preserve">See </w:t>
      </w:r>
      <w:r>
        <w:t xml:space="preserve">29 C.F.R. § 4211.31(b). </w:t>
      </w:r>
    </w:p>
  </w:footnote>
  <w:footnote w:id="4">
    <w:p w:rsidR="008B3F21" w:rsidRPr="00E92827" w:rsidP="008B3F21" w14:paraId="41D6F329" w14:textId="77777777">
      <w:pPr>
        <w:pStyle w:val="FootnoteText"/>
      </w:pPr>
      <w:r>
        <w:rPr>
          <w:rStyle w:val="FootnoteReference"/>
        </w:rPr>
        <w:footnoteRef/>
      </w:r>
      <w:r>
        <w:t xml:space="preserve"> </w:t>
      </w:r>
      <w:r w:rsidRPr="00E92827">
        <w:rPr>
          <w:i/>
          <w:iCs/>
        </w:rPr>
        <w:t>Se</w:t>
      </w:r>
      <w:r w:rsidRPr="00C92AA8">
        <w:rPr>
          <w:i/>
          <w:iCs/>
        </w:rPr>
        <w:t xml:space="preserve">e </w:t>
      </w:r>
      <w:r w:rsidRPr="00C92AA8">
        <w:t>29 C.F.R. § 4211.3</w:t>
      </w:r>
      <w:r>
        <w:t>2</w:t>
      </w:r>
      <w:r w:rsidRPr="00C92AA8">
        <w:t>(b)</w:t>
      </w:r>
      <w:r>
        <w:t>(2)</w:t>
      </w:r>
      <w:r w:rsidRPr="00C92AA8">
        <w:t>.</w:t>
      </w:r>
    </w:p>
    <w:p w:rsidR="008B3F21" w:rsidP="008B3F21" w14:paraId="6E3B523E" w14:textId="77777777">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nsid w:val="00A31545"/>
    <w:multiLevelType w:val="multilevel"/>
    <w:tmpl w:val="4448CEFC"/>
    <w:lvl w:ilvl="0">
      <w:start w:val="1"/>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
    <w:nsid w:val="04D75316"/>
    <w:multiLevelType w:val="hybridMultilevel"/>
    <w:tmpl w:val="DB0871C2"/>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
    <w:nsid w:val="06D96E51"/>
    <w:multiLevelType w:val="multilevel"/>
    <w:tmpl w:val="DC149148"/>
    <w:lvl w:ilvl="0">
      <w:start w:val="6"/>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3">
    <w:nsid w:val="08B35B62"/>
    <w:multiLevelType w:val="multilevel"/>
    <w:tmpl w:val="BD90DA24"/>
    <w:styleLink w:val="Headings"/>
    <w:lvl w:ilvl="0">
      <w:start w:val="1"/>
      <w:numFmt w:val="upperRoman"/>
      <w:lvlText w:val="%1."/>
      <w:lvlJc w:val="left"/>
      <w:pPr>
        <w:ind w:left="720" w:hanging="720"/>
      </w:pPr>
      <w:rPr>
        <w:rFonts w:hint="default"/>
      </w:rPr>
    </w:lvl>
    <w:lvl w:ilvl="1">
      <w:start w:val="1"/>
      <w:numFmt w:val="upperLetter"/>
      <w:lvlText w:val="%2."/>
      <w:lvlJc w:val="left"/>
      <w:pPr>
        <w:ind w:left="1440" w:hanging="720"/>
      </w:pPr>
      <w:rPr>
        <w:rFonts w:hint="default"/>
      </w:rPr>
    </w:lvl>
    <w:lvl w:ilvl="2">
      <w:start w:val="1"/>
      <w:numFmt w:val="decimal"/>
      <w:lvlText w:val="%3."/>
      <w:lvlJc w:val="left"/>
      <w:pPr>
        <w:ind w:left="2160" w:hanging="720"/>
      </w:pPr>
      <w:rPr>
        <w:rFonts w:hint="default"/>
      </w:rPr>
    </w:lvl>
    <w:lvl w:ilvl="3">
      <w:start w:val="1"/>
      <w:numFmt w:val="lowerLetter"/>
      <w:lvlText w:val="%4."/>
      <w:lvlJc w:val="left"/>
      <w:pPr>
        <w:ind w:left="2880" w:hanging="720"/>
      </w:pPr>
      <w:rPr>
        <w:rFonts w:ascii="Times New Roman" w:hAnsi="Times New Roman" w:eastAsiaTheme="majorEastAsia" w:cstheme="majorBidi" w:hint="default"/>
      </w:rPr>
    </w:lvl>
    <w:lvl w:ilvl="4">
      <w:start w:val="1"/>
      <w:numFmt w:val="decimal"/>
      <w:lvlText w:val="(%5)"/>
      <w:lvlJc w:val="left"/>
      <w:pPr>
        <w:ind w:left="3600" w:hanging="720"/>
      </w:pPr>
      <w:rPr>
        <w:rFonts w:hint="default"/>
      </w:rPr>
    </w:lvl>
    <w:lvl w:ilvl="5">
      <w:start w:val="1"/>
      <w:numFmt w:val="lowerLetter"/>
      <w:lvlText w:val="(%6)"/>
      <w:lvlJc w:val="left"/>
      <w:pPr>
        <w:ind w:left="4320" w:hanging="720"/>
      </w:pPr>
      <w:rPr>
        <w:rFonts w:hint="default"/>
      </w:rPr>
    </w:lvl>
    <w:lvl w:ilvl="6">
      <w:start w:val="1"/>
      <w:numFmt w:val="upperRoman"/>
      <w:lvlText w:val="(%7)"/>
      <w:lvlJc w:val="left"/>
      <w:pPr>
        <w:ind w:left="5040" w:hanging="720"/>
      </w:pPr>
      <w:rPr>
        <w:rFonts w:hint="default"/>
      </w:rPr>
    </w:lvl>
    <w:lvl w:ilvl="7">
      <w:start w:val="1"/>
      <w:numFmt w:val="upperLetter"/>
      <w:lvlText w:val="(%8)"/>
      <w:lvlJc w:val="left"/>
      <w:pPr>
        <w:ind w:left="5760" w:hanging="720"/>
      </w:pPr>
      <w:rPr>
        <w:rFonts w:hint="default"/>
      </w:rPr>
    </w:lvl>
    <w:lvl w:ilvl="8">
      <w:start w:val="1"/>
      <w:numFmt w:val="lowerRoman"/>
      <w:lvlText w:val="(%9)"/>
      <w:lvlJc w:val="left"/>
      <w:pPr>
        <w:ind w:left="6480" w:hanging="720"/>
      </w:pPr>
      <w:rPr>
        <w:rFonts w:hint="default"/>
      </w:rPr>
    </w:lvl>
  </w:abstractNum>
  <w:abstractNum w:abstractNumId="4">
    <w:nsid w:val="0BA01F9E"/>
    <w:multiLevelType w:val="hybridMultilevel"/>
    <w:tmpl w:val="7372363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5">
    <w:nsid w:val="0DB80C5B"/>
    <w:multiLevelType w:val="hybridMultilevel"/>
    <w:tmpl w:val="C7EE772E"/>
    <w:lvl w:ilvl="0">
      <w:start w:val="4010"/>
      <w:numFmt w:val="bullet"/>
      <w:lvlText w:val=""/>
      <w:lvlJc w:val="left"/>
      <w:pPr>
        <w:ind w:left="720" w:hanging="360"/>
      </w:pPr>
      <w:rPr>
        <w:rFonts w:ascii="Symbol" w:hAnsi="Symbol"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6">
    <w:nsid w:val="122F3BB5"/>
    <w:multiLevelType w:val="hybridMultilevel"/>
    <w:tmpl w:val="71FAF610"/>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7">
    <w:nsid w:val="13927AC5"/>
    <w:multiLevelType w:val="hybridMultilevel"/>
    <w:tmpl w:val="32F0914C"/>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8">
    <w:nsid w:val="18412719"/>
    <w:multiLevelType w:val="multilevel"/>
    <w:tmpl w:val="62220E70"/>
    <w:lvl w:ilvl="0">
      <w:start w:val="1"/>
      <w:numFmt w:val="upperLetter"/>
      <w:lvlText w:val="%1."/>
      <w:lvlJc w:val="left"/>
      <w:pPr>
        <w:tabs>
          <w:tab w:val="num" w:pos="720"/>
        </w:tabs>
        <w:ind w:left="720" w:hanging="360"/>
      </w:pPr>
    </w:lvl>
    <w:lvl w:ilvl="1">
      <w:start w:val="1"/>
      <w:numFmt w:val="upperLetter"/>
      <w:lvlText w:val="%2."/>
      <w:lvlJc w:val="left"/>
      <w:pPr>
        <w:tabs>
          <w:tab w:val="num" w:pos="720"/>
        </w:tabs>
        <w:ind w:left="72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9">
    <w:nsid w:val="1B1416A0"/>
    <w:multiLevelType w:val="multilevel"/>
    <w:tmpl w:val="700E3980"/>
    <w:lvl w:ilvl="0">
      <w:start w:val="5"/>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0">
    <w:nsid w:val="22B940BF"/>
    <w:multiLevelType w:val="hybridMultilevel"/>
    <w:tmpl w:val="4DC85F88"/>
    <w:lvl w:ilvl="0">
      <w:start w:val="4010"/>
      <w:numFmt w:val="bullet"/>
      <w:lvlText w:val=""/>
      <w:lvlJc w:val="left"/>
      <w:pPr>
        <w:ind w:left="720" w:hanging="360"/>
      </w:pPr>
      <w:rPr>
        <w:rFonts w:ascii="Symbol" w:hAnsi="Symbol"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1">
    <w:nsid w:val="24AC1153"/>
    <w:multiLevelType w:val="multilevel"/>
    <w:tmpl w:val="A1EAF576"/>
    <w:lvl w:ilvl="0">
      <w:start w:val="7"/>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2">
    <w:nsid w:val="25F14974"/>
    <w:multiLevelType w:val="multilevel"/>
    <w:tmpl w:val="75CA697C"/>
    <w:lvl w:ilvl="0">
      <w:start w:val="2"/>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3">
    <w:nsid w:val="28F50C7A"/>
    <w:multiLevelType w:val="hybridMultilevel"/>
    <w:tmpl w:val="B5BEA7F8"/>
    <w:lvl w:ilvl="0">
      <w:start w:val="4010"/>
      <w:numFmt w:val="bullet"/>
      <w:lvlText w:val=""/>
      <w:lvlJc w:val="left"/>
      <w:pPr>
        <w:ind w:left="720" w:hanging="360"/>
      </w:pPr>
      <w:rPr>
        <w:rFonts w:ascii="Symbol" w:hAnsi="Symbol"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2D3C096E"/>
    <w:multiLevelType w:val="hybridMultilevel"/>
    <w:tmpl w:val="D7FC945A"/>
    <w:lvl w:ilvl="0">
      <w:start w:val="1"/>
      <w:numFmt w:val="lowerLetter"/>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5">
    <w:nsid w:val="2DB35736"/>
    <w:multiLevelType w:val="multilevel"/>
    <w:tmpl w:val="EE888A9A"/>
    <w:lvl w:ilvl="0">
      <w:start w:val="8"/>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6">
    <w:nsid w:val="32523A55"/>
    <w:multiLevelType w:val="multilevel"/>
    <w:tmpl w:val="BD90DA24"/>
    <w:numStyleLink w:val="Headings"/>
  </w:abstractNum>
  <w:abstractNum w:abstractNumId="17">
    <w:nsid w:val="33673D5A"/>
    <w:multiLevelType w:val="hybridMultilevel"/>
    <w:tmpl w:val="EB76C346"/>
    <w:lvl w:ilvl="0">
      <w:start w:val="1"/>
      <w:numFmt w:val="upperLetter"/>
      <w:lvlText w:val="%1."/>
      <w:lvlJc w:val="left"/>
      <w:pPr>
        <w:ind w:left="1440" w:hanging="360"/>
      </w:pPr>
      <w:rPr>
        <w:rFonts w:hint="default"/>
      </w:r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8">
    <w:nsid w:val="35344CD0"/>
    <w:multiLevelType w:val="multilevel"/>
    <w:tmpl w:val="208AAD34"/>
    <w:lvl w:ilvl="0">
      <w:start w:val="3"/>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19">
    <w:nsid w:val="36257A07"/>
    <w:multiLevelType w:val="multilevel"/>
    <w:tmpl w:val="6D5849CA"/>
    <w:lvl w:ilvl="0">
      <w:start w:val="3"/>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0">
    <w:nsid w:val="393E37C6"/>
    <w:multiLevelType w:val="hybridMultilevel"/>
    <w:tmpl w:val="C0A27D30"/>
    <w:lvl w:ilvl="0">
      <w:start w:val="4010"/>
      <w:numFmt w:val="bullet"/>
      <w:lvlText w:val=""/>
      <w:lvlJc w:val="left"/>
      <w:pPr>
        <w:ind w:left="720" w:hanging="360"/>
      </w:pPr>
      <w:rPr>
        <w:rFonts w:ascii="Symbol" w:hAnsi="Symbol" w:eastAsiaTheme="minorHAnsi" w:cs="Times New Roman"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41D42103"/>
    <w:multiLevelType w:val="multilevel"/>
    <w:tmpl w:val="5D0AE17A"/>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22">
    <w:nsid w:val="4B083CE7"/>
    <w:multiLevelType w:val="hybridMultilevel"/>
    <w:tmpl w:val="39C47DB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3">
    <w:nsid w:val="4B926792"/>
    <w:multiLevelType w:val="hybridMultilevel"/>
    <w:tmpl w:val="18F840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nsid w:val="4CEB160B"/>
    <w:multiLevelType w:val="hybridMultilevel"/>
    <w:tmpl w:val="B8AE9640"/>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5">
    <w:nsid w:val="54062A2A"/>
    <w:multiLevelType w:val="multilevel"/>
    <w:tmpl w:val="7D72E022"/>
    <w:lvl w:ilvl="0">
      <w:start w:val="4"/>
      <w:numFmt w:val="upperRoman"/>
      <w:lvlText w:val="%1."/>
      <w:lvlJc w:val="right"/>
      <w:pPr>
        <w:tabs>
          <w:tab w:val="num" w:pos="720"/>
        </w:tabs>
        <w:ind w:left="720" w:hanging="360"/>
      </w:pPr>
    </w:lvl>
    <w:lvl w:ilvl="1">
      <w:start w:val="1"/>
      <w:numFmt w:val="upperRoman"/>
      <w:lvlText w:val="%2."/>
      <w:lvlJc w:val="right"/>
      <w:pPr>
        <w:tabs>
          <w:tab w:val="num" w:pos="1440"/>
        </w:tabs>
        <w:ind w:left="1440" w:hanging="360"/>
      </w:pPr>
    </w:lvl>
    <w:lvl w:ilvl="2">
      <w:start w:val="1"/>
      <w:numFmt w:val="upperRoman"/>
      <w:lvlText w:val="%3."/>
      <w:lvlJc w:val="right"/>
      <w:pPr>
        <w:tabs>
          <w:tab w:val="num" w:pos="2160"/>
        </w:tabs>
        <w:ind w:left="2160" w:hanging="360"/>
      </w:pPr>
    </w:lvl>
    <w:lvl w:ilvl="3">
      <w:start w:val="1"/>
      <w:numFmt w:val="upperRoman"/>
      <w:lvlText w:val="%4."/>
      <w:lvlJc w:val="right"/>
      <w:pPr>
        <w:tabs>
          <w:tab w:val="num" w:pos="2880"/>
        </w:tabs>
        <w:ind w:left="2880" w:hanging="360"/>
      </w:pPr>
    </w:lvl>
    <w:lvl w:ilvl="4">
      <w:start w:val="1"/>
      <w:numFmt w:val="upperRoman"/>
      <w:lvlText w:val="%5."/>
      <w:lvlJc w:val="right"/>
      <w:pPr>
        <w:tabs>
          <w:tab w:val="num" w:pos="3600"/>
        </w:tabs>
        <w:ind w:left="3600" w:hanging="360"/>
      </w:pPr>
    </w:lvl>
    <w:lvl w:ilvl="5">
      <w:start w:val="1"/>
      <w:numFmt w:val="upperRoman"/>
      <w:lvlText w:val="%6."/>
      <w:lvlJc w:val="right"/>
      <w:pPr>
        <w:tabs>
          <w:tab w:val="num" w:pos="4320"/>
        </w:tabs>
        <w:ind w:left="4320" w:hanging="360"/>
      </w:pPr>
    </w:lvl>
    <w:lvl w:ilvl="6">
      <w:start w:val="1"/>
      <w:numFmt w:val="upperRoman"/>
      <w:lvlText w:val="%7."/>
      <w:lvlJc w:val="right"/>
      <w:pPr>
        <w:tabs>
          <w:tab w:val="num" w:pos="5040"/>
        </w:tabs>
        <w:ind w:left="5040" w:hanging="360"/>
      </w:pPr>
    </w:lvl>
    <w:lvl w:ilvl="7">
      <w:start w:val="1"/>
      <w:numFmt w:val="upperRoman"/>
      <w:lvlText w:val="%8."/>
      <w:lvlJc w:val="right"/>
      <w:pPr>
        <w:tabs>
          <w:tab w:val="num" w:pos="5760"/>
        </w:tabs>
        <w:ind w:left="5760" w:hanging="360"/>
      </w:pPr>
    </w:lvl>
    <w:lvl w:ilvl="8">
      <w:start w:val="1"/>
      <w:numFmt w:val="upperRoman"/>
      <w:lvlText w:val="%9."/>
      <w:lvlJc w:val="right"/>
      <w:pPr>
        <w:tabs>
          <w:tab w:val="num" w:pos="6480"/>
        </w:tabs>
        <w:ind w:left="6480" w:hanging="360"/>
      </w:pPr>
    </w:lvl>
  </w:abstractNum>
  <w:abstractNum w:abstractNumId="26">
    <w:nsid w:val="55265127"/>
    <w:multiLevelType w:val="hybridMultilevel"/>
    <w:tmpl w:val="0D7C907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5BD41B4E"/>
    <w:multiLevelType w:val="hybridMultilevel"/>
    <w:tmpl w:val="B8926B0A"/>
    <w:lvl w:ilvl="0">
      <w:start w:val="1"/>
      <w:numFmt w:val="upperLetter"/>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8">
    <w:nsid w:val="5CBA0A21"/>
    <w:multiLevelType w:val="multilevel"/>
    <w:tmpl w:val="64DEF7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nsid w:val="69721268"/>
    <w:multiLevelType w:val="multilevel"/>
    <w:tmpl w:val="C9EE2F8A"/>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0">
    <w:nsid w:val="6CEB4257"/>
    <w:multiLevelType w:val="multilevel"/>
    <w:tmpl w:val="A8C622F4"/>
    <w:lvl w:ilvl="0">
      <w:start w:val="1"/>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abstractNum w:abstractNumId="31">
    <w:nsid w:val="7C935CA0"/>
    <w:multiLevelType w:val="multilevel"/>
    <w:tmpl w:val="6A56C268"/>
    <w:lvl w:ilvl="0">
      <w:start w:val="2"/>
      <w:numFmt w:val="upperLetter"/>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upperLetter"/>
      <w:lvlText w:val="%3."/>
      <w:lvlJc w:val="left"/>
      <w:pPr>
        <w:tabs>
          <w:tab w:val="num" w:pos="2160"/>
        </w:tabs>
        <w:ind w:left="2160" w:hanging="360"/>
      </w:pPr>
    </w:lvl>
    <w:lvl w:ilvl="3">
      <w:start w:val="1"/>
      <w:numFmt w:val="upperLetter"/>
      <w:lvlText w:val="%4."/>
      <w:lvlJc w:val="left"/>
      <w:pPr>
        <w:tabs>
          <w:tab w:val="num" w:pos="2880"/>
        </w:tabs>
        <w:ind w:left="2880" w:hanging="360"/>
      </w:pPr>
    </w:lvl>
    <w:lvl w:ilvl="4">
      <w:start w:val="1"/>
      <w:numFmt w:val="upperLetter"/>
      <w:lvlText w:val="%5."/>
      <w:lvlJc w:val="left"/>
      <w:pPr>
        <w:tabs>
          <w:tab w:val="num" w:pos="3600"/>
        </w:tabs>
        <w:ind w:left="3600" w:hanging="360"/>
      </w:pPr>
    </w:lvl>
    <w:lvl w:ilvl="5">
      <w:start w:val="1"/>
      <w:numFmt w:val="upperLetter"/>
      <w:lvlText w:val="%6."/>
      <w:lvlJc w:val="left"/>
      <w:pPr>
        <w:tabs>
          <w:tab w:val="num" w:pos="4320"/>
        </w:tabs>
        <w:ind w:left="4320" w:hanging="360"/>
      </w:pPr>
    </w:lvl>
    <w:lvl w:ilvl="6">
      <w:start w:val="1"/>
      <w:numFmt w:val="upperLetter"/>
      <w:lvlText w:val="%7."/>
      <w:lvlJc w:val="left"/>
      <w:pPr>
        <w:tabs>
          <w:tab w:val="num" w:pos="5040"/>
        </w:tabs>
        <w:ind w:left="5040" w:hanging="360"/>
      </w:pPr>
    </w:lvl>
    <w:lvl w:ilvl="7">
      <w:start w:val="1"/>
      <w:numFmt w:val="upperLetter"/>
      <w:lvlText w:val="%8."/>
      <w:lvlJc w:val="left"/>
      <w:pPr>
        <w:tabs>
          <w:tab w:val="num" w:pos="5760"/>
        </w:tabs>
        <w:ind w:left="5760" w:hanging="360"/>
      </w:pPr>
    </w:lvl>
    <w:lvl w:ilvl="8">
      <w:start w:val="1"/>
      <w:numFmt w:val="upperLetter"/>
      <w:lvlText w:val="%9."/>
      <w:lvlJc w:val="left"/>
      <w:pPr>
        <w:tabs>
          <w:tab w:val="num" w:pos="6480"/>
        </w:tabs>
        <w:ind w:left="6480" w:hanging="360"/>
      </w:pPr>
    </w:lvl>
  </w:abstractNum>
  <w:num w:numId="1" w16cid:durableId="1414737179">
    <w:abstractNumId w:val="24"/>
  </w:num>
  <w:num w:numId="2" w16cid:durableId="44866400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5029758">
    <w:abstractNumId w:val="4"/>
  </w:num>
  <w:num w:numId="4" w16cid:durableId="1375042505">
    <w:abstractNumId w:val="5"/>
  </w:num>
  <w:num w:numId="5" w16cid:durableId="1558781478">
    <w:abstractNumId w:val="20"/>
  </w:num>
  <w:num w:numId="6" w16cid:durableId="1582056432">
    <w:abstractNumId w:val="10"/>
  </w:num>
  <w:num w:numId="7" w16cid:durableId="1466200726">
    <w:abstractNumId w:val="13"/>
  </w:num>
  <w:num w:numId="8" w16cid:durableId="95239505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903830689">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167397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92316058">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49639305">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73995561">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629687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135785347">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99897044">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652600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5929418">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9759300">
    <w:abstractNumId w:val="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3044853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0692288">
    <w:abstractNumId w:val="15"/>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33498020">
    <w:abstractNumId w:val="27"/>
  </w:num>
  <w:num w:numId="23" w16cid:durableId="1748456615">
    <w:abstractNumId w:val="1"/>
  </w:num>
  <w:num w:numId="24" w16cid:durableId="461509178">
    <w:abstractNumId w:val="6"/>
  </w:num>
  <w:num w:numId="25" w16cid:durableId="443693603">
    <w:abstractNumId w:val="14"/>
  </w:num>
  <w:num w:numId="26" w16cid:durableId="1740667331">
    <w:abstractNumId w:val="17"/>
  </w:num>
  <w:num w:numId="27" w16cid:durableId="1407414001">
    <w:abstractNumId w:val="3"/>
  </w:num>
  <w:num w:numId="28" w16cid:durableId="284821753">
    <w:abstractNumId w:val="16"/>
  </w:num>
  <w:num w:numId="29" w16cid:durableId="1797135783">
    <w:abstractNumId w:val="26"/>
  </w:num>
  <w:num w:numId="30" w16cid:durableId="365764579">
    <w:abstractNumId w:val="23"/>
  </w:num>
  <w:num w:numId="31" w16cid:durableId="48962525">
    <w:abstractNumId w:val="22"/>
  </w:num>
  <w:num w:numId="32" w16cid:durableId="119341576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displayVerticalDrawingGridEvery w:val="2"/>
  <w:characterSpacingControl w:val="doNotCompress"/>
  <w:footnotePr>
    <w:footnote w:id="0"/>
    <w:footnote w:id="1"/>
    <w:footnote w:id="2"/>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76FE"/>
    <w:rsid w:val="0000209F"/>
    <w:rsid w:val="00003373"/>
    <w:rsid w:val="0000644C"/>
    <w:rsid w:val="00010AC5"/>
    <w:rsid w:val="000112C9"/>
    <w:rsid w:val="00011DE1"/>
    <w:rsid w:val="00014968"/>
    <w:rsid w:val="00016F8A"/>
    <w:rsid w:val="00020600"/>
    <w:rsid w:val="00025120"/>
    <w:rsid w:val="000259E3"/>
    <w:rsid w:val="000266D7"/>
    <w:rsid w:val="00027B3F"/>
    <w:rsid w:val="00033CA5"/>
    <w:rsid w:val="000571D5"/>
    <w:rsid w:val="00060207"/>
    <w:rsid w:val="00062B89"/>
    <w:rsid w:val="00063EDC"/>
    <w:rsid w:val="0006734A"/>
    <w:rsid w:val="00070EB7"/>
    <w:rsid w:val="0007287C"/>
    <w:rsid w:val="000728A3"/>
    <w:rsid w:val="00074D7F"/>
    <w:rsid w:val="00076F49"/>
    <w:rsid w:val="00080724"/>
    <w:rsid w:val="0008093D"/>
    <w:rsid w:val="00081424"/>
    <w:rsid w:val="000868AA"/>
    <w:rsid w:val="00086CA2"/>
    <w:rsid w:val="000914D7"/>
    <w:rsid w:val="00093D7E"/>
    <w:rsid w:val="000A4CBC"/>
    <w:rsid w:val="000A6DED"/>
    <w:rsid w:val="000B1103"/>
    <w:rsid w:val="000B19F5"/>
    <w:rsid w:val="000B50DC"/>
    <w:rsid w:val="000B56E1"/>
    <w:rsid w:val="000C036E"/>
    <w:rsid w:val="000C0C5F"/>
    <w:rsid w:val="000C2C31"/>
    <w:rsid w:val="000C5398"/>
    <w:rsid w:val="000C7752"/>
    <w:rsid w:val="000C7DBE"/>
    <w:rsid w:val="000D0DE4"/>
    <w:rsid w:val="000D1A74"/>
    <w:rsid w:val="000D3CA2"/>
    <w:rsid w:val="000D761D"/>
    <w:rsid w:val="000E6BD8"/>
    <w:rsid w:val="000F18AD"/>
    <w:rsid w:val="000F4EC3"/>
    <w:rsid w:val="000F6C37"/>
    <w:rsid w:val="000F72F2"/>
    <w:rsid w:val="00102C6E"/>
    <w:rsid w:val="00105C0B"/>
    <w:rsid w:val="00106AFB"/>
    <w:rsid w:val="001105B9"/>
    <w:rsid w:val="00113A24"/>
    <w:rsid w:val="00116CF6"/>
    <w:rsid w:val="00120448"/>
    <w:rsid w:val="00121EB1"/>
    <w:rsid w:val="00124256"/>
    <w:rsid w:val="001301C7"/>
    <w:rsid w:val="00132391"/>
    <w:rsid w:val="00137F8F"/>
    <w:rsid w:val="0014435E"/>
    <w:rsid w:val="001444FB"/>
    <w:rsid w:val="00152829"/>
    <w:rsid w:val="001602B7"/>
    <w:rsid w:val="00172104"/>
    <w:rsid w:val="00172543"/>
    <w:rsid w:val="00183EC0"/>
    <w:rsid w:val="00186539"/>
    <w:rsid w:val="001925E6"/>
    <w:rsid w:val="001963C8"/>
    <w:rsid w:val="001A3A07"/>
    <w:rsid w:val="001A4C5B"/>
    <w:rsid w:val="001A5544"/>
    <w:rsid w:val="001A5C8A"/>
    <w:rsid w:val="001B0280"/>
    <w:rsid w:val="001B08A9"/>
    <w:rsid w:val="001B10A7"/>
    <w:rsid w:val="001B15C8"/>
    <w:rsid w:val="001B3AEB"/>
    <w:rsid w:val="001B4D0D"/>
    <w:rsid w:val="001B5802"/>
    <w:rsid w:val="001B5E32"/>
    <w:rsid w:val="001B5FAA"/>
    <w:rsid w:val="001B74AA"/>
    <w:rsid w:val="001C1FCB"/>
    <w:rsid w:val="001C3BD7"/>
    <w:rsid w:val="001C4744"/>
    <w:rsid w:val="001C4F65"/>
    <w:rsid w:val="001C5276"/>
    <w:rsid w:val="001C5847"/>
    <w:rsid w:val="001C746B"/>
    <w:rsid w:val="001D0C99"/>
    <w:rsid w:val="001D0FAC"/>
    <w:rsid w:val="001D1C4F"/>
    <w:rsid w:val="001D320A"/>
    <w:rsid w:val="001D5DD6"/>
    <w:rsid w:val="001E39BE"/>
    <w:rsid w:val="001E5CD0"/>
    <w:rsid w:val="002008D1"/>
    <w:rsid w:val="002079C8"/>
    <w:rsid w:val="002139B3"/>
    <w:rsid w:val="00214CA2"/>
    <w:rsid w:val="00217516"/>
    <w:rsid w:val="00221FE2"/>
    <w:rsid w:val="0022452C"/>
    <w:rsid w:val="00225448"/>
    <w:rsid w:val="002317D5"/>
    <w:rsid w:val="00233E2A"/>
    <w:rsid w:val="00233F00"/>
    <w:rsid w:val="0024229E"/>
    <w:rsid w:val="002465D5"/>
    <w:rsid w:val="00251DAE"/>
    <w:rsid w:val="0025762B"/>
    <w:rsid w:val="00262DC6"/>
    <w:rsid w:val="0026718E"/>
    <w:rsid w:val="00267AB0"/>
    <w:rsid w:val="00270471"/>
    <w:rsid w:val="00271237"/>
    <w:rsid w:val="00283837"/>
    <w:rsid w:val="002856E3"/>
    <w:rsid w:val="00285708"/>
    <w:rsid w:val="00287942"/>
    <w:rsid w:val="002A33DB"/>
    <w:rsid w:val="002A4F4B"/>
    <w:rsid w:val="002B25D0"/>
    <w:rsid w:val="002B324E"/>
    <w:rsid w:val="002B464A"/>
    <w:rsid w:val="002C1D2C"/>
    <w:rsid w:val="002C239E"/>
    <w:rsid w:val="002C2F30"/>
    <w:rsid w:val="002C419F"/>
    <w:rsid w:val="002C4937"/>
    <w:rsid w:val="002C5AF9"/>
    <w:rsid w:val="002C5FA0"/>
    <w:rsid w:val="002D1A15"/>
    <w:rsid w:val="002D2129"/>
    <w:rsid w:val="002D27D4"/>
    <w:rsid w:val="002D55E5"/>
    <w:rsid w:val="002E1D12"/>
    <w:rsid w:val="002F1292"/>
    <w:rsid w:val="002F1F45"/>
    <w:rsid w:val="002F4245"/>
    <w:rsid w:val="002F4FA5"/>
    <w:rsid w:val="002F5F9A"/>
    <w:rsid w:val="002F68CE"/>
    <w:rsid w:val="002F6B8A"/>
    <w:rsid w:val="00300CA5"/>
    <w:rsid w:val="00302050"/>
    <w:rsid w:val="00305E7E"/>
    <w:rsid w:val="00314353"/>
    <w:rsid w:val="003150E4"/>
    <w:rsid w:val="0032311D"/>
    <w:rsid w:val="00323315"/>
    <w:rsid w:val="0033116A"/>
    <w:rsid w:val="0034049C"/>
    <w:rsid w:val="003436B5"/>
    <w:rsid w:val="00343AC1"/>
    <w:rsid w:val="00345D7A"/>
    <w:rsid w:val="00346155"/>
    <w:rsid w:val="00347152"/>
    <w:rsid w:val="003506A0"/>
    <w:rsid w:val="0035089E"/>
    <w:rsid w:val="003527F5"/>
    <w:rsid w:val="00354458"/>
    <w:rsid w:val="00361FE8"/>
    <w:rsid w:val="0036282D"/>
    <w:rsid w:val="00364540"/>
    <w:rsid w:val="00364C1E"/>
    <w:rsid w:val="00365209"/>
    <w:rsid w:val="003653BE"/>
    <w:rsid w:val="00365858"/>
    <w:rsid w:val="00370167"/>
    <w:rsid w:val="00372414"/>
    <w:rsid w:val="00372AD2"/>
    <w:rsid w:val="003740F3"/>
    <w:rsid w:val="00375636"/>
    <w:rsid w:val="00377240"/>
    <w:rsid w:val="003823FB"/>
    <w:rsid w:val="003849A0"/>
    <w:rsid w:val="00385E59"/>
    <w:rsid w:val="0039077E"/>
    <w:rsid w:val="00390C77"/>
    <w:rsid w:val="00391140"/>
    <w:rsid w:val="00393836"/>
    <w:rsid w:val="00395823"/>
    <w:rsid w:val="0039700D"/>
    <w:rsid w:val="003A1991"/>
    <w:rsid w:val="003A2B3D"/>
    <w:rsid w:val="003A3E42"/>
    <w:rsid w:val="003A4DBC"/>
    <w:rsid w:val="003A56F3"/>
    <w:rsid w:val="003B5EE8"/>
    <w:rsid w:val="003B6265"/>
    <w:rsid w:val="003C0384"/>
    <w:rsid w:val="003C56E7"/>
    <w:rsid w:val="003C7390"/>
    <w:rsid w:val="003D259E"/>
    <w:rsid w:val="003D3F59"/>
    <w:rsid w:val="003D4226"/>
    <w:rsid w:val="003D4D65"/>
    <w:rsid w:val="003D7AC1"/>
    <w:rsid w:val="003E5366"/>
    <w:rsid w:val="003F4552"/>
    <w:rsid w:val="003F4A94"/>
    <w:rsid w:val="003F607E"/>
    <w:rsid w:val="003F6A48"/>
    <w:rsid w:val="00412A0D"/>
    <w:rsid w:val="00412E43"/>
    <w:rsid w:val="00422D40"/>
    <w:rsid w:val="00426A73"/>
    <w:rsid w:val="00427C04"/>
    <w:rsid w:val="00427F37"/>
    <w:rsid w:val="004324B3"/>
    <w:rsid w:val="004327E7"/>
    <w:rsid w:val="0043369F"/>
    <w:rsid w:val="00435AAC"/>
    <w:rsid w:val="00436858"/>
    <w:rsid w:val="004401C9"/>
    <w:rsid w:val="00442F53"/>
    <w:rsid w:val="004519B0"/>
    <w:rsid w:val="00452E1C"/>
    <w:rsid w:val="00453278"/>
    <w:rsid w:val="004542B8"/>
    <w:rsid w:val="00470DF6"/>
    <w:rsid w:val="00472A7B"/>
    <w:rsid w:val="004826A3"/>
    <w:rsid w:val="004827FA"/>
    <w:rsid w:val="00482D85"/>
    <w:rsid w:val="00482EB0"/>
    <w:rsid w:val="00486731"/>
    <w:rsid w:val="00486D28"/>
    <w:rsid w:val="00486D67"/>
    <w:rsid w:val="004875E2"/>
    <w:rsid w:val="00492C22"/>
    <w:rsid w:val="00494583"/>
    <w:rsid w:val="00495B40"/>
    <w:rsid w:val="004A0E0F"/>
    <w:rsid w:val="004A3D62"/>
    <w:rsid w:val="004A72B2"/>
    <w:rsid w:val="004B10C4"/>
    <w:rsid w:val="004B2933"/>
    <w:rsid w:val="004B58CE"/>
    <w:rsid w:val="004B7F42"/>
    <w:rsid w:val="004D0A23"/>
    <w:rsid w:val="004D61A0"/>
    <w:rsid w:val="004D7121"/>
    <w:rsid w:val="004D790C"/>
    <w:rsid w:val="004E0277"/>
    <w:rsid w:val="004E08A5"/>
    <w:rsid w:val="004E65AD"/>
    <w:rsid w:val="004F5774"/>
    <w:rsid w:val="004F58C8"/>
    <w:rsid w:val="0050556A"/>
    <w:rsid w:val="0052791C"/>
    <w:rsid w:val="00527CD3"/>
    <w:rsid w:val="00536C13"/>
    <w:rsid w:val="00546765"/>
    <w:rsid w:val="00547D5F"/>
    <w:rsid w:val="0055005A"/>
    <w:rsid w:val="00551602"/>
    <w:rsid w:val="0055164B"/>
    <w:rsid w:val="005527CB"/>
    <w:rsid w:val="005562EB"/>
    <w:rsid w:val="00556CD9"/>
    <w:rsid w:val="00560DA6"/>
    <w:rsid w:val="00571CAF"/>
    <w:rsid w:val="0057401E"/>
    <w:rsid w:val="00574219"/>
    <w:rsid w:val="00575EB1"/>
    <w:rsid w:val="005844B1"/>
    <w:rsid w:val="005847FB"/>
    <w:rsid w:val="00585703"/>
    <w:rsid w:val="00587EB0"/>
    <w:rsid w:val="00593C9F"/>
    <w:rsid w:val="005A079F"/>
    <w:rsid w:val="005A0CAE"/>
    <w:rsid w:val="005A3D17"/>
    <w:rsid w:val="005A413E"/>
    <w:rsid w:val="005A5A5D"/>
    <w:rsid w:val="005A761C"/>
    <w:rsid w:val="005B5696"/>
    <w:rsid w:val="005C70A4"/>
    <w:rsid w:val="005C76A8"/>
    <w:rsid w:val="005D4F2F"/>
    <w:rsid w:val="005D53C3"/>
    <w:rsid w:val="005D5F0A"/>
    <w:rsid w:val="005E1EBB"/>
    <w:rsid w:val="005E2E26"/>
    <w:rsid w:val="005E4633"/>
    <w:rsid w:val="005E548A"/>
    <w:rsid w:val="005F4BB1"/>
    <w:rsid w:val="005F57D1"/>
    <w:rsid w:val="005F5D1A"/>
    <w:rsid w:val="00605E6D"/>
    <w:rsid w:val="00605F81"/>
    <w:rsid w:val="00610217"/>
    <w:rsid w:val="00610AF5"/>
    <w:rsid w:val="00617585"/>
    <w:rsid w:val="0062472A"/>
    <w:rsid w:val="00631990"/>
    <w:rsid w:val="006329B9"/>
    <w:rsid w:val="0063366A"/>
    <w:rsid w:val="0063717D"/>
    <w:rsid w:val="0063727D"/>
    <w:rsid w:val="0064161D"/>
    <w:rsid w:val="00641807"/>
    <w:rsid w:val="0064407B"/>
    <w:rsid w:val="00645B8C"/>
    <w:rsid w:val="00650A07"/>
    <w:rsid w:val="006517D0"/>
    <w:rsid w:val="006520D5"/>
    <w:rsid w:val="006522A0"/>
    <w:rsid w:val="006530DE"/>
    <w:rsid w:val="0065442B"/>
    <w:rsid w:val="00656406"/>
    <w:rsid w:val="00656D9A"/>
    <w:rsid w:val="0065764A"/>
    <w:rsid w:val="006607AD"/>
    <w:rsid w:val="00664E3B"/>
    <w:rsid w:val="006663D0"/>
    <w:rsid w:val="006665CD"/>
    <w:rsid w:val="006711F6"/>
    <w:rsid w:val="006804DF"/>
    <w:rsid w:val="00691A71"/>
    <w:rsid w:val="006925E4"/>
    <w:rsid w:val="00696689"/>
    <w:rsid w:val="006A1529"/>
    <w:rsid w:val="006A3299"/>
    <w:rsid w:val="006A66B0"/>
    <w:rsid w:val="006B60AF"/>
    <w:rsid w:val="006C2763"/>
    <w:rsid w:val="006D2B5A"/>
    <w:rsid w:val="006E0DE0"/>
    <w:rsid w:val="006E29E9"/>
    <w:rsid w:val="006E2AAF"/>
    <w:rsid w:val="006E537F"/>
    <w:rsid w:val="006E55E2"/>
    <w:rsid w:val="006E5CDF"/>
    <w:rsid w:val="006F1183"/>
    <w:rsid w:val="006F3673"/>
    <w:rsid w:val="006F42CD"/>
    <w:rsid w:val="006F789C"/>
    <w:rsid w:val="00702643"/>
    <w:rsid w:val="00710FDD"/>
    <w:rsid w:val="00711336"/>
    <w:rsid w:val="007124C6"/>
    <w:rsid w:val="00714237"/>
    <w:rsid w:val="00714A67"/>
    <w:rsid w:val="007209FC"/>
    <w:rsid w:val="00722427"/>
    <w:rsid w:val="00725AA5"/>
    <w:rsid w:val="007260A9"/>
    <w:rsid w:val="007358F1"/>
    <w:rsid w:val="00744C5D"/>
    <w:rsid w:val="007478D6"/>
    <w:rsid w:val="007608D2"/>
    <w:rsid w:val="00764966"/>
    <w:rsid w:val="00765801"/>
    <w:rsid w:val="007811C8"/>
    <w:rsid w:val="007812E9"/>
    <w:rsid w:val="00784D2A"/>
    <w:rsid w:val="007907C4"/>
    <w:rsid w:val="00791687"/>
    <w:rsid w:val="007951FA"/>
    <w:rsid w:val="00796027"/>
    <w:rsid w:val="00796C33"/>
    <w:rsid w:val="00797BCC"/>
    <w:rsid w:val="007A0A21"/>
    <w:rsid w:val="007A4CF6"/>
    <w:rsid w:val="007A69AC"/>
    <w:rsid w:val="007A6DA1"/>
    <w:rsid w:val="007B0C62"/>
    <w:rsid w:val="007B0F9E"/>
    <w:rsid w:val="007B2F1C"/>
    <w:rsid w:val="007B31AA"/>
    <w:rsid w:val="007B35E3"/>
    <w:rsid w:val="007B783E"/>
    <w:rsid w:val="007C356E"/>
    <w:rsid w:val="007C3BA0"/>
    <w:rsid w:val="007C5361"/>
    <w:rsid w:val="007C653B"/>
    <w:rsid w:val="007C7F77"/>
    <w:rsid w:val="007D7812"/>
    <w:rsid w:val="007E0739"/>
    <w:rsid w:val="007E1873"/>
    <w:rsid w:val="007E1B2E"/>
    <w:rsid w:val="007E2D43"/>
    <w:rsid w:val="007E4135"/>
    <w:rsid w:val="007E6CC6"/>
    <w:rsid w:val="007F5F35"/>
    <w:rsid w:val="00806AF9"/>
    <w:rsid w:val="0080754B"/>
    <w:rsid w:val="0081673F"/>
    <w:rsid w:val="00816E04"/>
    <w:rsid w:val="008171C1"/>
    <w:rsid w:val="00824481"/>
    <w:rsid w:val="0082521C"/>
    <w:rsid w:val="008347B8"/>
    <w:rsid w:val="00837F20"/>
    <w:rsid w:val="0084493E"/>
    <w:rsid w:val="00846FB8"/>
    <w:rsid w:val="00851246"/>
    <w:rsid w:val="00856080"/>
    <w:rsid w:val="00863606"/>
    <w:rsid w:val="00864E11"/>
    <w:rsid w:val="00865269"/>
    <w:rsid w:val="00866AD3"/>
    <w:rsid w:val="008722B0"/>
    <w:rsid w:val="0087659A"/>
    <w:rsid w:val="0088153A"/>
    <w:rsid w:val="0088391C"/>
    <w:rsid w:val="00883A9F"/>
    <w:rsid w:val="008A0D68"/>
    <w:rsid w:val="008A0FCA"/>
    <w:rsid w:val="008A48A7"/>
    <w:rsid w:val="008A5566"/>
    <w:rsid w:val="008B3822"/>
    <w:rsid w:val="008B3F21"/>
    <w:rsid w:val="008C349E"/>
    <w:rsid w:val="008C52FD"/>
    <w:rsid w:val="008D0AC7"/>
    <w:rsid w:val="008D19AE"/>
    <w:rsid w:val="008D50E8"/>
    <w:rsid w:val="008E3D12"/>
    <w:rsid w:val="008E498A"/>
    <w:rsid w:val="008E4D15"/>
    <w:rsid w:val="008E5CD3"/>
    <w:rsid w:val="00905F3E"/>
    <w:rsid w:val="00911C7E"/>
    <w:rsid w:val="0091220B"/>
    <w:rsid w:val="00913581"/>
    <w:rsid w:val="009144C1"/>
    <w:rsid w:val="009177D5"/>
    <w:rsid w:val="00921068"/>
    <w:rsid w:val="00922E62"/>
    <w:rsid w:val="00923B96"/>
    <w:rsid w:val="00926887"/>
    <w:rsid w:val="009313C2"/>
    <w:rsid w:val="009332CB"/>
    <w:rsid w:val="00933506"/>
    <w:rsid w:val="00947CF0"/>
    <w:rsid w:val="0095098C"/>
    <w:rsid w:val="0095146F"/>
    <w:rsid w:val="00951C3C"/>
    <w:rsid w:val="0095252B"/>
    <w:rsid w:val="009543A5"/>
    <w:rsid w:val="00955240"/>
    <w:rsid w:val="00961934"/>
    <w:rsid w:val="0096265C"/>
    <w:rsid w:val="009627E7"/>
    <w:rsid w:val="00963601"/>
    <w:rsid w:val="009637D1"/>
    <w:rsid w:val="0096557B"/>
    <w:rsid w:val="00965614"/>
    <w:rsid w:val="00971412"/>
    <w:rsid w:val="00971C2F"/>
    <w:rsid w:val="00974129"/>
    <w:rsid w:val="009823FD"/>
    <w:rsid w:val="00982D40"/>
    <w:rsid w:val="00983CD0"/>
    <w:rsid w:val="00984202"/>
    <w:rsid w:val="00984710"/>
    <w:rsid w:val="00985B45"/>
    <w:rsid w:val="009913CD"/>
    <w:rsid w:val="00993609"/>
    <w:rsid w:val="009A0633"/>
    <w:rsid w:val="009A1B9B"/>
    <w:rsid w:val="009A35E2"/>
    <w:rsid w:val="009A45DB"/>
    <w:rsid w:val="009B1C08"/>
    <w:rsid w:val="009B5944"/>
    <w:rsid w:val="009C52C0"/>
    <w:rsid w:val="009D056F"/>
    <w:rsid w:val="009D08F5"/>
    <w:rsid w:val="009D22D6"/>
    <w:rsid w:val="009D2E63"/>
    <w:rsid w:val="009D5532"/>
    <w:rsid w:val="009E1BE6"/>
    <w:rsid w:val="009E42FA"/>
    <w:rsid w:val="009E768E"/>
    <w:rsid w:val="009E78BB"/>
    <w:rsid w:val="009E7D50"/>
    <w:rsid w:val="009F4D4D"/>
    <w:rsid w:val="009F6096"/>
    <w:rsid w:val="009F65A4"/>
    <w:rsid w:val="009F6BFC"/>
    <w:rsid w:val="00A02706"/>
    <w:rsid w:val="00A05F7D"/>
    <w:rsid w:val="00A061EE"/>
    <w:rsid w:val="00A11051"/>
    <w:rsid w:val="00A111A2"/>
    <w:rsid w:val="00A11B93"/>
    <w:rsid w:val="00A146A8"/>
    <w:rsid w:val="00A17D3B"/>
    <w:rsid w:val="00A20E9F"/>
    <w:rsid w:val="00A21448"/>
    <w:rsid w:val="00A235DE"/>
    <w:rsid w:val="00A32A56"/>
    <w:rsid w:val="00A32AF2"/>
    <w:rsid w:val="00A34878"/>
    <w:rsid w:val="00A34882"/>
    <w:rsid w:val="00A41DD7"/>
    <w:rsid w:val="00A47BB3"/>
    <w:rsid w:val="00A512C9"/>
    <w:rsid w:val="00A534B4"/>
    <w:rsid w:val="00A53BF9"/>
    <w:rsid w:val="00A6037F"/>
    <w:rsid w:val="00A624ED"/>
    <w:rsid w:val="00A62A49"/>
    <w:rsid w:val="00A64B90"/>
    <w:rsid w:val="00A679F1"/>
    <w:rsid w:val="00A755FC"/>
    <w:rsid w:val="00A8006C"/>
    <w:rsid w:val="00A83A44"/>
    <w:rsid w:val="00A844DD"/>
    <w:rsid w:val="00A846C7"/>
    <w:rsid w:val="00A924BC"/>
    <w:rsid w:val="00A9655A"/>
    <w:rsid w:val="00AA5A62"/>
    <w:rsid w:val="00AB0814"/>
    <w:rsid w:val="00AB0FA6"/>
    <w:rsid w:val="00AB1D3E"/>
    <w:rsid w:val="00AB1E5C"/>
    <w:rsid w:val="00AB6379"/>
    <w:rsid w:val="00AB664F"/>
    <w:rsid w:val="00AB75D8"/>
    <w:rsid w:val="00AC422A"/>
    <w:rsid w:val="00AE1C90"/>
    <w:rsid w:val="00AE6EC4"/>
    <w:rsid w:val="00AE6FFD"/>
    <w:rsid w:val="00AF13FB"/>
    <w:rsid w:val="00AF45B9"/>
    <w:rsid w:val="00B002FE"/>
    <w:rsid w:val="00B00DE1"/>
    <w:rsid w:val="00B0153D"/>
    <w:rsid w:val="00B04998"/>
    <w:rsid w:val="00B05E50"/>
    <w:rsid w:val="00B061C3"/>
    <w:rsid w:val="00B071EE"/>
    <w:rsid w:val="00B13B0F"/>
    <w:rsid w:val="00B150D2"/>
    <w:rsid w:val="00B2796F"/>
    <w:rsid w:val="00B34E8E"/>
    <w:rsid w:val="00B35449"/>
    <w:rsid w:val="00B36814"/>
    <w:rsid w:val="00B3774B"/>
    <w:rsid w:val="00B405D0"/>
    <w:rsid w:val="00B40E5F"/>
    <w:rsid w:val="00B4555C"/>
    <w:rsid w:val="00B53497"/>
    <w:rsid w:val="00B544BF"/>
    <w:rsid w:val="00B5551D"/>
    <w:rsid w:val="00B63EB6"/>
    <w:rsid w:val="00B64C7B"/>
    <w:rsid w:val="00B76AE6"/>
    <w:rsid w:val="00B823D5"/>
    <w:rsid w:val="00B823F6"/>
    <w:rsid w:val="00B83E3B"/>
    <w:rsid w:val="00B857CE"/>
    <w:rsid w:val="00B8628D"/>
    <w:rsid w:val="00B90FF3"/>
    <w:rsid w:val="00B918FE"/>
    <w:rsid w:val="00B91E03"/>
    <w:rsid w:val="00B920D2"/>
    <w:rsid w:val="00B951A4"/>
    <w:rsid w:val="00B95808"/>
    <w:rsid w:val="00B96480"/>
    <w:rsid w:val="00B96A39"/>
    <w:rsid w:val="00BA1BC8"/>
    <w:rsid w:val="00BA4DC3"/>
    <w:rsid w:val="00BA7F07"/>
    <w:rsid w:val="00BB79A1"/>
    <w:rsid w:val="00BC1D2B"/>
    <w:rsid w:val="00BC220F"/>
    <w:rsid w:val="00BC36F0"/>
    <w:rsid w:val="00BC439B"/>
    <w:rsid w:val="00BD1603"/>
    <w:rsid w:val="00BD2B13"/>
    <w:rsid w:val="00BD4E25"/>
    <w:rsid w:val="00BD556E"/>
    <w:rsid w:val="00BD69AB"/>
    <w:rsid w:val="00BE03BC"/>
    <w:rsid w:val="00BE277F"/>
    <w:rsid w:val="00BE2D46"/>
    <w:rsid w:val="00BE3EA2"/>
    <w:rsid w:val="00BE451A"/>
    <w:rsid w:val="00BF7E2C"/>
    <w:rsid w:val="00C013CC"/>
    <w:rsid w:val="00C01F7C"/>
    <w:rsid w:val="00C044A8"/>
    <w:rsid w:val="00C0509B"/>
    <w:rsid w:val="00C122D0"/>
    <w:rsid w:val="00C2001A"/>
    <w:rsid w:val="00C20A94"/>
    <w:rsid w:val="00C2793F"/>
    <w:rsid w:val="00C345CD"/>
    <w:rsid w:val="00C34DC2"/>
    <w:rsid w:val="00C471E6"/>
    <w:rsid w:val="00C4796E"/>
    <w:rsid w:val="00C50770"/>
    <w:rsid w:val="00C51FEB"/>
    <w:rsid w:val="00C55E48"/>
    <w:rsid w:val="00C57358"/>
    <w:rsid w:val="00C61B6E"/>
    <w:rsid w:val="00C62A12"/>
    <w:rsid w:val="00C67148"/>
    <w:rsid w:val="00C67C30"/>
    <w:rsid w:val="00C76696"/>
    <w:rsid w:val="00C81BE4"/>
    <w:rsid w:val="00C82D55"/>
    <w:rsid w:val="00C92A82"/>
    <w:rsid w:val="00C92AA8"/>
    <w:rsid w:val="00C95A3C"/>
    <w:rsid w:val="00C95FFB"/>
    <w:rsid w:val="00CA33F2"/>
    <w:rsid w:val="00CA4723"/>
    <w:rsid w:val="00CA71D7"/>
    <w:rsid w:val="00CA7E53"/>
    <w:rsid w:val="00CB0017"/>
    <w:rsid w:val="00CB301B"/>
    <w:rsid w:val="00CC02AF"/>
    <w:rsid w:val="00CC4519"/>
    <w:rsid w:val="00CC4EB3"/>
    <w:rsid w:val="00CD7372"/>
    <w:rsid w:val="00CE1053"/>
    <w:rsid w:val="00CE3889"/>
    <w:rsid w:val="00CE494C"/>
    <w:rsid w:val="00CE5000"/>
    <w:rsid w:val="00CE75FE"/>
    <w:rsid w:val="00CF10CC"/>
    <w:rsid w:val="00CF147B"/>
    <w:rsid w:val="00CF5991"/>
    <w:rsid w:val="00D0308B"/>
    <w:rsid w:val="00D05855"/>
    <w:rsid w:val="00D0604D"/>
    <w:rsid w:val="00D07D2F"/>
    <w:rsid w:val="00D138EC"/>
    <w:rsid w:val="00D1439E"/>
    <w:rsid w:val="00D17427"/>
    <w:rsid w:val="00D1776F"/>
    <w:rsid w:val="00D17C88"/>
    <w:rsid w:val="00D31452"/>
    <w:rsid w:val="00D43631"/>
    <w:rsid w:val="00D45C8F"/>
    <w:rsid w:val="00D45C9A"/>
    <w:rsid w:val="00D45EA6"/>
    <w:rsid w:val="00D51200"/>
    <w:rsid w:val="00D51CF4"/>
    <w:rsid w:val="00D53368"/>
    <w:rsid w:val="00D555E9"/>
    <w:rsid w:val="00D57850"/>
    <w:rsid w:val="00D64749"/>
    <w:rsid w:val="00D6656A"/>
    <w:rsid w:val="00D70CDF"/>
    <w:rsid w:val="00D71646"/>
    <w:rsid w:val="00D71F37"/>
    <w:rsid w:val="00D731EE"/>
    <w:rsid w:val="00D821DD"/>
    <w:rsid w:val="00D835D1"/>
    <w:rsid w:val="00D87F02"/>
    <w:rsid w:val="00D92B8E"/>
    <w:rsid w:val="00D96A05"/>
    <w:rsid w:val="00D97846"/>
    <w:rsid w:val="00DA36FF"/>
    <w:rsid w:val="00DA47C5"/>
    <w:rsid w:val="00DA4CAC"/>
    <w:rsid w:val="00DB369B"/>
    <w:rsid w:val="00DB4949"/>
    <w:rsid w:val="00DB672F"/>
    <w:rsid w:val="00DB7057"/>
    <w:rsid w:val="00DB71C9"/>
    <w:rsid w:val="00DC4259"/>
    <w:rsid w:val="00DE0DA9"/>
    <w:rsid w:val="00DE3584"/>
    <w:rsid w:val="00DE5DEB"/>
    <w:rsid w:val="00DE76FE"/>
    <w:rsid w:val="00DF611B"/>
    <w:rsid w:val="00E016E1"/>
    <w:rsid w:val="00E04FAB"/>
    <w:rsid w:val="00E068E4"/>
    <w:rsid w:val="00E12324"/>
    <w:rsid w:val="00E129C6"/>
    <w:rsid w:val="00E12A9B"/>
    <w:rsid w:val="00E22C30"/>
    <w:rsid w:val="00E254F2"/>
    <w:rsid w:val="00E27396"/>
    <w:rsid w:val="00E31778"/>
    <w:rsid w:val="00E31CE8"/>
    <w:rsid w:val="00E37FEB"/>
    <w:rsid w:val="00E44A6C"/>
    <w:rsid w:val="00E45A9B"/>
    <w:rsid w:val="00E469BE"/>
    <w:rsid w:val="00E51C17"/>
    <w:rsid w:val="00E54878"/>
    <w:rsid w:val="00E61DBE"/>
    <w:rsid w:val="00E70ACF"/>
    <w:rsid w:val="00E77E32"/>
    <w:rsid w:val="00E81498"/>
    <w:rsid w:val="00E821A3"/>
    <w:rsid w:val="00E839FC"/>
    <w:rsid w:val="00E874D3"/>
    <w:rsid w:val="00E922FE"/>
    <w:rsid w:val="00E92827"/>
    <w:rsid w:val="00EA37DD"/>
    <w:rsid w:val="00EA5AB8"/>
    <w:rsid w:val="00EA6303"/>
    <w:rsid w:val="00EB1C5A"/>
    <w:rsid w:val="00EB3F1B"/>
    <w:rsid w:val="00EB5C4E"/>
    <w:rsid w:val="00EB7A92"/>
    <w:rsid w:val="00EC13A5"/>
    <w:rsid w:val="00EC1BA6"/>
    <w:rsid w:val="00EC3288"/>
    <w:rsid w:val="00EC3AA8"/>
    <w:rsid w:val="00EC4582"/>
    <w:rsid w:val="00EC5E49"/>
    <w:rsid w:val="00ED4633"/>
    <w:rsid w:val="00ED4852"/>
    <w:rsid w:val="00EE2829"/>
    <w:rsid w:val="00EE574C"/>
    <w:rsid w:val="00EF0F84"/>
    <w:rsid w:val="00EF1C2A"/>
    <w:rsid w:val="00EF34AD"/>
    <w:rsid w:val="00EF54F2"/>
    <w:rsid w:val="00EF6DA4"/>
    <w:rsid w:val="00EF7BF4"/>
    <w:rsid w:val="00F02A4D"/>
    <w:rsid w:val="00F02D6F"/>
    <w:rsid w:val="00F104AB"/>
    <w:rsid w:val="00F143FC"/>
    <w:rsid w:val="00F201E3"/>
    <w:rsid w:val="00F22E02"/>
    <w:rsid w:val="00F25413"/>
    <w:rsid w:val="00F25AC5"/>
    <w:rsid w:val="00F2673E"/>
    <w:rsid w:val="00F34DED"/>
    <w:rsid w:val="00F34DF0"/>
    <w:rsid w:val="00F4055E"/>
    <w:rsid w:val="00F46DCF"/>
    <w:rsid w:val="00F51987"/>
    <w:rsid w:val="00F52A9F"/>
    <w:rsid w:val="00F543B6"/>
    <w:rsid w:val="00F659D5"/>
    <w:rsid w:val="00F70DA0"/>
    <w:rsid w:val="00F73B30"/>
    <w:rsid w:val="00F8283C"/>
    <w:rsid w:val="00F842ED"/>
    <w:rsid w:val="00F844F0"/>
    <w:rsid w:val="00F85BBD"/>
    <w:rsid w:val="00F85F77"/>
    <w:rsid w:val="00F8665C"/>
    <w:rsid w:val="00FA057C"/>
    <w:rsid w:val="00FA5E5D"/>
    <w:rsid w:val="00FA6266"/>
    <w:rsid w:val="00FA63A0"/>
    <w:rsid w:val="00FB31C0"/>
    <w:rsid w:val="00FC4F1C"/>
    <w:rsid w:val="00FD0A63"/>
    <w:rsid w:val="00FD2B96"/>
    <w:rsid w:val="00FD35CD"/>
    <w:rsid w:val="00FD4D7F"/>
    <w:rsid w:val="00FD7F10"/>
    <w:rsid w:val="00FE17BB"/>
    <w:rsid w:val="00FE29C5"/>
    <w:rsid w:val="00FE5F79"/>
    <w:rsid w:val="00FF6516"/>
    <w:rsid w:val="141D47FA"/>
    <w:rsid w:val="1E652811"/>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4:docId w14:val="0E6A11DD"/>
  <w15:chartTrackingRefBased/>
  <w15:docId w15:val="{30B7F4F1-C9C7-4664-BCC6-32744D2D51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heme="minorHAnsi" w:cstheme="minorBidi"/>
        <w:sz w:val="24"/>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553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D5532"/>
    <w:rPr>
      <w:rFonts w:ascii="Segoe UI" w:hAnsi="Segoe UI" w:cs="Segoe UI"/>
      <w:sz w:val="18"/>
      <w:szCs w:val="18"/>
    </w:rPr>
  </w:style>
  <w:style w:type="paragraph" w:styleId="ListParagraph">
    <w:name w:val="List Paragraph"/>
    <w:basedOn w:val="Normal"/>
    <w:uiPriority w:val="34"/>
    <w:qFormat/>
    <w:rsid w:val="00AB75D8"/>
    <w:pPr>
      <w:ind w:left="720"/>
      <w:contextualSpacing/>
    </w:pPr>
  </w:style>
  <w:style w:type="character" w:styleId="CommentReference">
    <w:name w:val="annotation reference"/>
    <w:basedOn w:val="DefaultParagraphFont"/>
    <w:uiPriority w:val="99"/>
    <w:semiHidden/>
    <w:unhideWhenUsed/>
    <w:rsid w:val="004D0A23"/>
    <w:rPr>
      <w:sz w:val="16"/>
      <w:szCs w:val="16"/>
    </w:rPr>
  </w:style>
  <w:style w:type="paragraph" w:styleId="CommentText">
    <w:name w:val="annotation text"/>
    <w:basedOn w:val="Normal"/>
    <w:link w:val="CommentTextChar"/>
    <w:uiPriority w:val="99"/>
    <w:unhideWhenUsed/>
    <w:rsid w:val="004D0A23"/>
    <w:rPr>
      <w:sz w:val="20"/>
      <w:szCs w:val="20"/>
    </w:rPr>
  </w:style>
  <w:style w:type="character" w:customStyle="1" w:styleId="CommentTextChar">
    <w:name w:val="Comment Text Char"/>
    <w:basedOn w:val="DefaultParagraphFont"/>
    <w:link w:val="CommentText"/>
    <w:uiPriority w:val="99"/>
    <w:rsid w:val="004D0A23"/>
    <w:rPr>
      <w:sz w:val="20"/>
      <w:szCs w:val="20"/>
    </w:rPr>
  </w:style>
  <w:style w:type="paragraph" w:styleId="CommentSubject">
    <w:name w:val="annotation subject"/>
    <w:basedOn w:val="CommentText"/>
    <w:next w:val="CommentText"/>
    <w:link w:val="CommentSubjectChar"/>
    <w:uiPriority w:val="99"/>
    <w:semiHidden/>
    <w:unhideWhenUsed/>
    <w:rsid w:val="004D0A23"/>
    <w:rPr>
      <w:b/>
      <w:bCs/>
    </w:rPr>
  </w:style>
  <w:style w:type="character" w:customStyle="1" w:styleId="CommentSubjectChar">
    <w:name w:val="Comment Subject Char"/>
    <w:basedOn w:val="CommentTextChar"/>
    <w:link w:val="CommentSubject"/>
    <w:uiPriority w:val="99"/>
    <w:semiHidden/>
    <w:rsid w:val="004D0A23"/>
    <w:rPr>
      <w:b/>
      <w:bCs/>
      <w:sz w:val="20"/>
      <w:szCs w:val="20"/>
    </w:rPr>
  </w:style>
  <w:style w:type="paragraph" w:styleId="Revision">
    <w:name w:val="Revision"/>
    <w:hidden/>
    <w:uiPriority w:val="99"/>
    <w:semiHidden/>
    <w:rsid w:val="00B05E50"/>
  </w:style>
  <w:style w:type="character" w:styleId="Hyperlink">
    <w:name w:val="Hyperlink"/>
    <w:basedOn w:val="DefaultParagraphFont"/>
    <w:uiPriority w:val="99"/>
    <w:unhideWhenUsed/>
    <w:rsid w:val="003823FB"/>
    <w:rPr>
      <w:color w:val="0000FF" w:themeColor="hyperlink"/>
      <w:u w:val="single"/>
    </w:rPr>
  </w:style>
  <w:style w:type="character" w:styleId="UnresolvedMention">
    <w:name w:val="Unresolved Mention"/>
    <w:basedOn w:val="DefaultParagraphFont"/>
    <w:uiPriority w:val="99"/>
    <w:semiHidden/>
    <w:unhideWhenUsed/>
    <w:rsid w:val="003823FB"/>
    <w:rPr>
      <w:color w:val="605E5C"/>
      <w:shd w:val="clear" w:color="auto" w:fill="E1DFDD"/>
    </w:rPr>
  </w:style>
  <w:style w:type="paragraph" w:styleId="Header">
    <w:name w:val="header"/>
    <w:basedOn w:val="Normal"/>
    <w:link w:val="HeaderChar"/>
    <w:uiPriority w:val="99"/>
    <w:unhideWhenUsed/>
    <w:rsid w:val="001C746B"/>
    <w:pPr>
      <w:tabs>
        <w:tab w:val="center" w:pos="4680"/>
        <w:tab w:val="right" w:pos="9360"/>
      </w:tabs>
    </w:pPr>
  </w:style>
  <w:style w:type="character" w:customStyle="1" w:styleId="HeaderChar">
    <w:name w:val="Header Char"/>
    <w:basedOn w:val="DefaultParagraphFont"/>
    <w:link w:val="Header"/>
    <w:uiPriority w:val="99"/>
    <w:rsid w:val="001C746B"/>
  </w:style>
  <w:style w:type="paragraph" w:styleId="Footer">
    <w:name w:val="footer"/>
    <w:basedOn w:val="Normal"/>
    <w:link w:val="FooterChar"/>
    <w:uiPriority w:val="99"/>
    <w:unhideWhenUsed/>
    <w:rsid w:val="001C746B"/>
    <w:pPr>
      <w:tabs>
        <w:tab w:val="center" w:pos="4680"/>
        <w:tab w:val="right" w:pos="9360"/>
      </w:tabs>
    </w:pPr>
  </w:style>
  <w:style w:type="character" w:customStyle="1" w:styleId="FooterChar">
    <w:name w:val="Footer Char"/>
    <w:basedOn w:val="DefaultParagraphFont"/>
    <w:link w:val="Footer"/>
    <w:uiPriority w:val="99"/>
    <w:rsid w:val="001C746B"/>
  </w:style>
  <w:style w:type="paragraph" w:styleId="NormalWeb">
    <w:name w:val="Normal (Web)"/>
    <w:basedOn w:val="Normal"/>
    <w:uiPriority w:val="99"/>
    <w:unhideWhenUsed/>
    <w:rsid w:val="00BF7E2C"/>
    <w:pPr>
      <w:spacing w:before="100" w:beforeAutospacing="1" w:after="100" w:afterAutospacing="1"/>
    </w:pPr>
    <w:rPr>
      <w:rFonts w:ascii="Calibri" w:hAnsi="Calibri" w:cs="Calibri"/>
      <w:sz w:val="22"/>
    </w:rPr>
  </w:style>
  <w:style w:type="character" w:customStyle="1" w:styleId="bumpedfont15">
    <w:name w:val="bumpedfont15"/>
    <w:basedOn w:val="DefaultParagraphFont"/>
    <w:rsid w:val="00BF7E2C"/>
  </w:style>
  <w:style w:type="character" w:customStyle="1" w:styleId="apple-converted-space">
    <w:name w:val="apple-converted-space"/>
    <w:basedOn w:val="DefaultParagraphFont"/>
    <w:rsid w:val="00BF7E2C"/>
  </w:style>
  <w:style w:type="paragraph" w:customStyle="1" w:styleId="Default">
    <w:name w:val="Default"/>
    <w:rsid w:val="00081424"/>
    <w:pPr>
      <w:autoSpaceDE w:val="0"/>
      <w:autoSpaceDN w:val="0"/>
      <w:adjustRightInd w:val="0"/>
    </w:pPr>
    <w:rPr>
      <w:rFonts w:cs="Times New Roman"/>
      <w:color w:val="000000"/>
      <w:szCs w:val="24"/>
    </w:rPr>
  </w:style>
  <w:style w:type="numbering" w:customStyle="1" w:styleId="Headings">
    <w:name w:val="Headings"/>
    <w:uiPriority w:val="99"/>
    <w:rsid w:val="00ED4852"/>
    <w:pPr>
      <w:numPr>
        <w:numId w:val="27"/>
      </w:numPr>
    </w:pPr>
  </w:style>
  <w:style w:type="paragraph" w:styleId="FootnoteText">
    <w:name w:val="footnote text"/>
    <w:basedOn w:val="Normal"/>
    <w:link w:val="FootnoteTextChar"/>
    <w:uiPriority w:val="99"/>
    <w:unhideWhenUsed/>
    <w:rsid w:val="00C013CC"/>
    <w:rPr>
      <w:rFonts w:asciiTheme="minorHAnsi" w:hAnsiTheme="minorHAnsi"/>
      <w:kern w:val="2"/>
      <w:sz w:val="20"/>
      <w:szCs w:val="20"/>
      <w14:ligatures w14:val="standardContextual"/>
    </w:rPr>
  </w:style>
  <w:style w:type="character" w:customStyle="1" w:styleId="FootnoteTextChar">
    <w:name w:val="Footnote Text Char"/>
    <w:basedOn w:val="DefaultParagraphFont"/>
    <w:link w:val="FootnoteText"/>
    <w:uiPriority w:val="99"/>
    <w:rsid w:val="00C013CC"/>
    <w:rPr>
      <w:rFonts w:asciiTheme="minorHAnsi" w:hAnsiTheme="minorHAnsi"/>
      <w:kern w:val="2"/>
      <w:sz w:val="20"/>
      <w:szCs w:val="20"/>
      <w14:ligatures w14:val="standardContextual"/>
    </w:rPr>
  </w:style>
  <w:style w:type="character" w:styleId="FootnoteReference">
    <w:name w:val="footnote reference"/>
    <w:basedOn w:val="DefaultParagraphFont"/>
    <w:uiPriority w:val="99"/>
    <w:unhideWhenUsed/>
    <w:rsid w:val="00C013CC"/>
    <w:rPr>
      <w:vertAlign w:val="superscript"/>
    </w:rPr>
  </w:style>
  <w:style w:type="paragraph" w:customStyle="1" w:styleId="Blockquote">
    <w:name w:val="Blockquote"/>
    <w:basedOn w:val="Normal"/>
    <w:qFormat/>
    <w:rsid w:val="008B3F21"/>
    <w:pPr>
      <w:widowControl w:val="0"/>
      <w:ind w:left="1440" w:right="144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yperlink" Target="mailto:multiemployerprogram@pbgc.gov" TargetMode="Externa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theme" Target="theme/theme1.xml" /><Relationship Id="rId14" Type="http://schemas.openxmlformats.org/officeDocument/2006/relationships/numbering" Target="numbering.xml" /><Relationship Id="rId15"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customXml" Target="../customXml/item2.xml" /><Relationship Id="rId7" Type="http://schemas.openxmlformats.org/officeDocument/2006/relationships/customXml" Target="../customXml/item3.xml" /><Relationship Id="rId8" Type="http://schemas.openxmlformats.org/officeDocument/2006/relationships/customXml" Target="../customXml/item4.xml" /><Relationship Id="rId9" Type="http://schemas.openxmlformats.org/officeDocument/2006/relationships/customXml" Target="../customXml/item5.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p:properties xmlns:p="http://schemas.microsoft.com/office/2006/metadata/properties" xmlns:xsi="http://www.w3.org/2001/XMLSchema-instance" xmlns:pc="http://schemas.microsoft.com/office/infopath/2007/PartnerControls">
  <documentManagement>
    <PBGCCUI xmlns="42a8a83a-5e27-410c-a1fc-7c5ac4e503f4" xsi:nil="true"/>
    <Marking xmlns="42a8a83a-5e27-410c-a1fc-7c5ac4e503f4"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OGC Document" ma:contentTypeID="0x010100E09C6A4FD85CD94DB99934580C239257190080A333454EC0734FA57241899DC77FFB" ma:contentTypeVersion="16" ma:contentTypeDescription="Documents with Controlled Unclassified Information (CUI) flag and markings." ma:contentTypeScope="" ma:versionID="dd446bc71a35184cc4252fc20f130660">
  <xsd:schema xmlns:xsd="http://www.w3.org/2001/XMLSchema" xmlns:xs="http://www.w3.org/2001/XMLSchema" xmlns:p="http://schemas.microsoft.com/office/2006/metadata/properties" xmlns:ns2="42a8a83a-5e27-410c-a1fc-7c5ac4e503f4" targetNamespace="http://schemas.microsoft.com/office/2006/metadata/properties" ma:root="true" ma:fieldsID="fb188f52d21a8e6cd9727c9688d75141" ns2:_="">
    <xsd:import namespace="42a8a83a-5e27-410c-a1fc-7c5ac4e503f4"/>
    <xsd:element name="properties">
      <xsd:complexType>
        <xsd:sequence>
          <xsd:element name="documentManagement">
            <xsd:complexType>
              <xsd:all>
                <xsd:element ref="ns2:PBGCCUI" minOccurs="0"/>
                <xsd:element ref="ns2:Marking"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a8a83a-5e27-410c-a1fc-7c5ac4e503f4" elementFormDefault="qualified">
    <xsd:import namespace="http://schemas.microsoft.com/office/2006/documentManagement/types"/>
    <xsd:import namespace="http://schemas.microsoft.com/office/infopath/2007/PartnerControls"/>
    <xsd:element name="PBGCCUI" ma:index="8" nillable="true" ma:displayName="CUI" ma:description="*Enterprise Column* Indicates if Controlled Unclassified Information (CUI) or not." ma:format="RadioButtons" ma:internalName="PBGCCUI" ma:readOnly="false">
      <xsd:simpleType>
        <xsd:restriction base="dms:Choice">
          <xsd:enumeration value="Yes"/>
          <xsd:enumeration value="No"/>
        </xsd:restriction>
      </xsd:simpleType>
    </xsd:element>
    <xsd:element name="Marking" ma:index="9" nillable="true" ma:displayName="CUI Marking" ma:description="*Enterprise Column* Controlled Unclassified Information (CUI) marking. An asterisk (*) indicates that safeguarding, dissemination, marking and/or decontrol measures that differ from General Guidelines are required by statute, regulation, or Government-wide policy. See https://www.archives.gov/cui/registry/category-list.html for" ma:internalName="Marking">
      <xsd:complexType>
        <xsd:complexContent>
          <xsd:extension base="dms:MultiChoice">
            <xsd:sequence>
              <xsd:element name="Value" maxOccurs="unbounded" minOccurs="0" nillable="true">
                <xsd:simpleType>
                  <xsd:restriction base="dms:Choice">
                    <xsd:enumeration value="Financial*"/>
                    <xsd:enumeration value="Financial: Retirement"/>
                    <xsd:enumeration value="General"/>
                    <xsd:enumeration value="General Business Proprietary"/>
                    <xsd:enumeration value="Legal Privilege"/>
                    <xsd:enumeration value="Personnel Security Information"/>
                    <xsd:enumeration value="Physical Security"/>
                    <xsd:enumeration value="Privacy"/>
                    <xsd:enumeration value="Procurement and Acquisition*"/>
                    <xsd:enumeration value="Sensitive Security Information"/>
                    <xsd:enumeration value="Tax*"/>
                    <xsd:enumeration value="Whistleblower Identity"/>
                  </xsd:restriction>
                </xsd:simple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b04b9a93-b54f-4549-9b70-040003075d6a" ContentTypeId="0x010100E09C6A4FD85CD94DB99934580C239257" PreviousValue="false"/>
</file>

<file path=customXml/itemProps1.xml><?xml version="1.0" encoding="utf-8"?>
<ds:datastoreItem xmlns:ds="http://schemas.openxmlformats.org/officeDocument/2006/customXml" ds:itemID="{47BE31C7-8C24-47F0-82B0-87EBC2548BB9}">
  <ds:schemaRefs>
    <ds:schemaRef ds:uri="http://schemas.microsoft.com/office/2006/metadata/properties"/>
    <ds:schemaRef ds:uri="http://schemas.microsoft.com/office/infopath/2007/PartnerControls"/>
    <ds:schemaRef ds:uri="42a8a83a-5e27-410c-a1fc-7c5ac4e503f4"/>
  </ds:schemaRefs>
</ds:datastoreItem>
</file>

<file path=customXml/itemProps2.xml><?xml version="1.0" encoding="utf-8"?>
<ds:datastoreItem xmlns:ds="http://schemas.openxmlformats.org/officeDocument/2006/customXml" ds:itemID="{9C890B16-A781-4190-9642-88BA393C486D}">
  <ds:schemaRefs>
    <ds:schemaRef ds:uri="http://schemas.microsoft.com/sharepoint/v3/contenttype/forms"/>
  </ds:schemaRefs>
</ds:datastoreItem>
</file>

<file path=customXml/itemProps3.xml><?xml version="1.0" encoding="utf-8"?>
<ds:datastoreItem xmlns:ds="http://schemas.openxmlformats.org/officeDocument/2006/customXml" ds:itemID="{BEA67AAE-C548-4086-985D-F671DC5E22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a8a83a-5e27-410c-a1fc-7c5ac4e503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CFA78F7-A33E-4DBF-BF6E-F1356CB1588C}">
  <ds:schemaRefs>
    <ds:schemaRef ds:uri="http://schemas.openxmlformats.org/officeDocument/2006/bibliography"/>
  </ds:schemaRefs>
</ds:datastoreItem>
</file>

<file path=customXml/itemProps5.xml><?xml version="1.0" encoding="utf-8"?>
<ds:datastoreItem xmlns:ds="http://schemas.openxmlformats.org/officeDocument/2006/customXml" ds:itemID="{0CF6008F-70C3-4E6E-AF16-4107638F84E8}">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1607</Words>
  <Characters>8698</Characters>
  <Application>Microsoft Office Word</Application>
  <DocSecurity>0</DocSecurity>
  <Lines>149</Lines>
  <Paragraphs>43</Paragraphs>
  <ScaleCrop>false</ScaleCrop>
  <HeadingPairs>
    <vt:vector size="2" baseType="variant">
      <vt:variant>
        <vt:lpstr>Title</vt:lpstr>
      </vt:variant>
      <vt:variant>
        <vt:i4>1</vt:i4>
      </vt:variant>
    </vt:vector>
  </HeadingPairs>
  <TitlesOfParts>
    <vt:vector size="1" baseType="lpstr">
      <vt:lpstr/>
    </vt:vector>
  </TitlesOfParts>
  <Company>PBGC</Company>
  <LinksUpToDate>false</LinksUpToDate>
  <CharactersWithSpaces>10262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Murphy Deborah</dc:creator>
  <cp:lastModifiedBy>Wilson Andrew</cp:lastModifiedBy>
  <cp:revision>8</cp:revision>
  <dcterms:created xsi:type="dcterms:W3CDTF">2026-09-10T18:47:00Z</dcterms:created>
  <dcterms:modified xsi:type="dcterms:W3CDTF">2026-09-10T18:53:00Z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0x010100E09C6A4FD85CD94DB99934580C239257190080A333454EC0734FA57241899DC77FFB</vt:lpwstr>
  </property>
  <property fmtid="{D5CDD505-2E9C-101B-9397-08002B2CF9AE}" pid="3" name="lcf76f155ced4ddcb4097134ff3c332f">
    <vt:lpwstr/>
  </property>
  <property fmtid="{D5CDD505-2E9C-101B-9397-08002B2CF9AE}" pid="4" name="MediaServiceImageTags">
    <vt:lpwstr/>
  </property>
  <property fmtid="{D5CDD505-2E9C-101B-9397-08002B2CF9AE}" pid="5" name="OGC Document Status">
    <vt:lpwstr>6;#Draft|4e9a4bc7-9032-4d66-87ab-b16dbcbcd63b</vt:lpwstr>
  </property>
  <property fmtid="{D5CDD505-2E9C-101B-9397-08002B2CF9AE}" pid="6" name="OGC_x0020_Document_x0020_Status">
    <vt:lpwstr>6;#Draft|4e9a4bc7-9032-4d66-87ab-b16dbcbcd63b</vt:lpwstr>
  </property>
  <property fmtid="{D5CDD505-2E9C-101B-9397-08002B2CF9AE}" pid="7" name="Order">
    <vt:r8>100</vt:r8>
  </property>
  <property fmtid="{D5CDD505-2E9C-101B-9397-08002B2CF9AE}" pid="8" name="Source Library">
    <vt:lpwstr/>
  </property>
  <property fmtid="{D5CDD505-2E9C-101B-9397-08002B2CF9AE}" pid="9" name="Source Type">
    <vt:lpwstr>File share</vt:lpwstr>
  </property>
  <property fmtid="{D5CDD505-2E9C-101B-9397-08002B2CF9AE}" pid="10" name="TaxCatchAll">
    <vt:lpwstr/>
  </property>
</Properties>
</file>