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815597" w:rsidRPr="00654510" w:rsidP="00A24E80" w14:paraId="3F0A6A63" w14:textId="2F253B0B">
      <w:pPr>
        <w:spacing w:line="276" w:lineRule="auto"/>
        <w:jc w:val="center"/>
        <w:rPr>
          <w:b/>
          <w:bCs/>
          <w:u w:val="single"/>
        </w:rPr>
      </w:pPr>
      <w:r w:rsidRPr="00654510">
        <w:rPr>
          <w:b/>
          <w:bCs/>
          <w:u w:val="single"/>
        </w:rPr>
        <w:t>Hypothetical Scenario</w:t>
      </w:r>
    </w:p>
    <w:p w:rsidR="00854000" w:rsidP="00A24E80" w14:paraId="3ADAC1A3" w14:textId="41697817">
      <w:pPr>
        <w:spacing w:line="276" w:lineRule="auto"/>
      </w:pPr>
      <w:r>
        <w:t xml:space="preserve">A </w:t>
      </w:r>
      <w:r w:rsidR="00976FB4">
        <w:t xml:space="preserve">building and construction industry </w:t>
      </w:r>
      <w:r>
        <w:t>plan that received SFA</w:t>
      </w:r>
      <w:r w:rsidR="00B73BFA">
        <w:t xml:space="preserve"> </w:t>
      </w:r>
      <w:r w:rsidR="005A6943">
        <w:t>(“Plan A”)</w:t>
      </w:r>
      <w:r>
        <w:t xml:space="preserve"> merges </w:t>
      </w:r>
      <w:r w:rsidR="005C5146">
        <w:t>into</w:t>
      </w:r>
      <w:r>
        <w:t xml:space="preserve"> a</w:t>
      </w:r>
      <w:r w:rsidR="00976FB4">
        <w:t xml:space="preserve"> building and construction industry</w:t>
      </w:r>
      <w:r>
        <w:t xml:space="preserve"> plan </w:t>
      </w:r>
      <w:r w:rsidR="00976FB4">
        <w:t xml:space="preserve">that did not receive SFA </w:t>
      </w:r>
      <w:r w:rsidR="005A6943">
        <w:t xml:space="preserve">(“Plan B”) </w:t>
      </w:r>
      <w:r w:rsidR="00976FB4">
        <w:t>on</w:t>
      </w:r>
      <w:r>
        <w:t xml:space="preserve"> December 31, 2026</w:t>
      </w:r>
      <w:r w:rsidR="00976FB4">
        <w:t>.</w:t>
      </w:r>
      <w:r>
        <w:t xml:space="preserve"> </w:t>
      </w:r>
      <w:r w:rsidR="001F2BC8">
        <w:t xml:space="preserve">Both Plan A and Plan B are calendar year plans. </w:t>
      </w:r>
      <w:r w:rsidR="00475039">
        <w:t xml:space="preserve">An employer that contributed to </w:t>
      </w:r>
      <w:r w:rsidR="005A6943">
        <w:t>Plan A</w:t>
      </w:r>
      <w:r w:rsidR="0052290B">
        <w:t xml:space="preserve"> withdraws from the merged plan </w:t>
      </w:r>
      <w:r w:rsidR="00106183">
        <w:t>during the plan year ending December 31,</w:t>
      </w:r>
      <w:r w:rsidR="0052290B">
        <w:t xml:space="preserve"> 202</w:t>
      </w:r>
      <w:r w:rsidR="00754FD0">
        <w:t>8</w:t>
      </w:r>
      <w:r w:rsidR="0052290B">
        <w:t xml:space="preserve">. </w:t>
      </w:r>
    </w:p>
    <w:p w:rsidR="0086772F" w:rsidP="00A24E80" w14:paraId="7AED4970" w14:textId="61DD7CD5">
      <w:pPr>
        <w:spacing w:line="276" w:lineRule="auto"/>
      </w:pPr>
      <w:r>
        <w:t xml:space="preserve">The </w:t>
      </w:r>
      <w:r w:rsidR="006722E2">
        <w:t>table below shows the h</w:t>
      </w:r>
      <w:r>
        <w:t xml:space="preserve">istorical </w:t>
      </w:r>
      <w:r w:rsidR="00106183">
        <w:t xml:space="preserve">required </w:t>
      </w:r>
      <w:r>
        <w:t>contributions</w:t>
      </w:r>
      <w:r>
        <w:rPr>
          <w:rStyle w:val="FootnoteReference"/>
        </w:rPr>
        <w:footnoteReference w:id="2"/>
      </w:r>
      <w:r>
        <w:t xml:space="preserve"> for</w:t>
      </w:r>
      <w:r w:rsidR="00FF07A5">
        <w:t>:</w:t>
      </w:r>
      <w:r>
        <w:t xml:space="preserve"> </w:t>
      </w:r>
      <w:r w:rsidR="00106183">
        <w:t>(</w:t>
      </w:r>
      <w:r w:rsidR="00EE40AE">
        <w:t>1</w:t>
      </w:r>
      <w:r w:rsidR="00106183">
        <w:t xml:space="preserve">) </w:t>
      </w:r>
      <w:r>
        <w:t xml:space="preserve">the withdrawing employer, </w:t>
      </w:r>
      <w:r w:rsidR="00106183">
        <w:t>(</w:t>
      </w:r>
      <w:r w:rsidR="00EE40AE">
        <w:t>2</w:t>
      </w:r>
      <w:r w:rsidR="00106183">
        <w:t xml:space="preserve">) </w:t>
      </w:r>
      <w:r>
        <w:t xml:space="preserve">the remaining employers from </w:t>
      </w:r>
      <w:r w:rsidR="00680966">
        <w:t>Plan A</w:t>
      </w:r>
      <w:r>
        <w:t xml:space="preserve">, and </w:t>
      </w:r>
      <w:r w:rsidR="00106183">
        <w:t>(</w:t>
      </w:r>
      <w:r w:rsidR="00EE40AE">
        <w:t>3</w:t>
      </w:r>
      <w:r w:rsidR="00106183">
        <w:t xml:space="preserve">) </w:t>
      </w:r>
      <w:r>
        <w:t>all other remaining employers</w:t>
      </w:r>
      <w:r w:rsidR="00854000">
        <w:t xml:space="preserve"> for the </w:t>
      </w:r>
      <w:r w:rsidR="000805C3">
        <w:t>five</w:t>
      </w:r>
      <w:r w:rsidR="00854000">
        <w:t xml:space="preserve">-year period ending </w:t>
      </w:r>
      <w:r w:rsidR="00106183">
        <w:t>at the end of the merged plan’s initial plan year</w:t>
      </w:r>
      <w:r w:rsidR="00854000">
        <w:t xml:space="preserve"> (December 31, 202</w:t>
      </w:r>
      <w:r w:rsidR="00106183">
        <w:t>7</w:t>
      </w:r>
      <w:r w:rsidR="00854000">
        <w:t>)</w:t>
      </w:r>
      <w:r w:rsidR="00106183">
        <w:t xml:space="preserve">. The first </w:t>
      </w:r>
      <w:r w:rsidR="000805C3">
        <w:t xml:space="preserve">four </w:t>
      </w:r>
      <w:r w:rsidR="00343979">
        <w:t>rows (2023 – 2026)</w:t>
      </w:r>
      <w:r w:rsidR="00106183">
        <w:t xml:space="preserve"> </w:t>
      </w:r>
      <w:r w:rsidR="00F82A74">
        <w:t>show</w:t>
      </w:r>
      <w:r w:rsidR="00106183">
        <w:t xml:space="preserve"> required contributions for the component plans prior to the merger and the </w:t>
      </w:r>
      <w:r w:rsidR="000805C3">
        <w:t xml:space="preserve">fifth </w:t>
      </w:r>
      <w:r w:rsidR="00343979">
        <w:t>row (2027)</w:t>
      </w:r>
      <w:r w:rsidR="00106183">
        <w:t xml:space="preserve"> </w:t>
      </w:r>
      <w:r w:rsidR="00F82A74">
        <w:t xml:space="preserve">shows </w:t>
      </w:r>
      <w:r w:rsidR="00106183">
        <w:t>the requi</w:t>
      </w:r>
      <w:r w:rsidR="00F82A74">
        <w:t>red</w:t>
      </w:r>
      <w:r w:rsidR="00106183">
        <w:t xml:space="preserve"> contributions for the initial plan year of the merged plan.</w:t>
      </w:r>
    </w:p>
    <w:tbl>
      <w:tblPr>
        <w:tblStyle w:val="TableGrid"/>
        <w:tblW w:w="0" w:type="auto"/>
        <w:tblLook w:val="04A0"/>
      </w:tblPr>
      <w:tblGrid>
        <w:gridCol w:w="2337"/>
        <w:gridCol w:w="2337"/>
        <w:gridCol w:w="2338"/>
        <w:gridCol w:w="2338"/>
      </w:tblGrid>
      <w:tr w14:paraId="18B1521B" w14:textId="77777777" w:rsidTr="001D54B8">
        <w:tblPrEx>
          <w:tblW w:w="0" w:type="auto"/>
          <w:tblLook w:val="04A0"/>
        </w:tblPrEx>
        <w:tc>
          <w:tcPr>
            <w:tcW w:w="2337" w:type="dxa"/>
            <w:shd w:val="clear" w:color="auto" w:fill="F2F2F2" w:themeFill="background1" w:themeFillShade="F2"/>
          </w:tcPr>
          <w:p w:rsidR="0086772F" w:rsidP="00A24E80" w14:paraId="62ECD954" w14:textId="090AE0CF">
            <w:pPr>
              <w:spacing w:line="276" w:lineRule="auto"/>
              <w:jc w:val="center"/>
            </w:pPr>
            <w:r>
              <w:t xml:space="preserve">Plan Year Ending </w:t>
            </w:r>
            <w:r w:rsidR="00095C0C">
              <w:t xml:space="preserve">December </w:t>
            </w:r>
            <w:r>
              <w:t>31</w:t>
            </w:r>
          </w:p>
        </w:tc>
        <w:tc>
          <w:tcPr>
            <w:tcW w:w="2337" w:type="dxa"/>
            <w:shd w:val="clear" w:color="auto" w:fill="F2F2F2" w:themeFill="background1" w:themeFillShade="F2"/>
          </w:tcPr>
          <w:p w:rsidR="0086772F" w:rsidP="00A24E80" w14:paraId="335A5E62" w14:textId="015F081F">
            <w:pPr>
              <w:spacing w:line="276" w:lineRule="auto"/>
              <w:jc w:val="center"/>
            </w:pPr>
            <w:r>
              <w:t>Withdrawing Employer</w:t>
            </w:r>
          </w:p>
        </w:tc>
        <w:tc>
          <w:tcPr>
            <w:tcW w:w="2338" w:type="dxa"/>
            <w:shd w:val="clear" w:color="auto" w:fill="F2F2F2" w:themeFill="background1" w:themeFillShade="F2"/>
          </w:tcPr>
          <w:p w:rsidR="0086772F" w:rsidP="00A24E80" w14:paraId="2CE39A89" w14:textId="35C7331A">
            <w:pPr>
              <w:spacing w:line="276" w:lineRule="auto"/>
              <w:jc w:val="center"/>
            </w:pPr>
            <w:r>
              <w:t xml:space="preserve">Remaining </w:t>
            </w:r>
            <w:r w:rsidR="004D5894">
              <w:t xml:space="preserve">Plan A </w:t>
            </w:r>
            <w:r>
              <w:t>Employers (Aggregate)</w:t>
            </w:r>
          </w:p>
        </w:tc>
        <w:tc>
          <w:tcPr>
            <w:tcW w:w="2338" w:type="dxa"/>
            <w:shd w:val="clear" w:color="auto" w:fill="F2F2F2" w:themeFill="background1" w:themeFillShade="F2"/>
          </w:tcPr>
          <w:p w:rsidR="0086772F" w:rsidP="00A24E80" w14:paraId="32AC57CE" w14:textId="36003BDF">
            <w:pPr>
              <w:spacing w:line="276" w:lineRule="auto"/>
              <w:jc w:val="center"/>
            </w:pPr>
            <w:r>
              <w:t xml:space="preserve"> </w:t>
            </w:r>
            <w:r w:rsidR="004D5894">
              <w:t xml:space="preserve">Plan B </w:t>
            </w:r>
            <w:r>
              <w:t>Employers (Aggregate)</w:t>
            </w:r>
          </w:p>
        </w:tc>
      </w:tr>
      <w:tr w14:paraId="4F2BFB21" w14:textId="77777777" w:rsidTr="0086772F">
        <w:tblPrEx>
          <w:tblW w:w="0" w:type="auto"/>
          <w:tblLook w:val="04A0"/>
        </w:tblPrEx>
        <w:tc>
          <w:tcPr>
            <w:tcW w:w="2337" w:type="dxa"/>
          </w:tcPr>
          <w:p w:rsidR="0086772F" w:rsidP="00A24E80" w14:paraId="65A7883C" w14:textId="2D59F074">
            <w:pPr>
              <w:spacing w:line="276" w:lineRule="auto"/>
              <w:jc w:val="center"/>
            </w:pPr>
            <w:r>
              <w:t>202</w:t>
            </w:r>
            <w:r w:rsidR="00754FD0">
              <w:t>3</w:t>
            </w:r>
          </w:p>
        </w:tc>
        <w:tc>
          <w:tcPr>
            <w:tcW w:w="2337" w:type="dxa"/>
          </w:tcPr>
          <w:p w:rsidR="0086772F" w:rsidP="00A24E80" w14:paraId="67224900" w14:textId="40908DF0">
            <w:pPr>
              <w:spacing w:line="276" w:lineRule="auto"/>
              <w:jc w:val="center"/>
            </w:pPr>
            <w:r>
              <w:t>$1</w:t>
            </w:r>
            <w:r w:rsidR="00440068">
              <w:t>1</w:t>
            </w:r>
            <w:r>
              <w:t>0,000</w:t>
            </w:r>
          </w:p>
        </w:tc>
        <w:tc>
          <w:tcPr>
            <w:tcW w:w="2338" w:type="dxa"/>
          </w:tcPr>
          <w:p w:rsidR="0086772F" w:rsidP="00A24E80" w14:paraId="295771B9" w14:textId="4841ABB7">
            <w:pPr>
              <w:spacing w:line="276" w:lineRule="auto"/>
              <w:jc w:val="center"/>
            </w:pPr>
            <w:r>
              <w:t>$4</w:t>
            </w:r>
            <w:r w:rsidR="00440068">
              <w:t>4</w:t>
            </w:r>
            <w:r>
              <w:t>0,000</w:t>
            </w:r>
          </w:p>
        </w:tc>
        <w:tc>
          <w:tcPr>
            <w:tcW w:w="2338" w:type="dxa"/>
          </w:tcPr>
          <w:p w:rsidR="0086772F" w:rsidP="00A24E80" w14:paraId="1AB28F31" w14:textId="419F13BA">
            <w:pPr>
              <w:spacing w:line="276" w:lineRule="auto"/>
              <w:jc w:val="center"/>
            </w:pPr>
            <w:r>
              <w:t>$5,000,000</w:t>
            </w:r>
          </w:p>
        </w:tc>
      </w:tr>
      <w:tr w14:paraId="72534667" w14:textId="77777777" w:rsidTr="0086772F">
        <w:tblPrEx>
          <w:tblW w:w="0" w:type="auto"/>
          <w:tblLook w:val="04A0"/>
        </w:tblPrEx>
        <w:tc>
          <w:tcPr>
            <w:tcW w:w="2337" w:type="dxa"/>
          </w:tcPr>
          <w:p w:rsidR="0086772F" w:rsidP="00A24E80" w14:paraId="654E00E5" w14:textId="1699A39F">
            <w:pPr>
              <w:spacing w:line="276" w:lineRule="auto"/>
              <w:jc w:val="center"/>
            </w:pPr>
            <w:r>
              <w:t>202</w:t>
            </w:r>
            <w:r w:rsidR="00754FD0">
              <w:t>4</w:t>
            </w:r>
          </w:p>
        </w:tc>
        <w:tc>
          <w:tcPr>
            <w:tcW w:w="2337" w:type="dxa"/>
          </w:tcPr>
          <w:p w:rsidR="0086772F" w:rsidP="00A24E80" w14:paraId="7C853E35" w14:textId="62D4B1E7">
            <w:pPr>
              <w:spacing w:line="276" w:lineRule="auto"/>
              <w:jc w:val="center"/>
            </w:pPr>
            <w:r>
              <w:t>$1</w:t>
            </w:r>
            <w:r w:rsidR="00440068">
              <w:t>03</w:t>
            </w:r>
            <w:r>
              <w:t>,000</w:t>
            </w:r>
          </w:p>
        </w:tc>
        <w:tc>
          <w:tcPr>
            <w:tcW w:w="2338" w:type="dxa"/>
          </w:tcPr>
          <w:p w:rsidR="0086772F" w:rsidP="00A24E80" w14:paraId="1EB08279" w14:textId="1C9388AD">
            <w:pPr>
              <w:spacing w:line="276" w:lineRule="auto"/>
              <w:jc w:val="center"/>
            </w:pPr>
            <w:r>
              <w:t>$4</w:t>
            </w:r>
            <w:r w:rsidR="00440068">
              <w:t>12</w:t>
            </w:r>
            <w:r>
              <w:t>,000</w:t>
            </w:r>
          </w:p>
        </w:tc>
        <w:tc>
          <w:tcPr>
            <w:tcW w:w="2338" w:type="dxa"/>
          </w:tcPr>
          <w:p w:rsidR="0086772F" w:rsidP="00A24E80" w14:paraId="748A2250" w14:textId="264AB523">
            <w:pPr>
              <w:spacing w:line="276" w:lineRule="auto"/>
              <w:jc w:val="center"/>
            </w:pPr>
            <w:r>
              <w:t>$5,000,000</w:t>
            </w:r>
          </w:p>
        </w:tc>
      </w:tr>
      <w:tr w14:paraId="59C549D7" w14:textId="77777777" w:rsidTr="0086772F">
        <w:tblPrEx>
          <w:tblW w:w="0" w:type="auto"/>
          <w:tblLook w:val="04A0"/>
        </w:tblPrEx>
        <w:tc>
          <w:tcPr>
            <w:tcW w:w="2337" w:type="dxa"/>
          </w:tcPr>
          <w:p w:rsidR="0086772F" w:rsidP="00A24E80" w14:paraId="7FC0DA9F" w14:textId="4523141D">
            <w:pPr>
              <w:spacing w:line="276" w:lineRule="auto"/>
              <w:jc w:val="center"/>
            </w:pPr>
            <w:r>
              <w:t>202</w:t>
            </w:r>
            <w:r w:rsidR="00754FD0">
              <w:t>5</w:t>
            </w:r>
          </w:p>
        </w:tc>
        <w:tc>
          <w:tcPr>
            <w:tcW w:w="2337" w:type="dxa"/>
          </w:tcPr>
          <w:p w:rsidR="0086772F" w:rsidP="00A24E80" w14:paraId="248FF3AF" w14:textId="36760FDF">
            <w:pPr>
              <w:spacing w:line="276" w:lineRule="auto"/>
              <w:jc w:val="center"/>
            </w:pPr>
            <w:r>
              <w:t>$10</w:t>
            </w:r>
            <w:r w:rsidR="00440068">
              <w:t>0</w:t>
            </w:r>
            <w:r>
              <w:t>,000</w:t>
            </w:r>
          </w:p>
        </w:tc>
        <w:tc>
          <w:tcPr>
            <w:tcW w:w="2338" w:type="dxa"/>
          </w:tcPr>
          <w:p w:rsidR="0086772F" w:rsidP="00A24E80" w14:paraId="41844608" w14:textId="5D593194">
            <w:pPr>
              <w:spacing w:line="276" w:lineRule="auto"/>
              <w:jc w:val="center"/>
            </w:pPr>
            <w:r>
              <w:t>$400,000</w:t>
            </w:r>
          </w:p>
        </w:tc>
        <w:tc>
          <w:tcPr>
            <w:tcW w:w="2338" w:type="dxa"/>
          </w:tcPr>
          <w:p w:rsidR="0086772F" w:rsidP="00A24E80" w14:paraId="0A7F895C" w14:textId="1B13D0A4">
            <w:pPr>
              <w:spacing w:line="276" w:lineRule="auto"/>
              <w:jc w:val="center"/>
            </w:pPr>
            <w:r>
              <w:t>$5,000,000</w:t>
            </w:r>
          </w:p>
        </w:tc>
      </w:tr>
      <w:tr w14:paraId="01C25F3C" w14:textId="77777777" w:rsidTr="0086772F">
        <w:tblPrEx>
          <w:tblW w:w="0" w:type="auto"/>
          <w:tblLook w:val="04A0"/>
        </w:tblPrEx>
        <w:tc>
          <w:tcPr>
            <w:tcW w:w="2337" w:type="dxa"/>
          </w:tcPr>
          <w:p w:rsidR="0086772F" w:rsidP="00A24E80" w14:paraId="00AE9886" w14:textId="58EDDD74">
            <w:pPr>
              <w:spacing w:line="276" w:lineRule="auto"/>
              <w:jc w:val="center"/>
            </w:pPr>
            <w:r>
              <w:t>202</w:t>
            </w:r>
            <w:r w:rsidR="00754FD0">
              <w:t>6</w:t>
            </w:r>
          </w:p>
        </w:tc>
        <w:tc>
          <w:tcPr>
            <w:tcW w:w="2337" w:type="dxa"/>
          </w:tcPr>
          <w:p w:rsidR="0086772F" w:rsidP="00A24E80" w14:paraId="451DF0DF" w14:textId="37D1C8F3">
            <w:pPr>
              <w:spacing w:line="276" w:lineRule="auto"/>
              <w:jc w:val="center"/>
            </w:pPr>
            <w:r>
              <w:t>$</w:t>
            </w:r>
            <w:r w:rsidR="00440068">
              <w:t>97</w:t>
            </w:r>
            <w:r>
              <w:t>,000</w:t>
            </w:r>
          </w:p>
        </w:tc>
        <w:tc>
          <w:tcPr>
            <w:tcW w:w="2338" w:type="dxa"/>
          </w:tcPr>
          <w:p w:rsidR="0086772F" w:rsidP="00A24E80" w14:paraId="28AE6A97" w14:textId="38BF5808">
            <w:pPr>
              <w:spacing w:line="276" w:lineRule="auto"/>
              <w:jc w:val="center"/>
            </w:pPr>
            <w:r>
              <w:t>$</w:t>
            </w:r>
            <w:r w:rsidR="00440068">
              <w:t>388</w:t>
            </w:r>
            <w:r>
              <w:t>,000</w:t>
            </w:r>
          </w:p>
        </w:tc>
        <w:tc>
          <w:tcPr>
            <w:tcW w:w="2338" w:type="dxa"/>
          </w:tcPr>
          <w:p w:rsidR="0086772F" w:rsidP="00A24E80" w14:paraId="463BDE0C" w14:textId="6237DDA5">
            <w:pPr>
              <w:spacing w:line="276" w:lineRule="auto"/>
              <w:jc w:val="center"/>
            </w:pPr>
            <w:r>
              <w:t>$5,000,000</w:t>
            </w:r>
          </w:p>
        </w:tc>
      </w:tr>
      <w:tr w14:paraId="7FC632C2" w14:textId="77777777" w:rsidTr="0086772F">
        <w:tblPrEx>
          <w:tblW w:w="0" w:type="auto"/>
          <w:tblLook w:val="04A0"/>
        </w:tblPrEx>
        <w:tc>
          <w:tcPr>
            <w:tcW w:w="2337" w:type="dxa"/>
          </w:tcPr>
          <w:p w:rsidR="0086772F" w:rsidP="00A24E80" w14:paraId="18CC315A" w14:textId="28E32B32">
            <w:pPr>
              <w:spacing w:line="276" w:lineRule="auto"/>
              <w:jc w:val="center"/>
            </w:pPr>
            <w:r>
              <w:t>202</w:t>
            </w:r>
            <w:r w:rsidR="00754FD0">
              <w:t>7</w:t>
            </w:r>
          </w:p>
        </w:tc>
        <w:tc>
          <w:tcPr>
            <w:tcW w:w="2337" w:type="dxa"/>
          </w:tcPr>
          <w:p w:rsidR="0086772F" w:rsidP="00A24E80" w14:paraId="6C8E1825" w14:textId="78FF9DD9">
            <w:pPr>
              <w:spacing w:line="276" w:lineRule="auto"/>
              <w:jc w:val="center"/>
            </w:pPr>
            <w:r>
              <w:t>$</w:t>
            </w:r>
            <w:r w:rsidR="00440068">
              <w:t>90</w:t>
            </w:r>
            <w:r>
              <w:t>,000</w:t>
            </w:r>
          </w:p>
        </w:tc>
        <w:tc>
          <w:tcPr>
            <w:tcW w:w="2338" w:type="dxa"/>
          </w:tcPr>
          <w:p w:rsidR="0086772F" w:rsidP="00A24E80" w14:paraId="22413B1B" w14:textId="2720503B">
            <w:pPr>
              <w:spacing w:line="276" w:lineRule="auto"/>
              <w:jc w:val="center"/>
            </w:pPr>
            <w:r>
              <w:t>$</w:t>
            </w:r>
            <w:r w:rsidR="00440068">
              <w:t>360</w:t>
            </w:r>
            <w:r>
              <w:t>,000</w:t>
            </w:r>
          </w:p>
        </w:tc>
        <w:tc>
          <w:tcPr>
            <w:tcW w:w="2338" w:type="dxa"/>
          </w:tcPr>
          <w:p w:rsidR="0086772F" w:rsidP="00A24E80" w14:paraId="3B85316F" w14:textId="143EFA61">
            <w:pPr>
              <w:spacing w:line="276" w:lineRule="auto"/>
              <w:jc w:val="center"/>
            </w:pPr>
            <w:r>
              <w:t>$5,000,000</w:t>
            </w:r>
          </w:p>
        </w:tc>
      </w:tr>
    </w:tbl>
    <w:p w:rsidR="00040E9B" w:rsidP="00A24E80" w14:paraId="65E64EAF" w14:textId="77777777">
      <w:pPr>
        <w:spacing w:after="0" w:line="276" w:lineRule="auto"/>
      </w:pPr>
    </w:p>
    <w:p w:rsidR="000805C3" w:rsidP="00A24E80" w14:paraId="04CED299" w14:textId="4205ADA2">
      <w:pPr>
        <w:spacing w:line="276" w:lineRule="auto"/>
      </w:pPr>
      <w:r>
        <w:t xml:space="preserve">Because the employer is withdrawing in the first plan year following the initial plan year, </w:t>
      </w:r>
      <w:r w:rsidR="007E19D7">
        <w:t xml:space="preserve">the allocated share of unfunded vested benefit liability (“UVB”) is the sum of prior plan </w:t>
      </w:r>
      <w:r w:rsidR="00890096">
        <w:t xml:space="preserve">UVB </w:t>
      </w:r>
      <w:r w:rsidR="007E19D7">
        <w:t xml:space="preserve">and adjusted initial plan year UVB. The prior plan </w:t>
      </w:r>
      <w:r w:rsidR="00CF7D07">
        <w:t xml:space="preserve">UVB </w:t>
      </w:r>
      <w:r w:rsidR="007E19D7">
        <w:t>and adjusted initial plan year UVB each have different allocation ratios</w:t>
      </w:r>
      <w:r w:rsidR="00E70FFF">
        <w:t xml:space="preserve">, as described </w:t>
      </w:r>
      <w:r w:rsidR="00F22B6B">
        <w:t>below</w:t>
      </w:r>
      <w:r w:rsidR="00E70FFF">
        <w:t>.</w:t>
      </w:r>
    </w:p>
    <w:p w:rsidR="000805C3" w:rsidP="00A24E80" w14:paraId="638F4ED7" w14:textId="0006ECDA">
      <w:pPr>
        <w:spacing w:after="120" w:line="276" w:lineRule="auto"/>
      </w:pPr>
      <w:r>
        <w:t>Assum</w:t>
      </w:r>
      <w:r w:rsidR="00D41D34">
        <w:t>ing</w:t>
      </w:r>
      <w:r>
        <w:t xml:space="preserve"> </w:t>
      </w:r>
      <w:r>
        <w:t xml:space="preserve">the prior plan UVB from </w:t>
      </w:r>
      <w:r w:rsidR="00AE78D8">
        <w:t>Plan A</w:t>
      </w:r>
      <w:r>
        <w:t xml:space="preserve"> as of December 31, 2026</w:t>
      </w:r>
      <w:r w:rsidR="00960AE0">
        <w:t>,</w:t>
      </w:r>
      <w:r>
        <w:t xml:space="preserve"> is $10,000,000 </w:t>
      </w:r>
      <w:r w:rsidR="00412AD2">
        <w:t>and</w:t>
      </w:r>
      <w:r>
        <w:t xml:space="preserve"> the withdrawing employer’s share of this prior plan UVB is $2,500,000. </w:t>
      </w:r>
      <w:r w:rsidR="00A24E80">
        <w:t xml:space="preserve">$2,500,000 is </w:t>
      </w:r>
      <w:r>
        <w:t xml:space="preserve">the amount of withdrawal liability that would have been assessed to the withdrawing employer had </w:t>
      </w:r>
      <w:r w:rsidR="008B3AEE">
        <w:t>the merger not taken place</w:t>
      </w:r>
      <w:r w:rsidR="00675E20">
        <w:t>,</w:t>
      </w:r>
      <w:r w:rsidR="008B3AEE">
        <w:t xml:space="preserve"> and </w:t>
      </w:r>
      <w:r>
        <w:t>the</w:t>
      </w:r>
      <w:r w:rsidR="008B3AEE">
        <w:t xml:space="preserve"> </w:t>
      </w:r>
      <w:r>
        <w:t>withdrawal occurred in the plan year ending December 31, 2027.</w:t>
      </w:r>
    </w:p>
    <w:p w:rsidR="00807F25" w:rsidP="00A24E80" w14:paraId="72B152EE" w14:textId="77777777">
      <w:pPr>
        <w:spacing w:after="0" w:line="276" w:lineRule="auto"/>
      </w:pPr>
    </w:p>
    <w:p w:rsidR="0033412E" w:rsidP="00A24E80" w14:paraId="0119A59B" w14:textId="77777777">
      <w:pPr>
        <w:spacing w:line="276" w:lineRule="auto"/>
        <w:rPr>
          <w:u w:val="single"/>
        </w:rPr>
      </w:pPr>
    </w:p>
    <w:p w:rsidR="0033412E" w:rsidP="00A24E80" w14:paraId="32E69BDE" w14:textId="77777777">
      <w:pPr>
        <w:spacing w:line="276" w:lineRule="auto"/>
        <w:rPr>
          <w:u w:val="single"/>
        </w:rPr>
      </w:pPr>
    </w:p>
    <w:p w:rsidR="008E4939" w:rsidRPr="00A24E80" w:rsidP="00A24E80" w14:paraId="2EAB83C0" w14:textId="388FA484">
      <w:pPr>
        <w:spacing w:line="276" w:lineRule="auto"/>
        <w:rPr>
          <w:b/>
          <w:bCs/>
        </w:rPr>
      </w:pPr>
      <w:r w:rsidRPr="00A24E80">
        <w:rPr>
          <w:b/>
          <w:bCs/>
        </w:rPr>
        <w:t>Adjusted Initial Plan Year UVB</w:t>
      </w:r>
      <w:r w:rsidRPr="00A24E80" w:rsidR="005B1CE2">
        <w:rPr>
          <w:b/>
          <w:bCs/>
        </w:rPr>
        <w:t xml:space="preserve"> Allocation Ratio</w:t>
      </w:r>
      <w:r w:rsidRPr="00A24E80" w:rsidR="00C35DE0">
        <w:rPr>
          <w:b/>
          <w:bCs/>
        </w:rPr>
        <w:t xml:space="preserve"> under 29 C.F.R. § 4211.36(d)</w:t>
      </w:r>
      <w:r w:rsidRPr="00A24E80" w:rsidR="003D5652">
        <w:rPr>
          <w:b/>
          <w:bCs/>
        </w:rPr>
        <w:t>(1) &amp; (2)</w:t>
      </w:r>
    </w:p>
    <w:p w:rsidR="00D067F1" w:rsidP="00A24E80" w14:paraId="06BD71F6" w14:textId="3CFB2655">
      <w:pPr>
        <w:spacing w:line="276" w:lineRule="auto"/>
      </w:pPr>
      <w:r>
        <w:t xml:space="preserve">Under § 4211.32(b)(2), the withdrawing employer’s </w:t>
      </w:r>
      <w:r w:rsidR="005B1CE2">
        <w:t xml:space="preserve">allocated ratio of the adjusted initial UVB is the proportion of its allocated share of prior plan liabilities to the total prior plan liabilities allocated to employers not withdrawn as of the end of the initial plan year. </w:t>
      </w:r>
    </w:p>
    <w:p w:rsidR="0033412E" w:rsidP="00A24E80" w14:paraId="73A4C119" w14:textId="367008BF">
      <w:pPr>
        <w:spacing w:line="276" w:lineRule="auto"/>
        <w:rPr>
          <w:b/>
          <w:bCs/>
          <w:u w:val="single"/>
        </w:rPr>
      </w:pPr>
      <w:r>
        <w:t>In comparison, u</w:t>
      </w:r>
      <w:r w:rsidR="008C3678">
        <w:t>nder § 4211.36(d)</w:t>
      </w:r>
      <w:r w:rsidR="00106183">
        <w:t>(1)</w:t>
      </w:r>
      <w:r>
        <w:t xml:space="preserve"> </w:t>
      </w:r>
      <w:r w:rsidR="00106183">
        <w:t>&amp;</w:t>
      </w:r>
      <w:r>
        <w:t xml:space="preserve"> </w:t>
      </w:r>
      <w:r w:rsidR="00106183">
        <w:t>(2)</w:t>
      </w:r>
      <w:r w:rsidR="008C3678">
        <w:t xml:space="preserve">, the </w:t>
      </w:r>
      <w:r w:rsidR="00D067F1">
        <w:t xml:space="preserve">withdrawing </w:t>
      </w:r>
      <w:r w:rsidR="008C3678">
        <w:t>employer’s allocat</w:t>
      </w:r>
      <w:r w:rsidR="008E4939">
        <w:t>ed</w:t>
      </w:r>
      <w:r w:rsidR="008C3678">
        <w:t xml:space="preserve"> ratio </w:t>
      </w:r>
      <w:r w:rsidR="008E4939">
        <w:t xml:space="preserve">of the adjusted initial UVB </w:t>
      </w:r>
      <w:r w:rsidR="008C3678">
        <w:t xml:space="preserve">is the </w:t>
      </w:r>
      <w:r w:rsidR="00FD2D97">
        <w:t xml:space="preserve">proportion of its </w:t>
      </w:r>
      <w:r w:rsidR="00106183">
        <w:t>total required contributions for the five-year period ending December</w:t>
      </w:r>
      <w:r w:rsidR="008E4939">
        <w:t> </w:t>
      </w:r>
      <w:r w:rsidR="00106183">
        <w:t xml:space="preserve">31, 2027 </w:t>
      </w:r>
      <w:r w:rsidR="00C1557D">
        <w:t xml:space="preserve">(the last day of the initial plan year) </w:t>
      </w:r>
      <w:r w:rsidR="00106183">
        <w:t>to the total required employer contributions over this same period</w:t>
      </w:r>
      <w:r w:rsidR="00C1557D">
        <w:t xml:space="preserve">; this ratio is </w:t>
      </w:r>
      <w:r w:rsidRPr="00A24E80" w:rsidR="00D067F1">
        <w:t>1.82</w:t>
      </w:r>
      <w:r w:rsidRPr="00A24E80" w:rsidR="00C1557D">
        <w:t>%</w:t>
      </w:r>
      <w:r w:rsidRPr="00A24E80" w:rsidR="00FB760E">
        <w:t>.</w:t>
      </w:r>
      <w:r>
        <w:rPr>
          <w:rStyle w:val="FootnoteReference"/>
        </w:rPr>
        <w:footnoteReference w:id="3"/>
      </w:r>
      <w:r w:rsidR="005B1CE2">
        <w:t xml:space="preserve"> </w:t>
      </w:r>
    </w:p>
    <w:p w:rsidR="00F35C3C" w:rsidRPr="00654510" w:rsidP="00A24E80" w14:paraId="06886678" w14:textId="030C5431">
      <w:pPr>
        <w:spacing w:line="276" w:lineRule="auto"/>
        <w:jc w:val="center"/>
        <w:rPr>
          <w:b/>
          <w:bCs/>
          <w:u w:val="single"/>
        </w:rPr>
      </w:pPr>
      <w:r w:rsidRPr="00654510">
        <w:rPr>
          <w:b/>
          <w:bCs/>
          <w:u w:val="single"/>
        </w:rPr>
        <w:t>Examples</w:t>
      </w:r>
    </w:p>
    <w:p w:rsidR="00F37EA4" w:rsidP="00A24E80" w14:paraId="2B5FBC16" w14:textId="4BF27D75">
      <w:pPr>
        <w:spacing w:line="276" w:lineRule="auto"/>
      </w:pPr>
      <w:r>
        <w:t xml:space="preserve">The following examples </w:t>
      </w:r>
      <w:r w:rsidR="00E85281">
        <w:t>illustrate how the § 4211.36(d)(1)</w:t>
      </w:r>
      <w:r w:rsidR="006A6A51">
        <w:t xml:space="preserve"> </w:t>
      </w:r>
      <w:r w:rsidR="00E85281">
        <w:t>&amp;</w:t>
      </w:r>
      <w:r w:rsidR="006A6A51">
        <w:t xml:space="preserve"> </w:t>
      </w:r>
      <w:r w:rsidR="00E85281">
        <w:t xml:space="preserve">(2) </w:t>
      </w:r>
      <w:r w:rsidR="003D5652">
        <w:t xml:space="preserve">modifications </w:t>
      </w:r>
      <w:r w:rsidR="0088679A">
        <w:t>reduce volatility in the withdrawing employer’s post-merger withdrawal liability assessment across a range of scenarios</w:t>
      </w:r>
      <w:r w:rsidR="00F15EF9">
        <w:t>, as compared to the allocation method specified under § 4211.32.</w:t>
      </w:r>
      <w:r w:rsidR="00627FDB">
        <w:t xml:space="preserve"> </w:t>
      </w:r>
    </w:p>
    <w:p w:rsidR="00A914CA" w:rsidP="00A24E80" w14:paraId="6ABC4605" w14:textId="216BE110">
      <w:pPr>
        <w:spacing w:line="276" w:lineRule="auto"/>
      </w:pPr>
      <w:r>
        <w:t xml:space="preserve">Examples 1 and 2 </w:t>
      </w:r>
      <w:r w:rsidR="001D5814">
        <w:t>show how</w:t>
      </w:r>
      <w:r w:rsidR="00F37EA4">
        <w:t xml:space="preserve"> these modifications </w:t>
      </w:r>
      <w:r w:rsidR="0096110E">
        <w:t xml:space="preserve">may </w:t>
      </w:r>
      <w:r w:rsidR="00F37EA4">
        <w:t xml:space="preserve">mitigate </w:t>
      </w:r>
      <w:r w:rsidR="00F15EF9">
        <w:t xml:space="preserve">the effects of </w:t>
      </w:r>
      <w:r w:rsidR="00C30000">
        <w:t>discontinuing the §</w:t>
      </w:r>
      <w:r w:rsidR="006A6A51">
        <w:t xml:space="preserve"> </w:t>
      </w:r>
      <w:r w:rsidR="00C30000">
        <w:t>4262.16 withdrawal liability conditions in the merged plan (i.e. 4044 interest rates and SFA</w:t>
      </w:r>
      <w:r w:rsidR="0062613E">
        <w:t xml:space="preserve"> </w:t>
      </w:r>
      <w:r w:rsidR="00C30000">
        <w:t>phase-in) which would tend to lower the employer’s withdrawal liability assessment after the merger</w:t>
      </w:r>
      <w:r w:rsidR="00F37EA4">
        <w:t>.</w:t>
      </w:r>
    </w:p>
    <w:p w:rsidR="00F15EF9" w:rsidP="00A24E80" w14:paraId="45B2597F" w14:textId="15A7D35C">
      <w:pPr>
        <w:spacing w:line="276" w:lineRule="auto"/>
      </w:pPr>
      <w:r>
        <w:t>Example 3 shows how these modifications may insulate</w:t>
      </w:r>
      <w:r>
        <w:t xml:space="preserve"> the employer from disproportionate increases in withdrawal liability resulting from adverse experience in the </w:t>
      </w:r>
      <w:r w:rsidR="00A24E80">
        <w:t>merged</w:t>
      </w:r>
      <w:r>
        <w:t xml:space="preserve"> plan</w:t>
      </w:r>
      <w:r w:rsidR="00C30000">
        <w:t xml:space="preserve"> during the initial plan year.</w:t>
      </w:r>
    </w:p>
    <w:p w:rsidR="00207B79" w:rsidP="00A24E80" w14:paraId="32A0B849" w14:textId="1045527C">
      <w:pPr>
        <w:spacing w:line="276" w:lineRule="auto"/>
      </w:pPr>
      <w:r w:rsidRPr="00A24E80">
        <w:rPr>
          <w:b/>
          <w:bCs/>
        </w:rPr>
        <w:t>E</w:t>
      </w:r>
      <w:r w:rsidRPr="00A24E80" w:rsidR="005F6249">
        <w:rPr>
          <w:b/>
          <w:bCs/>
        </w:rPr>
        <w:t>xample</w:t>
      </w:r>
      <w:r w:rsidRPr="00A24E80">
        <w:rPr>
          <w:b/>
          <w:bCs/>
        </w:rPr>
        <w:t xml:space="preserve"> 1</w:t>
      </w:r>
      <w:r w:rsidR="00B12732">
        <w:t xml:space="preserve"> – </w:t>
      </w:r>
      <w:r w:rsidR="0049167F">
        <w:t>Assumption: a</w:t>
      </w:r>
      <w:r w:rsidR="000978FC">
        <w:t>s of December 31, 2026</w:t>
      </w:r>
      <w:r w:rsidR="00BD4D62">
        <w:t>,</w:t>
      </w:r>
      <w:r w:rsidR="000E28D2">
        <w:t xml:space="preserve"> </w:t>
      </w:r>
      <w:r w:rsidR="000978FC">
        <w:t xml:space="preserve">the </w:t>
      </w:r>
      <w:r w:rsidR="0079610A">
        <w:t>Plan A</w:t>
      </w:r>
      <w:r w:rsidR="000978FC">
        <w:t xml:space="preserve"> UVB </w:t>
      </w:r>
      <w:r w:rsidR="008B3AEE">
        <w:t xml:space="preserve">is </w:t>
      </w:r>
      <w:r w:rsidR="000978FC">
        <w:t>$0</w:t>
      </w:r>
      <w:r w:rsidR="008B3AEE">
        <w:t>.</w:t>
      </w:r>
    </w:p>
    <w:p w:rsidR="00EE50A6" w:rsidRPr="00A24E80" w:rsidP="00A24E80" w14:paraId="7C6BFD98" w14:textId="537503C3">
      <w:pPr>
        <w:spacing w:line="276" w:lineRule="auto"/>
        <w:rPr>
          <w:u w:val="single"/>
        </w:rPr>
      </w:pPr>
      <w:r w:rsidRPr="00A24E80">
        <w:rPr>
          <w:u w:val="single"/>
        </w:rPr>
        <w:t>Adjusted Initial UVB</w:t>
      </w:r>
    </w:p>
    <w:p w:rsidR="003D3377" w:rsidP="00A24E80" w14:paraId="02604BEF" w14:textId="0B9C8667">
      <w:pPr>
        <w:spacing w:line="276" w:lineRule="auto"/>
      </w:pPr>
      <w:r>
        <w:t xml:space="preserve">The merged plan’s initial plan year UVBs </w:t>
      </w:r>
      <w:r w:rsidR="00BD4D62">
        <w:t>as of December 31, 202</w:t>
      </w:r>
      <w:r w:rsidR="001D54B8">
        <w:t>7</w:t>
      </w:r>
      <w:r w:rsidR="003260A9">
        <w:t>,</w:t>
      </w:r>
      <w:r>
        <w:t xml:space="preserve"> </w:t>
      </w:r>
      <w:r w:rsidR="00BD4D62">
        <w:t>is $0.</w:t>
      </w:r>
      <w:r w:rsidR="008C3678">
        <w:t xml:space="preserve"> </w:t>
      </w:r>
      <w:r w:rsidR="00BD4D62">
        <w:t>The adjusted initial plan year UVB</w:t>
      </w:r>
      <w:r>
        <w:t>, as calculated under § 4211.32(b)(2),</w:t>
      </w:r>
      <w:r w:rsidR="00BD4D62">
        <w:t xml:space="preserve"> is therefore ($10,000,000)</w:t>
      </w:r>
      <w:r w:rsidR="007F3333">
        <w:t>,</w:t>
      </w:r>
      <w:r w:rsidR="00BD4D62">
        <w:t xml:space="preserve"> determined as follows:</w:t>
      </w:r>
    </w:p>
    <w:p w:rsidR="00793C98" w:rsidP="00A24E80" w14:paraId="18F41AFD" w14:textId="7DEF54A4">
      <w:pPr>
        <w:spacing w:line="276" w:lineRule="auto"/>
        <w:ind w:left="720"/>
      </w:pPr>
      <w:r>
        <w:t>$0 initia</w:t>
      </w:r>
      <w:r w:rsidR="008C3678">
        <w:t>l</w:t>
      </w:r>
      <w:r w:rsidR="003A6BA7">
        <w:t xml:space="preserve"> plan year UVBs – </w:t>
      </w:r>
      <w:r>
        <w:t>$10,000,000 SFA “Prior Plan”</w:t>
      </w:r>
      <w:r w:rsidR="003A6BA7">
        <w:t xml:space="preserve"> UVBs</w:t>
      </w:r>
      <w:r>
        <w:t xml:space="preserve"> </w:t>
      </w:r>
      <w:r w:rsidR="003A6BA7">
        <w:t>–</w:t>
      </w:r>
      <w:r>
        <w:t xml:space="preserve"> $0 Non-SFA “Prior Plan”</w:t>
      </w:r>
      <w:r w:rsidR="007037E8">
        <w:t xml:space="preserve"> UVBs</w:t>
      </w:r>
      <w:r>
        <w:t xml:space="preserve"> </w:t>
      </w:r>
      <w:r w:rsidR="003A6BA7">
        <w:t>= ($10,000,000)</w:t>
      </w:r>
    </w:p>
    <w:p w:rsidR="00B3770C" w:rsidP="00A24E80" w14:paraId="35138F3A" w14:textId="4A9E593F">
      <w:pPr>
        <w:spacing w:line="276" w:lineRule="auto"/>
        <w:rPr>
          <w:rFonts w:eastAsiaTheme="minorEastAsia"/>
        </w:rPr>
      </w:pPr>
      <w:r>
        <w:t>Under § 4211.32</w:t>
      </w:r>
      <w:r w:rsidR="003A6BA7">
        <w:t>(b)(2)(i)-(ii)</w:t>
      </w:r>
      <w:r>
        <w:t>, the adjusted initial UVB is allocated based on the ratio of the withdrawing employer’s Prior Plan UVB to the total UVB</w:t>
      </w:r>
      <w:r w:rsidR="003A6BA7">
        <w:t>. T</w:t>
      </w:r>
      <w:r>
        <w:t xml:space="preserve">his ratio is 25% (= </w:t>
      </w:r>
      <m:oMath>
        <m:d>
          <m:dPr>
            <m:begChr m:val="["/>
            <m:endChr m:val="]"/>
            <m:ctrlPr>
              <w:rPr>
                <w:rFonts w:ascii="Cambria Math" w:hAnsi="Cambria Math"/>
                <w:i/>
              </w:rPr>
            </m:ctrlPr>
          </m:dPr>
          <m:e>
            <m:f>
              <m:fPr>
                <m:ctrlPr>
                  <w:rPr>
                    <w:rFonts w:ascii="Cambria Math" w:hAnsi="Cambria Math"/>
                    <w:i/>
                  </w:rPr>
                </m:ctrlPr>
              </m:fPr>
              <m:num>
                <m:r>
                  <w:rPr>
                    <w:rFonts w:ascii="Cambria Math" w:hAnsi="Cambria Math"/>
                  </w:rPr>
                  <m:t>$2,500,000</m:t>
                </m:r>
              </m:num>
              <m:den>
                <m:r>
                  <w:rPr>
                    <w:rFonts w:ascii="Cambria Math" w:hAnsi="Cambria Math"/>
                  </w:rPr>
                  <m:t>$10,000,000+$0</m:t>
                </m:r>
              </m:den>
            </m:f>
          </m:e>
        </m:d>
      </m:oMath>
      <w:r>
        <w:rPr>
          <w:rFonts w:eastAsiaTheme="minorEastAsia"/>
        </w:rPr>
        <w:t>).</w:t>
      </w:r>
    </w:p>
    <w:p w:rsidR="00B3770C" w:rsidP="00A24E80" w14:paraId="32BA13E1" w14:textId="2B0BAC34">
      <w:pPr>
        <w:spacing w:line="276" w:lineRule="auto"/>
      </w:pPr>
      <w:r>
        <w:rPr>
          <w:rFonts w:eastAsiaTheme="minorEastAsia"/>
        </w:rPr>
        <w:t>By contrast, u</w:t>
      </w:r>
      <w:r>
        <w:rPr>
          <w:rFonts w:eastAsiaTheme="minorEastAsia"/>
        </w:rPr>
        <w:t xml:space="preserve">nder </w:t>
      </w:r>
      <w:r>
        <w:t>§ 4211.36(d)(1)</w:t>
      </w:r>
      <w:r w:rsidR="007D259C">
        <w:t xml:space="preserve"> </w:t>
      </w:r>
      <w:r>
        <w:t>&amp;</w:t>
      </w:r>
      <w:r w:rsidR="007D259C">
        <w:t xml:space="preserve"> </w:t>
      </w:r>
      <w:r>
        <w:t xml:space="preserve">(2), </w:t>
      </w:r>
      <w:r w:rsidR="00CF32BF">
        <w:t>the adjusted initial UVB is allocated based on the ratio of contributions over the five-year period ending December 31, 2027</w:t>
      </w:r>
      <w:r w:rsidR="00010BEB">
        <w:t>. This ratio is 1.82%</w:t>
      </w:r>
      <w:r>
        <w:t>,</w:t>
      </w:r>
      <w:r w:rsidR="00010BEB">
        <w:t xml:space="preserve"> as </w:t>
      </w:r>
      <w:r w:rsidR="007D259C">
        <w:t xml:space="preserve">explained </w:t>
      </w:r>
      <w:r w:rsidR="009C7247">
        <w:t>above</w:t>
      </w:r>
      <w:r w:rsidRPr="00010BEB" w:rsidR="00010BEB">
        <w:t>.</w:t>
      </w:r>
    </w:p>
    <w:p w:rsidR="00EE50A6" w:rsidRPr="00EE50A6" w:rsidP="00A24E80" w14:paraId="2D60D520" w14:textId="1A51378C">
      <w:pPr>
        <w:spacing w:line="276" w:lineRule="auto"/>
        <w:rPr>
          <w:u w:val="single"/>
        </w:rPr>
      </w:pPr>
      <w:r w:rsidRPr="00EE50A6">
        <w:rPr>
          <w:u w:val="single"/>
        </w:rPr>
        <w:t>Total Allocated UVB</w:t>
      </w:r>
    </w:p>
    <w:p w:rsidR="0052290B" w:rsidP="00A24E80" w14:paraId="0BBC508B" w14:textId="79DA17BC">
      <w:pPr>
        <w:spacing w:line="276" w:lineRule="auto"/>
      </w:pPr>
      <w:r>
        <w:t>For the withdrawing employer, the allocated adjusted initial UVB under § 4211.32 and § 4211.36(d)</w:t>
      </w:r>
      <w:r w:rsidR="00010BEB">
        <w:t>(1)</w:t>
      </w:r>
      <w:r w:rsidR="009C7247">
        <w:t xml:space="preserve"> </w:t>
      </w:r>
      <w:r w:rsidR="00010BEB">
        <w:t>&amp;</w:t>
      </w:r>
      <w:r w:rsidR="009C7247">
        <w:t xml:space="preserve"> </w:t>
      </w:r>
      <w:r w:rsidR="00010BEB">
        <w:t>(2)</w:t>
      </w:r>
      <w:r>
        <w:t xml:space="preserve"> is determined as follows:</w:t>
      </w:r>
    </w:p>
    <w:tbl>
      <w:tblPr>
        <w:tblStyle w:val="TableGrid"/>
        <w:tblW w:w="9895" w:type="dxa"/>
        <w:tblInd w:w="-113" w:type="dxa"/>
        <w:tblLook w:val="04A0"/>
      </w:tblPr>
      <w:tblGrid>
        <w:gridCol w:w="2639"/>
        <w:gridCol w:w="3628"/>
        <w:gridCol w:w="3628"/>
      </w:tblGrid>
      <w:tr w14:paraId="446810B6" w14:textId="77777777" w:rsidTr="00A24E80">
        <w:tblPrEx>
          <w:tblW w:w="9895" w:type="dxa"/>
          <w:tblInd w:w="-113" w:type="dxa"/>
          <w:tblLook w:val="04A0"/>
        </w:tblPrEx>
        <w:tc>
          <w:tcPr>
            <w:tcW w:w="0" w:type="auto"/>
            <w:shd w:val="clear" w:color="auto" w:fill="F2F2F2" w:themeFill="background1" w:themeFillShade="F2"/>
          </w:tcPr>
          <w:p w:rsidR="00705903" w:rsidP="00A24E80" w14:paraId="79DD052F" w14:textId="77777777">
            <w:pPr>
              <w:spacing w:line="276" w:lineRule="auto"/>
              <w:jc w:val="center"/>
            </w:pPr>
          </w:p>
        </w:tc>
        <w:tc>
          <w:tcPr>
            <w:tcW w:w="0" w:type="auto"/>
            <w:shd w:val="clear" w:color="auto" w:fill="F2F2F2" w:themeFill="background1" w:themeFillShade="F2"/>
          </w:tcPr>
          <w:p w:rsidR="00705903" w:rsidP="00A24E80" w14:paraId="4170990C" w14:textId="43B4603E">
            <w:pPr>
              <w:spacing w:line="276" w:lineRule="auto"/>
              <w:jc w:val="center"/>
            </w:pPr>
            <w:r>
              <w:t>§ 4211.32</w:t>
            </w:r>
          </w:p>
        </w:tc>
        <w:tc>
          <w:tcPr>
            <w:tcW w:w="0" w:type="auto"/>
            <w:shd w:val="clear" w:color="auto" w:fill="F2F2F2" w:themeFill="background1" w:themeFillShade="F2"/>
          </w:tcPr>
          <w:p w:rsidR="00705903" w:rsidP="00A24E80" w14:paraId="3C5E8E01" w14:textId="0D80B9EA">
            <w:pPr>
              <w:spacing w:line="276" w:lineRule="auto"/>
              <w:jc w:val="center"/>
            </w:pPr>
            <w:r>
              <w:t>§ 4211.36(d)(1)</w:t>
            </w:r>
            <w:r w:rsidR="005F6249">
              <w:t xml:space="preserve"> </w:t>
            </w:r>
            <w:r>
              <w:t>&amp;</w:t>
            </w:r>
            <w:r w:rsidR="005F6249">
              <w:t xml:space="preserve"> </w:t>
            </w:r>
            <w:r>
              <w:t>(2)</w:t>
            </w:r>
          </w:p>
          <w:p w:rsidR="00705903" w:rsidP="00A24E80" w14:paraId="17AC3488" w14:textId="562D2A71">
            <w:pPr>
              <w:spacing w:line="276" w:lineRule="auto"/>
              <w:jc w:val="center"/>
            </w:pPr>
          </w:p>
        </w:tc>
      </w:tr>
      <w:tr w14:paraId="03C8DBF1" w14:textId="77777777" w:rsidTr="00A24E80">
        <w:tblPrEx>
          <w:tblW w:w="9895" w:type="dxa"/>
          <w:tblInd w:w="-113" w:type="dxa"/>
          <w:tblLook w:val="04A0"/>
        </w:tblPrEx>
        <w:tc>
          <w:tcPr>
            <w:tcW w:w="0" w:type="auto"/>
          </w:tcPr>
          <w:p w:rsidR="00705903" w:rsidP="00A24E80" w14:paraId="1A9C3136" w14:textId="47B3A792">
            <w:pPr>
              <w:spacing w:line="276" w:lineRule="auto"/>
            </w:pPr>
            <w:r>
              <w:t>Allocated “Prior Plan”</w:t>
            </w:r>
          </w:p>
        </w:tc>
        <w:tc>
          <w:tcPr>
            <w:tcW w:w="0" w:type="auto"/>
          </w:tcPr>
          <w:p w:rsidR="00705903" w:rsidP="00A24E80" w14:paraId="5E64ADA6" w14:textId="41C9FDCF">
            <w:pPr>
              <w:spacing w:line="276" w:lineRule="auto"/>
            </w:pPr>
            <w:r>
              <w:t>$2,500,000</w:t>
            </w:r>
          </w:p>
          <w:p w:rsidR="00705903" w:rsidP="00A24E80" w14:paraId="751897F1" w14:textId="179C251C">
            <w:pPr>
              <w:spacing w:line="276" w:lineRule="auto"/>
            </w:pPr>
          </w:p>
        </w:tc>
        <w:tc>
          <w:tcPr>
            <w:tcW w:w="0" w:type="auto"/>
          </w:tcPr>
          <w:p w:rsidR="00EE50A6" w:rsidP="00A24E80" w14:paraId="02B2154B" w14:textId="77777777">
            <w:pPr>
              <w:spacing w:line="276" w:lineRule="auto"/>
            </w:pPr>
            <w:r>
              <w:t>$2,500,000</w:t>
            </w:r>
          </w:p>
          <w:p w:rsidR="00705903" w:rsidP="00A24E80" w14:paraId="4B89E2A6" w14:textId="77777777">
            <w:pPr>
              <w:spacing w:line="276" w:lineRule="auto"/>
            </w:pPr>
          </w:p>
        </w:tc>
      </w:tr>
      <w:tr w14:paraId="39B7487F" w14:textId="77777777" w:rsidTr="00A24E80">
        <w:tblPrEx>
          <w:tblW w:w="9895" w:type="dxa"/>
          <w:tblInd w:w="-113" w:type="dxa"/>
          <w:tblLook w:val="04A0"/>
        </w:tblPrEx>
        <w:tc>
          <w:tcPr>
            <w:tcW w:w="0" w:type="auto"/>
          </w:tcPr>
          <w:p w:rsidR="00705903" w:rsidP="00A24E80" w14:paraId="32147B5A" w14:textId="5738442B">
            <w:pPr>
              <w:spacing w:line="276" w:lineRule="auto"/>
            </w:pPr>
            <w:r>
              <w:t>Allocated Adjusted Initial</w:t>
            </w:r>
          </w:p>
        </w:tc>
        <w:tc>
          <w:tcPr>
            <w:tcW w:w="0" w:type="auto"/>
          </w:tcPr>
          <w:p w:rsidR="00705903" w:rsidP="00A24E80" w14:paraId="78DE4A7C" w14:textId="084C16FD">
            <w:pPr>
              <w:spacing w:line="276" w:lineRule="auto"/>
              <w:rPr>
                <w:b/>
                <w:bCs/>
              </w:rPr>
            </w:pPr>
            <w:r>
              <w:t>($10,000,000) *</w:t>
            </w:r>
            <w:r w:rsidR="00B3770C">
              <w:t xml:space="preserve"> 25%</w:t>
            </w:r>
            <w:r>
              <w:t xml:space="preserve"> = </w:t>
            </w:r>
            <w:r w:rsidRPr="00EE50A6">
              <w:t>($</w:t>
            </w:r>
            <w:r w:rsidRPr="00EE50A6" w:rsidR="00EE50A6">
              <w:t>2,5</w:t>
            </w:r>
            <w:r w:rsidRPr="00EE50A6">
              <w:t>00,000)</w:t>
            </w:r>
          </w:p>
          <w:p w:rsidR="00EE50A6" w:rsidP="00A24E80" w14:paraId="6755DEA5" w14:textId="44D96FBC">
            <w:pPr>
              <w:spacing w:line="276" w:lineRule="auto"/>
            </w:pPr>
          </w:p>
        </w:tc>
        <w:tc>
          <w:tcPr>
            <w:tcW w:w="0" w:type="auto"/>
          </w:tcPr>
          <w:p w:rsidR="00705903" w:rsidP="00A24E80" w14:paraId="644B598C" w14:textId="731EA9F8">
            <w:pPr>
              <w:spacing w:line="276" w:lineRule="auto"/>
            </w:pPr>
            <w:r>
              <w:t xml:space="preserve">($10,000,000) * 1.82% = </w:t>
            </w:r>
            <w:r w:rsidRPr="00EE50A6">
              <w:t>($182,000)</w:t>
            </w:r>
          </w:p>
        </w:tc>
      </w:tr>
      <w:tr w14:paraId="75089911" w14:textId="77777777" w:rsidTr="00A24E80">
        <w:tblPrEx>
          <w:tblW w:w="9895" w:type="dxa"/>
          <w:tblInd w:w="-113" w:type="dxa"/>
          <w:tblLook w:val="04A0"/>
        </w:tblPrEx>
        <w:tc>
          <w:tcPr>
            <w:tcW w:w="0" w:type="auto"/>
          </w:tcPr>
          <w:p w:rsidR="00705903" w:rsidP="00A24E80" w14:paraId="7702064E" w14:textId="77777777">
            <w:pPr>
              <w:spacing w:line="276" w:lineRule="auto"/>
            </w:pPr>
            <w:r>
              <w:t>Total Allocated</w:t>
            </w:r>
          </w:p>
          <w:p w:rsidR="00473B57" w:rsidP="00A24E80" w14:paraId="5EC7F6AC" w14:textId="1D8D55D0">
            <w:pPr>
              <w:spacing w:line="276" w:lineRule="auto"/>
            </w:pPr>
          </w:p>
        </w:tc>
        <w:tc>
          <w:tcPr>
            <w:tcW w:w="0" w:type="auto"/>
          </w:tcPr>
          <w:p w:rsidR="00705903" w:rsidP="00A24E80" w14:paraId="384F16FA" w14:textId="5CCC7B88">
            <w:pPr>
              <w:spacing w:line="276" w:lineRule="auto"/>
            </w:pPr>
            <w:r>
              <w:t>$0</w:t>
            </w:r>
          </w:p>
        </w:tc>
        <w:tc>
          <w:tcPr>
            <w:tcW w:w="0" w:type="auto"/>
          </w:tcPr>
          <w:p w:rsidR="00705903" w:rsidP="00A24E80" w14:paraId="4D313D47" w14:textId="31333874">
            <w:pPr>
              <w:spacing w:line="276" w:lineRule="auto"/>
            </w:pPr>
            <w:r>
              <w:t>$2,318,000</w:t>
            </w:r>
          </w:p>
        </w:tc>
      </w:tr>
    </w:tbl>
    <w:p w:rsidR="00010BEB" w:rsidP="00A24E80" w14:paraId="007E3189" w14:textId="53631EA9">
      <w:pPr>
        <w:spacing w:before="120" w:line="276" w:lineRule="auto"/>
      </w:pPr>
      <w:r>
        <w:t>The</w:t>
      </w:r>
      <w:r>
        <w:t xml:space="preserve"> withdrawing</w:t>
      </w:r>
      <w:r>
        <w:t xml:space="preserve"> </w:t>
      </w:r>
      <w:r>
        <w:t>employer’s total allocated UVB</w:t>
      </w:r>
      <w:r w:rsidR="003A6BA7">
        <w:t xml:space="preserve"> </w:t>
      </w:r>
      <w:r>
        <w:t xml:space="preserve">is completely eliminated under the § 4211.32 allocation method but is </w:t>
      </w:r>
      <w:r w:rsidR="00C27BD0">
        <w:t xml:space="preserve">only </w:t>
      </w:r>
      <w:r>
        <w:t xml:space="preserve">reduced by </w:t>
      </w:r>
      <w:r w:rsidR="00C27BD0">
        <w:t>7</w:t>
      </w:r>
      <w:r>
        <w:t>% from the Prior Plan allocated UVB under the § 4211.36(d)(1)</w:t>
      </w:r>
      <w:r>
        <w:t xml:space="preserve"> </w:t>
      </w:r>
      <w:r>
        <w:t>&amp;</w:t>
      </w:r>
      <w:r>
        <w:t xml:space="preserve"> </w:t>
      </w:r>
      <w:r>
        <w:t xml:space="preserve">(2) allocation method. </w:t>
      </w:r>
    </w:p>
    <w:p w:rsidR="00FE2E7C" w:rsidP="00A24E80" w14:paraId="5D9148D1" w14:textId="77777777">
      <w:pPr>
        <w:spacing w:line="276" w:lineRule="auto"/>
        <w:rPr>
          <w:b/>
          <w:bCs/>
          <w:u w:val="single"/>
        </w:rPr>
      </w:pPr>
    </w:p>
    <w:p w:rsidR="00010BEB" w:rsidP="00A24E80" w14:paraId="4DC40DD9" w14:textId="645B2444">
      <w:pPr>
        <w:spacing w:line="276" w:lineRule="auto"/>
      </w:pPr>
      <w:r w:rsidRPr="001D54B8">
        <w:rPr>
          <w:b/>
          <w:bCs/>
          <w:u w:val="single"/>
        </w:rPr>
        <w:t>E</w:t>
      </w:r>
      <w:r w:rsidR="004028D0">
        <w:rPr>
          <w:b/>
          <w:bCs/>
          <w:u w:val="single"/>
        </w:rPr>
        <w:t>xample</w:t>
      </w:r>
      <w:r w:rsidRPr="001D54B8">
        <w:rPr>
          <w:b/>
          <w:bCs/>
          <w:u w:val="single"/>
        </w:rPr>
        <w:t xml:space="preserve"> </w:t>
      </w:r>
      <w:r>
        <w:rPr>
          <w:b/>
          <w:bCs/>
          <w:u w:val="single"/>
        </w:rPr>
        <w:t>2</w:t>
      </w:r>
      <w:r>
        <w:t xml:space="preserve"> – </w:t>
      </w:r>
      <w:r w:rsidR="005A165D">
        <w:t>Assumption: a</w:t>
      </w:r>
      <w:r>
        <w:t>s of December 31, 2026,</w:t>
      </w:r>
      <w:r w:rsidR="006B0F75">
        <w:t xml:space="preserve"> the </w:t>
      </w:r>
      <w:r w:rsidR="005B4602">
        <w:t>Plan B</w:t>
      </w:r>
      <w:r w:rsidR="006B0F75">
        <w:t xml:space="preserve"> UVB is $40,000,000.</w:t>
      </w:r>
      <w:r>
        <w:t xml:space="preserve"> </w:t>
      </w:r>
    </w:p>
    <w:p w:rsidR="00010BEB" w:rsidRPr="00010BEB" w:rsidP="00A24E80" w14:paraId="5D48B572" w14:textId="7B87FAA3">
      <w:pPr>
        <w:spacing w:line="276" w:lineRule="auto"/>
        <w:rPr>
          <w:u w:val="single"/>
        </w:rPr>
      </w:pPr>
      <w:r w:rsidRPr="00EE50A6">
        <w:rPr>
          <w:u w:val="single"/>
        </w:rPr>
        <w:t>Adjusted Initial UVB</w:t>
      </w:r>
    </w:p>
    <w:p w:rsidR="001D54B8" w:rsidP="00A24E80" w14:paraId="2950EDBC" w14:textId="0207DD1E">
      <w:pPr>
        <w:spacing w:line="276" w:lineRule="auto"/>
      </w:pPr>
      <w:r>
        <w:t>T</w:t>
      </w:r>
      <w:r>
        <w:t>he § 4211.32 initial UVB as of December 31, 2027</w:t>
      </w:r>
      <w:r w:rsidR="00893DD5">
        <w:t>,</w:t>
      </w:r>
      <w:r>
        <w:t xml:space="preserve"> for the merged plan is $28,000,000. The adjusted initial plan year UVB is therefore ($22,000,000) determined as follows:</w:t>
      </w:r>
    </w:p>
    <w:p w:rsidR="001D54B8" w:rsidP="00A24E80" w14:paraId="20BCFBFF" w14:textId="02BA7529">
      <w:pPr>
        <w:spacing w:line="276" w:lineRule="auto"/>
        <w:ind w:left="720"/>
      </w:pPr>
      <w:r>
        <w:t>$28,000,000 initial</w:t>
      </w:r>
      <w:r w:rsidR="007037E8">
        <w:t xml:space="preserve"> plan year UVBs</w:t>
      </w:r>
      <w:r>
        <w:t xml:space="preserve"> - $10,000,000 SFA “Prior Plan”</w:t>
      </w:r>
      <w:r w:rsidR="007037E8">
        <w:t xml:space="preserve"> UVBs</w:t>
      </w:r>
      <w:r>
        <w:t xml:space="preserve"> - $40,000,000 Non-SFA “Prior Plan”</w:t>
      </w:r>
      <w:r w:rsidR="007037E8">
        <w:t xml:space="preserve"> UVBs</w:t>
      </w:r>
      <w:r>
        <w:t xml:space="preserve"> </w:t>
      </w:r>
      <w:r w:rsidR="007037E8">
        <w:t>= ($22,000,000)</w:t>
      </w:r>
    </w:p>
    <w:p w:rsidR="00010BEB" w:rsidP="00A24E80" w14:paraId="5E81F57A" w14:textId="29524EAD">
      <w:pPr>
        <w:spacing w:line="276" w:lineRule="auto"/>
        <w:rPr>
          <w:rFonts w:eastAsiaTheme="minorEastAsia"/>
        </w:rPr>
      </w:pPr>
      <w:r>
        <w:t xml:space="preserve">Under § 4211.32, the adjusted initial UVB is allocated based on the ratio of the withdrawing employer’s Prior Plan UVB to the total UVB; this ratio is 5% (= </w:t>
      </w:r>
      <m:oMath>
        <m:d>
          <m:dPr>
            <m:begChr m:val="["/>
            <m:endChr m:val="]"/>
            <m:ctrlPr>
              <w:rPr>
                <w:rFonts w:ascii="Cambria Math" w:hAnsi="Cambria Math"/>
                <w:i/>
              </w:rPr>
            </m:ctrlPr>
          </m:dPr>
          <m:e>
            <m:f>
              <m:fPr>
                <m:ctrlPr>
                  <w:rPr>
                    <w:rFonts w:ascii="Cambria Math" w:hAnsi="Cambria Math"/>
                    <w:i/>
                  </w:rPr>
                </m:ctrlPr>
              </m:fPr>
              <m:num>
                <m:r>
                  <w:rPr>
                    <w:rFonts w:ascii="Cambria Math" w:hAnsi="Cambria Math"/>
                  </w:rPr>
                  <m:t>$2,500,000</m:t>
                </m:r>
              </m:num>
              <m:den>
                <m:r>
                  <w:rPr>
                    <w:rFonts w:ascii="Cambria Math" w:hAnsi="Cambria Math"/>
                  </w:rPr>
                  <m:t>$10,000,000+$40,000,000</m:t>
                </m:r>
              </m:den>
            </m:f>
          </m:e>
        </m:d>
      </m:oMath>
      <w:r>
        <w:rPr>
          <w:rFonts w:eastAsiaTheme="minorEastAsia"/>
        </w:rPr>
        <w:t>).</w:t>
      </w:r>
    </w:p>
    <w:p w:rsidR="00010BEB" w:rsidP="00A24E80" w14:paraId="249BAFC4" w14:textId="0F9CE04A">
      <w:pPr>
        <w:spacing w:line="276" w:lineRule="auto"/>
      </w:pPr>
      <w:r>
        <w:rPr>
          <w:rFonts w:eastAsiaTheme="minorEastAsia"/>
        </w:rPr>
        <w:t xml:space="preserve">Under </w:t>
      </w:r>
      <w:r>
        <w:t>§ 4211.36(d)(1)</w:t>
      </w:r>
      <w:r w:rsidR="002820A4">
        <w:t xml:space="preserve"> </w:t>
      </w:r>
      <w:r>
        <w:t>&amp;</w:t>
      </w:r>
      <w:r w:rsidR="002820A4">
        <w:t xml:space="preserve"> </w:t>
      </w:r>
      <w:r>
        <w:t xml:space="preserve">(2), the adjusted initial UVB is allocated based on the ratio of contributions over the five-year period ending December 31, 2027. This ratio is 1.82% </w:t>
      </w:r>
      <w:r w:rsidR="002820A4">
        <w:t>shown</w:t>
      </w:r>
      <w:r w:rsidR="00CD04E9">
        <w:t xml:space="preserve"> above</w:t>
      </w:r>
      <w:r w:rsidRPr="00010BEB">
        <w:t>.</w:t>
      </w:r>
    </w:p>
    <w:p w:rsidR="00EA185F" w:rsidRPr="00EA185F" w:rsidP="00A24E80" w14:paraId="1FB25A55" w14:textId="1C54995F">
      <w:pPr>
        <w:spacing w:line="276" w:lineRule="auto"/>
        <w:rPr>
          <w:u w:val="single"/>
        </w:rPr>
      </w:pPr>
      <w:r w:rsidRPr="00EE50A6">
        <w:rPr>
          <w:u w:val="single"/>
        </w:rPr>
        <w:t>Total Allocated UVB</w:t>
      </w:r>
    </w:p>
    <w:p w:rsidR="001D54B8" w:rsidP="00A24E80" w14:paraId="7D3C402F" w14:textId="2F46B196">
      <w:pPr>
        <w:spacing w:line="276" w:lineRule="auto"/>
      </w:pPr>
      <w:r>
        <w:t>For the withdrawing employer, the allocated adjusted initial UVB under § 4211.32 and §4211.36(d) is determined as follows:</w:t>
      </w:r>
    </w:p>
    <w:tbl>
      <w:tblPr>
        <w:tblStyle w:val="TableGrid"/>
        <w:tblW w:w="9805" w:type="dxa"/>
        <w:tblInd w:w="-113" w:type="dxa"/>
        <w:tblLook w:val="04A0"/>
      </w:tblPr>
      <w:tblGrid>
        <w:gridCol w:w="2647"/>
        <w:gridCol w:w="3521"/>
        <w:gridCol w:w="3637"/>
      </w:tblGrid>
      <w:tr w14:paraId="2E59952D" w14:textId="77777777" w:rsidTr="00A24E80">
        <w:tblPrEx>
          <w:tblW w:w="9805" w:type="dxa"/>
          <w:tblInd w:w="-113" w:type="dxa"/>
          <w:tblLook w:val="04A0"/>
        </w:tblPrEx>
        <w:tc>
          <w:tcPr>
            <w:tcW w:w="0" w:type="auto"/>
            <w:shd w:val="clear" w:color="auto" w:fill="F2F2F2" w:themeFill="background1" w:themeFillShade="F2"/>
          </w:tcPr>
          <w:p w:rsidR="00EA185F" w:rsidP="00A24E80" w14:paraId="46F4CDCB" w14:textId="77777777">
            <w:pPr>
              <w:spacing w:line="276" w:lineRule="auto"/>
              <w:jc w:val="center"/>
            </w:pPr>
          </w:p>
        </w:tc>
        <w:tc>
          <w:tcPr>
            <w:tcW w:w="0" w:type="auto"/>
            <w:shd w:val="clear" w:color="auto" w:fill="F2F2F2" w:themeFill="background1" w:themeFillShade="F2"/>
          </w:tcPr>
          <w:p w:rsidR="00EA185F" w:rsidP="00A24E80" w14:paraId="3887CAA6" w14:textId="77777777">
            <w:pPr>
              <w:spacing w:line="276" w:lineRule="auto"/>
              <w:jc w:val="center"/>
            </w:pPr>
            <w:r>
              <w:t>§ 4211.32</w:t>
            </w:r>
          </w:p>
        </w:tc>
        <w:tc>
          <w:tcPr>
            <w:tcW w:w="0" w:type="auto"/>
            <w:shd w:val="clear" w:color="auto" w:fill="F2F2F2" w:themeFill="background1" w:themeFillShade="F2"/>
          </w:tcPr>
          <w:p w:rsidR="00EA185F" w:rsidP="00A24E80" w14:paraId="6A50870B" w14:textId="3D1045E3">
            <w:pPr>
              <w:spacing w:line="276" w:lineRule="auto"/>
              <w:jc w:val="center"/>
            </w:pPr>
            <w:r>
              <w:t>§ 4211.36(d)(1)</w:t>
            </w:r>
            <w:r w:rsidR="00AB3B3E">
              <w:t xml:space="preserve"> </w:t>
            </w:r>
            <w:r>
              <w:t>&amp;</w:t>
            </w:r>
            <w:r w:rsidR="00AB3B3E">
              <w:t xml:space="preserve"> </w:t>
            </w:r>
            <w:r>
              <w:t>(2)</w:t>
            </w:r>
          </w:p>
        </w:tc>
      </w:tr>
      <w:tr w14:paraId="75BFEC54" w14:textId="77777777" w:rsidTr="00A24E80">
        <w:tblPrEx>
          <w:tblW w:w="9805" w:type="dxa"/>
          <w:tblInd w:w="-113" w:type="dxa"/>
          <w:tblLook w:val="04A0"/>
        </w:tblPrEx>
        <w:tc>
          <w:tcPr>
            <w:tcW w:w="0" w:type="auto"/>
          </w:tcPr>
          <w:p w:rsidR="00EA185F" w:rsidP="00A24E80" w14:paraId="3DBCB391" w14:textId="77777777">
            <w:pPr>
              <w:spacing w:line="276" w:lineRule="auto"/>
            </w:pPr>
            <w:r>
              <w:t>Allocated “Prior Plan”</w:t>
            </w:r>
          </w:p>
        </w:tc>
        <w:tc>
          <w:tcPr>
            <w:tcW w:w="0" w:type="auto"/>
          </w:tcPr>
          <w:p w:rsidR="00EA185F" w:rsidP="00A24E80" w14:paraId="655DD534" w14:textId="77777777">
            <w:pPr>
              <w:spacing w:line="276" w:lineRule="auto"/>
            </w:pPr>
            <w:r>
              <w:t>$2,500,000</w:t>
            </w:r>
          </w:p>
          <w:p w:rsidR="0033412E" w:rsidP="00A24E80" w14:paraId="6FE95DC2" w14:textId="42B62B14">
            <w:pPr>
              <w:spacing w:line="276" w:lineRule="auto"/>
            </w:pPr>
          </w:p>
        </w:tc>
        <w:tc>
          <w:tcPr>
            <w:tcW w:w="0" w:type="auto"/>
          </w:tcPr>
          <w:p w:rsidR="00EA185F" w:rsidP="00A24E80" w14:paraId="42CAB649" w14:textId="153E54D2">
            <w:pPr>
              <w:spacing w:line="276" w:lineRule="auto"/>
            </w:pPr>
            <w:r>
              <w:t>$2,500,000</w:t>
            </w:r>
          </w:p>
        </w:tc>
      </w:tr>
      <w:tr w14:paraId="19AF8C2A" w14:textId="77777777" w:rsidTr="00A24E80">
        <w:tblPrEx>
          <w:tblW w:w="9805" w:type="dxa"/>
          <w:tblInd w:w="-113" w:type="dxa"/>
          <w:tblLook w:val="04A0"/>
        </w:tblPrEx>
        <w:tc>
          <w:tcPr>
            <w:tcW w:w="0" w:type="auto"/>
          </w:tcPr>
          <w:p w:rsidR="00EA185F" w:rsidP="00A24E80" w14:paraId="5EDA3C3D" w14:textId="77777777">
            <w:pPr>
              <w:spacing w:line="276" w:lineRule="auto"/>
            </w:pPr>
            <w:r>
              <w:t>Allocated Adjusted Initial</w:t>
            </w:r>
          </w:p>
        </w:tc>
        <w:tc>
          <w:tcPr>
            <w:tcW w:w="0" w:type="auto"/>
          </w:tcPr>
          <w:p w:rsidR="00EA185F" w:rsidP="00A24E80" w14:paraId="7545D563" w14:textId="61866A93">
            <w:pPr>
              <w:spacing w:line="276" w:lineRule="auto"/>
              <w:rPr>
                <w:b/>
                <w:bCs/>
              </w:rPr>
            </w:pPr>
            <w:r>
              <w:t>($</w:t>
            </w:r>
            <w:r w:rsidR="00473B57">
              <w:t>22</w:t>
            </w:r>
            <w:r>
              <w:t xml:space="preserve">,000,000) * 5% = </w:t>
            </w:r>
            <w:r w:rsidRPr="00EE50A6">
              <w:t>($</w:t>
            </w:r>
            <w:r w:rsidR="00473B57">
              <w:t>1</w:t>
            </w:r>
            <w:r w:rsidRPr="00EE50A6">
              <w:t>,</w:t>
            </w:r>
            <w:r w:rsidR="00473B57">
              <w:t>1</w:t>
            </w:r>
            <w:r w:rsidRPr="00EE50A6">
              <w:t>00,000)</w:t>
            </w:r>
          </w:p>
          <w:p w:rsidR="00EA185F" w:rsidP="00A24E80" w14:paraId="13182004" w14:textId="77777777">
            <w:pPr>
              <w:spacing w:line="276" w:lineRule="auto"/>
            </w:pPr>
          </w:p>
        </w:tc>
        <w:tc>
          <w:tcPr>
            <w:tcW w:w="0" w:type="auto"/>
          </w:tcPr>
          <w:p w:rsidR="00EA185F" w:rsidP="00A24E80" w14:paraId="1F910668" w14:textId="21E7297A">
            <w:pPr>
              <w:spacing w:line="276" w:lineRule="auto"/>
            </w:pPr>
            <w:r>
              <w:t>($</w:t>
            </w:r>
            <w:r w:rsidR="00473B57">
              <w:t>22</w:t>
            </w:r>
            <w:r>
              <w:t xml:space="preserve">,000,000) * 1.82% = </w:t>
            </w:r>
            <w:r w:rsidRPr="00EE50A6">
              <w:t>($</w:t>
            </w:r>
            <w:r w:rsidR="00473B57">
              <w:t>400</w:t>
            </w:r>
            <w:r w:rsidRPr="00EE50A6">
              <w:t>,</w:t>
            </w:r>
            <w:r w:rsidR="00473B57">
              <w:t>4</w:t>
            </w:r>
            <w:r w:rsidRPr="00EE50A6">
              <w:t>00)</w:t>
            </w:r>
          </w:p>
        </w:tc>
      </w:tr>
      <w:tr w14:paraId="154C3BF2" w14:textId="77777777" w:rsidTr="00A24E80">
        <w:tblPrEx>
          <w:tblW w:w="9805" w:type="dxa"/>
          <w:tblInd w:w="-113" w:type="dxa"/>
          <w:tblLook w:val="04A0"/>
        </w:tblPrEx>
        <w:tc>
          <w:tcPr>
            <w:tcW w:w="0" w:type="auto"/>
          </w:tcPr>
          <w:p w:rsidR="00473B57" w:rsidP="00A24E80" w14:paraId="72AB7E1C" w14:textId="0CEDFBFC">
            <w:pPr>
              <w:spacing w:line="276" w:lineRule="auto"/>
            </w:pPr>
            <w:r>
              <w:t>Total Allocated</w:t>
            </w:r>
          </w:p>
        </w:tc>
        <w:tc>
          <w:tcPr>
            <w:tcW w:w="0" w:type="auto"/>
          </w:tcPr>
          <w:p w:rsidR="00473B57" w:rsidP="00A24E80" w14:paraId="3811E6C4" w14:textId="0F132F03">
            <w:pPr>
              <w:spacing w:line="276" w:lineRule="auto"/>
            </w:pPr>
            <w:r>
              <w:t>$1,400,000</w:t>
            </w:r>
          </w:p>
        </w:tc>
        <w:tc>
          <w:tcPr>
            <w:tcW w:w="0" w:type="auto"/>
          </w:tcPr>
          <w:p w:rsidR="00473B57" w:rsidP="00A24E80" w14:paraId="21CECAF1" w14:textId="00EFEFD8">
            <w:pPr>
              <w:spacing w:line="276" w:lineRule="auto"/>
            </w:pPr>
            <w:r>
              <w:t>$2,099,600</w:t>
            </w:r>
          </w:p>
        </w:tc>
      </w:tr>
    </w:tbl>
    <w:p w:rsidR="00C27BD0" w:rsidP="00A24E80" w14:paraId="36AC6E97" w14:textId="104AD172">
      <w:pPr>
        <w:spacing w:before="120" w:line="276" w:lineRule="auto"/>
      </w:pPr>
      <w:r>
        <w:t>Here,</w:t>
      </w:r>
      <w:r>
        <w:t xml:space="preserve"> the withdrawing employer’s total allocated UVB is reduced by 44% from the Prior Plan allocated UVB under the § 4211.32 allocation method but is only reduced by 16% from the Prior Plan allocated UVB under the § 4211.36(d)(1)</w:t>
      </w:r>
      <w:r>
        <w:t xml:space="preserve"> </w:t>
      </w:r>
      <w:r>
        <w:t>&amp;</w:t>
      </w:r>
      <w:r>
        <w:t xml:space="preserve"> </w:t>
      </w:r>
      <w:r>
        <w:t xml:space="preserve">(2) allocation method. </w:t>
      </w:r>
    </w:p>
    <w:p w:rsidR="00947670" w:rsidP="00A24E80" w14:paraId="000F7BC0" w14:textId="713CD6D5">
      <w:pPr>
        <w:spacing w:line="276" w:lineRule="auto"/>
      </w:pPr>
      <w:r w:rsidRPr="001D54B8">
        <w:rPr>
          <w:b/>
          <w:bCs/>
          <w:u w:val="single"/>
        </w:rPr>
        <w:t>E</w:t>
      </w:r>
      <w:r w:rsidR="00AB3B3E">
        <w:rPr>
          <w:b/>
          <w:bCs/>
          <w:u w:val="single"/>
        </w:rPr>
        <w:t xml:space="preserve">xample </w:t>
      </w:r>
      <w:r>
        <w:rPr>
          <w:b/>
          <w:bCs/>
          <w:u w:val="single"/>
        </w:rPr>
        <w:t>3</w:t>
      </w:r>
      <w:r>
        <w:t xml:space="preserve"> – A</w:t>
      </w:r>
      <w:r w:rsidR="00AB3B3E">
        <w:t>ssumption: a</w:t>
      </w:r>
      <w:r>
        <w:t>s of December 31, 2026,</w:t>
      </w:r>
      <w:r>
        <w:t xml:space="preserve"> the </w:t>
      </w:r>
      <w:r w:rsidR="00AB3B3E">
        <w:t>Plan B</w:t>
      </w:r>
      <w:r>
        <w:t xml:space="preserve"> UVB is $0.</w:t>
      </w:r>
    </w:p>
    <w:p w:rsidR="00E75DEF" w:rsidRPr="00E75DEF" w:rsidP="00A24E80" w14:paraId="795897F3" w14:textId="7C784DCC">
      <w:pPr>
        <w:spacing w:line="276" w:lineRule="auto"/>
        <w:rPr>
          <w:u w:val="single"/>
        </w:rPr>
      </w:pPr>
      <w:r w:rsidRPr="00EE50A6">
        <w:rPr>
          <w:u w:val="single"/>
        </w:rPr>
        <w:t>Adjusted Initial UVB</w:t>
      </w:r>
    </w:p>
    <w:p w:rsidR="009458E0" w:rsidP="00A24E80" w14:paraId="6F1AD420" w14:textId="75248641">
      <w:pPr>
        <w:spacing w:line="276" w:lineRule="auto"/>
      </w:pPr>
      <w:r>
        <w:t>T</w:t>
      </w:r>
      <w:r>
        <w:t>he § 4211.32 initial UVB as of December 31, 2027</w:t>
      </w:r>
      <w:r w:rsidR="00580C33">
        <w:t>,</w:t>
      </w:r>
      <w:r>
        <w:t xml:space="preserve"> for the merged plan is $40,000,000</w:t>
      </w:r>
      <w:r w:rsidR="00E85281">
        <w:t xml:space="preserve"> as a result of unfavorable investment experience during the initial plan year</w:t>
      </w:r>
      <w:r>
        <w:t>. The adjusted initial plan year UVB is therefore $30,000,000 determined as follows:</w:t>
      </w:r>
    </w:p>
    <w:p w:rsidR="009458E0" w:rsidP="00A24E80" w14:paraId="7348BBBE" w14:textId="153F6453">
      <w:pPr>
        <w:spacing w:line="276" w:lineRule="auto"/>
        <w:ind w:left="720"/>
      </w:pPr>
      <w:r>
        <w:t>$40,000,000 initial</w:t>
      </w:r>
      <w:r w:rsidR="007037E8">
        <w:t xml:space="preserve"> plan year UVBs</w:t>
      </w:r>
      <w:r>
        <w:t xml:space="preserve"> - $10,000,000 SFA “Prior Plan”</w:t>
      </w:r>
      <w:r w:rsidR="007037E8">
        <w:t xml:space="preserve"> UVBs</w:t>
      </w:r>
      <w:r>
        <w:t xml:space="preserve"> - $0 Non-SFA “Prior Plan”</w:t>
      </w:r>
      <w:r w:rsidR="007037E8">
        <w:t xml:space="preserve"> UVBs = $30,000,000</w:t>
      </w:r>
      <w:r>
        <w:t xml:space="preserve"> </w:t>
      </w:r>
    </w:p>
    <w:p w:rsidR="00E75DEF" w:rsidP="00A24E80" w14:paraId="114A9144" w14:textId="554120DF">
      <w:pPr>
        <w:spacing w:line="276" w:lineRule="auto"/>
        <w:rPr>
          <w:rFonts w:eastAsiaTheme="minorEastAsia"/>
        </w:rPr>
      </w:pPr>
      <w:r>
        <w:t xml:space="preserve">Under § 4211.32, the adjusted initial UVB is allocated based on the ratio of the withdrawing employer’s Prior Plan UVB to the total UVB; this ratio is 25% (= </w:t>
      </w:r>
      <m:oMath>
        <m:d>
          <m:dPr>
            <m:begChr m:val="["/>
            <m:endChr m:val="]"/>
            <m:ctrlPr>
              <w:rPr>
                <w:rFonts w:ascii="Cambria Math" w:hAnsi="Cambria Math"/>
                <w:i/>
              </w:rPr>
            </m:ctrlPr>
          </m:dPr>
          <m:e>
            <m:f>
              <m:fPr>
                <m:ctrlPr>
                  <w:rPr>
                    <w:rFonts w:ascii="Cambria Math" w:hAnsi="Cambria Math"/>
                    <w:i/>
                  </w:rPr>
                </m:ctrlPr>
              </m:fPr>
              <m:num>
                <m:r>
                  <w:rPr>
                    <w:rFonts w:ascii="Cambria Math" w:hAnsi="Cambria Math"/>
                  </w:rPr>
                  <m:t>$2,500,000</m:t>
                </m:r>
              </m:num>
              <m:den>
                <m:r>
                  <w:rPr>
                    <w:rFonts w:ascii="Cambria Math" w:hAnsi="Cambria Math"/>
                  </w:rPr>
                  <m:t>$10,000,000+$0</m:t>
                </m:r>
              </m:den>
            </m:f>
          </m:e>
        </m:d>
      </m:oMath>
      <w:r>
        <w:rPr>
          <w:rFonts w:eastAsiaTheme="minorEastAsia"/>
        </w:rPr>
        <w:t>).</w:t>
      </w:r>
    </w:p>
    <w:p w:rsidR="00E75DEF" w:rsidP="00A24E80" w14:paraId="0B6A8A5C" w14:textId="68C7FDC0">
      <w:pPr>
        <w:spacing w:line="276" w:lineRule="auto"/>
      </w:pPr>
      <w:r>
        <w:rPr>
          <w:rFonts w:eastAsiaTheme="minorEastAsia"/>
        </w:rPr>
        <w:t xml:space="preserve">Under </w:t>
      </w:r>
      <w:r>
        <w:t xml:space="preserve">§ 4211.36(d)(1)&amp;(2), the adjusted initial UVB is allocated based on the ratio of contributions over the five-year period ending December 31, 2027. This ratio is 1.82% as </w:t>
      </w:r>
      <w:r w:rsidR="000A175B">
        <w:t>shown above.</w:t>
      </w:r>
    </w:p>
    <w:p w:rsidR="00E75DEF" w:rsidRPr="00EA185F" w:rsidP="00A24E80" w14:paraId="76D5686E" w14:textId="77777777">
      <w:pPr>
        <w:spacing w:line="276" w:lineRule="auto"/>
        <w:rPr>
          <w:u w:val="single"/>
        </w:rPr>
      </w:pPr>
      <w:r w:rsidRPr="00EE50A6">
        <w:rPr>
          <w:u w:val="single"/>
        </w:rPr>
        <w:t>Total Allocated UVB</w:t>
      </w:r>
    </w:p>
    <w:p w:rsidR="00E75DEF" w:rsidP="00A24E80" w14:paraId="74142D88" w14:textId="49AA03C7">
      <w:pPr>
        <w:spacing w:line="276" w:lineRule="auto"/>
      </w:pPr>
      <w:r>
        <w:t>For the withdrawing employer, the allocated adjusted initial UVB under § 4211.32 and §4211.36(d) is determined as follows:</w:t>
      </w:r>
    </w:p>
    <w:tbl>
      <w:tblPr>
        <w:tblStyle w:val="TableGrid"/>
        <w:tblW w:w="9715" w:type="dxa"/>
        <w:tblInd w:w="-113" w:type="dxa"/>
        <w:tblLook w:val="04A0"/>
      </w:tblPr>
      <w:tblGrid>
        <w:gridCol w:w="2734"/>
        <w:gridCol w:w="3481"/>
        <w:gridCol w:w="3500"/>
      </w:tblGrid>
      <w:tr w14:paraId="560421B7" w14:textId="77777777" w:rsidTr="00A24E80">
        <w:tblPrEx>
          <w:tblW w:w="9715" w:type="dxa"/>
          <w:tblInd w:w="-113" w:type="dxa"/>
          <w:tblLook w:val="04A0"/>
        </w:tblPrEx>
        <w:tc>
          <w:tcPr>
            <w:tcW w:w="0" w:type="auto"/>
            <w:shd w:val="clear" w:color="auto" w:fill="F2F2F2" w:themeFill="background1" w:themeFillShade="F2"/>
          </w:tcPr>
          <w:p w:rsidR="00E75DEF" w:rsidP="00A24E80" w14:paraId="4523B810" w14:textId="77777777">
            <w:pPr>
              <w:spacing w:line="276" w:lineRule="auto"/>
              <w:jc w:val="center"/>
            </w:pPr>
          </w:p>
        </w:tc>
        <w:tc>
          <w:tcPr>
            <w:tcW w:w="0" w:type="auto"/>
            <w:shd w:val="clear" w:color="auto" w:fill="F2F2F2" w:themeFill="background1" w:themeFillShade="F2"/>
          </w:tcPr>
          <w:p w:rsidR="00E75DEF" w:rsidP="00A24E80" w14:paraId="065908D2" w14:textId="77777777">
            <w:pPr>
              <w:spacing w:line="276" w:lineRule="auto"/>
              <w:jc w:val="center"/>
            </w:pPr>
            <w:r>
              <w:t>§ 4211.32</w:t>
            </w:r>
          </w:p>
        </w:tc>
        <w:tc>
          <w:tcPr>
            <w:tcW w:w="0" w:type="auto"/>
            <w:shd w:val="clear" w:color="auto" w:fill="F2F2F2" w:themeFill="background1" w:themeFillShade="F2"/>
          </w:tcPr>
          <w:p w:rsidR="00E75DEF" w:rsidP="00A24E80" w14:paraId="366183A5" w14:textId="2180BBB8">
            <w:pPr>
              <w:spacing w:line="276" w:lineRule="auto"/>
              <w:jc w:val="center"/>
            </w:pPr>
            <w:r>
              <w:t>§ 4211.36(d)(1)&amp;(2)</w:t>
            </w:r>
          </w:p>
        </w:tc>
      </w:tr>
      <w:tr w14:paraId="6216E316" w14:textId="77777777" w:rsidTr="00A24E80">
        <w:tblPrEx>
          <w:tblW w:w="9715" w:type="dxa"/>
          <w:tblInd w:w="-113" w:type="dxa"/>
          <w:tblLook w:val="04A0"/>
        </w:tblPrEx>
        <w:tc>
          <w:tcPr>
            <w:tcW w:w="0" w:type="auto"/>
          </w:tcPr>
          <w:p w:rsidR="00E75DEF" w:rsidP="00A24E80" w14:paraId="778E3BF9" w14:textId="77777777">
            <w:pPr>
              <w:spacing w:line="276" w:lineRule="auto"/>
            </w:pPr>
            <w:r>
              <w:t>Allocated “Prior Plan”</w:t>
            </w:r>
          </w:p>
        </w:tc>
        <w:tc>
          <w:tcPr>
            <w:tcW w:w="0" w:type="auto"/>
          </w:tcPr>
          <w:p w:rsidR="00E75DEF" w:rsidP="00A24E80" w14:paraId="269FBF23" w14:textId="77777777">
            <w:pPr>
              <w:spacing w:line="276" w:lineRule="auto"/>
            </w:pPr>
            <w:r>
              <w:t>$2,500,000</w:t>
            </w:r>
          </w:p>
          <w:p w:rsidR="00E75DEF" w:rsidP="00A24E80" w14:paraId="597468F8" w14:textId="77777777">
            <w:pPr>
              <w:spacing w:line="276" w:lineRule="auto"/>
            </w:pPr>
          </w:p>
        </w:tc>
        <w:tc>
          <w:tcPr>
            <w:tcW w:w="0" w:type="auto"/>
          </w:tcPr>
          <w:p w:rsidR="00E75DEF" w:rsidP="00A24E80" w14:paraId="61EBE854" w14:textId="77777777">
            <w:pPr>
              <w:spacing w:line="276" w:lineRule="auto"/>
            </w:pPr>
            <w:r>
              <w:t>$2,500,000</w:t>
            </w:r>
          </w:p>
          <w:p w:rsidR="00E75DEF" w:rsidP="00A24E80" w14:paraId="323CD07C" w14:textId="77777777">
            <w:pPr>
              <w:spacing w:line="276" w:lineRule="auto"/>
            </w:pPr>
          </w:p>
        </w:tc>
      </w:tr>
      <w:tr w14:paraId="04EBAADF" w14:textId="77777777" w:rsidTr="00A24E80">
        <w:tblPrEx>
          <w:tblW w:w="9715" w:type="dxa"/>
          <w:tblInd w:w="-113" w:type="dxa"/>
          <w:tblLook w:val="04A0"/>
        </w:tblPrEx>
        <w:tc>
          <w:tcPr>
            <w:tcW w:w="0" w:type="auto"/>
          </w:tcPr>
          <w:p w:rsidR="00E75DEF" w:rsidP="00A24E80" w14:paraId="2312AC1E" w14:textId="77777777">
            <w:pPr>
              <w:spacing w:line="276" w:lineRule="auto"/>
            </w:pPr>
            <w:r>
              <w:t>Allocated Adjusted Initial</w:t>
            </w:r>
          </w:p>
        </w:tc>
        <w:tc>
          <w:tcPr>
            <w:tcW w:w="0" w:type="auto"/>
          </w:tcPr>
          <w:p w:rsidR="00E75DEF" w:rsidP="00A24E80" w14:paraId="1E61CEAC" w14:textId="5FBC02F0">
            <w:pPr>
              <w:spacing w:line="276" w:lineRule="auto"/>
              <w:rPr>
                <w:b/>
                <w:bCs/>
              </w:rPr>
            </w:pPr>
            <w:r>
              <w:t xml:space="preserve">$30,000,000 * 25% = </w:t>
            </w:r>
            <w:r w:rsidRPr="00EE50A6">
              <w:t>$</w:t>
            </w:r>
            <w:r>
              <w:t>7</w:t>
            </w:r>
            <w:r w:rsidRPr="00EE50A6">
              <w:t>,</w:t>
            </w:r>
            <w:r>
              <w:t>5</w:t>
            </w:r>
            <w:r w:rsidRPr="00EE50A6">
              <w:t>00,000</w:t>
            </w:r>
          </w:p>
          <w:p w:rsidR="00E75DEF" w:rsidP="00A24E80" w14:paraId="294252CF" w14:textId="77777777">
            <w:pPr>
              <w:spacing w:line="276" w:lineRule="auto"/>
            </w:pPr>
          </w:p>
        </w:tc>
        <w:tc>
          <w:tcPr>
            <w:tcW w:w="0" w:type="auto"/>
          </w:tcPr>
          <w:p w:rsidR="00E75DEF" w:rsidP="00A24E80" w14:paraId="706F9D1F" w14:textId="3AC3C5D3">
            <w:pPr>
              <w:spacing w:line="276" w:lineRule="auto"/>
            </w:pPr>
            <w:r>
              <w:t xml:space="preserve">$30,000,000 * 1.82% = </w:t>
            </w:r>
            <w:r w:rsidRPr="00EE50A6">
              <w:t>$</w:t>
            </w:r>
            <w:r>
              <w:t>546</w:t>
            </w:r>
            <w:r w:rsidRPr="00EE50A6">
              <w:t>,</w:t>
            </w:r>
            <w:r>
              <w:t>0</w:t>
            </w:r>
            <w:r w:rsidRPr="00EE50A6">
              <w:t>00</w:t>
            </w:r>
          </w:p>
        </w:tc>
      </w:tr>
      <w:tr w14:paraId="3F024009" w14:textId="77777777" w:rsidTr="00A24E80">
        <w:tblPrEx>
          <w:tblW w:w="9715" w:type="dxa"/>
          <w:tblInd w:w="-113" w:type="dxa"/>
          <w:tblLook w:val="04A0"/>
        </w:tblPrEx>
        <w:trPr>
          <w:trHeight w:val="287"/>
        </w:trPr>
        <w:tc>
          <w:tcPr>
            <w:tcW w:w="0" w:type="auto"/>
          </w:tcPr>
          <w:p w:rsidR="00E75DEF" w:rsidP="00A24E80" w14:paraId="0346686E" w14:textId="7ED41B72">
            <w:pPr>
              <w:spacing w:line="276" w:lineRule="auto"/>
            </w:pPr>
            <w:r>
              <w:t>Total Allocated</w:t>
            </w:r>
          </w:p>
        </w:tc>
        <w:tc>
          <w:tcPr>
            <w:tcW w:w="0" w:type="auto"/>
          </w:tcPr>
          <w:p w:rsidR="00E75DEF" w:rsidP="00A24E80" w14:paraId="3F20FC15" w14:textId="3654F141">
            <w:pPr>
              <w:spacing w:line="276" w:lineRule="auto"/>
            </w:pPr>
            <w:r>
              <w:t>$10,000,000</w:t>
            </w:r>
          </w:p>
        </w:tc>
        <w:tc>
          <w:tcPr>
            <w:tcW w:w="0" w:type="auto"/>
          </w:tcPr>
          <w:p w:rsidR="00E75DEF" w:rsidP="00A24E80" w14:paraId="6F738D57" w14:textId="7255B529">
            <w:pPr>
              <w:spacing w:line="276" w:lineRule="auto"/>
            </w:pPr>
            <w:r>
              <w:t>$3,046,000</w:t>
            </w:r>
          </w:p>
        </w:tc>
      </w:tr>
    </w:tbl>
    <w:p w:rsidR="005F1FCD" w:rsidP="00A24E80" w14:paraId="44508F81" w14:textId="64949AA1">
      <w:pPr>
        <w:spacing w:before="120" w:line="276" w:lineRule="auto"/>
      </w:pPr>
      <w:r>
        <w:t>Here,</w:t>
      </w:r>
      <w:r w:rsidR="00E75DEF">
        <w:t xml:space="preserve"> the withdrawing employer’s total allocated UVB increases by 300% from the Prior Plan allocated UVB under the § 4211.32 allocation method but is only increases by 22% from the Prior Plan allocated UVB under the § 4211.36(d)(1)</w:t>
      </w:r>
      <w:r w:rsidR="002455D0">
        <w:t xml:space="preserve"> </w:t>
      </w:r>
      <w:r w:rsidR="00E75DEF">
        <w:t>&amp;</w:t>
      </w:r>
      <w:r w:rsidR="002455D0">
        <w:t xml:space="preserve"> </w:t>
      </w:r>
      <w:r w:rsidR="00E75DEF">
        <w:t xml:space="preserve">(2) allocation method. </w:t>
      </w:r>
    </w:p>
    <w:sectPr w:rsidSect="00A24E80">
      <w:headerReference w:type="even" r:id="rId10"/>
      <w:headerReference w:type="default" r:id="rId11"/>
      <w:footerReference w:type="even" r:id="rId12"/>
      <w:footerReference w:type="default" r:id="rId13"/>
      <w:headerReference w:type="first" r:id="rId14"/>
      <w:footerReference w:type="first" r:id="rId15"/>
      <w:pgSz w:w="12240" w:h="15840"/>
      <w:pgMar w:top="1980" w:right="1440" w:bottom="99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8492C" w14:paraId="087BAB8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95201947"/>
      <w:docPartObj>
        <w:docPartGallery w:val="Page Numbers (Bottom of Page)"/>
        <w:docPartUnique/>
      </w:docPartObj>
    </w:sdtPr>
    <w:sdtEndPr>
      <w:rPr>
        <w:noProof/>
      </w:rPr>
    </w:sdtEndPr>
    <w:sdtContent>
      <w:p w:rsidR="007D259C" w14:paraId="15842CBC" w14:textId="0D1B24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408FE" w14:paraId="3C58541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408FE" w:rsidP="00A24E80" w14:paraId="71DB3071"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703950" w:rsidP="00815597" w14:paraId="653F2345" w14:textId="77777777">
      <w:pPr>
        <w:spacing w:after="0" w:line="240" w:lineRule="auto"/>
      </w:pPr>
      <w:r>
        <w:separator/>
      </w:r>
    </w:p>
  </w:footnote>
  <w:footnote w:type="continuationSeparator" w:id="1">
    <w:p w:rsidR="00703950" w:rsidP="00815597" w14:paraId="21B740CF" w14:textId="77777777">
      <w:pPr>
        <w:spacing w:after="0" w:line="240" w:lineRule="auto"/>
      </w:pPr>
      <w:r>
        <w:continuationSeparator/>
      </w:r>
    </w:p>
  </w:footnote>
  <w:footnote w:id="2">
    <w:p w:rsidR="00440068" w14:paraId="13B7C610" w14:textId="204B639F">
      <w:pPr>
        <w:pStyle w:val="FootnoteText"/>
      </w:pPr>
      <w:r>
        <w:rPr>
          <w:rStyle w:val="FootnoteReference"/>
        </w:rPr>
        <w:footnoteRef/>
      </w:r>
      <w:r>
        <w:t xml:space="preserve"> </w:t>
      </w:r>
      <w:r w:rsidR="00807F25">
        <w:t xml:space="preserve"> </w:t>
      </w:r>
      <w:r>
        <w:t>Exclud</w:t>
      </w:r>
      <w:r w:rsidR="00807F25">
        <w:t>es</w:t>
      </w:r>
      <w:r>
        <w:t xml:space="preserve"> certain contribution rate</w:t>
      </w:r>
      <w:r w:rsidR="004102A8">
        <w:t xml:space="preserve"> increases</w:t>
      </w:r>
      <w:r>
        <w:t xml:space="preserve"> as specified under the Multiemployer Pension Reform Act of 2014.</w:t>
      </w:r>
    </w:p>
  </w:footnote>
  <w:footnote w:id="3">
    <w:p w:rsidR="00C1557D" w14:paraId="74659BE3" w14:textId="27F49825">
      <w:pPr>
        <w:pStyle w:val="FootnoteText"/>
      </w:pPr>
      <w:r>
        <w:rPr>
          <w:rStyle w:val="FootnoteReference"/>
        </w:rPr>
        <w:footnoteRef/>
      </w:r>
      <w:r>
        <w:t xml:space="preserve"> The withdrawing employer’s total required contributions for the five-year period ending December 31, 2027 amount to </w:t>
      </w:r>
      <w:r w:rsidRPr="00F35C3C">
        <w:rPr>
          <w:b/>
          <w:bCs/>
        </w:rPr>
        <w:t>$5</w:t>
      </w:r>
      <w:r w:rsidR="00C32844">
        <w:rPr>
          <w:b/>
          <w:bCs/>
        </w:rPr>
        <w:t>00</w:t>
      </w:r>
      <w:r w:rsidRPr="00F35C3C">
        <w:rPr>
          <w:b/>
          <w:bCs/>
        </w:rPr>
        <w:t>,000</w:t>
      </w:r>
      <w:r>
        <w:t xml:space="preserve"> (= $110,000 + $103,000 + $100,000 + $97,000</w:t>
      </w:r>
      <w:r w:rsidR="00C32844">
        <w:t xml:space="preserve"> + $90,000</w:t>
      </w:r>
      <w:r>
        <w:t>); the remaining SFA employers total required contributions for the five-year period ending December 31, 202</w:t>
      </w:r>
      <w:r w:rsidR="00C32844">
        <w:t>7</w:t>
      </w:r>
      <w:r>
        <w:t xml:space="preserve"> amount to </w:t>
      </w:r>
      <w:r w:rsidRPr="00F35C3C">
        <w:rPr>
          <w:b/>
          <w:bCs/>
        </w:rPr>
        <w:t>$2,0</w:t>
      </w:r>
      <w:r w:rsidR="00C32844">
        <w:rPr>
          <w:b/>
          <w:bCs/>
        </w:rPr>
        <w:t>00</w:t>
      </w:r>
      <w:r w:rsidRPr="00F35C3C">
        <w:rPr>
          <w:b/>
          <w:bCs/>
        </w:rPr>
        <w:t>,000</w:t>
      </w:r>
      <w:r>
        <w:t xml:space="preserve"> (=</w:t>
      </w:r>
      <w:r w:rsidR="00C32844">
        <w:t> </w:t>
      </w:r>
      <w:r>
        <w:t>$440,000 + $412,000 + $400,000 + $388,000</w:t>
      </w:r>
      <w:r w:rsidR="00C32844">
        <w:t xml:space="preserve"> + 360,000</w:t>
      </w:r>
      <w:r>
        <w:t>);</w:t>
      </w:r>
      <w:r w:rsidR="00C32844">
        <w:t xml:space="preserve"> all other remaining employers total required contributions are $25,000,000 (=5 * $5,000,000); </w:t>
      </w:r>
      <w:r>
        <w:t xml:space="preserve"> </w:t>
      </w:r>
      <m:oMath>
        <m:f>
          <m:fPr>
            <m:ctrlPr>
              <w:rPr>
                <w:rFonts w:ascii="Cambria Math" w:hAnsi="Cambria Math"/>
                <w:i/>
              </w:rPr>
            </m:ctrlPr>
          </m:fPr>
          <m:num>
            <m:r>
              <w:rPr>
                <w:rFonts w:ascii="Cambria Math" w:hAnsi="Cambria Math"/>
              </w:rPr>
              <m:t>$500,000</m:t>
            </m:r>
          </m:num>
          <m:den>
            <m:r>
              <w:rPr>
                <w:rFonts w:ascii="Cambria Math" w:hAnsi="Cambria Math"/>
              </w:rPr>
              <m:t>($500,000+$2,000,000+$25,000,000)</m:t>
            </m:r>
          </m:den>
        </m:f>
      </m:oMath>
      <w:r>
        <w:rPr>
          <w:rFonts w:eastAsiaTheme="minorEastAsia"/>
        </w:rPr>
        <w:t xml:space="preserve"> = </w:t>
      </w:r>
      <w:r w:rsidR="00D067F1">
        <w:rPr>
          <w:rFonts w:eastAsiaTheme="minorEastAsia"/>
        </w:rPr>
        <w:t>1.82</w:t>
      </w:r>
      <w:r>
        <w:rPr>
          <w:rFonts w:eastAsiaTheme="minor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8492C" w14:paraId="2944BF5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5C3" w:rsidRPr="00815597" w:rsidP="000805C3" w14:paraId="73DD122B" w14:textId="54E10885">
    <w:pPr>
      <w:pStyle w:val="Header"/>
      <w:spacing w:after="240" w:line="278" w:lineRule="auto"/>
      <w:jc w:val="center"/>
      <w:rPr>
        <w:b/>
        <w:bCs/>
      </w:rPr>
    </w:pPr>
  </w:p>
  <w:p w:rsidR="00815597" w:rsidRPr="004102A8" w:rsidP="00040E9B" w14:paraId="19067CDD" w14:textId="77777777">
    <w:pPr>
      <w:pStyle w:val="Header"/>
      <w:rPr>
        <w:b/>
        <w:bCs/>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408FE" w:rsidRPr="00815597" w:rsidP="00A408FE" w14:paraId="0B03AD87" w14:textId="77777777">
    <w:pPr>
      <w:pStyle w:val="Header"/>
      <w:spacing w:after="160" w:line="278" w:lineRule="auto"/>
      <w:jc w:val="center"/>
      <w:rPr>
        <w:b/>
        <w:bCs/>
      </w:rPr>
    </w:pPr>
    <w:r w:rsidRPr="00815597">
      <w:rPr>
        <w:b/>
        <w:bCs/>
      </w:rPr>
      <w:t>SFA Merger FAQs for Practitioners</w:t>
    </w:r>
    <w:r>
      <w:rPr>
        <w:b/>
        <w:bCs/>
      </w:rPr>
      <w:t xml:space="preserve"> </w:t>
    </w:r>
  </w:p>
  <w:p w:rsidR="00A408FE" w:rsidP="00A24E80" w14:paraId="0C4173AD" w14:textId="2724DD66">
    <w:pPr>
      <w:pStyle w:val="Header"/>
      <w:jc w:val="center"/>
    </w:pPr>
    <w:r w:rsidRPr="00815597">
      <w:rPr>
        <w:b/>
        <w:bCs/>
      </w:rPr>
      <w:t>Withdrawal Liability</w:t>
    </w:r>
    <w:r>
      <w:rPr>
        <w:b/>
        <w:bCs/>
      </w:rPr>
      <w:t xml:space="preserve"> Modifications Under 29 C.F.R. § 4211.36(d)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5B510B1"/>
    <w:multiLevelType w:val="hybridMultilevel"/>
    <w:tmpl w:val="22160980"/>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
    <w:nsid w:val="615E1048"/>
    <w:multiLevelType w:val="hybridMultilevel"/>
    <w:tmpl w:val="AAD4FEA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378508875">
    <w:abstractNumId w:val="1"/>
  </w:num>
  <w:num w:numId="2" w16cid:durableId="653415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B37"/>
    <w:rsid w:val="00010BEB"/>
    <w:rsid w:val="000231BF"/>
    <w:rsid w:val="00040E9B"/>
    <w:rsid w:val="000700C0"/>
    <w:rsid w:val="000805C3"/>
    <w:rsid w:val="00095C0C"/>
    <w:rsid w:val="000978FC"/>
    <w:rsid w:val="000A175B"/>
    <w:rsid w:val="000D0471"/>
    <w:rsid w:val="000E28D2"/>
    <w:rsid w:val="00106183"/>
    <w:rsid w:val="0013573C"/>
    <w:rsid w:val="001360B6"/>
    <w:rsid w:val="00147507"/>
    <w:rsid w:val="00182AE9"/>
    <w:rsid w:val="001C1A97"/>
    <w:rsid w:val="001D54B8"/>
    <w:rsid w:val="001D5814"/>
    <w:rsid w:val="001F2BC8"/>
    <w:rsid w:val="00207B79"/>
    <w:rsid w:val="002455D0"/>
    <w:rsid w:val="00262300"/>
    <w:rsid w:val="002820A4"/>
    <w:rsid w:val="00293AEB"/>
    <w:rsid w:val="00294F64"/>
    <w:rsid w:val="002E017F"/>
    <w:rsid w:val="0031123C"/>
    <w:rsid w:val="003260A9"/>
    <w:rsid w:val="0033412E"/>
    <w:rsid w:val="00343979"/>
    <w:rsid w:val="003507C8"/>
    <w:rsid w:val="0036676B"/>
    <w:rsid w:val="0036712F"/>
    <w:rsid w:val="003A155F"/>
    <w:rsid w:val="003A6BA7"/>
    <w:rsid w:val="003D3377"/>
    <w:rsid w:val="003D38EB"/>
    <w:rsid w:val="003D3BBE"/>
    <w:rsid w:val="003D5652"/>
    <w:rsid w:val="003F6EF2"/>
    <w:rsid w:val="004027D7"/>
    <w:rsid w:val="004028D0"/>
    <w:rsid w:val="00403075"/>
    <w:rsid w:val="00405F97"/>
    <w:rsid w:val="004102A8"/>
    <w:rsid w:val="00412AD2"/>
    <w:rsid w:val="0043090A"/>
    <w:rsid w:val="004342C6"/>
    <w:rsid w:val="00440068"/>
    <w:rsid w:val="00472445"/>
    <w:rsid w:val="00473B57"/>
    <w:rsid w:val="00475039"/>
    <w:rsid w:val="004773A3"/>
    <w:rsid w:val="0049167F"/>
    <w:rsid w:val="004A3BDF"/>
    <w:rsid w:val="004D5894"/>
    <w:rsid w:val="00516528"/>
    <w:rsid w:val="00520583"/>
    <w:rsid w:val="0052290B"/>
    <w:rsid w:val="00580C33"/>
    <w:rsid w:val="00594D33"/>
    <w:rsid w:val="005A165D"/>
    <w:rsid w:val="005A42AC"/>
    <w:rsid w:val="005A6943"/>
    <w:rsid w:val="005B1CE2"/>
    <w:rsid w:val="005B4602"/>
    <w:rsid w:val="005C5146"/>
    <w:rsid w:val="005E1AA1"/>
    <w:rsid w:val="005F1FCD"/>
    <w:rsid w:val="005F6249"/>
    <w:rsid w:val="0062613E"/>
    <w:rsid w:val="00627FDB"/>
    <w:rsid w:val="00654510"/>
    <w:rsid w:val="00664B0F"/>
    <w:rsid w:val="006722E2"/>
    <w:rsid w:val="00675E20"/>
    <w:rsid w:val="00680966"/>
    <w:rsid w:val="006A6A51"/>
    <w:rsid w:val="006B0F75"/>
    <w:rsid w:val="006E040A"/>
    <w:rsid w:val="006F124C"/>
    <w:rsid w:val="007037E8"/>
    <w:rsid w:val="00703950"/>
    <w:rsid w:val="00705903"/>
    <w:rsid w:val="00720BC9"/>
    <w:rsid w:val="00754FD0"/>
    <w:rsid w:val="00772D6E"/>
    <w:rsid w:val="00793C98"/>
    <w:rsid w:val="0079610A"/>
    <w:rsid w:val="007D259C"/>
    <w:rsid w:val="007E19D7"/>
    <w:rsid w:val="007F11FF"/>
    <w:rsid w:val="007F3333"/>
    <w:rsid w:val="00803939"/>
    <w:rsid w:val="00807F25"/>
    <w:rsid w:val="00815597"/>
    <w:rsid w:val="0085075F"/>
    <w:rsid w:val="00854000"/>
    <w:rsid w:val="00855CA1"/>
    <w:rsid w:val="00856FE7"/>
    <w:rsid w:val="008576F4"/>
    <w:rsid w:val="00857A38"/>
    <w:rsid w:val="0086772F"/>
    <w:rsid w:val="008711EB"/>
    <w:rsid w:val="0088679A"/>
    <w:rsid w:val="00887D88"/>
    <w:rsid w:val="00890096"/>
    <w:rsid w:val="00893DD5"/>
    <w:rsid w:val="008B3AEE"/>
    <w:rsid w:val="008C3678"/>
    <w:rsid w:val="008D4931"/>
    <w:rsid w:val="008E4939"/>
    <w:rsid w:val="008F4D4F"/>
    <w:rsid w:val="009143E9"/>
    <w:rsid w:val="00931249"/>
    <w:rsid w:val="009458E0"/>
    <w:rsid w:val="009459DC"/>
    <w:rsid w:val="00947670"/>
    <w:rsid w:val="00960AE0"/>
    <w:rsid w:val="0096110E"/>
    <w:rsid w:val="00976FB4"/>
    <w:rsid w:val="009C5BF2"/>
    <w:rsid w:val="009C7247"/>
    <w:rsid w:val="009D076B"/>
    <w:rsid w:val="009D1585"/>
    <w:rsid w:val="009D4B6E"/>
    <w:rsid w:val="00A07113"/>
    <w:rsid w:val="00A24E80"/>
    <w:rsid w:val="00A31B37"/>
    <w:rsid w:val="00A368A1"/>
    <w:rsid w:val="00A408FE"/>
    <w:rsid w:val="00A5127D"/>
    <w:rsid w:val="00A810A8"/>
    <w:rsid w:val="00A84A93"/>
    <w:rsid w:val="00A914CA"/>
    <w:rsid w:val="00A96524"/>
    <w:rsid w:val="00A97269"/>
    <w:rsid w:val="00AB3B3E"/>
    <w:rsid w:val="00AE78D8"/>
    <w:rsid w:val="00AF6581"/>
    <w:rsid w:val="00B07E03"/>
    <w:rsid w:val="00B12732"/>
    <w:rsid w:val="00B3770C"/>
    <w:rsid w:val="00B73BFA"/>
    <w:rsid w:val="00B7621F"/>
    <w:rsid w:val="00B81C66"/>
    <w:rsid w:val="00B83712"/>
    <w:rsid w:val="00BA0C82"/>
    <w:rsid w:val="00BD4D62"/>
    <w:rsid w:val="00C1557D"/>
    <w:rsid w:val="00C27BD0"/>
    <w:rsid w:val="00C30000"/>
    <w:rsid w:val="00C32844"/>
    <w:rsid w:val="00C35DE0"/>
    <w:rsid w:val="00C564FA"/>
    <w:rsid w:val="00C8492C"/>
    <w:rsid w:val="00CD04E9"/>
    <w:rsid w:val="00CD1CCB"/>
    <w:rsid w:val="00CE504C"/>
    <w:rsid w:val="00CF32BF"/>
    <w:rsid w:val="00CF7D07"/>
    <w:rsid w:val="00D067F1"/>
    <w:rsid w:val="00D2162D"/>
    <w:rsid w:val="00D41D34"/>
    <w:rsid w:val="00D71FDB"/>
    <w:rsid w:val="00DA2E62"/>
    <w:rsid w:val="00DB226C"/>
    <w:rsid w:val="00DB3522"/>
    <w:rsid w:val="00DD082C"/>
    <w:rsid w:val="00E425D2"/>
    <w:rsid w:val="00E479CD"/>
    <w:rsid w:val="00E53EA6"/>
    <w:rsid w:val="00E70FFF"/>
    <w:rsid w:val="00E75DEF"/>
    <w:rsid w:val="00E85281"/>
    <w:rsid w:val="00EA185F"/>
    <w:rsid w:val="00EC5A27"/>
    <w:rsid w:val="00EE40AE"/>
    <w:rsid w:val="00EE50A6"/>
    <w:rsid w:val="00EF2EA1"/>
    <w:rsid w:val="00F1058D"/>
    <w:rsid w:val="00F15EF9"/>
    <w:rsid w:val="00F22B6B"/>
    <w:rsid w:val="00F35C3C"/>
    <w:rsid w:val="00F37EA4"/>
    <w:rsid w:val="00F70FB2"/>
    <w:rsid w:val="00F71299"/>
    <w:rsid w:val="00F73DD4"/>
    <w:rsid w:val="00F82A74"/>
    <w:rsid w:val="00F96189"/>
    <w:rsid w:val="00FB760E"/>
    <w:rsid w:val="00FD2D97"/>
    <w:rsid w:val="00FE2E7C"/>
    <w:rsid w:val="00FF07A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964757C"/>
  <w15:chartTrackingRefBased/>
  <w15:docId w15:val="{9869FFF6-4525-45EE-877F-57B1658D6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B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B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B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B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B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B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B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B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B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B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B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B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B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B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B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B37"/>
    <w:rPr>
      <w:rFonts w:eastAsiaTheme="majorEastAsia" w:cstheme="majorBidi"/>
      <w:color w:val="272727" w:themeColor="text1" w:themeTint="D8"/>
    </w:rPr>
  </w:style>
  <w:style w:type="paragraph" w:styleId="Title">
    <w:name w:val="Title"/>
    <w:basedOn w:val="Normal"/>
    <w:next w:val="Normal"/>
    <w:link w:val="TitleChar"/>
    <w:uiPriority w:val="10"/>
    <w:qFormat/>
    <w:rsid w:val="00A3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B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B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B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B37"/>
    <w:pPr>
      <w:spacing w:before="160"/>
      <w:jc w:val="center"/>
    </w:pPr>
    <w:rPr>
      <w:i/>
      <w:iCs/>
      <w:color w:val="404040" w:themeColor="text1" w:themeTint="BF"/>
    </w:rPr>
  </w:style>
  <w:style w:type="character" w:customStyle="1" w:styleId="QuoteChar">
    <w:name w:val="Quote Char"/>
    <w:basedOn w:val="DefaultParagraphFont"/>
    <w:link w:val="Quote"/>
    <w:uiPriority w:val="29"/>
    <w:rsid w:val="00A31B37"/>
    <w:rPr>
      <w:i/>
      <w:iCs/>
      <w:color w:val="404040" w:themeColor="text1" w:themeTint="BF"/>
    </w:rPr>
  </w:style>
  <w:style w:type="paragraph" w:styleId="ListParagraph">
    <w:name w:val="List Paragraph"/>
    <w:basedOn w:val="Normal"/>
    <w:uiPriority w:val="34"/>
    <w:qFormat/>
    <w:rsid w:val="00A31B37"/>
    <w:pPr>
      <w:ind w:left="720"/>
      <w:contextualSpacing/>
    </w:pPr>
  </w:style>
  <w:style w:type="character" w:styleId="IntenseEmphasis">
    <w:name w:val="Intense Emphasis"/>
    <w:basedOn w:val="DefaultParagraphFont"/>
    <w:uiPriority w:val="21"/>
    <w:qFormat/>
    <w:rsid w:val="00A31B37"/>
    <w:rPr>
      <w:i/>
      <w:iCs/>
      <w:color w:val="0F4761" w:themeColor="accent1" w:themeShade="BF"/>
    </w:rPr>
  </w:style>
  <w:style w:type="paragraph" w:styleId="IntenseQuote">
    <w:name w:val="Intense Quote"/>
    <w:basedOn w:val="Normal"/>
    <w:next w:val="Normal"/>
    <w:link w:val="IntenseQuoteChar"/>
    <w:uiPriority w:val="30"/>
    <w:qFormat/>
    <w:rsid w:val="00A3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B37"/>
    <w:rPr>
      <w:i/>
      <w:iCs/>
      <w:color w:val="0F4761" w:themeColor="accent1" w:themeShade="BF"/>
    </w:rPr>
  </w:style>
  <w:style w:type="character" w:styleId="IntenseReference">
    <w:name w:val="Intense Reference"/>
    <w:basedOn w:val="DefaultParagraphFont"/>
    <w:uiPriority w:val="32"/>
    <w:qFormat/>
    <w:rsid w:val="00A31B37"/>
    <w:rPr>
      <w:b/>
      <w:bCs/>
      <w:smallCaps/>
      <w:color w:val="0F4761" w:themeColor="accent1" w:themeShade="BF"/>
      <w:spacing w:val="5"/>
    </w:rPr>
  </w:style>
  <w:style w:type="table" w:styleId="TableGrid">
    <w:name w:val="Table Grid"/>
    <w:basedOn w:val="TableNormal"/>
    <w:uiPriority w:val="39"/>
    <w:rsid w:val="00867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55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5597"/>
  </w:style>
  <w:style w:type="paragraph" w:styleId="Footer">
    <w:name w:val="footer"/>
    <w:basedOn w:val="Normal"/>
    <w:link w:val="FooterChar"/>
    <w:uiPriority w:val="99"/>
    <w:unhideWhenUsed/>
    <w:rsid w:val="008155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5597"/>
  </w:style>
  <w:style w:type="paragraph" w:styleId="FootnoteText">
    <w:name w:val="footnote text"/>
    <w:basedOn w:val="Normal"/>
    <w:link w:val="FootnoteTextChar"/>
    <w:uiPriority w:val="99"/>
    <w:semiHidden/>
    <w:unhideWhenUsed/>
    <w:rsid w:val="009D15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1585"/>
    <w:rPr>
      <w:sz w:val="20"/>
      <w:szCs w:val="20"/>
    </w:rPr>
  </w:style>
  <w:style w:type="character" w:styleId="FootnoteReference">
    <w:name w:val="footnote reference"/>
    <w:basedOn w:val="DefaultParagraphFont"/>
    <w:uiPriority w:val="99"/>
    <w:semiHidden/>
    <w:unhideWhenUsed/>
    <w:rsid w:val="009D1585"/>
    <w:rPr>
      <w:vertAlign w:val="superscript"/>
    </w:rPr>
  </w:style>
  <w:style w:type="character" w:styleId="PlaceholderText">
    <w:name w:val="Placeholder Text"/>
    <w:basedOn w:val="DefaultParagraphFont"/>
    <w:uiPriority w:val="99"/>
    <w:semiHidden/>
    <w:rsid w:val="009D1585"/>
    <w:rPr>
      <w:color w:val="666666"/>
    </w:rPr>
  </w:style>
  <w:style w:type="paragraph" w:styleId="Revision">
    <w:name w:val="Revision"/>
    <w:hidden/>
    <w:uiPriority w:val="99"/>
    <w:semiHidden/>
    <w:rsid w:val="000805C3"/>
    <w:pPr>
      <w:spacing w:after="0" w:line="240" w:lineRule="auto"/>
    </w:pPr>
  </w:style>
  <w:style w:type="character" w:styleId="CommentReference">
    <w:name w:val="annotation reference"/>
    <w:basedOn w:val="DefaultParagraphFont"/>
    <w:uiPriority w:val="99"/>
    <w:semiHidden/>
    <w:unhideWhenUsed/>
    <w:rsid w:val="0085075F"/>
    <w:rPr>
      <w:sz w:val="16"/>
      <w:szCs w:val="16"/>
    </w:rPr>
  </w:style>
  <w:style w:type="paragraph" w:styleId="CommentText">
    <w:name w:val="annotation text"/>
    <w:basedOn w:val="Normal"/>
    <w:link w:val="CommentTextChar"/>
    <w:uiPriority w:val="99"/>
    <w:unhideWhenUsed/>
    <w:rsid w:val="0085075F"/>
    <w:pPr>
      <w:spacing w:line="240" w:lineRule="auto"/>
    </w:pPr>
    <w:rPr>
      <w:sz w:val="20"/>
      <w:szCs w:val="20"/>
    </w:rPr>
  </w:style>
  <w:style w:type="character" w:customStyle="1" w:styleId="CommentTextChar">
    <w:name w:val="Comment Text Char"/>
    <w:basedOn w:val="DefaultParagraphFont"/>
    <w:link w:val="CommentText"/>
    <w:uiPriority w:val="99"/>
    <w:rsid w:val="0085075F"/>
    <w:rPr>
      <w:sz w:val="20"/>
      <w:szCs w:val="20"/>
    </w:rPr>
  </w:style>
  <w:style w:type="paragraph" w:styleId="CommentSubject">
    <w:name w:val="annotation subject"/>
    <w:basedOn w:val="CommentText"/>
    <w:next w:val="CommentText"/>
    <w:link w:val="CommentSubjectChar"/>
    <w:uiPriority w:val="99"/>
    <w:semiHidden/>
    <w:unhideWhenUsed/>
    <w:rsid w:val="0085075F"/>
    <w:rPr>
      <w:b/>
      <w:bCs/>
    </w:rPr>
  </w:style>
  <w:style w:type="character" w:customStyle="1" w:styleId="CommentSubjectChar">
    <w:name w:val="Comment Subject Char"/>
    <w:basedOn w:val="CommentTextChar"/>
    <w:link w:val="CommentSubject"/>
    <w:uiPriority w:val="99"/>
    <w:semiHidden/>
    <w:rsid w:val="008507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customXml" Target="../customXml/item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b04b9a93-b54f-4549-9b70-040003075d6a" ContentTypeId="0x010100E09C6A4FD85CD94DB99934580C239257"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OGC Document" ma:contentTypeID="0x010100E09C6A4FD85CD94DB99934580C239257190080A333454EC0734FA57241899DC77FFB" ma:contentTypeVersion="16" ma:contentTypeDescription="Documents with Controlled Unclassified Information (CUI) flag and markings." ma:contentTypeScope="" ma:versionID="dd446bc71a35184cc4252fc20f130660">
  <xsd:schema xmlns:xsd="http://www.w3.org/2001/XMLSchema" xmlns:xs="http://www.w3.org/2001/XMLSchema" xmlns:p="http://schemas.microsoft.com/office/2006/metadata/properties" xmlns:ns2="42a8a83a-5e27-410c-a1fc-7c5ac4e503f4" targetNamespace="http://schemas.microsoft.com/office/2006/metadata/properties" ma:root="true" ma:fieldsID="fb188f52d21a8e6cd9727c9688d75141" ns2:_="">
    <xsd:import namespace="42a8a83a-5e27-410c-a1fc-7c5ac4e503f4"/>
    <xsd:element name="properties">
      <xsd:complexType>
        <xsd:sequence>
          <xsd:element name="documentManagement">
            <xsd:complexType>
              <xsd:all>
                <xsd:element ref="ns2:PBGCCUI" minOccurs="0"/>
                <xsd:element ref="ns2:Mark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a8a83a-5e27-410c-a1fc-7c5ac4e503f4" elementFormDefault="qualified">
    <xsd:import namespace="http://schemas.microsoft.com/office/2006/documentManagement/types"/>
    <xsd:import namespace="http://schemas.microsoft.com/office/infopath/2007/PartnerControls"/>
    <xsd:element name="PBGCCUI" ma:index="8" nillable="true" ma:displayName="CUI" ma:description="*Enterprise Column* Indicates if Controlled Unclassified Information (CUI) or not." ma:format="RadioButtons" ma:internalName="PBGCCUI" ma:readOnly="false">
      <xsd:simpleType>
        <xsd:restriction base="dms:Choice">
          <xsd:enumeration value="Yes"/>
          <xsd:enumeration value="No"/>
        </xsd:restriction>
      </xsd:simpleType>
    </xsd:element>
    <xsd:element name="Marking" ma:index="9" nillable="true" ma:displayName="CUI Marking" ma:description="*Enterprise Column* Controlled Unclassified Information (CUI) marking. An asterisk (*) indicates that safeguarding, dissemination, marking and/or decontrol measures that differ from General Guidelines are required by statute, regulation, or Government-wide policy. See https://www.archives.gov/cui/registry/category-list.html for" ma:internalName="Marking">
      <xsd:complexType>
        <xsd:complexContent>
          <xsd:extension base="dms:MultiChoice">
            <xsd:sequence>
              <xsd:element name="Value" maxOccurs="unbounded" minOccurs="0" nillable="true">
                <xsd:simpleType>
                  <xsd:restriction base="dms:Choice">
                    <xsd:enumeration value="Financial*"/>
                    <xsd:enumeration value="Financial: Retirement"/>
                    <xsd:enumeration value="General"/>
                    <xsd:enumeration value="General Business Proprietary"/>
                    <xsd:enumeration value="Legal Privilege"/>
                    <xsd:enumeration value="Personnel Security Information"/>
                    <xsd:enumeration value="Physical Security"/>
                    <xsd:enumeration value="Privacy"/>
                    <xsd:enumeration value="Procurement and Acquisition*"/>
                    <xsd:enumeration value="Sensitive Security Information"/>
                    <xsd:enumeration value="Tax*"/>
                    <xsd:enumeration value="Whistleblower Identity"/>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BGCCUI xmlns="42a8a83a-5e27-410c-a1fc-7c5ac4e503f4" xsi:nil="true"/>
    <Marking xmlns="42a8a83a-5e27-410c-a1fc-7c5ac4e503f4" xsi:nil="true"/>
  </documentManagement>
</p:properties>
</file>

<file path=customXml/itemProps1.xml><?xml version="1.0" encoding="utf-8"?>
<ds:datastoreItem xmlns:ds="http://schemas.openxmlformats.org/officeDocument/2006/customXml" ds:itemID="{7BA9C600-5AA6-499B-8E77-972CDF75427B}">
  <ds:schemaRefs>
    <ds:schemaRef ds:uri="http://schemas.microsoft.com/sharepoint/v3/contenttype/forms"/>
  </ds:schemaRefs>
</ds:datastoreItem>
</file>

<file path=customXml/itemProps2.xml><?xml version="1.0" encoding="utf-8"?>
<ds:datastoreItem xmlns:ds="http://schemas.openxmlformats.org/officeDocument/2006/customXml" ds:itemID="{001F5FD4-D143-4730-9950-898E5D113DDC}">
  <ds:schemaRefs>
    <ds:schemaRef ds:uri="Microsoft.SharePoint.Taxonomy.ContentTypeSync"/>
  </ds:schemaRefs>
</ds:datastoreItem>
</file>

<file path=customXml/itemProps3.xml><?xml version="1.0" encoding="utf-8"?>
<ds:datastoreItem xmlns:ds="http://schemas.openxmlformats.org/officeDocument/2006/customXml" ds:itemID="{1C0F190D-733C-4AEB-AEC0-4812631738C6}">
  <ds:schemaRefs>
    <ds:schemaRef ds:uri="http://schemas.openxmlformats.org/officeDocument/2006/bibliography"/>
  </ds:schemaRefs>
</ds:datastoreItem>
</file>

<file path=customXml/itemProps4.xml><?xml version="1.0" encoding="utf-8"?>
<ds:datastoreItem xmlns:ds="http://schemas.openxmlformats.org/officeDocument/2006/customXml" ds:itemID="{CFD02299-9B96-4890-8967-4D6C848C7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a8a83a-5e27-410c-a1fc-7c5ac4e50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197DEB-279F-4672-9352-6DEBFBF808A2}">
  <ds:schemaRefs>
    <ds:schemaRef ds:uri="http://schemas.microsoft.com/office/2006/metadata/properties"/>
    <ds:schemaRef ds:uri="http://schemas.microsoft.com/office/infopath/2007/PartnerControls"/>
    <ds:schemaRef ds:uri="42a8a83a-5e27-410c-a1fc-7c5ac4e503f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1185</Words>
  <Characters>6401</Characters>
  <Application>Microsoft Office Word</Application>
  <DocSecurity>0</DocSecurity>
  <Lines>182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Reilly Michael</dc:creator>
  <cp:lastModifiedBy>Coleman Elizabeth</cp:lastModifiedBy>
  <cp:revision>3</cp:revision>
  <dcterms:created xsi:type="dcterms:W3CDTF">2026-09-01T21:14:00Z</dcterms:created>
  <dcterms:modified xsi:type="dcterms:W3CDTF">2026-09-01T21:15:00Z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0x010100E09C6A4FD85CD94DB99934580C239257190080A333454EC0734FA57241899DC77FFB</vt:lpwstr>
  </property>
  <property fmtid="{D5CDD505-2E9C-101B-9397-08002B2CF9AE}" pid="3" name="docLang">
    <vt:lpwstr>en</vt:lpwstr>
  </property>
</Properties>
</file>