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33E13" w:rsidRPr="00233E13" w:rsidP="00497E22" w14:paraId="1F6229E8" w14:textId="49304843">
      <w:pPr>
        <w:spacing w:after="0" w:line="259" w:lineRule="auto"/>
        <w:jc w:val="center"/>
        <w:rPr>
          <w:rFonts w:ascii="Times New Roman" w:eastAsia="Times New Roman" w:hAnsi="Times New Roman" w:cs="Times New Roman"/>
          <w:b/>
          <w:color w:val="000000"/>
          <w:kern w:val="0"/>
          <w:szCs w:val="22"/>
          <w14:ligatures w14:val="none"/>
        </w:rPr>
      </w:pPr>
      <w:r w:rsidRPr="00233E13">
        <w:rPr>
          <w:rFonts w:ascii="Times New Roman" w:eastAsia="Times New Roman" w:hAnsi="Times New Roman" w:cs="Times New Roman"/>
          <w:b/>
          <w:color w:val="000000"/>
          <w:kern w:val="0"/>
          <w:szCs w:val="22"/>
          <w14:ligatures w14:val="none"/>
        </w:rPr>
        <w:t>Supporting Statement for Paperwork Reduction Act Generic Information Collection</w:t>
      </w:r>
    </w:p>
    <w:p w:rsidR="00233E13" w:rsidP="00233E13" w14:paraId="58E064A1" w14:textId="77777777">
      <w:pPr>
        <w:spacing w:after="0" w:line="259" w:lineRule="auto"/>
        <w:jc w:val="center"/>
        <w:rPr>
          <w:rFonts w:ascii="Times New Roman" w:eastAsia="Times New Roman" w:hAnsi="Times New Roman" w:cs="Times New Roman"/>
          <w:b/>
          <w:color w:val="000000"/>
          <w:kern w:val="0"/>
          <w:szCs w:val="22"/>
          <w14:ligatures w14:val="none"/>
        </w:rPr>
      </w:pPr>
      <w:r w:rsidRPr="00233E13">
        <w:rPr>
          <w:rFonts w:ascii="Times New Roman" w:eastAsia="Times New Roman" w:hAnsi="Times New Roman" w:cs="Times New Roman"/>
          <w:b/>
          <w:color w:val="000000"/>
          <w:kern w:val="0"/>
          <w:szCs w:val="22"/>
          <w14:ligatures w14:val="none"/>
        </w:rPr>
        <w:t xml:space="preserve">Submissions for </w:t>
      </w:r>
    </w:p>
    <w:p w:rsidR="00912BB1" w:rsidP="00497E22" w14:paraId="6914E54B" w14:textId="0CD81669">
      <w:pPr>
        <w:spacing w:after="0" w:line="259" w:lineRule="auto"/>
        <w:jc w:val="center"/>
        <w:rPr>
          <w:rFonts w:ascii="Times New Roman" w:eastAsia="Times New Roman" w:hAnsi="Times New Roman" w:cs="Times New Roman"/>
          <w:b/>
          <w:color w:val="000000"/>
          <w:kern w:val="0"/>
          <w:szCs w:val="22"/>
          <w14:ligatures w14:val="none"/>
        </w:rPr>
      </w:pPr>
      <w:r w:rsidRPr="00233E13">
        <w:rPr>
          <w:rFonts w:ascii="Times New Roman" w:eastAsia="Times New Roman" w:hAnsi="Times New Roman" w:cs="Times New Roman"/>
          <w:b/>
          <w:color w:val="000000"/>
          <w:kern w:val="0"/>
          <w:szCs w:val="22"/>
          <w14:ligatures w14:val="none"/>
        </w:rPr>
        <w:t>“Generic Clearance for the Collection of Qualitative and Quantitative Feedback on Agency Service Delivery”</w:t>
      </w:r>
    </w:p>
    <w:p w:rsidR="00233E13" w:rsidRPr="00912BB1" w:rsidP="00233E13" w14:paraId="6526D825" w14:textId="77777777">
      <w:pPr>
        <w:spacing w:after="0" w:line="259" w:lineRule="auto"/>
        <w:rPr>
          <w:rFonts w:ascii="Times New Roman" w:eastAsia="Times New Roman" w:hAnsi="Times New Roman" w:cs="Times New Roman"/>
          <w:color w:val="000000"/>
          <w:kern w:val="0"/>
          <w:szCs w:val="22"/>
          <w14:ligatures w14:val="none"/>
        </w:rPr>
      </w:pPr>
    </w:p>
    <w:p w:rsidR="00912BB1" w:rsidRPr="00912BB1" w:rsidP="00912BB1" w14:paraId="61AD592B" w14:textId="77777777">
      <w:pPr>
        <w:keepNext/>
        <w:keepLines/>
        <w:spacing w:after="10" w:line="249" w:lineRule="auto"/>
        <w:ind w:left="10"/>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B. STATISTICAL METHODS </w:t>
      </w:r>
    </w:p>
    <w:p w:rsidR="00912BB1" w:rsidRPr="00912BB1" w:rsidP="00912BB1" w14:paraId="5242A82D" w14:textId="77777777">
      <w:pPr>
        <w:spacing w:after="0" w:line="259" w:lineRule="auto"/>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288170CD" w14:paraId="623AB337" w14:textId="1B738582">
      <w:pPr>
        <w:spacing w:after="2" w:line="239" w:lineRule="auto"/>
        <w:ind w:left="370" w:hanging="10"/>
        <w:rPr>
          <w:rFonts w:ascii="Times New Roman" w:eastAsia="Times New Roman" w:hAnsi="Times New Roman" w:cs="Times New Roman"/>
          <w:color w:val="000000"/>
          <w:kern w:val="0"/>
          <w14:ligatures w14:val="none"/>
        </w:rPr>
      </w:pPr>
      <w:r w:rsidRPr="288170CD">
        <w:rPr>
          <w:rFonts w:ascii="Times New Roman" w:eastAsia="Times New Roman" w:hAnsi="Times New Roman" w:cs="Times New Roman"/>
          <w:color w:val="000000"/>
          <w:kern w:val="0"/>
          <w14:ligatures w14:val="none"/>
        </w:rPr>
        <w:t>Data collection methods and procedures will vary. The primary purpose of these collections will be for internal management purposes</w:t>
      </w:r>
      <w:r w:rsidR="0095225E">
        <w:rPr>
          <w:rFonts w:ascii="Times New Roman" w:eastAsia="Times New Roman" w:hAnsi="Times New Roman" w:cs="Times New Roman"/>
          <w:color w:val="000000"/>
          <w:kern w:val="0"/>
          <w14:ligatures w14:val="none"/>
        </w:rPr>
        <w:t xml:space="preserve">. </w:t>
      </w:r>
      <w:r w:rsidR="0095225E">
        <w:rPr>
          <w:rFonts w:ascii="Times New Roman" w:eastAsia="Times New Roman" w:hAnsi="Times New Roman" w:cs="Times New Roman"/>
          <w:color w:val="000000" w:themeColor="text1"/>
        </w:rPr>
        <w:t>W</w:t>
      </w:r>
      <w:r w:rsidRPr="288170CD" w:rsidR="0095225E">
        <w:rPr>
          <w:rFonts w:ascii="Times New Roman" w:eastAsia="Times New Roman" w:hAnsi="Times New Roman" w:cs="Times New Roman"/>
          <w:color w:val="000000" w:themeColor="text1"/>
        </w:rPr>
        <w:t>ith the exception of</w:t>
      </w:r>
      <w:r w:rsidRPr="288170CD" w:rsidR="0095225E">
        <w:rPr>
          <w:rFonts w:ascii="Times New Roman" w:eastAsia="Times New Roman" w:hAnsi="Times New Roman" w:cs="Times New Roman"/>
          <w:color w:val="000000" w:themeColor="text1"/>
        </w:rPr>
        <w:t xml:space="preserve"> telephone surveys of retirees, participant callers, and premium </w:t>
      </w:r>
      <w:r w:rsidRPr="288170CD" w:rsidR="0095225E">
        <w:rPr>
          <w:rFonts w:ascii="Times New Roman" w:eastAsia="Times New Roman" w:hAnsi="Times New Roman" w:cs="Times New Roman"/>
          <w:color w:val="000000" w:themeColor="text1"/>
        </w:rPr>
        <w:t>filers</w:t>
      </w:r>
      <w:r w:rsidRPr="288170CD">
        <w:rPr>
          <w:rFonts w:ascii="Times New Roman" w:eastAsia="Times New Roman" w:hAnsi="Times New Roman" w:cs="Times New Roman"/>
          <w:color w:val="000000"/>
          <w:kern w:val="0"/>
          <w14:ligatures w14:val="none"/>
        </w:rPr>
        <w:t xml:space="preserve"> there are no plans to publish or otherwise release this information</w:t>
      </w:r>
      <w:r w:rsidR="0095225E">
        <w:rPr>
          <w:rFonts w:ascii="Times New Roman" w:eastAsia="Times New Roman" w:hAnsi="Times New Roman" w:cs="Times New Roman"/>
          <w:color w:val="000000"/>
          <w:kern w:val="0"/>
          <w14:ligatures w14:val="none"/>
        </w:rPr>
        <w:t>.</w:t>
      </w:r>
      <w:r w:rsidRPr="288170CD" w:rsidR="0095225E">
        <w:rPr>
          <w:rFonts w:ascii="Times New Roman" w:eastAsia="Times New Roman" w:hAnsi="Times New Roman" w:cs="Times New Roman"/>
          <w:color w:val="000000" w:themeColor="text1"/>
        </w:rPr>
        <w:t xml:space="preserve"> </w:t>
      </w:r>
      <w:r w:rsidR="0095225E">
        <w:rPr>
          <w:rFonts w:ascii="Times New Roman" w:eastAsia="Times New Roman" w:hAnsi="Times New Roman" w:cs="Times New Roman"/>
          <w:color w:val="000000" w:themeColor="text1"/>
        </w:rPr>
        <w:t>T</w:t>
      </w:r>
      <w:r w:rsidRPr="288170CD">
        <w:rPr>
          <w:rFonts w:ascii="Times New Roman" w:eastAsia="Times New Roman" w:hAnsi="Times New Roman" w:cs="Times New Roman"/>
          <w:color w:val="000000" w:themeColor="text1"/>
        </w:rPr>
        <w:t xml:space="preserve">he </w:t>
      </w:r>
      <w:r w:rsidR="0095225E">
        <w:rPr>
          <w:rFonts w:ascii="Times New Roman" w:eastAsia="Times New Roman" w:hAnsi="Times New Roman" w:cs="Times New Roman"/>
          <w:color w:val="000000" w:themeColor="text1"/>
        </w:rPr>
        <w:t xml:space="preserve">results of </w:t>
      </w:r>
      <w:r w:rsidRPr="288170CD">
        <w:rPr>
          <w:rFonts w:ascii="Times New Roman" w:eastAsia="Times New Roman" w:hAnsi="Times New Roman" w:cs="Times New Roman"/>
          <w:color w:val="000000" w:themeColor="text1"/>
        </w:rPr>
        <w:t>surveys will be used as official performance measures in PBGC’s annual performance report. Findings from other information collections will be used for general service improvement but are not for publication or other public release.</w:t>
      </w:r>
    </w:p>
    <w:p w:rsidR="00912BB1" w:rsidRPr="00912BB1" w:rsidP="00912BB1" w14:paraId="00FA4244" w14:textId="77777777">
      <w:pPr>
        <w:spacing w:after="0" w:line="259" w:lineRule="auto"/>
        <w:ind w:left="36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00912BB1" w14:paraId="1BCCD2CB" w14:textId="11D8AF64">
      <w:pPr>
        <w:pStyle w:val="ListParagraph"/>
        <w:keepNext/>
        <w:keepLines/>
        <w:numPr>
          <w:ilvl w:val="0"/>
          <w:numId w:val="1"/>
        </w:numPr>
        <w:spacing w:after="10" w:line="249" w:lineRule="auto"/>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Universe and Respondent Selection </w:t>
      </w:r>
    </w:p>
    <w:p w:rsidR="00912BB1" w:rsidRPr="00912BB1" w:rsidP="00912BB1" w14:paraId="1BBF700B"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288170CD" w14:paraId="1A3A211D" w14:textId="1329CF4D">
      <w:pPr>
        <w:spacing w:after="2" w:line="239" w:lineRule="auto"/>
        <w:ind w:left="715" w:hanging="10"/>
        <w:rPr>
          <w:rFonts w:ascii="Times New Roman" w:eastAsia="Times New Roman" w:hAnsi="Times New Roman" w:cs="Times New Roman"/>
          <w:color w:val="000000"/>
          <w:kern w:val="0"/>
          <w14:ligatures w14:val="none"/>
        </w:rPr>
      </w:pPr>
      <w:r w:rsidRPr="288170CD">
        <w:rPr>
          <w:rFonts w:ascii="Times New Roman" w:eastAsia="Times New Roman" w:hAnsi="Times New Roman" w:cs="Times New Roman"/>
          <w:color w:val="000000"/>
          <w:kern w:val="0"/>
          <w14:ligatures w14:val="none"/>
        </w:rPr>
        <w:t xml:space="preserve">The activities under this clearance may involve samples of self-selected respondents, as well as convenience samples, and quota samples, with respondents selected either to include a broad range of respondents or to include respondents with specific characteristics related to certain products or services. </w:t>
      </w:r>
      <w:r w:rsidRPr="288170CD" w:rsidR="172AB0A0">
        <w:rPr>
          <w:rFonts w:ascii="Times New Roman" w:eastAsia="Times New Roman" w:hAnsi="Times New Roman" w:cs="Times New Roman"/>
          <w:color w:val="000000" w:themeColor="text1"/>
        </w:rPr>
        <w:t>Results, other</w:t>
      </w:r>
      <w:r w:rsidRPr="288170CD">
        <w:rPr>
          <w:rFonts w:ascii="Times New Roman" w:eastAsia="Times New Roman" w:hAnsi="Times New Roman" w:cs="Times New Roman"/>
          <w:color w:val="000000" w:themeColor="text1"/>
        </w:rPr>
        <w:t xml:space="preserve"> than those using the American Customer Satisfaction Index, will not be used to make statements generalizable to the population of interest, to produce descriptive statistics (careful, repeatable measurements), or to generalize the data beyond the scope of the sample. The specific sample planned for each individual collection and the method for soliciting participation will be described fully in each collection request.   </w:t>
      </w:r>
    </w:p>
    <w:p w:rsidR="00912BB1" w:rsidRPr="00912BB1" w:rsidP="00912BB1" w14:paraId="43151FD4"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color w:val="000000"/>
          <w:kern w:val="0"/>
          <w:szCs w:val="22"/>
          <w14:ligatures w14:val="none"/>
        </w:rPr>
        <w:t xml:space="preserve"> </w:t>
      </w:r>
    </w:p>
    <w:p w:rsidR="00912BB1" w:rsidRPr="00912BB1" w:rsidP="76C462DD" w14:paraId="1C72D262" w14:textId="77777777">
      <w:pPr>
        <w:spacing w:after="2" w:line="239" w:lineRule="auto"/>
        <w:ind w:left="715" w:hanging="10"/>
        <w:rPr>
          <w:rFonts w:ascii="Times New Roman" w:eastAsia="Times New Roman" w:hAnsi="Times New Roman" w:cs="Times New Roman"/>
          <w:color w:val="000000"/>
          <w:kern w:val="0"/>
          <w14:ligatures w14:val="none"/>
        </w:rPr>
      </w:pPr>
      <w:r w:rsidRPr="76C462DD">
        <w:rPr>
          <w:rFonts w:ascii="Times New Roman" w:eastAsia="Times New Roman" w:hAnsi="Times New Roman" w:cs="Times New Roman"/>
          <w:color w:val="000000"/>
          <w:kern w:val="0"/>
          <w14:ligatures w14:val="none"/>
        </w:rPr>
        <w:t xml:space="preserve">Qualitative surveys are tools used by program managers to change or improve programs, products, or services. The accuracy, reliability, and applicability of the results of these surveys are adequate for their purposes. However, because the samples associated with this collection are not selected based on statistical principles, the results cannot be used to generalize from the samples to conclusions about the population of </w:t>
      </w:r>
      <w:r w:rsidRPr="76C462DD">
        <w:rPr>
          <w:rFonts w:ascii="Times New Roman" w:eastAsia="Times New Roman" w:hAnsi="Times New Roman" w:cs="Times New Roman"/>
          <w:color w:val="000000"/>
          <w:kern w:val="0"/>
          <w14:ligatures w14:val="none"/>
        </w:rPr>
        <w:t>interest as a whole</w:t>
      </w:r>
      <w:r w:rsidRPr="76C462DD">
        <w:rPr>
          <w:rFonts w:ascii="Times New Roman" w:eastAsia="Times New Roman" w:hAnsi="Times New Roman" w:cs="Times New Roman"/>
          <w:color w:val="000000"/>
          <w:kern w:val="0"/>
          <w14:ligatures w14:val="none"/>
        </w:rPr>
        <w:t xml:space="preserve">.  </w:t>
      </w:r>
    </w:p>
    <w:p w:rsidR="00912BB1" w:rsidRPr="00912BB1" w:rsidP="00912BB1" w14:paraId="7BFDCAF8"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00912BB1" w14:paraId="52609656" w14:textId="49EC0DF0">
      <w:pPr>
        <w:pStyle w:val="ListParagraph"/>
        <w:keepNext/>
        <w:keepLines/>
        <w:numPr>
          <w:ilvl w:val="0"/>
          <w:numId w:val="1"/>
        </w:numPr>
        <w:spacing w:after="10" w:line="249" w:lineRule="auto"/>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Procedures for Collecting Information </w:t>
      </w:r>
    </w:p>
    <w:p w:rsidR="00912BB1" w:rsidRPr="00912BB1" w:rsidP="00912BB1" w14:paraId="5E744006"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775DD991" w14:paraId="2CC91DC4" w14:textId="74189410">
      <w:pPr>
        <w:spacing w:after="2" w:line="239" w:lineRule="auto"/>
        <w:ind w:left="715" w:hanging="10"/>
        <w:rPr>
          <w:rFonts w:ascii="Times New Roman" w:eastAsia="Times New Roman" w:hAnsi="Times New Roman" w:cs="Times New Roman"/>
          <w:color w:val="000000"/>
          <w:kern w:val="0"/>
          <w14:ligatures w14:val="none"/>
        </w:rPr>
      </w:pPr>
      <w:r w:rsidRPr="071B7356">
        <w:rPr>
          <w:rFonts w:ascii="Times New Roman" w:eastAsia="Times New Roman" w:hAnsi="Times New Roman" w:cs="Times New Roman"/>
          <w:color w:val="000000" w:themeColor="text1"/>
        </w:rPr>
        <w:t xml:space="preserve">Data collection methods and procedures will vary and the specifics of these will be provided with each collection request. PBGC expects to use a variety of methodologies for these collections. For example, PBGC or its contractors may use commercial survey-specific software to automate its collection and analysis of feedback. In addition to physical copies, information collection instruments may be electronically disseminated and/or posted on target pages of PBGC’s web site. Telephone scripts and personal interviews developed with professional guidance and focus groups moderated by professionals may also be used. </w:t>
      </w:r>
    </w:p>
    <w:p w:rsidR="00912BB1" w:rsidRPr="00912BB1" w:rsidP="00912BB1" w14:paraId="3A87BE26"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00912BB1" w14:paraId="04967866" w14:textId="4CBF43BE">
      <w:pPr>
        <w:pStyle w:val="ListParagraph"/>
        <w:keepNext/>
        <w:keepLines/>
        <w:numPr>
          <w:ilvl w:val="0"/>
          <w:numId w:val="1"/>
        </w:numPr>
        <w:spacing w:after="10" w:line="249" w:lineRule="auto"/>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Methods to Maximize Response </w:t>
      </w:r>
      <w:r w:rsidRPr="00912BB1">
        <w:rPr>
          <w:rFonts w:ascii="Times New Roman" w:eastAsia="Times New Roman" w:hAnsi="Times New Roman" w:cs="Times New Roman"/>
          <w:b/>
          <w:color w:val="1F487C"/>
          <w:kern w:val="0"/>
          <w:szCs w:val="22"/>
          <w14:ligatures w14:val="none"/>
        </w:rPr>
        <w:t xml:space="preserve"> </w:t>
      </w:r>
    </w:p>
    <w:p w:rsidR="00912BB1" w:rsidRPr="00912BB1" w:rsidP="00912BB1" w14:paraId="1B958433"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color w:val="000000"/>
          <w:kern w:val="0"/>
          <w:szCs w:val="22"/>
          <w14:ligatures w14:val="none"/>
        </w:rPr>
        <w:t xml:space="preserve"> </w:t>
      </w:r>
    </w:p>
    <w:p w:rsidR="00912BB1" w:rsidRPr="00912BB1" w:rsidP="470112E8" w14:paraId="51FD5345" w14:textId="043A55BF">
      <w:pPr>
        <w:spacing w:after="2" w:line="239" w:lineRule="auto"/>
        <w:ind w:left="715" w:hanging="10"/>
        <w:rPr>
          <w:rFonts w:ascii="Times New Roman" w:eastAsia="Times New Roman" w:hAnsi="Times New Roman" w:cs="Times New Roman"/>
          <w:color w:val="000000"/>
          <w:kern w:val="0"/>
          <w14:ligatures w14:val="none"/>
        </w:rPr>
      </w:pPr>
      <w:r w:rsidRPr="470112E8">
        <w:rPr>
          <w:rFonts w:ascii="Times New Roman" w:eastAsia="Times New Roman" w:hAnsi="Times New Roman" w:cs="Times New Roman"/>
          <w:color w:val="000000" w:themeColor="text1"/>
        </w:rPr>
        <w:t xml:space="preserve">Information collected under this generic clearance will include qualitative and quantitative feedback on PBGC’s </w:t>
      </w:r>
      <w:r w:rsidRPr="470112E8">
        <w:rPr>
          <w:rFonts w:ascii="Times New Roman" w:eastAsia="Times New Roman" w:hAnsi="Times New Roman" w:cs="Times New Roman"/>
          <w:color w:val="000000" w:themeColor="text1"/>
        </w:rPr>
        <w:t>service delivery</w:t>
      </w:r>
      <w:r w:rsidRPr="470112E8">
        <w:rPr>
          <w:rFonts w:ascii="Times New Roman" w:eastAsia="Times New Roman" w:hAnsi="Times New Roman" w:cs="Times New Roman"/>
          <w:color w:val="000000" w:themeColor="text1"/>
        </w:rPr>
        <w:t xml:space="preserve">. By </w:t>
      </w:r>
      <w:r w:rsidR="00A47BBC">
        <w:rPr>
          <w:rFonts w:ascii="Times New Roman" w:eastAsia="Times New Roman" w:hAnsi="Times New Roman" w:cs="Times New Roman"/>
          <w:color w:val="000000" w:themeColor="text1"/>
        </w:rPr>
        <w:t>“</w:t>
      </w:r>
      <w:r w:rsidRPr="470112E8">
        <w:rPr>
          <w:rFonts w:ascii="Times New Roman" w:eastAsia="Times New Roman" w:hAnsi="Times New Roman" w:cs="Times New Roman"/>
          <w:color w:val="000000" w:themeColor="text1"/>
        </w:rPr>
        <w:t>qualitative feedback</w:t>
      </w:r>
      <w:r w:rsidR="00A47BBC">
        <w:rPr>
          <w:rFonts w:ascii="Times New Roman" w:eastAsia="Times New Roman" w:hAnsi="Times New Roman" w:cs="Times New Roman"/>
          <w:color w:val="000000" w:themeColor="text1"/>
        </w:rPr>
        <w:t>”</w:t>
      </w:r>
      <w:r w:rsidRPr="470112E8">
        <w:rPr>
          <w:rFonts w:ascii="Times New Roman" w:eastAsia="Times New Roman" w:hAnsi="Times New Roman" w:cs="Times New Roman"/>
          <w:color w:val="000000" w:themeColor="text1"/>
        </w:rPr>
        <w:t xml:space="preserve"> we mean information that provides useful insights on the public’s perceptions and opinions. By </w:t>
      </w:r>
      <w:r w:rsidR="00A47BBC">
        <w:rPr>
          <w:rFonts w:ascii="Times New Roman" w:eastAsia="Times New Roman" w:hAnsi="Times New Roman" w:cs="Times New Roman"/>
          <w:color w:val="000000" w:themeColor="text1"/>
        </w:rPr>
        <w:t>“</w:t>
      </w:r>
      <w:r w:rsidRPr="470112E8">
        <w:rPr>
          <w:rFonts w:ascii="Times New Roman" w:eastAsia="Times New Roman" w:hAnsi="Times New Roman" w:cs="Times New Roman"/>
          <w:color w:val="000000" w:themeColor="text1"/>
        </w:rPr>
        <w:t>quantitative feedback</w:t>
      </w:r>
      <w:r w:rsidR="00A47BBC">
        <w:rPr>
          <w:rFonts w:ascii="Times New Roman" w:eastAsia="Times New Roman" w:hAnsi="Times New Roman" w:cs="Times New Roman"/>
          <w:color w:val="000000" w:themeColor="text1"/>
        </w:rPr>
        <w:t>”</w:t>
      </w:r>
      <w:r w:rsidRPr="470112E8">
        <w:rPr>
          <w:rFonts w:ascii="Times New Roman" w:eastAsia="Times New Roman" w:hAnsi="Times New Roman" w:cs="Times New Roman"/>
          <w:color w:val="000000" w:themeColor="text1"/>
        </w:rPr>
        <w:t xml:space="preserve"> we mean numeric scores evaluating PBGC services and customer satisfaction using the American Customer Satisfaction Index (ACSI) methodology.</w:t>
      </w:r>
    </w:p>
    <w:p w:rsidR="00912BB1" w:rsidRPr="00912BB1" w:rsidP="00912BB1" w14:paraId="7E70677D" w14:textId="77777777">
      <w:pPr>
        <w:spacing w:after="0" w:line="259" w:lineRule="auto"/>
        <w:ind w:left="36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color w:val="000000"/>
          <w:kern w:val="0"/>
          <w:szCs w:val="22"/>
          <w14:ligatures w14:val="none"/>
        </w:rPr>
        <w:t xml:space="preserve"> </w:t>
      </w:r>
      <w:r w:rsidRPr="00912BB1">
        <w:rPr>
          <w:rFonts w:ascii="Times New Roman" w:eastAsia="Times New Roman" w:hAnsi="Times New Roman" w:cs="Times New Roman"/>
          <w:color w:val="000000"/>
          <w:kern w:val="0"/>
          <w:szCs w:val="22"/>
          <w14:ligatures w14:val="none"/>
        </w:rPr>
        <w:tab/>
        <w:t xml:space="preserve"> </w:t>
      </w:r>
    </w:p>
    <w:p w:rsidR="00912BB1" w:rsidRPr="00912BB1" w:rsidP="00912BB1" w14:paraId="393F160E" w14:textId="18D2C6B4">
      <w:pPr>
        <w:pStyle w:val="ListParagraph"/>
        <w:keepNext/>
        <w:keepLines/>
        <w:numPr>
          <w:ilvl w:val="0"/>
          <w:numId w:val="1"/>
        </w:numPr>
        <w:spacing w:after="10" w:line="249" w:lineRule="auto"/>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Testing of Procedures </w:t>
      </w:r>
    </w:p>
    <w:p w:rsidR="00912BB1" w:rsidRPr="00912BB1" w:rsidP="00912BB1" w14:paraId="443DE370"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470112E8" w14:paraId="154B1D0D" w14:textId="19BDD570">
      <w:pPr>
        <w:spacing w:after="2" w:line="239" w:lineRule="auto"/>
        <w:ind w:left="715" w:hanging="10"/>
        <w:rPr>
          <w:rFonts w:ascii="Times New Roman" w:eastAsia="Times New Roman" w:hAnsi="Times New Roman" w:cs="Times New Roman"/>
          <w:color w:val="000000"/>
          <w:kern w:val="0"/>
          <w14:ligatures w14:val="none"/>
        </w:rPr>
      </w:pPr>
      <w:r w:rsidRPr="470112E8">
        <w:rPr>
          <w:rFonts w:ascii="Times New Roman" w:eastAsia="Times New Roman" w:hAnsi="Times New Roman" w:cs="Times New Roman"/>
          <w:color w:val="000000" w:themeColor="text1"/>
        </w:rPr>
        <w:t>Pretesting may be done with PBGC staff, external professionals, or respondents who are familiar with PBGC’s programs and products. If the number of pretest respondents exceeds nine members of the public, PBGC will submit the pretest instruments for review under this generic clearance.</w:t>
      </w:r>
      <w:r w:rsidRPr="470112E8">
        <w:rPr>
          <w:rFonts w:ascii="Times New Roman" w:eastAsia="Times New Roman" w:hAnsi="Times New Roman" w:cs="Times New Roman"/>
          <w:b/>
          <w:bCs/>
          <w:color w:val="000000" w:themeColor="text1"/>
        </w:rPr>
        <w:t xml:space="preserve"> </w:t>
      </w:r>
    </w:p>
    <w:p w:rsidR="00912BB1" w:rsidRPr="00912BB1" w:rsidP="00912BB1" w14:paraId="7DA63BA2"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00912BB1" w14:paraId="6D4AB3BB" w14:textId="65EE28D5">
      <w:pPr>
        <w:pStyle w:val="ListParagraph"/>
        <w:keepNext/>
        <w:keepLines/>
        <w:numPr>
          <w:ilvl w:val="0"/>
          <w:numId w:val="1"/>
        </w:numPr>
        <w:spacing w:after="10" w:line="249" w:lineRule="auto"/>
        <w:outlineLvl w:val="0"/>
        <w:rPr>
          <w:rFonts w:ascii="Times New Roman" w:eastAsia="Times New Roman" w:hAnsi="Times New Roman" w:cs="Times New Roman"/>
          <w:b/>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Guidance on Statistical and Data Collection Aspects of Each Program </w:t>
      </w:r>
    </w:p>
    <w:p w:rsidR="00912BB1" w:rsidRPr="00912BB1" w:rsidP="00912BB1" w14:paraId="65DDECC4" w14:textId="77777777">
      <w:pPr>
        <w:spacing w:after="0" w:line="259" w:lineRule="auto"/>
        <w:ind w:left="720"/>
        <w:rPr>
          <w:rFonts w:ascii="Times New Roman" w:eastAsia="Times New Roman" w:hAnsi="Times New Roman" w:cs="Times New Roman"/>
          <w:color w:val="000000"/>
          <w:kern w:val="0"/>
          <w:szCs w:val="22"/>
          <w14:ligatures w14:val="none"/>
        </w:rPr>
      </w:pPr>
      <w:r w:rsidRPr="00912BB1">
        <w:rPr>
          <w:rFonts w:ascii="Times New Roman" w:eastAsia="Times New Roman" w:hAnsi="Times New Roman" w:cs="Times New Roman"/>
          <w:b/>
          <w:color w:val="000000"/>
          <w:kern w:val="0"/>
          <w:szCs w:val="22"/>
          <w14:ligatures w14:val="none"/>
        </w:rPr>
        <w:t xml:space="preserve"> </w:t>
      </w:r>
    </w:p>
    <w:p w:rsidR="00912BB1" w:rsidRPr="00912BB1" w:rsidP="2615E099" w14:paraId="0DD10155" w14:textId="3370B712">
      <w:pPr>
        <w:spacing w:after="2" w:line="239" w:lineRule="auto"/>
        <w:ind w:left="715" w:hanging="10"/>
        <w:rPr>
          <w:rFonts w:ascii="Times New Roman" w:eastAsia="Times New Roman" w:hAnsi="Times New Roman" w:cs="Times New Roman"/>
          <w:color w:val="000000"/>
          <w:kern w:val="0"/>
          <w14:ligatures w14:val="none"/>
        </w:rPr>
      </w:pPr>
      <w:r w:rsidRPr="2615E099">
        <w:rPr>
          <w:rFonts w:ascii="Times New Roman" w:eastAsia="Times New Roman" w:hAnsi="Times New Roman" w:cs="Times New Roman"/>
          <w:color w:val="000000" w:themeColor="text1"/>
        </w:rPr>
        <w:t xml:space="preserve">Each program will use information from statisticians, researchers, and content specialists in the development, design, conduct, and analysis of customer/partner service surveys, as appropriate. This expertise will be obtained from PBGC staff or contractors, or from the professional research literature on surveys. PBGC will include the names and contact information of </w:t>
      </w:r>
      <w:r w:rsidRPr="2615E099">
        <w:rPr>
          <w:rFonts w:ascii="Times New Roman" w:eastAsia="Times New Roman" w:hAnsi="Times New Roman" w:cs="Times New Roman"/>
          <w:color w:val="000000" w:themeColor="text1"/>
        </w:rPr>
        <w:t>persons</w:t>
      </w:r>
      <w:r w:rsidRPr="2615E099">
        <w:rPr>
          <w:rFonts w:ascii="Times New Roman" w:eastAsia="Times New Roman" w:hAnsi="Times New Roman" w:cs="Times New Roman"/>
          <w:color w:val="000000" w:themeColor="text1"/>
        </w:rPr>
        <w:t xml:space="preserve"> consulted in the specific information collection requests submitted under this generic clearance.   </w:t>
      </w:r>
    </w:p>
    <w:p w:rsidR="00D84E3F" w14:paraId="5650F9E2"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013FEF"/>
    <w:multiLevelType w:val="hybridMultilevel"/>
    <w:tmpl w:val="051EC086"/>
    <w:lvl w:ilvl="0">
      <w:start w:val="1"/>
      <w:numFmt w:val="bullet"/>
      <w:lvlText w:val=""/>
      <w:lvlJc w:val="left"/>
      <w:pPr>
        <w:ind w:left="1433" w:hanging="360"/>
      </w:pPr>
      <w:rPr>
        <w:rFonts w:ascii="Symbol" w:hAnsi="Symbol" w:hint="default"/>
      </w:rPr>
    </w:lvl>
    <w:lvl w:ilvl="1" w:tentative="1">
      <w:start w:val="1"/>
      <w:numFmt w:val="bullet"/>
      <w:lvlText w:val="o"/>
      <w:lvlJc w:val="left"/>
      <w:pPr>
        <w:ind w:left="2153" w:hanging="360"/>
      </w:pPr>
      <w:rPr>
        <w:rFonts w:ascii="Courier New" w:hAnsi="Courier New" w:cs="Courier New" w:hint="default"/>
      </w:rPr>
    </w:lvl>
    <w:lvl w:ilvl="2" w:tentative="1">
      <w:start w:val="1"/>
      <w:numFmt w:val="bullet"/>
      <w:lvlText w:val=""/>
      <w:lvlJc w:val="left"/>
      <w:pPr>
        <w:ind w:left="2873" w:hanging="360"/>
      </w:pPr>
      <w:rPr>
        <w:rFonts w:ascii="Wingdings" w:hAnsi="Wingdings" w:hint="default"/>
      </w:rPr>
    </w:lvl>
    <w:lvl w:ilvl="3" w:tentative="1">
      <w:start w:val="1"/>
      <w:numFmt w:val="bullet"/>
      <w:lvlText w:val=""/>
      <w:lvlJc w:val="left"/>
      <w:pPr>
        <w:ind w:left="3593" w:hanging="360"/>
      </w:pPr>
      <w:rPr>
        <w:rFonts w:ascii="Symbol" w:hAnsi="Symbol" w:hint="default"/>
      </w:rPr>
    </w:lvl>
    <w:lvl w:ilvl="4" w:tentative="1">
      <w:start w:val="1"/>
      <w:numFmt w:val="bullet"/>
      <w:lvlText w:val="o"/>
      <w:lvlJc w:val="left"/>
      <w:pPr>
        <w:ind w:left="4313" w:hanging="360"/>
      </w:pPr>
      <w:rPr>
        <w:rFonts w:ascii="Courier New" w:hAnsi="Courier New" w:cs="Courier New" w:hint="default"/>
      </w:rPr>
    </w:lvl>
    <w:lvl w:ilvl="5" w:tentative="1">
      <w:start w:val="1"/>
      <w:numFmt w:val="bullet"/>
      <w:lvlText w:val=""/>
      <w:lvlJc w:val="left"/>
      <w:pPr>
        <w:ind w:left="5033" w:hanging="360"/>
      </w:pPr>
      <w:rPr>
        <w:rFonts w:ascii="Wingdings" w:hAnsi="Wingdings" w:hint="default"/>
      </w:rPr>
    </w:lvl>
    <w:lvl w:ilvl="6" w:tentative="1">
      <w:start w:val="1"/>
      <w:numFmt w:val="bullet"/>
      <w:lvlText w:val=""/>
      <w:lvlJc w:val="left"/>
      <w:pPr>
        <w:ind w:left="5753" w:hanging="360"/>
      </w:pPr>
      <w:rPr>
        <w:rFonts w:ascii="Symbol" w:hAnsi="Symbol" w:hint="default"/>
      </w:rPr>
    </w:lvl>
    <w:lvl w:ilvl="7" w:tentative="1">
      <w:start w:val="1"/>
      <w:numFmt w:val="bullet"/>
      <w:lvlText w:val="o"/>
      <w:lvlJc w:val="left"/>
      <w:pPr>
        <w:ind w:left="6473" w:hanging="360"/>
      </w:pPr>
      <w:rPr>
        <w:rFonts w:ascii="Courier New" w:hAnsi="Courier New" w:cs="Courier New" w:hint="default"/>
      </w:rPr>
    </w:lvl>
    <w:lvl w:ilvl="8" w:tentative="1">
      <w:start w:val="1"/>
      <w:numFmt w:val="bullet"/>
      <w:lvlText w:val=""/>
      <w:lvlJc w:val="left"/>
      <w:pPr>
        <w:ind w:left="7193" w:hanging="360"/>
      </w:pPr>
      <w:rPr>
        <w:rFonts w:ascii="Wingdings" w:hAnsi="Wingdings" w:hint="default"/>
      </w:rPr>
    </w:lvl>
  </w:abstractNum>
  <w:abstractNum w:abstractNumId="1">
    <w:nsid w:val="40CC20C4"/>
    <w:multiLevelType w:val="hybridMultilevel"/>
    <w:tmpl w:val="E73EC142"/>
    <w:lvl w:ilvl="0">
      <w:start w:val="1"/>
      <w:numFmt w:val="decimal"/>
      <w:lvlText w:val="%1."/>
      <w:lvlJc w:val="left"/>
      <w:pPr>
        <w:ind w:left="705" w:hanging="360"/>
      </w:pPr>
      <w:rPr>
        <w:rFonts w:hint="default"/>
      </w:rPr>
    </w:lvl>
    <w:lvl w:ilvl="1" w:tentative="1">
      <w:start w:val="1"/>
      <w:numFmt w:val="lowerLetter"/>
      <w:lvlText w:val="%2."/>
      <w:lvlJc w:val="left"/>
      <w:pPr>
        <w:ind w:left="1425" w:hanging="360"/>
      </w:pPr>
    </w:lvl>
    <w:lvl w:ilvl="2" w:tentative="1">
      <w:start w:val="1"/>
      <w:numFmt w:val="lowerRoman"/>
      <w:lvlText w:val="%3."/>
      <w:lvlJc w:val="right"/>
      <w:pPr>
        <w:ind w:left="2145" w:hanging="180"/>
      </w:pPr>
    </w:lvl>
    <w:lvl w:ilvl="3" w:tentative="1">
      <w:start w:val="1"/>
      <w:numFmt w:val="decimal"/>
      <w:lvlText w:val="%4."/>
      <w:lvlJc w:val="left"/>
      <w:pPr>
        <w:ind w:left="2865" w:hanging="360"/>
      </w:pPr>
    </w:lvl>
    <w:lvl w:ilvl="4" w:tentative="1">
      <w:start w:val="1"/>
      <w:numFmt w:val="lowerLetter"/>
      <w:lvlText w:val="%5."/>
      <w:lvlJc w:val="left"/>
      <w:pPr>
        <w:ind w:left="3585" w:hanging="360"/>
      </w:pPr>
    </w:lvl>
    <w:lvl w:ilvl="5" w:tentative="1">
      <w:start w:val="1"/>
      <w:numFmt w:val="lowerRoman"/>
      <w:lvlText w:val="%6."/>
      <w:lvlJc w:val="right"/>
      <w:pPr>
        <w:ind w:left="4305" w:hanging="180"/>
      </w:pPr>
    </w:lvl>
    <w:lvl w:ilvl="6" w:tentative="1">
      <w:start w:val="1"/>
      <w:numFmt w:val="decimal"/>
      <w:lvlText w:val="%7."/>
      <w:lvlJc w:val="left"/>
      <w:pPr>
        <w:ind w:left="5025" w:hanging="360"/>
      </w:pPr>
    </w:lvl>
    <w:lvl w:ilvl="7" w:tentative="1">
      <w:start w:val="1"/>
      <w:numFmt w:val="lowerLetter"/>
      <w:lvlText w:val="%8."/>
      <w:lvlJc w:val="left"/>
      <w:pPr>
        <w:ind w:left="5745" w:hanging="360"/>
      </w:pPr>
    </w:lvl>
    <w:lvl w:ilvl="8" w:tentative="1">
      <w:start w:val="1"/>
      <w:numFmt w:val="lowerRoman"/>
      <w:lvlText w:val="%9."/>
      <w:lvlJc w:val="right"/>
      <w:pPr>
        <w:ind w:left="6465" w:hanging="180"/>
      </w:pPr>
    </w:lvl>
  </w:abstractNum>
  <w:abstractNum w:abstractNumId="2">
    <w:nsid w:val="4DDC3DB0"/>
    <w:multiLevelType w:val="hybridMultilevel"/>
    <w:tmpl w:val="B58AE1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4590042"/>
    <w:multiLevelType w:val="hybridMultilevel"/>
    <w:tmpl w:val="165416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D3230BE"/>
    <w:multiLevelType w:val="hybridMultilevel"/>
    <w:tmpl w:val="4E2AF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95214720">
    <w:abstractNumId w:val="1"/>
  </w:num>
  <w:num w:numId="2" w16cid:durableId="658730702">
    <w:abstractNumId w:val="0"/>
  </w:num>
  <w:num w:numId="3" w16cid:durableId="1642341600">
    <w:abstractNumId w:val="2"/>
  </w:num>
  <w:num w:numId="4" w16cid:durableId="852955722">
    <w:abstractNumId w:val="3"/>
  </w:num>
  <w:num w:numId="5" w16cid:durableId="12725192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B1"/>
    <w:rsid w:val="000F14E1"/>
    <w:rsid w:val="00115B6B"/>
    <w:rsid w:val="001E7837"/>
    <w:rsid w:val="00233E13"/>
    <w:rsid w:val="002F3AFF"/>
    <w:rsid w:val="0035108B"/>
    <w:rsid w:val="00445226"/>
    <w:rsid w:val="00497E22"/>
    <w:rsid w:val="005B2F08"/>
    <w:rsid w:val="005F41AE"/>
    <w:rsid w:val="00742733"/>
    <w:rsid w:val="00832792"/>
    <w:rsid w:val="008D496D"/>
    <w:rsid w:val="00912BB1"/>
    <w:rsid w:val="0095225E"/>
    <w:rsid w:val="009E3D8A"/>
    <w:rsid w:val="00A47BBC"/>
    <w:rsid w:val="00A57D18"/>
    <w:rsid w:val="00B70A80"/>
    <w:rsid w:val="00C27AE5"/>
    <w:rsid w:val="00C93BB5"/>
    <w:rsid w:val="00D84E3F"/>
    <w:rsid w:val="00DE4776"/>
    <w:rsid w:val="071B7356"/>
    <w:rsid w:val="172AB0A0"/>
    <w:rsid w:val="2615E099"/>
    <w:rsid w:val="288170CD"/>
    <w:rsid w:val="470112E8"/>
    <w:rsid w:val="63248964"/>
    <w:rsid w:val="76C462DD"/>
    <w:rsid w:val="775DD99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4FF029C"/>
  <w15:chartTrackingRefBased/>
  <w15:docId w15:val="{7DA78811-7E2F-444C-A087-06B6C4B1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BB1"/>
    <w:rPr>
      <w:rFonts w:eastAsiaTheme="majorEastAsia" w:cstheme="majorBidi"/>
      <w:color w:val="272727" w:themeColor="text1" w:themeTint="D8"/>
    </w:rPr>
  </w:style>
  <w:style w:type="paragraph" w:styleId="Title">
    <w:name w:val="Title"/>
    <w:basedOn w:val="Normal"/>
    <w:next w:val="Normal"/>
    <w:link w:val="TitleChar"/>
    <w:uiPriority w:val="10"/>
    <w:qFormat/>
    <w:rsid w:val="00912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BB1"/>
    <w:pPr>
      <w:spacing w:before="160"/>
      <w:jc w:val="center"/>
    </w:pPr>
    <w:rPr>
      <w:i/>
      <w:iCs/>
      <w:color w:val="404040" w:themeColor="text1" w:themeTint="BF"/>
    </w:rPr>
  </w:style>
  <w:style w:type="character" w:customStyle="1" w:styleId="QuoteChar">
    <w:name w:val="Quote Char"/>
    <w:basedOn w:val="DefaultParagraphFont"/>
    <w:link w:val="Quote"/>
    <w:uiPriority w:val="29"/>
    <w:rsid w:val="00912BB1"/>
    <w:rPr>
      <w:i/>
      <w:iCs/>
      <w:color w:val="404040" w:themeColor="text1" w:themeTint="BF"/>
    </w:rPr>
  </w:style>
  <w:style w:type="paragraph" w:styleId="ListParagraph">
    <w:name w:val="List Paragraph"/>
    <w:basedOn w:val="Normal"/>
    <w:uiPriority w:val="34"/>
    <w:qFormat/>
    <w:rsid w:val="00912BB1"/>
    <w:pPr>
      <w:ind w:left="720"/>
      <w:contextualSpacing/>
    </w:pPr>
  </w:style>
  <w:style w:type="character" w:styleId="IntenseEmphasis">
    <w:name w:val="Intense Emphasis"/>
    <w:basedOn w:val="DefaultParagraphFont"/>
    <w:uiPriority w:val="21"/>
    <w:qFormat/>
    <w:rsid w:val="00912BB1"/>
    <w:rPr>
      <w:i/>
      <w:iCs/>
      <w:color w:val="0F4761" w:themeColor="accent1" w:themeShade="BF"/>
    </w:rPr>
  </w:style>
  <w:style w:type="paragraph" w:styleId="IntenseQuote">
    <w:name w:val="Intense Quote"/>
    <w:basedOn w:val="Normal"/>
    <w:next w:val="Normal"/>
    <w:link w:val="IntenseQuoteChar"/>
    <w:uiPriority w:val="30"/>
    <w:qFormat/>
    <w:rsid w:val="00912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BB1"/>
    <w:rPr>
      <w:i/>
      <w:iCs/>
      <w:color w:val="0F4761" w:themeColor="accent1" w:themeShade="BF"/>
    </w:rPr>
  </w:style>
  <w:style w:type="character" w:styleId="IntenseReference">
    <w:name w:val="Intense Reference"/>
    <w:basedOn w:val="DefaultParagraphFont"/>
    <w:uiPriority w:val="32"/>
    <w:qFormat/>
    <w:rsid w:val="00912BB1"/>
    <w:rPr>
      <w:b/>
      <w:bCs/>
      <w:smallCaps/>
      <w:color w:val="0F4761" w:themeColor="accent1" w:themeShade="BF"/>
      <w:spacing w:val="5"/>
    </w:rPr>
  </w:style>
  <w:style w:type="paragraph" w:styleId="Revision">
    <w:name w:val="Revision"/>
    <w:hidden/>
    <w:uiPriority w:val="99"/>
    <w:semiHidden/>
    <w:rsid w:val="00233E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OGC Document" ma:contentTypeID="0x010100E09C6A4FD85CD94DB99934580C23925719009E795238C0C6B148A3B44436766A1E14" ma:contentTypeVersion="9" ma:contentTypeDescription="Documents with Controlled Unclassified Information (CUI) flag and markings." ma:contentTypeScope="" ma:versionID="706566f70ca93385e5c6f40e569d8392">
  <xsd:schema xmlns:xsd="http://www.w3.org/2001/XMLSchema" xmlns:xs="http://www.w3.org/2001/XMLSchema" xmlns:p="http://schemas.microsoft.com/office/2006/metadata/properties" xmlns:ns2="42a8a83a-5e27-410c-a1fc-7c5ac4e503f4" targetNamespace="http://schemas.microsoft.com/office/2006/metadata/properties" ma:root="true" ma:fieldsID="528123777bd9a10ea1536580f53739d8" ns2:_="">
    <xsd:import namespace="42a8a83a-5e27-410c-a1fc-7c5ac4e503f4"/>
    <xsd:element name="properties">
      <xsd:complexType>
        <xsd:sequence>
          <xsd:element name="documentManagement">
            <xsd:complexType>
              <xsd:all>
                <xsd:element ref="ns2:PBGCCUI" minOccurs="0"/>
                <xsd:element ref="ns2:Marking" minOccurs="0"/>
                <xsd:element ref="ns2:MoveField" minOccurs="0"/>
                <xsd:element ref="ns2:RecordNotification" minOccurs="0"/>
                <xsd:element ref="ns2:WorkingCopyURL" minOccurs="0"/>
                <xsd:element ref="ns2:o7599312a26a4e37b002e8191aab0e29" minOccurs="0"/>
                <xsd:element ref="ns2:TaxCatchAll" minOccurs="0"/>
                <xsd:element ref="ns2:TaxCatchAllLabel" minOccurs="0"/>
                <xsd:element ref="ns2:All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8a83a-5e27-410c-a1fc-7c5ac4e503f4" elementFormDefault="qualified">
    <xsd:import namespace="http://schemas.microsoft.com/office/2006/documentManagement/types"/>
    <xsd:import namespace="http://schemas.microsoft.com/office/infopath/2007/PartnerControls"/>
    <xsd:element name="PBGCCUI" ma:index="8" nillable="true" ma:displayName="CUI" ma:description="*Enterprise Column* Indicates if Controlled Unclassified Information (CUI) or not." ma:format="RadioButtons" ma:internalName="PBGCCUI" ma:readOnly="false">
      <xsd:simpleType>
        <xsd:restriction base="dms:Choice">
          <xsd:enumeration value="Yes"/>
          <xsd:enumeration value="No"/>
        </xsd:restriction>
      </xsd:simpleType>
    </xsd:element>
    <xsd:element name="Marking" ma:index="9" nillable="true" ma:displayName="CUI Marking" ma:description="*Enterprise Column* Controlled Unclassified Information (CUI) marking. An asterisk (*) indicates that safeguarding, dissemination, marking and/or decontrol measures that differ from General Guidelines are required by statute, regulation, or Government-wide policy. See https://www.archives.gov/cui/registry/category-list.html for" ma:internalName="Marking">
      <xsd:complexType>
        <xsd:complexContent>
          <xsd:extension base="dms:MultiChoice">
            <xsd:sequence>
              <xsd:element name="Value" maxOccurs="unbounded" minOccurs="0" nillable="true">
                <xsd:simpleType>
                  <xsd:restriction base="dms:Choice">
                    <xsd:enumeration value="Financial*"/>
                    <xsd:enumeration value="Financial: Retirement"/>
                    <xsd:enumeration value="General"/>
                    <xsd:enumeration value="General Business Proprietary"/>
                    <xsd:enumeration value="Legal Privilege"/>
                    <xsd:enumeration value="Personnel Security Information"/>
                    <xsd:enumeration value="Physical Security"/>
                    <xsd:enumeration value="Privacy"/>
                    <xsd:enumeration value="Procurement and Acquisition*"/>
                    <xsd:enumeration value="Sensitive Security Information"/>
                    <xsd:enumeration value="Tax*"/>
                    <xsd:enumeration value="Whistleblower Identity"/>
                  </xsd:restriction>
                </xsd:simpleType>
              </xsd:element>
            </xsd:sequence>
          </xsd:extension>
        </xsd:complexContent>
      </xsd:complexType>
    </xsd:element>
    <xsd:element name="MoveField" ma:index="10" nillable="true" ma:displayName="MoveField" ma:default="0" ma:hidden="true" ma:internalName="MoveField" ma:readOnly="false">
      <xsd:simpleType>
        <xsd:restriction base="dms:Text">
          <xsd:maxLength value="2"/>
        </xsd:restriction>
      </xsd:simpleType>
    </xsd:element>
    <xsd:element name="RecordNotification" ma:index="11" nillable="true" ma:displayName="RecordNotification" ma:hidden="true" ma:internalName="RecordNotification" ma:readOnly="false">
      <xsd:simpleType>
        <xsd:restriction base="dms:Text">
          <xsd:maxLength value="255"/>
        </xsd:restriction>
      </xsd:simpleType>
    </xsd:element>
    <xsd:element name="WorkingCopyURL" ma:index="12" nillable="true" ma:displayName="WorkingCopyURL" ma:hidden="true" ma:internalName="WorkingCopyURL" ma:readOnly="false">
      <xsd:simpleType>
        <xsd:restriction base="dms:Note"/>
      </xsd:simpleType>
    </xsd:element>
    <xsd:element name="o7599312a26a4e37b002e8191aab0e29" ma:index="13" nillable="true" ma:taxonomy="true" ma:internalName="o7599312a26a4e37b002e8191aab0e29" ma:taxonomyFieldName="OGC_x0020_Document_x0020_Status" ma:displayName="Document Status" ma:default="6;#Draft|4e9a4bc7-9032-4d66-87ab-b16dbcbcd63b" ma:fieldId="{87599312-a26a-4e37-b002-e8191aab0e29}" ma:sspId="b04b9a93-b54f-4549-9b70-040003075d6a" ma:termSetId="7a876c95-03e1-4508-9a3d-932ce338d89b"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4829790-4437-408e-b892-8b5bccf5edbd}" ma:internalName="TaxCatchAll" ma:showField="CatchAllData" ma:web="3f88e62b-1424-4e72-a03d-25c7a3a4e519">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4829790-4437-408e-b892-8b5bccf5edbd}" ma:internalName="TaxCatchAllLabel" ma:readOnly="true" ma:showField="CatchAllDataLabel" ma:web="3f88e62b-1424-4e72-a03d-25c7a3a4e519">
      <xsd:complexType>
        <xsd:complexContent>
          <xsd:extension base="dms:MultiChoiceLookup">
            <xsd:sequence>
              <xsd:element name="Value" type="dms:Lookup" maxOccurs="unbounded" minOccurs="0" nillable="true"/>
            </xsd:sequence>
          </xsd:extension>
        </xsd:complexContent>
      </xsd:complexType>
    </xsd:element>
    <xsd:element name="AllMetadata" ma:index="17" nillable="true" ma:displayName="AllMetadata" ma:hidden="true" ma:internalName="AllMetadata"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llMetadata xmlns="42a8a83a-5e27-410c-a1fc-7c5ac4e503f4" xsi:nil="true"/>
    <MoveField xmlns="42a8a83a-5e27-410c-a1fc-7c5ac4e503f4">0</MoveField>
    <RecordNotification xmlns="42a8a83a-5e27-410c-a1fc-7c5ac4e503f4" xsi:nil="true"/>
    <PBGCCUI xmlns="42a8a83a-5e27-410c-a1fc-7c5ac4e503f4" xsi:nil="true"/>
    <Marking xmlns="42a8a83a-5e27-410c-a1fc-7c5ac4e503f4" xsi:nil="true"/>
    <WorkingCopyURL xmlns="42a8a83a-5e27-410c-a1fc-7c5ac4e503f4" xsi:nil="true"/>
    <o7599312a26a4e37b002e8191aab0e29 xmlns="42a8a83a-5e27-410c-a1fc-7c5ac4e503f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4e9a4bc7-9032-4d66-87ab-b16dbcbcd63b</TermId>
        </TermInfo>
      </Terms>
    </o7599312a26a4e37b002e8191aab0e29>
    <TaxCatchAll xmlns="42a8a83a-5e27-410c-a1fc-7c5ac4e503f4">
      <Value>6</Value>
    </TaxCatchAll>
  </documentManagement>
</p:properties>
</file>

<file path=customXml/item3.xml><?xml version="1.0" encoding="utf-8"?>
<?mso-contentType ?>
<SharedContentType xmlns="Microsoft.SharePoint.Taxonomy.ContentTypeSync" SourceId="b04b9a93-b54f-4549-9b70-040003075d6a" ContentTypeId="0x010100E09C6A4FD85CD94DB99934580C239257"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18F1D-475F-420B-90DB-BFED1F64B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8a83a-5e27-410c-a1fc-7c5ac4e50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F102B-7314-49FB-B06A-FB72658BE534}">
  <ds:schemaRefs>
    <ds:schemaRef ds:uri="http://schemas.microsoft.com/office/2006/metadata/properties"/>
    <ds:schemaRef ds:uri="http://schemas.microsoft.com/office/infopath/2007/PartnerControls"/>
    <ds:schemaRef ds:uri="42a8a83a-5e27-410c-a1fc-7c5ac4e503f4"/>
  </ds:schemaRefs>
</ds:datastoreItem>
</file>

<file path=customXml/itemProps3.xml><?xml version="1.0" encoding="utf-8"?>
<ds:datastoreItem xmlns:ds="http://schemas.openxmlformats.org/officeDocument/2006/customXml" ds:itemID="{B6EA92F1-8509-4CE3-9A8A-CF84F3BE496D}">
  <ds:schemaRefs>
    <ds:schemaRef ds:uri="Microsoft.SharePoint.Taxonomy.ContentTypeSync"/>
  </ds:schemaRefs>
</ds:datastoreItem>
</file>

<file path=customXml/itemProps4.xml><?xml version="1.0" encoding="utf-8"?>
<ds:datastoreItem xmlns:ds="http://schemas.openxmlformats.org/officeDocument/2006/customXml" ds:itemID="{64198718-77AB-46A2-AFC6-0CAE521AD6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565</Words>
  <Characters>3433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Andrew</dc:creator>
  <cp:lastModifiedBy>Wilson Andrew</cp:lastModifiedBy>
  <cp:revision>2</cp:revision>
  <dcterms:created xsi:type="dcterms:W3CDTF">2026-09-28T14:10:00Z</dcterms:created>
  <dcterms:modified xsi:type="dcterms:W3CDTF">2026-09-28T14:10:00Z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0x010100E09C6A4FD85CD94DB99934580C23925719009E795238C0C6B148A3B44436766A1E14</vt:lpwstr>
  </property>
  <property fmtid="{D5CDD505-2E9C-101B-9397-08002B2CF9AE}" pid="3" name="docLang">
    <vt:lpwstr>en</vt:lpwstr>
  </property>
  <property fmtid="{D5CDD505-2E9C-101B-9397-08002B2CF9AE}" pid="4" name="lcf76f155ced4ddcb4097134ff3c332f">
    <vt:lpwstr/>
  </property>
  <property fmtid="{D5CDD505-2E9C-101B-9397-08002B2CF9AE}" pid="5" name="MediaServiceImageTags">
    <vt:lpwstr/>
  </property>
  <property fmtid="{D5CDD505-2E9C-101B-9397-08002B2CF9AE}" pid="6" name="OGC Document Status">
    <vt:lpwstr>6;#Draft|4e9a4bc7-9032-4d66-87ab-b16dbcbcd63b</vt:lpwstr>
  </property>
  <property fmtid="{D5CDD505-2E9C-101B-9397-08002B2CF9AE}" pid="7" name="OGC_x0020_Document_x0020_Status">
    <vt:lpwstr>6;#Draft|4e9a4bc7-9032-4d66-87ab-b16dbcbcd63b</vt:lpwstr>
  </property>
</Properties>
</file>