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63251" w:rsidRPr="00963251" w:rsidP="00EE1994" w14:paraId="79ABDD7A" w14:textId="06734288">
      <w:pPr>
        <w:tabs>
          <w:tab w:val="center" w:pos="4680"/>
        </w:tabs>
        <w:spacing w:after="0" w:line="259" w:lineRule="auto"/>
        <w:jc w:val="center"/>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b/>
          <w:color w:val="000000"/>
          <w:kern w:val="0"/>
          <w14:ligatures w14:val="none"/>
        </w:rPr>
        <w:t>SUPPORTING STATEMENT FOR REQUEST FOR OMB APPROVAL</w:t>
      </w:r>
    </w:p>
    <w:p w:rsidR="00963251" w:rsidRPr="00963251" w:rsidP="00EE1994" w14:paraId="515C921F" w14:textId="476C0E5E">
      <w:pPr>
        <w:tabs>
          <w:tab w:val="center" w:pos="4680"/>
        </w:tabs>
        <w:spacing w:after="0" w:line="259" w:lineRule="auto"/>
        <w:jc w:val="center"/>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b/>
          <w:color w:val="000000"/>
          <w:kern w:val="0"/>
          <w14:ligatures w14:val="none"/>
        </w:rPr>
        <w:t>UNDER THE PAPERWORK REDUCTION ACT AND 5 CFR PART 1320</w:t>
      </w:r>
    </w:p>
    <w:p w:rsidR="00963251" w:rsidRPr="00963251" w:rsidP="00963251" w14:paraId="675E9264" w14:textId="77777777">
      <w:pPr>
        <w:spacing w:after="0" w:line="259"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p>
    <w:p w:rsidR="00963251" w:rsidRPr="00963251" w:rsidP="00963251" w14:paraId="3222EC15" w14:textId="77777777">
      <w:pPr>
        <w:spacing w:after="0" w:line="259" w:lineRule="auto"/>
        <w:rPr>
          <w:rFonts w:ascii="Times New Roman" w:eastAsia="Times New Roman" w:hAnsi="Times New Roman" w:cs="Times New Roman"/>
          <w:color w:val="000000"/>
          <w:kern w:val="0"/>
          <w14:ligatures w14:val="none"/>
        </w:rPr>
      </w:pPr>
    </w:p>
    <w:p w:rsidR="00963251" w:rsidRPr="00963251" w:rsidP="00963251" w14:paraId="00C7AEBC" w14:textId="77777777">
      <w:pPr>
        <w:spacing w:after="0" w:line="24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b/>
          <w:color w:val="000000"/>
          <w:kern w:val="0"/>
          <w14:ligatures w14:val="none"/>
        </w:rPr>
        <w:t>AGENCY:</w:t>
      </w:r>
      <w:r w:rsidRPr="00963251">
        <w:rPr>
          <w:rFonts w:ascii="Times New Roman" w:eastAsia="Times New Roman" w:hAnsi="Times New Roman" w:cs="Times New Roman"/>
          <w:color w:val="000000"/>
          <w:kern w:val="0"/>
          <w14:ligatures w14:val="none"/>
        </w:rPr>
        <w:t xml:space="preserve"> </w:t>
      </w:r>
      <w:r w:rsidRPr="00963251">
        <w:rPr>
          <w:rFonts w:ascii="Times New Roman" w:eastAsia="Times New Roman" w:hAnsi="Times New Roman" w:cs="Times New Roman"/>
          <w:color w:val="000000"/>
          <w:kern w:val="0"/>
          <w14:ligatures w14:val="none"/>
        </w:rPr>
        <w:tab/>
        <w:t xml:space="preserve">Pension Benefit Guaranty Corporation </w:t>
      </w:r>
    </w:p>
    <w:p w:rsidR="00963251" w:rsidRPr="00963251" w:rsidP="00963251" w14:paraId="07871241" w14:textId="77777777">
      <w:pPr>
        <w:spacing w:after="0" w:line="240" w:lineRule="auto"/>
        <w:rPr>
          <w:rFonts w:ascii="Times New Roman" w:eastAsia="Times New Roman" w:hAnsi="Times New Roman" w:cs="Times New Roman"/>
          <w:color w:val="000000"/>
          <w:kern w:val="0"/>
          <w14:ligatures w14:val="none"/>
        </w:rPr>
      </w:pPr>
    </w:p>
    <w:p w:rsidR="00963251" w:rsidRPr="00963251" w:rsidP="00963251" w14:paraId="63D404AE" w14:textId="77777777">
      <w:pPr>
        <w:spacing w:after="0" w:line="240" w:lineRule="auto"/>
        <w:ind w:left="2160" w:hanging="144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b/>
          <w:color w:val="000000"/>
          <w:kern w:val="0"/>
          <w14:ligatures w14:val="none"/>
        </w:rPr>
        <w:t>TITLE:</w:t>
      </w:r>
      <w:r w:rsidRPr="00963251">
        <w:rPr>
          <w:rFonts w:ascii="Times New Roman" w:eastAsia="Times New Roman" w:hAnsi="Times New Roman" w:cs="Times New Roman"/>
          <w:color w:val="000000"/>
          <w:kern w:val="0"/>
          <w14:ligatures w14:val="none"/>
        </w:rPr>
        <w:t xml:space="preserve"> </w:t>
      </w:r>
      <w:r w:rsidRPr="00963251">
        <w:rPr>
          <w:rFonts w:ascii="Times New Roman" w:eastAsia="Times New Roman" w:hAnsi="Times New Roman" w:cs="Times New Roman"/>
          <w:color w:val="000000"/>
          <w:kern w:val="0"/>
          <w14:ligatures w14:val="none"/>
        </w:rPr>
        <w:tab/>
        <w:t xml:space="preserve">Generic Clearance for the Collection of Qualitative and Quantitative Feedback on Agency Service Delivery  </w:t>
      </w:r>
    </w:p>
    <w:p w:rsidR="00963251" w:rsidRPr="00963251" w:rsidP="00963251" w14:paraId="57C46DF9" w14:textId="77777777">
      <w:pPr>
        <w:spacing w:after="0" w:line="240"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p>
    <w:p w:rsidR="00963251" w:rsidRPr="00963251" w:rsidP="00963251" w14:paraId="25BBDB0D" w14:textId="25879607">
      <w:pPr>
        <w:spacing w:after="0" w:line="240" w:lineRule="auto"/>
        <w:ind w:left="2160" w:hanging="1440"/>
        <w:rPr>
          <w:rFonts w:ascii="Times New Roman" w:eastAsia="Times New Roman" w:hAnsi="Times New Roman" w:cs="Times New Roman"/>
          <w:color w:val="000000"/>
          <w:kern w:val="0"/>
          <w14:ligatures w14:val="none"/>
        </w:rPr>
      </w:pPr>
      <w:r w:rsidRPr="0529804B">
        <w:rPr>
          <w:rFonts w:ascii="Times New Roman" w:eastAsia="Times New Roman" w:hAnsi="Times New Roman" w:cs="Times New Roman"/>
          <w:b/>
          <w:bCs/>
          <w:color w:val="000000"/>
          <w:kern w:val="0"/>
          <w14:ligatures w14:val="none"/>
        </w:rPr>
        <w:t>STATUS:</w:t>
      </w:r>
      <w:r w:rsidRPr="00963251">
        <w:rPr>
          <w:rFonts w:ascii="Times New Roman" w:eastAsia="Times New Roman" w:hAnsi="Times New Roman" w:cs="Times New Roman"/>
          <w:color w:val="000000"/>
          <w:kern w:val="0"/>
          <w14:ligatures w14:val="none"/>
        </w:rPr>
        <w:t xml:space="preserve"> </w:t>
      </w:r>
      <w:r w:rsidRPr="00963251">
        <w:rPr>
          <w:rFonts w:ascii="Times New Roman" w:eastAsia="Times New Roman" w:hAnsi="Times New Roman" w:cs="Times New Roman"/>
          <w:color w:val="000000"/>
          <w:kern w:val="0"/>
          <w14:ligatures w14:val="none"/>
        </w:rPr>
        <w:tab/>
        <w:t xml:space="preserve">Request for regular review and extension of currently approved collection (OMB control No. 1212-0066 expires October 31, </w:t>
      </w:r>
      <w:r w:rsidRPr="0529804B">
        <w:rPr>
          <w:rFonts w:ascii="Times New Roman" w:eastAsia="Times New Roman" w:hAnsi="Times New Roman" w:cs="Times New Roman"/>
          <w:color w:val="000000"/>
          <w:kern w:val="0"/>
          <w14:ligatures w14:val="none"/>
        </w:rPr>
        <w:t>202</w:t>
      </w:r>
      <w:r w:rsidRPr="0529804B" w:rsidR="003B5FA0">
        <w:rPr>
          <w:rFonts w:ascii="Times New Roman" w:eastAsia="Times New Roman" w:hAnsi="Times New Roman" w:cs="Times New Roman"/>
          <w:color w:val="000000"/>
          <w:kern w:val="0"/>
          <w14:ligatures w14:val="none"/>
        </w:rPr>
        <w:t>6</w:t>
      </w:r>
      <w:r w:rsidRPr="00963251">
        <w:rPr>
          <w:rFonts w:ascii="Times New Roman" w:eastAsia="Times New Roman" w:hAnsi="Times New Roman" w:cs="Times New Roman"/>
          <w:color w:val="000000"/>
          <w:kern w:val="0"/>
          <w14:ligatures w14:val="none"/>
        </w:rPr>
        <w:t>)</w:t>
      </w:r>
    </w:p>
    <w:p w:rsidR="00963251" w:rsidRPr="00963251" w:rsidP="00963251" w14:paraId="32CF4349" w14:textId="77777777">
      <w:pPr>
        <w:spacing w:after="0" w:line="240"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p>
    <w:p w:rsidR="00963251" w:rsidRPr="00963251" w:rsidP="00963251" w14:paraId="54551EE3" w14:textId="6AE8D051">
      <w:pPr>
        <w:spacing w:after="0" w:line="240" w:lineRule="auto"/>
        <w:ind w:firstLine="720"/>
        <w:rPr>
          <w:rFonts w:ascii="Times New Roman" w:eastAsia="Times New Roman" w:hAnsi="Times New Roman" w:cs="Times New Roman"/>
          <w:color w:val="000000"/>
          <w:kern w:val="0"/>
          <w14:ligatures w14:val="none"/>
        </w:rPr>
      </w:pPr>
      <w:r w:rsidRPr="0529804B">
        <w:rPr>
          <w:rFonts w:ascii="Times New Roman" w:eastAsia="Times New Roman" w:hAnsi="Times New Roman" w:cs="Times New Roman"/>
          <w:b/>
          <w:bCs/>
          <w:color w:val="000000"/>
          <w:kern w:val="0"/>
          <w14:ligatures w14:val="none"/>
        </w:rPr>
        <w:t>CONTACT:</w:t>
      </w:r>
      <w:r w:rsidRPr="00963251">
        <w:rPr>
          <w:rFonts w:ascii="Times New Roman" w:eastAsia="Times New Roman" w:hAnsi="Times New Roman" w:cs="Times New Roman"/>
          <w:color w:val="000000"/>
          <w:kern w:val="0"/>
          <w14:ligatures w14:val="none"/>
        </w:rPr>
        <w:t xml:space="preserve">  </w:t>
      </w:r>
      <w:r w:rsidRPr="0529804B" w:rsidR="001B7795">
        <w:rPr>
          <w:rFonts w:ascii="Times New Roman" w:eastAsia="Times New Roman" w:hAnsi="Times New Roman" w:cs="Times New Roman"/>
          <w:color w:val="000000"/>
          <w:kern w:val="0"/>
          <w14:ligatures w14:val="none"/>
        </w:rPr>
        <w:t>Andrew Wilson</w:t>
      </w:r>
      <w:r w:rsidRPr="0529804B">
        <w:rPr>
          <w:rFonts w:ascii="Times New Roman" w:eastAsia="Times New Roman" w:hAnsi="Times New Roman" w:cs="Times New Roman"/>
          <w:color w:val="000000"/>
          <w:kern w:val="0"/>
          <w14:ligatures w14:val="none"/>
        </w:rPr>
        <w:t xml:space="preserve"> (202–</w:t>
      </w:r>
      <w:r w:rsidRPr="0529804B" w:rsidR="001B7795">
        <w:rPr>
          <w:rFonts w:ascii="Times New Roman" w:eastAsia="Times New Roman" w:hAnsi="Times New Roman" w:cs="Times New Roman"/>
          <w:color w:val="000000"/>
          <w:kern w:val="0"/>
          <w14:ligatures w14:val="none"/>
        </w:rPr>
        <w:t>860</w:t>
      </w:r>
      <w:r w:rsidRPr="0529804B">
        <w:rPr>
          <w:rFonts w:ascii="Times New Roman" w:eastAsia="Times New Roman" w:hAnsi="Times New Roman" w:cs="Times New Roman"/>
          <w:color w:val="000000"/>
          <w:kern w:val="0"/>
          <w14:ligatures w14:val="none"/>
        </w:rPr>
        <w:t>–</w:t>
      </w:r>
      <w:r w:rsidR="001B7795">
        <w:rPr>
          <w:rFonts w:ascii="Times New Roman" w:eastAsia="Times New Roman" w:hAnsi="Times New Roman" w:cs="Times New Roman"/>
          <w:color w:val="000000"/>
          <w:kern w:val="0"/>
          <w14:ligatures w14:val="none"/>
        </w:rPr>
        <w:t>8354</w:t>
      </w:r>
      <w:r w:rsidRPr="00963251">
        <w:rPr>
          <w:rFonts w:ascii="Times New Roman" w:eastAsia="Times New Roman" w:hAnsi="Times New Roman" w:cs="Times New Roman"/>
          <w:color w:val="000000"/>
          <w:kern w:val="0"/>
          <w14:ligatures w14:val="none"/>
        </w:rPr>
        <w:t>)</w:t>
      </w:r>
      <w:r w:rsidRPr="00A13E8E" w:rsidR="00A13E8E">
        <w:rPr>
          <w:rFonts w:ascii="Aptos" w:eastAsia="Times New Roman" w:hAnsi="Aptos" w:cs="Times New Roman"/>
          <w:kern w:val="0"/>
          <w14:ligatures w14:val="none"/>
        </w:rPr>
        <w:t xml:space="preserve"> </w:t>
      </w:r>
    </w:p>
    <w:p w:rsidR="00963251" w:rsidRPr="00963251" w:rsidP="00963251" w14:paraId="608EBC5C" w14:textId="77777777">
      <w:pPr>
        <w:spacing w:after="0" w:line="479" w:lineRule="auto"/>
        <w:rPr>
          <w:rFonts w:ascii="Times New Roman" w:eastAsia="Times New Roman" w:hAnsi="Times New Roman" w:cs="Times New Roman"/>
          <w:color w:val="000000"/>
          <w:kern w:val="0"/>
          <w14:ligatures w14:val="none"/>
        </w:rPr>
      </w:pPr>
    </w:p>
    <w:p w:rsidR="00963251" w:rsidRPr="00963251" w:rsidP="00963251" w14:paraId="5EDD03B7" w14:textId="3106BEA3">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1. </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Need for collection of information</w:t>
      </w:r>
      <w:r w:rsidRPr="00963251">
        <w:rPr>
          <w:rFonts w:ascii="Times New Roman" w:eastAsia="Times New Roman" w:hAnsi="Times New Roman" w:cs="Times New Roman"/>
          <w:color w:val="000000"/>
          <w:kern w:val="0"/>
          <w14:ligatures w14:val="none"/>
        </w:rPr>
        <w:t>. Executive Order 12862 directs Federal agencies to provide service to the public that matches or exceeds the best service available in the private sector.</w:t>
      </w:r>
      <w:r w:rsidR="003E0118">
        <w:rPr>
          <w:rFonts w:ascii="Times New Roman" w:eastAsia="Times New Roman" w:hAnsi="Times New Roman" w:cs="Times New Roman"/>
          <w:color w:val="000000"/>
          <w:kern w:val="0"/>
          <w14:ligatures w14:val="none"/>
        </w:rPr>
        <w:t xml:space="preserve"> </w:t>
      </w:r>
      <w:r w:rsidRPr="00963251">
        <w:rPr>
          <w:rFonts w:ascii="Times New Roman" w:eastAsia="Times New Roman" w:hAnsi="Times New Roman" w:cs="Times New Roman"/>
          <w:color w:val="000000"/>
          <w:kern w:val="0"/>
          <w14:ligatures w14:val="none"/>
        </w:rPr>
        <w:t xml:space="preserve">In order to work continuously to ensure that our programs are effective and meet our customers’ needs, Pension Benefit Guaranty Corporation (“PBGC”) seeks to obtain OMB approval of a generic clearance to collect qualitative and quantitative feedback on its service delivery. By </w:t>
      </w:r>
      <w:r w:rsidR="00591DAC">
        <w:rPr>
          <w:rFonts w:ascii="Times New Roman" w:eastAsia="Times New Roman" w:hAnsi="Times New Roman" w:cs="Times New Roman"/>
          <w:color w:val="000000"/>
          <w:kern w:val="0"/>
          <w14:ligatures w14:val="none"/>
        </w:rPr>
        <w:t>“</w:t>
      </w:r>
      <w:r w:rsidRPr="00963251">
        <w:rPr>
          <w:rFonts w:ascii="Times New Roman" w:eastAsia="Times New Roman" w:hAnsi="Times New Roman" w:cs="Times New Roman"/>
          <w:color w:val="000000"/>
          <w:kern w:val="0"/>
          <w14:ligatures w14:val="none"/>
        </w:rPr>
        <w:t>qualitative feedback</w:t>
      </w:r>
      <w:r w:rsidR="00591DAC">
        <w:rPr>
          <w:rFonts w:ascii="Times New Roman" w:eastAsia="Times New Roman" w:hAnsi="Times New Roman" w:cs="Times New Roman"/>
          <w:color w:val="000000"/>
          <w:kern w:val="0"/>
          <w14:ligatures w14:val="none"/>
        </w:rPr>
        <w:t>”</w:t>
      </w:r>
      <w:r w:rsidRPr="00963251">
        <w:rPr>
          <w:rFonts w:ascii="Times New Roman" w:eastAsia="Times New Roman" w:hAnsi="Times New Roman" w:cs="Times New Roman"/>
          <w:color w:val="000000"/>
          <w:kern w:val="0"/>
          <w14:ligatures w14:val="none"/>
        </w:rPr>
        <w:t xml:space="preserve"> we mean information that provides useful insights on the public’s perceptions and opinions. By </w:t>
      </w:r>
      <w:r w:rsidR="005D3A30">
        <w:rPr>
          <w:rFonts w:ascii="Times New Roman" w:eastAsia="Times New Roman" w:hAnsi="Times New Roman" w:cs="Times New Roman"/>
          <w:color w:val="000000"/>
          <w:kern w:val="0"/>
          <w14:ligatures w14:val="none"/>
        </w:rPr>
        <w:t>“</w:t>
      </w:r>
      <w:r w:rsidRPr="00963251">
        <w:rPr>
          <w:rFonts w:ascii="Times New Roman" w:eastAsia="Times New Roman" w:hAnsi="Times New Roman" w:cs="Times New Roman"/>
          <w:color w:val="000000"/>
          <w:kern w:val="0"/>
          <w14:ligatures w14:val="none"/>
        </w:rPr>
        <w:t>quantitative feedback</w:t>
      </w:r>
      <w:r w:rsidR="005D3A30">
        <w:rPr>
          <w:rFonts w:ascii="Times New Roman" w:eastAsia="Times New Roman" w:hAnsi="Times New Roman" w:cs="Times New Roman"/>
          <w:color w:val="000000"/>
          <w:kern w:val="0"/>
          <w14:ligatures w14:val="none"/>
        </w:rPr>
        <w:t>”</w:t>
      </w:r>
      <w:r w:rsidRPr="00963251">
        <w:rPr>
          <w:rFonts w:ascii="Times New Roman" w:eastAsia="Times New Roman" w:hAnsi="Times New Roman" w:cs="Times New Roman"/>
          <w:color w:val="000000"/>
          <w:kern w:val="0"/>
          <w14:ligatures w14:val="none"/>
        </w:rPr>
        <w:t xml:space="preserve"> we mean numeric scores evaluating PBGC services and customer satisfaction using the American Customer Satisfaction Index (ACSI) methodology.</w:t>
      </w:r>
    </w:p>
    <w:p w:rsidR="00963251" w:rsidRPr="00963251" w:rsidP="00963251" w14:paraId="5FE46BB4" w14:textId="29659587">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This collection of information is necessary to enable PBGC to obtain customer and stakeholder feedback in an efficient, timely manner, in accordance with our commitment to improving service delivery. The information collected from our customers and stakeholders will help ensure that users have an effective, efficient, and satisfying experience with PBGC’s programs. This feedback will provide insights into customer or stakeholder perceptions, experiences and expectations, provide an early warning of issues with service, </w:t>
      </w:r>
      <w:r w:rsidR="00F9662C">
        <w:rPr>
          <w:rFonts w:ascii="Times New Roman" w:eastAsia="Times New Roman" w:hAnsi="Times New Roman" w:cs="Times New Roman"/>
          <w:color w:val="000000"/>
          <w:kern w:val="0"/>
          <w14:ligatures w14:val="none"/>
        </w:rPr>
        <w:t>and/</w:t>
      </w:r>
      <w:r w:rsidRPr="00963251">
        <w:rPr>
          <w:rFonts w:ascii="Times New Roman" w:eastAsia="Times New Roman" w:hAnsi="Times New Roman" w:cs="Times New Roman"/>
          <w:color w:val="000000"/>
          <w:kern w:val="0"/>
          <w14:ligatures w14:val="none"/>
        </w:rPr>
        <w:t xml:space="preserve">or focus attention on areas where communication, training or changes in operations might improve the delivery of products or services or enhance their utility. These collections will allow for ongoing, collaborative and actionable </w:t>
      </w:r>
      <w:r w:rsidRPr="00963251">
        <w:rPr>
          <w:rFonts w:ascii="Times New Roman" w:eastAsia="Times New Roman" w:hAnsi="Times New Roman" w:cs="Times New Roman"/>
          <w:color w:val="000000"/>
          <w:kern w:val="0"/>
          <w14:ligatures w14:val="none"/>
        </w:rPr>
        <w:t xml:space="preserve">communications between PBGC and its customers and stakeholders. It will also allow feedback to contribute directly to the improvement of program management.   </w:t>
      </w:r>
    </w:p>
    <w:p w:rsidR="00963251" w:rsidRPr="00963251" w:rsidP="00D51A1B" w14:paraId="2804C744" w14:textId="73B1B5F8">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2. </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Use of information</w:t>
      </w:r>
      <w:r w:rsidRPr="00963251">
        <w:rPr>
          <w:rFonts w:ascii="Times New Roman" w:eastAsia="Times New Roman" w:hAnsi="Times New Roman" w:cs="Times New Roman"/>
          <w:color w:val="000000"/>
          <w:kern w:val="0"/>
          <w14:ligatures w14:val="none"/>
        </w:rPr>
        <w:t xml:space="preserve">. Improving agency programs requires ongoing assessment of service delivery, by which we mean systematic review of the operation of a program compared to a set of explicit or implicit standards, as a means of contributing to the continuous improvement of the program. The Agency will collect, analyze, and interpret information gathered through this generic clearance to identify strengths and weaknesses of current services and make improvements in service delivery and quality based on feedback. The solicitation of feedback will target areas such as:  timeliness, appropriateness, accuracy and comprehensiveness of information, courtesy, efficiency of service delivery, and resolution of issues with service delivery. Responses will be assessed to improve or maintain the quality of services offered to the public. If this information is not collected, vital feedback from customers and stakeholders on PBGC’s services will be unavailable. PBGC will only submit a collection for approval under this generic clearance if it meets the following conditions:    </w:t>
      </w:r>
    </w:p>
    <w:p w:rsidR="00963251" w:rsidRPr="00963251" w:rsidP="00963251" w14:paraId="5A5D4522" w14:textId="0CD8603E">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Other than the results of telephone surveys, as stated in Question 16, information gathered will be used only internally for general service improvement and program management purposes and is not intended for release outside of PBGC. For any results that are released, procedures outlined in Question 16 will be followed; </w:t>
      </w:r>
    </w:p>
    <w:p w:rsidR="00963251" w:rsidRPr="00963251" w:rsidP="00963251" w14:paraId="4732037D"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Information gathered will not be used for the purpose of substantially informing influential policy decisions;</w:t>
      </w:r>
      <w:r>
        <w:rPr>
          <w:rFonts w:ascii="Times New Roman" w:eastAsia="Times New Roman" w:hAnsi="Times New Roman" w:cs="Times New Roman"/>
          <w:color w:val="000000"/>
          <w:kern w:val="0"/>
          <w:szCs w:val="22"/>
          <w:vertAlign w:val="superscript"/>
          <w14:ligatures w14:val="none"/>
        </w:rPr>
        <w:footnoteReference w:id="2"/>
      </w:r>
      <w:r w:rsidRPr="00963251">
        <w:rPr>
          <w:rFonts w:ascii="Times New Roman" w:eastAsia="Times New Roman" w:hAnsi="Times New Roman" w:cs="Times New Roman"/>
          <w:color w:val="000000"/>
          <w:kern w:val="0"/>
          <w14:ligatures w14:val="none"/>
        </w:rPr>
        <w:t xml:space="preserve"> </w:t>
      </w:r>
    </w:p>
    <w:p w:rsidR="00963251" w:rsidRPr="00963251" w:rsidP="00963251" w14:paraId="64BCBFF4"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Information from qualitative surveys gathered will yield qualitative results; the collections will not be designed or expected to yield statistically reliable results or be used as though the results are generalizable to the population of interest;</w:t>
      </w:r>
    </w:p>
    <w:p w:rsidR="00963251" w:rsidRPr="00963251" w:rsidP="00963251" w14:paraId="381CE2E9"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Information from quantitative surveys will be based on statistical methods and will yield qualitative results, such as satisfaction scores that can be generalized to the population;</w:t>
      </w:r>
    </w:p>
    <w:p w:rsidR="00963251" w:rsidRPr="00963251" w:rsidP="00963251" w14:paraId="4739D45E"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The collections are voluntary; </w:t>
      </w:r>
    </w:p>
    <w:p w:rsidR="00963251" w:rsidRPr="00963251" w:rsidP="00963251" w14:paraId="1094FE2E"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The collections are low-burden for respondents (based on considerations of total burden hours, total number of respondents, or burden-hours per respondent) and are low-cost for both the respondents and the Federal Government; </w:t>
      </w:r>
    </w:p>
    <w:p w:rsidR="00963251" w:rsidRPr="00963251" w:rsidP="00963251" w14:paraId="3EE7F0FE"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The collections are non-controversial and do not raise issues of concern to other Federal agencies;  </w:t>
      </w:r>
    </w:p>
    <w:p w:rsidR="00963251" w:rsidRPr="00963251" w:rsidP="00963251" w14:paraId="631528A6"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Any collection is targeted to the solicitation of opinions from respondents who have experience with the program or may have experience with the program in the near future; and  </w:t>
      </w:r>
    </w:p>
    <w:p w:rsidR="00963251" w:rsidRPr="00963251" w:rsidP="00963251" w14:paraId="3DC5431E" w14:textId="77777777">
      <w:pPr>
        <w:numPr>
          <w:ilvl w:val="0"/>
          <w:numId w:val="2"/>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It informs respondents of the information called for under 5 CFR 1320.8(b)(3).  </w:t>
      </w:r>
    </w:p>
    <w:p w:rsidR="00963251" w:rsidRPr="00963251" w:rsidP="00A76A9D" w14:paraId="53ACB56E" w14:textId="77777777">
      <w:p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If these conditions are not met, PBGC will submit an information collection request to OMB for approval through the normal PRA process.   </w:t>
      </w:r>
    </w:p>
    <w:p w:rsidR="00963251" w:rsidRPr="00963251" w:rsidP="00963251" w14:paraId="23B92D81" w14:textId="608B0997">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To obtain approval for a collection that meets the conditions of this generic clearance, a standardized form will be submitted to OMB along with supporting documentation (</w:t>
      </w:r>
      <w:r w:rsidRPr="00963251">
        <w:rPr>
          <w:rFonts w:ascii="Times New Roman" w:eastAsia="Times New Roman" w:hAnsi="Times New Roman" w:cs="Times New Roman"/>
          <w:i/>
          <w:color w:val="000000"/>
          <w:kern w:val="0"/>
          <w14:ligatures w14:val="none"/>
        </w:rPr>
        <w:t>e.g.</w:t>
      </w:r>
      <w:r w:rsidRPr="00963251">
        <w:rPr>
          <w:rFonts w:ascii="Times New Roman" w:eastAsia="Times New Roman" w:hAnsi="Times New Roman" w:cs="Times New Roman"/>
          <w:color w:val="000000"/>
          <w:kern w:val="0"/>
          <w14:ligatures w14:val="none"/>
        </w:rPr>
        <w:t xml:space="preserve">, a copy of the </w:t>
      </w:r>
      <w:r w:rsidR="007202F3">
        <w:rPr>
          <w:rFonts w:ascii="Times New Roman" w:eastAsia="Times New Roman" w:hAnsi="Times New Roman" w:cs="Times New Roman"/>
          <w:color w:val="000000"/>
          <w:kern w:val="0"/>
          <w14:ligatures w14:val="none"/>
        </w:rPr>
        <w:t>survey</w:t>
      </w:r>
      <w:r w:rsidRPr="00963251">
        <w:rPr>
          <w:rFonts w:ascii="Times New Roman" w:eastAsia="Times New Roman" w:hAnsi="Times New Roman" w:cs="Times New Roman"/>
          <w:color w:val="000000"/>
          <w:kern w:val="0"/>
          <w14:ligatures w14:val="none"/>
        </w:rPr>
        <w:t xml:space="preserve">). The submission will have automatic approval, unless OMB identifies issues within 5 business days. </w:t>
      </w:r>
    </w:p>
    <w:p w:rsidR="00963251" w:rsidRPr="00963251" w:rsidP="00963251" w14:paraId="121380F6" w14:textId="77777777">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The types of collections that this generic clearance covers include, but are not limited to: </w:t>
      </w:r>
    </w:p>
    <w:p w:rsidR="00963251" w:rsidRPr="00963251" w:rsidP="00963251" w14:paraId="114721B4" w14:textId="77777777">
      <w:pPr>
        <w:numPr>
          <w:ilvl w:val="0"/>
          <w:numId w:val="1"/>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Customer comment cards/complaint forms;</w:t>
      </w:r>
    </w:p>
    <w:p w:rsidR="00963251" w:rsidRPr="00963251" w:rsidP="00963251" w14:paraId="70E4C30A" w14:textId="77777777">
      <w:pPr>
        <w:numPr>
          <w:ilvl w:val="0"/>
          <w:numId w:val="1"/>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Small discussion groups;</w:t>
      </w:r>
    </w:p>
    <w:p w:rsidR="00963251" w:rsidRPr="00963251" w:rsidP="00963251" w14:paraId="131B4FDF" w14:textId="77777777">
      <w:pPr>
        <w:numPr>
          <w:ilvl w:val="0"/>
          <w:numId w:val="1"/>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Focus groups of customers, potential customers, delivery partners, or other stakeholders;</w:t>
      </w:r>
    </w:p>
    <w:p w:rsidR="00963251" w:rsidRPr="00963251" w:rsidP="00963251" w14:paraId="19D3CD98" w14:textId="77777777">
      <w:pPr>
        <w:numPr>
          <w:ilvl w:val="0"/>
          <w:numId w:val="1"/>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Cognitive laboratory studies, such as those used to refine questions or assess usability of PBGC’s website;  </w:t>
      </w:r>
    </w:p>
    <w:p w:rsidR="00963251" w:rsidRPr="00963251" w:rsidP="00963251" w14:paraId="6D8300CE" w14:textId="77777777">
      <w:pPr>
        <w:numPr>
          <w:ilvl w:val="0"/>
          <w:numId w:val="1"/>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Qualitative and quantitative customer satisfaction surveys (</w:t>
      </w:r>
      <w:r w:rsidRPr="00963251">
        <w:rPr>
          <w:rFonts w:ascii="Times New Roman" w:eastAsia="Times New Roman" w:hAnsi="Times New Roman" w:cs="Times New Roman"/>
          <w:i/>
          <w:color w:val="000000"/>
          <w:kern w:val="0"/>
          <w14:ligatures w14:val="none"/>
        </w:rPr>
        <w:t>e.g</w:t>
      </w:r>
      <w:r w:rsidRPr="00963251">
        <w:rPr>
          <w:rFonts w:ascii="Times New Roman" w:eastAsia="Times New Roman" w:hAnsi="Times New Roman" w:cs="Times New Roman"/>
          <w:color w:val="000000"/>
          <w:kern w:val="0"/>
          <w14:ligatures w14:val="none"/>
        </w:rPr>
        <w:t xml:space="preserve">., post-transaction surveys; opt-out web surveys); </w:t>
      </w:r>
    </w:p>
    <w:p w:rsidR="00963251" w:rsidRPr="00963251" w:rsidP="00963251" w14:paraId="55C2CEB4" w14:textId="77777777">
      <w:pPr>
        <w:numPr>
          <w:ilvl w:val="0"/>
          <w:numId w:val="1"/>
        </w:numPr>
        <w:spacing w:after="0" w:line="480" w:lineRule="auto"/>
        <w:contextualSpacing/>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In-person or remote observation testing (</w:t>
      </w:r>
      <w:r w:rsidRPr="00963251">
        <w:rPr>
          <w:rFonts w:ascii="Times New Roman" w:eastAsia="Times New Roman" w:hAnsi="Times New Roman" w:cs="Times New Roman"/>
          <w:i/>
          <w:color w:val="000000"/>
          <w:kern w:val="0"/>
          <w14:ligatures w14:val="none"/>
        </w:rPr>
        <w:t>e.g.</w:t>
      </w:r>
      <w:r w:rsidRPr="00963251">
        <w:rPr>
          <w:rFonts w:ascii="Times New Roman" w:eastAsia="Times New Roman" w:hAnsi="Times New Roman" w:cs="Times New Roman"/>
          <w:color w:val="000000"/>
          <w:kern w:val="0"/>
          <w14:ligatures w14:val="none"/>
        </w:rPr>
        <w:t xml:space="preserve">, website or software usability tests). </w:t>
      </w:r>
    </w:p>
    <w:p w:rsidR="00963251" w:rsidRPr="00963251" w:rsidP="00963251" w14:paraId="2D80B093" w14:textId="77777777">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PBGC has established a manager/managing entity to serve for this generic clearance and will conduct an independent review of each information collection to ensure compliance with the terms of this clearance prior to submitting each collection to OMB.  </w:t>
      </w:r>
    </w:p>
    <w:p w:rsidR="00963251" w:rsidRPr="00963251" w:rsidP="00963251" w14:paraId="3D02C16F" w14:textId="77777777">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3. </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Reducing the burden.</w:t>
      </w:r>
      <w:r w:rsidRPr="00963251">
        <w:rPr>
          <w:rFonts w:ascii="Times New Roman" w:eastAsia="Times New Roman" w:hAnsi="Times New Roman" w:cs="Times New Roman"/>
          <w:color w:val="000000"/>
          <w:kern w:val="0"/>
          <w14:ligatures w14:val="none"/>
        </w:rPr>
        <w:t xml:space="preserve"> If appropriate, PBGC will collect information electronically and/or use online collaboration tools to reduce burden. </w:t>
      </w:r>
    </w:p>
    <w:p w:rsidR="00963251" w:rsidRPr="00963251" w:rsidP="00963251" w14:paraId="2DC3847C" w14:textId="77777777">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4.</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Duplicate or similar information</w:t>
      </w:r>
      <w:r w:rsidRPr="00963251">
        <w:rPr>
          <w:rFonts w:ascii="Times New Roman" w:eastAsia="Times New Roman" w:hAnsi="Times New Roman" w:cs="Times New Roman"/>
          <w:color w:val="000000"/>
          <w:kern w:val="0"/>
          <w14:ligatures w14:val="none"/>
        </w:rPr>
        <w:t xml:space="preserve">. No similar data are gathered or maintained by PBGC or are available from other sources known to PBGC. </w:t>
      </w:r>
    </w:p>
    <w:p w:rsidR="00963251" w:rsidRPr="00963251" w:rsidP="00963251" w14:paraId="40BE55A0" w14:textId="77777777">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5. </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Reducing the burden on small entities</w:t>
      </w:r>
      <w:r w:rsidRPr="00963251">
        <w:rPr>
          <w:rFonts w:ascii="Times New Roman" w:eastAsia="Times New Roman" w:hAnsi="Times New Roman" w:cs="Times New Roman"/>
          <w:color w:val="000000"/>
          <w:kern w:val="0"/>
          <w14:ligatures w14:val="none"/>
        </w:rPr>
        <w:t xml:space="preserve">. Small business or other small entities may be involved in these efforts but PBGC will minimize the burden on them of information collections approved under this clearance by sampling, asking for readily available information, and using short, easy-to-complete information collection instruments.   </w:t>
      </w:r>
    </w:p>
    <w:p w:rsidR="00963251" w:rsidRPr="00963251" w:rsidP="00963251" w14:paraId="60E7A707" w14:textId="7D9FBBE2">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6. </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Consequences of reduced collection</w:t>
      </w:r>
      <w:r w:rsidRPr="00963251">
        <w:rPr>
          <w:rFonts w:ascii="Times New Roman" w:eastAsia="Times New Roman" w:hAnsi="Times New Roman" w:cs="Times New Roman"/>
          <w:color w:val="000000"/>
          <w:kern w:val="0"/>
          <w14:ligatures w14:val="none"/>
        </w:rPr>
        <w:t xml:space="preserve">. Without these types of feedback, PBGC will not have timely or adequate information to adjust its services to better meet customer needs. </w:t>
      </w:r>
    </w:p>
    <w:p w:rsidR="00963251" w:rsidRPr="00963251" w:rsidP="00963251" w14:paraId="31FF9175" w14:textId="73F7C0CA">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7.</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Consistency with guidelines</w:t>
      </w:r>
      <w:r w:rsidRPr="00963251">
        <w:rPr>
          <w:rFonts w:ascii="Times New Roman" w:eastAsia="Times New Roman" w:hAnsi="Times New Roman" w:cs="Times New Roman"/>
          <w:color w:val="000000"/>
          <w:kern w:val="0"/>
          <w14:ligatures w14:val="none"/>
        </w:rPr>
        <w:t xml:space="preserve">. This collection of information is conducted in a manner consistent with 5 CFR § 1320.5(d)(2). </w:t>
      </w:r>
    </w:p>
    <w:p w:rsidR="00963251" w:rsidRPr="00963251" w:rsidP="00963251" w14:paraId="347C0E25" w14:textId="193A4174">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8.</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Outside Input</w:t>
      </w:r>
      <w:r w:rsidRPr="00963251">
        <w:rPr>
          <w:rFonts w:ascii="Times New Roman" w:eastAsia="Times New Roman" w:hAnsi="Times New Roman" w:cs="Times New Roman"/>
          <w:color w:val="000000"/>
          <w:kern w:val="0"/>
          <w14:ligatures w14:val="none"/>
        </w:rPr>
        <w:t xml:space="preserve">. In accordance with 5 CFR 1320.8(d), PBGC published a </w:t>
      </w:r>
      <w:r w:rsidRPr="1C960373">
        <w:rPr>
          <w:rFonts w:ascii="Times New Roman" w:eastAsia="Times New Roman" w:hAnsi="Times New Roman" w:cs="Times New Roman"/>
          <w:color w:val="000000"/>
          <w:kern w:val="0"/>
          <w14:ligatures w14:val="none"/>
        </w:rPr>
        <w:t xml:space="preserve">60-day notice on </w:t>
      </w:r>
      <w:r w:rsidRPr="1C960373" w:rsidR="273792CE">
        <w:rPr>
          <w:rFonts w:ascii="Times New Roman" w:eastAsia="Times New Roman" w:hAnsi="Times New Roman" w:cs="Times New Roman"/>
          <w:color w:val="000000"/>
          <w:kern w:val="0"/>
          <w14:ligatures w14:val="none"/>
        </w:rPr>
        <w:t>June</w:t>
      </w:r>
      <w:r w:rsidRPr="1C960373">
        <w:rPr>
          <w:rFonts w:ascii="Times New Roman" w:eastAsia="Times New Roman" w:hAnsi="Times New Roman" w:cs="Times New Roman"/>
          <w:color w:val="000000"/>
          <w:kern w:val="0"/>
          <w14:ligatures w14:val="none"/>
        </w:rPr>
        <w:t xml:space="preserve"> </w:t>
      </w:r>
      <w:r w:rsidRPr="1C960373" w:rsidR="273792CE">
        <w:rPr>
          <w:rFonts w:ascii="Times New Roman" w:eastAsia="Times New Roman" w:hAnsi="Times New Roman" w:cs="Times New Roman"/>
          <w:color w:val="000000"/>
          <w:kern w:val="0"/>
          <w14:ligatures w14:val="none"/>
        </w:rPr>
        <w:t>5</w:t>
      </w:r>
      <w:r w:rsidRPr="1C960373">
        <w:rPr>
          <w:rFonts w:ascii="Times New Roman" w:eastAsia="Times New Roman" w:hAnsi="Times New Roman" w:cs="Times New Roman"/>
          <w:color w:val="000000"/>
          <w:kern w:val="0"/>
          <w14:ligatures w14:val="none"/>
        </w:rPr>
        <w:t xml:space="preserve">, </w:t>
      </w:r>
      <w:r w:rsidRPr="1C960373" w:rsidR="498A6E31">
        <w:rPr>
          <w:rFonts w:ascii="Times New Roman" w:eastAsia="Times New Roman" w:hAnsi="Times New Roman" w:cs="Times New Roman"/>
          <w:color w:val="000000"/>
          <w:kern w:val="0"/>
          <w14:ligatures w14:val="none"/>
        </w:rPr>
        <w:t>2026,</w:t>
      </w:r>
      <w:r w:rsidRPr="1C960373">
        <w:rPr>
          <w:rFonts w:ascii="Times New Roman" w:eastAsia="Times New Roman" w:hAnsi="Times New Roman" w:cs="Times New Roman"/>
          <w:color w:val="000000"/>
          <w:kern w:val="0"/>
          <w14:ligatures w14:val="none"/>
        </w:rPr>
        <w:t xml:space="preserve"> at </w:t>
      </w:r>
      <w:r w:rsidRPr="1C960373" w:rsidR="670B4FE2">
        <w:rPr>
          <w:rFonts w:ascii="Times New Roman" w:eastAsia="Times New Roman" w:hAnsi="Times New Roman" w:cs="Times New Roman"/>
          <w:color w:val="000000"/>
          <w:kern w:val="0"/>
          <w14:ligatures w14:val="none"/>
        </w:rPr>
        <w:t>91</w:t>
      </w:r>
      <w:r w:rsidRPr="1C960373">
        <w:rPr>
          <w:rFonts w:ascii="Times New Roman" w:eastAsia="Times New Roman" w:hAnsi="Times New Roman" w:cs="Times New Roman"/>
          <w:color w:val="000000"/>
          <w:kern w:val="0"/>
          <w14:ligatures w14:val="none"/>
        </w:rPr>
        <w:t xml:space="preserve"> FR 3</w:t>
      </w:r>
      <w:r w:rsidRPr="1C960373" w:rsidR="670B4FE2">
        <w:rPr>
          <w:rFonts w:ascii="Times New Roman" w:eastAsia="Times New Roman" w:hAnsi="Times New Roman" w:cs="Times New Roman"/>
          <w:color w:val="000000"/>
          <w:kern w:val="0"/>
          <w14:ligatures w14:val="none"/>
        </w:rPr>
        <w:t>4257</w:t>
      </w:r>
      <w:r w:rsidRPr="00963251">
        <w:rPr>
          <w:rFonts w:ascii="Times New Roman" w:eastAsia="Times New Roman" w:hAnsi="Times New Roman" w:cs="Times New Roman"/>
          <w:color w:val="000000"/>
          <w:kern w:val="0"/>
          <w14:ligatures w14:val="none"/>
        </w:rPr>
        <w:t>.</w:t>
      </w:r>
      <w:r w:rsidRPr="1C960373">
        <w:rPr>
          <w:rFonts w:ascii="Times New Roman" w:eastAsia="Times New Roman" w:hAnsi="Times New Roman" w:cs="Times New Roman"/>
          <w:color w:val="000000" w:themeColor="text1"/>
        </w:rPr>
        <w:t xml:space="preserve"> </w:t>
      </w:r>
      <w:r w:rsidRPr="002F4418">
        <w:rPr>
          <w:rFonts w:ascii="Times New Roman" w:eastAsia="Times New Roman" w:hAnsi="Times New Roman" w:cs="Times New Roman"/>
          <w:color w:val="000000"/>
          <w:kern w:val="0"/>
          <w14:ligatures w14:val="none"/>
        </w:rPr>
        <w:t>No</w:t>
      </w:r>
      <w:r w:rsidRPr="002F4418">
        <w:rPr>
          <w:rFonts w:ascii="Times New Roman" w:eastAsia="Calibri" w:hAnsi="Times New Roman" w:cs="Times New Roman"/>
          <w:color w:val="000000"/>
          <w:kern w:val="0"/>
          <w:vertAlign w:val="subscript"/>
          <w14:ligatures w14:val="none"/>
        </w:rPr>
        <w:t xml:space="preserve"> </w:t>
      </w:r>
      <w:r w:rsidRPr="002F4418">
        <w:rPr>
          <w:rFonts w:ascii="Times New Roman" w:eastAsia="Times New Roman" w:hAnsi="Times New Roman" w:cs="Times New Roman"/>
          <w:color w:val="000000"/>
          <w:kern w:val="0"/>
          <w14:ligatures w14:val="none"/>
        </w:rPr>
        <w:t>public comments</w:t>
      </w:r>
      <w:r w:rsidRPr="00963251">
        <w:rPr>
          <w:rFonts w:ascii="Times New Roman" w:eastAsia="Times New Roman" w:hAnsi="Times New Roman" w:cs="Times New Roman"/>
          <w:color w:val="000000"/>
          <w:kern w:val="0"/>
          <w14:ligatures w14:val="none"/>
        </w:rPr>
        <w:t xml:space="preserve"> were received in response to the 60-day notice.   </w:t>
      </w:r>
    </w:p>
    <w:p w:rsidR="00963251" w:rsidRPr="00963251" w:rsidP="00963251" w14:paraId="163776B6" w14:textId="3D574FA6">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9.</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Payments to respondents</w:t>
      </w:r>
      <w:r w:rsidRPr="00963251">
        <w:rPr>
          <w:rFonts w:ascii="Times New Roman" w:eastAsia="Times New Roman" w:hAnsi="Times New Roman" w:cs="Times New Roman"/>
          <w:color w:val="000000"/>
          <w:kern w:val="0"/>
          <w14:ligatures w14:val="none"/>
        </w:rPr>
        <w:t xml:space="preserve">. PBGC will not provide payment or other forms of remuneration to respondents of its various forms of collecting feedback. Focus groups, certain usability studies, and cognitive laboratory studies are the exceptions. </w:t>
      </w:r>
    </w:p>
    <w:p w:rsidR="00963251" w:rsidRPr="00963251" w:rsidP="00963251" w14:paraId="68D1F2B7" w14:textId="5438DB02">
      <w:pPr>
        <w:spacing w:after="0" w:line="480"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In the case of in-person cognitive laboratory or online usability studies, the Agency may provide stipends of up to </w:t>
      </w:r>
      <w:r w:rsidRPr="00BC7CF1">
        <w:rPr>
          <w:rFonts w:ascii="Times New Roman" w:eastAsia="Times New Roman" w:hAnsi="Times New Roman" w:cs="Times New Roman"/>
          <w:color w:val="000000"/>
          <w:kern w:val="0"/>
          <w14:ligatures w14:val="none"/>
        </w:rPr>
        <w:t>$75</w:t>
      </w:r>
      <w:r w:rsidRPr="00963251">
        <w:rPr>
          <w:rFonts w:ascii="Times New Roman" w:eastAsia="Times New Roman" w:hAnsi="Times New Roman" w:cs="Times New Roman"/>
          <w:color w:val="000000"/>
          <w:kern w:val="0"/>
          <w14:ligatures w14:val="none"/>
        </w:rPr>
        <w:t xml:space="preserve">. In the case of in-person focus groups, the Agency may provide stipends of up to </w:t>
      </w:r>
      <w:r w:rsidRPr="00BC7CF1">
        <w:rPr>
          <w:rFonts w:ascii="Times New Roman" w:eastAsia="Times New Roman" w:hAnsi="Times New Roman" w:cs="Times New Roman"/>
          <w:color w:val="000000"/>
          <w:kern w:val="0"/>
          <w14:ligatures w14:val="none"/>
        </w:rPr>
        <w:t>$100</w:t>
      </w:r>
      <w:r w:rsidRPr="00963251">
        <w:rPr>
          <w:rFonts w:ascii="Times New Roman" w:eastAsia="Times New Roman" w:hAnsi="Times New Roman" w:cs="Times New Roman"/>
          <w:color w:val="000000"/>
          <w:kern w:val="0"/>
          <w14:ligatures w14:val="none"/>
        </w:rPr>
        <w:t xml:space="preserve">. If respondents participate in these kinds of studies remotely, via phone, or internet, any proposed stipend needs to be justified to OMB and must be considerably less than that provided to respondents for in-person studies where respondents have to travel to an agency or other facility to participate. If such information collections include hard-to-reach groups and the agency plans to offer non-standard stipends, PBGC will provide OMB with additional justifications in the request for clearance of these specific activities. </w:t>
      </w:r>
    </w:p>
    <w:p w:rsidR="00963251" w:rsidRPr="00963251" w:rsidP="00963251" w14:paraId="59594513" w14:textId="52FF7FA6">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10.</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Confidentiality</w:t>
      </w:r>
      <w:r w:rsidRPr="00F15852">
        <w:rPr>
          <w:rFonts w:ascii="Times New Roman" w:eastAsia="Times New Roman" w:hAnsi="Times New Roman" w:cs="Times New Roman"/>
          <w:bCs/>
          <w:color w:val="000000"/>
          <w:kern w:val="0"/>
          <w14:ligatures w14:val="none"/>
        </w:rPr>
        <w:t>.</w:t>
      </w:r>
      <w:r w:rsidRPr="00963251">
        <w:rPr>
          <w:rFonts w:ascii="Times New Roman" w:eastAsia="Times New Roman" w:hAnsi="Times New Roman" w:cs="Times New Roman"/>
          <w:b/>
          <w:color w:val="000000"/>
          <w:kern w:val="0"/>
          <w14:ligatures w14:val="none"/>
        </w:rPr>
        <w:t xml:space="preserve"> </w:t>
      </w:r>
      <w:r w:rsidRPr="00963251">
        <w:rPr>
          <w:rFonts w:ascii="Times New Roman" w:eastAsia="Times New Roman" w:hAnsi="Times New Roman" w:cs="Times New Roman"/>
          <w:color w:val="000000"/>
          <w:kern w:val="0"/>
          <w14:ligatures w14:val="none"/>
        </w:rPr>
        <w:t xml:space="preserve">If a confidentiality pledge is deemed useful and feasible, PBGC will only include a pledge of confidentiality that (a) is supported by authority established in statute or regulation, (b) is supported by disclosure and data security policies consistent with the pledge, and (c) does not unnecessarily impede sharing of data with other agencies for compatible confidential use. If PBGC includes a pledge of confidentiality, it will include a citation for the statute or regulation supporting the pledge. </w:t>
      </w:r>
    </w:p>
    <w:p w:rsidR="00963251" w:rsidRPr="00963251" w:rsidP="00963251" w14:paraId="50BBC7A3" w14:textId="2ED0D5E1">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11.</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Sensitive questions</w:t>
      </w:r>
      <w:r w:rsidRPr="00963251">
        <w:rPr>
          <w:rFonts w:ascii="Times New Roman" w:eastAsia="Times New Roman" w:hAnsi="Times New Roman" w:cs="Times New Roman"/>
          <w:color w:val="000000"/>
          <w:kern w:val="0"/>
          <w14:ligatures w14:val="none"/>
        </w:rPr>
        <w:t>.</w:t>
      </w:r>
      <w:r w:rsidRPr="00963251">
        <w:rPr>
          <w:rFonts w:ascii="Times New Roman" w:eastAsia="Times New Roman" w:hAnsi="Times New Roman" w:cs="Times New Roman"/>
          <w:i/>
          <w:color w:val="000000"/>
          <w:kern w:val="0"/>
          <w14:ligatures w14:val="none"/>
        </w:rPr>
        <w:t xml:space="preserve"> </w:t>
      </w:r>
      <w:r w:rsidRPr="00963251">
        <w:rPr>
          <w:rFonts w:ascii="Times New Roman" w:eastAsia="Times New Roman" w:hAnsi="Times New Roman" w:cs="Times New Roman"/>
          <w:color w:val="000000"/>
          <w:kern w:val="0"/>
          <w14:ligatures w14:val="none"/>
        </w:rPr>
        <w:t>The information collection does not include any questions of a personal or sensitive nature.</w:t>
      </w:r>
      <w:r w:rsidRPr="00963251">
        <w:rPr>
          <w:rFonts w:ascii="Times New Roman" w:eastAsia="Times New Roman" w:hAnsi="Times New Roman" w:cs="Times New Roman"/>
          <w:i/>
          <w:color w:val="000000"/>
          <w:kern w:val="0"/>
          <w14:ligatures w14:val="none"/>
        </w:rPr>
        <w:t xml:space="preserve"> </w:t>
      </w:r>
    </w:p>
    <w:p w:rsidR="00963251" w:rsidRPr="00963251" w:rsidP="00963251" w14:paraId="4EE69AF8" w14:textId="6D0C0E16">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12.</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Hour burden on the public</w:t>
      </w:r>
      <w:r w:rsidRPr="00963251">
        <w:rPr>
          <w:rFonts w:ascii="Times New Roman" w:eastAsia="Times New Roman" w:hAnsi="Times New Roman" w:cs="Times New Roman"/>
          <w:color w:val="000000"/>
          <w:kern w:val="0"/>
          <w14:ligatures w14:val="none"/>
        </w:rPr>
        <w:t xml:space="preserve">. A variety of instruments and platforms will be used to collect information from respondents. Annually, over the next three years, PBGC estimates that it will conduct three activities involving about </w:t>
      </w:r>
      <w:r w:rsidRPr="1CA78574">
        <w:rPr>
          <w:rFonts w:ascii="Times New Roman" w:eastAsia="Times New Roman" w:hAnsi="Times New Roman" w:cs="Times New Roman"/>
          <w:color w:val="000000"/>
          <w:kern w:val="0"/>
          <w14:ligatures w14:val="none"/>
        </w:rPr>
        <w:t>2,</w:t>
      </w:r>
      <w:r w:rsidRPr="1CA78574" w:rsidR="005D6E6D">
        <w:rPr>
          <w:rFonts w:ascii="Times New Roman" w:eastAsia="Times New Roman" w:hAnsi="Times New Roman" w:cs="Times New Roman"/>
          <w:color w:val="000000"/>
          <w:kern w:val="0"/>
          <w14:ligatures w14:val="none"/>
        </w:rPr>
        <w:t>325</w:t>
      </w:r>
      <w:r w:rsidRPr="1CA78574">
        <w:rPr>
          <w:rFonts w:ascii="Times New Roman" w:eastAsia="Times New Roman" w:hAnsi="Times New Roman" w:cs="Times New Roman"/>
          <w:color w:val="000000"/>
          <w:kern w:val="0"/>
          <w14:ligatures w14:val="none"/>
        </w:rPr>
        <w:t xml:space="preserve"> respondents</w:t>
      </w:r>
      <w:r w:rsidRPr="00963251">
        <w:rPr>
          <w:rFonts w:ascii="Times New Roman" w:eastAsia="Times New Roman" w:hAnsi="Times New Roman" w:cs="Times New Roman"/>
          <w:color w:val="000000"/>
          <w:kern w:val="0"/>
          <w14:ligatures w14:val="none"/>
        </w:rPr>
        <w:t xml:space="preserve">, each of whom will provide one response. The number of respondents will vary by </w:t>
      </w:r>
      <w:r w:rsidRPr="1CA78574">
        <w:rPr>
          <w:rFonts w:ascii="Times New Roman" w:eastAsia="Times New Roman" w:hAnsi="Times New Roman" w:cs="Times New Roman"/>
          <w:color w:val="000000"/>
          <w:kern w:val="0"/>
          <w14:ligatures w14:val="none"/>
        </w:rPr>
        <w:t xml:space="preserve">activity: </w:t>
      </w:r>
      <w:r w:rsidRPr="1CA78574" w:rsidR="004C4CB8">
        <w:rPr>
          <w:rFonts w:ascii="Times New Roman" w:eastAsia="Times New Roman" w:hAnsi="Times New Roman" w:cs="Times New Roman"/>
          <w:color w:val="000000"/>
          <w:kern w:val="0"/>
          <w14:ligatures w14:val="none"/>
        </w:rPr>
        <w:t>25</w:t>
      </w:r>
      <w:r w:rsidRPr="1CA78574">
        <w:rPr>
          <w:rFonts w:ascii="Times New Roman" w:eastAsia="Times New Roman" w:hAnsi="Times New Roman" w:cs="Times New Roman"/>
          <w:color w:val="000000"/>
          <w:kern w:val="0"/>
          <w14:ligatures w14:val="none"/>
        </w:rPr>
        <w:t xml:space="preserve"> for usability testing, 50 for focus groups (five groups of ten respondents), and 2,</w:t>
      </w:r>
      <w:r w:rsidRPr="1CA78574" w:rsidR="004C4CB8">
        <w:rPr>
          <w:rFonts w:ascii="Times New Roman" w:eastAsia="Times New Roman" w:hAnsi="Times New Roman" w:cs="Times New Roman"/>
          <w:color w:val="000000"/>
          <w:kern w:val="0"/>
          <w14:ligatures w14:val="none"/>
        </w:rPr>
        <w:t>25</w:t>
      </w:r>
      <w:r w:rsidRPr="1CA78574">
        <w:rPr>
          <w:rFonts w:ascii="Times New Roman" w:eastAsia="Times New Roman" w:hAnsi="Times New Roman" w:cs="Times New Roman"/>
          <w:color w:val="000000"/>
          <w:kern w:val="0"/>
          <w14:ligatures w14:val="none"/>
        </w:rPr>
        <w:t>0 for customer satisfaction</w:t>
      </w:r>
      <w:r w:rsidRPr="00963251">
        <w:rPr>
          <w:rFonts w:ascii="Times New Roman" w:eastAsia="Times New Roman" w:hAnsi="Times New Roman" w:cs="Times New Roman"/>
          <w:color w:val="000000"/>
          <w:kern w:val="0"/>
          <w14:ligatures w14:val="none"/>
        </w:rPr>
        <w:t xml:space="preserve"> surveys. PBGC estimates </w:t>
      </w:r>
      <w:r w:rsidRPr="00963251">
        <w:rPr>
          <w:rFonts w:ascii="Times New Roman" w:eastAsia="Times New Roman" w:hAnsi="Times New Roman" w:cs="Times New Roman"/>
          <w:color w:val="000000"/>
          <w:kern w:val="0"/>
          <w14:ligatures w14:val="none"/>
        </w:rPr>
        <w:t xml:space="preserve">the annual burden of this collection of information as </w:t>
      </w:r>
      <w:r w:rsidRPr="1CA78574">
        <w:rPr>
          <w:rFonts w:ascii="Times New Roman" w:eastAsia="Times New Roman" w:hAnsi="Times New Roman" w:cs="Times New Roman"/>
          <w:color w:val="000000"/>
          <w:kern w:val="0"/>
          <w14:ligatures w14:val="none"/>
        </w:rPr>
        <w:t>7</w:t>
      </w:r>
      <w:r w:rsidRPr="1CA78574" w:rsidR="00106818">
        <w:rPr>
          <w:rFonts w:ascii="Times New Roman" w:eastAsia="Times New Roman" w:hAnsi="Times New Roman" w:cs="Times New Roman"/>
          <w:color w:val="000000"/>
          <w:kern w:val="0"/>
          <w14:ligatures w14:val="none"/>
        </w:rPr>
        <w:t>13</w:t>
      </w:r>
      <w:r w:rsidRPr="1CA78574">
        <w:rPr>
          <w:rFonts w:ascii="Times New Roman" w:eastAsia="Times New Roman" w:hAnsi="Times New Roman" w:cs="Times New Roman"/>
          <w:color w:val="000000"/>
          <w:kern w:val="0"/>
          <w14:ligatures w14:val="none"/>
        </w:rPr>
        <w:t xml:space="preserve"> hours: </w:t>
      </w:r>
      <w:r w:rsidRPr="1CA78574" w:rsidR="00440EA5">
        <w:rPr>
          <w:rFonts w:ascii="Times New Roman" w:eastAsia="Times New Roman" w:hAnsi="Times New Roman" w:cs="Times New Roman"/>
          <w:color w:val="000000"/>
          <w:kern w:val="0"/>
          <w14:ligatures w14:val="none"/>
        </w:rPr>
        <w:t>2</w:t>
      </w:r>
      <w:r w:rsidRPr="1CA78574">
        <w:rPr>
          <w:rFonts w:ascii="Times New Roman" w:eastAsia="Times New Roman" w:hAnsi="Times New Roman" w:cs="Times New Roman"/>
          <w:color w:val="000000"/>
          <w:kern w:val="0"/>
          <w14:ligatures w14:val="none"/>
        </w:rPr>
        <w:t xml:space="preserve"> hour</w:t>
      </w:r>
      <w:r w:rsidRPr="1CA78574" w:rsidR="008D08C2">
        <w:rPr>
          <w:rFonts w:ascii="Times New Roman" w:eastAsia="Times New Roman" w:hAnsi="Times New Roman" w:cs="Times New Roman"/>
          <w:color w:val="000000"/>
          <w:kern w:val="0"/>
          <w14:ligatures w14:val="none"/>
        </w:rPr>
        <w:t>s</w:t>
      </w:r>
      <w:r w:rsidRPr="1CA78574">
        <w:rPr>
          <w:rFonts w:ascii="Times New Roman" w:eastAsia="Times New Roman" w:hAnsi="Times New Roman" w:cs="Times New Roman"/>
          <w:color w:val="000000"/>
          <w:kern w:val="0"/>
          <w14:ligatures w14:val="none"/>
        </w:rPr>
        <w:t xml:space="preserve"> per response for usability testing (total </w:t>
      </w:r>
      <w:r w:rsidRPr="1CA78574" w:rsidR="008D08C2">
        <w:rPr>
          <w:rFonts w:ascii="Times New Roman" w:eastAsia="Times New Roman" w:hAnsi="Times New Roman" w:cs="Times New Roman"/>
          <w:color w:val="000000"/>
          <w:kern w:val="0"/>
          <w14:ligatures w14:val="none"/>
        </w:rPr>
        <w:t>5</w:t>
      </w:r>
      <w:r w:rsidRPr="1CA78574">
        <w:rPr>
          <w:rFonts w:ascii="Times New Roman" w:eastAsia="Times New Roman" w:hAnsi="Times New Roman" w:cs="Times New Roman"/>
          <w:color w:val="000000"/>
          <w:kern w:val="0"/>
          <w14:ligatures w14:val="none"/>
        </w:rPr>
        <w:t>0 hours); 2 hours per response for focus groups (total 100 hours); and 15 minutes per response for customer satisfaction surveys (total 5</w:t>
      </w:r>
      <w:r w:rsidRPr="1CA78574" w:rsidR="00DD560A">
        <w:rPr>
          <w:rFonts w:ascii="Times New Roman" w:eastAsia="Times New Roman" w:hAnsi="Times New Roman" w:cs="Times New Roman"/>
          <w:color w:val="000000"/>
          <w:kern w:val="0"/>
          <w14:ligatures w14:val="none"/>
        </w:rPr>
        <w:t>63</w:t>
      </w:r>
      <w:r w:rsidRPr="1CA78574">
        <w:rPr>
          <w:rFonts w:ascii="Times New Roman" w:eastAsia="Times New Roman" w:hAnsi="Times New Roman" w:cs="Times New Roman"/>
          <w:color w:val="000000"/>
          <w:kern w:val="0"/>
          <w14:ligatures w14:val="none"/>
        </w:rPr>
        <w:t xml:space="preserve"> hours)</w:t>
      </w:r>
      <w:r w:rsidRPr="00963251">
        <w:rPr>
          <w:rFonts w:ascii="Times New Roman" w:eastAsia="Times New Roman" w:hAnsi="Times New Roman" w:cs="Times New Roman"/>
          <w:color w:val="000000"/>
          <w:kern w:val="0"/>
          <w14:ligatures w14:val="none"/>
        </w:rPr>
        <w:t xml:space="preserve">. </w:t>
      </w:r>
    </w:p>
    <w:p w:rsidR="00963251" w:rsidRPr="00963251" w:rsidP="00963251" w14:paraId="7FD4055D" w14:textId="0285505E">
      <w:pPr>
        <w:spacing w:after="0" w:line="25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13.</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Cost burden on the public</w:t>
      </w:r>
      <w:r w:rsidRPr="00963251">
        <w:rPr>
          <w:rFonts w:ascii="Times New Roman" w:eastAsia="Times New Roman" w:hAnsi="Times New Roman" w:cs="Times New Roman"/>
          <w:color w:val="000000"/>
          <w:kern w:val="0"/>
          <w14:ligatures w14:val="none"/>
        </w:rPr>
        <w:t xml:space="preserve">. No costs are anticipated.   </w:t>
      </w:r>
    </w:p>
    <w:p w:rsidR="00963251" w:rsidRPr="00963251" w:rsidP="00963251" w14:paraId="03DEC8DC" w14:textId="77777777">
      <w:pPr>
        <w:spacing w:after="0" w:line="259"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p>
    <w:p w:rsidR="00963251" w:rsidRPr="00963251" w:rsidP="00963251" w14:paraId="14CC4E01" w14:textId="6C83038B">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14.</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Costs to Federal Government</w:t>
      </w:r>
      <w:r w:rsidRPr="00963251">
        <w:rPr>
          <w:rFonts w:ascii="Times New Roman" w:eastAsia="Times New Roman" w:hAnsi="Times New Roman" w:cs="Times New Roman"/>
          <w:color w:val="000000"/>
          <w:kern w:val="0"/>
          <w14:ligatures w14:val="none"/>
        </w:rPr>
        <w:t xml:space="preserve">. The estimated total annual cost to PBGC is </w:t>
      </w:r>
      <w:r w:rsidRPr="006D5C5E">
        <w:rPr>
          <w:rFonts w:ascii="Times New Roman" w:eastAsia="Times New Roman" w:hAnsi="Times New Roman" w:cs="Times New Roman"/>
          <w:color w:val="000000"/>
          <w:kern w:val="0"/>
          <w14:ligatures w14:val="none"/>
        </w:rPr>
        <w:t>$</w:t>
      </w:r>
      <w:r w:rsidR="007A64B4">
        <w:rPr>
          <w:rFonts w:ascii="Times New Roman" w:eastAsia="Times New Roman" w:hAnsi="Times New Roman" w:cs="Times New Roman"/>
          <w:color w:val="000000"/>
          <w:kern w:val="0"/>
          <w14:ligatures w14:val="none"/>
        </w:rPr>
        <w:t>321,368.17</w:t>
      </w:r>
      <w:r w:rsidRPr="00963251">
        <w:rPr>
          <w:rFonts w:ascii="Times New Roman" w:eastAsia="Times New Roman" w:hAnsi="Times New Roman" w:cs="Times New Roman"/>
          <w:color w:val="000000"/>
          <w:kern w:val="0"/>
          <w14:ligatures w14:val="none"/>
        </w:rPr>
        <w:t xml:space="preserve"> for contractor annual costs.</w:t>
      </w:r>
      <w:r w:rsidR="00621EFD">
        <w:rPr>
          <w:rFonts w:ascii="Times New Roman" w:eastAsia="Times New Roman" w:hAnsi="Times New Roman" w:cs="Times New Roman"/>
          <w:color w:val="000000"/>
          <w:kern w:val="0"/>
          <w14:ligatures w14:val="none"/>
        </w:rPr>
        <w:t xml:space="preserve"> This cost is via an Inter-agency Agreement with the Department of Interior.</w:t>
      </w:r>
      <w:r w:rsidRPr="00963251">
        <w:rPr>
          <w:rFonts w:ascii="Times New Roman" w:eastAsia="Times New Roman" w:hAnsi="Times New Roman" w:cs="Times New Roman"/>
          <w:color w:val="000000"/>
          <w:kern w:val="0"/>
          <w14:ligatures w14:val="none"/>
        </w:rPr>
        <w:t xml:space="preserve"> </w:t>
      </w:r>
    </w:p>
    <w:p w:rsidR="00963251" w:rsidRPr="00963251" w:rsidP="00963251" w14:paraId="7CD94B09" w14:textId="77777777">
      <w:pPr>
        <w:spacing w:after="0" w:line="25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For the three activities, contractor costs are as follows: </w:t>
      </w:r>
    </w:p>
    <w:p w:rsidR="00963251" w:rsidRPr="00963251" w:rsidP="00963251" w14:paraId="37208DD5" w14:textId="77777777">
      <w:pPr>
        <w:spacing w:after="0" w:line="259"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p>
    <w:p w:rsidR="00963251" w:rsidRPr="00963251" w:rsidP="00963251" w14:paraId="76EDFE11" w14:textId="77777777">
      <w:pPr>
        <w:spacing w:after="0" w:line="259"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r w:rsidRPr="00963251">
        <w:rPr>
          <w:rFonts w:ascii="Times New Roman" w:eastAsia="Times New Roman" w:hAnsi="Times New Roman" w:cs="Times New Roman"/>
          <w:color w:val="000000"/>
          <w:kern w:val="0"/>
          <w14:ligatures w14:val="none"/>
        </w:rPr>
        <w:tab/>
        <w:t xml:space="preserve"> </w:t>
      </w:r>
    </w:p>
    <w:p w:rsidR="004E70B7" w:rsidP="00963251" w14:paraId="5E61FC2C" w14:textId="5346C938">
      <w:pPr>
        <w:spacing w:after="0" w:line="259" w:lineRule="auto"/>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 </w:t>
      </w:r>
    </w:p>
    <w:p w:rsidR="004E70B7" w:rsidP="00963251" w14:paraId="279062BB" w14:textId="33DD2956">
      <w:pPr>
        <w:spacing w:after="0" w:line="259" w:lineRule="auto"/>
        <w:rPr>
          <w:rFonts w:ascii="Times New Roman" w:eastAsia="Times New Roman" w:hAnsi="Times New Roman" w:cs="Times New Roman"/>
          <w:color w:val="000000"/>
          <w:kern w:val="0"/>
          <w14:ligatures w14:val="none"/>
        </w:rPr>
      </w:pPr>
      <w:r>
        <w:rPr>
          <w:noProof/>
          <w14:ligatures w14:val="none"/>
        </w:rPr>
        <w:drawing>
          <wp:inline distT="0" distB="0" distL="0" distR="0">
            <wp:extent cx="6224270" cy="3442970"/>
            <wp:effectExtent l="0" t="0" r="5080" b="5080"/>
            <wp:docPr id="90051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1167" name="Picture 1"/>
                    <pic:cNvPicPr>
                      <a:picLocks noChangeAspect="1" noChangeArrowheads="1"/>
                    </pic:cNvPicPr>
                  </pic:nvPicPr>
                  <pic:blipFill>
                    <a:blip xmlns:r="http://schemas.openxmlformats.org/officeDocument/2006/relationships" r:embed="rId9" r:link="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224270" cy="3442970"/>
                    </a:xfrm>
                    <a:prstGeom prst="rect">
                      <a:avLst/>
                    </a:prstGeom>
                    <a:noFill/>
                    <a:ln>
                      <a:noFill/>
                    </a:ln>
                  </pic:spPr>
                </pic:pic>
              </a:graphicData>
            </a:graphic>
          </wp:inline>
        </w:drawing>
      </w:r>
    </w:p>
    <w:p w:rsidR="004E70B7" w:rsidP="00963251" w14:paraId="7E429944" w14:textId="77777777">
      <w:pPr>
        <w:spacing w:after="0" w:line="259" w:lineRule="auto"/>
        <w:rPr>
          <w:rFonts w:ascii="Times New Roman" w:eastAsia="Times New Roman" w:hAnsi="Times New Roman" w:cs="Times New Roman"/>
          <w:color w:val="000000"/>
          <w:kern w:val="0"/>
          <w14:ligatures w14:val="none"/>
        </w:rPr>
      </w:pPr>
    </w:p>
    <w:p w:rsidR="004E70B7" w:rsidP="00963251" w14:paraId="68598FEB" w14:textId="77777777">
      <w:pPr>
        <w:spacing w:after="0" w:line="259" w:lineRule="auto"/>
        <w:rPr>
          <w:rFonts w:ascii="Times New Roman" w:eastAsia="Times New Roman" w:hAnsi="Times New Roman" w:cs="Times New Roman"/>
          <w:color w:val="000000"/>
          <w:kern w:val="0"/>
          <w14:ligatures w14:val="none"/>
        </w:rPr>
      </w:pPr>
    </w:p>
    <w:p w:rsidR="004E70B7" w:rsidRPr="00963251" w:rsidP="00963251" w14:paraId="39004743" w14:textId="77777777">
      <w:pPr>
        <w:spacing w:after="0" w:line="259" w:lineRule="auto"/>
        <w:rPr>
          <w:rFonts w:ascii="Times New Roman" w:eastAsia="Times New Roman" w:hAnsi="Times New Roman" w:cs="Times New Roman"/>
          <w:color w:val="000000"/>
          <w:kern w:val="0"/>
          <w14:ligatures w14:val="none"/>
        </w:rPr>
      </w:pPr>
    </w:p>
    <w:p w:rsidR="00963251" w:rsidRPr="00963251" w:rsidP="00963251" w14:paraId="45DB5212" w14:textId="198C5BD4">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15.</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Change in Burden</w:t>
      </w:r>
      <w:r w:rsidRPr="00963251">
        <w:rPr>
          <w:rFonts w:ascii="Times New Roman" w:eastAsia="Times New Roman" w:hAnsi="Times New Roman" w:cs="Times New Roman"/>
          <w:color w:val="000000"/>
          <w:kern w:val="0"/>
          <w14:ligatures w14:val="none"/>
        </w:rPr>
        <w:t xml:space="preserve">. The cost estimate for PBGC has been increased </w:t>
      </w:r>
      <w:r w:rsidRPr="00BC7CF1">
        <w:rPr>
          <w:rFonts w:ascii="Times New Roman" w:eastAsia="Times New Roman" w:hAnsi="Times New Roman" w:cs="Times New Roman"/>
          <w:color w:val="000000"/>
          <w:kern w:val="0"/>
          <w14:ligatures w14:val="none"/>
        </w:rPr>
        <w:t>by 4% per year</w:t>
      </w:r>
      <w:r w:rsidRPr="00963251">
        <w:rPr>
          <w:rFonts w:ascii="Times New Roman" w:eastAsia="Times New Roman" w:hAnsi="Times New Roman" w:cs="Times New Roman"/>
          <w:color w:val="000000"/>
          <w:kern w:val="0"/>
          <w14:ligatures w14:val="none"/>
        </w:rPr>
        <w:t xml:space="preserve"> to account for inflation for focus groups. Costs have been increased for usability testing based on recent </w:t>
      </w:r>
      <w:r w:rsidRPr="00963251">
        <w:rPr>
          <w:rFonts w:ascii="Times New Roman" w:eastAsia="Times New Roman" w:hAnsi="Times New Roman" w:cs="Times New Roman"/>
          <w:color w:val="000000"/>
          <w:kern w:val="0"/>
          <w14:ligatures w14:val="none"/>
        </w:rPr>
        <w:t>price quote and expanded scope. Costs have been reduced for surveys based on savings achieved through bundled procurement.</w:t>
      </w:r>
      <w:r w:rsidRPr="00963251">
        <w:rPr>
          <w:rFonts w:ascii="Times New Roman" w:eastAsia="Times New Roman" w:hAnsi="Times New Roman" w:cs="Times New Roman"/>
          <w:b/>
          <w:color w:val="000000"/>
          <w:kern w:val="0"/>
          <w14:ligatures w14:val="none"/>
        </w:rPr>
        <w:t xml:space="preserve"> </w:t>
      </w:r>
    </w:p>
    <w:p w:rsidR="00963251" w:rsidRPr="00963251" w:rsidP="00963251" w14:paraId="09E8485F" w14:textId="2228A323">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16.</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Publication plans</w:t>
      </w:r>
      <w:r w:rsidRPr="00963251">
        <w:rPr>
          <w:rFonts w:ascii="Times New Roman" w:eastAsia="Times New Roman" w:hAnsi="Times New Roman" w:cs="Times New Roman"/>
          <w:color w:val="000000"/>
          <w:kern w:val="0"/>
          <w14:ligatures w14:val="none"/>
        </w:rPr>
        <w:t xml:space="preserve">. </w:t>
      </w:r>
      <w:r w:rsidR="00746241">
        <w:rPr>
          <w:rFonts w:ascii="Times New Roman" w:eastAsia="Times New Roman" w:hAnsi="Times New Roman" w:cs="Times New Roman"/>
          <w:color w:val="000000"/>
          <w:kern w:val="0"/>
          <w14:ligatures w14:val="none"/>
        </w:rPr>
        <w:t>W</w:t>
      </w:r>
      <w:r w:rsidRPr="00963251">
        <w:rPr>
          <w:rFonts w:ascii="Times New Roman" w:eastAsia="Times New Roman" w:hAnsi="Times New Roman" w:cs="Times New Roman"/>
          <w:color w:val="000000"/>
          <w:kern w:val="0"/>
          <w14:ligatures w14:val="none"/>
        </w:rPr>
        <w:t>ith the exception of telephone surveys of retirees, participant callers, and premium filers</w:t>
      </w:r>
      <w:r w:rsidR="00746241">
        <w:rPr>
          <w:rFonts w:ascii="Times New Roman" w:eastAsia="Times New Roman" w:hAnsi="Times New Roman" w:cs="Times New Roman"/>
          <w:color w:val="000000"/>
          <w:kern w:val="0"/>
          <w14:ligatures w14:val="none"/>
        </w:rPr>
        <w:t xml:space="preserve">, </w:t>
      </w:r>
      <w:r w:rsidRPr="00963251" w:rsidR="00746241">
        <w:rPr>
          <w:rFonts w:ascii="Times New Roman" w:eastAsia="Times New Roman" w:hAnsi="Times New Roman" w:cs="Times New Roman"/>
          <w:color w:val="000000"/>
          <w:kern w:val="0"/>
          <w14:ligatures w14:val="none"/>
        </w:rPr>
        <w:t>PBGC has no plans for publication of the results of this information collection</w:t>
      </w:r>
      <w:r w:rsidR="00746241">
        <w:rPr>
          <w:rFonts w:ascii="Times New Roman" w:eastAsia="Times New Roman" w:hAnsi="Times New Roman" w:cs="Times New Roman"/>
          <w:color w:val="000000"/>
          <w:kern w:val="0"/>
          <w14:ligatures w14:val="none"/>
        </w:rPr>
        <w:t>.</w:t>
      </w:r>
      <w:r w:rsidRPr="00963251">
        <w:rPr>
          <w:rFonts w:ascii="Times New Roman" w:eastAsia="Times New Roman" w:hAnsi="Times New Roman" w:cs="Times New Roman"/>
          <w:color w:val="000000"/>
          <w:kern w:val="0"/>
          <w14:ligatures w14:val="none"/>
        </w:rPr>
        <w:t xml:space="preserve"> </w:t>
      </w:r>
      <w:r w:rsidR="00746241">
        <w:rPr>
          <w:rFonts w:ascii="Times New Roman" w:eastAsia="Times New Roman" w:hAnsi="Times New Roman" w:cs="Times New Roman"/>
          <w:color w:val="000000"/>
          <w:kern w:val="0"/>
          <w14:ligatures w14:val="none"/>
        </w:rPr>
        <w:t xml:space="preserve">The results of telephone </w:t>
      </w:r>
      <w:r w:rsidRPr="00963251">
        <w:rPr>
          <w:rFonts w:ascii="Times New Roman" w:eastAsia="Times New Roman" w:hAnsi="Times New Roman" w:cs="Times New Roman"/>
          <w:color w:val="000000"/>
          <w:kern w:val="0"/>
          <w14:ligatures w14:val="none"/>
        </w:rPr>
        <w:t>surveys will be used as official performance measures in PBGC’s annual performance report. Findings from other information collections will be used for general service improvement but are not</w:t>
      </w:r>
      <w:r w:rsidR="00746241">
        <w:rPr>
          <w:rFonts w:ascii="Times New Roman" w:eastAsia="Times New Roman" w:hAnsi="Times New Roman" w:cs="Times New Roman"/>
          <w:color w:val="000000"/>
          <w:kern w:val="0"/>
          <w14:ligatures w14:val="none"/>
        </w:rPr>
        <w:t xml:space="preserve"> intended</w:t>
      </w:r>
      <w:r w:rsidRPr="00963251">
        <w:rPr>
          <w:rFonts w:ascii="Times New Roman" w:eastAsia="Times New Roman" w:hAnsi="Times New Roman" w:cs="Times New Roman"/>
          <w:color w:val="000000"/>
          <w:kern w:val="0"/>
          <w14:ligatures w14:val="none"/>
        </w:rPr>
        <w:t xml:space="preserve"> for publication or other public release.   </w:t>
      </w:r>
    </w:p>
    <w:p w:rsidR="00963251" w:rsidRPr="00963251" w:rsidP="00963251" w14:paraId="2F2D1118" w14:textId="53C83075">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Although PBGC has no specific plans to publish its findings beyond what is stipulated above, PBGC may receive requests to release the information (</w:t>
      </w:r>
      <w:r w:rsidRPr="00963251">
        <w:rPr>
          <w:rFonts w:ascii="Times New Roman" w:eastAsia="Times New Roman" w:hAnsi="Times New Roman" w:cs="Times New Roman"/>
          <w:i/>
          <w:color w:val="000000"/>
          <w:kern w:val="0"/>
          <w14:ligatures w14:val="none"/>
        </w:rPr>
        <w:t>e.g</w:t>
      </w:r>
      <w:r w:rsidRPr="00963251">
        <w:rPr>
          <w:rFonts w:ascii="Times New Roman" w:eastAsia="Times New Roman" w:hAnsi="Times New Roman" w:cs="Times New Roman"/>
          <w:color w:val="000000"/>
          <w:kern w:val="0"/>
          <w14:ligatures w14:val="none"/>
        </w:rPr>
        <w:t>., congressional inquiry, Freedom of Information Act requests). PBGC will release findings when appropriate and may disseminate general findings when relevant. In the event this occurs, PBGC will strictly follow its "</w:t>
      </w:r>
      <w:hyperlink r:id="rId11">
        <w:r w:rsidRPr="00963251">
          <w:rPr>
            <w:rFonts w:ascii="Times New Roman" w:eastAsia="Times New Roman" w:hAnsi="Times New Roman" w:cs="Times New Roman"/>
            <w:color w:val="0000FF"/>
            <w:kern w:val="0"/>
            <w:u w:val="single" w:color="0000FF"/>
            <w14:ligatures w14:val="none"/>
          </w:rPr>
          <w:t>Guidelines for Ensuring the Quality of Information</w:t>
        </w:r>
      </w:hyperlink>
      <w:hyperlink r:id="rId12">
        <w:r w:rsidRPr="00963251">
          <w:rPr>
            <w:rFonts w:ascii="Times New Roman" w:eastAsia="Times New Roman" w:hAnsi="Times New Roman" w:cs="Times New Roman"/>
            <w:color w:val="0000FF"/>
            <w:kern w:val="0"/>
            <w14:ligatures w14:val="none"/>
          </w:rPr>
          <w:t xml:space="preserve"> </w:t>
        </w:r>
      </w:hyperlink>
      <w:hyperlink r:id="rId12">
        <w:r w:rsidRPr="00963251">
          <w:rPr>
            <w:rFonts w:ascii="Times New Roman" w:eastAsia="Times New Roman" w:hAnsi="Times New Roman" w:cs="Times New Roman"/>
            <w:color w:val="0000FF"/>
            <w:kern w:val="0"/>
            <w:u w:val="single" w:color="0000FF"/>
            <w14:ligatures w14:val="none"/>
          </w:rPr>
          <w:t>Disseminated to the Public</w:t>
        </w:r>
      </w:hyperlink>
      <w:hyperlink r:id="rId12">
        <w:r w:rsidRPr="00963251">
          <w:rPr>
            <w:rFonts w:ascii="Times New Roman" w:eastAsia="Times New Roman" w:hAnsi="Times New Roman" w:cs="Times New Roman"/>
            <w:color w:val="000000"/>
            <w:kern w:val="0"/>
            <w14:ligatures w14:val="none"/>
          </w:rPr>
          <w:t>"</w:t>
        </w:r>
      </w:hyperlink>
      <w:r w:rsidRPr="00963251">
        <w:rPr>
          <w:rFonts w:ascii="Times New Roman" w:eastAsia="Times New Roman" w:hAnsi="Times New Roman" w:cs="Times New Roman"/>
          <w:color w:val="000000"/>
          <w:kern w:val="0"/>
          <w14:ligatures w14:val="none"/>
        </w:rPr>
        <w:t xml:space="preserve"> and will include specific discussion of the limitation of the qualitative results discussed above.  </w:t>
      </w:r>
    </w:p>
    <w:p w:rsidR="00963251" w:rsidRPr="00963251" w:rsidP="00963251" w14:paraId="6EF5A27A" w14:textId="757B7A48">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17.</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Display of OMB Approval Date</w:t>
      </w:r>
      <w:r w:rsidRPr="00963251">
        <w:rPr>
          <w:rFonts w:ascii="Times New Roman" w:eastAsia="Times New Roman" w:hAnsi="Times New Roman" w:cs="Times New Roman"/>
          <w:color w:val="000000"/>
          <w:kern w:val="0"/>
          <w14:ligatures w14:val="none"/>
        </w:rPr>
        <w:t>.</w:t>
      </w:r>
      <w:r w:rsidR="00B12F29">
        <w:rPr>
          <w:rFonts w:ascii="Times New Roman" w:eastAsia="Times New Roman" w:hAnsi="Times New Roman" w:cs="Times New Roman"/>
          <w:color w:val="000000"/>
          <w:kern w:val="0"/>
          <w14:ligatures w14:val="none"/>
        </w:rPr>
        <w:t xml:space="preserve"> </w:t>
      </w:r>
      <w:r w:rsidRPr="00963251">
        <w:rPr>
          <w:rFonts w:ascii="Times New Roman" w:eastAsia="Times New Roman" w:hAnsi="Times New Roman" w:cs="Times New Roman"/>
          <w:color w:val="000000"/>
          <w:kern w:val="0"/>
          <w14:ligatures w14:val="none"/>
        </w:rPr>
        <w:t xml:space="preserve">PBGC is not seeking approval to not display the expiration date for OMB approval of this information collection.   </w:t>
      </w:r>
    </w:p>
    <w:p w:rsidR="00963251" w:rsidRPr="00963251" w:rsidP="00963251" w14:paraId="60671D93" w14:textId="3F441C52">
      <w:pPr>
        <w:spacing w:after="0" w:line="479" w:lineRule="auto"/>
        <w:ind w:firstLine="720"/>
        <w:rPr>
          <w:rFonts w:ascii="Times New Roman" w:eastAsia="Times New Roman" w:hAnsi="Times New Roman" w:cs="Times New Roman"/>
          <w:color w:val="000000"/>
          <w:kern w:val="0"/>
          <w14:ligatures w14:val="none"/>
        </w:rPr>
      </w:pPr>
      <w:r w:rsidRPr="00963251">
        <w:rPr>
          <w:rFonts w:ascii="Times New Roman" w:eastAsia="Times New Roman" w:hAnsi="Times New Roman" w:cs="Times New Roman"/>
          <w:color w:val="000000"/>
          <w:kern w:val="0"/>
          <w14:ligatures w14:val="none"/>
        </w:rPr>
        <w:t xml:space="preserve">18. </w:t>
      </w:r>
      <w:r w:rsidRPr="00963251">
        <w:rPr>
          <w:rFonts w:ascii="Times New Roman" w:eastAsia="Times New Roman" w:hAnsi="Times New Roman" w:cs="Times New Roman"/>
          <w:color w:val="000000"/>
          <w:kern w:val="0"/>
          <w14:ligatures w14:val="none"/>
        </w:rPr>
        <w:tab/>
      </w:r>
      <w:r w:rsidRPr="00963251">
        <w:rPr>
          <w:rFonts w:ascii="Times New Roman" w:eastAsia="Times New Roman" w:hAnsi="Times New Roman" w:cs="Times New Roman"/>
          <w:color w:val="000000"/>
          <w:kern w:val="0"/>
          <w:u w:val="single" w:color="000000"/>
          <w14:ligatures w14:val="none"/>
        </w:rPr>
        <w:t>Exceptions to certification statement</w:t>
      </w:r>
      <w:r w:rsidRPr="00963251">
        <w:rPr>
          <w:rFonts w:ascii="Times New Roman" w:eastAsia="Times New Roman" w:hAnsi="Times New Roman" w:cs="Times New Roman"/>
          <w:color w:val="000000"/>
          <w:kern w:val="0"/>
          <w14:ligatures w14:val="none"/>
        </w:rPr>
        <w:t xml:space="preserve">. There are no exceptions to the certification statement.  </w:t>
      </w:r>
    </w:p>
    <w:p w:rsidR="00D84E3F" w14:paraId="1D10AA14" w14:textId="77777777"/>
    <w:sectPr w:rsidSect="00963251">
      <w:footerReference w:type="even" r:id="rId13"/>
      <w:footerReference w:type="default" r:id="rId14"/>
      <w:footerReference w:type="first" r:id="rId15"/>
      <w:footnotePr>
        <w:numRestart w:val="eachPage"/>
      </w:footnotePr>
      <w:pgSz w:w="12240" w:h="15840"/>
      <w:pgMar w:top="1414" w:right="1449" w:bottom="1247" w:left="989"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3251" w14:paraId="1D21292D" w14:textId="77777777">
    <w:pPr>
      <w:spacing w:after="0" w:line="259" w:lineRule="auto"/>
      <w:ind w:left="461"/>
      <w:jc w:val="center"/>
    </w:pPr>
    <w:r>
      <w:rPr>
        <w:rFonts w:ascii="Times New Roman" w:eastAsia="Times New Roman" w:hAnsi="Times New Roman" w:cs="Times New Roman"/>
      </w:rPr>
      <w:fldChar w:fldCharType="begin"/>
    </w:r>
    <w:r>
      <w:instrText xml:space="preserve"> PAGE   \* MERGEFORMAT </w:instrText>
    </w:r>
    <w:r>
      <w:rPr>
        <w:rFonts w:ascii="Times New Roman" w:eastAsia="Times New Roman" w:hAnsi="Times New Roman" w:cs="Times New Roman"/>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963251" w14:paraId="1C3554BA" w14:textId="77777777">
    <w:pPr>
      <w:spacing w:after="0" w:line="259" w:lineRule="auto"/>
      <w:ind w:left="451"/>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3251" w:rsidRPr="00CD7957" w14:paraId="3388EA9B" w14:textId="77777777">
    <w:pPr>
      <w:spacing w:after="0" w:line="259" w:lineRule="auto"/>
      <w:ind w:left="461"/>
      <w:jc w:val="center"/>
      <w:rPr>
        <w:rFonts w:ascii="Times New Roman" w:hAnsi="Times New Roman" w:cs="Times New Roman"/>
      </w:rPr>
    </w:pPr>
    <w:r w:rsidRPr="00CD7957">
      <w:rPr>
        <w:rFonts w:ascii="Times New Roman" w:eastAsia="Times New Roman" w:hAnsi="Times New Roman" w:cs="Times New Roman"/>
      </w:rPr>
      <w:fldChar w:fldCharType="begin"/>
    </w:r>
    <w:r w:rsidRPr="00CD7957">
      <w:rPr>
        <w:rFonts w:ascii="Times New Roman" w:hAnsi="Times New Roman" w:cs="Times New Roman"/>
      </w:rPr>
      <w:instrText xml:space="preserve"> PAGE   \* MERGEFORMAT </w:instrText>
    </w:r>
    <w:r w:rsidRPr="00CD7957">
      <w:rPr>
        <w:rFonts w:ascii="Times New Roman" w:eastAsia="Times New Roman" w:hAnsi="Times New Roman" w:cs="Times New Roman"/>
      </w:rPr>
      <w:fldChar w:fldCharType="separate"/>
    </w:r>
    <w:r w:rsidRPr="00CD7957">
      <w:rPr>
        <w:rFonts w:ascii="Times New Roman" w:eastAsia="Calibri" w:hAnsi="Times New Roman" w:cs="Times New Roman"/>
        <w:sz w:val="22"/>
      </w:rPr>
      <w:t>2</w:t>
    </w:r>
    <w:r w:rsidRPr="00CD7957">
      <w:rPr>
        <w:rFonts w:ascii="Times New Roman" w:eastAsia="Calibri" w:hAnsi="Times New Roman" w:cs="Times New Roman"/>
        <w:sz w:val="22"/>
      </w:rPr>
      <w:fldChar w:fldCharType="end"/>
    </w:r>
    <w:r w:rsidRPr="00CD7957">
      <w:rPr>
        <w:rFonts w:ascii="Times New Roman" w:eastAsia="Calibri" w:hAnsi="Times New Roman" w:cs="Times New Roman"/>
        <w:sz w:val="22"/>
      </w:rPr>
      <w:t xml:space="preserve"> </w:t>
    </w:r>
  </w:p>
  <w:p w:rsidR="00963251" w14:paraId="269D000C" w14:textId="77777777">
    <w:pPr>
      <w:spacing w:after="0" w:line="259" w:lineRule="auto"/>
      <w:ind w:left="451"/>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3251" w14:paraId="51BAF8F7" w14:textId="77777777">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B135F" w:rsidP="00963251" w14:paraId="46DBAA2D" w14:textId="77777777">
      <w:pPr>
        <w:spacing w:after="0" w:line="240" w:lineRule="auto"/>
      </w:pPr>
      <w:r>
        <w:separator/>
      </w:r>
    </w:p>
  </w:footnote>
  <w:footnote w:type="continuationSeparator" w:id="1">
    <w:p w:rsidR="005B135F" w:rsidP="00963251" w14:paraId="7CD40B17" w14:textId="77777777">
      <w:pPr>
        <w:spacing w:after="0" w:line="240" w:lineRule="auto"/>
      </w:pPr>
      <w:r>
        <w:continuationSeparator/>
      </w:r>
    </w:p>
  </w:footnote>
  <w:footnote w:id="2">
    <w:p w:rsidR="00963251" w:rsidP="00963251" w14:paraId="6EE688F6" w14:textId="77777777">
      <w:pPr>
        <w:pStyle w:val="footnotedescription"/>
      </w:pPr>
      <w:r>
        <w:rPr>
          <w:rStyle w:val="footnotemark"/>
        </w:rPr>
        <w:footnoteRef/>
      </w:r>
      <w: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5D5234A"/>
    <w:multiLevelType w:val="hybridMultilevel"/>
    <w:tmpl w:val="0390E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55D642E"/>
    <w:multiLevelType w:val="hybridMultilevel"/>
    <w:tmpl w:val="2DA43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99556594">
    <w:abstractNumId w:val="0"/>
  </w:num>
  <w:num w:numId="2" w16cid:durableId="171457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numRestart w:val="eachPage"/>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51"/>
    <w:rsid w:val="00004BAA"/>
    <w:rsid w:val="000306B7"/>
    <w:rsid w:val="00086B22"/>
    <w:rsid w:val="000A554A"/>
    <w:rsid w:val="000B4C47"/>
    <w:rsid w:val="000C04C2"/>
    <w:rsid w:val="000D7C12"/>
    <w:rsid w:val="000E4F4E"/>
    <w:rsid w:val="000F00C4"/>
    <w:rsid w:val="00101F8C"/>
    <w:rsid w:val="00106818"/>
    <w:rsid w:val="00123031"/>
    <w:rsid w:val="001369A9"/>
    <w:rsid w:val="00136D2A"/>
    <w:rsid w:val="00190368"/>
    <w:rsid w:val="001B7795"/>
    <w:rsid w:val="001C048C"/>
    <w:rsid w:val="001F7C92"/>
    <w:rsid w:val="00245234"/>
    <w:rsid w:val="002D47A6"/>
    <w:rsid w:val="002E4FF9"/>
    <w:rsid w:val="002F04A7"/>
    <w:rsid w:val="002F4418"/>
    <w:rsid w:val="00305841"/>
    <w:rsid w:val="0033761C"/>
    <w:rsid w:val="003422C2"/>
    <w:rsid w:val="00381397"/>
    <w:rsid w:val="00391736"/>
    <w:rsid w:val="003B5FA0"/>
    <w:rsid w:val="003B7524"/>
    <w:rsid w:val="003E0118"/>
    <w:rsid w:val="003F44C5"/>
    <w:rsid w:val="004078B2"/>
    <w:rsid w:val="00440EA5"/>
    <w:rsid w:val="004C4CB8"/>
    <w:rsid w:val="004E70B7"/>
    <w:rsid w:val="00591DAC"/>
    <w:rsid w:val="005B135F"/>
    <w:rsid w:val="005D3A30"/>
    <w:rsid w:val="005D6E6D"/>
    <w:rsid w:val="005F0E1F"/>
    <w:rsid w:val="005F41AE"/>
    <w:rsid w:val="00621EFD"/>
    <w:rsid w:val="00634235"/>
    <w:rsid w:val="006628E1"/>
    <w:rsid w:val="00663B98"/>
    <w:rsid w:val="006D5C5E"/>
    <w:rsid w:val="006F157D"/>
    <w:rsid w:val="006F6CF2"/>
    <w:rsid w:val="007202F3"/>
    <w:rsid w:val="00742733"/>
    <w:rsid w:val="00742F95"/>
    <w:rsid w:val="007451FF"/>
    <w:rsid w:val="00746241"/>
    <w:rsid w:val="007A64B4"/>
    <w:rsid w:val="007B7FFA"/>
    <w:rsid w:val="007E0244"/>
    <w:rsid w:val="00810C1D"/>
    <w:rsid w:val="008151AC"/>
    <w:rsid w:val="00832792"/>
    <w:rsid w:val="00860725"/>
    <w:rsid w:val="008D08C2"/>
    <w:rsid w:val="0093605E"/>
    <w:rsid w:val="00955700"/>
    <w:rsid w:val="00963251"/>
    <w:rsid w:val="009B59CF"/>
    <w:rsid w:val="00A11812"/>
    <w:rsid w:val="00A13E8E"/>
    <w:rsid w:val="00A51980"/>
    <w:rsid w:val="00A6292E"/>
    <w:rsid w:val="00A62CBA"/>
    <w:rsid w:val="00A76A9D"/>
    <w:rsid w:val="00A83A44"/>
    <w:rsid w:val="00A87F01"/>
    <w:rsid w:val="00B115CB"/>
    <w:rsid w:val="00B12F29"/>
    <w:rsid w:val="00B20898"/>
    <w:rsid w:val="00B84AE3"/>
    <w:rsid w:val="00BC320B"/>
    <w:rsid w:val="00BC7CF1"/>
    <w:rsid w:val="00BE58D7"/>
    <w:rsid w:val="00C029DC"/>
    <w:rsid w:val="00C251D7"/>
    <w:rsid w:val="00C25BFE"/>
    <w:rsid w:val="00C40242"/>
    <w:rsid w:val="00C637E8"/>
    <w:rsid w:val="00CC14EB"/>
    <w:rsid w:val="00CD6567"/>
    <w:rsid w:val="00CD6D1E"/>
    <w:rsid w:val="00CD7957"/>
    <w:rsid w:val="00CE5D13"/>
    <w:rsid w:val="00D20074"/>
    <w:rsid w:val="00D51A1B"/>
    <w:rsid w:val="00D73F72"/>
    <w:rsid w:val="00D80D35"/>
    <w:rsid w:val="00D83CC1"/>
    <w:rsid w:val="00D84E3F"/>
    <w:rsid w:val="00DC180A"/>
    <w:rsid w:val="00DC4649"/>
    <w:rsid w:val="00DD560A"/>
    <w:rsid w:val="00DE32AA"/>
    <w:rsid w:val="00DE4776"/>
    <w:rsid w:val="00DE47A7"/>
    <w:rsid w:val="00E053E7"/>
    <w:rsid w:val="00EE1994"/>
    <w:rsid w:val="00F015B1"/>
    <w:rsid w:val="00F03151"/>
    <w:rsid w:val="00F15852"/>
    <w:rsid w:val="00F26BE7"/>
    <w:rsid w:val="00F4665E"/>
    <w:rsid w:val="00F9662C"/>
    <w:rsid w:val="00FB0A53"/>
    <w:rsid w:val="00FD526C"/>
    <w:rsid w:val="00FF01B6"/>
    <w:rsid w:val="00FF7E6F"/>
    <w:rsid w:val="0529804B"/>
    <w:rsid w:val="0606C73F"/>
    <w:rsid w:val="1C960373"/>
    <w:rsid w:val="1CA78574"/>
    <w:rsid w:val="273792CE"/>
    <w:rsid w:val="42F7540A"/>
    <w:rsid w:val="498A6E31"/>
    <w:rsid w:val="4EDA56B8"/>
    <w:rsid w:val="5D3011E0"/>
    <w:rsid w:val="670B4F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B1CC75"/>
  <w15:chartTrackingRefBased/>
  <w15:docId w15:val="{01169EA5-E568-4F34-97E7-FE0E5AFF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2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2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2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2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2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2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2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2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2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2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2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2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2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2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2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251"/>
    <w:rPr>
      <w:rFonts w:eastAsiaTheme="majorEastAsia" w:cstheme="majorBidi"/>
      <w:color w:val="272727" w:themeColor="text1" w:themeTint="D8"/>
    </w:rPr>
  </w:style>
  <w:style w:type="paragraph" w:styleId="Title">
    <w:name w:val="Title"/>
    <w:basedOn w:val="Normal"/>
    <w:next w:val="Normal"/>
    <w:link w:val="TitleChar"/>
    <w:uiPriority w:val="10"/>
    <w:qFormat/>
    <w:rsid w:val="00963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2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2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251"/>
    <w:pPr>
      <w:spacing w:before="160"/>
      <w:jc w:val="center"/>
    </w:pPr>
    <w:rPr>
      <w:i/>
      <w:iCs/>
      <w:color w:val="404040" w:themeColor="text1" w:themeTint="BF"/>
    </w:rPr>
  </w:style>
  <w:style w:type="character" w:customStyle="1" w:styleId="QuoteChar">
    <w:name w:val="Quote Char"/>
    <w:basedOn w:val="DefaultParagraphFont"/>
    <w:link w:val="Quote"/>
    <w:uiPriority w:val="29"/>
    <w:rsid w:val="00963251"/>
    <w:rPr>
      <w:i/>
      <w:iCs/>
      <w:color w:val="404040" w:themeColor="text1" w:themeTint="BF"/>
    </w:rPr>
  </w:style>
  <w:style w:type="paragraph" w:styleId="ListParagraph">
    <w:name w:val="List Paragraph"/>
    <w:basedOn w:val="Normal"/>
    <w:uiPriority w:val="34"/>
    <w:qFormat/>
    <w:rsid w:val="00963251"/>
    <w:pPr>
      <w:ind w:left="720"/>
      <w:contextualSpacing/>
    </w:pPr>
  </w:style>
  <w:style w:type="character" w:styleId="IntenseEmphasis">
    <w:name w:val="Intense Emphasis"/>
    <w:basedOn w:val="DefaultParagraphFont"/>
    <w:uiPriority w:val="21"/>
    <w:qFormat/>
    <w:rsid w:val="00963251"/>
    <w:rPr>
      <w:i/>
      <w:iCs/>
      <w:color w:val="0F4761" w:themeColor="accent1" w:themeShade="BF"/>
    </w:rPr>
  </w:style>
  <w:style w:type="paragraph" w:styleId="IntenseQuote">
    <w:name w:val="Intense Quote"/>
    <w:basedOn w:val="Normal"/>
    <w:next w:val="Normal"/>
    <w:link w:val="IntenseQuoteChar"/>
    <w:uiPriority w:val="30"/>
    <w:qFormat/>
    <w:rsid w:val="00963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251"/>
    <w:rPr>
      <w:i/>
      <w:iCs/>
      <w:color w:val="0F4761" w:themeColor="accent1" w:themeShade="BF"/>
    </w:rPr>
  </w:style>
  <w:style w:type="character" w:styleId="IntenseReference">
    <w:name w:val="Intense Reference"/>
    <w:basedOn w:val="DefaultParagraphFont"/>
    <w:uiPriority w:val="32"/>
    <w:qFormat/>
    <w:rsid w:val="00963251"/>
    <w:rPr>
      <w:b/>
      <w:bCs/>
      <w:smallCaps/>
      <w:color w:val="0F4761" w:themeColor="accent1" w:themeShade="BF"/>
      <w:spacing w:val="5"/>
    </w:rPr>
  </w:style>
  <w:style w:type="paragraph" w:customStyle="1" w:styleId="footnotedescription">
    <w:name w:val="footnote description"/>
    <w:next w:val="Normal"/>
    <w:link w:val="footnotedescriptionChar"/>
    <w:hidden/>
    <w:rsid w:val="00963251"/>
    <w:pPr>
      <w:spacing w:after="0" w:line="257" w:lineRule="auto"/>
      <w:ind w:left="451"/>
    </w:pPr>
    <w:rPr>
      <w:rFonts w:ascii="Times New Roman" w:eastAsia="Times New Roman" w:hAnsi="Times New Roman" w:cs="Times New Roman"/>
      <w:color w:val="000000"/>
      <w:kern w:val="0"/>
      <w:sz w:val="20"/>
      <w:szCs w:val="22"/>
      <w14:ligatures w14:val="none"/>
    </w:rPr>
  </w:style>
  <w:style w:type="character" w:customStyle="1" w:styleId="footnotedescriptionChar">
    <w:name w:val="footnote description Char"/>
    <w:link w:val="footnotedescription"/>
    <w:rsid w:val="00963251"/>
    <w:rPr>
      <w:rFonts w:ascii="Times New Roman" w:eastAsia="Times New Roman" w:hAnsi="Times New Roman" w:cs="Times New Roman"/>
      <w:color w:val="000000"/>
      <w:kern w:val="0"/>
      <w:sz w:val="20"/>
      <w:szCs w:val="22"/>
      <w14:ligatures w14:val="none"/>
    </w:rPr>
  </w:style>
  <w:style w:type="character" w:customStyle="1" w:styleId="footnotemark">
    <w:name w:val="footnote mark"/>
    <w:hidden/>
    <w:rsid w:val="00963251"/>
    <w:rPr>
      <w:rFonts w:ascii="Times New Roman" w:eastAsia="Times New Roman" w:hAnsi="Times New Roman" w:cs="Times New Roman"/>
      <w:color w:val="000000"/>
      <w:sz w:val="20"/>
      <w:vertAlign w:val="superscript"/>
    </w:rPr>
  </w:style>
  <w:style w:type="table" w:customStyle="1" w:styleId="TableGrid">
    <w:name w:val="TableGrid"/>
    <w:rsid w:val="00963251"/>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CD7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57"/>
  </w:style>
  <w:style w:type="paragraph" w:styleId="Footer">
    <w:name w:val="footer"/>
    <w:basedOn w:val="Normal"/>
    <w:link w:val="FooterChar"/>
    <w:uiPriority w:val="99"/>
    <w:semiHidden/>
    <w:unhideWhenUsed/>
    <w:rsid w:val="002E4F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4FF9"/>
  </w:style>
  <w:style w:type="character" w:styleId="CommentReference">
    <w:name w:val="annotation reference"/>
    <w:basedOn w:val="DefaultParagraphFont"/>
    <w:uiPriority w:val="99"/>
    <w:semiHidden/>
    <w:unhideWhenUsed/>
    <w:rsid w:val="00634235"/>
    <w:rPr>
      <w:sz w:val="16"/>
      <w:szCs w:val="16"/>
    </w:rPr>
  </w:style>
  <w:style w:type="paragraph" w:styleId="CommentText">
    <w:name w:val="annotation text"/>
    <w:basedOn w:val="Normal"/>
    <w:link w:val="CommentTextChar"/>
    <w:uiPriority w:val="99"/>
    <w:unhideWhenUsed/>
    <w:rsid w:val="00634235"/>
    <w:pPr>
      <w:spacing w:line="240" w:lineRule="auto"/>
    </w:pPr>
    <w:rPr>
      <w:sz w:val="20"/>
      <w:szCs w:val="20"/>
    </w:rPr>
  </w:style>
  <w:style w:type="character" w:customStyle="1" w:styleId="CommentTextChar">
    <w:name w:val="Comment Text Char"/>
    <w:basedOn w:val="DefaultParagraphFont"/>
    <w:link w:val="CommentText"/>
    <w:uiPriority w:val="99"/>
    <w:rsid w:val="00634235"/>
    <w:rPr>
      <w:sz w:val="20"/>
      <w:szCs w:val="20"/>
    </w:rPr>
  </w:style>
  <w:style w:type="paragraph" w:styleId="CommentSubject">
    <w:name w:val="annotation subject"/>
    <w:basedOn w:val="CommentText"/>
    <w:next w:val="CommentText"/>
    <w:link w:val="CommentSubjectChar"/>
    <w:uiPriority w:val="99"/>
    <w:semiHidden/>
    <w:unhideWhenUsed/>
    <w:rsid w:val="00634235"/>
    <w:rPr>
      <w:b/>
      <w:bCs/>
    </w:rPr>
  </w:style>
  <w:style w:type="character" w:customStyle="1" w:styleId="CommentSubjectChar">
    <w:name w:val="Comment Subject Char"/>
    <w:basedOn w:val="CommentTextChar"/>
    <w:link w:val="CommentSubject"/>
    <w:uiPriority w:val="99"/>
    <w:semiHidden/>
    <w:rsid w:val="00634235"/>
    <w:rPr>
      <w:b/>
      <w:bCs/>
      <w:sz w:val="20"/>
      <w:szCs w:val="20"/>
    </w:rPr>
  </w:style>
  <w:style w:type="paragraph" w:styleId="Revision">
    <w:name w:val="Revision"/>
    <w:hidden/>
    <w:uiPriority w:val="99"/>
    <w:semiHidden/>
    <w:rsid w:val="00F966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cid:image004.png@01DD4441.42F86140" TargetMode="External" /><Relationship Id="rId11" Type="http://schemas.openxmlformats.org/officeDocument/2006/relationships/hyperlink" Target="https://www.pbgc.gov/prac/other-guidance/information-quality-guidelines" TargetMode="External" /><Relationship Id="rId12" Type="http://schemas.openxmlformats.org/officeDocument/2006/relationships/hyperlink" Target="http://www.pbgc.gov/res/other-guidance/information-quality-guidelines.html"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AllMetadata xmlns="42a8a83a-5e27-410c-a1fc-7c5ac4e503f4" xsi:nil="true"/>
    <MoveField xmlns="42a8a83a-5e27-410c-a1fc-7c5ac4e503f4">0</MoveField>
    <RecordNotification xmlns="42a8a83a-5e27-410c-a1fc-7c5ac4e503f4" xsi:nil="true"/>
    <PBGCCUI xmlns="42a8a83a-5e27-410c-a1fc-7c5ac4e503f4" xsi:nil="true"/>
    <Marking xmlns="42a8a83a-5e27-410c-a1fc-7c5ac4e503f4" xsi:nil="true"/>
    <WorkingCopyURL xmlns="42a8a83a-5e27-410c-a1fc-7c5ac4e503f4" xsi:nil="true"/>
    <o7599312a26a4e37b002e8191aab0e29 xmlns="42a8a83a-5e27-410c-a1fc-7c5ac4e503f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4e9a4bc7-9032-4d66-87ab-b16dbcbcd63b</TermId>
        </TermInfo>
      </Terms>
    </o7599312a26a4e37b002e8191aab0e29>
    <TaxCatchAll xmlns="42a8a83a-5e27-410c-a1fc-7c5ac4e503f4">
      <Value>6</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OGC Document" ma:contentTypeID="0x010100E09C6A4FD85CD94DB99934580C23925719009E795238C0C6B148A3B44436766A1E14" ma:contentTypeVersion="9" ma:contentTypeDescription="Documents with Controlled Unclassified Information (CUI) flag and markings." ma:contentTypeScope="" ma:versionID="706566f70ca93385e5c6f40e569d8392">
  <xsd:schema xmlns:xsd="http://www.w3.org/2001/XMLSchema" xmlns:xs="http://www.w3.org/2001/XMLSchema" xmlns:p="http://schemas.microsoft.com/office/2006/metadata/properties" xmlns:ns2="42a8a83a-5e27-410c-a1fc-7c5ac4e503f4" targetNamespace="http://schemas.microsoft.com/office/2006/metadata/properties" ma:root="true" ma:fieldsID="528123777bd9a10ea1536580f53739d8" ns2:_="">
    <xsd:import namespace="42a8a83a-5e27-410c-a1fc-7c5ac4e503f4"/>
    <xsd:element name="properties">
      <xsd:complexType>
        <xsd:sequence>
          <xsd:element name="documentManagement">
            <xsd:complexType>
              <xsd:all>
                <xsd:element ref="ns2:PBGCCUI" minOccurs="0"/>
                <xsd:element ref="ns2:Marking" minOccurs="0"/>
                <xsd:element ref="ns2:MoveField" minOccurs="0"/>
                <xsd:element ref="ns2:RecordNotification" minOccurs="0"/>
                <xsd:element ref="ns2:WorkingCopyURL" minOccurs="0"/>
                <xsd:element ref="ns2:o7599312a26a4e37b002e8191aab0e29" minOccurs="0"/>
                <xsd:element ref="ns2:TaxCatchAll" minOccurs="0"/>
                <xsd:element ref="ns2:TaxCatchAllLabel" minOccurs="0"/>
                <xsd:element ref="ns2:All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8a83a-5e27-410c-a1fc-7c5ac4e503f4" elementFormDefault="qualified">
    <xsd:import namespace="http://schemas.microsoft.com/office/2006/documentManagement/types"/>
    <xsd:import namespace="http://schemas.microsoft.com/office/infopath/2007/PartnerControls"/>
    <xsd:element name="PBGCCUI" ma:index="8" nillable="true" ma:displayName="CUI" ma:description="*Enterprise Column* Indicates if Controlled Unclassified Information (CUI) or not." ma:format="RadioButtons" ma:internalName="PBGCCUI" ma:readOnly="false">
      <xsd:simpleType>
        <xsd:restriction base="dms:Choice">
          <xsd:enumeration value="Yes"/>
          <xsd:enumeration value="No"/>
        </xsd:restriction>
      </xsd:simpleType>
    </xsd:element>
    <xsd:element name="Marking" ma:index="9" nillable="true" ma:displayName="CUI Marking" ma:description="*Enterprise Column* Controlled Unclassified Information (CUI) marking. An asterisk (*) indicates that safeguarding, dissemination, marking and/or decontrol measures that differ from General Guidelines are required by statute, regulation, or Government-wide policy. See https://www.archives.gov/cui/registry/category-list.html for" ma:internalName="Marking">
      <xsd:complexType>
        <xsd:complexContent>
          <xsd:extension base="dms:MultiChoice">
            <xsd:sequence>
              <xsd:element name="Value" maxOccurs="unbounded" minOccurs="0" nillable="true">
                <xsd:simpleType>
                  <xsd:restriction base="dms:Choice">
                    <xsd:enumeration value="Financial*"/>
                    <xsd:enumeration value="Financial: Retirement"/>
                    <xsd:enumeration value="General"/>
                    <xsd:enumeration value="General Business Proprietary"/>
                    <xsd:enumeration value="Legal Privilege"/>
                    <xsd:enumeration value="Personnel Security Information"/>
                    <xsd:enumeration value="Physical Security"/>
                    <xsd:enumeration value="Privacy"/>
                    <xsd:enumeration value="Procurement and Acquisition*"/>
                    <xsd:enumeration value="Sensitive Security Information"/>
                    <xsd:enumeration value="Tax*"/>
                    <xsd:enumeration value="Whistleblower Identity"/>
                  </xsd:restriction>
                </xsd:simpleType>
              </xsd:element>
            </xsd:sequence>
          </xsd:extension>
        </xsd:complexContent>
      </xsd:complexType>
    </xsd:element>
    <xsd:element name="MoveField" ma:index="10" nillable="true" ma:displayName="MoveField" ma:default="0" ma:hidden="true" ma:internalName="MoveField" ma:readOnly="false">
      <xsd:simpleType>
        <xsd:restriction base="dms:Text">
          <xsd:maxLength value="2"/>
        </xsd:restriction>
      </xsd:simpleType>
    </xsd:element>
    <xsd:element name="RecordNotification" ma:index="11" nillable="true" ma:displayName="RecordNotification" ma:hidden="true" ma:internalName="RecordNotification" ma:readOnly="false">
      <xsd:simpleType>
        <xsd:restriction base="dms:Text">
          <xsd:maxLength value="255"/>
        </xsd:restriction>
      </xsd:simpleType>
    </xsd:element>
    <xsd:element name="WorkingCopyURL" ma:index="12" nillable="true" ma:displayName="WorkingCopyURL" ma:hidden="true" ma:internalName="WorkingCopyURL" ma:readOnly="false">
      <xsd:simpleType>
        <xsd:restriction base="dms:Note"/>
      </xsd:simpleType>
    </xsd:element>
    <xsd:element name="o7599312a26a4e37b002e8191aab0e29" ma:index="13" nillable="true" ma:taxonomy="true" ma:internalName="o7599312a26a4e37b002e8191aab0e29" ma:taxonomyFieldName="OGC_x0020_Document_x0020_Status" ma:displayName="Document Status" ma:default="6;#Draft|4e9a4bc7-9032-4d66-87ab-b16dbcbcd63b" ma:fieldId="{87599312-a26a-4e37-b002-e8191aab0e29}" ma:sspId="b04b9a93-b54f-4549-9b70-040003075d6a" ma:termSetId="7a876c95-03e1-4508-9a3d-932ce338d89b"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4829790-4437-408e-b892-8b5bccf5edbd}" ma:internalName="TaxCatchAll" ma:showField="CatchAllData" ma:web="3f88e62b-1424-4e72-a03d-25c7a3a4e519">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64829790-4437-408e-b892-8b5bccf5edbd}" ma:internalName="TaxCatchAllLabel" ma:readOnly="true" ma:showField="CatchAllDataLabel" ma:web="3f88e62b-1424-4e72-a03d-25c7a3a4e519">
      <xsd:complexType>
        <xsd:complexContent>
          <xsd:extension base="dms:MultiChoiceLookup">
            <xsd:sequence>
              <xsd:element name="Value" type="dms:Lookup" maxOccurs="unbounded" minOccurs="0" nillable="true"/>
            </xsd:sequence>
          </xsd:extension>
        </xsd:complexContent>
      </xsd:complexType>
    </xsd:element>
    <xsd:element name="AllMetadata" ma:index="17" nillable="true" ma:displayName="AllMetadata" ma:hidden="true" ma:internalName="AllMetadata"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04b9a93-b54f-4549-9b70-040003075d6a" ContentTypeId="0x010100E09C6A4FD85CD94DB99934580C239257"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CBE642-3D0C-481E-B228-CAA5849296C3}">
  <ds:schemaRefs>
    <ds:schemaRef ds:uri="http://schemas.microsoft.com/office/2006/metadata/properties"/>
    <ds:schemaRef ds:uri="http://schemas.microsoft.com/office/infopath/2007/PartnerControls"/>
    <ds:schemaRef ds:uri="42a8a83a-5e27-410c-a1fc-7c5ac4e503f4"/>
  </ds:schemaRefs>
</ds:datastoreItem>
</file>

<file path=customXml/itemProps2.xml><?xml version="1.0" encoding="utf-8"?>
<ds:datastoreItem xmlns:ds="http://schemas.openxmlformats.org/officeDocument/2006/customXml" ds:itemID="{F0551349-1FAE-4E03-9B4A-07BBF784E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8a83a-5e27-410c-a1fc-7c5ac4e50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BDF749-867C-432D-9B89-C832CD038EC4}">
  <ds:schemaRefs>
    <ds:schemaRef ds:uri="Microsoft.SharePoint.Taxonomy.ContentTypeSync"/>
  </ds:schemaRefs>
</ds:datastoreItem>
</file>

<file path=customXml/itemProps4.xml><?xml version="1.0" encoding="utf-8"?>
<ds:datastoreItem xmlns:ds="http://schemas.openxmlformats.org/officeDocument/2006/customXml" ds:itemID="{0D1F3533-F9BA-4308-B9F0-1B076C92B7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1690</Words>
  <Characters>10025</Characters>
  <Application>Microsoft Office Word</Application>
  <DocSecurity>0</DocSecurity>
  <Lines>167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Andrew</dc:creator>
  <cp:lastModifiedBy>Wilson Andrew</cp:lastModifiedBy>
  <cp:revision>3</cp:revision>
  <dcterms:created xsi:type="dcterms:W3CDTF">2026-09-28T13:36:00Z</dcterms:created>
  <dcterms:modified xsi:type="dcterms:W3CDTF">2026-09-28T13:37:00Z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0x010100E09C6A4FD85CD94DB99934580C23925719009E795238C0C6B148A3B44436766A1E14</vt:lpwstr>
  </property>
  <property fmtid="{D5CDD505-2E9C-101B-9397-08002B2CF9AE}" pid="3" name="lcf76f155ced4ddcb4097134ff3c332f">
    <vt:lpwstr/>
  </property>
  <property fmtid="{D5CDD505-2E9C-101B-9397-08002B2CF9AE}" pid="4" name="MediaServiceImageTags">
    <vt:lpwstr/>
  </property>
  <property fmtid="{D5CDD505-2E9C-101B-9397-08002B2CF9AE}" pid="5" name="OGC Document Status">
    <vt:lpwstr>6;#Draft|4e9a4bc7-9032-4d66-87ab-b16dbcbcd63b</vt:lpwstr>
  </property>
  <property fmtid="{D5CDD505-2E9C-101B-9397-08002B2CF9AE}" pid="6" name="OGC_x0020_Document_x0020_Status">
    <vt:lpwstr>6;#Draft|4e9a4bc7-9032-4d66-87ab-b16dbcbcd63b</vt:lpwstr>
  </property>
</Properties>
</file>