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52D61" w14:paraId="3E76B35C" w14:textId="32482ACA">
      <w:pPr>
        <w:tabs>
          <w:tab w:val="center" w:pos="4680"/>
        </w:tabs>
        <w:jc w:val="center"/>
        <w:rPr>
          <w:rFonts w:asciiTheme="minorHAnsi" w:hAnsiTheme="minorHAnsi" w:cstheme="minorHAnsi"/>
          <w:b/>
          <w:bCs/>
          <w:sz w:val="22"/>
          <w:szCs w:val="22"/>
        </w:rPr>
      </w:pPr>
      <w:r>
        <w:rPr>
          <w:rFonts w:asciiTheme="minorHAnsi" w:hAnsiTheme="minorHAnsi" w:cstheme="minorHAnsi"/>
          <w:b/>
          <w:bCs/>
          <w:sz w:val="22"/>
          <w:szCs w:val="22"/>
        </w:rPr>
        <w:t>SUPPORTING STATEMENT</w:t>
      </w:r>
    </w:p>
    <w:p w:rsidR="00752D61" w14:paraId="0074B14B" w14:textId="54F76771">
      <w:pPr>
        <w:tabs>
          <w:tab w:val="center" w:pos="4680"/>
        </w:tabs>
        <w:jc w:val="center"/>
        <w:rPr>
          <w:rFonts w:asciiTheme="minorHAnsi" w:hAnsiTheme="minorHAnsi" w:cstheme="minorHAnsi"/>
          <w:b/>
          <w:bCs/>
          <w:sz w:val="22"/>
          <w:szCs w:val="22"/>
        </w:rPr>
      </w:pPr>
      <w:r>
        <w:rPr>
          <w:rFonts w:asciiTheme="minorHAnsi" w:hAnsiTheme="minorHAnsi" w:cstheme="minorHAnsi"/>
          <w:b/>
          <w:bCs/>
          <w:sz w:val="22"/>
          <w:szCs w:val="22"/>
        </w:rPr>
        <w:t xml:space="preserve">Internal Revenue Service </w:t>
      </w:r>
      <w:r>
        <w:rPr>
          <w:rFonts w:asciiTheme="minorHAnsi" w:hAnsiTheme="minorHAnsi" w:cstheme="minorHAnsi"/>
          <w:b/>
          <w:bCs/>
          <w:color w:val="000000"/>
          <w:sz w:val="22"/>
          <w:szCs w:val="22"/>
        </w:rPr>
        <w:br/>
        <w:t>Qualified Contributions to a Scholarship Granting Organization</w:t>
      </w:r>
    </w:p>
    <w:p w:rsidR="00752D61" w14:paraId="2C51A181" w14:textId="17C24AB0">
      <w:pPr>
        <w:tabs>
          <w:tab w:val="center" w:pos="4680"/>
        </w:tabs>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Under Section 25F</w:t>
      </w:r>
    </w:p>
    <w:p w:rsidR="00752D61" w14:paraId="325F9CDE" w14:textId="73AFE9CD">
      <w:pPr>
        <w:tabs>
          <w:tab w:val="center" w:pos="4680"/>
        </w:tabs>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T.D. </w:t>
      </w:r>
      <w:r w:rsidRPr="00790FDF" w:rsidR="00790FDF">
        <w:rPr>
          <w:rFonts w:asciiTheme="minorHAnsi" w:hAnsiTheme="minorHAnsi" w:cstheme="minorHAnsi"/>
          <w:b/>
          <w:bCs/>
          <w:color w:val="000000"/>
          <w:sz w:val="22"/>
          <w:szCs w:val="22"/>
        </w:rPr>
        <w:t>10057</w:t>
      </w:r>
    </w:p>
    <w:p w:rsidR="00752D61" w14:paraId="7D5E6A60" w14:textId="28BD7B2F">
      <w:pPr>
        <w:tabs>
          <w:tab w:val="center" w:pos="4680"/>
        </w:tabs>
        <w:jc w:val="center"/>
        <w:rPr>
          <w:rFonts w:asciiTheme="minorHAnsi" w:hAnsiTheme="minorHAnsi" w:cstheme="minorHAnsi"/>
          <w:b/>
          <w:bCs/>
          <w:sz w:val="22"/>
          <w:szCs w:val="22"/>
        </w:rPr>
      </w:pPr>
      <w:r>
        <w:rPr>
          <w:rFonts w:asciiTheme="minorHAnsi" w:hAnsiTheme="minorHAnsi" w:cstheme="minorHAnsi"/>
          <w:b/>
          <w:bCs/>
          <w:color w:val="000000"/>
          <w:sz w:val="22"/>
          <w:szCs w:val="22"/>
        </w:rPr>
        <w:t>OMB Control Nos. 1545-2335</w:t>
      </w:r>
    </w:p>
    <w:p w:rsidR="00752D61" w14:paraId="2A23E202" w14:textId="77777777">
      <w:pPr>
        <w:rPr>
          <w:rFonts w:asciiTheme="minorHAnsi" w:hAnsiTheme="minorHAnsi" w:cstheme="minorHAnsi"/>
          <w:bCs/>
          <w:sz w:val="22"/>
          <w:szCs w:val="22"/>
        </w:rPr>
      </w:pPr>
    </w:p>
    <w:p w:rsidR="00752D61" w14:paraId="3DA22764" w14:textId="77777777">
      <w:pPr>
        <w:pStyle w:val="Level1"/>
        <w:rPr>
          <w:rFonts w:asciiTheme="minorHAnsi" w:hAnsiTheme="minorHAnsi" w:cstheme="minorHAnsi"/>
          <w:b/>
          <w:sz w:val="22"/>
          <w:szCs w:val="22"/>
        </w:rPr>
      </w:pPr>
      <w:r>
        <w:rPr>
          <w:rFonts w:asciiTheme="minorHAnsi" w:hAnsiTheme="minorHAnsi" w:cstheme="minorHAnsi"/>
          <w:b/>
          <w:sz w:val="22"/>
          <w:szCs w:val="22"/>
          <w:u w:val="single"/>
        </w:rPr>
        <w:t>CIRCUMSTANCES NECESSITATING COLLECTION OF INFORMATION</w:t>
      </w:r>
    </w:p>
    <w:p w:rsidR="00752D61" w14:paraId="10CDF7CE" w14:textId="77777777">
      <w:pPr>
        <w:rPr>
          <w:rFonts w:asciiTheme="minorHAnsi" w:hAnsiTheme="minorHAnsi" w:cstheme="minorHAnsi"/>
          <w:bCs/>
          <w:sz w:val="22"/>
          <w:szCs w:val="22"/>
        </w:rPr>
      </w:pPr>
    </w:p>
    <w:p w:rsidR="00752D61" w14:paraId="5543F8B5" w14:textId="2F10AE04">
      <w:pPr>
        <w:ind w:left="720"/>
        <w:rPr>
          <w:rFonts w:asciiTheme="minorHAnsi" w:hAnsiTheme="minorHAnsi" w:cstheme="minorHAnsi"/>
          <w:bCs/>
          <w:sz w:val="22"/>
          <w:szCs w:val="22"/>
        </w:rPr>
      </w:pPr>
      <w:r>
        <w:rPr>
          <w:rFonts w:asciiTheme="minorHAnsi" w:hAnsiTheme="minorHAnsi" w:cstheme="minorHAnsi"/>
          <w:bCs/>
          <w:sz w:val="22"/>
          <w:szCs w:val="22"/>
        </w:rPr>
        <w:t>Section 70411 of Public Law 119-21, 139 Stat. 72 (July 4, 2025), commonly known as the One, Big, Beautiful Bill Act (OBBBA), enacted new Section 25F of the Internal Revenue Code (IRC)</w:t>
      </w:r>
      <w:r>
        <w:rPr>
          <w:rStyle w:val="FootnoteReference"/>
          <w:rFonts w:asciiTheme="minorHAnsi" w:hAnsiTheme="minorHAnsi" w:cstheme="minorHAnsi"/>
          <w:sz w:val="22"/>
          <w:szCs w:val="22"/>
          <w:vertAlign w:val="superscript"/>
        </w:rPr>
        <w:t xml:space="preserve"> </w:t>
      </w:r>
      <w:r>
        <w:rPr>
          <w:rFonts w:asciiTheme="minorHAnsi" w:hAnsiTheme="minorHAnsi" w:cstheme="minorHAnsi"/>
          <w:bCs/>
          <w:sz w:val="22"/>
          <w:szCs w:val="22"/>
        </w:rPr>
        <w:t xml:space="preserve">to provide a nonrefundable income tax credit for an individual’s qualified contributions to public charities that a State has certified as meeting the section 25F requirements for a scholarship granting organization (SGO) and that States include on a list they submit to the IRS as part of their election to participate under section 25F for a particular calendar year.  Section 25F is effective for taxable years ending after December 31, 2026.  </w:t>
      </w:r>
    </w:p>
    <w:p w:rsidR="00752D61" w14:paraId="00699D98" w14:textId="77777777">
      <w:pPr>
        <w:ind w:left="720"/>
        <w:rPr>
          <w:rFonts w:asciiTheme="minorHAnsi" w:hAnsiTheme="minorHAnsi" w:cstheme="minorHAnsi"/>
          <w:bCs/>
          <w:sz w:val="22"/>
          <w:szCs w:val="22"/>
        </w:rPr>
      </w:pPr>
    </w:p>
    <w:p w:rsidR="00752D61" w14:paraId="30580A61" w14:textId="776E0E91">
      <w:pPr>
        <w:ind w:left="720"/>
        <w:rPr>
          <w:rFonts w:asciiTheme="minorHAnsi" w:hAnsiTheme="minorHAnsi" w:cstheme="minorHAnsi"/>
          <w:bCs/>
          <w:sz w:val="22"/>
          <w:szCs w:val="22"/>
        </w:rPr>
      </w:pPr>
      <w:r>
        <w:rPr>
          <w:rFonts w:asciiTheme="minorHAnsi" w:hAnsiTheme="minorHAnsi" w:cstheme="minorHAnsi"/>
          <w:bCs/>
          <w:sz w:val="22"/>
          <w:szCs w:val="22"/>
        </w:rPr>
        <w:t>Under Section 25F, taxpayers make charitable cash contributions to SGOs located in participating States and designate their contributions as qualified contributions. The SGO acknowledges the qualified contribution and uses the funds to award scholarships for qualified elementary and secondary school expenses to eligible students. Taxpayers then claim a non-refundable income tax credit for qualified contributions, subject to a $1,700 annual limitation</w:t>
      </w:r>
      <w:r w:rsidR="00F471A5">
        <w:rPr>
          <w:rFonts w:asciiTheme="minorHAnsi" w:hAnsiTheme="minorHAnsi" w:cstheme="minorHAnsi"/>
          <w:bCs/>
          <w:sz w:val="22"/>
          <w:szCs w:val="22"/>
        </w:rPr>
        <w:t xml:space="preserve"> per individual filer and up to $3,400 annual limitation for married joint filers,</w:t>
      </w:r>
      <w:r>
        <w:rPr>
          <w:rFonts w:asciiTheme="minorHAnsi" w:hAnsiTheme="minorHAnsi" w:cstheme="minorHAnsi"/>
          <w:bCs/>
          <w:sz w:val="22"/>
          <w:szCs w:val="22"/>
        </w:rPr>
        <w:t xml:space="preserve"> and a reduction for any State credit claimed or otherwise allowed for such contributions. The IRS administers the credit by processing claims and reconciling information reported by SGOs and individuals. In order for a contribution made by a taxpayer to a public charity to be a qualified contribution eligible for a </w:t>
      </w:r>
      <w:bookmarkStart w:id="0" w:name="_Hlk214012728"/>
      <w:r>
        <w:rPr>
          <w:rFonts w:asciiTheme="minorHAnsi" w:hAnsiTheme="minorHAnsi" w:cstheme="minorHAnsi"/>
          <w:bCs/>
          <w:sz w:val="22"/>
          <w:szCs w:val="22"/>
        </w:rPr>
        <w:t xml:space="preserve">Section 25F </w:t>
      </w:r>
      <w:bookmarkEnd w:id="0"/>
      <w:r>
        <w:rPr>
          <w:rFonts w:asciiTheme="minorHAnsi" w:hAnsiTheme="minorHAnsi" w:cstheme="minorHAnsi"/>
          <w:bCs/>
          <w:sz w:val="22"/>
          <w:szCs w:val="22"/>
        </w:rPr>
        <w:t>credit, multiple criteria must be met.</w:t>
      </w:r>
    </w:p>
    <w:p w:rsidR="00752D61" w14:paraId="5F253C00" w14:textId="77777777">
      <w:pPr>
        <w:ind w:left="720"/>
        <w:rPr>
          <w:rFonts w:asciiTheme="minorHAnsi" w:hAnsiTheme="minorHAnsi" w:cstheme="minorHAnsi"/>
          <w:bCs/>
          <w:sz w:val="22"/>
          <w:szCs w:val="22"/>
        </w:rPr>
      </w:pPr>
    </w:p>
    <w:p w:rsidR="00752D61" w14:paraId="5D0F36F1" w14:textId="611EC004">
      <w:pPr>
        <w:ind w:left="720"/>
        <w:rPr>
          <w:rFonts w:asciiTheme="minorHAnsi" w:hAnsiTheme="minorHAnsi" w:cstheme="minorHAnsi"/>
          <w:bCs/>
          <w:sz w:val="22"/>
          <w:szCs w:val="22"/>
        </w:rPr>
      </w:pPr>
      <w:r>
        <w:rPr>
          <w:rFonts w:asciiTheme="minorHAnsi" w:hAnsiTheme="minorHAnsi" w:cstheme="minorHAnsi"/>
          <w:bCs/>
          <w:sz w:val="22"/>
          <w:szCs w:val="22"/>
        </w:rPr>
        <w:t>The temporary regulations are set forth in 26 CFR §§ 1.25F-1T, 1.25F-4T(b) and (c), and 1.25F-5T. They provide procedures for States to make elections to participate under section 25F and certify public charities located in their State as SGOs. They also provide procedures for SGOs to provide acknowledgment of receipt of qualified contributions to individuals and to report information on those contributions to the IRS.</w:t>
      </w:r>
    </w:p>
    <w:p w:rsidR="00752D61" w14:paraId="130D8704" w14:textId="77777777">
      <w:pPr>
        <w:rPr>
          <w:rFonts w:asciiTheme="minorHAnsi" w:hAnsiTheme="minorHAnsi" w:cstheme="minorHAnsi"/>
          <w:bCs/>
          <w:sz w:val="22"/>
          <w:szCs w:val="22"/>
        </w:rPr>
      </w:pPr>
    </w:p>
    <w:p w:rsidR="00752D61" w14:paraId="14A54AFB" w14:textId="6715564E">
      <w:pPr>
        <w:ind w:left="720"/>
        <w:rPr>
          <w:rFonts w:asciiTheme="minorHAnsi" w:hAnsiTheme="minorHAnsi" w:cstheme="minorHAnsi"/>
          <w:b/>
          <w:sz w:val="22"/>
          <w:szCs w:val="22"/>
          <w:u w:val="single"/>
        </w:rPr>
      </w:pPr>
      <w:r>
        <w:rPr>
          <w:rFonts w:asciiTheme="minorHAnsi" w:hAnsiTheme="minorHAnsi" w:cstheme="minorHAnsi"/>
          <w:b/>
          <w:sz w:val="22"/>
          <w:szCs w:val="22"/>
          <w:u w:val="single"/>
        </w:rPr>
        <w:t>State Collection Requirements</w:t>
      </w:r>
    </w:p>
    <w:p w:rsidR="00752D61" w14:paraId="3CD61C9C" w14:textId="77777777">
      <w:pPr>
        <w:ind w:left="720"/>
        <w:rPr>
          <w:rFonts w:asciiTheme="minorHAnsi" w:hAnsiTheme="minorHAnsi" w:cstheme="minorHAnsi"/>
          <w:bCs/>
          <w:sz w:val="22"/>
          <w:szCs w:val="22"/>
        </w:rPr>
      </w:pPr>
    </w:p>
    <w:p w:rsidR="00752D61" w14:paraId="0295F5E4" w14:textId="5553C64C">
      <w:pPr>
        <w:ind w:left="720"/>
        <w:rPr>
          <w:rFonts w:asciiTheme="minorHAnsi" w:hAnsiTheme="minorHAnsi" w:cstheme="minorHAnsi"/>
          <w:bCs/>
          <w:sz w:val="22"/>
          <w:szCs w:val="22"/>
        </w:rPr>
      </w:pPr>
      <w:r>
        <w:rPr>
          <w:rFonts w:asciiTheme="minorHAnsi" w:hAnsiTheme="minorHAnsi" w:cstheme="minorHAnsi"/>
          <w:bCs/>
          <w:sz w:val="22"/>
          <w:szCs w:val="22"/>
        </w:rPr>
        <w:t>A State must voluntarily elect to participate under Section 25F for a calendar year, as described in section 25F(c)(1) and (g) and 26 CFR 1.25F-5T(c).  Once a State decides to participate, it must obtain a special employee identification number (EIN) to be used solely for participating under section 25F and register for the IRS State section 25F portal, described in 1.25F-</w:t>
      </w:r>
      <w:bookmarkStart w:id="1" w:name="_Ref232931842"/>
      <w:r>
        <w:rPr>
          <w:rFonts w:asciiTheme="minorHAnsi" w:hAnsiTheme="minorHAnsi" w:cstheme="minorHAnsi"/>
          <w:bCs/>
          <w:sz w:val="22"/>
          <w:szCs w:val="22"/>
        </w:rPr>
        <w:t>5T(b)</w:t>
      </w:r>
      <w:bookmarkEnd w:id="1"/>
      <w:r>
        <w:rPr>
          <w:rFonts w:asciiTheme="minorHAnsi" w:hAnsiTheme="minorHAnsi" w:cstheme="minorHAnsi"/>
          <w:bCs/>
          <w:sz w:val="22"/>
          <w:szCs w:val="22"/>
        </w:rPr>
        <w:t xml:space="preserve">.    </w:t>
      </w:r>
    </w:p>
    <w:p w:rsidR="00752D61" w14:paraId="76BD5B83" w14:textId="77777777">
      <w:pPr>
        <w:ind w:left="720"/>
        <w:rPr>
          <w:rFonts w:asciiTheme="minorHAnsi" w:hAnsiTheme="minorHAnsi" w:cstheme="minorHAnsi"/>
          <w:bCs/>
          <w:sz w:val="22"/>
          <w:szCs w:val="22"/>
        </w:rPr>
      </w:pPr>
    </w:p>
    <w:p w:rsidR="00752D61" w14:paraId="35EAD974" w14:textId="06CB7A86">
      <w:pPr>
        <w:ind w:left="720"/>
        <w:rPr>
          <w:rFonts w:asciiTheme="minorHAnsi" w:hAnsiTheme="minorHAnsi" w:cstheme="minorHAnsi"/>
          <w:bCs/>
          <w:sz w:val="22"/>
          <w:szCs w:val="22"/>
        </w:rPr>
      </w:pPr>
      <w:r>
        <w:rPr>
          <w:rFonts w:asciiTheme="minorHAnsi" w:hAnsiTheme="minorHAnsi" w:cstheme="minorHAnsi"/>
          <w:bCs/>
          <w:sz w:val="22"/>
          <w:szCs w:val="22"/>
        </w:rPr>
        <w:t xml:space="preserve">States will use the IRS State section 25F portal to submit to the IRS their election to participate, as detailed in 26 CFR 1.25F-5T(b).  For 2027, States will make this election using Form 15714, </w:t>
      </w:r>
      <w:r>
        <w:rPr>
          <w:rFonts w:asciiTheme="minorHAnsi" w:hAnsiTheme="minorHAnsi" w:cstheme="minorHAnsi"/>
          <w:bCs/>
          <w:i/>
          <w:iCs/>
          <w:sz w:val="22"/>
          <w:szCs w:val="22"/>
        </w:rPr>
        <w:t>Advance Election to Participate Under Section 25F</w:t>
      </w:r>
      <w:r>
        <w:rPr>
          <w:rFonts w:asciiTheme="minorHAnsi" w:hAnsiTheme="minorHAnsi" w:cstheme="minorHAnsi"/>
          <w:bCs/>
          <w:sz w:val="22"/>
          <w:szCs w:val="22"/>
        </w:rPr>
        <w:t xml:space="preserve">.  </w:t>
      </w:r>
    </w:p>
    <w:p w:rsidR="00752D61" w14:paraId="0DE89D1F" w14:textId="77777777">
      <w:pPr>
        <w:ind w:left="720"/>
        <w:rPr>
          <w:rFonts w:asciiTheme="minorHAnsi" w:hAnsiTheme="minorHAnsi" w:cstheme="minorHAnsi"/>
          <w:bCs/>
          <w:sz w:val="22"/>
          <w:szCs w:val="22"/>
        </w:rPr>
      </w:pPr>
    </w:p>
    <w:p w:rsidR="00752D61" w14:paraId="77660A87" w14:textId="0E80D91A">
      <w:pPr>
        <w:ind w:left="720"/>
        <w:rPr>
          <w:rFonts w:asciiTheme="minorHAnsi" w:hAnsiTheme="minorHAnsi" w:cstheme="minorHAnsi"/>
          <w:bCs/>
          <w:sz w:val="22"/>
          <w:szCs w:val="22"/>
        </w:rPr>
      </w:pPr>
      <w:r>
        <w:rPr>
          <w:rFonts w:asciiTheme="minorHAnsi" w:hAnsiTheme="minorHAnsi" w:cstheme="minorHAnsi"/>
          <w:bCs/>
          <w:sz w:val="22"/>
          <w:szCs w:val="22"/>
        </w:rPr>
        <w:t xml:space="preserve">States that participate for a calendar year will need to provide IRS with a list of organizations </w:t>
      </w:r>
      <w:r>
        <w:rPr>
          <w:rFonts w:asciiTheme="minorHAnsi" w:hAnsiTheme="minorHAnsi" w:cstheme="minorHAnsi"/>
          <w:bCs/>
          <w:sz w:val="22"/>
          <w:szCs w:val="22"/>
        </w:rPr>
        <w:t xml:space="preserve">located in their State that are described in section 25F(c)(5)(A) and (B), are seeking inclusion on the State SGO list, and are operating in a manner that satisfies the operational requirements in section 25F(d). States are required to inform IRS of any changes to the State SGO list, as described in 26 CFR 1.25-5T(d)(7). IRS will publish an IRS SGO list which includes the SGOs on the State SGO lists that have authorized the disclosure of their identifying information and SGO status on the IRS website. </w:t>
      </w:r>
    </w:p>
    <w:p w:rsidR="00752D61" w14:paraId="383349E6" w14:textId="77777777">
      <w:pPr>
        <w:ind w:left="720"/>
        <w:rPr>
          <w:rFonts w:asciiTheme="minorHAnsi" w:hAnsiTheme="minorHAnsi" w:cstheme="minorHAnsi"/>
          <w:bCs/>
          <w:sz w:val="22"/>
          <w:szCs w:val="22"/>
        </w:rPr>
      </w:pPr>
    </w:p>
    <w:p w:rsidR="00752D61" w14:paraId="436A3A92" w14:textId="2FF15DE6">
      <w:pPr>
        <w:ind w:left="720"/>
        <w:rPr>
          <w:rFonts w:asciiTheme="minorHAnsi" w:hAnsiTheme="minorHAnsi" w:cstheme="minorHAnsi"/>
          <w:bCs/>
          <w:sz w:val="22"/>
          <w:szCs w:val="22"/>
        </w:rPr>
      </w:pPr>
      <w:r>
        <w:rPr>
          <w:rFonts w:asciiTheme="minorHAnsi" w:hAnsiTheme="minorHAnsi" w:cstheme="minorHAnsi"/>
          <w:bCs/>
          <w:sz w:val="22"/>
          <w:szCs w:val="22"/>
        </w:rPr>
        <w:t>States must certify, as described in 26 CFR 1.25F-5T(c)(5)(iv) and (d)(3), that the SGOs on its list satisfy the requirements described in section 25F(c)(5) for the applicable calendar year.  In accordance with 26 CFR 1.25F-5T(c)(5)(iv) and (d)(2), a State must provide information with respect to each organization named on the State SGO list, including certain identifying information and whether the organization has received recognition as a section 501(c)(3) public charity. Finally, States must create policies and procedures for certifying SGOs and keep records related to these procedures, as described in 26 CFR 1.25F-5T(c)(5)(vi) and (d)</w:t>
      </w:r>
      <w:bookmarkStart w:id="2" w:name="_Ref232928171"/>
      <w:r>
        <w:rPr>
          <w:rFonts w:asciiTheme="minorHAnsi" w:hAnsiTheme="minorHAnsi" w:cstheme="minorHAnsi"/>
          <w:bCs/>
          <w:sz w:val="22"/>
          <w:szCs w:val="22"/>
        </w:rPr>
        <w:t>(6)</w:t>
      </w:r>
      <w:bookmarkEnd w:id="2"/>
      <w:r>
        <w:rPr>
          <w:rFonts w:asciiTheme="minorHAnsi" w:hAnsiTheme="minorHAnsi" w:cstheme="minorHAnsi"/>
          <w:bCs/>
          <w:sz w:val="22"/>
          <w:szCs w:val="22"/>
        </w:rPr>
        <w:t xml:space="preserve">.  </w:t>
      </w:r>
    </w:p>
    <w:p w:rsidR="00752D61" w14:paraId="1323B2FC" w14:textId="55AC59C7">
      <w:pPr>
        <w:ind w:left="720"/>
        <w:rPr>
          <w:rFonts w:asciiTheme="minorHAnsi" w:hAnsiTheme="minorHAnsi" w:cstheme="minorHAnsi"/>
          <w:bCs/>
          <w:sz w:val="22"/>
          <w:szCs w:val="22"/>
        </w:rPr>
      </w:pPr>
    </w:p>
    <w:p w:rsidR="00752D61" w14:paraId="7D7477E8" w14:textId="228DF3B8">
      <w:pPr>
        <w:ind w:firstLine="720"/>
        <w:rPr>
          <w:rFonts w:asciiTheme="minorHAnsi" w:hAnsiTheme="minorHAnsi" w:cstheme="minorHAnsi"/>
          <w:b/>
          <w:sz w:val="22"/>
          <w:szCs w:val="22"/>
          <w:u w:val="single"/>
        </w:rPr>
      </w:pPr>
      <w:r>
        <w:rPr>
          <w:rFonts w:asciiTheme="minorHAnsi" w:hAnsiTheme="minorHAnsi" w:cstheme="minorHAnsi"/>
          <w:b/>
          <w:sz w:val="22"/>
          <w:szCs w:val="22"/>
          <w:u w:val="single"/>
        </w:rPr>
        <w:t>SGO Collection Requirements</w:t>
      </w:r>
    </w:p>
    <w:p w:rsidR="00752D61" w14:paraId="5873879C" w14:textId="163D64E5">
      <w:pPr>
        <w:rPr>
          <w:rFonts w:asciiTheme="minorHAnsi" w:hAnsiTheme="minorHAnsi" w:cstheme="minorHAnsi"/>
          <w:bCs/>
          <w:sz w:val="22"/>
          <w:szCs w:val="22"/>
        </w:rPr>
      </w:pPr>
    </w:p>
    <w:p w:rsidR="00752D61" w14:paraId="7529369E" w14:textId="49E95523">
      <w:pPr>
        <w:ind w:left="720"/>
        <w:rPr>
          <w:rFonts w:asciiTheme="minorHAnsi" w:hAnsiTheme="minorHAnsi" w:cstheme="minorHAnsi"/>
          <w:bCs/>
          <w:sz w:val="22"/>
          <w:szCs w:val="22"/>
        </w:rPr>
      </w:pPr>
      <w:r>
        <w:rPr>
          <w:rFonts w:asciiTheme="minorHAnsi" w:hAnsiTheme="minorHAnsi" w:cstheme="minorHAnsi"/>
          <w:bCs/>
          <w:sz w:val="22"/>
          <w:szCs w:val="22"/>
        </w:rPr>
        <w:t xml:space="preserve">When an SGO receives a donation that the donor has designated as a qualified contribution, it must provide the donor an acknowledgement containing a unique donor number, as detailed in 26 CFR 1.25F-4T(c)(1). The SGO must maintain records in order to report the qualified contributions to the IRS, as detailed in 26 CFR 1.25F-4T(c)(2). </w:t>
      </w:r>
    </w:p>
    <w:p w:rsidR="00752D61" w14:paraId="343D74B5" w14:textId="77777777">
      <w:pPr>
        <w:ind w:left="720"/>
        <w:rPr>
          <w:rFonts w:asciiTheme="minorHAnsi" w:hAnsiTheme="minorHAnsi" w:cstheme="minorHAnsi"/>
          <w:bCs/>
          <w:sz w:val="22"/>
          <w:szCs w:val="22"/>
        </w:rPr>
      </w:pPr>
    </w:p>
    <w:p w:rsidR="00752D61" w14:paraId="542D3CCA" w14:textId="4A427814">
      <w:pPr>
        <w:ind w:left="720"/>
        <w:rPr>
          <w:rFonts w:asciiTheme="minorHAnsi" w:hAnsiTheme="minorHAnsi" w:cstheme="minorHAnsi"/>
          <w:bCs/>
          <w:sz w:val="22"/>
          <w:szCs w:val="22"/>
        </w:rPr>
      </w:pPr>
      <w:r>
        <w:rPr>
          <w:rFonts w:asciiTheme="minorHAnsi" w:hAnsiTheme="minorHAnsi" w:cstheme="minorHAnsi"/>
          <w:bCs/>
          <w:sz w:val="22"/>
          <w:szCs w:val="22"/>
        </w:rPr>
        <w:t xml:space="preserve">An SGO must register for the IRS SGO portal, as described in 26 CFR 1.25F-4T(b). SGOs may authorize disclosure of their name and identifying information for inclusion on the IRS SGO list. Through the IRS SGO portal, the SGO must annually provide the IRS with the donor’s information and the qualified contribution information, including the unique donor number, by February 28 of the year following the year in which such donation was made, as detailed in 26 CFR 1.25F-4T(c)(2). </w:t>
      </w:r>
    </w:p>
    <w:p w:rsidR="00752D61" w14:paraId="4547E2D6" w14:textId="77777777">
      <w:pPr>
        <w:rPr>
          <w:rFonts w:asciiTheme="minorHAnsi" w:hAnsiTheme="minorHAnsi" w:cstheme="minorHAnsi"/>
          <w:bCs/>
          <w:sz w:val="22"/>
          <w:szCs w:val="22"/>
        </w:rPr>
      </w:pPr>
    </w:p>
    <w:p w:rsidR="00752D61" w14:paraId="794AB017" w14:textId="77777777">
      <w:pPr>
        <w:pStyle w:val="Level1"/>
        <w:rPr>
          <w:rFonts w:asciiTheme="minorHAnsi" w:hAnsiTheme="minorHAnsi" w:cstheme="minorHAnsi"/>
          <w:bCs/>
          <w:sz w:val="22"/>
          <w:szCs w:val="22"/>
        </w:rPr>
      </w:pPr>
      <w:r>
        <w:rPr>
          <w:rFonts w:asciiTheme="minorHAnsi" w:hAnsiTheme="minorHAnsi" w:cstheme="minorHAnsi"/>
          <w:bCs/>
          <w:sz w:val="22"/>
          <w:szCs w:val="22"/>
          <w:u w:val="single"/>
        </w:rPr>
        <w:t>USE OF DATA</w:t>
      </w:r>
    </w:p>
    <w:p w:rsidR="00752D61" w14:paraId="415266C1" w14:textId="77777777">
      <w:pPr>
        <w:rPr>
          <w:rFonts w:asciiTheme="minorHAnsi" w:hAnsiTheme="minorHAnsi" w:cstheme="minorHAnsi"/>
          <w:bCs/>
          <w:sz w:val="22"/>
          <w:szCs w:val="22"/>
        </w:rPr>
      </w:pPr>
    </w:p>
    <w:p w:rsidR="00752D61" w14:paraId="75EE4EAB" w14:textId="4FC9ED17">
      <w:pPr>
        <w:ind w:left="720"/>
        <w:rPr>
          <w:rFonts w:asciiTheme="minorHAnsi" w:hAnsiTheme="minorHAnsi" w:cstheme="minorHAnsi"/>
          <w:bCs/>
          <w:sz w:val="22"/>
          <w:szCs w:val="22"/>
        </w:rPr>
      </w:pPr>
      <w:r>
        <w:rPr>
          <w:rFonts w:asciiTheme="minorHAnsi" w:hAnsiTheme="minorHAnsi" w:cstheme="minorHAnsi"/>
          <w:bCs/>
          <w:sz w:val="22"/>
          <w:szCs w:val="22"/>
        </w:rPr>
        <w:t>The information provided will enable States to make their election to participate under section 25F and certify that a public charity meets the requirements for classification as an SGO for the State SGO list that a State must submit to the IRS as part of its election. Taxpayers will use the IRS SGO list that IRS publishes based on the State SGO lists to determine what organizations have qualified as SGOs. Taxpayers who claim the section 25F credit for qualified contributions will provide information regarding their contributions to IRS, which IRS will match against information received from SGOs. SGOs will facilitate this process by providing taxpayers with a record and identification of their contributions.</w:t>
      </w:r>
    </w:p>
    <w:p w:rsidR="00752D61" w14:paraId="7CEA1D48" w14:textId="77777777">
      <w:pPr>
        <w:ind w:left="720"/>
        <w:rPr>
          <w:rFonts w:asciiTheme="minorHAnsi" w:hAnsiTheme="minorHAnsi" w:cstheme="minorHAnsi"/>
          <w:bCs/>
          <w:sz w:val="22"/>
          <w:szCs w:val="22"/>
        </w:rPr>
      </w:pPr>
    </w:p>
    <w:p w:rsidR="00752D61" w14:paraId="23B4FB63" w14:textId="7D9102B3">
      <w:pPr>
        <w:pStyle w:val="Level1"/>
        <w:ind w:left="720" w:hanging="720"/>
        <w:rPr>
          <w:rFonts w:asciiTheme="minorHAnsi" w:hAnsiTheme="minorHAnsi" w:cstheme="minorHAnsi"/>
          <w:bCs/>
          <w:sz w:val="22"/>
          <w:szCs w:val="22"/>
        </w:rPr>
      </w:pPr>
      <w:r>
        <w:rPr>
          <w:rFonts w:asciiTheme="minorHAnsi" w:hAnsiTheme="minorHAnsi" w:cstheme="minorHAnsi"/>
          <w:bCs/>
          <w:sz w:val="22"/>
          <w:szCs w:val="22"/>
          <w:u w:val="single"/>
        </w:rPr>
        <w:t>USE OF IMPROVED INFORMATION TECHNOLOGY TO REDUCE BURDEN</w:t>
      </w:r>
    </w:p>
    <w:p w:rsidR="00752D61" w14:paraId="68DCBC34" w14:textId="77777777">
      <w:pPr>
        <w:ind w:left="720"/>
        <w:rPr>
          <w:rFonts w:asciiTheme="minorHAnsi" w:hAnsiTheme="minorHAnsi" w:cstheme="minorHAnsi"/>
          <w:bCs/>
          <w:sz w:val="22"/>
          <w:szCs w:val="22"/>
        </w:rPr>
      </w:pPr>
    </w:p>
    <w:p w:rsidR="00752D61" w14:paraId="0033B186" w14:textId="5C24681D">
      <w:pPr>
        <w:ind w:left="720"/>
        <w:rPr>
          <w:rFonts w:asciiTheme="minorHAnsi" w:hAnsiTheme="minorHAnsi" w:cstheme="minorHAnsi"/>
          <w:bCs/>
          <w:sz w:val="22"/>
          <w:szCs w:val="22"/>
        </w:rPr>
      </w:pPr>
      <w:r>
        <w:rPr>
          <w:rFonts w:asciiTheme="minorHAnsi" w:hAnsiTheme="minorHAnsi" w:cstheme="minorHAnsi"/>
          <w:bCs/>
          <w:sz w:val="22"/>
          <w:szCs w:val="22"/>
        </w:rPr>
        <w:t xml:space="preserve">IRS is engaged with IT developers to facilitate State submissions of State elections and State SGO lists and SGO submissions of qualified contribution information through dedicated online portals. IRS will post the IRS SGO lists on the IRS.gov website. SGOs are required to provide timely written acknowledgement of contributions received to donors, which can be provided in </w:t>
      </w:r>
      <w:r>
        <w:rPr>
          <w:rFonts w:asciiTheme="minorHAnsi" w:hAnsiTheme="minorHAnsi" w:cstheme="minorHAnsi"/>
          <w:bCs/>
          <w:sz w:val="22"/>
          <w:szCs w:val="22"/>
        </w:rPr>
        <w:t>writing or in any other form acceptable to the donor, including by electronic delivery if the donor consents to receive the statement electronically.</w:t>
      </w:r>
    </w:p>
    <w:p w:rsidR="00752D61" w14:paraId="5A2E23C4" w14:textId="77777777">
      <w:pPr>
        <w:ind w:left="720"/>
        <w:rPr>
          <w:rFonts w:asciiTheme="minorHAnsi" w:hAnsiTheme="minorHAnsi" w:cstheme="minorHAnsi"/>
          <w:bCs/>
          <w:sz w:val="22"/>
          <w:szCs w:val="22"/>
        </w:rPr>
      </w:pPr>
    </w:p>
    <w:p w:rsidR="00752D61" w14:paraId="371EF7FD" w14:textId="77777777">
      <w:pPr>
        <w:pStyle w:val="Level1"/>
        <w:rPr>
          <w:rFonts w:asciiTheme="minorHAnsi" w:hAnsiTheme="minorHAnsi" w:cstheme="minorHAnsi"/>
          <w:bCs/>
          <w:sz w:val="22"/>
          <w:szCs w:val="22"/>
        </w:rPr>
      </w:pPr>
      <w:r>
        <w:rPr>
          <w:rFonts w:asciiTheme="minorHAnsi" w:hAnsiTheme="minorHAnsi" w:cstheme="minorHAnsi"/>
          <w:bCs/>
          <w:sz w:val="22"/>
          <w:szCs w:val="22"/>
          <w:u w:val="single"/>
        </w:rPr>
        <w:t>EFFORTS TO IDENTIFY DUPLICATION</w:t>
      </w:r>
    </w:p>
    <w:p w:rsidR="00752D61" w14:paraId="3A1C6859" w14:textId="77777777">
      <w:pPr>
        <w:rPr>
          <w:rFonts w:asciiTheme="minorHAnsi" w:hAnsiTheme="minorHAnsi" w:cstheme="minorHAnsi"/>
          <w:bCs/>
          <w:sz w:val="22"/>
          <w:szCs w:val="22"/>
        </w:rPr>
      </w:pPr>
    </w:p>
    <w:p w:rsidR="00752D61" w14:paraId="6EDBE416" w14:textId="79F5DAF5">
      <w:pPr>
        <w:tabs>
          <w:tab w:val="left" w:pos="-1440"/>
        </w:tabs>
        <w:ind w:left="720"/>
        <w:rPr>
          <w:rFonts w:asciiTheme="minorHAnsi" w:hAnsiTheme="minorHAnsi" w:cstheme="minorHAnsi"/>
          <w:bCs/>
          <w:sz w:val="22"/>
          <w:szCs w:val="22"/>
        </w:rPr>
      </w:pPr>
      <w:r>
        <w:rPr>
          <w:rFonts w:asciiTheme="minorHAnsi" w:hAnsiTheme="minorHAnsi" w:cstheme="minorHAnsi"/>
          <w:bCs/>
          <w:sz w:val="22"/>
          <w:szCs w:val="22"/>
        </w:rPr>
        <w:t xml:space="preserve">Section 25F is a new provision added to the IRC by Section 70411 of OBBBA.  No existing reporting requirements or processes are duplicated elsewhere within the IRS. The information collected is unique and is not already available for use or adaptation from another source.  IRS is the only Federal agency with the authority to collect this tax information. </w:t>
      </w:r>
    </w:p>
    <w:p w:rsidR="00752D61" w14:paraId="04CA2452" w14:textId="77777777">
      <w:pPr>
        <w:tabs>
          <w:tab w:val="left" w:pos="-1440"/>
        </w:tabs>
        <w:ind w:left="720" w:hanging="720"/>
        <w:rPr>
          <w:rFonts w:asciiTheme="minorHAnsi" w:hAnsiTheme="minorHAnsi" w:cstheme="minorHAnsi"/>
          <w:b/>
          <w:bCs/>
          <w:sz w:val="22"/>
          <w:szCs w:val="22"/>
        </w:rPr>
      </w:pPr>
    </w:p>
    <w:p w:rsidR="00752D61" w14:paraId="59E008DF" w14:textId="77777777">
      <w:pPr>
        <w:pStyle w:val="Level1"/>
        <w:tabs>
          <w:tab w:val="left" w:pos="-1440"/>
        </w:tabs>
        <w:rPr>
          <w:rFonts w:asciiTheme="minorHAnsi" w:hAnsiTheme="minorHAnsi" w:cstheme="minorHAnsi"/>
          <w:sz w:val="22"/>
          <w:szCs w:val="22"/>
        </w:rPr>
      </w:pPr>
      <w:r>
        <w:rPr>
          <w:rFonts w:asciiTheme="minorHAnsi" w:hAnsiTheme="minorHAnsi" w:cstheme="minorHAnsi"/>
          <w:sz w:val="22"/>
          <w:szCs w:val="22"/>
          <w:u w:val="single"/>
        </w:rPr>
        <w:t>METHODS TO MINIMIZE BURDEN ON SMALL BUSINESSES OR OTHER SMALL ENTITIES</w:t>
      </w:r>
    </w:p>
    <w:p w:rsidR="00752D61" w14:paraId="02C13DDD" w14:textId="77777777">
      <w:pPr>
        <w:rPr>
          <w:rFonts w:asciiTheme="minorHAnsi" w:hAnsiTheme="minorHAnsi" w:cstheme="minorHAnsi"/>
          <w:sz w:val="22"/>
          <w:szCs w:val="22"/>
        </w:rPr>
      </w:pPr>
    </w:p>
    <w:p w:rsidR="00752D61" w14:paraId="785F3533" w14:textId="77777777">
      <w:pPr>
        <w:ind w:left="720"/>
        <w:rPr>
          <w:rFonts w:asciiTheme="minorHAnsi" w:hAnsiTheme="minorHAnsi" w:cstheme="minorHAnsi"/>
          <w:bCs/>
          <w:sz w:val="22"/>
          <w:szCs w:val="22"/>
        </w:rPr>
      </w:pPr>
      <w:r>
        <w:rPr>
          <w:rFonts w:asciiTheme="minorHAnsi" w:hAnsiTheme="minorHAnsi" w:cstheme="minorHAnsi"/>
          <w:bCs/>
          <w:sz w:val="22"/>
          <w:szCs w:val="22"/>
        </w:rPr>
        <w:t xml:space="preserve">The collections of information imposed on the States do not impose a burden on small businesses or other small entities as States are not considered to be either. </w:t>
      </w:r>
    </w:p>
    <w:p w:rsidR="00752D61" w14:paraId="30785CFB" w14:textId="77777777">
      <w:pPr>
        <w:ind w:left="720"/>
        <w:rPr>
          <w:rFonts w:asciiTheme="minorHAnsi" w:hAnsiTheme="minorHAnsi" w:cstheme="minorHAnsi"/>
          <w:bCs/>
          <w:sz w:val="22"/>
          <w:szCs w:val="22"/>
        </w:rPr>
      </w:pPr>
    </w:p>
    <w:p w:rsidR="00752D61" w14:paraId="098D159C" w14:textId="33CE97C1">
      <w:pPr>
        <w:ind w:left="720"/>
        <w:rPr>
          <w:rFonts w:asciiTheme="minorHAnsi" w:hAnsiTheme="minorHAnsi" w:cstheme="minorHAnsi"/>
          <w:bCs/>
          <w:sz w:val="22"/>
          <w:szCs w:val="22"/>
        </w:rPr>
      </w:pPr>
      <w:r>
        <w:rPr>
          <w:rFonts w:asciiTheme="minorHAnsi" w:hAnsiTheme="minorHAnsi" w:cstheme="minorHAnsi"/>
          <w:bCs/>
          <w:sz w:val="22"/>
          <w:szCs w:val="22"/>
        </w:rPr>
        <w:t>The Treasury Department and the IRS currently estimate that 600 to 700 organizations may be impacted by these regulations because they will seek to be SGOs. The Treasury Department and the IRS expect that at least 95 percent of these organizations will likely be considered a small business entity. The Treasury Department and the IRS considered alternatives to the regulations, but were not able to identify any alternatives that would achieve the goals of these rules and be less burdensome to small entities.</w:t>
      </w:r>
    </w:p>
    <w:p w:rsidR="00752D61" w14:paraId="1EB39B39" w14:textId="2EA1A03D">
      <w:pPr>
        <w:ind w:left="576"/>
        <w:rPr>
          <w:rFonts w:asciiTheme="minorHAnsi" w:hAnsiTheme="minorHAnsi" w:cstheme="minorHAnsi"/>
          <w:snapToGrid w:val="0"/>
          <w:sz w:val="22"/>
          <w:szCs w:val="22"/>
        </w:rPr>
      </w:pPr>
      <w:r>
        <w:rPr>
          <w:rFonts w:asciiTheme="minorHAnsi" w:hAnsiTheme="minorHAnsi" w:cstheme="minorHAnsi"/>
          <w:snapToGrid w:val="0"/>
          <w:sz w:val="22"/>
          <w:szCs w:val="22"/>
        </w:rPr>
        <w:t xml:space="preserve">  </w:t>
      </w:r>
    </w:p>
    <w:p w:rsidR="00752D61" w14:paraId="6B56A0E3" w14:textId="77777777">
      <w:pPr>
        <w:pStyle w:val="Level1"/>
        <w:ind w:left="720" w:hanging="720"/>
        <w:rPr>
          <w:rFonts w:asciiTheme="minorHAnsi" w:hAnsiTheme="minorHAnsi" w:cstheme="minorHAnsi"/>
          <w:sz w:val="22"/>
          <w:szCs w:val="22"/>
        </w:rPr>
      </w:pPr>
      <w:r>
        <w:rPr>
          <w:rFonts w:asciiTheme="minorHAnsi" w:hAnsiTheme="minorHAnsi" w:cstheme="minorHAnsi"/>
          <w:sz w:val="22"/>
          <w:szCs w:val="22"/>
          <w:u w:val="single"/>
        </w:rPr>
        <w:t>CONSEQUENCES OF LESS FREQUENT COLLECTION ON FEDERAL PROGRAMS OR POLICY ACTIVITIES</w:t>
      </w:r>
    </w:p>
    <w:p w:rsidR="00752D61" w14:paraId="756713BB" w14:textId="55D48933">
      <w:pPr>
        <w:ind w:left="720"/>
        <w:rPr>
          <w:rFonts w:asciiTheme="minorHAnsi" w:hAnsiTheme="minorHAnsi" w:cstheme="minorHAnsi"/>
          <w:sz w:val="22"/>
          <w:szCs w:val="22"/>
        </w:rPr>
      </w:pPr>
    </w:p>
    <w:p w:rsidR="00752D61" w14:paraId="5DC9C125" w14:textId="28CD5E64">
      <w:pPr>
        <w:ind w:left="720"/>
        <w:rPr>
          <w:rFonts w:asciiTheme="minorHAnsi" w:hAnsiTheme="minorHAnsi" w:cstheme="minorHAnsi"/>
          <w:sz w:val="22"/>
          <w:szCs w:val="22"/>
        </w:rPr>
      </w:pPr>
      <w:bookmarkStart w:id="3" w:name="_Hlk214283425"/>
      <w:r>
        <w:rPr>
          <w:rFonts w:asciiTheme="minorHAnsi" w:hAnsiTheme="minorHAnsi" w:cstheme="minorHAnsi"/>
          <w:sz w:val="22"/>
          <w:szCs w:val="22"/>
        </w:rPr>
        <w:t>A less frequent collection of this information would be inconsistent with statutory requirements. The collection requirements are necessary to administer the section 25F credit for contributions to SGOs. The collections of information generally would be used by the States to be able to identify and certify SGOs in the State and  by SGOs (1) to provide information to taxpayers regarding their contributions to enable them to qualify for the credit and (2) to report information on those contributions to the IRS.</w:t>
      </w:r>
    </w:p>
    <w:bookmarkEnd w:id="3"/>
    <w:p w:rsidR="00752D61" w14:paraId="0E6CE319" w14:textId="428E25E1">
      <w:pPr>
        <w:ind w:left="720"/>
        <w:rPr>
          <w:rFonts w:asciiTheme="minorHAnsi" w:hAnsiTheme="minorHAnsi" w:cstheme="minorHAnsi"/>
          <w:sz w:val="22"/>
          <w:szCs w:val="22"/>
        </w:rPr>
      </w:pPr>
    </w:p>
    <w:p w:rsidR="00752D61" w14:paraId="0250FACC" w14:textId="77777777">
      <w:pPr>
        <w:pStyle w:val="Level1"/>
        <w:tabs>
          <w:tab w:val="left" w:pos="-1440"/>
        </w:tabs>
        <w:ind w:left="720" w:hanging="720"/>
        <w:rPr>
          <w:rFonts w:asciiTheme="minorHAnsi" w:hAnsiTheme="minorHAnsi" w:cstheme="minorHAnsi"/>
          <w:sz w:val="22"/>
          <w:szCs w:val="22"/>
        </w:rPr>
      </w:pPr>
      <w:r>
        <w:rPr>
          <w:rFonts w:asciiTheme="minorHAnsi" w:hAnsiTheme="minorHAnsi" w:cstheme="minorHAnsi"/>
          <w:sz w:val="22"/>
          <w:szCs w:val="22"/>
          <w:u w:val="single"/>
        </w:rPr>
        <w:t>SPECIAL CIRCUMSTANCES REQUIRING DATA COLLECTION TO BE INCONSISTENT WITH GUIDELINES IN 5 CFR 1320.5(d)(2)</w:t>
      </w:r>
    </w:p>
    <w:p w:rsidR="00752D61" w14:paraId="1CD40FC2" w14:textId="77777777">
      <w:pPr>
        <w:pStyle w:val="Level1"/>
        <w:numPr>
          <w:ilvl w:val="0"/>
          <w:numId w:val="0"/>
        </w:numPr>
        <w:tabs>
          <w:tab w:val="left" w:pos="-1440"/>
        </w:tabs>
        <w:ind w:left="720" w:hanging="720"/>
        <w:rPr>
          <w:rFonts w:asciiTheme="minorHAnsi" w:hAnsiTheme="minorHAnsi" w:cstheme="minorHAnsi"/>
          <w:sz w:val="22"/>
          <w:szCs w:val="22"/>
          <w:u w:val="single"/>
        </w:rPr>
      </w:pPr>
    </w:p>
    <w:p w:rsidR="00752D61" w14:paraId="11BB3CF5" w14:textId="6BFD7C29">
      <w:pPr>
        <w:ind w:left="720"/>
        <w:rPr>
          <w:rFonts w:asciiTheme="minorHAnsi" w:hAnsiTheme="minorHAnsi" w:cstheme="minorHAnsi"/>
          <w:sz w:val="22"/>
          <w:szCs w:val="22"/>
        </w:rPr>
      </w:pPr>
      <w:r>
        <w:rPr>
          <w:rFonts w:asciiTheme="minorHAnsi" w:hAnsiTheme="minorHAnsi" w:cstheme="minorHAnsi"/>
          <w:sz w:val="22"/>
          <w:szCs w:val="22"/>
        </w:rPr>
        <w:t>There are no special circumstances requiring data collection to be inconsistent with Guidelines in 5 CFR 1320.5(d)(2).</w:t>
      </w:r>
    </w:p>
    <w:p w:rsidR="00752D61" w14:paraId="03BEA403" w14:textId="77777777">
      <w:pPr>
        <w:rPr>
          <w:rFonts w:asciiTheme="minorHAnsi" w:hAnsiTheme="minorHAnsi" w:cstheme="minorHAnsi"/>
          <w:sz w:val="22"/>
          <w:szCs w:val="22"/>
        </w:rPr>
      </w:pPr>
    </w:p>
    <w:p w:rsidR="00752D61" w14:paraId="43A6A908" w14:textId="77777777">
      <w:pPr>
        <w:rPr>
          <w:rFonts w:asciiTheme="minorHAnsi" w:hAnsiTheme="minorHAnsi" w:cstheme="minorHAnsi"/>
          <w:sz w:val="22"/>
          <w:szCs w:val="22"/>
        </w:rPr>
        <w:sectPr>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1440" w:footer="1440" w:gutter="0"/>
          <w:cols w:space="720"/>
          <w:noEndnote/>
        </w:sectPr>
      </w:pPr>
    </w:p>
    <w:p w:rsidR="00752D61" w14:paraId="6BAF7C9C" w14:textId="77777777">
      <w:pPr>
        <w:pStyle w:val="Level1"/>
        <w:tabs>
          <w:tab w:val="left" w:pos="-1440"/>
        </w:tabs>
        <w:ind w:left="720" w:hanging="720"/>
        <w:rPr>
          <w:rFonts w:asciiTheme="minorHAnsi" w:hAnsiTheme="minorHAnsi" w:cstheme="minorHAnsi"/>
          <w:sz w:val="22"/>
          <w:szCs w:val="22"/>
        </w:rPr>
      </w:pPr>
      <w:r>
        <w:rPr>
          <w:rFonts w:asciiTheme="minorHAnsi" w:hAnsiTheme="minorHAnsi" w:cstheme="minorHAnsi"/>
          <w:sz w:val="22"/>
          <w:szCs w:val="22"/>
          <w:u w:val="single"/>
        </w:rPr>
        <w:t>CONSULTATION WITH INDIVIDUALS OUTSIDE OF THE AGENCY ON AVAILABILITY OF DATA, FREQUENCY OF COLLECTION, CLARITY OF INSTRUCTIONS AND FORMS, AND DATA ELEMENTS</w:t>
      </w:r>
    </w:p>
    <w:p w:rsidR="00752D61" w14:paraId="615EA40E" w14:textId="77777777">
      <w:pPr>
        <w:pStyle w:val="Level1"/>
        <w:numPr>
          <w:ilvl w:val="0"/>
          <w:numId w:val="0"/>
        </w:numPr>
        <w:tabs>
          <w:tab w:val="left" w:pos="-1440"/>
        </w:tabs>
        <w:ind w:left="720"/>
        <w:rPr>
          <w:rFonts w:asciiTheme="minorHAnsi" w:hAnsiTheme="minorHAnsi" w:cstheme="minorHAnsi"/>
          <w:sz w:val="22"/>
          <w:szCs w:val="22"/>
        </w:rPr>
      </w:pPr>
    </w:p>
    <w:p w:rsidR="00752D61" w14:paraId="5174ABCE" w14:textId="745354EB">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 xml:space="preserve">The IRS needs to release T.D. </w:t>
      </w:r>
      <w:r w:rsidRPr="00790FDF" w:rsidR="00790FDF">
        <w:rPr>
          <w:rFonts w:asciiTheme="minorHAnsi" w:hAnsiTheme="minorHAnsi" w:cstheme="minorHAnsi"/>
          <w:sz w:val="22"/>
          <w:szCs w:val="22"/>
        </w:rPr>
        <w:t xml:space="preserve">10057 </w:t>
      </w:r>
      <w:r>
        <w:rPr>
          <w:rFonts w:asciiTheme="minorHAnsi" w:hAnsiTheme="minorHAnsi" w:cstheme="minorHAnsi"/>
          <w:sz w:val="22"/>
          <w:szCs w:val="22"/>
        </w:rPr>
        <w:t>as soon as possible, so that States who wish to elect to participate under § 25F may register on the IRS State section 25F portal and prepare to submit SGO lists to the IRS later in 2026. Organizations also need time to prepare to qualify as an SGO in a participating State.</w:t>
      </w:r>
    </w:p>
    <w:p w:rsidR="00752D61" w14:paraId="64BE07BB" w14:textId="77777777">
      <w:pPr>
        <w:pStyle w:val="Level1"/>
        <w:numPr>
          <w:ilvl w:val="0"/>
          <w:numId w:val="0"/>
        </w:numPr>
        <w:tabs>
          <w:tab w:val="left" w:pos="-1440"/>
        </w:tabs>
        <w:ind w:left="720"/>
        <w:rPr>
          <w:rFonts w:asciiTheme="minorHAnsi" w:hAnsiTheme="minorHAnsi" w:cstheme="minorHAnsi"/>
          <w:sz w:val="22"/>
          <w:szCs w:val="22"/>
        </w:rPr>
      </w:pPr>
    </w:p>
    <w:p w:rsidR="004A0237" w14:paraId="428FC5A9" w14:textId="28B82392">
      <w:pPr>
        <w:widowControl/>
        <w:ind w:left="720"/>
        <w:rPr>
          <w:rFonts w:asciiTheme="minorHAnsi" w:hAnsiTheme="minorHAnsi" w:cstheme="minorHAnsi"/>
          <w:sz w:val="22"/>
          <w:szCs w:val="22"/>
        </w:rPr>
      </w:pPr>
      <w:r>
        <w:rPr>
          <w:rFonts w:asciiTheme="minorHAnsi" w:hAnsiTheme="minorHAnsi" w:cstheme="minorHAnsi"/>
          <w:sz w:val="22"/>
          <w:szCs w:val="22"/>
        </w:rPr>
        <w:t xml:space="preserve">Following normal Paperwork Reduction Act clearance procedures for T.D. </w:t>
      </w:r>
      <w:r w:rsidRPr="00790FDF" w:rsidR="00790FDF">
        <w:rPr>
          <w:rFonts w:asciiTheme="minorHAnsi" w:hAnsiTheme="minorHAnsi" w:cstheme="minorHAnsi"/>
          <w:sz w:val="22"/>
          <w:szCs w:val="22"/>
        </w:rPr>
        <w:t xml:space="preserve">10057 </w:t>
      </w:r>
      <w:r>
        <w:rPr>
          <w:rFonts w:asciiTheme="minorHAnsi" w:hAnsiTheme="minorHAnsi" w:cstheme="minorHAnsi"/>
          <w:sz w:val="22"/>
          <w:szCs w:val="22"/>
        </w:rPr>
        <w:t xml:space="preserve">would result in harm to the States and potential SGOs therein, as such organizations would have insufficient time to take the necessary steps to meet the requirements of section 25F(c)(5) and §§ 1.25F-4T and 1.25F-5T.  Therefore, due to the extraordinary circumstances and statutory deadlines for implementing Section 25F, the Treasury Department and IRS request emergency processing </w:t>
      </w:r>
      <w:r>
        <w:rPr>
          <w:rFonts w:asciiTheme="minorHAnsi" w:hAnsiTheme="minorHAnsi" w:cstheme="minorHAnsi"/>
          <w:sz w:val="22"/>
          <w:szCs w:val="22"/>
        </w:rPr>
        <w:t xml:space="preserve">under </w:t>
      </w:r>
      <w:r w:rsidRPr="004A0237">
        <w:rPr>
          <w:rFonts w:asciiTheme="minorHAnsi" w:hAnsiTheme="minorHAnsi" w:cstheme="minorHAnsi"/>
          <w:sz w:val="22"/>
          <w:szCs w:val="22"/>
        </w:rPr>
        <w:t>5 CFR § 1320.13</w:t>
      </w:r>
      <w:r w:rsidR="00B742A7">
        <w:rPr>
          <w:rFonts w:asciiTheme="minorHAnsi" w:hAnsiTheme="minorHAnsi" w:cstheme="minorHAnsi"/>
          <w:sz w:val="22"/>
          <w:szCs w:val="22"/>
        </w:rPr>
        <w:t>(a)(2)(iii)</w:t>
      </w:r>
      <w:r>
        <w:rPr>
          <w:rFonts w:asciiTheme="minorHAnsi" w:hAnsiTheme="minorHAnsi" w:cstheme="minorHAnsi"/>
          <w:sz w:val="22"/>
          <w:szCs w:val="22"/>
        </w:rPr>
        <w:t xml:space="preserve"> </w:t>
      </w:r>
      <w:r>
        <w:rPr>
          <w:rFonts w:asciiTheme="minorHAnsi" w:hAnsiTheme="minorHAnsi" w:cstheme="minorHAnsi"/>
          <w:sz w:val="22"/>
          <w:szCs w:val="22"/>
        </w:rPr>
        <w:t xml:space="preserve">of this information collection request with an approval for 180 days.  </w:t>
      </w:r>
    </w:p>
    <w:p w:rsidR="004A0237" w:rsidP="006207BB" w14:paraId="22D94910" w14:textId="77777777">
      <w:pPr>
        <w:widowControl/>
        <w:rPr>
          <w:rFonts w:asciiTheme="minorHAnsi" w:hAnsiTheme="minorHAnsi" w:cstheme="minorHAnsi"/>
          <w:sz w:val="22"/>
          <w:szCs w:val="22"/>
        </w:rPr>
      </w:pPr>
    </w:p>
    <w:p w:rsidR="00752D61" w14:paraId="4CAD8518" w14:textId="21E047DC">
      <w:pPr>
        <w:widowControl/>
        <w:ind w:left="720"/>
        <w:rPr>
          <w:rFonts w:asciiTheme="minorHAnsi" w:hAnsiTheme="minorHAnsi" w:cstheme="minorHAnsi"/>
          <w:sz w:val="22"/>
          <w:szCs w:val="22"/>
        </w:rPr>
      </w:pPr>
      <w:r>
        <w:rPr>
          <w:rFonts w:asciiTheme="minorHAnsi" w:hAnsiTheme="minorHAnsi" w:cstheme="minorHAnsi"/>
          <w:sz w:val="22"/>
          <w:szCs w:val="22"/>
        </w:rPr>
        <w:t>P</w:t>
      </w:r>
      <w:r w:rsidR="005F1BC3">
        <w:rPr>
          <w:rFonts w:asciiTheme="minorHAnsi" w:hAnsiTheme="minorHAnsi" w:cstheme="minorHAnsi"/>
          <w:sz w:val="22"/>
          <w:szCs w:val="22"/>
        </w:rPr>
        <w:t xml:space="preserve">ublic comment will </w:t>
      </w:r>
      <w:r>
        <w:rPr>
          <w:rFonts w:asciiTheme="minorHAnsi" w:hAnsiTheme="minorHAnsi" w:cstheme="minorHAnsi"/>
          <w:sz w:val="22"/>
          <w:szCs w:val="22"/>
        </w:rPr>
        <w:t xml:space="preserve">also </w:t>
      </w:r>
      <w:r w:rsidR="005F1BC3">
        <w:rPr>
          <w:rFonts w:asciiTheme="minorHAnsi" w:hAnsiTheme="minorHAnsi" w:cstheme="minorHAnsi"/>
          <w:sz w:val="22"/>
          <w:szCs w:val="22"/>
        </w:rPr>
        <w:t xml:space="preserve">be solicited in conjunction with the subsequent extension of the approval to collect this information on the schedule to Form 990, </w:t>
      </w:r>
      <w:r w:rsidR="005F1BC3">
        <w:rPr>
          <w:rFonts w:asciiTheme="minorHAnsi" w:hAnsiTheme="minorHAnsi" w:cstheme="minorHAnsi"/>
          <w:i/>
          <w:iCs/>
          <w:sz w:val="22"/>
          <w:szCs w:val="22"/>
        </w:rPr>
        <w:t>Return of Organization Exempt from Income Tax</w:t>
      </w:r>
      <w:r w:rsidR="005F1BC3">
        <w:rPr>
          <w:rFonts w:asciiTheme="minorHAnsi" w:hAnsiTheme="minorHAnsi" w:cstheme="minorHAnsi"/>
          <w:sz w:val="22"/>
          <w:szCs w:val="22"/>
        </w:rPr>
        <w:t xml:space="preserve">, and Form 8525, </w:t>
      </w:r>
      <w:r w:rsidR="005F1BC3">
        <w:rPr>
          <w:rFonts w:asciiTheme="minorHAnsi" w:hAnsiTheme="minorHAnsi" w:cstheme="minorHAnsi"/>
          <w:i/>
          <w:iCs/>
          <w:sz w:val="22"/>
          <w:szCs w:val="22"/>
        </w:rPr>
        <w:t>Federal Scholarship Tax Credit</w:t>
      </w:r>
      <w:r w:rsidR="005F1BC3">
        <w:rPr>
          <w:rFonts w:asciiTheme="minorHAnsi" w:hAnsiTheme="minorHAnsi" w:cstheme="minorHAnsi"/>
          <w:sz w:val="22"/>
          <w:szCs w:val="22"/>
        </w:rPr>
        <w:t xml:space="preserve"> (or successor form), developed for this purpose.  </w:t>
      </w:r>
    </w:p>
    <w:p w:rsidR="00752D61" w14:paraId="1420F99B" w14:textId="77777777">
      <w:pPr>
        <w:widowControl/>
        <w:rPr>
          <w:rFonts w:asciiTheme="minorHAnsi" w:hAnsiTheme="minorHAnsi" w:cstheme="minorHAnsi"/>
          <w:sz w:val="22"/>
          <w:szCs w:val="22"/>
        </w:rPr>
      </w:pPr>
    </w:p>
    <w:p w:rsidR="00752D61" w14:paraId="50146B2D" w14:textId="77777777">
      <w:pPr>
        <w:pStyle w:val="Level1"/>
        <w:tabs>
          <w:tab w:val="left" w:pos="-1440"/>
        </w:tabs>
        <w:rPr>
          <w:rFonts w:asciiTheme="minorHAnsi" w:hAnsiTheme="minorHAnsi" w:cstheme="minorHAnsi"/>
          <w:sz w:val="22"/>
          <w:szCs w:val="22"/>
        </w:rPr>
      </w:pPr>
      <w:r>
        <w:rPr>
          <w:rFonts w:asciiTheme="minorHAnsi" w:hAnsiTheme="minorHAnsi" w:cstheme="minorHAnsi"/>
          <w:sz w:val="22"/>
          <w:szCs w:val="22"/>
          <w:u w:val="single"/>
        </w:rPr>
        <w:t>EXPLANATION OF DECISION TO PROVIDE ANY PAYMENT OR GIFT TO</w:t>
      </w:r>
      <w:r>
        <w:rPr>
          <w:rFonts w:asciiTheme="minorHAnsi" w:hAnsiTheme="minorHAnsi" w:cstheme="minorHAnsi"/>
          <w:sz w:val="22"/>
          <w:szCs w:val="22"/>
        </w:rPr>
        <w:t xml:space="preserve"> </w:t>
      </w:r>
      <w:r>
        <w:rPr>
          <w:rFonts w:asciiTheme="minorHAnsi" w:hAnsiTheme="minorHAnsi" w:cstheme="minorHAnsi"/>
          <w:sz w:val="22"/>
          <w:szCs w:val="22"/>
          <w:u w:val="single"/>
        </w:rPr>
        <w:t>RESPONDENTS</w:t>
      </w:r>
    </w:p>
    <w:p w:rsidR="00752D61" w14:paraId="7DD97CFA" w14:textId="77777777">
      <w:pPr>
        <w:pStyle w:val="Level1"/>
        <w:numPr>
          <w:ilvl w:val="0"/>
          <w:numId w:val="0"/>
        </w:numPr>
        <w:tabs>
          <w:tab w:val="left" w:pos="-1440"/>
        </w:tabs>
        <w:ind w:left="720"/>
        <w:rPr>
          <w:rFonts w:asciiTheme="minorHAnsi" w:hAnsiTheme="minorHAnsi" w:cstheme="minorHAnsi"/>
          <w:sz w:val="22"/>
          <w:szCs w:val="22"/>
        </w:rPr>
      </w:pPr>
    </w:p>
    <w:p w:rsidR="00752D61" w14:paraId="3A607C35" w14:textId="2EE7634E">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No respondents will be paid or provided gifts.</w:t>
      </w:r>
    </w:p>
    <w:p w:rsidR="00752D61" w14:paraId="1CCE483D" w14:textId="77777777">
      <w:pPr>
        <w:rPr>
          <w:rFonts w:asciiTheme="minorHAnsi" w:hAnsiTheme="minorHAnsi" w:cstheme="minorHAnsi"/>
          <w:sz w:val="22"/>
          <w:szCs w:val="22"/>
        </w:rPr>
      </w:pPr>
    </w:p>
    <w:p w:rsidR="00752D61" w14:paraId="30B60D20" w14:textId="77777777">
      <w:pPr>
        <w:pStyle w:val="Level1"/>
        <w:tabs>
          <w:tab w:val="left" w:pos="-1440"/>
        </w:tabs>
        <w:rPr>
          <w:rFonts w:asciiTheme="minorHAnsi" w:hAnsiTheme="minorHAnsi" w:cstheme="minorHAnsi"/>
          <w:sz w:val="22"/>
          <w:szCs w:val="22"/>
        </w:rPr>
      </w:pPr>
      <w:r>
        <w:rPr>
          <w:rFonts w:asciiTheme="minorHAnsi" w:hAnsiTheme="minorHAnsi" w:cstheme="minorHAnsi"/>
          <w:sz w:val="22"/>
          <w:szCs w:val="22"/>
          <w:u w:val="single"/>
        </w:rPr>
        <w:t>ASSURANCE OF CONFIDENTIALITY OF RESPONSES</w:t>
      </w:r>
    </w:p>
    <w:p w:rsidR="00752D61" w14:paraId="53224A9B" w14:textId="77777777">
      <w:pPr>
        <w:rPr>
          <w:rFonts w:asciiTheme="minorHAnsi" w:hAnsiTheme="minorHAnsi" w:cstheme="minorHAnsi"/>
          <w:sz w:val="22"/>
          <w:szCs w:val="22"/>
        </w:rPr>
      </w:pPr>
    </w:p>
    <w:p w:rsidR="00752D61" w14:paraId="65950F2C" w14:textId="0ABF715A">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The information in this collection may include sensitive but unclassified information, such as the identity of an individual authorized to make an election on behalf of a State (for example, an individual with delegated authority to submit the State SGO list and accompanying information and certifications on behalf of the State); information associated with individual donors; and scholarship recipient data.</w:t>
      </w:r>
      <w:r w:rsidR="00F029EA">
        <w:rPr>
          <w:rFonts w:asciiTheme="minorHAnsi" w:hAnsiTheme="minorHAnsi" w:cstheme="minorHAnsi"/>
          <w:sz w:val="22"/>
          <w:szCs w:val="22"/>
        </w:rPr>
        <w:t xml:space="preserve"> </w:t>
      </w:r>
      <w:r w:rsidRPr="00584EFE" w:rsidR="00584EFE">
        <w:rPr>
          <w:rFonts w:asciiTheme="minorHAnsi" w:hAnsiTheme="minorHAnsi" w:cstheme="minorHAnsi"/>
          <w:sz w:val="22"/>
          <w:szCs w:val="22"/>
        </w:rPr>
        <w:t xml:space="preserve">Confidentiality will be maintained to the extent </w:t>
      </w:r>
      <w:r w:rsidR="00584EFE">
        <w:rPr>
          <w:rFonts w:asciiTheme="minorHAnsi" w:hAnsiTheme="minorHAnsi" w:cstheme="minorHAnsi"/>
          <w:sz w:val="22"/>
          <w:szCs w:val="22"/>
        </w:rPr>
        <w:t>allowed</w:t>
      </w:r>
      <w:r w:rsidRPr="00584EFE" w:rsidR="00584EFE">
        <w:rPr>
          <w:rFonts w:asciiTheme="minorHAnsi" w:hAnsiTheme="minorHAnsi" w:cstheme="minorHAnsi"/>
          <w:sz w:val="22"/>
          <w:szCs w:val="22"/>
        </w:rPr>
        <w:t xml:space="preserve"> by law</w:t>
      </w:r>
      <w:r w:rsidR="00584EFE">
        <w:rPr>
          <w:rFonts w:asciiTheme="minorHAnsi" w:hAnsiTheme="minorHAnsi" w:cstheme="minorHAnsi"/>
          <w:sz w:val="22"/>
          <w:szCs w:val="22"/>
        </w:rPr>
        <w:t xml:space="preserve">. </w:t>
      </w:r>
    </w:p>
    <w:p w:rsidR="00752D61" w14:paraId="2273F649" w14:textId="77777777">
      <w:pPr>
        <w:rPr>
          <w:rFonts w:asciiTheme="minorHAnsi" w:hAnsiTheme="minorHAnsi" w:cstheme="minorHAnsi"/>
          <w:sz w:val="22"/>
          <w:szCs w:val="22"/>
        </w:rPr>
      </w:pPr>
    </w:p>
    <w:p w:rsidR="00752D61" w14:paraId="05DC1738" w14:textId="329B0B4A">
      <w:pPr>
        <w:pStyle w:val="Level1"/>
        <w:tabs>
          <w:tab w:val="left" w:pos="-1440"/>
        </w:tabs>
        <w:rPr>
          <w:rFonts w:asciiTheme="minorHAnsi" w:hAnsiTheme="minorHAnsi" w:cstheme="minorHAnsi"/>
          <w:sz w:val="22"/>
          <w:szCs w:val="22"/>
          <w:u w:val="single"/>
        </w:rPr>
      </w:pPr>
      <w:r>
        <w:rPr>
          <w:rFonts w:asciiTheme="minorHAnsi" w:hAnsiTheme="minorHAnsi" w:cstheme="minorHAnsi"/>
          <w:sz w:val="22"/>
          <w:szCs w:val="22"/>
          <w:u w:val="single"/>
        </w:rPr>
        <w:t>JUSTIFICATION OF SENSITIVE QUESTIONS</w:t>
      </w:r>
    </w:p>
    <w:p w:rsidR="00752D61" w14:paraId="29465E11" w14:textId="77777777">
      <w:pPr>
        <w:rPr>
          <w:rFonts w:asciiTheme="minorHAnsi" w:hAnsiTheme="minorHAnsi" w:cstheme="minorHAnsi"/>
          <w:sz w:val="22"/>
          <w:szCs w:val="22"/>
          <w:u w:val="single"/>
        </w:rPr>
      </w:pPr>
    </w:p>
    <w:p w:rsidR="00752D61" w14:paraId="11203296" w14:textId="7F0CAC68">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 xml:space="preserve">A privacy impact assessment (PIA) has been conducted for information collected under this request as part of the “Individual Master File (IMF), “Business Master File (BMF)” system, and a Privacy Act System of Records notice (SORN) has been issued for this system under: Treas/IRS 24.046 - Customer Account Data Engine Business Master File; IRS 34.037 - IRS Audit Trail and Security Records System; Treas/IRS 50.222 – Tax Exempt/Government Entities (TE/GE) Case Management Records.  The Internal Revenue Service PIAs can be found at https://www.irs.gov/privacy-disclosure/privacy-impact-assessments-pia. </w:t>
      </w:r>
    </w:p>
    <w:p w:rsidR="00752D61" w14:paraId="1B416C6D" w14:textId="77777777">
      <w:pPr>
        <w:pStyle w:val="Level1"/>
        <w:numPr>
          <w:ilvl w:val="0"/>
          <w:numId w:val="0"/>
        </w:numPr>
        <w:tabs>
          <w:tab w:val="left" w:pos="-1440"/>
        </w:tabs>
        <w:rPr>
          <w:rFonts w:asciiTheme="minorHAnsi" w:hAnsiTheme="minorHAnsi" w:cstheme="minorHAnsi"/>
          <w:sz w:val="22"/>
          <w:szCs w:val="22"/>
        </w:rPr>
      </w:pPr>
    </w:p>
    <w:p w:rsidR="00752D61" w14:paraId="7E7700AA" w14:textId="37E95376">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Title 26 U.S.C. 6109 requires inclusion of identifying numbers in returns, statements, or other documents for securing proper identification of persons required to make such returns, statements, or documents and is the authority for social security numbers (SSNs) in IRS systems.</w:t>
      </w:r>
    </w:p>
    <w:p w:rsidR="00752D61" w14:paraId="58B7A076" w14:textId="77777777">
      <w:pPr>
        <w:rPr>
          <w:rFonts w:asciiTheme="minorHAnsi" w:hAnsiTheme="minorHAnsi" w:cstheme="minorHAnsi"/>
          <w:sz w:val="22"/>
          <w:szCs w:val="22"/>
          <w:u w:val="single"/>
        </w:rPr>
      </w:pPr>
    </w:p>
    <w:p w:rsidR="00752D61" w14:paraId="0B938AF8" w14:textId="77777777">
      <w:pPr>
        <w:pStyle w:val="Level1"/>
        <w:tabs>
          <w:tab w:val="left" w:pos="-1440"/>
        </w:tabs>
        <w:rPr>
          <w:rFonts w:asciiTheme="minorHAnsi" w:hAnsiTheme="minorHAnsi" w:cstheme="minorHAnsi"/>
          <w:sz w:val="22"/>
          <w:szCs w:val="22"/>
        </w:rPr>
      </w:pPr>
      <w:r>
        <w:rPr>
          <w:rFonts w:asciiTheme="minorHAnsi" w:hAnsiTheme="minorHAnsi" w:cstheme="minorHAnsi"/>
          <w:sz w:val="22"/>
          <w:szCs w:val="22"/>
          <w:u w:val="single"/>
        </w:rPr>
        <w:t>ESTIMATED BURDEN OF INFORMATION COLLECTION</w:t>
      </w:r>
    </w:p>
    <w:p w:rsidR="00752D61" w14:paraId="53265171" w14:textId="77777777">
      <w:pPr>
        <w:ind w:firstLine="720"/>
        <w:rPr>
          <w:rFonts w:asciiTheme="minorHAnsi" w:hAnsiTheme="minorHAnsi" w:cstheme="minorHAnsi"/>
          <w:sz w:val="22"/>
          <w:szCs w:val="22"/>
        </w:rPr>
      </w:pPr>
    </w:p>
    <w:p w:rsidR="00752D61" w14:paraId="3B27637F" w14:textId="507928FD">
      <w:pPr>
        <w:ind w:firstLine="720"/>
        <w:rPr>
          <w:rFonts w:asciiTheme="minorHAnsi" w:hAnsiTheme="minorHAnsi" w:cstheme="minorHAnsi"/>
          <w:sz w:val="22"/>
          <w:szCs w:val="22"/>
        </w:rPr>
      </w:pPr>
      <w:r>
        <w:rPr>
          <w:rFonts w:asciiTheme="minorHAnsi" w:hAnsiTheme="minorHAnsi" w:cstheme="minorHAnsi"/>
          <w:sz w:val="22"/>
          <w:szCs w:val="22"/>
        </w:rPr>
        <w:t>IRS anticipates that there will be 51 State respondents and 650 SGO respondents.</w:t>
      </w:r>
    </w:p>
    <w:p w:rsidR="00752D61" w14:paraId="7120DAEC" w14:textId="77777777">
      <w:pPr>
        <w:rPr>
          <w:rFonts w:asciiTheme="minorHAnsi" w:hAnsiTheme="minorHAnsi" w:cstheme="minorHAnsi"/>
          <w:sz w:val="22"/>
          <w:szCs w:val="22"/>
        </w:rPr>
      </w:pPr>
      <w:r>
        <w:rPr>
          <w:rFonts w:asciiTheme="minorHAnsi" w:hAnsiTheme="minorHAnsi" w:cstheme="minorHAnsi"/>
          <w:sz w:val="22"/>
          <w:szCs w:val="22"/>
        </w:rPr>
        <w:t xml:space="preserve"> </w:t>
      </w:r>
    </w:p>
    <w:p w:rsidR="00752D61" w14:paraId="147B7D22" w14:textId="77777777">
      <w:pPr>
        <w:ind w:firstLine="720"/>
        <w:rPr>
          <w:rFonts w:asciiTheme="minorHAnsi" w:hAnsiTheme="minorHAnsi" w:cstheme="minorHAnsi"/>
          <w:sz w:val="22"/>
          <w:szCs w:val="22"/>
        </w:rPr>
      </w:pPr>
      <w:r>
        <w:rPr>
          <w:rFonts w:asciiTheme="minorHAnsi" w:hAnsiTheme="minorHAnsi" w:cstheme="minorHAnsi"/>
          <w:sz w:val="22"/>
          <w:szCs w:val="22"/>
        </w:rPr>
        <w:t>The burden estimate is as follows:</w:t>
      </w:r>
    </w:p>
    <w:p w:rsidR="00752D61" w14:paraId="607C3C52" w14:textId="77777777">
      <w:pPr>
        <w:rPr>
          <w:rFonts w:asciiTheme="minorHAnsi" w:hAnsiTheme="minorHAnsi" w:cstheme="minorHAnsi"/>
          <w:sz w:val="22"/>
          <w:szCs w:val="22"/>
        </w:rPr>
      </w:pPr>
    </w:p>
    <w:tbl>
      <w:tblPr>
        <w:tblW w:w="9090" w:type="dxa"/>
        <w:tblInd w:w="800" w:type="dxa"/>
        <w:tblCellMar>
          <w:left w:w="0" w:type="dxa"/>
          <w:right w:w="0" w:type="dxa"/>
        </w:tblCellMar>
        <w:tblLook w:val="04A0"/>
      </w:tblPr>
      <w:tblGrid>
        <w:gridCol w:w="900"/>
        <w:gridCol w:w="1959"/>
        <w:gridCol w:w="1385"/>
        <w:gridCol w:w="1548"/>
        <w:gridCol w:w="1067"/>
        <w:gridCol w:w="1092"/>
        <w:gridCol w:w="1139"/>
      </w:tblGrid>
      <w:tr w14:paraId="1263297F" w14:textId="77777777">
        <w:tblPrEx>
          <w:tblW w:w="9090" w:type="dxa"/>
          <w:tblInd w:w="800" w:type="dxa"/>
          <w:tblCellMar>
            <w:left w:w="0" w:type="dxa"/>
            <w:right w:w="0" w:type="dxa"/>
          </w:tblCellMar>
          <w:tblLook w:val="04A0"/>
        </w:tblPrEx>
        <w:tc>
          <w:tcPr>
            <w:tcW w:w="900" w:type="dxa"/>
            <w:tcBorders>
              <w:top w:val="single" w:sz="8" w:space="0" w:color="auto"/>
              <w:left w:val="single" w:sz="8" w:space="0" w:color="auto"/>
              <w:bottom w:val="single" w:sz="8" w:space="0" w:color="auto"/>
              <w:right w:val="single" w:sz="8" w:space="0" w:color="auto"/>
            </w:tcBorders>
            <w:vAlign w:val="bottom"/>
          </w:tcPr>
          <w:p w:rsidR="00752D61" w14:paraId="1922EDC2" w14:textId="77777777">
            <w:pPr>
              <w:jc w:val="center"/>
              <w:rPr>
                <w:rFonts w:asciiTheme="minorHAnsi" w:hAnsiTheme="minorHAnsi" w:cstheme="minorHAnsi"/>
                <w:b/>
                <w:bCs/>
                <w:sz w:val="22"/>
                <w:szCs w:val="22"/>
                <w:u w:val="single"/>
              </w:rPr>
            </w:pPr>
          </w:p>
          <w:p w:rsidR="00752D61" w14:paraId="6C07E864" w14:textId="77777777">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Authority</w:t>
            </w:r>
          </w:p>
        </w:tc>
        <w:tc>
          <w:tcPr>
            <w:tcW w:w="1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752D61" w14:paraId="066B3805" w14:textId="77777777">
            <w:pPr>
              <w:jc w:val="center"/>
              <w:rPr>
                <w:rFonts w:asciiTheme="minorHAnsi" w:hAnsiTheme="minorHAnsi" w:cstheme="minorHAnsi"/>
                <w:b/>
                <w:bCs/>
                <w:sz w:val="22"/>
                <w:szCs w:val="22"/>
                <w:u w:val="single"/>
              </w:rPr>
            </w:pPr>
            <w:bookmarkStart w:id="4" w:name="_Hlk523402496"/>
            <w:r>
              <w:rPr>
                <w:rFonts w:asciiTheme="minorHAnsi" w:hAnsiTheme="minorHAnsi" w:cstheme="minorHAnsi"/>
                <w:b/>
                <w:bCs/>
                <w:sz w:val="22"/>
                <w:szCs w:val="22"/>
                <w:u w:val="single"/>
              </w:rPr>
              <w:t>Description</w:t>
            </w:r>
          </w:p>
        </w:tc>
        <w:tc>
          <w:tcPr>
            <w:tcW w:w="1385" w:type="dxa"/>
            <w:tcBorders>
              <w:top w:val="single" w:sz="8" w:space="0" w:color="auto"/>
              <w:left w:val="nil"/>
              <w:bottom w:val="single" w:sz="8" w:space="0" w:color="auto"/>
              <w:right w:val="single" w:sz="8" w:space="0" w:color="auto"/>
            </w:tcBorders>
            <w:vAlign w:val="bottom"/>
          </w:tcPr>
          <w:p w:rsidR="00752D61" w14:paraId="5A50DCAD" w14:textId="77777777">
            <w:pPr>
              <w:jc w:val="center"/>
              <w:rPr>
                <w:rFonts w:asciiTheme="minorHAnsi" w:hAnsiTheme="minorHAnsi" w:cstheme="minorHAnsi"/>
                <w:b/>
                <w:bCs/>
                <w:sz w:val="22"/>
                <w:szCs w:val="22"/>
                <w:u w:val="single"/>
              </w:rPr>
            </w:pPr>
            <w:r>
              <w:rPr>
                <w:rFonts w:asciiTheme="minorHAnsi" w:hAnsiTheme="minorHAnsi" w:cstheme="minorHAnsi"/>
                <w:b/>
                <w:bCs/>
                <w:sz w:val="22"/>
                <w:szCs w:val="22"/>
              </w:rPr>
              <w:t xml:space="preserve"># of </w:t>
            </w:r>
            <w:r>
              <w:rPr>
                <w:rFonts w:asciiTheme="minorHAnsi" w:hAnsiTheme="minorHAnsi" w:cstheme="minorHAnsi"/>
                <w:b/>
                <w:bCs/>
                <w:sz w:val="22"/>
                <w:szCs w:val="22"/>
              </w:rPr>
              <w:t>Respondents</w:t>
            </w:r>
          </w:p>
        </w:tc>
        <w:tc>
          <w:tcPr>
            <w:tcW w:w="15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752D61" w14:paraId="6B2EAFE9" w14:textId="7FED4A99">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 of </w:t>
            </w:r>
            <w:r>
              <w:rPr>
                <w:rFonts w:asciiTheme="minorHAnsi" w:hAnsiTheme="minorHAnsi" w:cstheme="minorHAnsi"/>
                <w:b/>
                <w:bCs/>
                <w:sz w:val="22"/>
                <w:szCs w:val="22"/>
                <w:u w:val="single"/>
              </w:rPr>
              <w:t>Responses per Respondent</w:t>
            </w:r>
          </w:p>
        </w:tc>
        <w:tc>
          <w:tcPr>
            <w:tcW w:w="1067" w:type="dxa"/>
            <w:tcBorders>
              <w:top w:val="single" w:sz="8" w:space="0" w:color="auto"/>
              <w:left w:val="nil"/>
              <w:bottom w:val="single" w:sz="8" w:space="0" w:color="auto"/>
              <w:right w:val="single" w:sz="8" w:space="0" w:color="auto"/>
            </w:tcBorders>
            <w:vAlign w:val="bottom"/>
          </w:tcPr>
          <w:p w:rsidR="00752D61" w14:paraId="791F8064" w14:textId="77777777">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Annual </w:t>
            </w:r>
            <w:r>
              <w:rPr>
                <w:rFonts w:asciiTheme="minorHAnsi" w:hAnsiTheme="minorHAnsi" w:cstheme="minorHAnsi"/>
                <w:b/>
                <w:bCs/>
                <w:sz w:val="22"/>
                <w:szCs w:val="22"/>
                <w:u w:val="single"/>
              </w:rPr>
              <w:t>Responses</w:t>
            </w:r>
          </w:p>
        </w:tc>
        <w:tc>
          <w:tcPr>
            <w:tcW w:w="10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752D61" w14:paraId="488D7B2E" w14:textId="77777777">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Hours </w:t>
            </w:r>
            <w:r>
              <w:rPr>
                <w:rFonts w:asciiTheme="minorHAnsi" w:hAnsiTheme="minorHAnsi" w:cstheme="minorHAnsi"/>
                <w:b/>
                <w:bCs/>
                <w:sz w:val="22"/>
                <w:szCs w:val="22"/>
                <w:u w:val="single"/>
              </w:rPr>
              <w:t>per Response</w:t>
            </w:r>
          </w:p>
        </w:tc>
        <w:tc>
          <w:tcPr>
            <w:tcW w:w="113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752D61" w14:paraId="76BB817A" w14:textId="77777777">
            <w:pPr>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Total </w:t>
            </w:r>
            <w:r>
              <w:rPr>
                <w:rFonts w:asciiTheme="minorHAnsi" w:hAnsiTheme="minorHAnsi" w:cstheme="minorHAnsi"/>
                <w:b/>
                <w:bCs/>
                <w:sz w:val="22"/>
                <w:szCs w:val="22"/>
                <w:u w:val="single"/>
              </w:rPr>
              <w:t>Burden Hours</w:t>
            </w:r>
          </w:p>
        </w:tc>
      </w:tr>
      <w:tr w14:paraId="299422BC"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A72992" w14:paraId="30D7396C" w14:textId="2A48B9ED">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72992" w14:paraId="4BC2B1EF" w14:textId="1754FF59">
            <w:pPr>
              <w:rPr>
                <w:rFonts w:asciiTheme="minorHAnsi" w:hAnsiTheme="minorHAnsi" w:cstheme="minorHAnsi"/>
                <w:sz w:val="22"/>
                <w:szCs w:val="22"/>
              </w:rPr>
            </w:pPr>
            <w:r>
              <w:rPr>
                <w:rFonts w:asciiTheme="minorHAnsi" w:hAnsiTheme="minorHAnsi" w:cstheme="minorHAnsi"/>
                <w:sz w:val="22"/>
                <w:szCs w:val="22"/>
              </w:rPr>
              <w:t>Form 15714</w:t>
            </w:r>
          </w:p>
        </w:tc>
        <w:tc>
          <w:tcPr>
            <w:tcW w:w="1385" w:type="dxa"/>
            <w:tcBorders>
              <w:top w:val="single" w:sz="8" w:space="0" w:color="auto"/>
              <w:left w:val="nil"/>
              <w:bottom w:val="single" w:sz="8" w:space="0" w:color="auto"/>
              <w:right w:val="single" w:sz="8" w:space="0" w:color="auto"/>
            </w:tcBorders>
            <w:vAlign w:val="center"/>
          </w:tcPr>
          <w:p w:rsidR="00A72992" w14:paraId="07310587" w14:textId="237D984E">
            <w:pPr>
              <w:jc w:val="center"/>
              <w:rPr>
                <w:rFonts w:asciiTheme="minorHAnsi" w:hAnsiTheme="minorHAnsi" w:cstheme="minorHAnsi"/>
                <w:sz w:val="22"/>
                <w:szCs w:val="22"/>
              </w:rPr>
            </w:pPr>
            <w:r>
              <w:rPr>
                <w:rFonts w:asciiTheme="minorHAnsi" w:hAnsiTheme="minorHAnsi" w:cstheme="minorHAnsi"/>
                <w:sz w:val="22"/>
                <w:szCs w:val="22"/>
              </w:rPr>
              <w:t>51</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72992" w14:paraId="7EADCE80" w14:textId="2448AEFF">
            <w:pPr>
              <w:jc w:val="center"/>
              <w:rPr>
                <w:rFonts w:asciiTheme="minorHAnsi" w:hAnsiTheme="minorHAnsi" w:cstheme="minorHAnsi"/>
                <w:sz w:val="22"/>
                <w:szCs w:val="22"/>
              </w:rPr>
            </w:pPr>
            <w:r>
              <w:rPr>
                <w:rFonts w:asciiTheme="minorHAnsi" w:hAnsiTheme="minorHAnsi" w:cstheme="minorHAnsi"/>
                <w:sz w:val="22"/>
                <w:szCs w:val="22"/>
              </w:rPr>
              <w:t>1</w:t>
            </w:r>
          </w:p>
        </w:tc>
        <w:tc>
          <w:tcPr>
            <w:tcW w:w="1067" w:type="dxa"/>
            <w:tcBorders>
              <w:top w:val="single" w:sz="8" w:space="0" w:color="auto"/>
              <w:left w:val="nil"/>
              <w:bottom w:val="single" w:sz="8" w:space="0" w:color="auto"/>
              <w:right w:val="single" w:sz="8" w:space="0" w:color="auto"/>
            </w:tcBorders>
            <w:vAlign w:val="center"/>
          </w:tcPr>
          <w:p w:rsidR="00A72992" w14:paraId="6CD8091F" w14:textId="04795733">
            <w:pPr>
              <w:jc w:val="center"/>
              <w:rPr>
                <w:rFonts w:asciiTheme="minorHAnsi" w:hAnsiTheme="minorHAnsi" w:cstheme="minorHAnsi"/>
                <w:sz w:val="22"/>
                <w:szCs w:val="22"/>
              </w:rPr>
            </w:pPr>
            <w:r>
              <w:rPr>
                <w:rFonts w:asciiTheme="minorHAnsi" w:hAnsiTheme="minorHAnsi" w:cstheme="minorHAnsi"/>
                <w:sz w:val="22"/>
                <w:szCs w:val="22"/>
              </w:rPr>
              <w:t>51</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A72992" w14:paraId="36E2D795" w14:textId="43633FDA">
            <w:pPr>
              <w:jc w:val="center"/>
              <w:rPr>
                <w:rFonts w:asciiTheme="minorHAnsi" w:hAnsiTheme="minorHAnsi" w:cstheme="minorHAnsi"/>
                <w:sz w:val="22"/>
                <w:szCs w:val="22"/>
              </w:rPr>
            </w:pPr>
            <w:r>
              <w:rPr>
                <w:rFonts w:asciiTheme="minorHAnsi" w:hAnsiTheme="minorHAnsi" w:cstheme="minorHAnsi"/>
                <w:sz w:val="22"/>
                <w:szCs w:val="22"/>
              </w:rPr>
              <w:t>0.35</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A72992" w14:paraId="37754991" w14:textId="792391F8">
            <w:pPr>
              <w:jc w:val="center"/>
              <w:rPr>
                <w:rFonts w:asciiTheme="minorHAnsi" w:hAnsiTheme="minorHAnsi" w:cstheme="minorHAnsi"/>
                <w:sz w:val="22"/>
                <w:szCs w:val="22"/>
              </w:rPr>
            </w:pPr>
            <w:r>
              <w:rPr>
                <w:rFonts w:asciiTheme="minorHAnsi" w:hAnsiTheme="minorHAnsi" w:cstheme="minorHAnsi"/>
                <w:sz w:val="22"/>
                <w:szCs w:val="22"/>
              </w:rPr>
              <w:t>37</w:t>
            </w:r>
          </w:p>
        </w:tc>
      </w:tr>
      <w:tr w14:paraId="4FB088FD"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013BB080"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69EEDD4A" w14:textId="77777777">
            <w:pPr>
              <w:rPr>
                <w:rFonts w:asciiTheme="minorHAnsi" w:hAnsiTheme="minorHAnsi" w:cstheme="minorHAnsi"/>
                <w:sz w:val="22"/>
                <w:szCs w:val="22"/>
              </w:rPr>
            </w:pPr>
            <w:r>
              <w:rPr>
                <w:rFonts w:asciiTheme="minorHAnsi" w:hAnsiTheme="minorHAnsi" w:cstheme="minorHAnsi"/>
                <w:sz w:val="22"/>
                <w:szCs w:val="22"/>
              </w:rPr>
              <w:t xml:space="preserve">Registration </w:t>
            </w:r>
          </w:p>
          <w:p w:rsidR="00752D61" w14:paraId="0BAC41F8" w14:textId="77777777">
            <w:pPr>
              <w:rPr>
                <w:rFonts w:asciiTheme="minorHAnsi" w:hAnsiTheme="minorHAnsi" w:cstheme="minorHAnsi"/>
                <w:sz w:val="22"/>
                <w:szCs w:val="22"/>
              </w:rPr>
            </w:pPr>
            <w:r>
              <w:rPr>
                <w:rFonts w:asciiTheme="minorHAnsi" w:hAnsiTheme="minorHAnsi" w:cstheme="minorHAnsi"/>
                <w:sz w:val="22"/>
                <w:szCs w:val="22"/>
              </w:rPr>
              <w:t>§ 1.25F-5T(b)</w:t>
            </w:r>
          </w:p>
        </w:tc>
        <w:tc>
          <w:tcPr>
            <w:tcW w:w="1385" w:type="dxa"/>
            <w:tcBorders>
              <w:top w:val="single" w:sz="8" w:space="0" w:color="auto"/>
              <w:left w:val="nil"/>
              <w:bottom w:val="single" w:sz="8" w:space="0" w:color="auto"/>
              <w:right w:val="single" w:sz="8" w:space="0" w:color="auto"/>
            </w:tcBorders>
            <w:vAlign w:val="center"/>
          </w:tcPr>
          <w:p w:rsidR="00752D61" w14:paraId="6A6B7D1D" w14:textId="77777777">
            <w:pPr>
              <w:jc w:val="center"/>
              <w:rPr>
                <w:rFonts w:asciiTheme="minorHAnsi" w:hAnsiTheme="minorHAnsi" w:cstheme="minorHAnsi"/>
                <w:sz w:val="22"/>
                <w:szCs w:val="22"/>
              </w:rPr>
            </w:pPr>
            <w:r>
              <w:rPr>
                <w:rFonts w:asciiTheme="minorHAnsi" w:hAnsiTheme="minorHAnsi" w:cstheme="minorHAnsi"/>
                <w:sz w:val="22"/>
                <w:szCs w:val="22"/>
              </w:rPr>
              <w:t>51</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38ABC051" w14:textId="77777777">
            <w:pPr>
              <w:jc w:val="center"/>
              <w:rPr>
                <w:rFonts w:asciiTheme="minorHAnsi" w:hAnsiTheme="minorHAnsi" w:cstheme="minorHAnsi"/>
                <w:sz w:val="22"/>
                <w:szCs w:val="22"/>
              </w:rPr>
            </w:pPr>
            <w:r>
              <w:rPr>
                <w:rFonts w:asciiTheme="minorHAnsi" w:hAnsiTheme="minorHAnsi" w:cstheme="minorHAnsi"/>
                <w:sz w:val="22"/>
                <w:szCs w:val="22"/>
              </w:rPr>
              <w:t>1</w:t>
            </w:r>
          </w:p>
        </w:tc>
        <w:tc>
          <w:tcPr>
            <w:tcW w:w="1067" w:type="dxa"/>
            <w:tcBorders>
              <w:top w:val="single" w:sz="8" w:space="0" w:color="auto"/>
              <w:left w:val="nil"/>
              <w:bottom w:val="single" w:sz="8" w:space="0" w:color="auto"/>
              <w:right w:val="single" w:sz="8" w:space="0" w:color="auto"/>
            </w:tcBorders>
            <w:vAlign w:val="center"/>
          </w:tcPr>
          <w:p w:rsidR="00752D61" w14:paraId="2FFDA3CA" w14:textId="77777777">
            <w:pPr>
              <w:jc w:val="center"/>
              <w:rPr>
                <w:rFonts w:asciiTheme="minorHAnsi" w:hAnsiTheme="minorHAnsi" w:cstheme="minorHAnsi"/>
                <w:sz w:val="22"/>
                <w:szCs w:val="22"/>
              </w:rPr>
            </w:pPr>
            <w:r>
              <w:rPr>
                <w:rFonts w:asciiTheme="minorHAnsi" w:hAnsiTheme="minorHAnsi" w:cstheme="minorHAnsi"/>
                <w:sz w:val="22"/>
                <w:szCs w:val="22"/>
              </w:rPr>
              <w:t>51</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30815759" w14:textId="77777777">
            <w:pPr>
              <w:jc w:val="center"/>
              <w:rPr>
                <w:rFonts w:asciiTheme="minorHAnsi" w:hAnsiTheme="minorHAnsi" w:cstheme="minorHAnsi"/>
                <w:sz w:val="22"/>
                <w:szCs w:val="22"/>
              </w:rPr>
            </w:pPr>
            <w:r>
              <w:rPr>
                <w:rFonts w:asciiTheme="minorHAnsi" w:hAnsiTheme="minorHAnsi" w:cstheme="minorHAnsi"/>
                <w:sz w:val="22"/>
                <w:szCs w:val="22"/>
              </w:rPr>
              <w:t>1.03</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6D00B870" w14:textId="77777777">
            <w:pPr>
              <w:jc w:val="center"/>
              <w:rPr>
                <w:rFonts w:asciiTheme="minorHAnsi" w:hAnsiTheme="minorHAnsi" w:cstheme="minorHAnsi"/>
                <w:sz w:val="22"/>
                <w:szCs w:val="22"/>
              </w:rPr>
            </w:pPr>
            <w:r>
              <w:rPr>
                <w:rFonts w:asciiTheme="minorHAnsi" w:hAnsiTheme="minorHAnsi" w:cstheme="minorHAnsi"/>
                <w:sz w:val="22"/>
                <w:szCs w:val="22"/>
              </w:rPr>
              <w:t>53</w:t>
            </w:r>
          </w:p>
        </w:tc>
      </w:tr>
      <w:tr w14:paraId="2418C88E"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428425C1"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62A940C4" w14:textId="77777777">
            <w:pPr>
              <w:rPr>
                <w:rFonts w:asciiTheme="minorHAnsi" w:hAnsiTheme="minorHAnsi" w:cstheme="minorHAnsi"/>
                <w:sz w:val="22"/>
                <w:szCs w:val="22"/>
              </w:rPr>
            </w:pPr>
            <w:r>
              <w:rPr>
                <w:rFonts w:asciiTheme="minorHAnsi" w:hAnsiTheme="minorHAnsi" w:cstheme="minorHAnsi"/>
                <w:sz w:val="22"/>
                <w:szCs w:val="22"/>
              </w:rPr>
              <w:t xml:space="preserve">Election </w:t>
            </w:r>
          </w:p>
          <w:p w:rsidR="00752D61" w14:paraId="12268F60" w14:textId="77777777">
            <w:pPr>
              <w:rPr>
                <w:rFonts w:asciiTheme="minorHAnsi" w:hAnsiTheme="minorHAnsi" w:cstheme="minorHAnsi"/>
                <w:sz w:val="22"/>
                <w:szCs w:val="22"/>
              </w:rPr>
            </w:pPr>
            <w:r>
              <w:rPr>
                <w:rFonts w:asciiTheme="minorHAnsi" w:hAnsiTheme="minorHAnsi" w:cstheme="minorHAnsi"/>
                <w:sz w:val="22"/>
                <w:szCs w:val="22"/>
              </w:rPr>
              <w:t>§ 1.25F-5T(c)(1) - (4)</w:t>
            </w:r>
          </w:p>
        </w:tc>
        <w:tc>
          <w:tcPr>
            <w:tcW w:w="1385" w:type="dxa"/>
            <w:tcBorders>
              <w:top w:val="single" w:sz="8" w:space="0" w:color="auto"/>
              <w:left w:val="nil"/>
              <w:bottom w:val="single" w:sz="8" w:space="0" w:color="auto"/>
              <w:right w:val="single" w:sz="8" w:space="0" w:color="auto"/>
            </w:tcBorders>
            <w:vAlign w:val="center"/>
          </w:tcPr>
          <w:p w:rsidR="00752D61" w14:paraId="6C570620" w14:textId="77777777">
            <w:pPr>
              <w:jc w:val="center"/>
              <w:rPr>
                <w:rFonts w:asciiTheme="minorHAnsi" w:hAnsiTheme="minorHAnsi" w:cstheme="minorHAnsi"/>
                <w:sz w:val="22"/>
                <w:szCs w:val="22"/>
              </w:rPr>
            </w:pPr>
            <w:r>
              <w:rPr>
                <w:rFonts w:asciiTheme="minorHAnsi" w:hAnsiTheme="minorHAnsi" w:cstheme="minorHAnsi"/>
                <w:sz w:val="22"/>
                <w:szCs w:val="22"/>
              </w:rPr>
              <w:t>51</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6192F8ED" w14:textId="77777777">
            <w:pPr>
              <w:jc w:val="center"/>
              <w:rPr>
                <w:rFonts w:asciiTheme="minorHAnsi" w:hAnsiTheme="minorHAnsi" w:cstheme="minorHAnsi"/>
                <w:sz w:val="22"/>
                <w:szCs w:val="22"/>
              </w:rPr>
            </w:pPr>
            <w:r>
              <w:rPr>
                <w:rFonts w:asciiTheme="minorHAnsi" w:hAnsiTheme="minorHAnsi" w:cstheme="minorHAnsi"/>
                <w:sz w:val="22"/>
                <w:szCs w:val="22"/>
              </w:rPr>
              <w:t>1</w:t>
            </w:r>
          </w:p>
        </w:tc>
        <w:tc>
          <w:tcPr>
            <w:tcW w:w="1067" w:type="dxa"/>
            <w:tcBorders>
              <w:top w:val="single" w:sz="8" w:space="0" w:color="auto"/>
              <w:left w:val="nil"/>
              <w:bottom w:val="single" w:sz="8" w:space="0" w:color="auto"/>
              <w:right w:val="single" w:sz="8" w:space="0" w:color="auto"/>
            </w:tcBorders>
            <w:vAlign w:val="center"/>
          </w:tcPr>
          <w:p w:rsidR="00752D61" w14:paraId="5E648D50" w14:textId="77777777">
            <w:pPr>
              <w:jc w:val="center"/>
              <w:rPr>
                <w:rFonts w:asciiTheme="minorHAnsi" w:hAnsiTheme="minorHAnsi" w:cstheme="minorHAnsi"/>
                <w:sz w:val="22"/>
                <w:szCs w:val="22"/>
              </w:rPr>
            </w:pPr>
            <w:r>
              <w:rPr>
                <w:rFonts w:asciiTheme="minorHAnsi" w:hAnsiTheme="minorHAnsi" w:cstheme="minorHAnsi"/>
                <w:sz w:val="22"/>
                <w:szCs w:val="22"/>
              </w:rPr>
              <w:t>51</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528E2182" w14:textId="77777777">
            <w:pPr>
              <w:jc w:val="center"/>
              <w:rPr>
                <w:rFonts w:asciiTheme="minorHAnsi" w:hAnsiTheme="minorHAnsi" w:cstheme="minorHAnsi"/>
                <w:sz w:val="22"/>
                <w:szCs w:val="22"/>
              </w:rPr>
            </w:pPr>
            <w:r>
              <w:rPr>
                <w:rFonts w:asciiTheme="minorHAnsi" w:hAnsiTheme="minorHAnsi" w:cstheme="minorHAnsi"/>
                <w:sz w:val="22"/>
                <w:szCs w:val="22"/>
              </w:rPr>
              <w:t>0.29</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31A86433" w14:textId="77777777">
            <w:pPr>
              <w:jc w:val="center"/>
              <w:rPr>
                <w:rFonts w:asciiTheme="minorHAnsi" w:hAnsiTheme="minorHAnsi" w:cstheme="minorHAnsi"/>
                <w:sz w:val="22"/>
                <w:szCs w:val="22"/>
              </w:rPr>
            </w:pPr>
            <w:r>
              <w:rPr>
                <w:rFonts w:asciiTheme="minorHAnsi" w:hAnsiTheme="minorHAnsi" w:cstheme="minorHAnsi"/>
                <w:sz w:val="22"/>
                <w:szCs w:val="22"/>
              </w:rPr>
              <w:t>15</w:t>
            </w:r>
          </w:p>
        </w:tc>
      </w:tr>
      <w:tr w14:paraId="6509C323"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65D2A2C3"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5CBAEF00" w14:textId="77777777">
            <w:pPr>
              <w:rPr>
                <w:rFonts w:asciiTheme="minorHAnsi" w:hAnsiTheme="minorHAnsi" w:cstheme="minorHAnsi"/>
                <w:sz w:val="22"/>
                <w:szCs w:val="22"/>
              </w:rPr>
            </w:pPr>
            <w:r>
              <w:rPr>
                <w:rFonts w:asciiTheme="minorHAnsi" w:hAnsiTheme="minorHAnsi" w:cstheme="minorHAnsi"/>
                <w:sz w:val="22"/>
                <w:szCs w:val="22"/>
              </w:rPr>
              <w:t>State compiling and submitting the SGO list § 1.25F-5T(d) certifications and information regarding SGOs on State SGO list required by § 1.25F-5(d)(2)and (3)</w:t>
            </w:r>
          </w:p>
        </w:tc>
        <w:tc>
          <w:tcPr>
            <w:tcW w:w="1385" w:type="dxa"/>
            <w:tcBorders>
              <w:top w:val="single" w:sz="8" w:space="0" w:color="auto"/>
              <w:left w:val="nil"/>
              <w:bottom w:val="single" w:sz="8" w:space="0" w:color="auto"/>
              <w:right w:val="single" w:sz="8" w:space="0" w:color="auto"/>
            </w:tcBorders>
            <w:vAlign w:val="center"/>
          </w:tcPr>
          <w:p w:rsidR="00752D61" w14:paraId="14639F45" w14:textId="77777777">
            <w:pPr>
              <w:jc w:val="center"/>
              <w:rPr>
                <w:rFonts w:asciiTheme="minorHAnsi" w:hAnsiTheme="minorHAnsi" w:cstheme="minorHAnsi"/>
                <w:sz w:val="22"/>
                <w:szCs w:val="22"/>
              </w:rPr>
            </w:pPr>
            <w:r>
              <w:rPr>
                <w:rFonts w:asciiTheme="minorHAnsi" w:hAnsiTheme="minorHAnsi" w:cstheme="minorHAnsi"/>
                <w:sz w:val="22"/>
                <w:szCs w:val="22"/>
              </w:rPr>
              <w:t>51</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4CE1D40F" w14:textId="77777777">
            <w:pPr>
              <w:jc w:val="center"/>
              <w:rPr>
                <w:rFonts w:asciiTheme="minorHAnsi" w:hAnsiTheme="minorHAnsi" w:cstheme="minorHAnsi"/>
                <w:sz w:val="22"/>
                <w:szCs w:val="22"/>
              </w:rPr>
            </w:pPr>
            <w:r>
              <w:rPr>
                <w:rFonts w:asciiTheme="minorHAnsi" w:hAnsiTheme="minorHAnsi" w:cstheme="minorHAnsi"/>
                <w:sz w:val="22"/>
                <w:szCs w:val="22"/>
              </w:rPr>
              <w:t>1</w:t>
            </w:r>
          </w:p>
        </w:tc>
        <w:tc>
          <w:tcPr>
            <w:tcW w:w="1067" w:type="dxa"/>
            <w:tcBorders>
              <w:top w:val="single" w:sz="8" w:space="0" w:color="auto"/>
              <w:left w:val="nil"/>
              <w:bottom w:val="single" w:sz="8" w:space="0" w:color="auto"/>
              <w:right w:val="single" w:sz="8" w:space="0" w:color="auto"/>
            </w:tcBorders>
            <w:vAlign w:val="center"/>
          </w:tcPr>
          <w:p w:rsidR="00752D61" w14:paraId="7DE93B5A" w14:textId="77777777">
            <w:pPr>
              <w:jc w:val="center"/>
              <w:rPr>
                <w:rFonts w:asciiTheme="minorHAnsi" w:hAnsiTheme="minorHAnsi" w:cstheme="minorHAnsi"/>
                <w:sz w:val="22"/>
                <w:szCs w:val="22"/>
              </w:rPr>
            </w:pPr>
            <w:r>
              <w:rPr>
                <w:rFonts w:asciiTheme="minorHAnsi" w:hAnsiTheme="minorHAnsi" w:cstheme="minorHAnsi"/>
                <w:sz w:val="22"/>
                <w:szCs w:val="22"/>
              </w:rPr>
              <w:t>650</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7796EF6B" w14:textId="77777777">
            <w:pPr>
              <w:jc w:val="center"/>
              <w:rPr>
                <w:rFonts w:asciiTheme="minorHAnsi" w:hAnsiTheme="minorHAnsi" w:cstheme="minorHAnsi"/>
                <w:sz w:val="22"/>
                <w:szCs w:val="22"/>
              </w:rPr>
            </w:pPr>
            <w:r>
              <w:rPr>
                <w:rFonts w:asciiTheme="minorHAnsi" w:hAnsiTheme="minorHAnsi" w:cstheme="minorHAnsi"/>
                <w:sz w:val="22"/>
                <w:szCs w:val="22"/>
              </w:rPr>
              <w:t>10</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746BC24C" w14:textId="77777777">
            <w:pPr>
              <w:jc w:val="center"/>
              <w:rPr>
                <w:rFonts w:asciiTheme="minorHAnsi" w:hAnsiTheme="minorHAnsi" w:cstheme="minorHAnsi"/>
                <w:sz w:val="22"/>
                <w:szCs w:val="22"/>
              </w:rPr>
            </w:pPr>
            <w:r>
              <w:rPr>
                <w:rFonts w:asciiTheme="minorHAnsi" w:hAnsiTheme="minorHAnsi" w:cstheme="minorHAnsi"/>
                <w:sz w:val="22"/>
                <w:szCs w:val="22"/>
              </w:rPr>
              <w:t>6,500</w:t>
            </w:r>
          </w:p>
        </w:tc>
      </w:tr>
      <w:tr w14:paraId="3F202B17"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428FF459"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279DE3FC" w14:textId="77777777">
            <w:pPr>
              <w:rPr>
                <w:rFonts w:asciiTheme="minorHAnsi" w:hAnsiTheme="minorHAnsi" w:cstheme="minorHAnsi"/>
                <w:sz w:val="22"/>
                <w:szCs w:val="22"/>
              </w:rPr>
            </w:pPr>
            <w:r>
              <w:rPr>
                <w:rFonts w:asciiTheme="minorHAnsi" w:hAnsiTheme="minorHAnsi" w:cstheme="minorHAnsi"/>
                <w:sz w:val="22"/>
                <w:szCs w:val="22"/>
              </w:rPr>
              <w:t>State  certifications – certifications and information required by § 1.25F-5T(c)(5) &amp; (d)(6) (policies and procedures)</w:t>
            </w:r>
          </w:p>
        </w:tc>
        <w:tc>
          <w:tcPr>
            <w:tcW w:w="1385" w:type="dxa"/>
            <w:tcBorders>
              <w:top w:val="single" w:sz="8" w:space="0" w:color="auto"/>
              <w:left w:val="nil"/>
              <w:bottom w:val="single" w:sz="8" w:space="0" w:color="auto"/>
              <w:right w:val="single" w:sz="8" w:space="0" w:color="auto"/>
            </w:tcBorders>
            <w:vAlign w:val="center"/>
          </w:tcPr>
          <w:p w:rsidR="00752D61" w14:paraId="2A9DBD7B" w14:textId="77777777">
            <w:pPr>
              <w:jc w:val="center"/>
              <w:rPr>
                <w:rFonts w:asciiTheme="minorHAnsi" w:hAnsiTheme="minorHAnsi" w:cstheme="minorHAnsi"/>
                <w:sz w:val="22"/>
                <w:szCs w:val="22"/>
              </w:rPr>
            </w:pPr>
            <w:r>
              <w:rPr>
                <w:rFonts w:asciiTheme="minorHAnsi" w:hAnsiTheme="minorHAnsi" w:cstheme="minorHAnsi"/>
                <w:sz w:val="22"/>
                <w:szCs w:val="22"/>
              </w:rPr>
              <w:t>51</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007AEE01" w14:textId="77777777">
            <w:pPr>
              <w:jc w:val="center"/>
              <w:rPr>
                <w:rFonts w:asciiTheme="minorHAnsi" w:hAnsiTheme="minorHAnsi" w:cstheme="minorHAnsi"/>
                <w:sz w:val="22"/>
                <w:szCs w:val="22"/>
              </w:rPr>
            </w:pPr>
            <w:r>
              <w:rPr>
                <w:rFonts w:asciiTheme="minorHAnsi" w:hAnsiTheme="minorHAnsi" w:cstheme="minorHAnsi"/>
                <w:sz w:val="22"/>
                <w:szCs w:val="22"/>
              </w:rPr>
              <w:t>1</w:t>
            </w:r>
          </w:p>
        </w:tc>
        <w:tc>
          <w:tcPr>
            <w:tcW w:w="1067" w:type="dxa"/>
            <w:tcBorders>
              <w:top w:val="single" w:sz="8" w:space="0" w:color="auto"/>
              <w:left w:val="nil"/>
              <w:bottom w:val="single" w:sz="8" w:space="0" w:color="auto"/>
              <w:right w:val="single" w:sz="8" w:space="0" w:color="auto"/>
            </w:tcBorders>
            <w:vAlign w:val="center"/>
          </w:tcPr>
          <w:p w:rsidR="00752D61" w14:paraId="49D218E7" w14:textId="77777777">
            <w:pPr>
              <w:jc w:val="center"/>
              <w:rPr>
                <w:rFonts w:asciiTheme="minorHAnsi" w:hAnsiTheme="minorHAnsi" w:cstheme="minorHAnsi"/>
                <w:sz w:val="22"/>
                <w:szCs w:val="22"/>
              </w:rPr>
            </w:pPr>
            <w:r>
              <w:rPr>
                <w:rFonts w:asciiTheme="minorHAnsi" w:hAnsiTheme="minorHAnsi" w:cstheme="minorHAnsi"/>
                <w:sz w:val="22"/>
                <w:szCs w:val="22"/>
              </w:rPr>
              <w:t>51</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1C122BAD" w14:textId="77777777">
            <w:pPr>
              <w:jc w:val="center"/>
              <w:rPr>
                <w:rFonts w:asciiTheme="minorHAnsi" w:hAnsiTheme="minorHAnsi" w:cstheme="minorHAnsi"/>
                <w:sz w:val="22"/>
                <w:szCs w:val="22"/>
              </w:rPr>
            </w:pPr>
            <w:r>
              <w:rPr>
                <w:rFonts w:asciiTheme="minorHAnsi" w:hAnsiTheme="minorHAnsi" w:cstheme="minorHAnsi"/>
                <w:sz w:val="22"/>
                <w:szCs w:val="22"/>
              </w:rPr>
              <w:t>1.71</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00224E3D" w14:textId="77777777">
            <w:pPr>
              <w:jc w:val="center"/>
              <w:rPr>
                <w:rFonts w:asciiTheme="minorHAnsi" w:hAnsiTheme="minorHAnsi" w:cstheme="minorHAnsi"/>
                <w:sz w:val="22"/>
                <w:szCs w:val="22"/>
              </w:rPr>
            </w:pPr>
            <w:r>
              <w:rPr>
                <w:rFonts w:asciiTheme="minorHAnsi" w:hAnsiTheme="minorHAnsi" w:cstheme="minorHAnsi"/>
                <w:sz w:val="22"/>
                <w:szCs w:val="22"/>
              </w:rPr>
              <w:t>87</w:t>
            </w:r>
          </w:p>
        </w:tc>
      </w:tr>
      <w:tr w14:paraId="7ACA42AA"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5021DC49"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3E0CB6F5" w14:textId="77777777">
            <w:pPr>
              <w:rPr>
                <w:rFonts w:asciiTheme="minorHAnsi" w:hAnsiTheme="minorHAnsi" w:cstheme="minorHAnsi"/>
                <w:sz w:val="22"/>
                <w:szCs w:val="22"/>
              </w:rPr>
            </w:pPr>
            <w:r>
              <w:rPr>
                <w:rFonts w:asciiTheme="minorHAnsi" w:hAnsiTheme="minorHAnsi" w:cstheme="minorHAnsi"/>
                <w:sz w:val="22"/>
                <w:szCs w:val="22"/>
              </w:rPr>
              <w:t>State removal of SGO (reporting changes as needed or required) § 1.25F-5T(d)(7)(iii)</w:t>
            </w:r>
          </w:p>
        </w:tc>
        <w:tc>
          <w:tcPr>
            <w:tcW w:w="1385" w:type="dxa"/>
            <w:tcBorders>
              <w:top w:val="single" w:sz="8" w:space="0" w:color="auto"/>
              <w:left w:val="nil"/>
              <w:bottom w:val="single" w:sz="8" w:space="0" w:color="auto"/>
              <w:right w:val="single" w:sz="8" w:space="0" w:color="auto"/>
            </w:tcBorders>
            <w:vAlign w:val="center"/>
          </w:tcPr>
          <w:p w:rsidR="00752D61" w14:paraId="3D48F63C" w14:textId="77777777">
            <w:pPr>
              <w:jc w:val="center"/>
              <w:rPr>
                <w:rFonts w:asciiTheme="minorHAnsi" w:hAnsiTheme="minorHAnsi" w:cstheme="minorHAnsi"/>
                <w:sz w:val="22"/>
                <w:szCs w:val="22"/>
              </w:rPr>
            </w:pPr>
            <w:r>
              <w:rPr>
                <w:rFonts w:asciiTheme="minorHAnsi" w:hAnsiTheme="minorHAnsi" w:cstheme="minorHAnsi"/>
                <w:sz w:val="22"/>
                <w:szCs w:val="22"/>
              </w:rPr>
              <w:t>8</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331B2D05" w14:textId="77777777">
            <w:pPr>
              <w:jc w:val="center"/>
              <w:rPr>
                <w:rFonts w:asciiTheme="minorHAnsi" w:hAnsiTheme="minorHAnsi" w:cstheme="minorHAnsi"/>
                <w:sz w:val="22"/>
                <w:szCs w:val="22"/>
              </w:rPr>
            </w:pPr>
            <w:r>
              <w:rPr>
                <w:rFonts w:asciiTheme="minorHAnsi" w:hAnsiTheme="minorHAnsi" w:cstheme="minorHAnsi"/>
                <w:sz w:val="22"/>
                <w:szCs w:val="22"/>
              </w:rPr>
              <w:t>7</w:t>
            </w:r>
          </w:p>
        </w:tc>
        <w:tc>
          <w:tcPr>
            <w:tcW w:w="1067" w:type="dxa"/>
            <w:tcBorders>
              <w:top w:val="single" w:sz="8" w:space="0" w:color="auto"/>
              <w:left w:val="nil"/>
              <w:bottom w:val="single" w:sz="8" w:space="0" w:color="auto"/>
              <w:right w:val="single" w:sz="8" w:space="0" w:color="auto"/>
            </w:tcBorders>
            <w:vAlign w:val="center"/>
          </w:tcPr>
          <w:p w:rsidR="00752D61" w14:paraId="36C66F6E" w14:textId="77777777">
            <w:pPr>
              <w:jc w:val="center"/>
              <w:rPr>
                <w:rFonts w:asciiTheme="minorHAnsi" w:hAnsiTheme="minorHAnsi" w:cstheme="minorHAnsi"/>
                <w:sz w:val="22"/>
                <w:szCs w:val="22"/>
              </w:rPr>
            </w:pPr>
            <w:r>
              <w:rPr>
                <w:rFonts w:asciiTheme="minorHAnsi" w:hAnsiTheme="minorHAnsi" w:cstheme="minorHAnsi"/>
                <w:sz w:val="22"/>
                <w:szCs w:val="22"/>
              </w:rPr>
              <w:t>56</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75AD9876" w14:textId="77777777">
            <w:pPr>
              <w:jc w:val="center"/>
              <w:rPr>
                <w:rFonts w:asciiTheme="minorHAnsi" w:hAnsiTheme="minorHAnsi" w:cstheme="minorHAnsi"/>
                <w:sz w:val="22"/>
                <w:szCs w:val="22"/>
              </w:rPr>
            </w:pPr>
            <w:r>
              <w:rPr>
                <w:rFonts w:asciiTheme="minorHAnsi" w:hAnsiTheme="minorHAnsi" w:cstheme="minorHAnsi"/>
                <w:sz w:val="22"/>
                <w:szCs w:val="22"/>
              </w:rPr>
              <w:t>0.5</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1FBEEE57" w14:textId="77777777">
            <w:pPr>
              <w:jc w:val="center"/>
              <w:rPr>
                <w:rFonts w:asciiTheme="minorHAnsi" w:hAnsiTheme="minorHAnsi" w:cstheme="minorHAnsi"/>
                <w:sz w:val="22"/>
                <w:szCs w:val="22"/>
              </w:rPr>
            </w:pPr>
            <w:r>
              <w:rPr>
                <w:rFonts w:asciiTheme="minorHAnsi" w:hAnsiTheme="minorHAnsi" w:cstheme="minorHAnsi"/>
                <w:sz w:val="22"/>
                <w:szCs w:val="22"/>
              </w:rPr>
              <w:t>28</w:t>
            </w:r>
          </w:p>
        </w:tc>
      </w:tr>
      <w:tr w14:paraId="1F2B1208"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3C6C6367"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252E32C6" w14:textId="77777777">
            <w:pPr>
              <w:rPr>
                <w:rFonts w:asciiTheme="minorHAnsi" w:hAnsiTheme="minorHAnsi" w:cstheme="minorHAnsi"/>
                <w:sz w:val="22"/>
                <w:szCs w:val="22"/>
              </w:rPr>
            </w:pPr>
            <w:r>
              <w:rPr>
                <w:rFonts w:asciiTheme="minorHAnsi" w:hAnsiTheme="minorHAnsi" w:cstheme="minorHAnsi"/>
                <w:sz w:val="22"/>
                <w:szCs w:val="22"/>
              </w:rPr>
              <w:t xml:space="preserve">Registration </w:t>
            </w:r>
          </w:p>
          <w:p w:rsidR="00752D61" w14:paraId="785E8CED" w14:textId="77777777">
            <w:pPr>
              <w:rPr>
                <w:rFonts w:asciiTheme="minorHAnsi" w:hAnsiTheme="minorHAnsi" w:cstheme="minorHAnsi"/>
                <w:sz w:val="22"/>
                <w:szCs w:val="22"/>
              </w:rPr>
            </w:pPr>
            <w:r>
              <w:rPr>
                <w:rFonts w:asciiTheme="minorHAnsi" w:hAnsiTheme="minorHAnsi" w:cstheme="minorHAnsi"/>
                <w:sz w:val="22"/>
                <w:szCs w:val="22"/>
              </w:rPr>
              <w:t>§ 1.25F-4T(b)</w:t>
            </w:r>
          </w:p>
        </w:tc>
        <w:tc>
          <w:tcPr>
            <w:tcW w:w="1385" w:type="dxa"/>
            <w:tcBorders>
              <w:top w:val="single" w:sz="8" w:space="0" w:color="auto"/>
              <w:left w:val="nil"/>
              <w:bottom w:val="single" w:sz="8" w:space="0" w:color="auto"/>
              <w:right w:val="single" w:sz="8" w:space="0" w:color="auto"/>
            </w:tcBorders>
            <w:vAlign w:val="center"/>
          </w:tcPr>
          <w:p w:rsidR="00752D61" w14:paraId="5E514660" w14:textId="77777777">
            <w:pPr>
              <w:jc w:val="center"/>
              <w:rPr>
                <w:rFonts w:asciiTheme="minorHAnsi" w:hAnsiTheme="minorHAnsi" w:cstheme="minorHAnsi"/>
                <w:sz w:val="22"/>
                <w:szCs w:val="22"/>
              </w:rPr>
            </w:pPr>
            <w:r>
              <w:rPr>
                <w:rFonts w:asciiTheme="minorHAnsi" w:hAnsiTheme="minorHAnsi" w:cstheme="minorHAnsi"/>
                <w:sz w:val="22"/>
                <w:szCs w:val="22"/>
              </w:rPr>
              <w:t>650</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6F05A877" w14:textId="77777777">
            <w:pPr>
              <w:jc w:val="center"/>
              <w:rPr>
                <w:rFonts w:asciiTheme="minorHAnsi" w:hAnsiTheme="minorHAnsi" w:cstheme="minorHAnsi"/>
                <w:sz w:val="22"/>
                <w:szCs w:val="22"/>
              </w:rPr>
            </w:pPr>
            <w:r>
              <w:rPr>
                <w:rFonts w:asciiTheme="minorHAnsi" w:hAnsiTheme="minorHAnsi" w:cstheme="minorHAnsi"/>
                <w:sz w:val="22"/>
                <w:szCs w:val="22"/>
              </w:rPr>
              <w:t>1</w:t>
            </w:r>
          </w:p>
        </w:tc>
        <w:tc>
          <w:tcPr>
            <w:tcW w:w="1067" w:type="dxa"/>
            <w:tcBorders>
              <w:top w:val="single" w:sz="8" w:space="0" w:color="auto"/>
              <w:left w:val="nil"/>
              <w:bottom w:val="single" w:sz="8" w:space="0" w:color="auto"/>
              <w:right w:val="single" w:sz="8" w:space="0" w:color="auto"/>
            </w:tcBorders>
            <w:vAlign w:val="center"/>
          </w:tcPr>
          <w:p w:rsidR="00752D61" w14:paraId="471CC408" w14:textId="77777777">
            <w:pPr>
              <w:jc w:val="center"/>
              <w:rPr>
                <w:rFonts w:asciiTheme="minorHAnsi" w:hAnsiTheme="minorHAnsi" w:cstheme="minorHAnsi"/>
                <w:sz w:val="22"/>
                <w:szCs w:val="22"/>
              </w:rPr>
            </w:pPr>
            <w:r>
              <w:rPr>
                <w:rFonts w:asciiTheme="minorHAnsi" w:hAnsiTheme="minorHAnsi" w:cstheme="minorHAnsi"/>
                <w:sz w:val="22"/>
                <w:szCs w:val="22"/>
              </w:rPr>
              <w:t>650</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359948D7" w14:textId="77777777">
            <w:pPr>
              <w:jc w:val="center"/>
              <w:rPr>
                <w:rFonts w:asciiTheme="minorHAnsi" w:hAnsiTheme="minorHAnsi" w:cstheme="minorHAnsi"/>
                <w:sz w:val="22"/>
                <w:szCs w:val="22"/>
              </w:rPr>
            </w:pPr>
            <w:r>
              <w:rPr>
                <w:rFonts w:asciiTheme="minorHAnsi" w:hAnsiTheme="minorHAnsi" w:cstheme="minorHAnsi"/>
                <w:sz w:val="22"/>
                <w:szCs w:val="22"/>
              </w:rPr>
              <w:t>1.33</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548C2317" w14:textId="77777777">
            <w:pPr>
              <w:jc w:val="center"/>
              <w:rPr>
                <w:rFonts w:asciiTheme="minorHAnsi" w:hAnsiTheme="minorHAnsi" w:cstheme="minorHAnsi"/>
                <w:sz w:val="22"/>
                <w:szCs w:val="22"/>
              </w:rPr>
            </w:pPr>
            <w:r>
              <w:rPr>
                <w:rFonts w:asciiTheme="minorHAnsi" w:hAnsiTheme="minorHAnsi" w:cstheme="minorHAnsi"/>
                <w:sz w:val="22"/>
                <w:szCs w:val="22"/>
              </w:rPr>
              <w:t>865</w:t>
            </w:r>
          </w:p>
        </w:tc>
      </w:tr>
      <w:tr w14:paraId="3DEFC99F"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525F8D3B"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36B9DF7C" w14:textId="77777777">
            <w:pPr>
              <w:rPr>
                <w:rFonts w:asciiTheme="minorHAnsi" w:hAnsiTheme="minorHAnsi" w:cstheme="minorHAnsi"/>
                <w:sz w:val="22"/>
                <w:szCs w:val="22"/>
              </w:rPr>
            </w:pPr>
            <w:r>
              <w:rPr>
                <w:rFonts w:asciiTheme="minorHAnsi" w:hAnsiTheme="minorHAnsi" w:cstheme="minorHAnsi"/>
                <w:sz w:val="22"/>
                <w:szCs w:val="22"/>
              </w:rPr>
              <w:t>Contribution Related Collection - Drafting Template for Acknowledgement and unique ID generation process</w:t>
            </w:r>
          </w:p>
          <w:p w:rsidR="00752D61" w14:paraId="13BF63BA" w14:textId="77777777">
            <w:pPr>
              <w:rPr>
                <w:rFonts w:asciiTheme="minorHAnsi" w:hAnsiTheme="minorHAnsi" w:cstheme="minorHAnsi"/>
                <w:sz w:val="22"/>
                <w:szCs w:val="22"/>
              </w:rPr>
            </w:pPr>
            <w:r>
              <w:rPr>
                <w:rFonts w:asciiTheme="minorHAnsi" w:hAnsiTheme="minorHAnsi" w:cstheme="minorHAnsi"/>
                <w:sz w:val="22"/>
                <w:szCs w:val="22"/>
              </w:rPr>
              <w:t>§ 1.25F-4T(c)(1)</w:t>
            </w:r>
          </w:p>
        </w:tc>
        <w:tc>
          <w:tcPr>
            <w:tcW w:w="1385" w:type="dxa"/>
            <w:tcBorders>
              <w:top w:val="single" w:sz="8" w:space="0" w:color="auto"/>
              <w:left w:val="nil"/>
              <w:bottom w:val="single" w:sz="8" w:space="0" w:color="auto"/>
              <w:right w:val="single" w:sz="8" w:space="0" w:color="auto"/>
            </w:tcBorders>
            <w:vAlign w:val="center"/>
          </w:tcPr>
          <w:p w:rsidR="00752D61" w14:paraId="57939D48" w14:textId="77777777">
            <w:pPr>
              <w:jc w:val="center"/>
              <w:rPr>
                <w:rFonts w:asciiTheme="minorHAnsi" w:hAnsiTheme="minorHAnsi" w:cstheme="minorHAnsi"/>
                <w:sz w:val="22"/>
                <w:szCs w:val="22"/>
              </w:rPr>
            </w:pPr>
            <w:r>
              <w:rPr>
                <w:rFonts w:asciiTheme="minorHAnsi" w:hAnsiTheme="minorHAnsi" w:cstheme="minorHAnsi"/>
                <w:sz w:val="22"/>
                <w:szCs w:val="22"/>
              </w:rPr>
              <w:t>650</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5505B2D7" w14:textId="77777777">
            <w:pPr>
              <w:jc w:val="center"/>
              <w:rPr>
                <w:rFonts w:asciiTheme="minorHAnsi" w:hAnsiTheme="minorHAnsi" w:cstheme="minorHAnsi"/>
                <w:sz w:val="22"/>
                <w:szCs w:val="22"/>
              </w:rPr>
            </w:pPr>
            <w:r>
              <w:rPr>
                <w:rFonts w:asciiTheme="minorHAnsi" w:hAnsiTheme="minorHAnsi" w:cstheme="minorHAnsi"/>
                <w:sz w:val="22"/>
                <w:szCs w:val="22"/>
              </w:rPr>
              <w:t>1</w:t>
            </w:r>
          </w:p>
        </w:tc>
        <w:tc>
          <w:tcPr>
            <w:tcW w:w="1067" w:type="dxa"/>
            <w:tcBorders>
              <w:top w:val="single" w:sz="8" w:space="0" w:color="auto"/>
              <w:left w:val="nil"/>
              <w:bottom w:val="single" w:sz="8" w:space="0" w:color="auto"/>
              <w:right w:val="single" w:sz="8" w:space="0" w:color="auto"/>
            </w:tcBorders>
            <w:vAlign w:val="center"/>
          </w:tcPr>
          <w:p w:rsidR="00752D61" w14:paraId="5EF2C2D0" w14:textId="77777777">
            <w:pPr>
              <w:jc w:val="center"/>
              <w:rPr>
                <w:rFonts w:asciiTheme="minorHAnsi" w:hAnsiTheme="minorHAnsi" w:cstheme="minorHAnsi"/>
                <w:sz w:val="22"/>
                <w:szCs w:val="22"/>
              </w:rPr>
            </w:pPr>
            <w:r>
              <w:rPr>
                <w:rFonts w:asciiTheme="minorHAnsi" w:hAnsiTheme="minorHAnsi" w:cstheme="minorHAnsi"/>
                <w:sz w:val="22"/>
                <w:szCs w:val="22"/>
              </w:rPr>
              <w:t>650</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2228839A" w14:textId="77777777">
            <w:pPr>
              <w:jc w:val="center"/>
              <w:rPr>
                <w:rFonts w:asciiTheme="minorHAnsi" w:hAnsiTheme="minorHAnsi" w:cstheme="minorHAnsi"/>
                <w:sz w:val="22"/>
                <w:szCs w:val="22"/>
              </w:rPr>
            </w:pPr>
            <w:r>
              <w:rPr>
                <w:rFonts w:asciiTheme="minorHAnsi" w:hAnsiTheme="minorHAnsi" w:cstheme="minorHAnsi"/>
                <w:sz w:val="22"/>
                <w:szCs w:val="22"/>
              </w:rPr>
              <w:t>2</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074D5CDA" w14:textId="77777777">
            <w:pPr>
              <w:jc w:val="center"/>
              <w:rPr>
                <w:rFonts w:asciiTheme="minorHAnsi" w:hAnsiTheme="minorHAnsi" w:cstheme="minorHAnsi"/>
                <w:sz w:val="22"/>
                <w:szCs w:val="22"/>
              </w:rPr>
            </w:pPr>
            <w:r>
              <w:rPr>
                <w:rFonts w:asciiTheme="minorHAnsi" w:hAnsiTheme="minorHAnsi" w:cstheme="minorHAnsi"/>
                <w:sz w:val="22"/>
                <w:szCs w:val="22"/>
              </w:rPr>
              <w:t>1,300</w:t>
            </w:r>
          </w:p>
        </w:tc>
      </w:tr>
      <w:tr w14:paraId="143C263F"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3316BBF8"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0A35DF74" w14:textId="77777777">
            <w:pPr>
              <w:rPr>
                <w:rFonts w:asciiTheme="minorHAnsi" w:hAnsiTheme="minorHAnsi" w:cstheme="minorHAnsi"/>
                <w:sz w:val="22"/>
                <w:szCs w:val="22"/>
              </w:rPr>
            </w:pPr>
            <w:r>
              <w:rPr>
                <w:rFonts w:asciiTheme="minorHAnsi" w:hAnsiTheme="minorHAnsi" w:cstheme="minorHAnsi"/>
                <w:sz w:val="22"/>
                <w:szCs w:val="22"/>
              </w:rPr>
              <w:t>Contribution Related Collection</w:t>
            </w:r>
          </w:p>
          <w:p w:rsidR="00752D61" w14:paraId="4FCA2E1F" w14:textId="77777777">
            <w:pPr>
              <w:rPr>
                <w:rFonts w:asciiTheme="minorHAnsi" w:hAnsiTheme="minorHAnsi" w:cstheme="minorHAnsi"/>
                <w:sz w:val="22"/>
                <w:szCs w:val="22"/>
              </w:rPr>
            </w:pPr>
            <w:r>
              <w:rPr>
                <w:rFonts w:asciiTheme="minorHAnsi" w:hAnsiTheme="minorHAnsi" w:cstheme="minorHAnsi"/>
                <w:sz w:val="22"/>
                <w:szCs w:val="22"/>
              </w:rPr>
              <w:t xml:space="preserve">- SGO giving contributors a written </w:t>
            </w:r>
            <w:r>
              <w:rPr>
                <w:rFonts w:asciiTheme="minorHAnsi" w:hAnsiTheme="minorHAnsi" w:cstheme="minorHAnsi"/>
                <w:sz w:val="22"/>
                <w:szCs w:val="22"/>
              </w:rPr>
              <w:t xml:space="preserve">acknowledgement </w:t>
            </w:r>
          </w:p>
          <w:p w:rsidR="00752D61" w14:paraId="1A5831F5" w14:textId="77777777">
            <w:pPr>
              <w:rPr>
                <w:rFonts w:asciiTheme="minorHAnsi" w:hAnsiTheme="minorHAnsi" w:cstheme="minorHAnsi"/>
                <w:sz w:val="22"/>
                <w:szCs w:val="22"/>
              </w:rPr>
            </w:pPr>
            <w:r>
              <w:rPr>
                <w:rFonts w:asciiTheme="minorHAnsi" w:hAnsiTheme="minorHAnsi" w:cstheme="minorHAnsi"/>
                <w:sz w:val="22"/>
                <w:szCs w:val="22"/>
              </w:rPr>
              <w:t>§ 1.25F-4T(c)(1)</w:t>
            </w:r>
          </w:p>
        </w:tc>
        <w:tc>
          <w:tcPr>
            <w:tcW w:w="1385" w:type="dxa"/>
            <w:tcBorders>
              <w:top w:val="single" w:sz="8" w:space="0" w:color="auto"/>
              <w:left w:val="nil"/>
              <w:bottom w:val="single" w:sz="8" w:space="0" w:color="auto"/>
              <w:right w:val="single" w:sz="8" w:space="0" w:color="auto"/>
            </w:tcBorders>
            <w:vAlign w:val="center"/>
          </w:tcPr>
          <w:p w:rsidR="00752D61" w14:paraId="354B6C98" w14:textId="77777777">
            <w:pPr>
              <w:jc w:val="center"/>
              <w:rPr>
                <w:rFonts w:asciiTheme="minorHAnsi" w:hAnsiTheme="minorHAnsi" w:cstheme="minorHAnsi"/>
                <w:sz w:val="22"/>
                <w:szCs w:val="22"/>
              </w:rPr>
            </w:pPr>
            <w:r>
              <w:rPr>
                <w:rFonts w:asciiTheme="minorHAnsi" w:hAnsiTheme="minorHAnsi" w:cstheme="minorHAnsi"/>
                <w:sz w:val="22"/>
                <w:szCs w:val="22"/>
              </w:rPr>
              <w:t>650</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2991C96E" w14:textId="77777777">
            <w:pPr>
              <w:jc w:val="center"/>
              <w:rPr>
                <w:rFonts w:asciiTheme="minorHAnsi" w:hAnsiTheme="minorHAnsi" w:cstheme="minorHAnsi"/>
                <w:sz w:val="22"/>
                <w:szCs w:val="22"/>
              </w:rPr>
            </w:pPr>
            <w:r>
              <w:rPr>
                <w:rFonts w:asciiTheme="minorHAnsi" w:hAnsiTheme="minorHAnsi" w:cstheme="minorHAnsi"/>
                <w:sz w:val="22"/>
                <w:szCs w:val="22"/>
              </w:rPr>
              <w:t>16,923.77</w:t>
            </w:r>
          </w:p>
        </w:tc>
        <w:tc>
          <w:tcPr>
            <w:tcW w:w="1067" w:type="dxa"/>
            <w:tcBorders>
              <w:top w:val="single" w:sz="8" w:space="0" w:color="auto"/>
              <w:left w:val="nil"/>
              <w:bottom w:val="single" w:sz="8" w:space="0" w:color="auto"/>
              <w:right w:val="single" w:sz="8" w:space="0" w:color="auto"/>
            </w:tcBorders>
            <w:vAlign w:val="center"/>
          </w:tcPr>
          <w:p w:rsidR="00752D61" w14:paraId="21FD2FC5" w14:textId="77777777">
            <w:pPr>
              <w:jc w:val="center"/>
              <w:rPr>
                <w:rFonts w:asciiTheme="minorHAnsi" w:hAnsiTheme="minorHAnsi" w:cstheme="minorHAnsi"/>
                <w:sz w:val="22"/>
                <w:szCs w:val="22"/>
              </w:rPr>
            </w:pPr>
            <w:r>
              <w:rPr>
                <w:rFonts w:asciiTheme="minorHAnsi" w:hAnsiTheme="minorHAnsi" w:cstheme="minorHAnsi"/>
                <w:sz w:val="22"/>
                <w:szCs w:val="22"/>
              </w:rPr>
              <w:t>11,000,000</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091E6645" w14:textId="77777777">
            <w:pPr>
              <w:jc w:val="center"/>
              <w:rPr>
                <w:rFonts w:asciiTheme="minorHAnsi" w:hAnsiTheme="minorHAnsi" w:cstheme="minorHAnsi"/>
                <w:sz w:val="22"/>
                <w:szCs w:val="22"/>
              </w:rPr>
            </w:pPr>
            <w:r>
              <w:rPr>
                <w:rFonts w:asciiTheme="minorHAnsi" w:hAnsiTheme="minorHAnsi" w:cstheme="minorHAnsi"/>
                <w:sz w:val="22"/>
                <w:szCs w:val="22"/>
              </w:rPr>
              <w:t>.25</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6E462667" w14:textId="77777777">
            <w:pPr>
              <w:jc w:val="center"/>
              <w:rPr>
                <w:rFonts w:asciiTheme="minorHAnsi" w:hAnsiTheme="minorHAnsi" w:cstheme="minorHAnsi"/>
                <w:sz w:val="22"/>
                <w:szCs w:val="22"/>
              </w:rPr>
            </w:pPr>
            <w:r>
              <w:rPr>
                <w:rFonts w:asciiTheme="minorHAnsi" w:hAnsiTheme="minorHAnsi" w:cstheme="minorHAnsi"/>
                <w:sz w:val="22"/>
                <w:szCs w:val="22"/>
              </w:rPr>
              <w:t>2,750,000</w:t>
            </w:r>
          </w:p>
        </w:tc>
      </w:tr>
      <w:tr w14:paraId="7F79127D"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6293F6DB" w14:textId="77777777">
            <w:pPr>
              <w:rPr>
                <w:rFonts w:asciiTheme="minorHAnsi" w:hAnsiTheme="minorHAnsi" w:cstheme="minorHAnsi"/>
                <w:sz w:val="22"/>
                <w:szCs w:val="22"/>
              </w:rPr>
            </w:pPr>
            <w:r>
              <w:rPr>
                <w:rFonts w:asciiTheme="minorHAnsi" w:hAnsiTheme="minorHAnsi" w:cstheme="minorHAnsi"/>
                <w:sz w:val="22"/>
                <w:szCs w:val="22"/>
              </w:rPr>
              <w:t>IRC § 25F</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617223B2" w14:textId="77777777">
            <w:pPr>
              <w:rPr>
                <w:rFonts w:asciiTheme="minorHAnsi" w:hAnsiTheme="minorHAnsi" w:cstheme="minorHAnsi"/>
                <w:sz w:val="22"/>
                <w:szCs w:val="22"/>
              </w:rPr>
            </w:pPr>
            <w:r>
              <w:rPr>
                <w:rFonts w:asciiTheme="minorHAnsi" w:hAnsiTheme="minorHAnsi" w:cstheme="minorHAnsi"/>
                <w:sz w:val="22"/>
                <w:szCs w:val="22"/>
              </w:rPr>
              <w:t xml:space="preserve">Contribution Related Collection </w:t>
            </w:r>
          </w:p>
          <w:p w:rsidR="00752D61" w14:paraId="72D05255" w14:textId="77777777">
            <w:pPr>
              <w:rPr>
                <w:rFonts w:asciiTheme="minorHAnsi" w:hAnsiTheme="minorHAnsi" w:cstheme="minorHAnsi"/>
                <w:sz w:val="22"/>
                <w:szCs w:val="22"/>
              </w:rPr>
            </w:pPr>
            <w:r>
              <w:rPr>
                <w:rFonts w:asciiTheme="minorHAnsi" w:hAnsiTheme="minorHAnsi" w:cstheme="minorHAnsi"/>
                <w:sz w:val="22"/>
                <w:szCs w:val="22"/>
              </w:rPr>
              <w:t xml:space="preserve">(Annual Report to IRS of Contributor Information)  </w:t>
            </w:r>
          </w:p>
          <w:p w:rsidR="00752D61" w14:paraId="3CF36B95" w14:textId="77777777">
            <w:pPr>
              <w:rPr>
                <w:rFonts w:asciiTheme="minorHAnsi" w:hAnsiTheme="minorHAnsi" w:cstheme="minorHAnsi"/>
                <w:sz w:val="22"/>
                <w:szCs w:val="22"/>
              </w:rPr>
            </w:pPr>
            <w:r>
              <w:rPr>
                <w:rFonts w:asciiTheme="minorHAnsi" w:hAnsiTheme="minorHAnsi" w:cstheme="minorHAnsi"/>
                <w:sz w:val="22"/>
                <w:szCs w:val="22"/>
              </w:rPr>
              <w:t>§ 1.25F-4T(c)(2)</w:t>
            </w:r>
          </w:p>
        </w:tc>
        <w:tc>
          <w:tcPr>
            <w:tcW w:w="1385" w:type="dxa"/>
            <w:tcBorders>
              <w:top w:val="single" w:sz="8" w:space="0" w:color="auto"/>
              <w:left w:val="nil"/>
              <w:bottom w:val="single" w:sz="8" w:space="0" w:color="auto"/>
              <w:right w:val="single" w:sz="8" w:space="0" w:color="auto"/>
            </w:tcBorders>
            <w:vAlign w:val="center"/>
          </w:tcPr>
          <w:p w:rsidR="00752D61" w14:paraId="605F4C98" w14:textId="77777777">
            <w:pPr>
              <w:jc w:val="center"/>
              <w:rPr>
                <w:rFonts w:asciiTheme="minorHAnsi" w:hAnsiTheme="minorHAnsi" w:cstheme="minorHAnsi"/>
                <w:sz w:val="22"/>
                <w:szCs w:val="22"/>
              </w:rPr>
            </w:pPr>
            <w:r>
              <w:rPr>
                <w:rFonts w:asciiTheme="minorHAnsi" w:hAnsiTheme="minorHAnsi" w:cstheme="minorHAnsi"/>
                <w:sz w:val="22"/>
                <w:szCs w:val="22"/>
              </w:rPr>
              <w:t>650</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430A496C" w14:textId="77777777">
            <w:pPr>
              <w:jc w:val="center"/>
              <w:rPr>
                <w:rFonts w:asciiTheme="minorHAnsi" w:hAnsiTheme="minorHAnsi" w:cstheme="minorHAnsi"/>
                <w:sz w:val="22"/>
                <w:szCs w:val="22"/>
              </w:rPr>
            </w:pPr>
            <w:r>
              <w:rPr>
                <w:rFonts w:asciiTheme="minorHAnsi" w:hAnsiTheme="minorHAnsi" w:cstheme="minorHAnsi"/>
                <w:sz w:val="22"/>
                <w:szCs w:val="22"/>
              </w:rPr>
              <w:t>16,923</w:t>
            </w:r>
          </w:p>
        </w:tc>
        <w:tc>
          <w:tcPr>
            <w:tcW w:w="1067" w:type="dxa"/>
            <w:tcBorders>
              <w:top w:val="single" w:sz="8" w:space="0" w:color="auto"/>
              <w:left w:val="nil"/>
              <w:bottom w:val="single" w:sz="8" w:space="0" w:color="auto"/>
              <w:right w:val="single" w:sz="8" w:space="0" w:color="auto"/>
            </w:tcBorders>
            <w:vAlign w:val="center"/>
          </w:tcPr>
          <w:p w:rsidR="00752D61" w14:paraId="4CA0D680" w14:textId="77777777">
            <w:pPr>
              <w:jc w:val="center"/>
              <w:rPr>
                <w:rFonts w:asciiTheme="minorHAnsi" w:hAnsiTheme="minorHAnsi" w:cstheme="minorHAnsi"/>
                <w:sz w:val="22"/>
                <w:szCs w:val="22"/>
              </w:rPr>
            </w:pPr>
            <w:r>
              <w:rPr>
                <w:rFonts w:asciiTheme="minorHAnsi" w:hAnsiTheme="minorHAnsi" w:cstheme="minorHAnsi"/>
                <w:sz w:val="22"/>
                <w:szCs w:val="22"/>
              </w:rPr>
              <w:t>11,000,000</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5151C0A5" w14:textId="77777777">
            <w:pPr>
              <w:jc w:val="center"/>
              <w:rPr>
                <w:rFonts w:asciiTheme="minorHAnsi" w:hAnsiTheme="minorHAnsi" w:cstheme="minorHAnsi"/>
                <w:sz w:val="22"/>
                <w:szCs w:val="22"/>
              </w:rPr>
            </w:pPr>
            <w:r>
              <w:rPr>
                <w:rFonts w:asciiTheme="minorHAnsi" w:hAnsiTheme="minorHAnsi" w:cstheme="minorHAnsi"/>
                <w:sz w:val="22"/>
                <w:szCs w:val="22"/>
              </w:rPr>
              <w:t>.5</w:t>
            </w: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4858531B" w14:textId="77777777">
            <w:pPr>
              <w:jc w:val="center"/>
              <w:rPr>
                <w:rFonts w:asciiTheme="minorHAnsi" w:hAnsiTheme="minorHAnsi" w:cstheme="minorHAnsi"/>
                <w:sz w:val="22"/>
                <w:szCs w:val="22"/>
              </w:rPr>
            </w:pPr>
            <w:r>
              <w:rPr>
                <w:rFonts w:asciiTheme="minorHAnsi" w:hAnsiTheme="minorHAnsi" w:cstheme="minorHAnsi"/>
                <w:sz w:val="22"/>
                <w:szCs w:val="22"/>
              </w:rPr>
              <w:t>5,500,000</w:t>
            </w:r>
          </w:p>
        </w:tc>
      </w:tr>
      <w:tr w14:paraId="27DBCD0E" w14:textId="77777777">
        <w:tblPrEx>
          <w:tblW w:w="9090" w:type="dxa"/>
          <w:tblInd w:w="800" w:type="dxa"/>
          <w:tblCellMar>
            <w:left w:w="0" w:type="dxa"/>
            <w:right w:w="0" w:type="dxa"/>
          </w:tblCellMar>
          <w:tblLook w:val="04A0"/>
        </w:tblPrEx>
        <w:tc>
          <w:tcPr>
            <w:tcW w:w="900" w:type="dxa"/>
            <w:tcBorders>
              <w:top w:val="nil"/>
              <w:left w:val="single" w:sz="8" w:space="0" w:color="auto"/>
              <w:bottom w:val="single" w:sz="8" w:space="0" w:color="auto"/>
              <w:right w:val="single" w:sz="8" w:space="0" w:color="auto"/>
            </w:tcBorders>
            <w:vAlign w:val="center"/>
          </w:tcPr>
          <w:p w:rsidR="00752D61" w14:paraId="62C743E3" w14:textId="77777777">
            <w:pPr>
              <w:rPr>
                <w:rFonts w:asciiTheme="minorHAnsi" w:hAnsiTheme="minorHAnsi" w:cstheme="minorHAnsi"/>
                <w:b/>
                <w:bCs/>
                <w:sz w:val="22"/>
                <w:szCs w:val="22"/>
              </w:rPr>
            </w:pPr>
            <w:r>
              <w:rPr>
                <w:rFonts w:asciiTheme="minorHAnsi" w:hAnsiTheme="minorHAnsi" w:cstheme="minorHAnsi"/>
                <w:b/>
                <w:bCs/>
                <w:sz w:val="22"/>
                <w:szCs w:val="22"/>
              </w:rPr>
              <w:t>Totals</w:t>
            </w:r>
          </w:p>
        </w:tc>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752D61" w14:paraId="11844CAF" w14:textId="77777777">
            <w:pPr>
              <w:rPr>
                <w:rFonts w:asciiTheme="minorHAnsi" w:hAnsiTheme="minorHAnsi" w:cstheme="minorHAnsi"/>
                <w:b/>
                <w:bCs/>
                <w:sz w:val="22"/>
                <w:szCs w:val="22"/>
              </w:rPr>
            </w:pPr>
          </w:p>
        </w:tc>
        <w:tc>
          <w:tcPr>
            <w:tcW w:w="1385" w:type="dxa"/>
            <w:tcBorders>
              <w:top w:val="single" w:sz="8" w:space="0" w:color="auto"/>
              <w:left w:val="nil"/>
              <w:bottom w:val="single" w:sz="8" w:space="0" w:color="auto"/>
              <w:right w:val="single" w:sz="8" w:space="0" w:color="auto"/>
            </w:tcBorders>
          </w:tcPr>
          <w:p w:rsidR="00752D61" w14:paraId="1B7E9AA9" w14:textId="77777777">
            <w:pPr>
              <w:jc w:val="center"/>
              <w:rPr>
                <w:rFonts w:asciiTheme="minorHAnsi" w:hAnsiTheme="minorHAnsi" w:cstheme="minorHAnsi"/>
                <w:b/>
                <w:bCs/>
                <w:sz w:val="22"/>
                <w:szCs w:val="22"/>
              </w:rPr>
            </w:pPr>
            <w:r>
              <w:rPr>
                <w:rFonts w:asciiTheme="minorHAnsi" w:hAnsiTheme="minorHAnsi" w:cstheme="minorHAnsi"/>
                <w:b/>
                <w:bCs/>
                <w:sz w:val="22"/>
                <w:szCs w:val="22"/>
              </w:rPr>
              <w:t>2,812</w:t>
            </w:r>
          </w:p>
        </w:tc>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63000B00" w14:textId="77777777">
            <w:pPr>
              <w:jc w:val="center"/>
              <w:rPr>
                <w:rFonts w:asciiTheme="minorHAnsi" w:hAnsiTheme="minorHAnsi" w:cstheme="minorHAnsi"/>
                <w:b/>
                <w:bCs/>
                <w:sz w:val="22"/>
                <w:szCs w:val="22"/>
              </w:rPr>
            </w:pPr>
          </w:p>
        </w:tc>
        <w:tc>
          <w:tcPr>
            <w:tcW w:w="1067" w:type="dxa"/>
            <w:tcBorders>
              <w:top w:val="single" w:sz="8" w:space="0" w:color="auto"/>
              <w:left w:val="nil"/>
              <w:bottom w:val="single" w:sz="8" w:space="0" w:color="auto"/>
              <w:right w:val="single" w:sz="8" w:space="0" w:color="auto"/>
            </w:tcBorders>
          </w:tcPr>
          <w:p w:rsidR="00752D61" w14:paraId="13B2F564" w14:textId="459AF8EE">
            <w:pPr>
              <w:jc w:val="center"/>
              <w:rPr>
                <w:rFonts w:asciiTheme="minorHAnsi" w:hAnsiTheme="minorHAnsi" w:cstheme="minorHAnsi"/>
                <w:b/>
                <w:bCs/>
                <w:sz w:val="22"/>
                <w:szCs w:val="22"/>
              </w:rPr>
            </w:pPr>
            <w:r>
              <w:rPr>
                <w:rFonts w:asciiTheme="minorHAnsi" w:hAnsiTheme="minorHAnsi" w:cstheme="minorHAnsi"/>
                <w:b/>
                <w:bCs/>
                <w:sz w:val="22"/>
                <w:szCs w:val="22"/>
              </w:rPr>
              <w:t>22,002,210</w:t>
            </w:r>
          </w:p>
        </w:tc>
        <w:tc>
          <w:tcPr>
            <w:tcW w:w="10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52D61" w14:paraId="537CB081" w14:textId="77777777">
            <w:pPr>
              <w:jc w:val="center"/>
              <w:rPr>
                <w:rFonts w:asciiTheme="minorHAnsi" w:hAnsiTheme="minorHAnsi" w:cstheme="minorHAnsi"/>
                <w:b/>
                <w:bCs/>
                <w:sz w:val="22"/>
                <w:szCs w:val="22"/>
              </w:rPr>
            </w:pPr>
          </w:p>
        </w:tc>
        <w:tc>
          <w:tcPr>
            <w:tcW w:w="1139" w:type="dxa"/>
            <w:tcBorders>
              <w:top w:val="nil"/>
              <w:left w:val="nil"/>
              <w:bottom w:val="single" w:sz="8" w:space="0" w:color="auto"/>
              <w:right w:val="single" w:sz="8" w:space="0" w:color="auto"/>
            </w:tcBorders>
            <w:tcMar>
              <w:top w:w="0" w:type="dxa"/>
              <w:left w:w="108" w:type="dxa"/>
              <w:bottom w:w="0" w:type="dxa"/>
              <w:right w:w="108" w:type="dxa"/>
            </w:tcMar>
            <w:vAlign w:val="center"/>
          </w:tcPr>
          <w:p w:rsidR="00752D61" w14:paraId="718C2106" w14:textId="0DF3297F">
            <w:pPr>
              <w:jc w:val="center"/>
              <w:rPr>
                <w:rFonts w:asciiTheme="minorHAnsi" w:hAnsiTheme="minorHAnsi" w:cstheme="minorHAnsi"/>
                <w:b/>
                <w:bCs/>
                <w:sz w:val="22"/>
                <w:szCs w:val="22"/>
              </w:rPr>
            </w:pPr>
            <w:r>
              <w:rPr>
                <w:rFonts w:asciiTheme="minorHAnsi" w:hAnsiTheme="minorHAnsi" w:cstheme="minorHAnsi"/>
                <w:b/>
                <w:bCs/>
                <w:sz w:val="22"/>
                <w:szCs w:val="22"/>
              </w:rPr>
              <w:t>8,258,885</w:t>
            </w:r>
          </w:p>
        </w:tc>
      </w:tr>
      <w:bookmarkEnd w:id="4"/>
    </w:tbl>
    <w:p w:rsidR="00752D61" w14:paraId="36565EE3" w14:textId="77777777">
      <w:pPr>
        <w:rPr>
          <w:rFonts w:asciiTheme="minorHAnsi" w:hAnsiTheme="minorHAnsi" w:cstheme="minorHAnsi"/>
          <w:sz w:val="22"/>
          <w:szCs w:val="22"/>
        </w:rPr>
      </w:pPr>
    </w:p>
    <w:p w:rsidR="00752D61" w14:paraId="364708F0" w14:textId="77777777">
      <w:pPr>
        <w:rPr>
          <w:rFonts w:asciiTheme="minorHAnsi" w:hAnsiTheme="minorHAnsi" w:cstheme="minorHAnsi"/>
          <w:sz w:val="22"/>
          <w:szCs w:val="22"/>
        </w:rPr>
      </w:pPr>
    </w:p>
    <w:p w:rsidR="00752D61" w14:paraId="76D9E843" w14:textId="77777777">
      <w:pPr>
        <w:rPr>
          <w:rFonts w:asciiTheme="minorHAnsi" w:hAnsiTheme="minorHAnsi" w:cstheme="minorHAnsi"/>
          <w:sz w:val="22"/>
          <w:szCs w:val="22"/>
        </w:rPr>
      </w:pPr>
    </w:p>
    <w:p w:rsidR="00752D61" w14:paraId="20B03FE3" w14:textId="77777777">
      <w:pPr>
        <w:pStyle w:val="Level1"/>
        <w:tabs>
          <w:tab w:val="left" w:pos="-1440"/>
        </w:tabs>
        <w:rPr>
          <w:rFonts w:asciiTheme="minorHAnsi" w:hAnsiTheme="minorHAnsi" w:cstheme="minorHAnsi"/>
          <w:sz w:val="22"/>
          <w:szCs w:val="22"/>
        </w:rPr>
      </w:pPr>
      <w:r>
        <w:rPr>
          <w:rFonts w:asciiTheme="minorHAnsi" w:hAnsiTheme="minorHAnsi" w:cstheme="minorHAnsi"/>
          <w:sz w:val="22"/>
          <w:szCs w:val="22"/>
          <w:u w:val="single"/>
        </w:rPr>
        <w:t>ESTIMATED TOTAL ANNUAL COST BURDEN TO RESPONDENTS</w:t>
      </w:r>
    </w:p>
    <w:p w:rsidR="00752D61" w14:paraId="248FB086" w14:textId="77777777">
      <w:pPr>
        <w:pStyle w:val="Level1"/>
        <w:numPr>
          <w:ilvl w:val="0"/>
          <w:numId w:val="0"/>
        </w:numPr>
        <w:tabs>
          <w:tab w:val="left" w:pos="-1440"/>
        </w:tabs>
        <w:ind w:left="720" w:hanging="720"/>
        <w:rPr>
          <w:rFonts w:asciiTheme="minorHAnsi" w:hAnsiTheme="minorHAnsi" w:cstheme="minorHAnsi"/>
          <w:sz w:val="22"/>
          <w:szCs w:val="22"/>
          <w:u w:val="single"/>
        </w:rPr>
      </w:pPr>
    </w:p>
    <w:p w:rsidR="00752D61" w14:paraId="3773BBFA" w14:textId="5D6516D6">
      <w:pPr>
        <w:ind w:left="720"/>
        <w:rPr>
          <w:rFonts w:asciiTheme="minorHAnsi" w:hAnsiTheme="minorHAnsi" w:cstheme="minorHAnsi"/>
          <w:sz w:val="22"/>
          <w:szCs w:val="22"/>
        </w:rPr>
      </w:pPr>
      <w:r>
        <w:rPr>
          <w:rFonts w:asciiTheme="minorHAnsi" w:hAnsiTheme="minorHAnsi" w:cstheme="minorHAnsi"/>
          <w:sz w:val="22"/>
          <w:szCs w:val="22"/>
        </w:rPr>
        <w:t>No special software or other equipment is needed to respond to this collection of information; no user fee is required to respond to the collection of information. The collection of information is not expected to require postage or other transmission fees, except for an expected de minimis number of timely written acknowledgements for which the donor does not agree to receive the acknowledgement electronically. A respondent may wish to print a copy of their submission.</w:t>
      </w:r>
    </w:p>
    <w:p w:rsidR="00752D61" w14:paraId="6DFF419B" w14:textId="77777777">
      <w:pPr>
        <w:rPr>
          <w:rFonts w:asciiTheme="minorHAnsi" w:hAnsiTheme="minorHAnsi" w:cstheme="minorHAnsi"/>
          <w:sz w:val="22"/>
          <w:szCs w:val="22"/>
        </w:rPr>
      </w:pPr>
    </w:p>
    <w:p w:rsidR="00752D61" w14:paraId="7484C4B3" w14:textId="77777777">
      <w:pPr>
        <w:pStyle w:val="Level1"/>
        <w:tabs>
          <w:tab w:val="left" w:pos="-1440"/>
        </w:tabs>
        <w:rPr>
          <w:rFonts w:asciiTheme="minorHAnsi" w:hAnsiTheme="minorHAnsi" w:cstheme="minorHAnsi"/>
          <w:sz w:val="22"/>
          <w:szCs w:val="22"/>
        </w:rPr>
      </w:pPr>
      <w:r>
        <w:rPr>
          <w:rFonts w:asciiTheme="minorHAnsi" w:hAnsiTheme="minorHAnsi" w:cstheme="minorHAnsi"/>
          <w:sz w:val="22"/>
          <w:szCs w:val="22"/>
          <w:u w:val="single"/>
        </w:rPr>
        <w:t>ESTIMATED ANNUALIZED COST TO THE FEDERAL GOVERNMENT</w:t>
      </w:r>
    </w:p>
    <w:p w:rsidR="00752D61" w14:paraId="247B0EB9" w14:textId="77777777">
      <w:pPr>
        <w:rPr>
          <w:rFonts w:asciiTheme="minorHAnsi" w:hAnsiTheme="minorHAnsi" w:cstheme="minorHAnsi"/>
          <w:sz w:val="22"/>
          <w:szCs w:val="22"/>
        </w:rPr>
      </w:pPr>
    </w:p>
    <w:p w:rsidR="00752D61" w14:paraId="1803B9AA" w14:textId="74153AC4">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There is no cost to the Federal government for the recordkeeping and third-party disclosure requirements imposed on States and SGOs. There are costs related to developing the online portals for the States and SGOs, and for developing new forms (Form 8525 and Schedule for Form 990.</w:t>
      </w:r>
    </w:p>
    <w:p w:rsidR="00752D61" w14:paraId="1DBC1194" w14:textId="77777777">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br/>
        <w:t xml:space="preserve">Portal Cost: </w:t>
      </w:r>
    </w:p>
    <w:p w:rsidR="00752D61" w14:paraId="1DF0F5E2" w14:textId="0F345A02">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The IRS incurs development, cloud-hosting, and operational-support costs for the Section 25F State and SGO portals through a broader shared Tax Credits solution. Based on current contract and budget records, the identified ASO task-order award and FY26 Bridge 2 IEP funding total $2,450,738.97. These amounts also support Clean Energy statutory changes and shared Tax Credits platform capabilities. The underlying contract and funding lines do not separately allocate costs by individual portal or between start-up and annual maintenance.</w:t>
      </w:r>
    </w:p>
    <w:p w:rsidR="00752D61" w14:paraId="19320860" w14:textId="77777777">
      <w:pPr>
        <w:pStyle w:val="Level1"/>
        <w:numPr>
          <w:ilvl w:val="0"/>
          <w:numId w:val="0"/>
        </w:numPr>
        <w:tabs>
          <w:tab w:val="left" w:pos="-1440"/>
        </w:tabs>
        <w:ind w:left="720"/>
        <w:rPr>
          <w:rFonts w:asciiTheme="minorHAnsi" w:hAnsiTheme="minorHAnsi" w:cstheme="minorHAnsi"/>
          <w:sz w:val="22"/>
          <w:szCs w:val="22"/>
        </w:rPr>
      </w:pPr>
    </w:p>
    <w:p w:rsidR="00752D61" w14:paraId="0C737AD0" w14:textId="48D09425">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Form and Schedule Cost:</w:t>
      </w:r>
    </w:p>
    <w:p w:rsidR="00752D61" w14:paraId="1FF0A740" w14:textId="25887378">
      <w:pPr>
        <w:pStyle w:val="Level1"/>
        <w:numPr>
          <w:ilvl w:val="0"/>
          <w:numId w:val="0"/>
        </w:numPr>
        <w:tabs>
          <w:tab w:val="left" w:pos="-1440"/>
        </w:tabs>
        <w:ind w:left="720"/>
        <w:rPr>
          <w:rFonts w:asciiTheme="minorHAnsi" w:hAnsiTheme="minorHAnsi" w:cstheme="minorHAnsi"/>
          <w:sz w:val="22"/>
          <w:szCs w:val="22"/>
        </w:rPr>
      </w:pPr>
      <w:r>
        <w:rPr>
          <w:rFonts w:asciiTheme="minorHAnsi" w:hAnsiTheme="minorHAnsi" w:cstheme="minorHAnsi"/>
          <w:sz w:val="22"/>
          <w:szCs w:val="22"/>
        </w:rPr>
        <w:t xml:space="preserve">Cost estimate for product development is based on a model that considers the following three cost factors for each information product: aggregate labor costs for development, including annualized startup expenses, operating and maintenance expenses, and distribution of the product that collects the information. The costs to the Federal government will vary depending on whether the IRS will incur printing or copying costs for all the materials. These costs do not include any activities such as taxpayer assistance and enforcement. IRS estimates have determined that the cost of developing, printing, distribution and overhead for the Form and schedule is $15,048. </w:t>
      </w:r>
    </w:p>
    <w:p w:rsidR="00752D61" w14:paraId="6E4D0622" w14:textId="77777777">
      <w:pPr>
        <w:rPr>
          <w:rFonts w:asciiTheme="minorHAnsi" w:hAnsiTheme="minorHAnsi" w:cstheme="minorHAnsi"/>
          <w:sz w:val="22"/>
          <w:szCs w:val="22"/>
        </w:rPr>
      </w:pPr>
    </w:p>
    <w:p w:rsidR="00752D61" w14:paraId="1BF135EC" w14:textId="77777777">
      <w:pPr>
        <w:pStyle w:val="Level1"/>
        <w:rPr>
          <w:rFonts w:asciiTheme="minorHAnsi" w:hAnsiTheme="minorHAnsi" w:cstheme="minorHAnsi"/>
          <w:sz w:val="22"/>
          <w:szCs w:val="22"/>
        </w:rPr>
      </w:pPr>
      <w:r>
        <w:rPr>
          <w:rFonts w:asciiTheme="minorHAnsi" w:hAnsiTheme="minorHAnsi" w:cstheme="minorHAnsi"/>
          <w:sz w:val="22"/>
          <w:szCs w:val="22"/>
          <w:u w:val="single"/>
        </w:rPr>
        <w:t>REASONS FOR CHANGE IN BURDEN</w:t>
      </w:r>
    </w:p>
    <w:p w:rsidR="00752D61" w14:paraId="533E01E9" w14:textId="77777777">
      <w:pPr>
        <w:rPr>
          <w:rFonts w:asciiTheme="minorHAnsi" w:hAnsiTheme="minorHAnsi" w:cstheme="minorHAnsi"/>
          <w:strike/>
          <w:sz w:val="22"/>
          <w:szCs w:val="22"/>
        </w:rPr>
      </w:pPr>
      <w:bookmarkStart w:id="5" w:name="_Hlk95981193"/>
      <w:bookmarkStart w:id="6" w:name="_Hlk531173354"/>
    </w:p>
    <w:p w:rsidR="00752D61" w14:paraId="20E9B7C1" w14:textId="736FEF4F">
      <w:pPr>
        <w:ind w:left="720"/>
        <w:rPr>
          <w:rFonts w:asciiTheme="minorHAnsi" w:hAnsiTheme="minorHAnsi" w:cstheme="minorHAnsi"/>
          <w:sz w:val="22"/>
          <w:szCs w:val="22"/>
        </w:rPr>
      </w:pPr>
      <w:r>
        <w:rPr>
          <w:rFonts w:asciiTheme="minorHAnsi" w:hAnsiTheme="minorHAnsi" w:cstheme="minorHAnsi"/>
          <w:sz w:val="22"/>
          <w:szCs w:val="22"/>
        </w:rPr>
        <w:t>This is a new paperwork burden approval due to these temporary regulations. The burden for this collection of information is 22,002,1</w:t>
      </w:r>
      <w:r w:rsidR="007A3D23">
        <w:rPr>
          <w:rFonts w:asciiTheme="minorHAnsi" w:hAnsiTheme="minorHAnsi" w:cstheme="minorHAnsi"/>
          <w:sz w:val="22"/>
          <w:szCs w:val="22"/>
        </w:rPr>
        <w:t>59</w:t>
      </w:r>
      <w:r>
        <w:rPr>
          <w:rFonts w:asciiTheme="minorHAnsi" w:hAnsiTheme="minorHAnsi" w:cstheme="minorHAnsi"/>
          <w:sz w:val="22"/>
          <w:szCs w:val="22"/>
        </w:rPr>
        <w:t xml:space="preserve"> responses and 8,258,8</w:t>
      </w:r>
      <w:r w:rsidR="007A3D23">
        <w:rPr>
          <w:rFonts w:asciiTheme="minorHAnsi" w:hAnsiTheme="minorHAnsi" w:cstheme="minorHAnsi"/>
          <w:sz w:val="22"/>
          <w:szCs w:val="22"/>
        </w:rPr>
        <w:t>48</w:t>
      </w:r>
      <w:r>
        <w:rPr>
          <w:rFonts w:asciiTheme="minorHAnsi" w:hAnsiTheme="minorHAnsi" w:cstheme="minorHAnsi"/>
          <w:sz w:val="22"/>
          <w:szCs w:val="22"/>
        </w:rPr>
        <w:t xml:space="preserve"> hours of total burden.</w:t>
      </w:r>
    </w:p>
    <w:p w:rsidR="00752D61" w14:paraId="413B356A" w14:textId="77777777">
      <w:pPr>
        <w:ind w:left="720"/>
        <w:rPr>
          <w:rFonts w:asciiTheme="minorHAnsi" w:hAnsiTheme="minorHAnsi" w:cstheme="minorHAnsi"/>
          <w:sz w:val="22"/>
          <w:szCs w:val="22"/>
        </w:rPr>
      </w:pPr>
    </w:p>
    <w:tbl>
      <w:tblPr>
        <w:tblW w:w="4623" w:type="pct"/>
        <w:jc w:val="right"/>
        <w:tblBorders>
          <w:top w:val="single" w:sz="6" w:space="0" w:color="C5DBEC"/>
          <w:left w:val="single" w:sz="6" w:space="0" w:color="C5DBEC"/>
          <w:bottom w:val="single" w:sz="6" w:space="0" w:color="C5DBEC"/>
          <w:right w:val="single" w:sz="6" w:space="0" w:color="C5DBEC"/>
        </w:tblBorders>
        <w:tblCellMar>
          <w:top w:w="15" w:type="dxa"/>
          <w:left w:w="15" w:type="dxa"/>
          <w:bottom w:w="15" w:type="dxa"/>
          <w:right w:w="15" w:type="dxa"/>
        </w:tblCellMar>
        <w:tblLook w:val="04A0"/>
      </w:tblPr>
      <w:tblGrid>
        <w:gridCol w:w="1341"/>
        <w:gridCol w:w="1032"/>
        <w:gridCol w:w="1143"/>
        <w:gridCol w:w="1124"/>
        <w:gridCol w:w="1395"/>
        <w:gridCol w:w="1312"/>
        <w:gridCol w:w="1292"/>
      </w:tblGrid>
      <w:tr w14:paraId="6FDAA067" w14:textId="77777777">
        <w:tblPrEx>
          <w:tblW w:w="4623" w:type="pct"/>
          <w:jc w:val="right"/>
          <w:tblBorders>
            <w:top w:val="single" w:sz="6" w:space="0" w:color="C5DBEC"/>
            <w:left w:val="single" w:sz="6" w:space="0" w:color="C5DBEC"/>
            <w:bottom w:val="single" w:sz="6" w:space="0" w:color="C5DBEC"/>
            <w:right w:val="single" w:sz="6" w:space="0" w:color="C5DBEC"/>
          </w:tblBorders>
          <w:tblCellMar>
            <w:top w:w="15" w:type="dxa"/>
            <w:left w:w="15" w:type="dxa"/>
            <w:bottom w:w="15" w:type="dxa"/>
            <w:right w:w="15" w:type="dxa"/>
          </w:tblCellMar>
          <w:tblLook w:val="04A0"/>
        </w:tblPrEx>
        <w:trPr>
          <w:jc w:val="right"/>
        </w:trPr>
        <w:tc>
          <w:tcPr>
            <w:tcW w:w="1342" w:type="dxa"/>
            <w:tcBorders>
              <w:top w:val="outset" w:sz="6" w:space="0" w:color="auto"/>
              <w:left w:val="outset" w:sz="6" w:space="0" w:color="auto"/>
              <w:bottom w:val="outset" w:sz="6" w:space="0" w:color="auto"/>
              <w:right w:val="outset" w:sz="6" w:space="0" w:color="auto"/>
            </w:tcBorders>
            <w:vAlign w:val="center"/>
            <w:hideMark/>
          </w:tcPr>
          <w:p w:rsidR="00752D61" w14:paraId="177D0D3C" w14:textId="77777777">
            <w:pPr>
              <w:ind w:left="720"/>
              <w:jc w:val="center"/>
              <w:rPr>
                <w:rFonts w:asciiTheme="minorHAnsi" w:hAnsiTheme="minorHAnsi" w:cstheme="minorHAnsi"/>
                <w:b/>
                <w:bCs/>
                <w:sz w:val="22"/>
                <w:szCs w:val="22"/>
              </w:rPr>
            </w:pPr>
            <w:bookmarkStart w:id="7" w:name="_Hlk91074909"/>
          </w:p>
        </w:tc>
        <w:tc>
          <w:tcPr>
            <w:tcW w:w="1022" w:type="dxa"/>
            <w:tcBorders>
              <w:top w:val="outset" w:sz="6" w:space="0" w:color="auto"/>
              <w:left w:val="outset" w:sz="6" w:space="0" w:color="auto"/>
              <w:bottom w:val="outset" w:sz="6" w:space="0" w:color="auto"/>
              <w:right w:val="outset" w:sz="6" w:space="0" w:color="auto"/>
            </w:tcBorders>
            <w:vAlign w:val="center"/>
            <w:hideMark/>
          </w:tcPr>
          <w:p w:rsidR="00752D61" w14:paraId="33717596" w14:textId="77777777">
            <w:pPr>
              <w:jc w:val="center"/>
              <w:rPr>
                <w:rFonts w:asciiTheme="minorHAnsi" w:hAnsiTheme="minorHAnsi" w:cstheme="minorHAnsi"/>
                <w:b/>
                <w:bCs/>
                <w:sz w:val="22"/>
                <w:szCs w:val="22"/>
              </w:rPr>
            </w:pPr>
            <w:r>
              <w:rPr>
                <w:rFonts w:asciiTheme="minorHAnsi" w:hAnsiTheme="minorHAnsi" w:cstheme="minorHAnsi"/>
                <w:b/>
                <w:bCs/>
                <w:sz w:val="22"/>
                <w:szCs w:val="22"/>
              </w:rPr>
              <w:t>Total Approved</w:t>
            </w:r>
          </w:p>
        </w:tc>
        <w:tc>
          <w:tcPr>
            <w:tcW w:w="1144" w:type="dxa"/>
            <w:tcBorders>
              <w:top w:val="outset" w:sz="6" w:space="0" w:color="auto"/>
              <w:left w:val="outset" w:sz="6" w:space="0" w:color="auto"/>
              <w:bottom w:val="outset" w:sz="6" w:space="0" w:color="auto"/>
              <w:right w:val="outset" w:sz="6" w:space="0" w:color="auto"/>
            </w:tcBorders>
            <w:vAlign w:val="center"/>
            <w:hideMark/>
          </w:tcPr>
          <w:p w:rsidR="00752D61" w14:paraId="22B8DD93" w14:textId="77777777">
            <w:pPr>
              <w:jc w:val="center"/>
              <w:rPr>
                <w:rFonts w:asciiTheme="minorHAnsi" w:hAnsiTheme="minorHAnsi" w:cstheme="minorHAnsi"/>
                <w:b/>
                <w:bCs/>
                <w:sz w:val="22"/>
                <w:szCs w:val="22"/>
              </w:rPr>
            </w:pPr>
            <w:r>
              <w:rPr>
                <w:rFonts w:asciiTheme="minorHAnsi" w:hAnsiTheme="minorHAnsi" w:cstheme="minorHAnsi"/>
                <w:b/>
                <w:bCs/>
                <w:sz w:val="22"/>
                <w:szCs w:val="22"/>
              </w:rPr>
              <w:t>Change Due to New Statute</w:t>
            </w:r>
          </w:p>
        </w:tc>
        <w:tc>
          <w:tcPr>
            <w:tcW w:w="1125" w:type="dxa"/>
            <w:tcBorders>
              <w:top w:val="outset" w:sz="6" w:space="0" w:color="auto"/>
              <w:left w:val="outset" w:sz="6" w:space="0" w:color="auto"/>
              <w:bottom w:val="outset" w:sz="6" w:space="0" w:color="auto"/>
              <w:right w:val="outset" w:sz="6" w:space="0" w:color="auto"/>
            </w:tcBorders>
            <w:vAlign w:val="center"/>
            <w:hideMark/>
          </w:tcPr>
          <w:p w:rsidR="00752D61" w14:paraId="29192154" w14:textId="77777777">
            <w:pPr>
              <w:jc w:val="center"/>
              <w:rPr>
                <w:rFonts w:asciiTheme="minorHAnsi" w:hAnsiTheme="minorHAnsi" w:cstheme="minorHAnsi"/>
                <w:b/>
                <w:bCs/>
                <w:sz w:val="22"/>
                <w:szCs w:val="22"/>
              </w:rPr>
            </w:pPr>
            <w:r>
              <w:rPr>
                <w:rFonts w:asciiTheme="minorHAnsi" w:hAnsiTheme="minorHAnsi" w:cstheme="minorHAnsi"/>
                <w:b/>
                <w:bCs/>
                <w:sz w:val="22"/>
                <w:szCs w:val="22"/>
              </w:rPr>
              <w:t>Change Due to Agency Discretion</w:t>
            </w:r>
          </w:p>
        </w:tc>
        <w:tc>
          <w:tcPr>
            <w:tcW w:w="1397" w:type="dxa"/>
            <w:tcBorders>
              <w:top w:val="outset" w:sz="6" w:space="0" w:color="auto"/>
              <w:left w:val="outset" w:sz="6" w:space="0" w:color="auto"/>
              <w:bottom w:val="outset" w:sz="6" w:space="0" w:color="auto"/>
              <w:right w:val="outset" w:sz="6" w:space="0" w:color="auto"/>
            </w:tcBorders>
            <w:vAlign w:val="center"/>
            <w:hideMark/>
          </w:tcPr>
          <w:p w:rsidR="00752D61" w14:paraId="44204D96" w14:textId="77777777">
            <w:pPr>
              <w:jc w:val="center"/>
              <w:rPr>
                <w:rFonts w:asciiTheme="minorHAnsi" w:hAnsiTheme="minorHAnsi" w:cstheme="minorHAnsi"/>
                <w:b/>
                <w:bCs/>
                <w:sz w:val="22"/>
                <w:szCs w:val="22"/>
              </w:rPr>
            </w:pPr>
            <w:r>
              <w:rPr>
                <w:rFonts w:asciiTheme="minorHAnsi" w:hAnsiTheme="minorHAnsi" w:cstheme="minorHAnsi"/>
                <w:b/>
                <w:bCs/>
                <w:sz w:val="22"/>
                <w:szCs w:val="22"/>
              </w:rPr>
              <w:t>Change Due to Adjustment in Estimate</w:t>
            </w:r>
          </w:p>
        </w:tc>
        <w:tc>
          <w:tcPr>
            <w:tcW w:w="1315" w:type="dxa"/>
            <w:tcBorders>
              <w:top w:val="outset" w:sz="6" w:space="0" w:color="auto"/>
              <w:left w:val="outset" w:sz="6" w:space="0" w:color="auto"/>
              <w:bottom w:val="outset" w:sz="6" w:space="0" w:color="auto"/>
              <w:right w:val="outset" w:sz="6" w:space="0" w:color="auto"/>
            </w:tcBorders>
            <w:vAlign w:val="center"/>
            <w:hideMark/>
          </w:tcPr>
          <w:p w:rsidR="00752D61" w14:paraId="264D4491" w14:textId="77777777">
            <w:pPr>
              <w:jc w:val="center"/>
              <w:rPr>
                <w:rFonts w:asciiTheme="minorHAnsi" w:hAnsiTheme="minorHAnsi" w:cstheme="minorHAnsi"/>
                <w:b/>
                <w:bCs/>
                <w:sz w:val="22"/>
                <w:szCs w:val="22"/>
              </w:rPr>
            </w:pPr>
            <w:r>
              <w:rPr>
                <w:rFonts w:asciiTheme="minorHAnsi" w:hAnsiTheme="minorHAnsi" w:cstheme="minorHAnsi"/>
                <w:b/>
                <w:bCs/>
                <w:sz w:val="22"/>
                <w:szCs w:val="22"/>
              </w:rPr>
              <w:t>Change Due to Potential Violation of the PRA</w:t>
            </w:r>
          </w:p>
        </w:tc>
        <w:tc>
          <w:tcPr>
            <w:tcW w:w="1294" w:type="dxa"/>
            <w:tcBorders>
              <w:top w:val="outset" w:sz="6" w:space="0" w:color="auto"/>
              <w:left w:val="outset" w:sz="6" w:space="0" w:color="auto"/>
              <w:bottom w:val="outset" w:sz="6" w:space="0" w:color="auto"/>
              <w:right w:val="outset" w:sz="6" w:space="0" w:color="auto"/>
            </w:tcBorders>
            <w:vAlign w:val="center"/>
          </w:tcPr>
          <w:p w:rsidR="00752D61" w14:paraId="7D4C36AE" w14:textId="77777777">
            <w:pPr>
              <w:jc w:val="center"/>
              <w:rPr>
                <w:rFonts w:asciiTheme="minorHAnsi" w:hAnsiTheme="minorHAnsi" w:cstheme="minorHAnsi"/>
                <w:b/>
                <w:bCs/>
                <w:sz w:val="22"/>
                <w:szCs w:val="22"/>
              </w:rPr>
            </w:pPr>
            <w:r>
              <w:rPr>
                <w:rFonts w:asciiTheme="minorHAnsi" w:hAnsiTheme="minorHAnsi" w:cstheme="minorHAnsi"/>
                <w:b/>
                <w:bCs/>
                <w:sz w:val="22"/>
                <w:szCs w:val="22"/>
              </w:rPr>
              <w:t>Previously Approved</w:t>
            </w:r>
          </w:p>
        </w:tc>
      </w:tr>
      <w:tr w14:paraId="30D4C423" w14:textId="77777777">
        <w:tblPrEx>
          <w:tblW w:w="4623" w:type="pct"/>
          <w:jc w:val="right"/>
          <w:tblCellMar>
            <w:top w:w="15" w:type="dxa"/>
            <w:left w:w="15" w:type="dxa"/>
            <w:bottom w:w="15" w:type="dxa"/>
            <w:right w:w="15" w:type="dxa"/>
          </w:tblCellMar>
          <w:tblLook w:val="04A0"/>
        </w:tblPrEx>
        <w:trPr>
          <w:jc w:val="right"/>
        </w:trPr>
        <w:tc>
          <w:tcPr>
            <w:tcW w:w="1342" w:type="dxa"/>
            <w:tcBorders>
              <w:top w:val="outset" w:sz="6" w:space="0" w:color="auto"/>
              <w:left w:val="outset" w:sz="6" w:space="0" w:color="auto"/>
              <w:bottom w:val="outset" w:sz="6" w:space="0" w:color="auto"/>
              <w:right w:val="outset" w:sz="6" w:space="0" w:color="auto"/>
            </w:tcBorders>
            <w:hideMark/>
          </w:tcPr>
          <w:p w:rsidR="00752D61" w14:paraId="31487E8A" w14:textId="77777777">
            <w:pPr>
              <w:jc w:val="center"/>
              <w:rPr>
                <w:rFonts w:asciiTheme="minorHAnsi" w:hAnsiTheme="minorHAnsi" w:cstheme="minorHAnsi"/>
                <w:sz w:val="22"/>
                <w:szCs w:val="22"/>
              </w:rPr>
            </w:pPr>
            <w:r>
              <w:rPr>
                <w:rFonts w:asciiTheme="minorHAnsi" w:hAnsiTheme="minorHAnsi" w:cstheme="minorHAnsi"/>
                <w:sz w:val="22"/>
                <w:szCs w:val="22"/>
              </w:rPr>
              <w:t>Annual Number of Responses</w:t>
            </w:r>
          </w:p>
        </w:tc>
        <w:tc>
          <w:tcPr>
            <w:tcW w:w="1022" w:type="dxa"/>
            <w:tcBorders>
              <w:top w:val="outset" w:sz="6" w:space="0" w:color="auto"/>
              <w:left w:val="outset" w:sz="6" w:space="0" w:color="auto"/>
              <w:bottom w:val="outset" w:sz="6" w:space="0" w:color="auto"/>
              <w:right w:val="outset" w:sz="6" w:space="0" w:color="auto"/>
            </w:tcBorders>
            <w:vAlign w:val="bottom"/>
            <w:hideMark/>
          </w:tcPr>
          <w:p w:rsidR="00752D61" w14:paraId="452B35FF" w14:textId="343175CD">
            <w:pPr>
              <w:jc w:val="center"/>
              <w:rPr>
                <w:rFonts w:asciiTheme="minorHAnsi" w:hAnsiTheme="minorHAnsi" w:cstheme="minorHAnsi"/>
                <w:sz w:val="22"/>
                <w:szCs w:val="22"/>
              </w:rPr>
            </w:pPr>
            <w:r>
              <w:rPr>
                <w:rFonts w:asciiTheme="minorHAnsi" w:hAnsiTheme="minorHAnsi" w:cstheme="minorHAnsi"/>
                <w:sz w:val="22"/>
                <w:szCs w:val="22"/>
              </w:rPr>
              <w:t>22,002,</w:t>
            </w:r>
            <w:r w:rsidR="00034E3C">
              <w:rPr>
                <w:rFonts w:asciiTheme="minorHAnsi" w:hAnsiTheme="minorHAnsi" w:cstheme="minorHAnsi"/>
                <w:sz w:val="22"/>
                <w:szCs w:val="22"/>
              </w:rPr>
              <w:t>210</w:t>
            </w:r>
          </w:p>
        </w:tc>
        <w:tc>
          <w:tcPr>
            <w:tcW w:w="1144" w:type="dxa"/>
            <w:tcBorders>
              <w:top w:val="outset" w:sz="6" w:space="0" w:color="auto"/>
              <w:left w:val="outset" w:sz="6" w:space="0" w:color="auto"/>
              <w:bottom w:val="outset" w:sz="6" w:space="0" w:color="auto"/>
              <w:right w:val="outset" w:sz="6" w:space="0" w:color="auto"/>
            </w:tcBorders>
            <w:vAlign w:val="bottom"/>
            <w:hideMark/>
          </w:tcPr>
          <w:p w:rsidR="00752D61" w14:paraId="25C34484" w14:textId="667E6663">
            <w:pPr>
              <w:jc w:val="center"/>
              <w:rPr>
                <w:rFonts w:asciiTheme="minorHAnsi" w:hAnsiTheme="minorHAnsi" w:cstheme="minorHAnsi"/>
                <w:sz w:val="22"/>
                <w:szCs w:val="22"/>
              </w:rPr>
            </w:pPr>
            <w:r>
              <w:rPr>
                <w:rFonts w:asciiTheme="minorHAnsi" w:hAnsiTheme="minorHAnsi" w:cstheme="minorHAnsi"/>
                <w:sz w:val="22"/>
                <w:szCs w:val="22"/>
              </w:rPr>
              <w:t>22,002,1</w:t>
            </w:r>
            <w:r w:rsidR="007A3D23">
              <w:rPr>
                <w:rFonts w:asciiTheme="minorHAnsi" w:hAnsiTheme="minorHAnsi" w:cstheme="minorHAnsi"/>
                <w:sz w:val="22"/>
                <w:szCs w:val="22"/>
              </w:rPr>
              <w:t>59</w:t>
            </w:r>
          </w:p>
        </w:tc>
        <w:tc>
          <w:tcPr>
            <w:tcW w:w="1125" w:type="dxa"/>
            <w:tcBorders>
              <w:top w:val="outset" w:sz="6" w:space="0" w:color="auto"/>
              <w:left w:val="outset" w:sz="6" w:space="0" w:color="auto"/>
              <w:bottom w:val="outset" w:sz="6" w:space="0" w:color="auto"/>
              <w:right w:val="outset" w:sz="6" w:space="0" w:color="auto"/>
            </w:tcBorders>
            <w:vAlign w:val="bottom"/>
            <w:hideMark/>
          </w:tcPr>
          <w:p w:rsidR="00752D61" w14:paraId="4F283D5D" w14:textId="77777777">
            <w:pPr>
              <w:jc w:val="center"/>
              <w:rPr>
                <w:rFonts w:asciiTheme="minorHAnsi" w:hAnsiTheme="minorHAnsi" w:cstheme="minorHAnsi"/>
                <w:sz w:val="22"/>
                <w:szCs w:val="22"/>
              </w:rPr>
            </w:pPr>
            <w:r>
              <w:rPr>
                <w:rFonts w:asciiTheme="minorHAnsi" w:hAnsiTheme="minorHAnsi" w:cstheme="minorHAnsi"/>
                <w:sz w:val="22"/>
                <w:szCs w:val="22"/>
              </w:rPr>
              <w:t>0</w:t>
            </w:r>
          </w:p>
        </w:tc>
        <w:tc>
          <w:tcPr>
            <w:tcW w:w="1397" w:type="dxa"/>
            <w:tcBorders>
              <w:top w:val="outset" w:sz="6" w:space="0" w:color="auto"/>
              <w:left w:val="outset" w:sz="6" w:space="0" w:color="auto"/>
              <w:bottom w:val="outset" w:sz="6" w:space="0" w:color="auto"/>
              <w:right w:val="outset" w:sz="6" w:space="0" w:color="auto"/>
            </w:tcBorders>
            <w:vAlign w:val="bottom"/>
            <w:hideMark/>
          </w:tcPr>
          <w:p w:rsidR="00752D61" w14:paraId="55C70894" w14:textId="77777777">
            <w:pPr>
              <w:jc w:val="center"/>
              <w:rPr>
                <w:rFonts w:asciiTheme="minorHAnsi" w:hAnsiTheme="minorHAnsi" w:cstheme="minorHAnsi"/>
                <w:sz w:val="22"/>
                <w:szCs w:val="22"/>
              </w:rPr>
            </w:pPr>
            <w:r>
              <w:rPr>
                <w:rFonts w:asciiTheme="minorHAnsi" w:hAnsiTheme="minorHAnsi" w:cstheme="minorHAnsi"/>
                <w:sz w:val="22"/>
                <w:szCs w:val="22"/>
              </w:rPr>
              <w:t>0</w:t>
            </w:r>
          </w:p>
        </w:tc>
        <w:tc>
          <w:tcPr>
            <w:tcW w:w="1315" w:type="dxa"/>
            <w:tcBorders>
              <w:top w:val="outset" w:sz="6" w:space="0" w:color="auto"/>
              <w:left w:val="outset" w:sz="6" w:space="0" w:color="auto"/>
              <w:bottom w:val="outset" w:sz="6" w:space="0" w:color="auto"/>
              <w:right w:val="outset" w:sz="6" w:space="0" w:color="auto"/>
            </w:tcBorders>
            <w:vAlign w:val="bottom"/>
            <w:hideMark/>
          </w:tcPr>
          <w:p w:rsidR="00752D61" w14:paraId="4FA0EFE7" w14:textId="77777777">
            <w:pPr>
              <w:jc w:val="center"/>
              <w:rPr>
                <w:rFonts w:asciiTheme="minorHAnsi" w:hAnsiTheme="minorHAnsi" w:cstheme="minorHAnsi"/>
                <w:sz w:val="22"/>
                <w:szCs w:val="22"/>
              </w:rPr>
            </w:pPr>
            <w:r>
              <w:rPr>
                <w:rFonts w:asciiTheme="minorHAnsi" w:hAnsiTheme="minorHAnsi" w:cstheme="minorHAnsi"/>
                <w:sz w:val="22"/>
                <w:szCs w:val="22"/>
              </w:rPr>
              <w:t>0</w:t>
            </w:r>
          </w:p>
        </w:tc>
        <w:tc>
          <w:tcPr>
            <w:tcW w:w="1294" w:type="dxa"/>
            <w:tcBorders>
              <w:top w:val="outset" w:sz="6" w:space="0" w:color="auto"/>
              <w:left w:val="outset" w:sz="6" w:space="0" w:color="auto"/>
              <w:bottom w:val="outset" w:sz="6" w:space="0" w:color="auto"/>
              <w:right w:val="outset" w:sz="6" w:space="0" w:color="auto"/>
            </w:tcBorders>
            <w:vAlign w:val="bottom"/>
          </w:tcPr>
          <w:p w:rsidR="00752D61" w14:paraId="6C205E76" w14:textId="77777777">
            <w:pPr>
              <w:jc w:val="center"/>
              <w:rPr>
                <w:rFonts w:asciiTheme="minorHAnsi" w:hAnsiTheme="minorHAnsi" w:cstheme="minorHAnsi"/>
                <w:sz w:val="22"/>
                <w:szCs w:val="22"/>
              </w:rPr>
            </w:pPr>
            <w:r>
              <w:rPr>
                <w:rFonts w:asciiTheme="minorHAnsi" w:hAnsiTheme="minorHAnsi" w:cstheme="minorHAnsi"/>
                <w:sz w:val="22"/>
                <w:szCs w:val="22"/>
              </w:rPr>
              <w:t>51</w:t>
            </w:r>
          </w:p>
        </w:tc>
      </w:tr>
      <w:tr w14:paraId="41FAC35C" w14:textId="77777777">
        <w:tblPrEx>
          <w:tblW w:w="4623" w:type="pct"/>
          <w:jc w:val="right"/>
          <w:tblCellMar>
            <w:top w:w="15" w:type="dxa"/>
            <w:left w:w="15" w:type="dxa"/>
            <w:bottom w:w="15" w:type="dxa"/>
            <w:right w:w="15" w:type="dxa"/>
          </w:tblCellMar>
          <w:tblLook w:val="04A0"/>
        </w:tblPrEx>
        <w:trPr>
          <w:jc w:val="right"/>
        </w:trPr>
        <w:tc>
          <w:tcPr>
            <w:tcW w:w="1342" w:type="dxa"/>
            <w:tcBorders>
              <w:top w:val="outset" w:sz="6" w:space="0" w:color="auto"/>
              <w:left w:val="outset" w:sz="6" w:space="0" w:color="auto"/>
              <w:bottom w:val="outset" w:sz="6" w:space="0" w:color="auto"/>
              <w:right w:val="outset" w:sz="6" w:space="0" w:color="auto"/>
            </w:tcBorders>
            <w:hideMark/>
          </w:tcPr>
          <w:p w:rsidR="00752D61" w14:paraId="6D754283" w14:textId="77777777">
            <w:pPr>
              <w:jc w:val="center"/>
              <w:rPr>
                <w:rFonts w:asciiTheme="minorHAnsi" w:hAnsiTheme="minorHAnsi" w:cstheme="minorHAnsi"/>
                <w:sz w:val="22"/>
                <w:szCs w:val="22"/>
              </w:rPr>
            </w:pPr>
            <w:r>
              <w:rPr>
                <w:rFonts w:asciiTheme="minorHAnsi" w:hAnsiTheme="minorHAnsi" w:cstheme="minorHAnsi"/>
                <w:sz w:val="22"/>
                <w:szCs w:val="22"/>
              </w:rPr>
              <w:t>Annual Time Burden (Hr)</w:t>
            </w:r>
          </w:p>
        </w:tc>
        <w:tc>
          <w:tcPr>
            <w:tcW w:w="1022" w:type="dxa"/>
            <w:tcBorders>
              <w:top w:val="outset" w:sz="6" w:space="0" w:color="auto"/>
              <w:left w:val="outset" w:sz="6" w:space="0" w:color="auto"/>
              <w:bottom w:val="outset" w:sz="6" w:space="0" w:color="auto"/>
              <w:right w:val="outset" w:sz="6" w:space="0" w:color="auto"/>
            </w:tcBorders>
            <w:vAlign w:val="bottom"/>
            <w:hideMark/>
          </w:tcPr>
          <w:p w:rsidR="00752D61" w14:paraId="46858696" w14:textId="6880F9C2">
            <w:pPr>
              <w:jc w:val="center"/>
              <w:rPr>
                <w:rFonts w:asciiTheme="minorHAnsi" w:hAnsiTheme="minorHAnsi" w:cstheme="minorHAnsi"/>
                <w:sz w:val="22"/>
                <w:szCs w:val="22"/>
              </w:rPr>
            </w:pPr>
            <w:r>
              <w:rPr>
                <w:rFonts w:asciiTheme="minorHAnsi" w:hAnsiTheme="minorHAnsi" w:cstheme="minorHAnsi"/>
                <w:sz w:val="22"/>
                <w:szCs w:val="22"/>
              </w:rPr>
              <w:t>8,258,</w:t>
            </w:r>
            <w:r w:rsidR="00034E3C">
              <w:rPr>
                <w:rFonts w:asciiTheme="minorHAnsi" w:hAnsiTheme="minorHAnsi" w:cstheme="minorHAnsi"/>
                <w:sz w:val="22"/>
                <w:szCs w:val="22"/>
              </w:rPr>
              <w:t>885</w:t>
            </w:r>
          </w:p>
        </w:tc>
        <w:tc>
          <w:tcPr>
            <w:tcW w:w="1144" w:type="dxa"/>
            <w:tcBorders>
              <w:top w:val="outset" w:sz="6" w:space="0" w:color="auto"/>
              <w:left w:val="outset" w:sz="6" w:space="0" w:color="auto"/>
              <w:bottom w:val="outset" w:sz="6" w:space="0" w:color="auto"/>
              <w:right w:val="outset" w:sz="6" w:space="0" w:color="auto"/>
            </w:tcBorders>
            <w:vAlign w:val="bottom"/>
            <w:hideMark/>
          </w:tcPr>
          <w:p w:rsidR="00752D61" w14:paraId="0B891105" w14:textId="6B2031BB">
            <w:pPr>
              <w:jc w:val="center"/>
              <w:rPr>
                <w:rFonts w:asciiTheme="minorHAnsi" w:hAnsiTheme="minorHAnsi" w:cstheme="minorHAnsi"/>
                <w:sz w:val="22"/>
                <w:szCs w:val="22"/>
              </w:rPr>
            </w:pPr>
            <w:r>
              <w:rPr>
                <w:rFonts w:asciiTheme="minorHAnsi" w:hAnsiTheme="minorHAnsi" w:cstheme="minorHAnsi"/>
                <w:sz w:val="22"/>
                <w:szCs w:val="22"/>
              </w:rPr>
              <w:t>8,258,8</w:t>
            </w:r>
            <w:r w:rsidR="007A3D23">
              <w:rPr>
                <w:rFonts w:asciiTheme="minorHAnsi" w:hAnsiTheme="minorHAnsi" w:cstheme="minorHAnsi"/>
                <w:sz w:val="22"/>
                <w:szCs w:val="22"/>
              </w:rPr>
              <w:t>48</w:t>
            </w:r>
          </w:p>
        </w:tc>
        <w:tc>
          <w:tcPr>
            <w:tcW w:w="1125" w:type="dxa"/>
            <w:tcBorders>
              <w:top w:val="outset" w:sz="6" w:space="0" w:color="auto"/>
              <w:left w:val="outset" w:sz="6" w:space="0" w:color="auto"/>
              <w:bottom w:val="outset" w:sz="6" w:space="0" w:color="auto"/>
              <w:right w:val="outset" w:sz="6" w:space="0" w:color="auto"/>
            </w:tcBorders>
            <w:vAlign w:val="bottom"/>
            <w:hideMark/>
          </w:tcPr>
          <w:p w:rsidR="00752D61" w14:paraId="245EAF34" w14:textId="77777777">
            <w:pPr>
              <w:jc w:val="center"/>
              <w:rPr>
                <w:rFonts w:asciiTheme="minorHAnsi" w:hAnsiTheme="minorHAnsi" w:cstheme="minorHAnsi"/>
                <w:sz w:val="22"/>
                <w:szCs w:val="22"/>
              </w:rPr>
            </w:pPr>
            <w:r>
              <w:rPr>
                <w:rFonts w:asciiTheme="minorHAnsi" w:hAnsiTheme="minorHAnsi" w:cstheme="minorHAnsi"/>
                <w:sz w:val="22"/>
                <w:szCs w:val="22"/>
              </w:rPr>
              <w:t>0</w:t>
            </w:r>
          </w:p>
        </w:tc>
        <w:tc>
          <w:tcPr>
            <w:tcW w:w="1397" w:type="dxa"/>
            <w:tcBorders>
              <w:top w:val="outset" w:sz="6" w:space="0" w:color="auto"/>
              <w:left w:val="outset" w:sz="6" w:space="0" w:color="auto"/>
              <w:bottom w:val="outset" w:sz="6" w:space="0" w:color="auto"/>
              <w:right w:val="outset" w:sz="6" w:space="0" w:color="auto"/>
            </w:tcBorders>
            <w:vAlign w:val="bottom"/>
            <w:hideMark/>
          </w:tcPr>
          <w:p w:rsidR="00752D61" w14:paraId="5F74352E" w14:textId="77777777">
            <w:pPr>
              <w:jc w:val="center"/>
              <w:rPr>
                <w:rFonts w:asciiTheme="minorHAnsi" w:hAnsiTheme="minorHAnsi" w:cstheme="minorHAnsi"/>
                <w:sz w:val="22"/>
                <w:szCs w:val="22"/>
              </w:rPr>
            </w:pPr>
            <w:r>
              <w:rPr>
                <w:rFonts w:asciiTheme="minorHAnsi" w:hAnsiTheme="minorHAnsi" w:cstheme="minorHAnsi"/>
                <w:sz w:val="22"/>
                <w:szCs w:val="22"/>
              </w:rPr>
              <w:t>0</w:t>
            </w:r>
          </w:p>
        </w:tc>
        <w:tc>
          <w:tcPr>
            <w:tcW w:w="1315" w:type="dxa"/>
            <w:tcBorders>
              <w:top w:val="outset" w:sz="6" w:space="0" w:color="auto"/>
              <w:left w:val="outset" w:sz="6" w:space="0" w:color="auto"/>
              <w:bottom w:val="outset" w:sz="6" w:space="0" w:color="auto"/>
              <w:right w:val="outset" w:sz="6" w:space="0" w:color="auto"/>
            </w:tcBorders>
            <w:vAlign w:val="bottom"/>
            <w:hideMark/>
          </w:tcPr>
          <w:p w:rsidR="00752D61" w14:paraId="08291702" w14:textId="77777777">
            <w:pPr>
              <w:jc w:val="center"/>
              <w:rPr>
                <w:rFonts w:asciiTheme="minorHAnsi" w:hAnsiTheme="minorHAnsi" w:cstheme="minorHAnsi"/>
                <w:sz w:val="22"/>
                <w:szCs w:val="22"/>
              </w:rPr>
            </w:pPr>
            <w:r>
              <w:rPr>
                <w:rFonts w:asciiTheme="minorHAnsi" w:hAnsiTheme="minorHAnsi" w:cstheme="minorHAnsi"/>
                <w:sz w:val="22"/>
                <w:szCs w:val="22"/>
              </w:rPr>
              <w:t>0</w:t>
            </w:r>
          </w:p>
        </w:tc>
        <w:tc>
          <w:tcPr>
            <w:tcW w:w="1294" w:type="dxa"/>
            <w:tcBorders>
              <w:top w:val="outset" w:sz="6" w:space="0" w:color="auto"/>
              <w:left w:val="outset" w:sz="6" w:space="0" w:color="auto"/>
              <w:bottom w:val="outset" w:sz="6" w:space="0" w:color="auto"/>
              <w:right w:val="outset" w:sz="6" w:space="0" w:color="auto"/>
            </w:tcBorders>
            <w:vAlign w:val="bottom"/>
          </w:tcPr>
          <w:p w:rsidR="00752D61" w14:paraId="2B644D6B" w14:textId="77777777">
            <w:pPr>
              <w:jc w:val="center"/>
              <w:rPr>
                <w:rFonts w:asciiTheme="minorHAnsi" w:hAnsiTheme="minorHAnsi" w:cstheme="minorHAnsi"/>
                <w:sz w:val="22"/>
                <w:szCs w:val="22"/>
              </w:rPr>
            </w:pPr>
            <w:r>
              <w:rPr>
                <w:rFonts w:asciiTheme="minorHAnsi" w:hAnsiTheme="minorHAnsi" w:cstheme="minorHAnsi"/>
                <w:sz w:val="22"/>
                <w:szCs w:val="22"/>
              </w:rPr>
              <w:t>37</w:t>
            </w:r>
          </w:p>
        </w:tc>
      </w:tr>
      <w:bookmarkEnd w:id="7"/>
    </w:tbl>
    <w:p w:rsidR="00752D61" w14:paraId="29966985" w14:textId="77777777">
      <w:pPr>
        <w:ind w:left="720"/>
        <w:rPr>
          <w:rFonts w:asciiTheme="minorHAnsi" w:hAnsiTheme="minorHAnsi" w:cstheme="minorHAnsi"/>
          <w:strike/>
          <w:sz w:val="22"/>
          <w:szCs w:val="22"/>
        </w:rPr>
      </w:pPr>
    </w:p>
    <w:bookmarkEnd w:id="5"/>
    <w:bookmarkEnd w:id="6"/>
    <w:p w:rsidR="00752D61" w14:paraId="70D09F21" w14:textId="77777777">
      <w:pPr>
        <w:rPr>
          <w:rFonts w:asciiTheme="minorHAnsi" w:hAnsiTheme="minorHAnsi" w:cstheme="minorHAnsi"/>
          <w:sz w:val="22"/>
          <w:szCs w:val="22"/>
        </w:rPr>
      </w:pPr>
      <w:r>
        <w:rPr>
          <w:rFonts w:asciiTheme="minorHAnsi" w:hAnsiTheme="minorHAnsi" w:cstheme="minorHAnsi"/>
          <w:sz w:val="22"/>
          <w:szCs w:val="22"/>
        </w:rPr>
        <w:tab/>
      </w:r>
    </w:p>
    <w:p w:rsidR="00752D61" w14:paraId="0E75B81E" w14:textId="77777777">
      <w:pPr>
        <w:pStyle w:val="Level1"/>
        <w:rPr>
          <w:rFonts w:asciiTheme="minorHAnsi" w:hAnsiTheme="minorHAnsi" w:cstheme="minorHAnsi"/>
          <w:sz w:val="22"/>
          <w:szCs w:val="22"/>
          <w:u w:val="single"/>
        </w:rPr>
      </w:pPr>
      <w:r>
        <w:rPr>
          <w:rFonts w:asciiTheme="minorHAnsi" w:hAnsiTheme="minorHAnsi" w:cstheme="minorHAnsi"/>
          <w:sz w:val="22"/>
          <w:szCs w:val="22"/>
          <w:u w:val="single"/>
        </w:rPr>
        <w:t>PLANS FOR TABULATION, STATISTICAL ANALYSIS AND PUBLICATION</w:t>
      </w:r>
    </w:p>
    <w:p w:rsidR="00752D61" w14:paraId="55250594" w14:textId="77777777">
      <w:pPr>
        <w:rPr>
          <w:rFonts w:asciiTheme="minorHAnsi" w:hAnsiTheme="minorHAnsi" w:cstheme="minorHAnsi"/>
          <w:sz w:val="22"/>
          <w:szCs w:val="22"/>
        </w:rPr>
      </w:pPr>
    </w:p>
    <w:p w:rsidR="00752D61" w14:paraId="0853DED4" w14:textId="711F5395">
      <w:pPr>
        <w:ind w:left="720" w:firstLine="15"/>
        <w:rPr>
          <w:rFonts w:asciiTheme="minorHAnsi" w:hAnsiTheme="minorHAnsi" w:cstheme="minorHAnsi"/>
          <w:sz w:val="22"/>
          <w:szCs w:val="22"/>
        </w:rPr>
      </w:pPr>
      <w:r>
        <w:rPr>
          <w:rFonts w:asciiTheme="minorHAnsi" w:hAnsiTheme="minorHAnsi" w:cstheme="minorHAnsi"/>
          <w:snapToGrid w:val="0"/>
          <w:sz w:val="22"/>
          <w:szCs w:val="22"/>
        </w:rPr>
        <w:t>The IRS will publish on the IRS.gov website the IRS SGO list, which is an aggregated list of all SGOs that appeared on a State SGO list and who provided disclosure authorization so information regarding the SGO could be included on the IRS SGO list. This list will be published annually and updated as needed and will include the name and EIN of the SGO. The IRS has no plans to do statistical analysis or tabulation on the information collected.</w:t>
      </w:r>
    </w:p>
    <w:p w:rsidR="00752D61" w14:paraId="14981940" w14:textId="77777777">
      <w:pPr>
        <w:rPr>
          <w:rFonts w:asciiTheme="minorHAnsi" w:hAnsiTheme="minorHAnsi" w:cstheme="minorHAnsi"/>
          <w:sz w:val="22"/>
          <w:szCs w:val="22"/>
        </w:rPr>
      </w:pPr>
    </w:p>
    <w:p w:rsidR="00752D61" w14:paraId="2A0D6280" w14:textId="77777777">
      <w:pPr>
        <w:pStyle w:val="Level1"/>
        <w:tabs>
          <w:tab w:val="left" w:pos="-1440"/>
        </w:tabs>
        <w:rPr>
          <w:rFonts w:asciiTheme="minorHAnsi" w:hAnsiTheme="minorHAnsi" w:cstheme="minorHAnsi"/>
          <w:sz w:val="22"/>
          <w:szCs w:val="22"/>
        </w:rPr>
      </w:pPr>
      <w:r>
        <w:rPr>
          <w:rFonts w:asciiTheme="minorHAnsi" w:hAnsiTheme="minorHAnsi" w:cstheme="minorHAnsi"/>
          <w:sz w:val="22"/>
          <w:szCs w:val="22"/>
          <w:u w:val="single"/>
        </w:rPr>
        <w:t>REASONS WHY DISPLAYING THE OMB EXPIRATION DATE IS INAPPROPRIATE</w:t>
      </w:r>
    </w:p>
    <w:p w:rsidR="00752D61" w14:paraId="5E888F75" w14:textId="77777777">
      <w:pPr>
        <w:rPr>
          <w:rFonts w:asciiTheme="minorHAnsi" w:hAnsiTheme="minorHAnsi" w:cstheme="minorHAnsi"/>
          <w:sz w:val="22"/>
          <w:szCs w:val="22"/>
        </w:rPr>
      </w:pPr>
    </w:p>
    <w:p w:rsidR="00752D61" w14:paraId="37F455DE" w14:textId="77777777">
      <w:pPr>
        <w:ind w:left="720"/>
        <w:rPr>
          <w:rFonts w:asciiTheme="minorHAnsi" w:hAnsiTheme="minorHAnsi" w:cstheme="minorHAnsi"/>
          <w:sz w:val="22"/>
          <w:szCs w:val="22"/>
        </w:rPr>
      </w:pPr>
      <w:r>
        <w:rPr>
          <w:rFonts w:asciiTheme="minorHAnsi" w:hAnsiTheme="minorHAnsi" w:cstheme="minorHAnsi"/>
          <w:sz w:val="22"/>
          <w:szCs w:val="22"/>
        </w:rPr>
        <w:t>IRS believes that displaying the OMB expiration date is inappropriate because it could cause confusion by leading taxpayers to believe that the collection sunsets as of the expiration date.  Taxpayers are not likely to be aware that the IRS intends to request renewal of OMB approval and obtain a new expiration date before the old one expires.</w:t>
      </w:r>
    </w:p>
    <w:p w:rsidR="00752D61" w14:paraId="338F01BD" w14:textId="77777777">
      <w:pPr>
        <w:ind w:left="720"/>
        <w:rPr>
          <w:rFonts w:asciiTheme="minorHAnsi" w:hAnsiTheme="minorHAnsi" w:cstheme="minorHAnsi"/>
          <w:sz w:val="22"/>
          <w:szCs w:val="22"/>
        </w:rPr>
      </w:pPr>
    </w:p>
    <w:p w:rsidR="00752D61" w14:paraId="10426C35" w14:textId="77777777">
      <w:pPr>
        <w:pStyle w:val="Level1"/>
        <w:keepNext/>
        <w:tabs>
          <w:tab w:val="left" w:pos="-1440"/>
        </w:tabs>
        <w:rPr>
          <w:rFonts w:asciiTheme="minorHAnsi" w:hAnsiTheme="minorHAnsi" w:cstheme="minorHAnsi"/>
          <w:sz w:val="22"/>
          <w:szCs w:val="22"/>
        </w:rPr>
      </w:pPr>
      <w:r>
        <w:rPr>
          <w:rFonts w:asciiTheme="minorHAnsi" w:hAnsiTheme="minorHAnsi" w:cstheme="minorHAnsi"/>
          <w:sz w:val="22"/>
          <w:szCs w:val="22"/>
          <w:u w:val="single"/>
        </w:rPr>
        <w:t>EXCEPTIONS TO THE CERTIFICATION STATEMENT</w:t>
      </w:r>
    </w:p>
    <w:p w:rsidR="00752D61" w14:paraId="5F3DD7BD" w14:textId="77777777">
      <w:pPr>
        <w:rPr>
          <w:rFonts w:asciiTheme="minorHAnsi" w:hAnsiTheme="minorHAnsi" w:cstheme="minorHAnsi"/>
          <w:sz w:val="22"/>
          <w:szCs w:val="22"/>
        </w:rPr>
      </w:pPr>
    </w:p>
    <w:p w:rsidR="00752D61" w14:paraId="628A471F" w14:textId="7C82B825">
      <w:pPr>
        <w:ind w:firstLine="720"/>
        <w:rPr>
          <w:rFonts w:asciiTheme="minorHAnsi" w:hAnsiTheme="minorHAnsi" w:cstheme="minorHAnsi"/>
          <w:sz w:val="22"/>
          <w:szCs w:val="22"/>
        </w:rPr>
      </w:pPr>
      <w:r>
        <w:rPr>
          <w:rFonts w:asciiTheme="minorHAnsi" w:hAnsiTheme="minorHAnsi" w:cstheme="minorHAnsi"/>
          <w:sz w:val="22"/>
          <w:szCs w:val="22"/>
        </w:rPr>
        <w:t xml:space="preserve">There are no exceptions to the certification statement.  </w:t>
      </w:r>
    </w:p>
    <w:sect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Helvetica Wor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D61" w14:paraId="3425EC4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D61" w14:paraId="72DC3D6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D61" w14:paraId="4F58F6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D61" w14:paraId="6650BA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D61" w14:paraId="450F919A" w14:textId="33C5960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D61" w14:paraId="1B8E62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18189950"/>
    <w:name w:val="AutoList22"/>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5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nsid w:val="00000002"/>
    <w:multiLevelType w:val="multilevel"/>
    <w:tmpl w:val="00000000"/>
    <w:name w:val="AutoList3"/>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0DC4552B"/>
    <w:multiLevelType w:val="hybridMultilevel"/>
    <w:tmpl w:val="A2CE4B0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0DE07964"/>
    <w:multiLevelType w:val="hybridMultilevel"/>
    <w:tmpl w:val="5D04EB0C"/>
    <w:lvl w:ilvl="0">
      <w:start w:val="1"/>
      <w:numFmt w:val="bullet"/>
      <w:lvlText w:val=""/>
      <w:lvlJc w:val="left"/>
      <w:pPr>
        <w:ind w:left="108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F0859D3"/>
    <w:multiLevelType w:val="multilevel"/>
    <w:tmpl w:val="5C7A3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2F03A3"/>
    <w:multiLevelType w:val="hybridMultilevel"/>
    <w:tmpl w:val="50843D44"/>
    <w:lvl w:ilvl="0">
      <w:start w:val="1"/>
      <w:numFmt w:val="decimal"/>
      <w:lvlText w:val="%1."/>
      <w:lvlJc w:val="left"/>
      <w:pPr>
        <w:ind w:left="820" w:hanging="360"/>
      </w:pPr>
      <w:rPr>
        <w:rFonts w:ascii="Calibri" w:eastAsia="Calibri" w:hAnsi="Calibri" w:cs="Calibri" w:hint="default"/>
        <w:w w:val="100"/>
        <w:sz w:val="22"/>
        <w:szCs w:val="22"/>
        <w:lang w:val="en-US" w:eastAsia="en-US" w:bidi="en-US"/>
      </w:rPr>
    </w:lvl>
    <w:lvl w:ilvl="1">
      <w:start w:val="1"/>
      <w:numFmt w:val="lowerLetter"/>
      <w:lvlText w:val="%2."/>
      <w:lvlJc w:val="left"/>
      <w:pPr>
        <w:ind w:left="1540" w:hanging="360"/>
      </w:pPr>
      <w:rPr>
        <w:rFonts w:ascii="Calibri" w:eastAsia="Calibri" w:hAnsi="Calibri" w:cs="Calibri" w:hint="default"/>
        <w:spacing w:val="-1"/>
        <w:w w:val="100"/>
        <w:sz w:val="22"/>
        <w:szCs w:val="22"/>
        <w:lang w:val="en-US" w:eastAsia="en-US" w:bidi="en-US"/>
      </w:rPr>
    </w:lvl>
    <w:lvl w:ilvl="2">
      <w:start w:val="0"/>
      <w:numFmt w:val="bullet"/>
      <w:lvlText w:val="•"/>
      <w:lvlJc w:val="left"/>
      <w:pPr>
        <w:ind w:left="2431" w:hanging="360"/>
      </w:pPr>
      <w:rPr>
        <w:rFonts w:hint="default"/>
        <w:lang w:val="en-US" w:eastAsia="en-US" w:bidi="en-US"/>
      </w:rPr>
    </w:lvl>
    <w:lvl w:ilvl="3">
      <w:start w:val="0"/>
      <w:numFmt w:val="bullet"/>
      <w:lvlText w:val="•"/>
      <w:lvlJc w:val="left"/>
      <w:pPr>
        <w:ind w:left="3322" w:hanging="360"/>
      </w:pPr>
      <w:rPr>
        <w:rFonts w:hint="default"/>
        <w:lang w:val="en-US" w:eastAsia="en-US" w:bidi="en-US"/>
      </w:rPr>
    </w:lvl>
    <w:lvl w:ilvl="4">
      <w:start w:val="0"/>
      <w:numFmt w:val="bullet"/>
      <w:lvlText w:val="•"/>
      <w:lvlJc w:val="left"/>
      <w:pPr>
        <w:ind w:left="4213" w:hanging="360"/>
      </w:pPr>
      <w:rPr>
        <w:rFonts w:hint="default"/>
        <w:lang w:val="en-US" w:eastAsia="en-US" w:bidi="en-US"/>
      </w:rPr>
    </w:lvl>
    <w:lvl w:ilvl="5">
      <w:start w:val="0"/>
      <w:numFmt w:val="bullet"/>
      <w:lvlText w:val="•"/>
      <w:lvlJc w:val="left"/>
      <w:pPr>
        <w:ind w:left="5104" w:hanging="360"/>
      </w:pPr>
      <w:rPr>
        <w:rFonts w:hint="default"/>
        <w:lang w:val="en-US" w:eastAsia="en-US" w:bidi="en-US"/>
      </w:rPr>
    </w:lvl>
    <w:lvl w:ilvl="6">
      <w:start w:val="0"/>
      <w:numFmt w:val="bullet"/>
      <w:lvlText w:val="•"/>
      <w:lvlJc w:val="left"/>
      <w:pPr>
        <w:ind w:left="5995" w:hanging="360"/>
      </w:pPr>
      <w:rPr>
        <w:rFonts w:hint="default"/>
        <w:lang w:val="en-US" w:eastAsia="en-US" w:bidi="en-US"/>
      </w:rPr>
    </w:lvl>
    <w:lvl w:ilvl="7">
      <w:start w:val="0"/>
      <w:numFmt w:val="bullet"/>
      <w:lvlText w:val="•"/>
      <w:lvlJc w:val="left"/>
      <w:pPr>
        <w:ind w:left="6886" w:hanging="360"/>
      </w:pPr>
      <w:rPr>
        <w:rFonts w:hint="default"/>
        <w:lang w:val="en-US" w:eastAsia="en-US" w:bidi="en-US"/>
      </w:rPr>
    </w:lvl>
    <w:lvl w:ilvl="8">
      <w:start w:val="0"/>
      <w:numFmt w:val="bullet"/>
      <w:lvlText w:val="•"/>
      <w:lvlJc w:val="left"/>
      <w:pPr>
        <w:ind w:left="7777" w:hanging="360"/>
      </w:pPr>
      <w:rPr>
        <w:rFonts w:hint="default"/>
        <w:lang w:val="en-US" w:eastAsia="en-US" w:bidi="en-US"/>
      </w:rPr>
    </w:lvl>
  </w:abstractNum>
  <w:abstractNum w:abstractNumId="6">
    <w:nsid w:val="122C49AF"/>
    <w:multiLevelType w:val="hybridMultilevel"/>
    <w:tmpl w:val="85DCF0A2"/>
    <w:lvl w:ilvl="0">
      <w:start w:val="1"/>
      <w:numFmt w:val="decimal"/>
      <w:lvlText w:val="%1."/>
      <w:lvlJc w:val="left"/>
      <w:pPr>
        <w:ind w:left="1440" w:hanging="1152"/>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1516327B"/>
    <w:multiLevelType w:val="hybridMultilevel"/>
    <w:tmpl w:val="CCC081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7A70AC3"/>
    <w:multiLevelType w:val="hybridMultilevel"/>
    <w:tmpl w:val="115EA1B0"/>
    <w:lvl w:ilvl="0">
      <w:start w:val="6"/>
      <w:numFmt w:val="decimal"/>
      <w:lvlText w:val="%1"/>
      <w:lvlJc w:val="left"/>
      <w:pPr>
        <w:ind w:left="720" w:hanging="360"/>
      </w:pPr>
      <w:rPr>
        <w:rFonts w:hint="default"/>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8FD6964"/>
    <w:multiLevelType w:val="hybridMultilevel"/>
    <w:tmpl w:val="3C10A556"/>
    <w:lvl w:ilvl="0">
      <w:start w:val="2"/>
      <w:numFmt w:val="lowerLetter"/>
      <w:lvlText w:val="%1."/>
      <w:lvlJc w:val="left"/>
      <w:pPr>
        <w:ind w:left="1080" w:hanging="360"/>
      </w:pPr>
      <w:rPr>
        <w:rFonts w:hint="default"/>
        <w:color w:val="00000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1B663D70"/>
    <w:multiLevelType w:val="multilevel"/>
    <w:tmpl w:val="040A3F6A"/>
    <w:name w:val="AutoList32"/>
    <w:lvl w:ilvl="0">
      <w:start w:val="17"/>
      <w:numFmt w:val="decimal"/>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0"/>
      <w:numFmt w:val="decimal"/>
      <w:lvlJc w:val="left"/>
      <w:pPr>
        <w:ind w:left="0" w:firstLine="0"/>
      </w:pPr>
      <w:rPr>
        <w:rFonts w:hint="default"/>
      </w:rPr>
    </w:lvl>
  </w:abstractNum>
  <w:abstractNum w:abstractNumId="11">
    <w:nsid w:val="259D3BE6"/>
    <w:multiLevelType w:val="hybridMultilevel"/>
    <w:tmpl w:val="47F4B7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AB06EF2"/>
    <w:multiLevelType w:val="hybridMultilevel"/>
    <w:tmpl w:val="E9F03942"/>
    <w:lvl w:ilvl="0">
      <w:start w:val="1"/>
      <w:numFmt w:val="bullet"/>
      <w:lvlText w:val=""/>
      <w:lvlJc w:val="left"/>
      <w:pPr>
        <w:ind w:left="1483" w:hanging="360"/>
      </w:pPr>
      <w:rPr>
        <w:rFonts w:ascii="Symbol" w:hAnsi="Symbol" w:hint="default"/>
      </w:rPr>
    </w:lvl>
    <w:lvl w:ilvl="1" w:tentative="1">
      <w:start w:val="1"/>
      <w:numFmt w:val="bullet"/>
      <w:lvlText w:val="o"/>
      <w:lvlJc w:val="left"/>
      <w:pPr>
        <w:ind w:left="2203" w:hanging="360"/>
      </w:pPr>
      <w:rPr>
        <w:rFonts w:ascii="Courier New" w:hAnsi="Courier New" w:cs="Courier New" w:hint="default"/>
      </w:rPr>
    </w:lvl>
    <w:lvl w:ilvl="2" w:tentative="1">
      <w:start w:val="1"/>
      <w:numFmt w:val="bullet"/>
      <w:lvlText w:val=""/>
      <w:lvlJc w:val="left"/>
      <w:pPr>
        <w:ind w:left="2923" w:hanging="360"/>
      </w:pPr>
      <w:rPr>
        <w:rFonts w:ascii="Wingdings" w:hAnsi="Wingdings" w:hint="default"/>
      </w:rPr>
    </w:lvl>
    <w:lvl w:ilvl="3" w:tentative="1">
      <w:start w:val="1"/>
      <w:numFmt w:val="bullet"/>
      <w:lvlText w:val=""/>
      <w:lvlJc w:val="left"/>
      <w:pPr>
        <w:ind w:left="3643" w:hanging="360"/>
      </w:pPr>
      <w:rPr>
        <w:rFonts w:ascii="Symbol" w:hAnsi="Symbol" w:hint="default"/>
      </w:rPr>
    </w:lvl>
    <w:lvl w:ilvl="4" w:tentative="1">
      <w:start w:val="1"/>
      <w:numFmt w:val="bullet"/>
      <w:lvlText w:val="o"/>
      <w:lvlJc w:val="left"/>
      <w:pPr>
        <w:ind w:left="4363" w:hanging="360"/>
      </w:pPr>
      <w:rPr>
        <w:rFonts w:ascii="Courier New" w:hAnsi="Courier New" w:cs="Courier New" w:hint="default"/>
      </w:rPr>
    </w:lvl>
    <w:lvl w:ilvl="5" w:tentative="1">
      <w:start w:val="1"/>
      <w:numFmt w:val="bullet"/>
      <w:lvlText w:val=""/>
      <w:lvlJc w:val="left"/>
      <w:pPr>
        <w:ind w:left="5083" w:hanging="360"/>
      </w:pPr>
      <w:rPr>
        <w:rFonts w:ascii="Wingdings" w:hAnsi="Wingdings" w:hint="default"/>
      </w:rPr>
    </w:lvl>
    <w:lvl w:ilvl="6" w:tentative="1">
      <w:start w:val="1"/>
      <w:numFmt w:val="bullet"/>
      <w:lvlText w:val=""/>
      <w:lvlJc w:val="left"/>
      <w:pPr>
        <w:ind w:left="5803" w:hanging="360"/>
      </w:pPr>
      <w:rPr>
        <w:rFonts w:ascii="Symbol" w:hAnsi="Symbol" w:hint="default"/>
      </w:rPr>
    </w:lvl>
    <w:lvl w:ilvl="7" w:tentative="1">
      <w:start w:val="1"/>
      <w:numFmt w:val="bullet"/>
      <w:lvlText w:val="o"/>
      <w:lvlJc w:val="left"/>
      <w:pPr>
        <w:ind w:left="6523" w:hanging="360"/>
      </w:pPr>
      <w:rPr>
        <w:rFonts w:ascii="Courier New" w:hAnsi="Courier New" w:cs="Courier New" w:hint="default"/>
      </w:rPr>
    </w:lvl>
    <w:lvl w:ilvl="8" w:tentative="1">
      <w:start w:val="1"/>
      <w:numFmt w:val="bullet"/>
      <w:lvlText w:val=""/>
      <w:lvlJc w:val="left"/>
      <w:pPr>
        <w:ind w:left="7243" w:hanging="360"/>
      </w:pPr>
      <w:rPr>
        <w:rFonts w:ascii="Wingdings" w:hAnsi="Wingdings" w:hint="default"/>
      </w:rPr>
    </w:lvl>
  </w:abstractNum>
  <w:abstractNum w:abstractNumId="13">
    <w:nsid w:val="2E4D6FD9"/>
    <w:multiLevelType w:val="hybridMultilevel"/>
    <w:tmpl w:val="9EA82898"/>
    <w:lvl w:ilvl="0">
      <w:start w:val="1"/>
      <w:numFmt w:val="bullet"/>
      <w:lvlText w:val=""/>
      <w:lvlJc w:val="left"/>
      <w:pPr>
        <w:ind w:left="1530" w:hanging="360"/>
      </w:pPr>
      <w:rPr>
        <w:rFonts w:ascii="Symbol" w:hAnsi="Symbol" w:hint="default"/>
      </w:rPr>
    </w:lvl>
    <w:lvl w:ilvl="1" w:tentative="1">
      <w:start w:val="1"/>
      <w:numFmt w:val="bullet"/>
      <w:lvlText w:val="o"/>
      <w:lvlJc w:val="left"/>
      <w:pPr>
        <w:ind w:left="2250" w:hanging="360"/>
      </w:pPr>
      <w:rPr>
        <w:rFonts w:ascii="Courier New" w:hAnsi="Courier New" w:cs="Courier New" w:hint="default"/>
      </w:rPr>
    </w:lvl>
    <w:lvl w:ilvl="2" w:tentative="1">
      <w:start w:val="1"/>
      <w:numFmt w:val="bullet"/>
      <w:lvlText w:val=""/>
      <w:lvlJc w:val="left"/>
      <w:pPr>
        <w:ind w:left="2970" w:hanging="360"/>
      </w:pPr>
      <w:rPr>
        <w:rFonts w:ascii="Wingdings" w:hAnsi="Wingdings" w:hint="default"/>
      </w:rPr>
    </w:lvl>
    <w:lvl w:ilvl="3" w:tentative="1">
      <w:start w:val="1"/>
      <w:numFmt w:val="bullet"/>
      <w:lvlText w:val=""/>
      <w:lvlJc w:val="left"/>
      <w:pPr>
        <w:ind w:left="3690" w:hanging="360"/>
      </w:pPr>
      <w:rPr>
        <w:rFonts w:ascii="Symbol" w:hAnsi="Symbol" w:hint="default"/>
      </w:rPr>
    </w:lvl>
    <w:lvl w:ilvl="4" w:tentative="1">
      <w:start w:val="1"/>
      <w:numFmt w:val="bullet"/>
      <w:lvlText w:val="o"/>
      <w:lvlJc w:val="left"/>
      <w:pPr>
        <w:ind w:left="4410" w:hanging="360"/>
      </w:pPr>
      <w:rPr>
        <w:rFonts w:ascii="Courier New" w:hAnsi="Courier New" w:cs="Courier New" w:hint="default"/>
      </w:rPr>
    </w:lvl>
    <w:lvl w:ilvl="5" w:tentative="1">
      <w:start w:val="1"/>
      <w:numFmt w:val="bullet"/>
      <w:lvlText w:val=""/>
      <w:lvlJc w:val="left"/>
      <w:pPr>
        <w:ind w:left="5130" w:hanging="360"/>
      </w:pPr>
      <w:rPr>
        <w:rFonts w:ascii="Wingdings" w:hAnsi="Wingdings" w:hint="default"/>
      </w:rPr>
    </w:lvl>
    <w:lvl w:ilvl="6" w:tentative="1">
      <w:start w:val="1"/>
      <w:numFmt w:val="bullet"/>
      <w:lvlText w:val=""/>
      <w:lvlJc w:val="left"/>
      <w:pPr>
        <w:ind w:left="5850" w:hanging="360"/>
      </w:pPr>
      <w:rPr>
        <w:rFonts w:ascii="Symbol" w:hAnsi="Symbol" w:hint="default"/>
      </w:rPr>
    </w:lvl>
    <w:lvl w:ilvl="7" w:tentative="1">
      <w:start w:val="1"/>
      <w:numFmt w:val="bullet"/>
      <w:lvlText w:val="o"/>
      <w:lvlJc w:val="left"/>
      <w:pPr>
        <w:ind w:left="6570" w:hanging="360"/>
      </w:pPr>
      <w:rPr>
        <w:rFonts w:ascii="Courier New" w:hAnsi="Courier New" w:cs="Courier New" w:hint="default"/>
      </w:rPr>
    </w:lvl>
    <w:lvl w:ilvl="8" w:tentative="1">
      <w:start w:val="1"/>
      <w:numFmt w:val="bullet"/>
      <w:lvlText w:val=""/>
      <w:lvlJc w:val="left"/>
      <w:pPr>
        <w:ind w:left="7290" w:hanging="360"/>
      </w:pPr>
      <w:rPr>
        <w:rFonts w:ascii="Wingdings" w:hAnsi="Wingdings" w:hint="default"/>
      </w:rPr>
    </w:lvl>
  </w:abstractNum>
  <w:abstractNum w:abstractNumId="14">
    <w:nsid w:val="3DB21A07"/>
    <w:multiLevelType w:val="hybridMultilevel"/>
    <w:tmpl w:val="7166AF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DD01236"/>
    <w:multiLevelType w:val="multilevel"/>
    <w:tmpl w:val="18189950"/>
    <w:name w:val="AutoList2"/>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5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nsid w:val="4AE02671"/>
    <w:multiLevelType w:val="hybridMultilevel"/>
    <w:tmpl w:val="318C3F70"/>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F85738C"/>
    <w:multiLevelType w:val="multilevel"/>
    <w:tmpl w:val="1818995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5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nsid w:val="57AA5570"/>
    <w:multiLevelType w:val="hybridMultilevel"/>
    <w:tmpl w:val="C10A1D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737052A"/>
    <w:multiLevelType w:val="hybridMultilevel"/>
    <w:tmpl w:val="AF640F84"/>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74671702">
    <w:abstractNumId w:val="0"/>
  </w:num>
  <w:num w:numId="2" w16cid:durableId="1985966107">
    <w:abstractNumId w:val="1"/>
    <w:lvlOverride w:ilvl="0">
      <w:lvl w:ilvl="0">
        <w:start w:val="9"/>
        <w:numFmt w:val="decimal"/>
        <w:pStyle w:val="Level1"/>
        <w:lvlText w:val="%1."/>
        <w:lvlJc w:val="left"/>
      </w:lvl>
    </w:lvlOverride>
    <w:lvlOverride w:ilvl="1">
      <w:lvl w:ilvl="1">
        <w:start w:val="1"/>
        <w:numFmt w:val="decimal"/>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start w:val="0"/>
        <w:numFmt w:val="decimal"/>
        <w:lvlJc w:val="left"/>
      </w:lvl>
    </w:lvlOverride>
  </w:num>
  <w:num w:numId="3" w16cid:durableId="558832692">
    <w:abstractNumId w:val="10"/>
  </w:num>
  <w:num w:numId="4" w16cid:durableId="715354181">
    <w:abstractNumId w:val="4"/>
  </w:num>
  <w:num w:numId="5" w16cid:durableId="532546939">
    <w:abstractNumId w:val="6"/>
  </w:num>
  <w:num w:numId="6" w16cid:durableId="641270891">
    <w:abstractNumId w:val="2"/>
  </w:num>
  <w:num w:numId="7" w16cid:durableId="1898079617">
    <w:abstractNumId w:val="12"/>
  </w:num>
  <w:num w:numId="8" w16cid:durableId="415201855">
    <w:abstractNumId w:val="3"/>
  </w:num>
  <w:num w:numId="9" w16cid:durableId="839737380">
    <w:abstractNumId w:val="11"/>
  </w:num>
  <w:num w:numId="10" w16cid:durableId="1354958652">
    <w:abstractNumId w:val="13"/>
  </w:num>
  <w:num w:numId="11" w16cid:durableId="1401365192">
    <w:abstractNumId w:val="0"/>
    <w:lvlOverride w:ilvl="0">
      <w:lvl w:ilvl="0">
        <w:start w:val="1"/>
        <w:numFmt w:val="decimal"/>
        <w:lvlText w:val="%1."/>
        <w:lvlJc w:val="left"/>
        <w:pPr>
          <w:ind w:left="0" w:firstLine="0"/>
        </w:pPr>
        <w:rPr>
          <w:rFonts w:hint="default"/>
        </w:rPr>
      </w:lvl>
    </w:lvlOverride>
    <w:lvlOverride w:ilvl="1">
      <w:lvl w:ilvl="1">
        <w:start w:val="1"/>
        <w:numFmt w:val="decimal"/>
        <w:lvlText w:val="%2."/>
        <w:lvlJc w:val="left"/>
        <w:pPr>
          <w:ind w:left="0" w:firstLine="0"/>
        </w:pPr>
        <w:rPr>
          <w:rFonts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decimal"/>
        <w:lvlText w:val="%8."/>
        <w:lvlJc w:val="left"/>
        <w:pPr>
          <w:ind w:left="0" w:firstLine="0"/>
        </w:pPr>
        <w:rPr>
          <w:rFonts w:hint="default"/>
        </w:rPr>
      </w:lvl>
    </w:lvlOverride>
    <w:lvlOverride w:ilvl="8">
      <w:lvl w:ilvl="8">
        <w:start w:val="0"/>
        <w:numFmt w:val="decimal"/>
        <w:lvlJc w:val="left"/>
        <w:pPr>
          <w:ind w:left="0" w:firstLine="0"/>
        </w:pPr>
        <w:rPr>
          <w:rFonts w:hint="default"/>
        </w:rPr>
      </w:lvl>
    </w:lvlOverride>
  </w:num>
  <w:num w:numId="12" w16cid:durableId="2102289682">
    <w:abstractNumId w:val="0"/>
    <w:lvlOverride w:ilvl="0">
      <w:lvl w:ilvl="0">
        <w:start w:val="5"/>
        <w:numFmt w:val="decimal"/>
        <w:lvlText w:val="%1."/>
        <w:lvlJc w:val="left"/>
        <w:pPr>
          <w:ind w:left="0" w:firstLine="0"/>
        </w:pPr>
        <w:rPr>
          <w:rFonts w:hint="default"/>
        </w:rPr>
      </w:lvl>
    </w:lvlOverride>
    <w:lvlOverride w:ilvl="1">
      <w:lvl w:ilvl="1">
        <w:start w:val="1"/>
        <w:numFmt w:val="decimal"/>
        <w:lvlText w:val="%2."/>
        <w:lvlJc w:val="left"/>
        <w:pPr>
          <w:ind w:left="0" w:firstLine="0"/>
        </w:pPr>
        <w:rPr>
          <w:rFonts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decimal"/>
        <w:lvlText w:val="%8."/>
        <w:lvlJc w:val="left"/>
        <w:pPr>
          <w:ind w:left="0" w:firstLine="0"/>
        </w:pPr>
        <w:rPr>
          <w:rFonts w:hint="default"/>
        </w:rPr>
      </w:lvl>
    </w:lvlOverride>
    <w:lvlOverride w:ilvl="8">
      <w:lvl w:ilvl="8">
        <w:start w:val="0"/>
        <w:numFmt w:val="decimal"/>
        <w:lvlJc w:val="left"/>
        <w:pPr>
          <w:ind w:left="0" w:firstLine="0"/>
        </w:pPr>
        <w:rPr>
          <w:rFonts w:hint="default"/>
        </w:rPr>
      </w:lvl>
    </w:lvlOverride>
  </w:num>
  <w:num w:numId="13" w16cid:durableId="1929658113">
    <w:abstractNumId w:val="0"/>
    <w:lvlOverride w:ilvl="0">
      <w:lvl w:ilvl="0">
        <w:start w:val="5"/>
        <w:numFmt w:val="decimal"/>
        <w:lvlText w:val="%1."/>
        <w:lvlJc w:val="left"/>
      </w:lvl>
    </w:lvlOverride>
    <w:lvlOverride w:ilvl="1">
      <w:lvl w:ilvl="1">
        <w:start w:val="1"/>
        <w:numFmt w:val="decimal"/>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start w:val="0"/>
        <w:numFmt w:val="decimal"/>
        <w:lvlJc w:val="left"/>
      </w:lvl>
    </w:lvlOverride>
  </w:num>
  <w:num w:numId="14" w16cid:durableId="1197040618">
    <w:abstractNumId w:val="19"/>
  </w:num>
  <w:num w:numId="15" w16cid:durableId="678772861">
    <w:abstractNumId w:val="15"/>
  </w:num>
  <w:num w:numId="16" w16cid:durableId="478377817">
    <w:abstractNumId w:val="9"/>
  </w:num>
  <w:num w:numId="17" w16cid:durableId="899171638">
    <w:abstractNumId w:val="17"/>
  </w:num>
  <w:num w:numId="18" w16cid:durableId="963385307">
    <w:abstractNumId w:val="16"/>
  </w:num>
  <w:num w:numId="19" w16cid:durableId="1110122819">
    <w:abstractNumId w:val="8"/>
  </w:num>
  <w:num w:numId="20" w16cid:durableId="622610898">
    <w:abstractNumId w:val="14"/>
  </w:num>
  <w:num w:numId="21" w16cid:durableId="1583371505">
    <w:abstractNumId w:val="18"/>
  </w:num>
  <w:num w:numId="22" w16cid:durableId="1474371779">
    <w:abstractNumId w:val="7"/>
  </w:num>
  <w:num w:numId="23" w16cid:durableId="1189177132">
    <w:abstractNumId w:val="1"/>
    <w:lvlOverride w:ilvl="0">
      <w:lvl w:ilvl="0">
        <w:start w:val="9"/>
        <w:numFmt w:val="decimal"/>
        <w:pStyle w:val="Level1"/>
        <w:lvlText w:val="%1."/>
        <w:lvlJc w:val="left"/>
      </w:lvl>
    </w:lvlOverride>
    <w:lvlOverride w:ilvl="1">
      <w:lvl w:ilvl="1">
        <w:start w:val="1"/>
        <w:numFmt w:val="decimal"/>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start w:val="0"/>
        <w:numFmt w:val="decimal"/>
        <w:lvlJc w:val="left"/>
      </w:lvl>
    </w:lvlOverride>
  </w:num>
  <w:num w:numId="24" w16cid:durableId="1392390102">
    <w:abstractNumId w:val="1"/>
    <w:lvlOverride w:ilvl="0">
      <w:lvl w:ilvl="0">
        <w:start w:val="9"/>
        <w:numFmt w:val="decimal"/>
        <w:pStyle w:val="Level1"/>
        <w:lvlText w:val="%1."/>
        <w:lvlJc w:val="left"/>
      </w:lvl>
    </w:lvlOverride>
    <w:lvlOverride w:ilvl="1">
      <w:lvl w:ilvl="1">
        <w:start w:val="1"/>
        <w:numFmt w:val="decimal"/>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start w:val="0"/>
        <w:numFmt w:val="decimal"/>
        <w:lvlJc w:val="left"/>
      </w:lvl>
    </w:lvlOverride>
  </w:num>
  <w:num w:numId="25" w16cid:durableId="2032758351">
    <w:abstractNumId w:val="1"/>
    <w:lvlOverride w:ilvl="0">
      <w:lvl w:ilvl="0">
        <w:start w:val="9"/>
        <w:numFmt w:val="decimal"/>
        <w:pStyle w:val="Level1"/>
        <w:lvlText w:val="%1."/>
        <w:lvlJc w:val="left"/>
      </w:lvl>
    </w:lvlOverride>
    <w:lvlOverride w:ilvl="1">
      <w:lvl w:ilvl="1">
        <w:start w:val="1"/>
        <w:numFmt w:val="decimal"/>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start w:val="0"/>
        <w:numFmt w:val="decimal"/>
        <w:lvlJc w:val="left"/>
      </w:lvl>
    </w:lvlOverride>
  </w:num>
  <w:num w:numId="26" w16cid:durableId="469176029">
    <w:abstractNumId w:val="1"/>
    <w:lvlOverride w:ilvl="0">
      <w:lvl w:ilvl="0">
        <w:start w:val="9"/>
        <w:numFmt w:val="decimal"/>
        <w:pStyle w:val="Level1"/>
        <w:lvlText w:val="%1."/>
        <w:lvlJc w:val="left"/>
      </w:lvl>
    </w:lvlOverride>
    <w:lvlOverride w:ilvl="1">
      <w:lvl w:ilvl="1">
        <w:start w:val="1"/>
        <w:numFmt w:val="decimal"/>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lvlOverride w:ilvl="8">
      <w:lvl w:ilvl="8">
        <w:start w:val="0"/>
        <w:numFmt w:val="decimal"/>
        <w:lvlJc w:val="left"/>
      </w:lvl>
    </w:lvlOverride>
  </w:num>
  <w:num w:numId="27" w16cid:durableId="2141992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doNotValidateAgainstSchema/>
  <w:doNotDemarcateInvalidXml/>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D61"/>
    <w:rsid w:val="00034E3C"/>
    <w:rsid w:val="00050773"/>
    <w:rsid w:val="000C5FAF"/>
    <w:rsid w:val="00193E42"/>
    <w:rsid w:val="00323FCF"/>
    <w:rsid w:val="004431F1"/>
    <w:rsid w:val="004A0237"/>
    <w:rsid w:val="004C0A64"/>
    <w:rsid w:val="00524436"/>
    <w:rsid w:val="00584EFE"/>
    <w:rsid w:val="005E711C"/>
    <w:rsid w:val="005F1BC3"/>
    <w:rsid w:val="006207BB"/>
    <w:rsid w:val="00747C44"/>
    <w:rsid w:val="00752D61"/>
    <w:rsid w:val="0076500B"/>
    <w:rsid w:val="00790FDF"/>
    <w:rsid w:val="007A3D23"/>
    <w:rsid w:val="00931F11"/>
    <w:rsid w:val="00A72992"/>
    <w:rsid w:val="00B0333B"/>
    <w:rsid w:val="00B742A7"/>
    <w:rsid w:val="00E46A3E"/>
    <w:rsid w:val="00EA0D5E"/>
    <w:rsid w:val="00ED2013"/>
    <w:rsid w:val="00F029EA"/>
    <w:rsid w:val="00F471A5"/>
    <w:rsid w:val="00F96565"/>
    <w:rsid w:val="00FE466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EmbedSmartTags/>
  <w14:docId w14:val="16F277F6"/>
  <w15:chartTrackingRefBased/>
  <w15:docId w15:val="{1186FBCA-DB25-4838-9ABA-E85AEC01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uiPriority="1"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tyle>
  <w:style w:type="paragraph" w:customStyle="1" w:styleId="Level1">
    <w:name w:val="Level 1"/>
    <w:basedOn w:val="Normal"/>
    <w:pPr>
      <w:numPr>
        <w:numId w:val="2"/>
      </w:numPr>
      <w:outlineLvl w:val="0"/>
    </w:pPr>
  </w:style>
  <w:style w:type="character" w:styleId="Hyperlink">
    <w:name w:val="Hyperlink"/>
    <w:rPr>
      <w:color w:val="0000FF"/>
      <w:u w:val="single"/>
    </w:rPr>
  </w:style>
  <w:style w:type="character" w:styleId="UnresolvedMention">
    <w:name w:val="Unresolved Mention"/>
    <w:uiPriority w:val="99"/>
    <w:semiHidden/>
    <w:unhideWhenUsed/>
    <w:rPr>
      <w:color w:val="808080"/>
      <w:shd w:val="clear" w:color="auto" w:fill="E6E6E6"/>
    </w:rPr>
  </w:style>
  <w:style w:type="character" w:customStyle="1" w:styleId="SupportingStatementSTANDARDChar">
    <w:name w:val="Supporting Statement STANDARD Char"/>
    <w:link w:val="SupportingStatementSTANDARD"/>
    <w:locked/>
    <w:rPr>
      <w:sz w:val="24"/>
      <w:szCs w:val="24"/>
    </w:rPr>
  </w:style>
  <w:style w:type="paragraph" w:customStyle="1" w:styleId="SupportingStatementSTANDARD">
    <w:name w:val="Supporting Statement STANDARD"/>
    <w:basedOn w:val="Normal"/>
    <w:link w:val="SupportingStatementSTANDARDChar"/>
    <w:qFormat/>
    <w:pPr>
      <w:tabs>
        <w:tab w:val="left" w:pos="720"/>
      </w:tabs>
      <w:ind w:left="720" w:hanging="720"/>
    </w:pPr>
    <w:rPr>
      <w:rFonts w:ascii="Times New Roman" w:hAnsi="Times New Roman"/>
    </w:rPr>
  </w:style>
  <w:style w:type="character" w:styleId="FollowedHyperlink">
    <w:name w:val="FollowedHyperlink"/>
    <w:basedOn w:val="DefaultParagraphFont"/>
    <w:rPr>
      <w:color w:val="954F72" w:themeColor="followedHyperlink"/>
      <w:u w:val="single"/>
    </w:rPr>
  </w:style>
  <w:style w:type="paragraph" w:customStyle="1" w:styleId="Default">
    <w:name w:val="Default"/>
    <w:pPr>
      <w:autoSpaceDE w:val="0"/>
      <w:autoSpaceDN w:val="0"/>
      <w:adjustRightInd w:val="0"/>
    </w:pPr>
    <w:rPr>
      <w:rFonts w:ascii="Helvetica World" w:hAnsi="Helvetica World" w:cs="Helvetica World"/>
      <w:color w:val="000000"/>
      <w:sz w:val="24"/>
      <w:szCs w:val="24"/>
      <w:lang w:bidi="he-IL"/>
    </w:rPr>
  </w:style>
  <w:style w:type="paragraph" w:styleId="ListParagraph">
    <w:name w:val="List Paragraph"/>
    <w:basedOn w:val="Normal"/>
    <w:uiPriority w:val="1"/>
    <w:qFormat/>
    <w:pPr>
      <w:ind w:left="720"/>
    </w:pPr>
  </w:style>
  <w:style w:type="paragraph" w:styleId="Title">
    <w:name w:val="Title"/>
    <w:basedOn w:val="Normal"/>
    <w:next w:val="Normal"/>
    <w:link w:val="TitleChar"/>
    <w:uiPriority w:val="1"/>
    <w:qFormat/>
    <w:pPr>
      <w:widowControl/>
      <w:spacing w:before="9"/>
    </w:pPr>
    <w:rPr>
      <w:rFonts w:ascii="Times New Roman" w:hAnsi="Times New Roman"/>
    </w:rPr>
  </w:style>
  <w:style w:type="character" w:customStyle="1" w:styleId="TitleChar">
    <w:name w:val="Title Char"/>
    <w:basedOn w:val="DefaultParagraphFont"/>
    <w:link w:val="Title"/>
    <w:uiPriority w:val="1"/>
    <w:rPr>
      <w:sz w:val="24"/>
      <w:szCs w:val="24"/>
    </w:rPr>
  </w:style>
  <w:style w:type="paragraph" w:customStyle="1" w:styleId="TableParagraph">
    <w:name w:val="Table Paragraph"/>
    <w:basedOn w:val="Normal"/>
    <w:uiPriority w:val="1"/>
    <w:qFormat/>
    <w:pPr>
      <w:widowControl/>
      <w:spacing w:before="1" w:line="254" w:lineRule="exact"/>
    </w:pPr>
    <w:rPr>
      <w:rFonts w:ascii="Times New Roman" w:hAnsi="Times New Roman"/>
    </w:rPr>
  </w:style>
  <w:style w:type="paragraph" w:styleId="Revision">
    <w:name w:val="Revision"/>
    <w:hidden/>
    <w:uiPriority w:val="99"/>
    <w:semiHidden/>
    <w:rPr>
      <w:rFonts w:ascii="Courier" w:hAnsi="Courier"/>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Courier" w:hAnsi="Courier"/>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ourier" w:hAnsi="Courie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Courier" w:hAnsi="Courier"/>
      <w:b/>
      <w:bCs/>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ascii="Courier" w:hAnsi="Courie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rFonts w:ascii="Courier" w:hAnsi="Courier"/>
      <w:sz w:val="24"/>
      <w:szCs w:val="24"/>
    </w:rPr>
  </w:style>
  <w:style w:type="paragraph" w:styleId="BodyText">
    <w:name w:val="Body Text"/>
    <w:basedOn w:val="Normal"/>
    <w:link w:val="BodyTextChar"/>
    <w:uiPriority w:val="1"/>
    <w:qFormat/>
    <w:pPr>
      <w:adjustRightInd/>
      <w:spacing w:before="22"/>
      <w:ind w:left="820" w:hanging="360"/>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Pr>
      <w:rFonts w:ascii="Calibri" w:eastAsia="Calibri" w:hAnsi="Calibri" w:cs="Calibri"/>
      <w:sz w:val="22"/>
      <w:szCs w:val="22"/>
      <w:lang w:bidi="en-US"/>
    </w:rPr>
  </w:style>
  <w:style w:type="table" w:styleId="TableGrid">
    <w:name w:val="Table Grid"/>
    <w:basedOn w:val="TableNormal"/>
    <w:uiPriority w:val="39"/>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x5qz xmlns="720edc2f-bbb2-4544-b28c-dd2e5feb1048" xsi:nil="true"/>
    <kulx xmlns="720edc2f-bbb2-4544-b28c-dd2e5feb1048" xsi:nil="true"/>
    <Area xmlns="720edc2f-bbb2-4544-b28c-dd2e5feb1048" xsi:nil="true"/>
    <c67x xmlns="720edc2f-bbb2-4544-b28c-dd2e5feb1048" xsi:nil="true"/>
    <pcyz xmlns="720edc2f-bbb2-4544-b28c-dd2e5feb1048" xsi:nil="true"/>
    <IconOverlay xmlns="http://schemas.microsoft.com/sharepoint/v4" xsi:nil="true"/>
    <_x0078_hm6 xmlns="720edc2f-bbb2-4544-b28c-dd2e5feb1048" xsi:nil="true"/>
    <_x0074_pi5 xmlns="720edc2f-bbb2-4544-b28c-dd2e5feb1048" xsi:nil="true"/>
    <Proposed_x0020_Disposition xmlns="720edc2f-bbb2-4544-b28c-dd2e5feb1048" xsi:nil="true"/>
    <TaxKeywordTaxHTField xmlns="f7f571d0-7c6a-4b47-a409-0f74acd1ea19">
      <Terms xmlns="http://schemas.microsoft.com/office/infopath/2007/PartnerControls"/>
    </TaxKeywordTaxHTField>
    <_x007a_yx0 xmlns="720edc2f-bbb2-4544-b28c-dd2e5feb1048" xsi:nil="true"/>
    <od0y xmlns="720edc2f-bbb2-4544-b28c-dd2e5feb1048">
      <UserInfo>
        <DisplayName/>
        <AccountId xsi:nil="true"/>
        <AccountType/>
      </UserInfo>
    </od0y>
    <z8rl xmlns="720edc2f-bbb2-4544-b28c-dd2e5feb1048" xsi:nil="true"/>
    <o7f4 xmlns="720edc2f-bbb2-4544-b28c-dd2e5feb1048" xsi:nil="true"/>
    <_x0076_om3 xmlns="720edc2f-bbb2-4544-b28c-dd2e5feb1048" xsi:nil="true"/>
    <pwni xmlns="720edc2f-bbb2-4544-b28c-dd2e5feb1048" xsi:nil="true"/>
    <pgcl xmlns="720edc2f-bbb2-4544-b28c-dd2e5feb1048" xsi:nil="true"/>
    <Content_x0020_Owner xmlns="720edc2f-bbb2-4544-b28c-dd2e5feb1048" xsi:nil="true"/>
    <p4dt xmlns="720edc2f-bbb2-4544-b28c-dd2e5feb1048" xsi:nil="true"/>
    <TaxCatchAll xmlns="5edbe80d-e595-46b9-be3c-e61540003b6e"/>
    <_x0037__x002d_point_x0020_Memo xmlns="720edc2f-bbb2-4544-b28c-dd2e5feb1048" xsi:nil="true"/>
    <l4rm xmlns="720edc2f-bbb2-4544-b28c-dd2e5feb1048" xsi:nil="true"/>
    <vhtm xmlns="720edc2f-bbb2-4544-b28c-dd2e5feb1048" xsi:nil="true"/>
    <n7ar xmlns="720edc2f-bbb2-4544-b28c-dd2e5feb1048">
      <UserInfo>
        <DisplayName/>
        <AccountId xsi:nil="true"/>
        <AccountType/>
      </UserInfo>
    </n7ar>
    <xhtz xmlns="720edc2f-bbb2-4544-b28c-dd2e5feb1048" xsi:nil="true"/>
    <Source xmlns="720edc2f-bbb2-4544-b28c-dd2e5feb1048" xsi:nil="true"/>
    <l31q xmlns="720edc2f-bbb2-4544-b28c-dd2e5feb1048" xsi:nil="true"/>
    <o3np xmlns="720edc2f-bbb2-4544-b28c-dd2e5feb1048" xsi:nil="true"/>
    <_x0078_c55 xmlns="720edc2f-bbb2-4544-b28c-dd2e5feb1048" xsi:nil="true"/>
    <cmao xmlns="720edc2f-bbb2-4544-b28c-dd2e5feb1048" xsi:nil="true"/>
    <px3v xmlns="720edc2f-bbb2-4544-b28c-dd2e5feb1048" xsi:nil="true"/>
    <_x0061_e55 xmlns="720edc2f-bbb2-4544-b28c-dd2e5feb1048" xsi:nil="true"/>
    <_dlc_DocId xmlns="52222ef0-b167-44f5-92f7-438fda0857cd">DOTAXPOLICY-56-25643</_dlc_DocId>
    <_dlc_DocIdUrl xmlns="52222ef0-b167-44f5-92f7-438fda0857cd">
      <Url>https://my.treasury.gov/Collab/taxpolicy/_layouts/15/DocIdRedir.aspx?ID=DOTAXPOLICY-56-25643</Url>
      <Description>DOTAXPOLICY-56-25643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86E40227E8D240B4E9120A1B209148" ma:contentTypeVersion="40" ma:contentTypeDescription="Create a new document." ma:contentTypeScope="" ma:versionID="a0169f92203688455c5a41f4cbe4aa9a">
  <xsd:schema xmlns:xsd="http://www.w3.org/2001/XMLSchema" xmlns:xs="http://www.w3.org/2001/XMLSchema" xmlns:p="http://schemas.microsoft.com/office/2006/metadata/properties" xmlns:ns2="52222ef0-b167-44f5-92f7-438fda0857cd" xmlns:ns3="720edc2f-bbb2-4544-b28c-dd2e5feb1048" xmlns:ns4="f7f571d0-7c6a-4b47-a409-0f74acd1ea19" xmlns:ns5="5edbe80d-e595-46b9-be3c-e61540003b6e" xmlns:ns6="http://schemas.microsoft.com/sharepoint/v4" targetNamespace="http://schemas.microsoft.com/office/2006/metadata/properties" ma:root="true" ma:fieldsID="d26572e3d68d13d6fc6bfa46617bff4b" ns2:_="" ns3:_="" ns4:_="" ns5:_="" ns6:_="">
    <xsd:import namespace="52222ef0-b167-44f5-92f7-438fda0857cd"/>
    <xsd:import namespace="720edc2f-bbb2-4544-b28c-dd2e5feb1048"/>
    <xsd:import namespace="f7f571d0-7c6a-4b47-a409-0f74acd1ea19"/>
    <xsd:import namespace="5edbe80d-e595-46b9-be3c-e61540003b6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P0000000000000000000000000000001" minOccurs="0"/>
                <xsd:element ref="ns3:P0000000000000000000000000000002" minOccurs="0"/>
                <xsd:element ref="ns4:TaxKeywordTaxHTField" minOccurs="0"/>
                <xsd:element ref="ns5:TaxCatchAll" minOccurs="0"/>
                <xsd:element ref="ns3:Area" minOccurs="0"/>
                <xsd:element ref="ns3:_x0037__x002d_point_x0020_Memo" minOccurs="0"/>
                <xsd:element ref="ns4:SharedWithUsers" minOccurs="0"/>
                <xsd:element ref="ns6:IconOverlay" minOccurs="0"/>
                <xsd:element ref="ns3:Source" minOccurs="0"/>
                <xsd:element ref="ns3:_x007a_yx0" minOccurs="0"/>
                <xsd:element ref="ns3:pcyz" minOccurs="0"/>
                <xsd:element ref="ns3:px3v" minOccurs="0"/>
                <xsd:element ref="ns3:kulx" minOccurs="0"/>
                <xsd:element ref="ns3:x5qz" minOccurs="0"/>
                <xsd:element ref="ns3:od0y" minOccurs="0"/>
                <xsd:element ref="ns3:n7ar" minOccurs="0"/>
                <xsd:element ref="ns3:o7f4" minOccurs="0"/>
                <xsd:element ref="ns3:l4rm" minOccurs="0"/>
                <xsd:element ref="ns3:_x0078_c55" minOccurs="0"/>
                <xsd:element ref="ns3:vhtm" minOccurs="0"/>
                <xsd:element ref="ns3:_x0078_hm6" minOccurs="0"/>
                <xsd:element ref="ns3:pgcl" minOccurs="0"/>
                <xsd:element ref="ns3:cmao" minOccurs="0"/>
                <xsd:element ref="ns3:xhtz" minOccurs="0"/>
                <xsd:element ref="ns3:p4dt" minOccurs="0"/>
                <xsd:element ref="ns3:l31q" minOccurs="0"/>
                <xsd:element ref="ns3:_x0076_om3" minOccurs="0"/>
                <xsd:element ref="ns3:pwni" minOccurs="0"/>
                <xsd:element ref="ns3:c67x" minOccurs="0"/>
                <xsd:element ref="ns3:_x0074_pi5" minOccurs="0"/>
                <xsd:element ref="ns3:_x0061_e55" minOccurs="0"/>
                <xsd:element ref="ns3:z8rl" minOccurs="0"/>
                <xsd:element ref="ns3:o3np" minOccurs="0"/>
                <xsd:element ref="ns3:Content_x0020_Owner" minOccurs="0"/>
                <xsd:element ref="ns3:Proposed_x0020_Dispositio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22ef0-b167-44f5-92f7-438fda0857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0edc2f-bbb2-4544-b28c-dd2e5feb1048" elementFormDefault="qualified">
    <xsd:import namespace="http://schemas.microsoft.com/office/2006/documentManagement/types"/>
    <xsd:import namespace="http://schemas.microsoft.com/office/infopath/2007/PartnerControls"/>
    <xsd:element name="P0000000000000000000000000000001" ma:index="11" nillable="true" ma:displayName="Accessibility" ma:internalName="P0000000000000000000000000000001"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0000000000000000000000000000002" ma:index="12" nillable="true" ma:displayName="Privacy" ma:internalName="P0000000000000000000000000000002"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Area" ma:index="16" nillable="true" ma:displayName="Area" ma:list="{d0953e8b-e9ef-49da-b194-6e57db96a53b}" ma:internalName="Area" ma:showField="Title">
      <xsd:simpleType>
        <xsd:restriction base="dms:Lookup"/>
      </xsd:simpleType>
    </xsd:element>
    <xsd:element name="_x0037__x002d_point_x0020_Memo" ma:index="17" nillable="true" ma:displayName="7-point Memo" ma:format="Dropdown" ma:indexed="true" ma:internalName="_x0037__x002d_point_x0020_Memo">
      <xsd:simpleType>
        <xsd:union memberTypes="dms:Text">
          <xsd:simpleType>
            <xsd:restriction base="dms:Choice">
              <xsd:enumeration value="Ready for Review"/>
              <xsd:enumeration value="Submitted"/>
              <xsd:enumeration value="Old Version"/>
            </xsd:restriction>
          </xsd:simpleType>
        </xsd:union>
      </xsd:simpleType>
    </xsd:element>
    <xsd:element name="Source" ma:index="20" nillable="true" ma:displayName="Source" ma:description="Where can we learn more about this proposal? Extend ARPA? In-house? OMB?" ma:internalName="Source">
      <xsd:simpleType>
        <xsd:restriction base="dms:Text">
          <xsd:maxLength value="255"/>
        </xsd:restriction>
      </xsd:simpleType>
    </xsd:element>
    <xsd:element name="_x007a_yx0" ma:index="21" nillable="true" ma:displayName="notes" ma:internalName="_x007a_yx0">
      <xsd:simpleType>
        <xsd:restriction base="dms:Text"/>
      </xsd:simpleType>
    </xsd:element>
    <xsd:element name="pcyz" ma:index="22" nillable="true" ma:displayName="Subject" ma:internalName="pcyz">
      <xsd:simpleType>
        <xsd:restriction base="dms:Text"/>
      </xsd:simpleType>
    </xsd:element>
    <xsd:element name="px3v" ma:index="23" nillable="true" ma:displayName="Class" ma:internalName="px3v">
      <xsd:simpleType>
        <xsd:restriction base="dms:Text"/>
      </xsd:simpleType>
    </xsd:element>
    <xsd:element name="kulx" ma:index="24" nillable="true" ma:displayName="Sub" ma:internalName="kulx">
      <xsd:simpleType>
        <xsd:restriction base="dms:Text"/>
      </xsd:simpleType>
    </xsd:element>
    <xsd:element name="x5qz" ma:index="25" nillable="true" ma:displayName="Stage" ma:internalName="x5qz">
      <xsd:simpleType>
        <xsd:restriction base="dms:Number"/>
      </xsd:simpleType>
    </xsd:element>
    <xsd:element name="od0y" ma:index="26" nillable="true" ma:displayName="OTP" ma:list="UserInfo" ma:internalName="od0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7ar" ma:index="27" nillable="true" ma:displayName="OTA" ma:list="UserInfo" ma:internalName="n7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7f4" ma:index="28" nillable="true" ma:displayName="OTA staff" ma:internalName="o7f4">
      <xsd:simpleType>
        <xsd:restriction base="dms:Text"/>
      </xsd:simpleType>
    </xsd:element>
    <xsd:element name="l4rm" ma:index="29" nillable="true" ma:displayName="OTP staff" ma:internalName="l4rm">
      <xsd:simpleType>
        <xsd:restriction base="dms:Text"/>
      </xsd:simpleType>
    </xsd:element>
    <xsd:element name="_x0078_c55" ma:index="30" nillable="true" ma:displayName="In/Out" ma:internalName="_x0078_c55">
      <xsd:simpleType>
        <xsd:restriction base="dms:Text"/>
      </xsd:simpleType>
    </xsd:element>
    <xsd:element name="vhtm" ma:index="31" nillable="true" ma:displayName="ID_work" ma:internalName="vhtm">
      <xsd:simpleType>
        <xsd:restriction base="dms:Text"/>
      </xsd:simpleType>
    </xsd:element>
    <xsd:element name="_x0078_hm6" ma:index="32" nillable="true" ma:displayName="znotes" ma:internalName="_x0078_hm6">
      <xsd:simpleType>
        <xsd:restriction base="dms:Text"/>
      </xsd:simpleType>
    </xsd:element>
    <xsd:element name="pgcl" ma:index="33" nillable="true" ma:displayName="last year" ma:internalName="pgcl">
      <xsd:simpleType>
        <xsd:restriction base="dms:Text"/>
      </xsd:simpleType>
    </xsd:element>
    <xsd:element name="cmao" ma:index="34" nillable="true" ma:displayName="ID_fixed" ma:internalName="cmao">
      <xsd:simpleType>
        <xsd:restriction base="dms:Text"/>
      </xsd:simpleType>
    </xsd:element>
    <xsd:element name="xhtz" ma:index="35" nillable="true" ma:displayName="Number" ma:internalName="xhtz">
      <xsd:simpleType>
        <xsd:restriction base="dms:Number"/>
      </xsd:simpleType>
    </xsd:element>
    <xsd:element name="p4dt" ma:index="36" nillable="true" ma:displayName="Section" ma:internalName="p4dt">
      <xsd:simpleType>
        <xsd:restriction base="dms:Text"/>
      </xsd:simpleType>
    </xsd:element>
    <xsd:element name="l31q" ma:index="37" nillable="true" ma:displayName="Text" ma:internalName="l31q">
      <xsd:simpleType>
        <xsd:restriction base="dms:Text"/>
      </xsd:simpleType>
    </xsd:element>
    <xsd:element name="_x0076_om3" ma:index="38" nillable="true" ma:displayName="Combo Name" ma:internalName="_x0076_om3">
      <xsd:simpleType>
        <xsd:restriction base="dms:Text"/>
      </xsd:simpleType>
    </xsd:element>
    <xsd:element name="pwni" ma:index="39" nillable="true" ma:displayName="Text" ma:internalName="pwni">
      <xsd:simpleType>
        <xsd:restriction base="dms:Text"/>
      </xsd:simpleType>
    </xsd:element>
    <xsd:element name="c67x" ma:index="40" nillable="true" ma:displayName="Review12" ma:internalName="c67x">
      <xsd:simpleType>
        <xsd:restriction base="dms:Text"/>
      </xsd:simpleType>
    </xsd:element>
    <xsd:element name="_x0074_pi5" ma:index="41" nillable="true" ma:displayName="Group" ma:internalName="_x0074_pi5">
      <xsd:simpleType>
        <xsd:restriction base="dms:Text"/>
      </xsd:simpleType>
    </xsd:element>
    <xsd:element name="_x0061_e55" ma:index="42" nillable="true" ma:displayName="IRC" ma:internalName="_x0061_e55">
      <xsd:simpleType>
        <xsd:restriction base="dms:Text"/>
      </xsd:simpleType>
    </xsd:element>
    <xsd:element name="z8rl" ma:index="43" nillable="true" ma:displayName="GB_25" ma:internalName="z8rl">
      <xsd:simpleType>
        <xsd:restriction base="dms:Number"/>
      </xsd:simpleType>
    </xsd:element>
    <xsd:element name="o3np" ma:index="44" nillable="true" ma:displayName="Old 10-yr Rev. Est." ma:internalName="o3np">
      <xsd:simpleType>
        <xsd:restriction base="dms:Text"/>
      </xsd:simpleType>
    </xsd:element>
    <xsd:element name="Content_x0020_Owner" ma:index="45" nillable="true" ma:displayName="Content Owner" ma:format="Dropdown" ma:internalName="Content_x0020_Owner">
      <xsd:simpleType>
        <xsd:restriction base="dms:Choice">
          <xsd:enumeration value="Management Office"/>
          <xsd:enumeration value="Front Office"/>
          <xsd:enumeration value="Climate"/>
          <xsd:enumeration value="Health"/>
          <xsd:enumeration value="OTA"/>
          <xsd:enumeration value="Greenbook"/>
          <xsd:enumeration value="TLC"/>
          <xsd:enumeration value="ITC General"/>
          <xsd:enumeration value="ITC Treaties"/>
          <xsd:enumeration value="BTC"/>
          <xsd:enumeration value="GAO"/>
          <xsd:enumeration value="QFR"/>
        </xsd:restriction>
      </xsd:simpleType>
    </xsd:element>
    <xsd:element name="Proposed_x0020_Disposition" ma:index="46" nillable="true" ma:displayName="Proposed Disposition" ma:format="Dropdown" ma:internalName="Proposed_x0020_Disposition">
      <xsd:simpleType>
        <xsd:restriction base="dms:Choice">
          <xsd:enumeration value="Keep"/>
          <xsd:enumeration value="Move"/>
          <xsd:enumeration value="Archive"/>
        </xsd:restriction>
      </xsd:simpleType>
    </xsd:element>
  </xsd:schema>
  <xsd:schema xmlns:xsd="http://www.w3.org/2001/XMLSchema" xmlns:xs="http://www.w3.org/2001/XMLSchema" xmlns:dms="http://schemas.microsoft.com/office/2006/documentManagement/types" xmlns:pc="http://schemas.microsoft.com/office/infopath/2007/PartnerControls" targetNamespace="f7f571d0-7c6a-4b47-a409-0f74acd1ea19"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be80d-e595-46b9-be3c-e61540003b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48aefb-b8d8-4fab-bcb9-853a08aa8268}" ma:internalName="TaxCatchAll" ma:showField="CatchAllData" ma:web="f7f571d0-7c6a-4b47-a409-0f74acd1ea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EF4BD-F5B9-4762-9F79-70EEC2233F6D}">
  <ds:schemaRefs>
    <ds:schemaRef ds:uri="http://schemas.microsoft.com/office/2006/metadata/properties"/>
    <ds:schemaRef ds:uri="http://schemas.microsoft.com/office/infopath/2007/PartnerControls"/>
    <ds:schemaRef ds:uri="720edc2f-bbb2-4544-b28c-dd2e5feb1048"/>
    <ds:schemaRef ds:uri="http://schemas.microsoft.com/sharepoint/v4"/>
    <ds:schemaRef ds:uri="f7f571d0-7c6a-4b47-a409-0f74acd1ea19"/>
    <ds:schemaRef ds:uri="5edbe80d-e595-46b9-be3c-e61540003b6e"/>
    <ds:schemaRef ds:uri="52222ef0-b167-44f5-92f7-438fda0857cd"/>
  </ds:schemaRefs>
</ds:datastoreItem>
</file>

<file path=customXml/itemProps2.xml><?xml version="1.0" encoding="utf-8"?>
<ds:datastoreItem xmlns:ds="http://schemas.openxmlformats.org/officeDocument/2006/customXml" ds:itemID="{5916EF91-C409-4657-892D-AB3F27DD2E1B}">
  <ds:schemaRefs>
    <ds:schemaRef ds:uri="http://schemas.microsoft.com/sharepoint/events"/>
  </ds:schemaRefs>
</ds:datastoreItem>
</file>

<file path=customXml/itemProps3.xml><?xml version="1.0" encoding="utf-8"?>
<ds:datastoreItem xmlns:ds="http://schemas.openxmlformats.org/officeDocument/2006/customXml" ds:itemID="{428CF2DA-E2F4-41D9-8D6D-A94FD5CA799B}">
  <ds:schemaRefs>
    <ds:schemaRef ds:uri="http://schemas.microsoft.com/sharepoint/v3/contenttype/forms"/>
  </ds:schemaRefs>
</ds:datastoreItem>
</file>

<file path=customXml/itemProps4.xml><?xml version="1.0" encoding="utf-8"?>
<ds:datastoreItem xmlns:ds="http://schemas.openxmlformats.org/officeDocument/2006/customXml" ds:itemID="{D7A39B22-59DF-4AE8-B92F-9C03D51CC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22ef0-b167-44f5-92f7-438fda0857cd"/>
    <ds:schemaRef ds:uri="720edc2f-bbb2-4544-b28c-dd2e5feb1048"/>
    <ds:schemaRef ds:uri="f7f571d0-7c6a-4b47-a409-0f74acd1ea19"/>
    <ds:schemaRef ds:uri="5edbe80d-e595-46b9-be3c-e61540003b6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EA89A2-E75B-42A5-8D3E-3B049F44F2E1}">
  <ds:schemaRefs>
    <ds:schemaRef ds:uri="http://schemas.openxmlformats.org/officeDocument/2006/bibliography"/>
  </ds:schemaRefs>
</ds:datastoreItem>
</file>

<file path=docMetadata/LabelInfo.xml><?xml version="1.0" encoding="utf-8"?>
<clbl:labelList xmlns:clbl="http://schemas.microsoft.com/office/2020/mipLabelMetadata">
  <clbl:label id="{f2372b85-8802-490c-b196-7b96c73fee3b}" enabled="0" method="" siteId="{f2372b85-8802-490c-b196-7b96c73fee3b}" removed="1"/>
</clbl:labelList>
</file>

<file path=docProps/app.xml><?xml version="1.0" encoding="utf-8"?>
<Properties xmlns="http://schemas.openxmlformats.org/officeDocument/2006/extended-properties" xmlns:vt="http://schemas.openxmlformats.org/officeDocument/2006/docPropsVTypes">
  <Template>Normal</Template>
  <TotalTime>8</TotalTime>
  <Pages>7</Pages>
  <Words>2526</Words>
  <Characters>13693</Characters>
  <Application>Microsoft Office Word</Application>
  <DocSecurity>0</DocSecurity>
  <Lines>414</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Schoonmaker Jason M</dc:creator>
  <cp:lastModifiedBy>Stasko Molly J</cp:lastModifiedBy>
  <cp:revision>3</cp:revision>
  <dcterms:created xsi:type="dcterms:W3CDTF">2026-09-30T15:10:00Z</dcterms:created>
  <dcterms:modified xsi:type="dcterms:W3CDTF">2026-10-01T13:25:00Z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0x0101006C86E40227E8D240B4E9120A1B209148</vt:lpwstr>
  </property>
  <property fmtid="{D5CDD505-2E9C-101B-9397-08002B2CF9AE}" pid="3" name="TaxKeyword">
    <vt:lpwstr/>
  </property>
  <property fmtid="{D5CDD505-2E9C-101B-9397-08002B2CF9AE}" pid="4" name="_dlc_DocIdItemGuid">
    <vt:lpwstr>7c41ebd2-a5b0-4780-87be-b160e7f662f7</vt:lpwstr>
  </property>
</Properties>
</file>