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534DD" w:rsidP="00DD423C" w14:paraId="1C2783E3" w14:textId="77777777">
      <w:pPr>
        <w:jc w:val="center"/>
      </w:pPr>
      <w:r>
        <w:t>S</w:t>
      </w:r>
      <w:r w:rsidR="00CF1BD4">
        <w:t xml:space="preserve">upporting </w:t>
      </w:r>
      <w:r>
        <w:t>Statement - Part A</w:t>
      </w:r>
    </w:p>
    <w:p w:rsidR="00CF1BD4" w14:paraId="32FB6964" w14:textId="77777777">
      <w:pPr>
        <w:jc w:val="center"/>
      </w:pPr>
      <w:r>
        <w:t xml:space="preserve">New Markets Tax Credit Program </w:t>
      </w:r>
    </w:p>
    <w:p w:rsidR="004622F4" w14:paraId="7206F791" w14:textId="77777777">
      <w:pPr>
        <w:jc w:val="center"/>
      </w:pPr>
      <w:r w:rsidRPr="005534DD">
        <w:t>Allocation</w:t>
      </w:r>
      <w:r w:rsidRPr="005534DD" w:rsidR="003E7B5C">
        <w:t xml:space="preserve"> and QEI </w:t>
      </w:r>
      <w:r w:rsidRPr="005534DD">
        <w:t>Tracking System Module and QEI Closeout Report</w:t>
      </w:r>
    </w:p>
    <w:p w:rsidR="00CF1BD4" w14:paraId="10547881" w14:textId="77777777">
      <w:pPr>
        <w:jc w:val="center"/>
      </w:pPr>
      <w:r w:rsidRPr="00A42EE9">
        <w:rPr>
          <w:rFonts w:eastAsia="Calibri"/>
          <w:szCs w:val="24"/>
        </w:rPr>
        <w:t xml:space="preserve">OMB Control Number </w:t>
      </w:r>
      <w:r w:rsidR="0008650B">
        <w:t>1559-0024</w:t>
      </w:r>
    </w:p>
    <w:p w:rsidR="003E7B5C" w14:paraId="139FA609" w14:textId="77777777">
      <w:pPr>
        <w:jc w:val="center"/>
      </w:pPr>
    </w:p>
    <w:p w:rsidR="00CF1BD4" w14:paraId="6EB17172" w14:textId="77777777">
      <w:pPr>
        <w:pStyle w:val="Heading1"/>
      </w:pPr>
      <w:r>
        <w:t>A.  Justification</w:t>
      </w:r>
    </w:p>
    <w:p w:rsidR="00CF1BD4" w14:paraId="285A1BE0" w14:textId="77777777"/>
    <w:p w:rsidR="00CF1BD4" w14:paraId="23EC24C9" w14:textId="4B1E7ED8">
      <w:r>
        <w:rPr>
          <w:u w:val="single"/>
        </w:rPr>
        <w:t>1</w:t>
      </w:r>
      <w:r w:rsidR="003126D5">
        <w:rPr>
          <w:u w:val="single"/>
        </w:rPr>
        <w:t>. Circumstances</w:t>
      </w:r>
      <w:r>
        <w:rPr>
          <w:u w:val="single"/>
        </w:rPr>
        <w:t xml:space="preserve"> necessitating collection of information</w:t>
      </w:r>
    </w:p>
    <w:p w:rsidR="007A33DA" w:rsidP="003E7B5C" w14:paraId="1D81977A" w14:textId="77777777">
      <w:pPr>
        <w:rPr>
          <w:szCs w:val="24"/>
        </w:rPr>
      </w:pPr>
      <w:r w:rsidRPr="00770C16">
        <w:rPr>
          <w:szCs w:val="24"/>
        </w:rPr>
        <w:t>Title I, subtitle C, section 121 of the Community Renewal Tax Relief Act of 2000 (the Act), as enacted by section 1(a)(7) of the Consolidated Appropriations Act, 2001 (Pub. L. 106</w:t>
      </w:r>
      <w:r>
        <w:rPr>
          <w:szCs w:val="24"/>
        </w:rPr>
        <w:t>-</w:t>
      </w:r>
      <w:r w:rsidRPr="00770C16">
        <w:rPr>
          <w:szCs w:val="24"/>
        </w:rPr>
        <w:t xml:space="preserve">554, December 21, 2000), amended the Internal Revenue Code (IRC) by adding IRC §45D, New Markets Tax Credit. </w:t>
      </w:r>
      <w:r>
        <w:rPr>
          <w:szCs w:val="24"/>
        </w:rPr>
        <w:t xml:space="preserve"> </w:t>
      </w:r>
      <w:r w:rsidRPr="00770C16">
        <w:rPr>
          <w:szCs w:val="24"/>
        </w:rPr>
        <w:t xml:space="preserve">Pursuant to IRC §45D, the Department of the Treasury, through the CDFI Fund, administers the NMTC Program, which provides an incentive to investors in the form of tax credits over seven years and stimulates the provision of private investment capital that, in turn, facilitates economic and community development in low-income communities. </w:t>
      </w:r>
      <w:r>
        <w:rPr>
          <w:szCs w:val="24"/>
        </w:rPr>
        <w:t xml:space="preserve"> </w:t>
      </w:r>
    </w:p>
    <w:p w:rsidR="007A33DA" w:rsidP="003E7B5C" w14:paraId="6DF98495" w14:textId="77777777">
      <w:pPr>
        <w:rPr>
          <w:szCs w:val="24"/>
        </w:rPr>
      </w:pPr>
    </w:p>
    <w:p w:rsidR="007A33DA" w:rsidP="003E7B5C" w14:paraId="3DEC1451" w14:textId="77777777">
      <w:pPr>
        <w:rPr>
          <w:szCs w:val="24"/>
        </w:rPr>
      </w:pPr>
      <w:r w:rsidRPr="00770C16">
        <w:rPr>
          <w:szCs w:val="24"/>
        </w:rPr>
        <w:t xml:space="preserve">In order to qualify for an allocation of NMTC </w:t>
      </w:r>
      <w:r>
        <w:rPr>
          <w:szCs w:val="24"/>
        </w:rPr>
        <w:t xml:space="preserve">Program </w:t>
      </w:r>
      <w:r w:rsidRPr="00770C16">
        <w:rPr>
          <w:szCs w:val="24"/>
        </w:rPr>
        <w:t xml:space="preserve">authority, an entity must be certified as a qualified Community Development Entity and submit an allocation application to the CDFI Fund. </w:t>
      </w:r>
      <w:r>
        <w:rPr>
          <w:szCs w:val="24"/>
        </w:rPr>
        <w:t xml:space="preserve"> </w:t>
      </w:r>
      <w:r w:rsidRPr="00770C16">
        <w:rPr>
          <w:szCs w:val="24"/>
        </w:rPr>
        <w:t>Upon receipt of such applications, the CDFI Fund conducts a competitive review process to evaluate applications for the receipt of NMTC</w:t>
      </w:r>
      <w:r>
        <w:rPr>
          <w:szCs w:val="24"/>
        </w:rPr>
        <w:t xml:space="preserve"> Program</w:t>
      </w:r>
      <w:r w:rsidRPr="00770C16">
        <w:rPr>
          <w:szCs w:val="24"/>
        </w:rPr>
        <w:t xml:space="preserve"> allocations. </w:t>
      </w:r>
      <w:r>
        <w:rPr>
          <w:szCs w:val="24"/>
        </w:rPr>
        <w:t xml:space="preserve"> </w:t>
      </w:r>
      <w:r w:rsidRPr="00770C16">
        <w:rPr>
          <w:szCs w:val="24"/>
        </w:rPr>
        <w:t xml:space="preserve">Entities selected to receive an NMTC </w:t>
      </w:r>
      <w:r>
        <w:rPr>
          <w:szCs w:val="24"/>
        </w:rPr>
        <w:t xml:space="preserve">Program </w:t>
      </w:r>
      <w:r w:rsidRPr="00770C16">
        <w:rPr>
          <w:szCs w:val="24"/>
        </w:rPr>
        <w:t xml:space="preserve">allocation must enter into an </w:t>
      </w:r>
      <w:r>
        <w:rPr>
          <w:szCs w:val="24"/>
        </w:rPr>
        <w:t>Allocation Agreement</w:t>
      </w:r>
      <w:r w:rsidRPr="00770C16">
        <w:rPr>
          <w:szCs w:val="24"/>
        </w:rPr>
        <w:t xml:space="preserve"> with the CDFI Fund. </w:t>
      </w:r>
      <w:r>
        <w:rPr>
          <w:szCs w:val="24"/>
        </w:rPr>
        <w:t xml:space="preserve"> </w:t>
      </w:r>
      <w:r w:rsidRPr="00770C16">
        <w:rPr>
          <w:szCs w:val="24"/>
        </w:rPr>
        <w:t xml:space="preserve">The </w:t>
      </w:r>
      <w:r>
        <w:rPr>
          <w:szCs w:val="24"/>
        </w:rPr>
        <w:t>Allocation Agreement</w:t>
      </w:r>
      <w:r w:rsidRPr="00770C16">
        <w:rPr>
          <w:szCs w:val="24"/>
        </w:rPr>
        <w:t xml:space="preserve"> contains the terms and conditions, including all reporting requirements, associated with the receipt of </w:t>
      </w:r>
      <w:r w:rsidRPr="00770C16">
        <w:rPr>
          <w:szCs w:val="24"/>
        </w:rPr>
        <w:t>a NMTC</w:t>
      </w:r>
      <w:r>
        <w:rPr>
          <w:szCs w:val="24"/>
        </w:rPr>
        <w:t xml:space="preserve"> Program</w:t>
      </w:r>
      <w:r w:rsidRPr="00770C16">
        <w:rPr>
          <w:szCs w:val="24"/>
        </w:rPr>
        <w:t xml:space="preserve"> allocation. </w:t>
      </w:r>
      <w:r>
        <w:rPr>
          <w:szCs w:val="24"/>
        </w:rPr>
        <w:t xml:space="preserve"> </w:t>
      </w:r>
    </w:p>
    <w:p w:rsidR="007A33DA" w:rsidP="003E7B5C" w14:paraId="2C8EB9D7" w14:textId="77777777">
      <w:pPr>
        <w:rPr>
          <w:szCs w:val="24"/>
        </w:rPr>
      </w:pPr>
    </w:p>
    <w:p w:rsidR="002F137F" w:rsidP="009424A4" w14:paraId="251F2BF4" w14:textId="06D5B0B3">
      <w:r w:rsidRPr="00770C16">
        <w:rPr>
          <w:szCs w:val="24"/>
        </w:rPr>
        <w:t xml:space="preserve">The CDFI Fund requires each </w:t>
      </w:r>
      <w:r>
        <w:rPr>
          <w:szCs w:val="24"/>
        </w:rPr>
        <w:t>Allocatee</w:t>
      </w:r>
      <w:r w:rsidRPr="00770C16">
        <w:rPr>
          <w:szCs w:val="24"/>
        </w:rPr>
        <w:t xml:space="preserve"> to use an electronic data collection and submission system, known as the Allocation</w:t>
      </w:r>
      <w:r>
        <w:rPr>
          <w:szCs w:val="24"/>
        </w:rPr>
        <w:t xml:space="preserve"> and Qualified Equity Investment</w:t>
      </w:r>
      <w:r w:rsidRPr="00770C16">
        <w:rPr>
          <w:szCs w:val="24"/>
        </w:rPr>
        <w:t xml:space="preserve"> Tracking System (A</w:t>
      </w:r>
      <w:r>
        <w:rPr>
          <w:szCs w:val="24"/>
        </w:rPr>
        <w:t>QEI</w:t>
      </w:r>
      <w:r w:rsidRPr="00770C16">
        <w:rPr>
          <w:szCs w:val="24"/>
        </w:rPr>
        <w:t>), to report on the information related to its receipt of a Qualified Equity Investment</w:t>
      </w:r>
      <w:r w:rsidR="009424A4">
        <w:rPr>
          <w:szCs w:val="24"/>
        </w:rPr>
        <w:t xml:space="preserve"> (QEI)</w:t>
      </w:r>
      <w:r w:rsidRPr="00770C16">
        <w:rPr>
          <w:szCs w:val="24"/>
        </w:rPr>
        <w:t>.</w:t>
      </w:r>
      <w:r w:rsidR="009424A4">
        <w:rPr>
          <w:szCs w:val="24"/>
        </w:rPr>
        <w:t xml:space="preserve"> QEI </w:t>
      </w:r>
      <w:r>
        <w:rPr>
          <w:szCs w:val="24"/>
        </w:rPr>
        <w:t xml:space="preserve">are </w:t>
      </w:r>
      <w:r w:rsidRPr="009424A4" w:rsidR="009424A4">
        <w:rPr>
          <w:szCs w:val="24"/>
        </w:rPr>
        <w:t>actual cash investment made by the investor to the CDE</w:t>
      </w:r>
      <w:r w:rsidR="009424A4">
        <w:rPr>
          <w:szCs w:val="24"/>
        </w:rPr>
        <w:t xml:space="preserve">. </w:t>
      </w:r>
      <w:r w:rsidRPr="009424A4" w:rsidR="009424A4">
        <w:rPr>
          <w:szCs w:val="24"/>
        </w:rPr>
        <w:t>This cash investment</w:t>
      </w:r>
      <w:r w:rsidR="006F1BCE">
        <w:rPr>
          <w:szCs w:val="24"/>
        </w:rPr>
        <w:t xml:space="preserve"> </w:t>
      </w:r>
      <w:r w:rsidRPr="009424A4" w:rsidR="009424A4">
        <w:rPr>
          <w:szCs w:val="24"/>
        </w:rPr>
        <w:t>eventually qualifies for the NMTC provided that the CDE makes qualified low</w:t>
      </w:r>
      <w:r w:rsidR="009424A4">
        <w:rPr>
          <w:szCs w:val="24"/>
        </w:rPr>
        <w:t>-</w:t>
      </w:r>
      <w:r w:rsidRPr="009424A4" w:rsidR="009424A4">
        <w:rPr>
          <w:szCs w:val="24"/>
        </w:rPr>
        <w:t>income</w:t>
      </w:r>
      <w:r w:rsidR="006F1BCE">
        <w:rPr>
          <w:szCs w:val="24"/>
        </w:rPr>
        <w:t xml:space="preserve"> </w:t>
      </w:r>
      <w:r w:rsidRPr="009424A4" w:rsidR="009424A4">
        <w:rPr>
          <w:szCs w:val="24"/>
        </w:rPr>
        <w:t>community investments (QLICIs)</w:t>
      </w:r>
      <w:r>
        <w:rPr>
          <w:szCs w:val="24"/>
        </w:rPr>
        <w:t>.</w:t>
      </w:r>
      <w:r>
        <w:t xml:space="preserve"> </w:t>
      </w:r>
      <w:r w:rsidRPr="002F137F">
        <w:t xml:space="preserve">Within 60 calendar days after the date that a taxpayer makes an </w:t>
      </w:r>
      <w:r>
        <w:t>e</w:t>
      </w:r>
      <w:r w:rsidRPr="002F137F">
        <w:t xml:space="preserve">quity </w:t>
      </w:r>
      <w:r>
        <w:t>i</w:t>
      </w:r>
      <w:r w:rsidRPr="002F137F">
        <w:t xml:space="preserve">nvestment in the </w:t>
      </w:r>
      <w:r>
        <w:t>CDE</w:t>
      </w:r>
      <w:r w:rsidRPr="002F137F">
        <w:t xml:space="preserve"> and provided that the </w:t>
      </w:r>
      <w:r>
        <w:t>CDE</w:t>
      </w:r>
      <w:r w:rsidRPr="002F137F">
        <w:t xml:space="preserve"> designates such investment as a Qualified Equity Investment, the Allocatee shall notify the CDFI Fund </w:t>
      </w:r>
      <w:r>
        <w:t>via the AQEI.</w:t>
      </w:r>
      <w:r w:rsidRPr="002F137F">
        <w:t xml:space="preserve"> Such notice shall contain, but not be limited to, the following</w:t>
      </w:r>
      <w:r>
        <w:t>:</w:t>
      </w:r>
    </w:p>
    <w:p w:rsidR="002F137F" w:rsidP="009424A4" w14:paraId="30DD250B" w14:textId="0BF69047"/>
    <w:p w:rsidR="002F137F" w:rsidP="00683EC0" w14:paraId="3FA14545" w14:textId="28C1FAE5">
      <w:pPr>
        <w:pStyle w:val="ListParagraph"/>
        <w:numPr>
          <w:ilvl w:val="0"/>
          <w:numId w:val="19"/>
        </w:numPr>
      </w:pPr>
      <w:r w:rsidRPr="002F137F">
        <w:t xml:space="preserve">The identification of each taxpayer (including, but not limited to, the name, taxpayer identification number, and address of the investment entity and any partners, members, or other legal entities comprising such investment entity) entitled to claim a NMTC as the result of a </w:t>
      </w:r>
      <w:r>
        <w:t>QEI</w:t>
      </w:r>
      <w:r w:rsidRPr="002F137F">
        <w:t xml:space="preserve"> designated by the </w:t>
      </w:r>
      <w:r>
        <w:t>CDE</w:t>
      </w:r>
      <w:r w:rsidRPr="002F137F">
        <w:t xml:space="preserve">; and </w:t>
      </w:r>
    </w:p>
    <w:p w:rsidR="002F137F" w:rsidP="00683EC0" w14:paraId="4347FBE9" w14:textId="1C25DF72">
      <w:pPr>
        <w:pStyle w:val="ListParagraph"/>
        <w:numPr>
          <w:ilvl w:val="0"/>
          <w:numId w:val="19"/>
        </w:numPr>
      </w:pPr>
      <w:r w:rsidRPr="002F137F">
        <w:t xml:space="preserve">The form, date and dollar amount of Qualified Equity Investments issued by the </w:t>
      </w:r>
      <w:r>
        <w:t>CDE</w:t>
      </w:r>
      <w:r w:rsidRPr="002F137F">
        <w:t>.</w:t>
      </w:r>
    </w:p>
    <w:p w:rsidR="00CF1BD4" w14:paraId="224B5B12" w14:textId="77777777"/>
    <w:p w:rsidR="00CF1BD4" w14:paraId="2F8B26CD" w14:textId="68CED51C">
      <w:pPr>
        <w:rPr>
          <w:u w:val="single"/>
        </w:rPr>
      </w:pPr>
      <w:r>
        <w:rPr>
          <w:u w:val="single"/>
        </w:rPr>
        <w:t>2</w:t>
      </w:r>
      <w:r w:rsidR="003126D5">
        <w:rPr>
          <w:u w:val="single"/>
        </w:rPr>
        <w:t xml:space="preserve">. </w:t>
      </w:r>
      <w:r w:rsidR="0097209B">
        <w:rPr>
          <w:u w:val="single"/>
        </w:rPr>
        <w:t>Purpose and Use of the Information Collection</w:t>
      </w:r>
    </w:p>
    <w:p w:rsidR="00CF1BD4" w14:paraId="085C5F0B" w14:textId="78FCEA14">
      <w:r>
        <w:t>The data will be collected electronically by mandatory submission from those entities that have received a</w:t>
      </w:r>
      <w:r w:rsidR="00931BF7">
        <w:t>n</w:t>
      </w:r>
      <w:r>
        <w:t xml:space="preserve"> NMTC allocation award. </w:t>
      </w:r>
      <w:r w:rsidR="0097209B">
        <w:rPr>
          <w:szCs w:val="24"/>
        </w:rPr>
        <w:t>The CDFI Fund developed the AQEI</w:t>
      </w:r>
      <w:r w:rsidRPr="00770C16" w:rsidR="0097209B">
        <w:rPr>
          <w:szCs w:val="24"/>
        </w:rPr>
        <w:t xml:space="preserve"> to, among other things: (1) </w:t>
      </w:r>
      <w:r w:rsidR="0097209B">
        <w:rPr>
          <w:szCs w:val="24"/>
        </w:rPr>
        <w:t>e</w:t>
      </w:r>
      <w:r w:rsidRPr="00770C16" w:rsidR="0097209B">
        <w:rPr>
          <w:szCs w:val="24"/>
        </w:rPr>
        <w:t xml:space="preserve">nhance the </w:t>
      </w:r>
      <w:r w:rsidR="0097209B">
        <w:rPr>
          <w:szCs w:val="24"/>
        </w:rPr>
        <w:t>Allocatee</w:t>
      </w:r>
      <w:r w:rsidRPr="00770C16" w:rsidR="0097209B">
        <w:rPr>
          <w:szCs w:val="24"/>
        </w:rPr>
        <w:t xml:space="preserve">’s ability to report to the CDFI Fund timely information regarding the issuance of its Qualified Equity Investments; (2) enhance the CDFI Fund’s ability to monitor the issuance of Qualified Equity Investments to ensure that no </w:t>
      </w:r>
      <w:r w:rsidR="0097209B">
        <w:rPr>
          <w:szCs w:val="24"/>
        </w:rPr>
        <w:t>Allocatee</w:t>
      </w:r>
      <w:r w:rsidRPr="00770C16" w:rsidR="0097209B">
        <w:rPr>
          <w:szCs w:val="24"/>
        </w:rPr>
        <w:t xml:space="preserve"> exceeds its allocation authority and to ensure that Qualified Equity Investments are issued within the </w:t>
      </w:r>
      <w:r w:rsidRPr="00770C16" w:rsidR="0097209B">
        <w:rPr>
          <w:szCs w:val="24"/>
        </w:rPr>
        <w:t>timeframes requir</w:t>
      </w:r>
      <w:r w:rsidR="0097209B">
        <w:rPr>
          <w:szCs w:val="24"/>
        </w:rPr>
        <w:t>ed by the Allocation A</w:t>
      </w:r>
      <w:r w:rsidRPr="00770C16" w:rsidR="0097209B">
        <w:rPr>
          <w:szCs w:val="24"/>
        </w:rPr>
        <w:t xml:space="preserve">greement and IRC §45D; (3) provide the CDFI Fund with basic investor data </w:t>
      </w:r>
      <w:r w:rsidR="0097209B">
        <w:rPr>
          <w:szCs w:val="24"/>
        </w:rPr>
        <w:t>that</w:t>
      </w:r>
      <w:r w:rsidRPr="00770C16" w:rsidR="0097209B">
        <w:rPr>
          <w:szCs w:val="24"/>
        </w:rPr>
        <w:t xml:space="preserve"> </w:t>
      </w:r>
      <w:r w:rsidR="0097209B">
        <w:rPr>
          <w:szCs w:val="24"/>
        </w:rPr>
        <w:t>can</w:t>
      </w:r>
      <w:r w:rsidRPr="00770C16" w:rsidR="0097209B">
        <w:rPr>
          <w:szCs w:val="24"/>
        </w:rPr>
        <w:t xml:space="preserve"> be aggregated and analyzed in connection with NMTC </w:t>
      </w:r>
      <w:r w:rsidR="0097209B">
        <w:rPr>
          <w:szCs w:val="24"/>
        </w:rPr>
        <w:t xml:space="preserve">Program evaluation efforts; and (4) </w:t>
      </w:r>
      <w:r w:rsidRPr="00770C16" w:rsidR="0097209B">
        <w:rPr>
          <w:szCs w:val="24"/>
        </w:rPr>
        <w:t>p</w:t>
      </w:r>
      <w:r w:rsidR="0097209B">
        <w:rPr>
          <w:szCs w:val="24"/>
        </w:rPr>
        <w:t>rovide the CDFI Fund with information about the status of Qualified Active Low-Income Community Businesses and Qualified Low-Income Community Investments at the end of the tax credit compliance period</w:t>
      </w:r>
      <w:r w:rsidRPr="003E7B5C" w:rsidR="0097209B">
        <w:t>.</w:t>
      </w:r>
    </w:p>
    <w:p w:rsidR="00CF1BD4" w14:paraId="5AB6D0EE" w14:textId="77777777">
      <w:pPr>
        <w:jc w:val="both"/>
      </w:pPr>
    </w:p>
    <w:p w:rsidR="00CF1BD4" w14:paraId="327A338C" w14:textId="77777777">
      <w:pPr>
        <w:jc w:val="both"/>
        <w:rPr>
          <w:u w:val="single"/>
        </w:rPr>
      </w:pPr>
      <w:r>
        <w:rPr>
          <w:u w:val="single"/>
        </w:rPr>
        <w:t>3. Use of Information Technology</w:t>
      </w:r>
    </w:p>
    <w:p w:rsidR="00CF1BD4" w14:paraId="151849B8" w14:textId="6F100884">
      <w:pPr>
        <w:pStyle w:val="Header"/>
        <w:tabs>
          <w:tab w:val="clear" w:pos="4320"/>
          <w:tab w:val="clear" w:pos="8640"/>
        </w:tabs>
      </w:pPr>
      <w:r w:rsidRPr="00A42EE9">
        <w:rPr>
          <w:rFonts w:eastAsia="Calibri"/>
          <w:color w:val="000000"/>
          <w:szCs w:val="24"/>
        </w:rPr>
        <w:t xml:space="preserve">The CDFI Fund will collect information electronically and/or use online collaboration tools to reduce </w:t>
      </w:r>
      <w:r w:rsidRPr="005534DD">
        <w:rPr>
          <w:rFonts w:eastAsia="Calibri"/>
          <w:color w:val="000000"/>
          <w:szCs w:val="24"/>
        </w:rPr>
        <w:t>burden</w:t>
      </w:r>
      <w:r w:rsidRPr="005534DD">
        <w:t xml:space="preserve">. </w:t>
      </w:r>
      <w:r w:rsidR="008D04EE">
        <w:t xml:space="preserve">The </w:t>
      </w:r>
      <w:r w:rsidRPr="005534DD" w:rsidR="0076422A">
        <w:t xml:space="preserve">AQEI module </w:t>
      </w:r>
      <w:r w:rsidRPr="005534DD" w:rsidR="004622F4">
        <w:t>and QEI Closeout</w:t>
      </w:r>
      <w:r w:rsidR="004622F4">
        <w:t xml:space="preserve"> Report module </w:t>
      </w:r>
      <w:r>
        <w:t xml:space="preserve">will be made available on the CDFI Fund’s website, via a secure Internet portal that requires password entry.  The CDFI Fund will only accept data using the electronic method set forth in </w:t>
      </w:r>
      <w:r w:rsidR="0076422A">
        <w:t>the AQEI</w:t>
      </w:r>
      <w:r w:rsidRPr="00D30FCF" w:rsidR="00D30FCF">
        <w:t xml:space="preserve"> and QEI Closeout Report module</w:t>
      </w:r>
      <w:r>
        <w:t xml:space="preserve">. </w:t>
      </w:r>
    </w:p>
    <w:p w:rsidR="00CF1BD4" w14:paraId="5FD0D2BC" w14:textId="77777777">
      <w:pPr>
        <w:jc w:val="both"/>
      </w:pPr>
    </w:p>
    <w:p w:rsidR="00CF1BD4" w14:paraId="69316DA8" w14:textId="2F266162">
      <w:pPr>
        <w:jc w:val="both"/>
        <w:rPr>
          <w:u w:val="single"/>
        </w:rPr>
      </w:pPr>
      <w:r>
        <w:rPr>
          <w:u w:val="single"/>
        </w:rPr>
        <w:t>4</w:t>
      </w:r>
      <w:r w:rsidR="003126D5">
        <w:rPr>
          <w:u w:val="single"/>
        </w:rPr>
        <w:t>. Efforts</w:t>
      </w:r>
      <w:r>
        <w:rPr>
          <w:u w:val="single"/>
        </w:rPr>
        <w:t xml:space="preserve"> to identify duplication</w:t>
      </w:r>
    </w:p>
    <w:p w:rsidR="00CF1BD4" w14:paraId="2848AD6F" w14:textId="77777777">
      <w:r>
        <w:t>AQEI module and QEI Closeout Report modules do not duplicate any other CDFI Fund or Federal program information gathering tool.</w:t>
      </w:r>
    </w:p>
    <w:p w:rsidR="0071312C" w14:paraId="07324848" w14:textId="77777777">
      <w:pPr>
        <w:rPr>
          <w:u w:val="single"/>
        </w:rPr>
      </w:pPr>
    </w:p>
    <w:p w:rsidR="00CF1BD4" w14:paraId="2F0B942D" w14:textId="1C6352D3">
      <w:pPr>
        <w:rPr>
          <w:u w:val="single"/>
        </w:rPr>
      </w:pPr>
      <w:r>
        <w:rPr>
          <w:u w:val="single"/>
        </w:rPr>
        <w:t>5</w:t>
      </w:r>
      <w:r w:rsidR="003126D5">
        <w:rPr>
          <w:u w:val="single"/>
        </w:rPr>
        <w:t xml:space="preserve">. </w:t>
      </w:r>
      <w:r w:rsidR="00397269">
        <w:rPr>
          <w:u w:val="single"/>
        </w:rPr>
        <w:t>Reducing the Burden on Small Entities</w:t>
      </w:r>
    </w:p>
    <w:p w:rsidR="00CF1BD4" w:rsidRPr="00683EC0" w14:paraId="3F09D28C" w14:textId="0338DE8A">
      <w:r w:rsidRPr="00683EC0">
        <w:t xml:space="preserve">Burden cannot be reduced further for small entities because it is already tailored </w:t>
      </w:r>
      <w:r w:rsidRPr="00683EC0" w:rsidR="00D25FDB">
        <w:t xml:space="preserve">to the </w:t>
      </w:r>
      <w:r w:rsidRPr="00683EC0">
        <w:t>needs</w:t>
      </w:r>
      <w:r w:rsidRPr="00683EC0" w:rsidR="00D25FDB">
        <w:t xml:space="preserve"> of CDFIs</w:t>
      </w:r>
      <w:r w:rsidRPr="00683EC0" w:rsidR="009D2CE9">
        <w:t xml:space="preserve"> and the Act does not allow further </w:t>
      </w:r>
      <w:r w:rsidRPr="00683EC0" w:rsidR="00B06FE6">
        <w:t xml:space="preserve">small entity </w:t>
      </w:r>
      <w:r w:rsidRPr="00683EC0" w:rsidR="009D2CE9">
        <w:t>flexibility</w:t>
      </w:r>
      <w:r w:rsidRPr="00683EC0">
        <w:t>.</w:t>
      </w:r>
    </w:p>
    <w:p w:rsidR="00F50D91" w14:paraId="3A907675" w14:textId="77777777">
      <w:pPr>
        <w:rPr>
          <w:u w:val="single"/>
        </w:rPr>
      </w:pPr>
    </w:p>
    <w:p w:rsidR="00CF1BD4" w14:paraId="76DF0884" w14:textId="42F1BD35">
      <w:pPr>
        <w:rPr>
          <w:u w:val="single"/>
        </w:rPr>
      </w:pPr>
      <w:r>
        <w:rPr>
          <w:u w:val="single"/>
        </w:rPr>
        <w:t>6</w:t>
      </w:r>
      <w:r w:rsidR="003126D5">
        <w:rPr>
          <w:u w:val="single"/>
        </w:rPr>
        <w:t>. Consequences</w:t>
      </w:r>
      <w:r>
        <w:rPr>
          <w:u w:val="single"/>
        </w:rPr>
        <w:t xml:space="preserve"> of less frequent collection and obstacles to burden reduction</w:t>
      </w:r>
    </w:p>
    <w:p w:rsidR="00CF1BD4" w14:paraId="6556B0FA" w14:textId="77777777">
      <w:r>
        <w:t>The CDFI Fund cannot administer the NMTC Program, monitor timely usage of tax credit allocation</w:t>
      </w:r>
      <w:r w:rsidR="005534DD">
        <w:t>s</w:t>
      </w:r>
      <w:r>
        <w:t xml:space="preserve">, and fulfill its statutory obligations without the collection of data through </w:t>
      </w:r>
      <w:r w:rsidR="00D30FCF">
        <w:t xml:space="preserve">the </w:t>
      </w:r>
      <w:r w:rsidRPr="00D30FCF" w:rsidR="00D30FCF">
        <w:t>AQEI module and QEI Closeout Report module</w:t>
      </w:r>
      <w:r>
        <w:t xml:space="preserve">. </w:t>
      </w:r>
    </w:p>
    <w:p w:rsidR="00CF1BD4" w14:paraId="49D05EEE" w14:textId="77777777"/>
    <w:p w:rsidR="00CF1BD4" w14:paraId="59D6B0D1" w14:textId="4EF474FE">
      <w:pPr>
        <w:rPr>
          <w:u w:val="single"/>
        </w:rPr>
      </w:pPr>
      <w:r>
        <w:rPr>
          <w:u w:val="single"/>
        </w:rPr>
        <w:t>7</w:t>
      </w:r>
      <w:r w:rsidR="003126D5">
        <w:rPr>
          <w:u w:val="single"/>
        </w:rPr>
        <w:t>. Circumstances</w:t>
      </w:r>
      <w:r>
        <w:rPr>
          <w:u w:val="single"/>
        </w:rPr>
        <w:t xml:space="preserve"> requiring special information collection</w:t>
      </w:r>
    </w:p>
    <w:p w:rsidR="00CF1BD4" w14:paraId="1C4A3265" w14:textId="0E99FC4F">
      <w:pPr>
        <w:spacing w:before="120"/>
      </w:pPr>
      <w:r>
        <w:rPr>
          <w:i/>
          <w:iCs/>
        </w:rPr>
        <w:t xml:space="preserve">Information collection may occur more often than quarterly.  </w:t>
      </w:r>
      <w:r>
        <w:t>An Allocatee will report</w:t>
      </w:r>
      <w:r w:rsidR="00F52B2D">
        <w:t xml:space="preserve"> </w:t>
      </w:r>
      <w:r>
        <w:t xml:space="preserve">information in </w:t>
      </w:r>
      <w:r w:rsidR="00D30FCF">
        <w:t xml:space="preserve">the </w:t>
      </w:r>
      <w:r w:rsidRPr="00D30FCF" w:rsidR="00D30FCF">
        <w:t xml:space="preserve">AQEI module </w:t>
      </w:r>
      <w:r>
        <w:t xml:space="preserve">on a per event basis.  An event occurs when an investor places a QEI into the Allocatee.  Because an Allocatee can issue a QEI at any point in time during a calendar year, it is possible that certain Allocatees may provide information to the CDFI Fund more frequently than quarterly. </w:t>
      </w:r>
      <w:r w:rsidR="00D30FCF">
        <w:t xml:space="preserve">An Allocatee will report information in the </w:t>
      </w:r>
      <w:r w:rsidRPr="00D30FCF" w:rsidR="00D30FCF">
        <w:t>QEI Closeout Report module</w:t>
      </w:r>
      <w:r w:rsidR="00D30FCF">
        <w:t xml:space="preserve"> on an annual basis tied</w:t>
      </w:r>
      <w:r w:rsidR="00836B65">
        <w:t xml:space="preserve"> to</w:t>
      </w:r>
      <w:r w:rsidR="00D30FCF">
        <w:t xml:space="preserve"> the end of the QEI tax credit investment period.</w:t>
      </w:r>
    </w:p>
    <w:p w:rsidR="00CF1BD4" w14:paraId="657C18D1" w14:textId="13390CD7">
      <w:pPr>
        <w:spacing w:before="120"/>
      </w:pPr>
      <w:r>
        <w:rPr>
          <w:i/>
          <w:iCs/>
        </w:rPr>
        <w:t xml:space="preserve">Respondents will have to retain records for longer than </w:t>
      </w:r>
      <w:r w:rsidR="003126D5">
        <w:rPr>
          <w:i/>
          <w:iCs/>
        </w:rPr>
        <w:t>3 years</w:t>
      </w:r>
      <w:r>
        <w:rPr>
          <w:i/>
          <w:iCs/>
        </w:rPr>
        <w:t xml:space="preserve">.  </w:t>
      </w:r>
      <w:r>
        <w:t xml:space="preserve">Allocatees are required to retain documentation to verify any information submitted to the CDFI Fund for the length of their compliance period, pursuant to their NMTC allocation </w:t>
      </w:r>
      <w:r w:rsidR="004A1442">
        <w:t>agreement</w:t>
      </w:r>
      <w:r>
        <w:t>.  By statute, a QEI must stay invested in a CDE for at least 7</w:t>
      </w:r>
      <w:r w:rsidR="00FC2C26">
        <w:t xml:space="preserve"> </w:t>
      </w:r>
      <w:r>
        <w:t xml:space="preserve">years.  Therefore, the record retention associated with </w:t>
      </w:r>
      <w:r w:rsidRPr="00D30FCF" w:rsidR="00D30FCF">
        <w:t>AQEI module and QEI Closeout Report module</w:t>
      </w:r>
      <w:r w:rsidR="00D30FCF">
        <w:t xml:space="preserve"> </w:t>
      </w:r>
      <w:r>
        <w:t>will extend beyond 3 years.</w:t>
      </w:r>
    </w:p>
    <w:p w:rsidR="00CF1BD4" w14:paraId="64D0F8BE" w14:textId="77777777"/>
    <w:p w:rsidR="00CF1BD4" w14:paraId="3FE383AA" w14:textId="0EAE6269">
      <w:pPr>
        <w:rPr>
          <w:u w:val="single"/>
        </w:rPr>
      </w:pPr>
      <w:r>
        <w:rPr>
          <w:u w:val="single"/>
        </w:rPr>
        <w:t>8</w:t>
      </w:r>
      <w:r w:rsidR="003126D5">
        <w:rPr>
          <w:u w:val="single"/>
        </w:rPr>
        <w:t>. Solicitation</w:t>
      </w:r>
      <w:r>
        <w:rPr>
          <w:u w:val="single"/>
        </w:rPr>
        <w:t xml:space="preserve"> of comments on information collection</w:t>
      </w:r>
    </w:p>
    <w:p w:rsidR="002773E5" w:rsidRPr="00F05F65" w:rsidP="002773E5" w14:paraId="163EE727" w14:textId="527522EB">
      <w:pPr>
        <w:rPr>
          <w:rFonts w:eastAsia="Calibri"/>
          <w:color w:val="000000"/>
          <w:szCs w:val="24"/>
        </w:rPr>
      </w:pPr>
      <w:r>
        <w:t xml:space="preserve">A </w:t>
      </w:r>
      <w:r w:rsidRPr="000D123C" w:rsidR="00E64EFF">
        <w:t xml:space="preserve">notice and request for comments </w:t>
      </w:r>
      <w:r>
        <w:t>was</w:t>
      </w:r>
      <w:r>
        <w:t xml:space="preserve"> </w:t>
      </w:r>
      <w:r w:rsidRPr="000D123C" w:rsidR="00E64EFF">
        <w:t>published in the Federal Register on</w:t>
      </w:r>
      <w:r w:rsidRPr="000D123C" w:rsidR="00E44702">
        <w:t xml:space="preserve"> </w:t>
      </w:r>
      <w:r w:rsidRPr="000D123C" w:rsidR="000D123C">
        <w:t>June 17, 2026,</w:t>
      </w:r>
      <w:r w:rsidRPr="000D123C" w:rsidR="003639EF">
        <w:t xml:space="preserve"> </w:t>
      </w:r>
      <w:r w:rsidR="00DE45BD">
        <w:t>(</w:t>
      </w:r>
      <w:r w:rsidRPr="00DE45BD" w:rsidR="00DE45BD">
        <w:t>91 FR 36650</w:t>
      </w:r>
      <w:r w:rsidR="00DE45BD">
        <w:t>). T</w:t>
      </w:r>
      <w:r w:rsidRPr="000D123C" w:rsidR="003639EF">
        <w:t>he</w:t>
      </w:r>
      <w:r w:rsidRPr="000D123C" w:rsidR="00E64EFF">
        <w:t xml:space="preserve"> CDFI Fund received </w:t>
      </w:r>
      <w:r w:rsidRPr="000D123C" w:rsidR="006E6067">
        <w:t xml:space="preserve">no </w:t>
      </w:r>
      <w:r w:rsidRPr="000D123C" w:rsidR="00E31466">
        <w:t>c</w:t>
      </w:r>
      <w:r w:rsidRPr="000D123C" w:rsidR="00E31466">
        <w:rPr>
          <w:rFonts w:eastAsia="Calibri"/>
          <w:color w:val="000000"/>
          <w:szCs w:val="24"/>
        </w:rPr>
        <w:t>omments on</w:t>
      </w:r>
      <w:r w:rsidRPr="000D123C" w:rsidR="00E64EFF">
        <w:rPr>
          <w:rFonts w:eastAsia="Calibri"/>
          <w:color w:val="000000"/>
          <w:szCs w:val="24"/>
        </w:rPr>
        <w:t xml:space="preserve"> </w:t>
      </w:r>
      <w:r w:rsidRPr="000D123C" w:rsidR="00E64EFF">
        <w:t>the AQEI</w:t>
      </w:r>
      <w:r w:rsidRPr="000D123C" w:rsidR="00E64EFF">
        <w:rPr>
          <w:rFonts w:eastAsia="Calibri"/>
          <w:color w:val="000000"/>
          <w:szCs w:val="24"/>
        </w:rPr>
        <w:t xml:space="preserve"> data collection</w:t>
      </w:r>
      <w:r w:rsidRPr="000D123C" w:rsidR="003639EF">
        <w:rPr>
          <w:rFonts w:eastAsia="Calibri"/>
          <w:color w:val="000000"/>
          <w:szCs w:val="24"/>
        </w:rPr>
        <w:t>.</w:t>
      </w:r>
    </w:p>
    <w:p w:rsidR="00F84D57" w14:paraId="06368735" w14:textId="77777777">
      <w:pPr>
        <w:rPr>
          <w:u w:val="single"/>
        </w:rPr>
      </w:pPr>
    </w:p>
    <w:p w:rsidR="00CF1BD4" w14:paraId="74EDAD08" w14:textId="53020280">
      <w:pPr>
        <w:rPr>
          <w:u w:val="single"/>
        </w:rPr>
      </w:pPr>
      <w:r>
        <w:rPr>
          <w:u w:val="single"/>
        </w:rPr>
        <w:t>9</w:t>
      </w:r>
      <w:r w:rsidR="003126D5">
        <w:rPr>
          <w:u w:val="single"/>
        </w:rPr>
        <w:t>. Provision</w:t>
      </w:r>
      <w:r>
        <w:rPr>
          <w:u w:val="single"/>
        </w:rPr>
        <w:t xml:space="preserve"> of payment to respondents</w:t>
      </w:r>
    </w:p>
    <w:p w:rsidR="00CF1BD4" w14:paraId="5D13EF42" w14:textId="77777777">
      <w:r>
        <w:t>No payments or gifts will be made to respondents.</w:t>
      </w:r>
    </w:p>
    <w:p w:rsidR="00CF1BD4" w14:paraId="60CEB1C8" w14:textId="77777777">
      <w:pPr>
        <w:pStyle w:val="Header"/>
        <w:tabs>
          <w:tab w:val="clear" w:pos="4320"/>
          <w:tab w:val="clear" w:pos="8640"/>
        </w:tabs>
      </w:pPr>
    </w:p>
    <w:p w:rsidR="00CF1BD4" w14:paraId="74873AB1" w14:textId="0F26D6B9">
      <w:pPr>
        <w:rPr>
          <w:u w:val="single"/>
        </w:rPr>
      </w:pPr>
      <w:r>
        <w:rPr>
          <w:u w:val="single"/>
        </w:rPr>
        <w:t>10</w:t>
      </w:r>
      <w:r w:rsidR="003126D5">
        <w:rPr>
          <w:u w:val="single"/>
        </w:rPr>
        <w:t>. Assurance</w:t>
      </w:r>
      <w:r>
        <w:rPr>
          <w:u w:val="single"/>
        </w:rPr>
        <w:t xml:space="preserve"> of confidentiality</w:t>
      </w:r>
    </w:p>
    <w:p w:rsidR="004244AA" w:rsidRPr="00A42EE9" w:rsidP="004244AA" w14:paraId="02E38DDE" w14:textId="1EDECBEA">
      <w:pPr>
        <w:autoSpaceDE w:val="0"/>
        <w:autoSpaceDN w:val="0"/>
        <w:adjustRightInd w:val="0"/>
        <w:rPr>
          <w:rFonts w:eastAsia="Calibri"/>
          <w:color w:val="000000"/>
          <w:szCs w:val="24"/>
        </w:rPr>
      </w:pPr>
      <w:r w:rsidRPr="00A42EE9">
        <w:rPr>
          <w:rFonts w:eastAsia="Calibri"/>
          <w:color w:val="000000"/>
          <w:szCs w:val="24"/>
        </w:rPr>
        <w:t xml:space="preserve">The CDFI Fund is subject to all Federal regulations with respect to confidentiality of information supplied in the annual compliance reports. Access to data submitted in response to this information collection will be limited to </w:t>
      </w:r>
      <w:r w:rsidR="00931BF7">
        <w:rPr>
          <w:rFonts w:eastAsia="Calibri"/>
          <w:color w:val="000000"/>
          <w:szCs w:val="24"/>
        </w:rPr>
        <w:t>Allocatees</w:t>
      </w:r>
      <w:r w:rsidRPr="00A42EE9">
        <w:rPr>
          <w:rFonts w:eastAsia="Calibri"/>
          <w:color w:val="000000"/>
          <w:szCs w:val="24"/>
        </w:rPr>
        <w:t xml:space="preserve">, and their designated representatives, CDFI Fund staff and, if applicable, designated contractors who are subject to all Federal regulations and have completed annual privacy and cybersecurity training.  </w:t>
      </w:r>
    </w:p>
    <w:p w:rsidR="00CF1BD4" w14:paraId="6EC630F9" w14:textId="77777777">
      <w:pPr>
        <w:rPr>
          <w:u w:val="single"/>
        </w:rPr>
      </w:pPr>
    </w:p>
    <w:p w:rsidR="00CF1BD4" w14:paraId="4451AA8F" w14:textId="60083219">
      <w:pPr>
        <w:rPr>
          <w:u w:val="single"/>
        </w:rPr>
      </w:pPr>
      <w:r>
        <w:rPr>
          <w:u w:val="single"/>
        </w:rPr>
        <w:t>11</w:t>
      </w:r>
      <w:r w:rsidR="003126D5">
        <w:rPr>
          <w:u w:val="single"/>
        </w:rPr>
        <w:t>. Justification</w:t>
      </w:r>
      <w:r>
        <w:rPr>
          <w:u w:val="single"/>
        </w:rPr>
        <w:t xml:space="preserve"> of sensitive questions.</w:t>
      </w:r>
    </w:p>
    <w:p w:rsidR="00CF1BD4" w14:paraId="0C09024D" w14:textId="77777777">
      <w:r>
        <w:t>No questions of a sensitive nature are asked in the application.</w:t>
      </w:r>
    </w:p>
    <w:p w:rsidR="00CF1BD4" w14:paraId="50A9E8FD" w14:textId="77777777">
      <w:pPr>
        <w:rPr>
          <w:u w:val="single"/>
        </w:rPr>
      </w:pPr>
    </w:p>
    <w:p w:rsidR="00CF1BD4" w14:paraId="215C0169" w14:textId="3576E072">
      <w:pPr>
        <w:rPr>
          <w:u w:val="single"/>
        </w:rPr>
      </w:pPr>
      <w:r>
        <w:rPr>
          <w:u w:val="single"/>
        </w:rPr>
        <w:t>12</w:t>
      </w:r>
      <w:r w:rsidR="003126D5">
        <w:rPr>
          <w:u w:val="single"/>
        </w:rPr>
        <w:t>. Estimate</w:t>
      </w:r>
      <w:r>
        <w:rPr>
          <w:u w:val="single"/>
        </w:rPr>
        <w:t xml:space="preserve"> of the hour burden of information collection.</w:t>
      </w:r>
    </w:p>
    <w:p w:rsidR="00CF1BD4" w14:paraId="61AEE844" w14:textId="7E56F1F4">
      <w:pPr>
        <w:pStyle w:val="BodyText2"/>
        <w:jc w:val="left"/>
      </w:pPr>
      <w:r>
        <w:t xml:space="preserve">The total burden of this information collection is estimated at </w:t>
      </w:r>
      <w:r w:rsidR="000559F2">
        <w:t>8.5</w:t>
      </w:r>
      <w:r w:rsidR="002751E5">
        <w:t xml:space="preserve"> </w:t>
      </w:r>
      <w:r>
        <w:t xml:space="preserve">hours per respondent annually </w:t>
      </w:r>
      <w:r w:rsidR="00B37686">
        <w:t>for</w:t>
      </w:r>
      <w:r w:rsidR="00F46145">
        <w:t xml:space="preserve"> </w:t>
      </w:r>
      <w:r w:rsidR="000559F2">
        <w:t xml:space="preserve">each of </w:t>
      </w:r>
      <w:r w:rsidR="002751E5">
        <w:t>202</w:t>
      </w:r>
      <w:r w:rsidR="007A596B">
        <w:t xml:space="preserve"> </w:t>
      </w:r>
      <w:r w:rsidR="007A33DA">
        <w:t>r</w:t>
      </w:r>
      <w:r w:rsidRPr="004244AA" w:rsidR="004244AA">
        <w:t>espondents</w:t>
      </w:r>
      <w:r w:rsidR="00B37686">
        <w:t xml:space="preserve">. </w:t>
      </w:r>
      <w:r w:rsidRPr="00AC027C" w:rsidR="008B0263">
        <w:t xml:space="preserve">The number of respondents is expected to increase as new allocation rounds are </w:t>
      </w:r>
      <w:r w:rsidRPr="00AC027C" w:rsidR="00636261">
        <w:t>a</w:t>
      </w:r>
      <w:r w:rsidR="00636261">
        <w:t>dministered</w:t>
      </w:r>
      <w:r w:rsidR="008B0263">
        <w:t>.</w:t>
      </w:r>
    </w:p>
    <w:p w:rsidR="00CF1BD4" w14:paraId="0E1171B7" w14:textId="77777777"/>
    <w:tbl>
      <w:tblPr>
        <w:tblW w:w="9640" w:type="dxa"/>
        <w:tblInd w:w="-5" w:type="dxa"/>
        <w:tblLook w:val="04A0"/>
      </w:tblPr>
      <w:tblGrid>
        <w:gridCol w:w="2520"/>
        <w:gridCol w:w="1800"/>
        <w:gridCol w:w="2070"/>
        <w:gridCol w:w="1710"/>
        <w:gridCol w:w="1540"/>
      </w:tblGrid>
      <w:tr w14:paraId="46844839" w14:textId="77777777" w:rsidTr="005534DD">
        <w:tblPrEx>
          <w:tblW w:w="9640" w:type="dxa"/>
          <w:tblInd w:w="-5" w:type="dxa"/>
          <w:tblLook w:val="04A0"/>
        </w:tblPrEx>
        <w:trPr>
          <w:trHeight w:val="810"/>
        </w:trPr>
        <w:tc>
          <w:tcPr>
            <w:tcW w:w="2520" w:type="dxa"/>
            <w:tcBorders>
              <w:top w:val="single" w:sz="4" w:space="0" w:color="auto"/>
              <w:left w:val="single" w:sz="4" w:space="0" w:color="auto"/>
              <w:bottom w:val="single" w:sz="4" w:space="0" w:color="auto"/>
              <w:right w:val="single" w:sz="4" w:space="0" w:color="auto"/>
            </w:tcBorders>
            <w:noWrap/>
            <w:vAlign w:val="center"/>
            <w:hideMark/>
          </w:tcPr>
          <w:p w:rsidR="00F46145" w:rsidRPr="004024C1" w:rsidP="00F46145" w14:paraId="4E443A5E" w14:textId="77777777">
            <w:pPr>
              <w:rPr>
                <w:b/>
                <w:bCs/>
                <w:color w:val="000000"/>
                <w:sz w:val="22"/>
                <w:szCs w:val="22"/>
              </w:rPr>
            </w:pPr>
            <w:r w:rsidRPr="004024C1">
              <w:rPr>
                <w:b/>
                <w:bCs/>
                <w:color w:val="000000"/>
                <w:sz w:val="22"/>
                <w:szCs w:val="22"/>
              </w:rPr>
              <w:t> </w:t>
            </w:r>
          </w:p>
        </w:tc>
        <w:tc>
          <w:tcPr>
            <w:tcW w:w="1800" w:type="dxa"/>
            <w:tcBorders>
              <w:top w:val="single" w:sz="4" w:space="0" w:color="auto"/>
              <w:left w:val="nil"/>
              <w:bottom w:val="single" w:sz="4" w:space="0" w:color="auto"/>
              <w:right w:val="single" w:sz="4" w:space="0" w:color="auto"/>
            </w:tcBorders>
            <w:vAlign w:val="center"/>
            <w:hideMark/>
          </w:tcPr>
          <w:p w:rsidR="00F46145" w:rsidRPr="004024C1" w:rsidP="00F46145" w14:paraId="2A800D87" w14:textId="406ECD18">
            <w:pPr>
              <w:jc w:val="center"/>
              <w:rPr>
                <w:b/>
                <w:bCs/>
                <w:color w:val="000000"/>
                <w:sz w:val="22"/>
                <w:szCs w:val="22"/>
              </w:rPr>
            </w:pPr>
            <w:r w:rsidRPr="004024C1">
              <w:rPr>
                <w:b/>
                <w:bCs/>
                <w:color w:val="000000"/>
                <w:sz w:val="22"/>
                <w:szCs w:val="22"/>
              </w:rPr>
              <w:t xml:space="preserve">Number </w:t>
            </w:r>
            <w:r w:rsidRPr="004024C1" w:rsidR="003126D5">
              <w:rPr>
                <w:b/>
                <w:bCs/>
                <w:color w:val="000000"/>
                <w:sz w:val="22"/>
                <w:szCs w:val="22"/>
              </w:rPr>
              <w:t>of Respondents</w:t>
            </w:r>
          </w:p>
        </w:tc>
        <w:tc>
          <w:tcPr>
            <w:tcW w:w="2070" w:type="dxa"/>
            <w:tcBorders>
              <w:top w:val="single" w:sz="4" w:space="0" w:color="auto"/>
              <w:left w:val="nil"/>
              <w:bottom w:val="single" w:sz="4" w:space="0" w:color="auto"/>
              <w:right w:val="single" w:sz="4" w:space="0" w:color="auto"/>
            </w:tcBorders>
            <w:vAlign w:val="center"/>
            <w:hideMark/>
          </w:tcPr>
          <w:p w:rsidR="00F46145" w:rsidRPr="004024C1" w:rsidP="00F46145" w14:paraId="0D93C4AB" w14:textId="77777777">
            <w:pPr>
              <w:jc w:val="center"/>
              <w:rPr>
                <w:b/>
                <w:bCs/>
                <w:color w:val="000000"/>
                <w:sz w:val="22"/>
                <w:szCs w:val="22"/>
              </w:rPr>
            </w:pPr>
            <w:r w:rsidRPr="004024C1">
              <w:rPr>
                <w:b/>
                <w:bCs/>
                <w:color w:val="000000"/>
                <w:sz w:val="22"/>
                <w:szCs w:val="22"/>
              </w:rPr>
              <w:t>Responses Per Respondent Per year</w:t>
            </w:r>
          </w:p>
        </w:tc>
        <w:tc>
          <w:tcPr>
            <w:tcW w:w="1710" w:type="dxa"/>
            <w:tcBorders>
              <w:top w:val="single" w:sz="4" w:space="0" w:color="auto"/>
              <w:left w:val="nil"/>
              <w:bottom w:val="single" w:sz="4" w:space="0" w:color="auto"/>
              <w:right w:val="single" w:sz="4" w:space="0" w:color="auto"/>
            </w:tcBorders>
            <w:vAlign w:val="center"/>
            <w:hideMark/>
          </w:tcPr>
          <w:p w:rsidR="00F46145" w:rsidRPr="004024C1" w:rsidP="00F46145" w14:paraId="78EC98AD" w14:textId="77777777">
            <w:pPr>
              <w:jc w:val="center"/>
              <w:rPr>
                <w:b/>
                <w:bCs/>
                <w:color w:val="000000"/>
                <w:sz w:val="22"/>
                <w:szCs w:val="22"/>
              </w:rPr>
            </w:pPr>
            <w:r w:rsidRPr="004024C1">
              <w:rPr>
                <w:b/>
                <w:bCs/>
                <w:color w:val="000000"/>
                <w:sz w:val="22"/>
                <w:szCs w:val="22"/>
              </w:rPr>
              <w:t>Hours Per Response</w:t>
            </w:r>
          </w:p>
        </w:tc>
        <w:tc>
          <w:tcPr>
            <w:tcW w:w="1540" w:type="dxa"/>
            <w:tcBorders>
              <w:top w:val="single" w:sz="4" w:space="0" w:color="auto"/>
              <w:left w:val="nil"/>
              <w:bottom w:val="single" w:sz="4" w:space="0" w:color="auto"/>
              <w:right w:val="single" w:sz="4" w:space="0" w:color="auto"/>
            </w:tcBorders>
            <w:vAlign w:val="center"/>
            <w:hideMark/>
          </w:tcPr>
          <w:p w:rsidR="00F46145" w:rsidRPr="004024C1" w:rsidP="00F46145" w14:paraId="27AA2CC5" w14:textId="77777777">
            <w:pPr>
              <w:jc w:val="center"/>
              <w:rPr>
                <w:b/>
                <w:bCs/>
                <w:color w:val="000000"/>
                <w:sz w:val="22"/>
                <w:szCs w:val="22"/>
              </w:rPr>
            </w:pPr>
            <w:r w:rsidRPr="004024C1">
              <w:rPr>
                <w:b/>
                <w:bCs/>
                <w:color w:val="000000"/>
                <w:sz w:val="22"/>
                <w:szCs w:val="22"/>
              </w:rPr>
              <w:t>Total Hours</w:t>
            </w:r>
          </w:p>
        </w:tc>
      </w:tr>
      <w:tr w14:paraId="614C4DDC" w14:textId="77777777" w:rsidTr="005534DD">
        <w:tblPrEx>
          <w:tblW w:w="9640" w:type="dxa"/>
          <w:tblInd w:w="-5" w:type="dxa"/>
          <w:tblLook w:val="04A0"/>
        </w:tblPrEx>
        <w:trPr>
          <w:trHeight w:val="702"/>
        </w:trPr>
        <w:tc>
          <w:tcPr>
            <w:tcW w:w="2520" w:type="dxa"/>
            <w:tcBorders>
              <w:top w:val="nil"/>
              <w:left w:val="single" w:sz="4" w:space="0" w:color="auto"/>
              <w:bottom w:val="single" w:sz="4" w:space="0" w:color="auto"/>
              <w:right w:val="single" w:sz="4" w:space="0" w:color="auto"/>
            </w:tcBorders>
            <w:vAlign w:val="center"/>
            <w:hideMark/>
          </w:tcPr>
          <w:p w:rsidR="00F46145" w:rsidRPr="004024C1" w:rsidP="005534DD" w14:paraId="5BD3978F" w14:textId="77777777">
            <w:pPr>
              <w:ind w:left="-2" w:hanging="15" w:leftChars="-7" w:hangingChars="7"/>
              <w:rPr>
                <w:color w:val="000000"/>
                <w:sz w:val="22"/>
                <w:szCs w:val="22"/>
              </w:rPr>
            </w:pPr>
            <w:r w:rsidRPr="004024C1">
              <w:rPr>
                <w:color w:val="000000"/>
                <w:sz w:val="22"/>
                <w:szCs w:val="22"/>
              </w:rPr>
              <w:t>State, Local, and Tribal Governments</w:t>
            </w:r>
          </w:p>
        </w:tc>
        <w:tc>
          <w:tcPr>
            <w:tcW w:w="1800" w:type="dxa"/>
            <w:tcBorders>
              <w:top w:val="nil"/>
              <w:left w:val="nil"/>
              <w:bottom w:val="single" w:sz="4" w:space="0" w:color="auto"/>
              <w:right w:val="single" w:sz="4" w:space="0" w:color="auto"/>
            </w:tcBorders>
            <w:noWrap/>
            <w:vAlign w:val="center"/>
            <w:hideMark/>
          </w:tcPr>
          <w:p w:rsidR="00F46145" w:rsidRPr="004024C1" w:rsidP="005534DD" w14:paraId="5F6A3585" w14:textId="09597670">
            <w:pPr>
              <w:jc w:val="center"/>
              <w:rPr>
                <w:color w:val="000000"/>
                <w:sz w:val="22"/>
                <w:szCs w:val="22"/>
              </w:rPr>
            </w:pPr>
            <w:r w:rsidRPr="004024C1">
              <w:rPr>
                <w:color w:val="000000"/>
                <w:sz w:val="22"/>
                <w:szCs w:val="22"/>
              </w:rPr>
              <w:t>40</w:t>
            </w:r>
          </w:p>
        </w:tc>
        <w:tc>
          <w:tcPr>
            <w:tcW w:w="2070" w:type="dxa"/>
            <w:tcBorders>
              <w:top w:val="nil"/>
              <w:left w:val="nil"/>
              <w:bottom w:val="single" w:sz="4" w:space="0" w:color="auto"/>
              <w:right w:val="single" w:sz="4" w:space="0" w:color="auto"/>
            </w:tcBorders>
            <w:noWrap/>
            <w:vAlign w:val="center"/>
            <w:hideMark/>
          </w:tcPr>
          <w:p w:rsidR="00F46145" w:rsidRPr="004024C1" w:rsidP="005534DD" w14:paraId="089410BA" w14:textId="48215657">
            <w:pPr>
              <w:jc w:val="center"/>
              <w:rPr>
                <w:color w:val="000000"/>
                <w:sz w:val="22"/>
                <w:szCs w:val="22"/>
              </w:rPr>
            </w:pPr>
            <w:r w:rsidRPr="004024C1">
              <w:rPr>
                <w:color w:val="000000"/>
                <w:sz w:val="22"/>
                <w:szCs w:val="22"/>
              </w:rPr>
              <w:t>5</w:t>
            </w:r>
          </w:p>
        </w:tc>
        <w:tc>
          <w:tcPr>
            <w:tcW w:w="1710" w:type="dxa"/>
            <w:tcBorders>
              <w:top w:val="nil"/>
              <w:left w:val="nil"/>
              <w:bottom w:val="single" w:sz="4" w:space="0" w:color="auto"/>
              <w:right w:val="single" w:sz="4" w:space="0" w:color="auto"/>
            </w:tcBorders>
            <w:noWrap/>
            <w:vAlign w:val="center"/>
            <w:hideMark/>
          </w:tcPr>
          <w:p w:rsidR="00F46145" w:rsidRPr="004024C1" w:rsidP="005534DD" w14:paraId="33526824" w14:textId="49621ED2">
            <w:pPr>
              <w:jc w:val="center"/>
              <w:rPr>
                <w:color w:val="000000"/>
                <w:sz w:val="22"/>
                <w:szCs w:val="22"/>
              </w:rPr>
            </w:pPr>
            <w:r w:rsidRPr="004024C1">
              <w:rPr>
                <w:color w:val="000000"/>
                <w:sz w:val="22"/>
                <w:szCs w:val="22"/>
              </w:rPr>
              <w:t>1.</w:t>
            </w:r>
            <w:r w:rsidR="00F15525">
              <w:rPr>
                <w:color w:val="000000"/>
                <w:sz w:val="22"/>
                <w:szCs w:val="22"/>
              </w:rPr>
              <w:t>7</w:t>
            </w:r>
          </w:p>
        </w:tc>
        <w:tc>
          <w:tcPr>
            <w:tcW w:w="1540" w:type="dxa"/>
            <w:tcBorders>
              <w:top w:val="nil"/>
              <w:left w:val="nil"/>
              <w:bottom w:val="single" w:sz="4" w:space="0" w:color="auto"/>
              <w:right w:val="single" w:sz="4" w:space="0" w:color="auto"/>
            </w:tcBorders>
            <w:noWrap/>
            <w:vAlign w:val="center"/>
            <w:hideMark/>
          </w:tcPr>
          <w:p w:rsidR="00F46145" w:rsidRPr="004024C1" w:rsidP="005534DD" w14:paraId="7B720C3C" w14:textId="54453BA6">
            <w:pPr>
              <w:jc w:val="center"/>
              <w:rPr>
                <w:color w:val="000000"/>
                <w:sz w:val="22"/>
                <w:szCs w:val="22"/>
              </w:rPr>
            </w:pPr>
            <w:r>
              <w:rPr>
                <w:color w:val="000000"/>
                <w:sz w:val="22"/>
                <w:szCs w:val="22"/>
              </w:rPr>
              <w:t>340</w:t>
            </w:r>
          </w:p>
        </w:tc>
      </w:tr>
      <w:tr w14:paraId="4AF2E605" w14:textId="77777777" w:rsidTr="005534DD">
        <w:tblPrEx>
          <w:tblW w:w="9640" w:type="dxa"/>
          <w:tblInd w:w="-5" w:type="dxa"/>
          <w:tblLook w:val="04A0"/>
        </w:tblPrEx>
        <w:trPr>
          <w:trHeight w:val="702"/>
        </w:trPr>
        <w:tc>
          <w:tcPr>
            <w:tcW w:w="2520" w:type="dxa"/>
            <w:tcBorders>
              <w:top w:val="nil"/>
              <w:left w:val="single" w:sz="4" w:space="0" w:color="auto"/>
              <w:bottom w:val="single" w:sz="4" w:space="0" w:color="auto"/>
              <w:right w:val="single" w:sz="4" w:space="0" w:color="auto"/>
            </w:tcBorders>
            <w:vAlign w:val="center"/>
            <w:hideMark/>
          </w:tcPr>
          <w:p w:rsidR="00F46145" w:rsidRPr="004024C1" w:rsidP="005534DD" w14:paraId="4753D8B3" w14:textId="6DAED414">
            <w:pPr>
              <w:ind w:left="-2" w:hanging="15" w:leftChars="-7" w:hangingChars="7"/>
              <w:rPr>
                <w:color w:val="000000"/>
                <w:sz w:val="22"/>
                <w:szCs w:val="22"/>
              </w:rPr>
            </w:pPr>
            <w:r w:rsidRPr="004024C1">
              <w:rPr>
                <w:color w:val="000000"/>
                <w:sz w:val="22"/>
                <w:szCs w:val="22"/>
              </w:rPr>
              <w:t xml:space="preserve">Private Sector: Businesses and </w:t>
            </w:r>
            <w:r w:rsidRPr="004024C1">
              <w:rPr>
                <w:color w:val="000000"/>
                <w:sz w:val="22"/>
                <w:szCs w:val="22"/>
              </w:rPr>
              <w:t>other</w:t>
            </w:r>
            <w:r w:rsidRPr="004024C1">
              <w:rPr>
                <w:color w:val="000000"/>
                <w:sz w:val="22"/>
                <w:szCs w:val="22"/>
              </w:rPr>
              <w:t xml:space="preserve"> for profits; not-for-profit institutions.</w:t>
            </w:r>
          </w:p>
        </w:tc>
        <w:tc>
          <w:tcPr>
            <w:tcW w:w="1800" w:type="dxa"/>
            <w:tcBorders>
              <w:top w:val="nil"/>
              <w:left w:val="nil"/>
              <w:bottom w:val="single" w:sz="4" w:space="0" w:color="auto"/>
              <w:right w:val="single" w:sz="4" w:space="0" w:color="auto"/>
            </w:tcBorders>
            <w:noWrap/>
            <w:vAlign w:val="center"/>
            <w:hideMark/>
          </w:tcPr>
          <w:p w:rsidR="00F46145" w:rsidRPr="004024C1" w:rsidP="005534DD" w14:paraId="76AD1474" w14:textId="670AE92B">
            <w:pPr>
              <w:jc w:val="center"/>
              <w:rPr>
                <w:color w:val="000000"/>
                <w:sz w:val="22"/>
                <w:szCs w:val="22"/>
              </w:rPr>
            </w:pPr>
            <w:r w:rsidRPr="004024C1">
              <w:rPr>
                <w:color w:val="000000"/>
                <w:sz w:val="22"/>
                <w:szCs w:val="22"/>
              </w:rPr>
              <w:t>162</w:t>
            </w:r>
          </w:p>
        </w:tc>
        <w:tc>
          <w:tcPr>
            <w:tcW w:w="2070" w:type="dxa"/>
            <w:tcBorders>
              <w:top w:val="nil"/>
              <w:left w:val="nil"/>
              <w:bottom w:val="single" w:sz="4" w:space="0" w:color="auto"/>
              <w:right w:val="single" w:sz="4" w:space="0" w:color="auto"/>
            </w:tcBorders>
            <w:noWrap/>
            <w:vAlign w:val="center"/>
            <w:hideMark/>
          </w:tcPr>
          <w:p w:rsidR="00F46145" w:rsidRPr="004024C1" w:rsidP="005534DD" w14:paraId="68F6A6A4" w14:textId="289FF1A9">
            <w:pPr>
              <w:jc w:val="center"/>
              <w:rPr>
                <w:color w:val="000000"/>
                <w:sz w:val="22"/>
                <w:szCs w:val="22"/>
              </w:rPr>
            </w:pPr>
            <w:r w:rsidRPr="004024C1">
              <w:rPr>
                <w:color w:val="000000"/>
                <w:sz w:val="22"/>
                <w:szCs w:val="22"/>
              </w:rPr>
              <w:t>5</w:t>
            </w:r>
          </w:p>
        </w:tc>
        <w:tc>
          <w:tcPr>
            <w:tcW w:w="1710" w:type="dxa"/>
            <w:tcBorders>
              <w:top w:val="nil"/>
              <w:left w:val="nil"/>
              <w:bottom w:val="single" w:sz="4" w:space="0" w:color="auto"/>
              <w:right w:val="single" w:sz="4" w:space="0" w:color="auto"/>
            </w:tcBorders>
            <w:noWrap/>
            <w:vAlign w:val="center"/>
            <w:hideMark/>
          </w:tcPr>
          <w:p w:rsidR="00F46145" w:rsidRPr="004024C1" w:rsidP="005534DD" w14:paraId="5963CF32" w14:textId="7F0E3594">
            <w:pPr>
              <w:jc w:val="center"/>
              <w:rPr>
                <w:color w:val="000000"/>
                <w:sz w:val="22"/>
                <w:szCs w:val="22"/>
              </w:rPr>
            </w:pPr>
            <w:r w:rsidRPr="004024C1">
              <w:rPr>
                <w:color w:val="000000"/>
                <w:sz w:val="22"/>
                <w:szCs w:val="22"/>
              </w:rPr>
              <w:t>1</w:t>
            </w:r>
            <w:r w:rsidRPr="004024C1" w:rsidR="0015163E">
              <w:rPr>
                <w:color w:val="000000"/>
                <w:sz w:val="22"/>
                <w:szCs w:val="22"/>
              </w:rPr>
              <w:t>.</w:t>
            </w:r>
            <w:r w:rsidR="00F15525">
              <w:rPr>
                <w:color w:val="000000"/>
                <w:sz w:val="22"/>
                <w:szCs w:val="22"/>
              </w:rPr>
              <w:t>7</w:t>
            </w:r>
          </w:p>
        </w:tc>
        <w:tc>
          <w:tcPr>
            <w:tcW w:w="1540" w:type="dxa"/>
            <w:tcBorders>
              <w:top w:val="nil"/>
              <w:left w:val="nil"/>
              <w:bottom w:val="single" w:sz="4" w:space="0" w:color="auto"/>
              <w:right w:val="single" w:sz="4" w:space="0" w:color="auto"/>
            </w:tcBorders>
            <w:noWrap/>
            <w:vAlign w:val="center"/>
            <w:hideMark/>
          </w:tcPr>
          <w:p w:rsidR="00F46145" w:rsidRPr="004024C1" w:rsidP="005534DD" w14:paraId="6510A766" w14:textId="5F2A6CA5">
            <w:pPr>
              <w:jc w:val="center"/>
              <w:rPr>
                <w:color w:val="000000"/>
                <w:sz w:val="22"/>
                <w:szCs w:val="22"/>
              </w:rPr>
            </w:pPr>
            <w:r>
              <w:rPr>
                <w:color w:val="000000"/>
                <w:sz w:val="22"/>
                <w:szCs w:val="22"/>
              </w:rPr>
              <w:t>1,377</w:t>
            </w:r>
          </w:p>
        </w:tc>
      </w:tr>
      <w:tr w14:paraId="08E5E559" w14:textId="77777777" w:rsidTr="005534DD">
        <w:tblPrEx>
          <w:tblW w:w="9640" w:type="dxa"/>
          <w:tblInd w:w="-5" w:type="dxa"/>
          <w:tblLook w:val="04A0"/>
        </w:tblPrEx>
        <w:trPr>
          <w:trHeight w:val="702"/>
        </w:trPr>
        <w:tc>
          <w:tcPr>
            <w:tcW w:w="2520" w:type="dxa"/>
            <w:tcBorders>
              <w:top w:val="nil"/>
              <w:left w:val="single" w:sz="4" w:space="0" w:color="auto"/>
              <w:bottom w:val="single" w:sz="4" w:space="0" w:color="auto"/>
              <w:right w:val="single" w:sz="4" w:space="0" w:color="auto"/>
            </w:tcBorders>
            <w:noWrap/>
            <w:vAlign w:val="center"/>
            <w:hideMark/>
          </w:tcPr>
          <w:p w:rsidR="00F46145" w:rsidRPr="004024C1" w:rsidP="00F46145" w14:paraId="636F3238" w14:textId="77777777">
            <w:pPr>
              <w:rPr>
                <w:b/>
                <w:bCs/>
                <w:color w:val="000000"/>
                <w:sz w:val="22"/>
                <w:szCs w:val="22"/>
              </w:rPr>
            </w:pPr>
            <w:r w:rsidRPr="004024C1">
              <w:rPr>
                <w:b/>
                <w:bCs/>
                <w:color w:val="000000"/>
                <w:sz w:val="22"/>
                <w:szCs w:val="22"/>
              </w:rPr>
              <w:t>Totals</w:t>
            </w:r>
          </w:p>
        </w:tc>
        <w:tc>
          <w:tcPr>
            <w:tcW w:w="1800" w:type="dxa"/>
            <w:tcBorders>
              <w:top w:val="nil"/>
              <w:left w:val="nil"/>
              <w:bottom w:val="single" w:sz="4" w:space="0" w:color="auto"/>
              <w:right w:val="single" w:sz="4" w:space="0" w:color="auto"/>
            </w:tcBorders>
            <w:noWrap/>
            <w:vAlign w:val="center"/>
            <w:hideMark/>
          </w:tcPr>
          <w:p w:rsidR="00F46145" w:rsidRPr="004024C1" w:rsidP="005534DD" w14:paraId="3BE67778" w14:textId="03302127">
            <w:pPr>
              <w:jc w:val="center"/>
              <w:rPr>
                <w:b/>
                <w:bCs/>
                <w:color w:val="000000"/>
                <w:sz w:val="22"/>
                <w:szCs w:val="22"/>
              </w:rPr>
            </w:pPr>
            <w:r w:rsidRPr="004024C1">
              <w:rPr>
                <w:b/>
                <w:bCs/>
                <w:color w:val="000000"/>
                <w:sz w:val="22"/>
                <w:szCs w:val="22"/>
              </w:rPr>
              <w:t>202</w:t>
            </w:r>
          </w:p>
        </w:tc>
        <w:tc>
          <w:tcPr>
            <w:tcW w:w="2070" w:type="dxa"/>
            <w:tcBorders>
              <w:top w:val="nil"/>
              <w:left w:val="nil"/>
              <w:bottom w:val="single" w:sz="4" w:space="0" w:color="auto"/>
              <w:right w:val="single" w:sz="4" w:space="0" w:color="auto"/>
            </w:tcBorders>
            <w:noWrap/>
            <w:vAlign w:val="center"/>
            <w:hideMark/>
          </w:tcPr>
          <w:p w:rsidR="00F46145" w:rsidRPr="004024C1" w:rsidP="005534DD" w14:paraId="13820A5E" w14:textId="77777777">
            <w:pPr>
              <w:jc w:val="center"/>
              <w:rPr>
                <w:b/>
                <w:bCs/>
                <w:color w:val="000000"/>
                <w:sz w:val="22"/>
                <w:szCs w:val="22"/>
              </w:rPr>
            </w:pPr>
          </w:p>
        </w:tc>
        <w:tc>
          <w:tcPr>
            <w:tcW w:w="1710" w:type="dxa"/>
            <w:tcBorders>
              <w:top w:val="nil"/>
              <w:left w:val="nil"/>
              <w:bottom w:val="single" w:sz="4" w:space="0" w:color="auto"/>
              <w:right w:val="single" w:sz="4" w:space="0" w:color="auto"/>
            </w:tcBorders>
            <w:noWrap/>
            <w:vAlign w:val="center"/>
            <w:hideMark/>
          </w:tcPr>
          <w:p w:rsidR="00F46145" w:rsidRPr="004024C1" w:rsidP="005534DD" w14:paraId="7ED46E78" w14:textId="77777777">
            <w:pPr>
              <w:jc w:val="center"/>
              <w:rPr>
                <w:b/>
                <w:bCs/>
                <w:color w:val="000000"/>
                <w:sz w:val="22"/>
                <w:szCs w:val="22"/>
              </w:rPr>
            </w:pPr>
          </w:p>
        </w:tc>
        <w:tc>
          <w:tcPr>
            <w:tcW w:w="1540" w:type="dxa"/>
            <w:tcBorders>
              <w:top w:val="nil"/>
              <w:left w:val="nil"/>
              <w:bottom w:val="single" w:sz="4" w:space="0" w:color="auto"/>
              <w:right w:val="single" w:sz="4" w:space="0" w:color="auto"/>
            </w:tcBorders>
            <w:noWrap/>
            <w:vAlign w:val="center"/>
            <w:hideMark/>
          </w:tcPr>
          <w:p w:rsidR="00F46145" w:rsidRPr="004024C1" w:rsidP="005534DD" w14:paraId="369EE5E2" w14:textId="500854B7">
            <w:pPr>
              <w:jc w:val="center"/>
              <w:rPr>
                <w:b/>
                <w:bCs/>
                <w:color w:val="000000"/>
                <w:sz w:val="22"/>
                <w:szCs w:val="22"/>
              </w:rPr>
            </w:pPr>
            <w:r>
              <w:rPr>
                <w:b/>
                <w:bCs/>
                <w:color w:val="000000"/>
                <w:sz w:val="22"/>
                <w:szCs w:val="22"/>
              </w:rPr>
              <w:t>1</w:t>
            </w:r>
            <w:r w:rsidR="00636261">
              <w:rPr>
                <w:b/>
                <w:bCs/>
                <w:color w:val="000000"/>
                <w:sz w:val="22"/>
                <w:szCs w:val="22"/>
              </w:rPr>
              <w:t>,</w:t>
            </w:r>
            <w:r>
              <w:rPr>
                <w:b/>
                <w:bCs/>
                <w:color w:val="000000"/>
                <w:sz w:val="22"/>
                <w:szCs w:val="22"/>
              </w:rPr>
              <w:t>717</w:t>
            </w:r>
          </w:p>
        </w:tc>
      </w:tr>
    </w:tbl>
    <w:p w:rsidR="00D4381A" w14:paraId="62ED8458" w14:textId="77777777"/>
    <w:p w:rsidR="00CF1BD4" w14:paraId="4CFB06A6" w14:textId="75BEDA19">
      <w:pPr>
        <w:rPr>
          <w:u w:val="single"/>
        </w:rPr>
      </w:pPr>
      <w:r>
        <w:rPr>
          <w:u w:val="single"/>
        </w:rPr>
        <w:t>13</w:t>
      </w:r>
      <w:r w:rsidR="003126D5">
        <w:rPr>
          <w:u w:val="single"/>
        </w:rPr>
        <w:t>. Estimate</w:t>
      </w:r>
      <w:r>
        <w:rPr>
          <w:u w:val="single"/>
        </w:rPr>
        <w:t xml:space="preserve"> of total annual cost burden to respondents</w:t>
      </w:r>
    </w:p>
    <w:p w:rsidR="004244AA" w:rsidRPr="00A42EE9" w:rsidP="004244AA" w14:paraId="553AF09C" w14:textId="7CD109AD">
      <w:pPr>
        <w:autoSpaceDE w:val="0"/>
        <w:autoSpaceDN w:val="0"/>
        <w:adjustRightInd w:val="0"/>
        <w:rPr>
          <w:rFonts w:eastAsia="Calibri"/>
          <w:color w:val="000000"/>
          <w:szCs w:val="24"/>
        </w:rPr>
      </w:pPr>
      <w:r w:rsidRPr="00A42EE9">
        <w:rPr>
          <w:rFonts w:eastAsia="Calibri"/>
          <w:color w:val="000000"/>
          <w:szCs w:val="24"/>
        </w:rPr>
        <w:t xml:space="preserve">There </w:t>
      </w:r>
      <w:r w:rsidRPr="00A42EE9" w:rsidR="00716876">
        <w:rPr>
          <w:rFonts w:eastAsia="Calibri"/>
          <w:color w:val="000000"/>
          <w:szCs w:val="24"/>
        </w:rPr>
        <w:t>is</w:t>
      </w:r>
      <w:r w:rsidRPr="00A42EE9">
        <w:rPr>
          <w:rFonts w:eastAsia="Calibri"/>
          <w:color w:val="000000"/>
          <w:szCs w:val="24"/>
        </w:rPr>
        <w:t xml:space="preserve"> no additional capital, start-up or ongoing operational, or maintenance costs associated with information collection. </w:t>
      </w:r>
    </w:p>
    <w:p w:rsidR="00CF1BD4" w14:paraId="512D7680" w14:textId="77777777"/>
    <w:p w:rsidR="00CF1BD4" w14:paraId="5827E092" w14:textId="35C1DCC1">
      <w:pPr>
        <w:rPr>
          <w:u w:val="single"/>
        </w:rPr>
      </w:pPr>
      <w:r>
        <w:rPr>
          <w:u w:val="single"/>
        </w:rPr>
        <w:t>14</w:t>
      </w:r>
      <w:r w:rsidR="003126D5">
        <w:rPr>
          <w:u w:val="single"/>
        </w:rPr>
        <w:t>. Estimate</w:t>
      </w:r>
      <w:r>
        <w:rPr>
          <w:u w:val="single"/>
        </w:rPr>
        <w:t xml:space="preserve"> of annualized cost to the Government</w:t>
      </w:r>
    </w:p>
    <w:p w:rsidR="008A18CA" w14:paraId="7922BA71" w14:textId="7973C80F">
      <w:pPr>
        <w:rPr>
          <w:rFonts w:eastAsia="Calibri"/>
          <w:color w:val="000000"/>
          <w:szCs w:val="24"/>
        </w:rPr>
      </w:pPr>
      <w:r w:rsidRPr="00A42EE9">
        <w:rPr>
          <w:rFonts w:eastAsia="Calibri"/>
          <w:color w:val="000000"/>
          <w:szCs w:val="24"/>
        </w:rPr>
        <w:t xml:space="preserve">Annual costs to the Government consist of the staff time associated with implementing information collections, reviewing information, and reporting results. </w:t>
      </w:r>
      <w:r>
        <w:rPr>
          <w:rFonts w:eastAsia="Calibri"/>
          <w:color w:val="000000"/>
          <w:szCs w:val="24"/>
        </w:rPr>
        <w:t>The estimate is based on the expected number of hours and loaded labor rate for the CDFI Fund</w:t>
      </w:r>
      <w:r w:rsidR="00DE45BD">
        <w:rPr>
          <w:rFonts w:eastAsia="Calibri"/>
          <w:color w:val="000000"/>
          <w:szCs w:val="24"/>
        </w:rPr>
        <w:t>.</w:t>
      </w:r>
      <w:r>
        <w:rPr>
          <w:rFonts w:eastAsia="Calibri"/>
          <w:color w:val="000000"/>
          <w:szCs w:val="24"/>
        </w:rPr>
        <w:t xml:space="preserve">  The estimate is based on the projected federal employee labor costs of $</w:t>
      </w:r>
      <w:r w:rsidR="00490DB1">
        <w:rPr>
          <w:rFonts w:eastAsia="Calibri"/>
          <w:color w:val="000000"/>
          <w:szCs w:val="24"/>
        </w:rPr>
        <w:t>112.49</w:t>
      </w:r>
      <w:r w:rsidR="00997473">
        <w:rPr>
          <w:rFonts w:eastAsia="Calibri"/>
          <w:color w:val="000000"/>
          <w:szCs w:val="24"/>
        </w:rPr>
        <w:t xml:space="preserve"> for a </w:t>
      </w:r>
      <w:r w:rsidRPr="00997473" w:rsidR="00997473">
        <w:rPr>
          <w:rFonts w:eastAsia="Calibri"/>
          <w:color w:val="000000"/>
          <w:szCs w:val="24"/>
        </w:rPr>
        <w:t>General Schedule (GS)</w:t>
      </w:r>
      <w:r w:rsidR="00997473">
        <w:rPr>
          <w:rFonts w:eastAsia="Calibri"/>
          <w:color w:val="000000"/>
          <w:szCs w:val="24"/>
        </w:rPr>
        <w:t xml:space="preserve"> -13</w:t>
      </w:r>
      <w:r w:rsidR="00994403">
        <w:rPr>
          <w:rFonts w:eastAsia="Calibri"/>
          <w:color w:val="000000"/>
          <w:szCs w:val="24"/>
        </w:rPr>
        <w:t>, Step 5</w:t>
      </w:r>
      <w:r w:rsidR="00997473">
        <w:rPr>
          <w:rFonts w:eastAsia="Calibri"/>
          <w:color w:val="000000"/>
          <w:szCs w:val="24"/>
        </w:rPr>
        <w:t xml:space="preserve"> employee based on the </w:t>
      </w:r>
      <w:r w:rsidRPr="00997473" w:rsidR="00997473">
        <w:rPr>
          <w:rFonts w:eastAsia="Calibri"/>
          <w:color w:val="000000"/>
          <w:szCs w:val="24"/>
        </w:rPr>
        <w:t>2026 G</w:t>
      </w:r>
      <w:r w:rsidR="00997473">
        <w:rPr>
          <w:rFonts w:eastAsia="Calibri"/>
          <w:color w:val="000000"/>
          <w:szCs w:val="24"/>
        </w:rPr>
        <w:t xml:space="preserve">S </w:t>
      </w:r>
      <w:r w:rsidRPr="00997473" w:rsidR="00997473">
        <w:rPr>
          <w:rFonts w:eastAsia="Calibri"/>
          <w:color w:val="000000"/>
          <w:szCs w:val="24"/>
        </w:rPr>
        <w:t>Locality Pay Tables</w:t>
      </w:r>
      <w:r w:rsidR="00997473">
        <w:rPr>
          <w:rFonts w:eastAsia="Calibri"/>
          <w:color w:val="000000"/>
          <w:szCs w:val="24"/>
        </w:rPr>
        <w:t xml:space="preserve"> prepared by US Office of </w:t>
      </w:r>
      <w:r w:rsidR="00BF2066">
        <w:rPr>
          <w:rFonts w:eastAsia="Calibri"/>
          <w:color w:val="000000"/>
          <w:szCs w:val="24"/>
        </w:rPr>
        <w:t>Personnel</w:t>
      </w:r>
      <w:r w:rsidR="00997473">
        <w:rPr>
          <w:rFonts w:eastAsia="Calibri"/>
          <w:color w:val="000000"/>
          <w:szCs w:val="24"/>
        </w:rPr>
        <w:t xml:space="preserve"> </w:t>
      </w:r>
      <w:r w:rsidR="00BF2066">
        <w:rPr>
          <w:rFonts w:eastAsia="Calibri"/>
          <w:color w:val="000000"/>
          <w:szCs w:val="24"/>
        </w:rPr>
        <w:t>Management</w:t>
      </w:r>
      <w:r>
        <w:rPr>
          <w:rFonts w:eastAsia="Calibri"/>
          <w:color w:val="000000"/>
          <w:szCs w:val="24"/>
        </w:rPr>
        <w:t xml:space="preserve">. The federal employee labor costs reflect loaded rates by GS level and based on an estimated </w:t>
      </w:r>
      <w:r w:rsidR="00490DB1">
        <w:rPr>
          <w:rFonts w:eastAsia="Calibri"/>
          <w:color w:val="000000"/>
          <w:szCs w:val="24"/>
        </w:rPr>
        <w:t>60</w:t>
      </w:r>
      <w:r>
        <w:rPr>
          <w:rFonts w:eastAsia="Calibri"/>
          <w:color w:val="000000"/>
          <w:szCs w:val="24"/>
        </w:rPr>
        <w:t xml:space="preserve"> labor hours.  The estimated cost is $</w:t>
      </w:r>
      <w:r w:rsidR="00DE45BD">
        <w:rPr>
          <w:rFonts w:eastAsia="Calibri"/>
          <w:color w:val="000000"/>
          <w:szCs w:val="24"/>
        </w:rPr>
        <w:t>6,7</w:t>
      </w:r>
      <w:r w:rsidR="00490DB1">
        <w:rPr>
          <w:rFonts w:eastAsia="Calibri"/>
          <w:color w:val="000000"/>
          <w:szCs w:val="24"/>
        </w:rPr>
        <w:t>4</w:t>
      </w:r>
      <w:r w:rsidR="00DE45BD">
        <w:rPr>
          <w:rFonts w:eastAsia="Calibri"/>
          <w:color w:val="000000"/>
          <w:szCs w:val="24"/>
        </w:rPr>
        <w:t>9</w:t>
      </w:r>
      <w:r>
        <w:rPr>
          <w:rFonts w:eastAsia="Calibri"/>
          <w:color w:val="000000"/>
          <w:szCs w:val="24"/>
        </w:rPr>
        <w:t>.</w:t>
      </w:r>
    </w:p>
    <w:p w:rsidR="00CF1BD4" w14:paraId="64F1C899" w14:textId="77777777">
      <w:pPr>
        <w:rPr>
          <w:u w:val="single"/>
        </w:rPr>
      </w:pPr>
    </w:p>
    <w:tbl>
      <w:tblPr>
        <w:tblStyle w:val="TableGrid"/>
        <w:tblW w:w="0" w:type="auto"/>
        <w:tblInd w:w="2065" w:type="dxa"/>
        <w:shd w:val="clear" w:color="auto" w:fill="000000" w:themeFill="text1"/>
        <w:tblLook w:val="04A0"/>
      </w:tblPr>
      <w:tblGrid>
        <w:gridCol w:w="2610"/>
        <w:gridCol w:w="2160"/>
      </w:tblGrid>
      <w:tr w14:paraId="11A1B53D" w14:textId="77777777" w:rsidTr="00BD4B20">
        <w:tblPrEx>
          <w:tblW w:w="0" w:type="auto"/>
          <w:tblInd w:w="2065" w:type="dxa"/>
          <w:shd w:val="clear" w:color="auto" w:fill="000000" w:themeFill="text1"/>
          <w:tblLook w:val="04A0"/>
        </w:tblPrEx>
        <w:tc>
          <w:tcPr>
            <w:tcW w:w="2610" w:type="dxa"/>
            <w:tcBorders>
              <w:top w:val="single" w:sz="4" w:space="0" w:color="auto"/>
              <w:left w:val="single" w:sz="4" w:space="0" w:color="auto"/>
              <w:bottom w:val="single" w:sz="4" w:space="0" w:color="auto"/>
              <w:right w:val="single" w:sz="4" w:space="0" w:color="auto"/>
            </w:tcBorders>
            <w:shd w:val="clear" w:color="auto" w:fill="000000" w:themeFill="text1"/>
            <w:hideMark/>
          </w:tcPr>
          <w:p w:rsidR="00DE45BD" w:rsidP="00BD4B20" w14:paraId="2859BFEC" w14:textId="77777777">
            <w:pPr>
              <w:jc w:val="center"/>
              <w:rPr>
                <w:b/>
                <w:bCs/>
                <w:sz w:val="22"/>
                <w:szCs w:val="22"/>
              </w:rPr>
            </w:pPr>
            <w:r>
              <w:rPr>
                <w:b/>
                <w:bCs/>
                <w:sz w:val="22"/>
                <w:szCs w:val="22"/>
              </w:rPr>
              <w:t>Expense Category</w:t>
            </w:r>
          </w:p>
        </w:tc>
        <w:tc>
          <w:tcPr>
            <w:tcW w:w="2160" w:type="dxa"/>
            <w:tcBorders>
              <w:top w:val="single" w:sz="4" w:space="0" w:color="auto"/>
              <w:left w:val="single" w:sz="4" w:space="0" w:color="auto"/>
              <w:bottom w:val="single" w:sz="4" w:space="0" w:color="auto"/>
              <w:right w:val="single" w:sz="4" w:space="0" w:color="auto"/>
            </w:tcBorders>
            <w:shd w:val="clear" w:color="auto" w:fill="000000" w:themeFill="text1"/>
            <w:hideMark/>
          </w:tcPr>
          <w:p w:rsidR="00DE45BD" w:rsidP="00BD4B20" w14:paraId="16248226" w14:textId="77777777">
            <w:pPr>
              <w:jc w:val="center"/>
              <w:rPr>
                <w:b/>
                <w:bCs/>
                <w:sz w:val="22"/>
                <w:szCs w:val="22"/>
              </w:rPr>
            </w:pPr>
            <w:r>
              <w:rPr>
                <w:b/>
                <w:bCs/>
                <w:sz w:val="22"/>
                <w:szCs w:val="22"/>
              </w:rPr>
              <w:t>Cost</w:t>
            </w:r>
          </w:p>
        </w:tc>
      </w:tr>
      <w:tr w14:paraId="6175636A" w14:textId="77777777" w:rsidTr="00BD4B20">
        <w:tblPrEx>
          <w:tblW w:w="0" w:type="auto"/>
          <w:tblInd w:w="2065" w:type="dxa"/>
          <w:shd w:val="clear" w:color="auto" w:fill="000000" w:themeFill="text1"/>
          <w:tblLook w:val="04A0"/>
        </w:tblPrEx>
        <w:trPr>
          <w:trHeight w:val="368"/>
        </w:trPr>
        <w:tc>
          <w:tcPr>
            <w:tcW w:w="2610" w:type="dxa"/>
            <w:tcBorders>
              <w:top w:val="single" w:sz="4" w:space="0" w:color="auto"/>
              <w:left w:val="single" w:sz="4" w:space="0" w:color="auto"/>
              <w:bottom w:val="single" w:sz="4" w:space="0" w:color="auto"/>
              <w:right w:val="single" w:sz="4" w:space="0" w:color="auto"/>
            </w:tcBorders>
            <w:vAlign w:val="center"/>
            <w:hideMark/>
          </w:tcPr>
          <w:p w:rsidR="00DE45BD" w:rsidP="00BD4B20" w14:paraId="03B298F1" w14:textId="77777777">
            <w:pPr>
              <w:jc w:val="center"/>
              <w:rPr>
                <w:b/>
                <w:bCs/>
                <w:sz w:val="22"/>
                <w:szCs w:val="22"/>
              </w:rPr>
            </w:pPr>
            <w:r>
              <w:rPr>
                <w:b/>
                <w:bCs/>
                <w:sz w:val="22"/>
                <w:szCs w:val="22"/>
              </w:rPr>
              <w:t>CDFI Fund Staff</w:t>
            </w:r>
          </w:p>
        </w:tc>
        <w:tc>
          <w:tcPr>
            <w:tcW w:w="2160" w:type="dxa"/>
            <w:tcBorders>
              <w:top w:val="single" w:sz="4" w:space="0" w:color="auto"/>
              <w:left w:val="single" w:sz="4" w:space="0" w:color="auto"/>
              <w:bottom w:val="single" w:sz="4" w:space="0" w:color="auto"/>
              <w:right w:val="single" w:sz="4" w:space="0" w:color="auto"/>
            </w:tcBorders>
            <w:vAlign w:val="center"/>
            <w:hideMark/>
          </w:tcPr>
          <w:p w:rsidR="00DE45BD" w:rsidP="00BD4B20" w14:paraId="75A1F65E" w14:textId="1C675650">
            <w:pPr>
              <w:jc w:val="center"/>
              <w:rPr>
                <w:b/>
                <w:bCs/>
                <w:sz w:val="22"/>
                <w:szCs w:val="22"/>
              </w:rPr>
            </w:pPr>
            <w:r>
              <w:rPr>
                <w:b/>
                <w:bCs/>
                <w:sz w:val="22"/>
                <w:szCs w:val="22"/>
              </w:rPr>
              <w:t>$6,74</w:t>
            </w:r>
            <w:r w:rsidR="00490DB1">
              <w:rPr>
                <w:b/>
                <w:bCs/>
                <w:sz w:val="22"/>
                <w:szCs w:val="22"/>
              </w:rPr>
              <w:t>9</w:t>
            </w:r>
          </w:p>
        </w:tc>
      </w:tr>
    </w:tbl>
    <w:p w:rsidR="008A18CA" w14:paraId="74C84D1E" w14:textId="77777777">
      <w:pPr>
        <w:rPr>
          <w:u w:val="single"/>
        </w:rPr>
      </w:pPr>
    </w:p>
    <w:p w:rsidR="00CF1BD4" w14:paraId="2AA993B0" w14:textId="688D0CD5">
      <w:pPr>
        <w:rPr>
          <w:u w:val="single"/>
        </w:rPr>
      </w:pPr>
      <w:r>
        <w:rPr>
          <w:u w:val="single"/>
        </w:rPr>
        <w:t>15. Any program changes or adjustments</w:t>
      </w:r>
    </w:p>
    <w:p w:rsidR="00CF1BD4" w14:paraId="26D3F7C1" w14:textId="4F618E49">
      <w:r>
        <w:t>There are no program changes or adjustments that impact this collection tool</w:t>
      </w:r>
      <w:r w:rsidR="008B6796">
        <w:rPr>
          <w:color w:val="000000"/>
        </w:rPr>
        <w:t>.</w:t>
      </w:r>
      <w:r w:rsidR="00406DD0">
        <w:rPr>
          <w:color w:val="000000"/>
        </w:rPr>
        <w:t xml:space="preserve"> </w:t>
      </w:r>
      <w:r w:rsidRPr="00F15525" w:rsidR="00F15525">
        <w:t xml:space="preserve">There is a reduction in the overall burden as the frequency of reporting by respondents has changed due to </w:t>
      </w:r>
      <w:r w:rsidRPr="00F15525" w:rsidR="00F15525">
        <w:t xml:space="preserve">industry forces </w:t>
      </w:r>
      <w:r w:rsidR="00626BD3">
        <w:t xml:space="preserve">as CDEs </w:t>
      </w:r>
      <w:r w:rsidRPr="00626BD3" w:rsidR="00626BD3">
        <w:t>respon</w:t>
      </w:r>
      <w:r w:rsidR="00626BD3">
        <w:t>d</w:t>
      </w:r>
      <w:r w:rsidRPr="00626BD3" w:rsidR="00626BD3">
        <w:t xml:space="preserve"> to </w:t>
      </w:r>
      <w:r w:rsidR="00626BD3">
        <w:t>the collection as</w:t>
      </w:r>
      <w:r w:rsidRPr="00626BD3" w:rsidR="00626BD3">
        <w:t xml:space="preserve"> investment </w:t>
      </w:r>
      <w:r w:rsidR="00626BD3">
        <w:t>are</w:t>
      </w:r>
      <w:r w:rsidRPr="00626BD3" w:rsidR="00626BD3">
        <w:t xml:space="preserve"> received</w:t>
      </w:r>
      <w:r w:rsidR="002A6380">
        <w:t xml:space="preserve">, </w:t>
      </w:r>
      <w:r w:rsidRPr="00F15525" w:rsidR="00F15525">
        <w:t>rather than</w:t>
      </w:r>
      <w:r w:rsidR="00626BD3">
        <w:t xml:space="preserve"> program changes </w:t>
      </w:r>
      <w:r w:rsidR="002A6380">
        <w:t>initiated by the CDFI Fund.</w:t>
      </w:r>
    </w:p>
    <w:p w:rsidR="00406DD0" w14:paraId="375701E2" w14:textId="77777777">
      <w:pPr>
        <w:rPr>
          <w:u w:val="single"/>
        </w:rPr>
      </w:pPr>
    </w:p>
    <w:p w:rsidR="00CF1BD4" w14:paraId="2CD46ADA" w14:textId="255A6E05">
      <w:pPr>
        <w:rPr>
          <w:u w:val="single"/>
        </w:rPr>
      </w:pPr>
      <w:r>
        <w:rPr>
          <w:u w:val="single"/>
        </w:rPr>
        <w:t>16</w:t>
      </w:r>
      <w:r w:rsidR="003126D5">
        <w:rPr>
          <w:u w:val="single"/>
        </w:rPr>
        <w:t>. Plans</w:t>
      </w:r>
      <w:r>
        <w:rPr>
          <w:u w:val="single"/>
        </w:rPr>
        <w:t xml:space="preserve"> for information tabulation and publication</w:t>
      </w:r>
    </w:p>
    <w:p w:rsidR="004244AA" w:rsidRPr="00A42EE9" w:rsidP="004244AA" w14:paraId="6C13E876" w14:textId="77777777">
      <w:pPr>
        <w:rPr>
          <w:rFonts w:ascii="Calibri" w:eastAsia="Calibri" w:hAnsi="Calibri"/>
        </w:rPr>
      </w:pPr>
      <w:r>
        <w:t xml:space="preserve">Confidential or proprietary information collected will not be published. However, </w:t>
      </w:r>
      <w:r w:rsidRPr="00A42EE9">
        <w:rPr>
          <w:rFonts w:eastAsia="Calibri"/>
          <w:szCs w:val="24"/>
        </w:rPr>
        <w:t xml:space="preserve">the Agency may receive requests to release the information (e.g., congressional inquiry, Freedom of Information Act requests). The Agency will disseminate the findings when appropriate, strictly following the Agency's "Guidelines for Ensuring the Quality of Information Disseminated to the Public," and will include specific discussion of the limitations of the qualitative results discussed above. </w:t>
      </w:r>
    </w:p>
    <w:p w:rsidR="00CF1BD4" w14:paraId="273DF4B4" w14:textId="77777777"/>
    <w:p w:rsidR="00CF1BD4" w14:paraId="0EE153CB" w14:textId="193B8C5C">
      <w:r>
        <w:rPr>
          <w:u w:val="single"/>
        </w:rPr>
        <w:t>17</w:t>
      </w:r>
      <w:r w:rsidR="003126D5">
        <w:rPr>
          <w:u w:val="single"/>
        </w:rPr>
        <w:t>. Reasons</w:t>
      </w:r>
      <w:r>
        <w:rPr>
          <w:u w:val="single"/>
        </w:rPr>
        <w:t xml:space="preserve"> for not displaying expiration date of OMB approval</w:t>
      </w:r>
    </w:p>
    <w:p w:rsidR="00490DB1" w:rsidP="00490DB1" w14:paraId="4435FCB0" w14:textId="77777777">
      <w:r>
        <w:t>The expiration date will be displayed.</w:t>
      </w:r>
    </w:p>
    <w:p w:rsidR="00AB1FCE" w:rsidP="002B424C" w14:paraId="1295A025" w14:textId="77777777"/>
    <w:p w:rsidR="00CF1BD4" w14:paraId="375B77D8" w14:textId="1C847765">
      <w:pPr>
        <w:rPr>
          <w:u w:val="single"/>
        </w:rPr>
      </w:pPr>
      <w:r>
        <w:rPr>
          <w:u w:val="single"/>
        </w:rPr>
        <w:t>18</w:t>
      </w:r>
      <w:r w:rsidR="003126D5">
        <w:rPr>
          <w:u w:val="single"/>
        </w:rPr>
        <w:t>. Explanation</w:t>
      </w:r>
      <w:r>
        <w:rPr>
          <w:u w:val="single"/>
        </w:rPr>
        <w:t xml:space="preserve"> of exceptions to certification statement</w:t>
      </w:r>
    </w:p>
    <w:p w:rsidR="00CF1BD4" w14:paraId="4B117555" w14:textId="6ED2F294">
      <w:r>
        <w:t>There are no exceptions to the certification statement.</w:t>
      </w:r>
    </w:p>
    <w:p w:rsidR="00CF1BD4" w14:paraId="77CF0BE0" w14:textId="77777777"/>
    <w:p w:rsidR="00CF1BD4" w14:paraId="5D0793F3" w14:textId="77777777">
      <w:pPr>
        <w:pStyle w:val="Heading1"/>
      </w:pPr>
      <w:r>
        <w:t>B.  Collections of Information Employing Statistical Methods</w:t>
      </w:r>
    </w:p>
    <w:p w:rsidR="00CF1BD4" w14:paraId="06C3A99F" w14:textId="77777777">
      <w:r>
        <w:t>This section is not applicable.</w:t>
      </w:r>
    </w:p>
    <w:sectPr w:rsidSect="00E50D29">
      <w:headerReference w:type="default" r:id="rId9"/>
      <w:footerReference w:type="default" r:id="rId10"/>
      <w:headerReference w:type="first" r:id="rId11"/>
      <w:pgSz w:w="12240" w:h="15840"/>
      <w:pgMar w:top="1296" w:right="1440" w:bottom="1152" w:left="1440" w:header="720"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0263" w14:paraId="0CF46BAA" w14:textId="21D0B7E9">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52CCD">
      <w:rPr>
        <w:rStyle w:val="PageNumber"/>
        <w:noProof/>
      </w:rPr>
      <w:t>4</w:t>
    </w:r>
    <w:r>
      <w:rPr>
        <w:rStyle w:val="PageNumber"/>
      </w:rPr>
      <w:fldChar w:fldCharType="end"/>
    </w:r>
  </w:p>
  <w:p w:rsidR="008B0263" w14:paraId="17D3062B" w14:textId="77777777">
    <w:pPr>
      <w:pStyle w:val="Footer"/>
    </w:pPr>
  </w:p>
  <w:p w:rsidR="00E518A3" w14:paraId="15A055F2"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B0263" w14:paraId="52B71679" w14:textId="77777777">
    <w:pPr>
      <w:pStyle w:val="Header"/>
      <w:jc w:val="center"/>
    </w:pPr>
    <w:r>
      <w:t>Community Development Financial Institutions Fund, Department of the Treasury</w:t>
    </w:r>
  </w:p>
  <w:p w:rsidR="00E518A3" w14:paraId="5BA27D2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13DB4" w:rsidP="00213DB4" w14:paraId="05B4B2EB" w14:textId="77777777">
    <w:pPr>
      <w:pStyle w:val="Header"/>
      <w:jc w:val="center"/>
    </w:pPr>
    <w:r>
      <w:t>Community Development Financial Institutions Fund, Department of the Treasury</w:t>
    </w:r>
  </w:p>
  <w:p w:rsidR="00213DB4" w14:paraId="2BC7749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9F61D1"/>
    <w:multiLevelType w:val="hybridMultilevel"/>
    <w:tmpl w:val="E74618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5A463D3"/>
    <w:multiLevelType w:val="hybridMultilevel"/>
    <w:tmpl w:val="A45040E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7B51E6F"/>
    <w:multiLevelType w:val="hybridMultilevel"/>
    <w:tmpl w:val="80F00BEE"/>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40E58BF"/>
    <w:multiLevelType w:val="singleLevel"/>
    <w:tmpl w:val="A9E66930"/>
    <w:lvl w:ilvl="0">
      <w:start w:val="3"/>
      <w:numFmt w:val="decimal"/>
      <w:lvlText w:val="%1. "/>
      <w:legacy w:legacy="1" w:legacySpace="0" w:legacyIndent="360"/>
      <w:lvlJc w:val="left"/>
      <w:pPr>
        <w:ind w:left="360" w:hanging="360"/>
      </w:pPr>
      <w:rPr>
        <w:b w:val="0"/>
        <w:i w:val="0"/>
        <w:sz w:val="24"/>
        <w:u w:val="single"/>
      </w:rPr>
    </w:lvl>
  </w:abstractNum>
  <w:abstractNum w:abstractNumId="4">
    <w:nsid w:val="295A11EE"/>
    <w:multiLevelType w:val="hybridMultilevel"/>
    <w:tmpl w:val="38EAEDF8"/>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5">
    <w:nsid w:val="3789334E"/>
    <w:multiLevelType w:val="hybridMultilevel"/>
    <w:tmpl w:val="017E78EE"/>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6">
    <w:nsid w:val="41CE2CAE"/>
    <w:multiLevelType w:val="hybridMultilevel"/>
    <w:tmpl w:val="73AC0396"/>
    <w:lvl w:ilvl="0">
      <w:start w:val="1"/>
      <w:numFmt w:val="bullet"/>
      <w:lvlText w:val=""/>
      <w:lvlJc w:val="left"/>
      <w:pPr>
        <w:tabs>
          <w:tab w:val="num" w:pos="360"/>
        </w:tabs>
        <w:ind w:left="360" w:hanging="360"/>
      </w:pPr>
      <w:rPr>
        <w:rFonts w:ascii="Symbol" w:hAnsi="Symbol" w:hint="default"/>
        <w:sz w:val="24"/>
      </w:rPr>
    </w:lvl>
    <w:lvl w:ilvl="1" w:tentative="1">
      <w:start w:val="1"/>
      <w:numFmt w:val="bullet"/>
      <w:lvlText w:val="o"/>
      <w:lvlJc w:val="left"/>
      <w:pPr>
        <w:tabs>
          <w:tab w:val="num" w:pos="720"/>
        </w:tabs>
        <w:ind w:left="720" w:hanging="360"/>
      </w:pPr>
      <w:rPr>
        <w:rFonts w:ascii="Courier New" w:hAnsi="Courier New" w:hint="default"/>
      </w:rPr>
    </w:lvl>
    <w:lvl w:ilvl="2" w:tentative="1">
      <w:start w:val="1"/>
      <w:numFmt w:val="bullet"/>
      <w:lvlText w:val=""/>
      <w:lvlJc w:val="left"/>
      <w:pPr>
        <w:tabs>
          <w:tab w:val="num" w:pos="1440"/>
        </w:tabs>
        <w:ind w:left="1440" w:hanging="360"/>
      </w:pPr>
      <w:rPr>
        <w:rFonts w:ascii="Wingdings" w:hAnsi="Wingdings" w:hint="default"/>
      </w:rPr>
    </w:lvl>
    <w:lvl w:ilvl="3" w:tentative="1">
      <w:start w:val="1"/>
      <w:numFmt w:val="bullet"/>
      <w:lvlText w:val=""/>
      <w:lvlJc w:val="left"/>
      <w:pPr>
        <w:tabs>
          <w:tab w:val="num" w:pos="2160"/>
        </w:tabs>
        <w:ind w:left="2160" w:hanging="360"/>
      </w:pPr>
      <w:rPr>
        <w:rFonts w:ascii="Symbol" w:hAnsi="Symbol" w:hint="default"/>
      </w:rPr>
    </w:lvl>
    <w:lvl w:ilvl="4" w:tentative="1">
      <w:start w:val="1"/>
      <w:numFmt w:val="bullet"/>
      <w:lvlText w:val="o"/>
      <w:lvlJc w:val="left"/>
      <w:pPr>
        <w:tabs>
          <w:tab w:val="num" w:pos="2880"/>
        </w:tabs>
        <w:ind w:left="2880" w:hanging="360"/>
      </w:pPr>
      <w:rPr>
        <w:rFonts w:ascii="Courier New" w:hAnsi="Courier New" w:hint="default"/>
      </w:rPr>
    </w:lvl>
    <w:lvl w:ilvl="5" w:tentative="1">
      <w:start w:val="1"/>
      <w:numFmt w:val="bullet"/>
      <w:lvlText w:val=""/>
      <w:lvlJc w:val="left"/>
      <w:pPr>
        <w:tabs>
          <w:tab w:val="num" w:pos="3600"/>
        </w:tabs>
        <w:ind w:left="3600" w:hanging="360"/>
      </w:pPr>
      <w:rPr>
        <w:rFonts w:ascii="Wingdings" w:hAnsi="Wingdings" w:hint="default"/>
      </w:rPr>
    </w:lvl>
    <w:lvl w:ilvl="6" w:tentative="1">
      <w:start w:val="1"/>
      <w:numFmt w:val="bullet"/>
      <w:lvlText w:val=""/>
      <w:lvlJc w:val="left"/>
      <w:pPr>
        <w:tabs>
          <w:tab w:val="num" w:pos="4320"/>
        </w:tabs>
        <w:ind w:left="4320" w:hanging="360"/>
      </w:pPr>
      <w:rPr>
        <w:rFonts w:ascii="Symbol" w:hAnsi="Symbol" w:hint="default"/>
      </w:rPr>
    </w:lvl>
    <w:lvl w:ilvl="7" w:tentative="1">
      <w:start w:val="1"/>
      <w:numFmt w:val="bullet"/>
      <w:lvlText w:val="o"/>
      <w:lvlJc w:val="left"/>
      <w:pPr>
        <w:tabs>
          <w:tab w:val="num" w:pos="5040"/>
        </w:tabs>
        <w:ind w:left="5040" w:hanging="360"/>
      </w:pPr>
      <w:rPr>
        <w:rFonts w:ascii="Courier New" w:hAnsi="Courier New" w:hint="default"/>
      </w:rPr>
    </w:lvl>
    <w:lvl w:ilvl="8" w:tentative="1">
      <w:start w:val="1"/>
      <w:numFmt w:val="bullet"/>
      <w:lvlText w:val=""/>
      <w:lvlJc w:val="left"/>
      <w:pPr>
        <w:tabs>
          <w:tab w:val="num" w:pos="5760"/>
        </w:tabs>
        <w:ind w:left="5760" w:hanging="360"/>
      </w:pPr>
      <w:rPr>
        <w:rFonts w:ascii="Wingdings" w:hAnsi="Wingdings" w:hint="default"/>
      </w:rPr>
    </w:lvl>
  </w:abstractNum>
  <w:abstractNum w:abstractNumId="7">
    <w:nsid w:val="50D42977"/>
    <w:multiLevelType w:val="hybridMultilevel"/>
    <w:tmpl w:val="DA244194"/>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8">
    <w:nsid w:val="53A8162B"/>
    <w:multiLevelType w:val="hybridMultilevel"/>
    <w:tmpl w:val="3184E1AE"/>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5BE354D8"/>
    <w:multiLevelType w:val="hybridMultilevel"/>
    <w:tmpl w:val="72209934"/>
    <w:lvl w:ilvl="0">
      <w:start w:val="1"/>
      <w:numFmt w:val="bullet"/>
      <w:lvlText w:val=""/>
      <w:lvlJc w:val="left"/>
      <w:pPr>
        <w:tabs>
          <w:tab w:val="num" w:pos="360"/>
        </w:tabs>
        <w:ind w:left="36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5EB91743"/>
    <w:multiLevelType w:val="hybridMultilevel"/>
    <w:tmpl w:val="1D7A46DE"/>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11">
    <w:nsid w:val="5EBA5964"/>
    <w:multiLevelType w:val="hybridMultilevel"/>
    <w:tmpl w:val="F35E0904"/>
    <w:lvl w:ilvl="0">
      <w:start w:val="2"/>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68415DCB"/>
    <w:multiLevelType w:val="hybridMultilevel"/>
    <w:tmpl w:val="72CECC00"/>
    <w:lvl w:ilvl="0">
      <w:start w:val="2"/>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68CA48FF"/>
    <w:multiLevelType w:val="hybridMultilevel"/>
    <w:tmpl w:val="317244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6A452651"/>
    <w:multiLevelType w:val="hybridMultilevel"/>
    <w:tmpl w:val="CBE81A6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53C6142"/>
    <w:multiLevelType w:val="hybridMultilevel"/>
    <w:tmpl w:val="DADE3A42"/>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16">
    <w:nsid w:val="79CA7F66"/>
    <w:multiLevelType w:val="hybridMultilevel"/>
    <w:tmpl w:val="97E480D6"/>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17">
    <w:nsid w:val="7E0D05FA"/>
    <w:multiLevelType w:val="hybridMultilevel"/>
    <w:tmpl w:val="E3C8F7E6"/>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18">
    <w:nsid w:val="7EB70FE2"/>
    <w:multiLevelType w:val="hybridMultilevel"/>
    <w:tmpl w:val="FA74E418"/>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16cid:durableId="238758181">
    <w:abstractNumId w:val="3"/>
  </w:num>
  <w:num w:numId="2" w16cid:durableId="2111469263">
    <w:abstractNumId w:val="12"/>
  </w:num>
  <w:num w:numId="3" w16cid:durableId="1198932178">
    <w:abstractNumId w:val="11"/>
  </w:num>
  <w:num w:numId="4" w16cid:durableId="113712751">
    <w:abstractNumId w:val="6"/>
  </w:num>
  <w:num w:numId="5" w16cid:durableId="224528393">
    <w:abstractNumId w:val="9"/>
  </w:num>
  <w:num w:numId="6" w16cid:durableId="2074157544">
    <w:abstractNumId w:val="8"/>
  </w:num>
  <w:num w:numId="7" w16cid:durableId="2010789729">
    <w:abstractNumId w:val="14"/>
  </w:num>
  <w:num w:numId="8" w16cid:durableId="1108886587">
    <w:abstractNumId w:val="0"/>
  </w:num>
  <w:num w:numId="9" w16cid:durableId="107508599">
    <w:abstractNumId w:val="10"/>
  </w:num>
  <w:num w:numId="10" w16cid:durableId="232275201">
    <w:abstractNumId w:val="15"/>
  </w:num>
  <w:num w:numId="11" w16cid:durableId="1554652761">
    <w:abstractNumId w:val="4"/>
  </w:num>
  <w:num w:numId="12" w16cid:durableId="1034773776">
    <w:abstractNumId w:val="17"/>
  </w:num>
  <w:num w:numId="13" w16cid:durableId="1662080396">
    <w:abstractNumId w:val="5"/>
  </w:num>
  <w:num w:numId="14" w16cid:durableId="913665817">
    <w:abstractNumId w:val="16"/>
  </w:num>
  <w:num w:numId="15" w16cid:durableId="881480337">
    <w:abstractNumId w:val="7"/>
  </w:num>
  <w:num w:numId="16" w16cid:durableId="2123840542">
    <w:abstractNumId w:val="13"/>
  </w:num>
  <w:num w:numId="17" w16cid:durableId="436293079">
    <w:abstractNumId w:val="18"/>
  </w:num>
  <w:num w:numId="18" w16cid:durableId="1701978464">
    <w:abstractNumId w:val="1"/>
  </w:num>
  <w:num w:numId="19" w16cid:durableId="7460741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A20"/>
    <w:rsid w:val="000269E5"/>
    <w:rsid w:val="00027A06"/>
    <w:rsid w:val="000559F2"/>
    <w:rsid w:val="000603F0"/>
    <w:rsid w:val="00061089"/>
    <w:rsid w:val="00077642"/>
    <w:rsid w:val="00083368"/>
    <w:rsid w:val="00084104"/>
    <w:rsid w:val="0008650B"/>
    <w:rsid w:val="00087D29"/>
    <w:rsid w:val="000D123C"/>
    <w:rsid w:val="000D4BC4"/>
    <w:rsid w:val="00113C7E"/>
    <w:rsid w:val="0015163E"/>
    <w:rsid w:val="00152CCD"/>
    <w:rsid w:val="001B3146"/>
    <w:rsid w:val="001E0D4D"/>
    <w:rsid w:val="001E44E0"/>
    <w:rsid w:val="00200C8A"/>
    <w:rsid w:val="002071FB"/>
    <w:rsid w:val="002113C6"/>
    <w:rsid w:val="00213DB4"/>
    <w:rsid w:val="00214937"/>
    <w:rsid w:val="00262F5D"/>
    <w:rsid w:val="00264A1C"/>
    <w:rsid w:val="002751E5"/>
    <w:rsid w:val="002773E5"/>
    <w:rsid w:val="002858AA"/>
    <w:rsid w:val="00287EEA"/>
    <w:rsid w:val="002A1FB4"/>
    <w:rsid w:val="002A6380"/>
    <w:rsid w:val="002B156C"/>
    <w:rsid w:val="002B424C"/>
    <w:rsid w:val="002C7961"/>
    <w:rsid w:val="002F137F"/>
    <w:rsid w:val="00305740"/>
    <w:rsid w:val="003126D5"/>
    <w:rsid w:val="003246D1"/>
    <w:rsid w:val="003639EF"/>
    <w:rsid w:val="00390605"/>
    <w:rsid w:val="00397269"/>
    <w:rsid w:val="003C3D38"/>
    <w:rsid w:val="003E7B5C"/>
    <w:rsid w:val="003F172E"/>
    <w:rsid w:val="003F2E03"/>
    <w:rsid w:val="004024C1"/>
    <w:rsid w:val="00406DD0"/>
    <w:rsid w:val="004244AA"/>
    <w:rsid w:val="0043534C"/>
    <w:rsid w:val="0045116D"/>
    <w:rsid w:val="004622F4"/>
    <w:rsid w:val="004639F8"/>
    <w:rsid w:val="00490DB1"/>
    <w:rsid w:val="004A1442"/>
    <w:rsid w:val="004A593B"/>
    <w:rsid w:val="004C58B5"/>
    <w:rsid w:val="004D15E7"/>
    <w:rsid w:val="004D46FD"/>
    <w:rsid w:val="004D7960"/>
    <w:rsid w:val="004E1116"/>
    <w:rsid w:val="004E28C4"/>
    <w:rsid w:val="004F13E5"/>
    <w:rsid w:val="005534DD"/>
    <w:rsid w:val="00555E83"/>
    <w:rsid w:val="00562788"/>
    <w:rsid w:val="00591152"/>
    <w:rsid w:val="00593480"/>
    <w:rsid w:val="005A5090"/>
    <w:rsid w:val="005D2320"/>
    <w:rsid w:val="005F5F21"/>
    <w:rsid w:val="006166F5"/>
    <w:rsid w:val="00620A20"/>
    <w:rsid w:val="00626BD3"/>
    <w:rsid w:val="006349EE"/>
    <w:rsid w:val="00635D51"/>
    <w:rsid w:val="00636261"/>
    <w:rsid w:val="00642506"/>
    <w:rsid w:val="006537BA"/>
    <w:rsid w:val="0066237E"/>
    <w:rsid w:val="00670A21"/>
    <w:rsid w:val="00683EC0"/>
    <w:rsid w:val="0069065B"/>
    <w:rsid w:val="00696DFF"/>
    <w:rsid w:val="006E214C"/>
    <w:rsid w:val="006E2FF5"/>
    <w:rsid w:val="006E6067"/>
    <w:rsid w:val="006F0FD9"/>
    <w:rsid w:val="006F1BCE"/>
    <w:rsid w:val="006F54AA"/>
    <w:rsid w:val="00702EB2"/>
    <w:rsid w:val="0071312C"/>
    <w:rsid w:val="00716876"/>
    <w:rsid w:val="00716CA6"/>
    <w:rsid w:val="00726F93"/>
    <w:rsid w:val="00731C2C"/>
    <w:rsid w:val="00753903"/>
    <w:rsid w:val="00756135"/>
    <w:rsid w:val="0076422A"/>
    <w:rsid w:val="00765735"/>
    <w:rsid w:val="00770C16"/>
    <w:rsid w:val="00771431"/>
    <w:rsid w:val="00785953"/>
    <w:rsid w:val="00787DF8"/>
    <w:rsid w:val="007A33DA"/>
    <w:rsid w:val="007A596B"/>
    <w:rsid w:val="007C1C59"/>
    <w:rsid w:val="007D2D6A"/>
    <w:rsid w:val="007D67D3"/>
    <w:rsid w:val="007E505C"/>
    <w:rsid w:val="008001C8"/>
    <w:rsid w:val="00802241"/>
    <w:rsid w:val="008173F0"/>
    <w:rsid w:val="00826642"/>
    <w:rsid w:val="00836B65"/>
    <w:rsid w:val="00840E1A"/>
    <w:rsid w:val="00852A8D"/>
    <w:rsid w:val="0085684F"/>
    <w:rsid w:val="00866174"/>
    <w:rsid w:val="00894442"/>
    <w:rsid w:val="00897BFB"/>
    <w:rsid w:val="008A18CA"/>
    <w:rsid w:val="008A32E7"/>
    <w:rsid w:val="008B0263"/>
    <w:rsid w:val="008B24B8"/>
    <w:rsid w:val="008B6796"/>
    <w:rsid w:val="008C45ED"/>
    <w:rsid w:val="008D04EE"/>
    <w:rsid w:val="008D1DC7"/>
    <w:rsid w:val="008D2C46"/>
    <w:rsid w:val="008E56F6"/>
    <w:rsid w:val="008F18A7"/>
    <w:rsid w:val="00900E59"/>
    <w:rsid w:val="00904513"/>
    <w:rsid w:val="009054A7"/>
    <w:rsid w:val="0090601D"/>
    <w:rsid w:val="009200EE"/>
    <w:rsid w:val="00931BF7"/>
    <w:rsid w:val="00936287"/>
    <w:rsid w:val="00940B92"/>
    <w:rsid w:val="009424A4"/>
    <w:rsid w:val="00952EC3"/>
    <w:rsid w:val="00957235"/>
    <w:rsid w:val="009669D4"/>
    <w:rsid w:val="0097209B"/>
    <w:rsid w:val="009827EC"/>
    <w:rsid w:val="00984174"/>
    <w:rsid w:val="00994403"/>
    <w:rsid w:val="00997473"/>
    <w:rsid w:val="009A1401"/>
    <w:rsid w:val="009C30E3"/>
    <w:rsid w:val="009C522A"/>
    <w:rsid w:val="009D2CE9"/>
    <w:rsid w:val="009D4B81"/>
    <w:rsid w:val="009D6092"/>
    <w:rsid w:val="009F3434"/>
    <w:rsid w:val="00A05B17"/>
    <w:rsid w:val="00A42EE9"/>
    <w:rsid w:val="00A57B69"/>
    <w:rsid w:val="00A80E35"/>
    <w:rsid w:val="00A96572"/>
    <w:rsid w:val="00AA3BD1"/>
    <w:rsid w:val="00AA47BC"/>
    <w:rsid w:val="00AB1FCE"/>
    <w:rsid w:val="00AC027C"/>
    <w:rsid w:val="00AC2FAD"/>
    <w:rsid w:val="00AD1547"/>
    <w:rsid w:val="00AD51B7"/>
    <w:rsid w:val="00AF6E48"/>
    <w:rsid w:val="00B0333B"/>
    <w:rsid w:val="00B06FE6"/>
    <w:rsid w:val="00B31E1F"/>
    <w:rsid w:val="00B37686"/>
    <w:rsid w:val="00B52991"/>
    <w:rsid w:val="00B630B8"/>
    <w:rsid w:val="00B65B96"/>
    <w:rsid w:val="00B8511A"/>
    <w:rsid w:val="00BA3EA4"/>
    <w:rsid w:val="00BA55C4"/>
    <w:rsid w:val="00BB0547"/>
    <w:rsid w:val="00BB65D5"/>
    <w:rsid w:val="00BD4B20"/>
    <w:rsid w:val="00BF2066"/>
    <w:rsid w:val="00C10D2E"/>
    <w:rsid w:val="00C327C4"/>
    <w:rsid w:val="00C4574F"/>
    <w:rsid w:val="00C550A5"/>
    <w:rsid w:val="00C90C65"/>
    <w:rsid w:val="00C91F4F"/>
    <w:rsid w:val="00C927B6"/>
    <w:rsid w:val="00CA29CA"/>
    <w:rsid w:val="00CD269B"/>
    <w:rsid w:val="00CD5E06"/>
    <w:rsid w:val="00CE6B20"/>
    <w:rsid w:val="00CF1BD4"/>
    <w:rsid w:val="00CF31A2"/>
    <w:rsid w:val="00D02918"/>
    <w:rsid w:val="00D25FDB"/>
    <w:rsid w:val="00D27C9F"/>
    <w:rsid w:val="00D30FCF"/>
    <w:rsid w:val="00D4381A"/>
    <w:rsid w:val="00D7315B"/>
    <w:rsid w:val="00D76CC5"/>
    <w:rsid w:val="00D80148"/>
    <w:rsid w:val="00D91347"/>
    <w:rsid w:val="00DA6A36"/>
    <w:rsid w:val="00DB3EE1"/>
    <w:rsid w:val="00DD423C"/>
    <w:rsid w:val="00DE11C6"/>
    <w:rsid w:val="00DE1B59"/>
    <w:rsid w:val="00DE45BD"/>
    <w:rsid w:val="00E07A71"/>
    <w:rsid w:val="00E11EC3"/>
    <w:rsid w:val="00E15979"/>
    <w:rsid w:val="00E31466"/>
    <w:rsid w:val="00E32D15"/>
    <w:rsid w:val="00E412EC"/>
    <w:rsid w:val="00E426E0"/>
    <w:rsid w:val="00E44702"/>
    <w:rsid w:val="00E50D29"/>
    <w:rsid w:val="00E518A3"/>
    <w:rsid w:val="00E53C50"/>
    <w:rsid w:val="00E64765"/>
    <w:rsid w:val="00E64EFF"/>
    <w:rsid w:val="00E7191F"/>
    <w:rsid w:val="00E8204E"/>
    <w:rsid w:val="00EB23E2"/>
    <w:rsid w:val="00EE1A2D"/>
    <w:rsid w:val="00F05F65"/>
    <w:rsid w:val="00F15525"/>
    <w:rsid w:val="00F46145"/>
    <w:rsid w:val="00F50D91"/>
    <w:rsid w:val="00F52B2D"/>
    <w:rsid w:val="00F55E4D"/>
    <w:rsid w:val="00F66E1F"/>
    <w:rsid w:val="00F735FD"/>
    <w:rsid w:val="00F83419"/>
    <w:rsid w:val="00F84D57"/>
    <w:rsid w:val="00FA1B05"/>
    <w:rsid w:val="00FA3399"/>
    <w:rsid w:val="00FC01C7"/>
    <w:rsid w:val="00FC2C26"/>
    <w:rsid w:val="00FF3EE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E74C1A3"/>
  <w15:docId w15:val="{75A5F77A-9825-478B-87C3-F99CE8B83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spacing w:before="60" w:after="60"/>
      <w:outlineLvl w:val="1"/>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jc w:val="center"/>
    </w:pPr>
  </w:style>
  <w:style w:type="paragraph" w:styleId="BodyText2">
    <w:name w:val="Body Text 2"/>
    <w:basedOn w:val="Normal"/>
    <w:pPr>
      <w:jc w:val="both"/>
    </w:pPr>
  </w:style>
  <w:style w:type="paragraph" w:customStyle="1" w:styleId="Default">
    <w:name w:val="Default"/>
    <w:pPr>
      <w:autoSpaceDE w:val="0"/>
      <w:autoSpaceDN w:val="0"/>
      <w:adjustRightInd w:val="0"/>
    </w:pPr>
    <w:rPr>
      <w:rFonts w:ascii="Arial" w:hAnsi="Arial" w:cs="Arial"/>
    </w:rPr>
  </w:style>
  <w:style w:type="character" w:styleId="CommentReference">
    <w:name w:val="annotation reference"/>
    <w:basedOn w:val="DefaultParagraphFont"/>
    <w:semiHidden/>
    <w:rsid w:val="00B8511A"/>
    <w:rPr>
      <w:sz w:val="16"/>
      <w:szCs w:val="16"/>
    </w:rPr>
  </w:style>
  <w:style w:type="paragraph" w:styleId="CommentText">
    <w:name w:val="annotation text"/>
    <w:basedOn w:val="Normal"/>
    <w:semiHidden/>
    <w:rsid w:val="00B8511A"/>
    <w:rPr>
      <w:sz w:val="20"/>
    </w:rPr>
  </w:style>
  <w:style w:type="paragraph" w:styleId="CommentSubject">
    <w:name w:val="annotation subject"/>
    <w:basedOn w:val="CommentText"/>
    <w:next w:val="CommentText"/>
    <w:semiHidden/>
    <w:rsid w:val="00B8511A"/>
    <w:rPr>
      <w:b/>
      <w:bCs/>
    </w:rPr>
  </w:style>
  <w:style w:type="paragraph" w:styleId="BalloonText">
    <w:name w:val="Balloon Text"/>
    <w:basedOn w:val="Normal"/>
    <w:semiHidden/>
    <w:rsid w:val="00B8511A"/>
    <w:rPr>
      <w:rFonts w:ascii="Tahoma" w:hAnsi="Tahoma" w:cs="Tahoma"/>
      <w:sz w:val="16"/>
      <w:szCs w:val="16"/>
    </w:rPr>
  </w:style>
  <w:style w:type="table" w:styleId="TableGrid">
    <w:name w:val="Table Grid"/>
    <w:basedOn w:val="TableNormal"/>
    <w:uiPriority w:val="59"/>
    <w:rsid w:val="00E447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s"/>
    <w:basedOn w:val="Normal"/>
    <w:link w:val="ListParagraphChar"/>
    <w:uiPriority w:val="34"/>
    <w:qFormat/>
    <w:rsid w:val="00E7191F"/>
    <w:pPr>
      <w:ind w:left="720"/>
      <w:contextualSpacing/>
    </w:pPr>
  </w:style>
  <w:style w:type="paragraph" w:styleId="Revision">
    <w:name w:val="Revision"/>
    <w:hidden/>
    <w:uiPriority w:val="99"/>
    <w:semiHidden/>
    <w:rsid w:val="00756135"/>
    <w:rPr>
      <w:sz w:val="24"/>
    </w:rPr>
  </w:style>
  <w:style w:type="table" w:customStyle="1" w:styleId="TableGrid1">
    <w:name w:val="Table Grid1"/>
    <w:basedOn w:val="TableNormal"/>
    <w:next w:val="TableGrid"/>
    <w:uiPriority w:val="39"/>
    <w:rsid w:val="002B156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s Char"/>
    <w:link w:val="ListParagraph"/>
    <w:uiPriority w:val="34"/>
    <w:rsid w:val="008A18C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96BEAE97300F5A479B8A0A2306DDCB8D" ma:contentTypeVersion="2" ma:contentTypeDescription="Create a new document." ma:contentTypeScope="" ma:versionID="9a62e1fed0e07400f63e876813111c94">
  <xsd:schema xmlns:xsd="http://www.w3.org/2001/XMLSchema" xmlns:xs="http://www.w3.org/2001/XMLSchema" xmlns:p="http://schemas.microsoft.com/office/2006/metadata/properties" xmlns:ns2="52222ef0-b167-44f5-92f7-438fda0857cd" xmlns:ns3="8f418ccd-e58d-4230-bf28-9ba4dc663030" targetNamespace="http://schemas.microsoft.com/office/2006/metadata/properties" ma:root="true" ma:fieldsID="f93db4162ba77f7d3c8c12436c368ed4" ns2:_="" ns3:_="">
    <xsd:import namespace="52222ef0-b167-44f5-92f7-438fda0857cd"/>
    <xsd:import namespace="8f418ccd-e58d-4230-bf28-9ba4dc663030"/>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222ef0-b167-44f5-92f7-438fda0857c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f418ccd-e58d-4230-bf28-9ba4dc66303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52222ef0-b167-44f5-92f7-438fda0857cd">DOCDFI-36223471-1614</_dlc_DocId>
    <_dlc_DocIdUrl xmlns="52222ef0-b167-44f5-92f7-438fda0857cd">
      <Url>https://my.treasury.gov/collab/CDFI/cross_program_team_site/_layouts/15/DocIdRedir.aspx?ID=DOCDFI-36223471-1614</Url>
      <Description>DOCDFI-36223471-1614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19A82-5571-44A1-B80F-B1775CA28A8F}">
  <ds:schemaRefs>
    <ds:schemaRef ds:uri="http://schemas.microsoft.com/sharepoint/events"/>
  </ds:schemaRefs>
</ds:datastoreItem>
</file>

<file path=customXml/itemProps2.xml><?xml version="1.0" encoding="utf-8"?>
<ds:datastoreItem xmlns:ds="http://schemas.openxmlformats.org/officeDocument/2006/customXml" ds:itemID="{27C8E90B-8866-46A0-863E-188F5D0EE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222ef0-b167-44f5-92f7-438fda0857cd"/>
    <ds:schemaRef ds:uri="8f418ccd-e58d-4230-bf28-9ba4dc6630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2658AC-59CC-4CFE-9AB4-528057DFBA45}">
  <ds:schemaRefs>
    <ds:schemaRef ds:uri="http://schemas.microsoft.com/office/2006/metadata/properties"/>
    <ds:schemaRef ds:uri="http://schemas.microsoft.com/office/infopath/2007/PartnerControls"/>
    <ds:schemaRef ds:uri="52222ef0-b167-44f5-92f7-438fda0857cd"/>
  </ds:schemaRefs>
</ds:datastoreItem>
</file>

<file path=customXml/itemProps4.xml><?xml version="1.0" encoding="utf-8"?>
<ds:datastoreItem xmlns:ds="http://schemas.openxmlformats.org/officeDocument/2006/customXml" ds:itemID="{06834778-C0CA-4953-9305-6C413112C021}">
  <ds:schemaRefs>
    <ds:schemaRef ds:uri="http://schemas.microsoft.com/sharepoint/v3/contenttype/forms"/>
  </ds:schemaRefs>
</ds:datastoreItem>
</file>

<file path=customXml/itemProps5.xml><?xml version="1.0" encoding="utf-8"?>
<ds:datastoreItem xmlns:ds="http://schemas.openxmlformats.org/officeDocument/2006/customXml" ds:itemID="{C6D720D8-AED7-45D5-B508-98C857960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1396</Words>
  <Characters>7960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Supporting Statement for NMTC AQEI</vt:lpstr>
    </vt:vector>
  </TitlesOfParts>
  <Company>treasury</Company>
  <LinksUpToDate>false</LinksUpToDate>
  <CharactersWithSpaces>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NMTC AQEI</dc:title>
  <dc:creator>user</dc:creator>
  <cp:lastModifiedBy>Decker, Kari</cp:lastModifiedBy>
  <cp:revision>6</cp:revision>
  <cp:lastPrinted>2010-04-22T15:38:00Z</cp:lastPrinted>
  <dcterms:created xsi:type="dcterms:W3CDTF">2026-10-14T20:17:00Z</dcterms:created>
  <dcterms:modified xsi:type="dcterms:W3CDTF">2026-10-16T19:13:00Z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0x01010096BEAE97300F5A479B8A0A2306DDCB8D</vt:lpwstr>
  </property>
  <property fmtid="{D5CDD505-2E9C-101B-9397-08002B2CF9AE}" pid="3" name="MSIP_Label_c9a1b251-8b9e-4059-8b96-32f7259f1931_ActionId">
    <vt:lpwstr>64bf05ba-8ad3-4f1c-8848-819149dc41aa</vt:lpwstr>
  </property>
  <property fmtid="{D5CDD505-2E9C-101B-9397-08002B2CF9AE}" pid="4" name="MSIP_Label_c9a1b251-8b9e-4059-8b96-32f7259f1931_ContentBits">
    <vt:lpwstr>0</vt:lpwstr>
  </property>
  <property fmtid="{D5CDD505-2E9C-101B-9397-08002B2CF9AE}" pid="5" name="MSIP_Label_c9a1b251-8b9e-4059-8b96-32f7259f1931_Enabled">
    <vt:lpwstr>true</vt:lpwstr>
  </property>
  <property fmtid="{D5CDD505-2E9C-101B-9397-08002B2CF9AE}" pid="6" name="MSIP_Label_c9a1b251-8b9e-4059-8b96-32f7259f1931_Method">
    <vt:lpwstr>Standard</vt:lpwstr>
  </property>
  <property fmtid="{D5CDD505-2E9C-101B-9397-08002B2CF9AE}" pid="7" name="MSIP_Label_c9a1b251-8b9e-4059-8b96-32f7259f1931_Name">
    <vt:lpwstr>CUI Basic</vt:lpwstr>
  </property>
  <property fmtid="{D5CDD505-2E9C-101B-9397-08002B2CF9AE}" pid="8" name="MSIP_Label_c9a1b251-8b9e-4059-8b96-32f7259f1931_SetDate">
    <vt:lpwstr>2026-03-17T14:52:05Z</vt:lpwstr>
  </property>
  <property fmtid="{D5CDD505-2E9C-101B-9397-08002B2CF9AE}" pid="9" name="MSIP_Label_c9a1b251-8b9e-4059-8b96-32f7259f1931_SiteId">
    <vt:lpwstr>ab5eeca9-2540-4909-a9ee-17cb3edf5cec</vt:lpwstr>
  </property>
  <property fmtid="{D5CDD505-2E9C-101B-9397-08002B2CF9AE}" pid="10" name="MSIP_Label_c9a1b251-8b9e-4059-8b96-32f7259f1931_Tag">
    <vt:lpwstr>10, 3, 0, 1</vt:lpwstr>
  </property>
  <property fmtid="{D5CDD505-2E9C-101B-9397-08002B2CF9AE}" pid="11" name="WorkflowChangePath">
    <vt:lpwstr>a0c3a665-2e75-4468-baea-7765d40b7f0f,4;a0c3a665-2e75-4468-baea-7765d40b7f0f,7;a0c3a665-2e75-4468-baea-7765d40b7f0f,10;a0c3a665-2e75-4468-baea-7765d40b7f0f,15;a0c3a665-2e75-4468-baea-7765d40b7f0f,18;</vt:lpwstr>
  </property>
  <property fmtid="{D5CDD505-2E9C-101B-9397-08002B2CF9AE}" pid="12" name="_dlc_DocIdItemGuid">
    <vt:lpwstr>0a4cbc5e-f6a8-4d29-80b0-0db5ebcfea4b</vt:lpwstr>
  </property>
</Properties>
</file>