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3407F" w:rsidRPr="002705B2" w:rsidP="002705B2" w14:paraId="34B02DCB" w14:textId="653D3E8C">
      <w:pPr>
        <w:spacing w:after="0" w:line="240" w:lineRule="auto"/>
        <w:jc w:val="center"/>
        <w:rPr>
          <w:rFonts w:ascii="Times New Roman" w:hAnsi="Times New Roman"/>
          <w:sz w:val="26"/>
          <w:szCs w:val="24"/>
        </w:rPr>
      </w:pPr>
      <w:r w:rsidRPr="002705B2">
        <w:rPr>
          <w:rFonts w:ascii="Times New Roman" w:hAnsi="Times New Roman"/>
          <w:sz w:val="26"/>
          <w:szCs w:val="24"/>
        </w:rPr>
        <w:t>Supporting Statement</w:t>
      </w:r>
      <w:r w:rsidRPr="002705B2" w:rsidR="00190F9D">
        <w:rPr>
          <w:rFonts w:ascii="Times New Roman" w:hAnsi="Times New Roman"/>
          <w:sz w:val="26"/>
          <w:szCs w:val="24"/>
        </w:rPr>
        <w:t xml:space="preserve"> for</w:t>
      </w:r>
    </w:p>
    <w:p w:rsidR="007D1EDB" w:rsidRPr="002705B2" w:rsidP="002705B2" w14:paraId="65D98BDA" w14:textId="57173BC6">
      <w:pPr>
        <w:spacing w:after="0" w:line="240" w:lineRule="auto"/>
        <w:jc w:val="center"/>
        <w:rPr>
          <w:rFonts w:ascii="Times New Roman" w:hAnsi="Times New Roman"/>
          <w:b/>
          <w:sz w:val="26"/>
          <w:szCs w:val="24"/>
        </w:rPr>
      </w:pPr>
      <w:r w:rsidRPr="002705B2">
        <w:rPr>
          <w:rFonts w:ascii="Times New Roman" w:hAnsi="Times New Roman"/>
          <w:b/>
          <w:sz w:val="26"/>
          <w:szCs w:val="24"/>
        </w:rPr>
        <w:t>FERC-725A,</w:t>
      </w:r>
      <w:r w:rsidRPr="002705B2" w:rsidR="008F16EE">
        <w:rPr>
          <w:rFonts w:ascii="Times New Roman" w:hAnsi="Times New Roman"/>
          <w:b/>
          <w:sz w:val="26"/>
          <w:szCs w:val="24"/>
        </w:rPr>
        <w:t xml:space="preserve"> Mandatory Reliability Standards</w:t>
      </w:r>
      <w:r w:rsidRPr="002705B2">
        <w:rPr>
          <w:rFonts w:ascii="Times New Roman" w:hAnsi="Times New Roman"/>
          <w:b/>
          <w:sz w:val="26"/>
          <w:szCs w:val="24"/>
        </w:rPr>
        <w:t xml:space="preserve"> for the Bulk Power System</w:t>
      </w:r>
      <w:r w:rsidR="00300443">
        <w:rPr>
          <w:rFonts w:ascii="Times New Roman" w:hAnsi="Times New Roman"/>
          <w:b/>
          <w:sz w:val="26"/>
          <w:szCs w:val="24"/>
        </w:rPr>
        <w:t>: Revision and Extension</w:t>
      </w:r>
    </w:p>
    <w:p w:rsidR="00FD66F1" w:rsidRPr="002705B2" w:rsidP="002705B2" w14:paraId="06ED65FC" w14:textId="77777777">
      <w:pPr>
        <w:spacing w:after="0" w:line="240" w:lineRule="auto"/>
        <w:rPr>
          <w:rFonts w:ascii="Times New Roman" w:hAnsi="Times New Roman" w:cs="Times New Roman"/>
          <w:sz w:val="26"/>
          <w:szCs w:val="24"/>
        </w:rPr>
      </w:pPr>
    </w:p>
    <w:p w:rsidR="001A63DC" w:rsidP="002705B2" w14:paraId="0AF8788E" w14:textId="13DBBE4D">
      <w:pPr>
        <w:spacing w:after="0" w:line="240" w:lineRule="auto"/>
        <w:rPr>
          <w:rFonts w:ascii="Times New Roman" w:hAnsi="Times New Roman"/>
          <w:sz w:val="26"/>
          <w:szCs w:val="24"/>
        </w:rPr>
      </w:pPr>
      <w:r>
        <w:rPr>
          <w:rFonts w:ascii="Times New Roman" w:hAnsi="Times New Roman"/>
          <w:sz w:val="26"/>
          <w:szCs w:val="24"/>
        </w:rPr>
        <w:t xml:space="preserve">The Federal Energy Regulatory Commission </w:t>
      </w:r>
      <w:r w:rsidR="00A018C1">
        <w:rPr>
          <w:rFonts w:ascii="Times New Roman" w:hAnsi="Times New Roman"/>
          <w:sz w:val="26"/>
          <w:szCs w:val="24"/>
        </w:rPr>
        <w:t>(FERC or Commission) requests that the Office of Management and Budget (OMB) review and approve the information collection requirements in FERC 725A</w:t>
      </w:r>
      <w:r w:rsidR="00000FCC">
        <w:rPr>
          <w:rFonts w:ascii="Times New Roman" w:hAnsi="Times New Roman"/>
          <w:sz w:val="26"/>
          <w:szCs w:val="24"/>
        </w:rPr>
        <w:t xml:space="preserve"> under OMB control no. 1902-0244</w:t>
      </w:r>
      <w:r w:rsidR="00C83E54">
        <w:rPr>
          <w:rFonts w:ascii="Times New Roman" w:hAnsi="Times New Roman"/>
          <w:sz w:val="26"/>
          <w:szCs w:val="24"/>
        </w:rPr>
        <w:t xml:space="preserve"> </w:t>
      </w:r>
      <w:r w:rsidR="00E32AEE">
        <w:rPr>
          <w:rFonts w:ascii="Times New Roman" w:hAnsi="Times New Roman"/>
          <w:sz w:val="26"/>
          <w:szCs w:val="24"/>
        </w:rPr>
        <w:t xml:space="preserve">an </w:t>
      </w:r>
      <w:r w:rsidRPr="002705B2" w:rsidR="00656F55">
        <w:rPr>
          <w:rFonts w:ascii="Times New Roman" w:hAnsi="Times New Roman"/>
          <w:sz w:val="26"/>
          <w:szCs w:val="24"/>
        </w:rPr>
        <w:t>existing</w:t>
      </w:r>
      <w:r w:rsidRPr="002705B2" w:rsidR="00333EE2">
        <w:rPr>
          <w:rFonts w:ascii="Times New Roman" w:hAnsi="Times New Roman"/>
          <w:sz w:val="26"/>
          <w:szCs w:val="24"/>
        </w:rPr>
        <w:t xml:space="preserve"> information collection</w:t>
      </w:r>
      <w:r w:rsidR="00BB603D">
        <w:rPr>
          <w:rFonts w:ascii="Times New Roman" w:hAnsi="Times New Roman"/>
          <w:sz w:val="26"/>
          <w:szCs w:val="24"/>
        </w:rPr>
        <w:t>.</w:t>
      </w:r>
    </w:p>
    <w:p w:rsidR="001A63DC" w:rsidP="002705B2" w14:paraId="508E5769" w14:textId="77777777">
      <w:pPr>
        <w:spacing w:after="0" w:line="240" w:lineRule="auto"/>
        <w:rPr>
          <w:rFonts w:ascii="Times New Roman" w:hAnsi="Times New Roman"/>
          <w:sz w:val="26"/>
          <w:szCs w:val="24"/>
        </w:rPr>
      </w:pPr>
    </w:p>
    <w:p w:rsidR="00EA1CE0" w:rsidRPr="002705B2" w:rsidP="002705B2" w14:paraId="126EC46A" w14:textId="127D75C1">
      <w:pPr>
        <w:spacing w:after="0" w:line="240" w:lineRule="auto"/>
        <w:rPr>
          <w:rFonts w:ascii="Times New Roman" w:hAnsi="Times New Roman"/>
          <w:sz w:val="26"/>
          <w:szCs w:val="26"/>
        </w:rPr>
      </w:pPr>
      <w:r w:rsidRPr="68F2F182">
        <w:rPr>
          <w:rFonts w:ascii="Times New Roman" w:hAnsi="Times New Roman"/>
          <w:sz w:val="26"/>
          <w:szCs w:val="26"/>
        </w:rPr>
        <w:t>In Docket No. RD2</w:t>
      </w:r>
      <w:r w:rsidR="00DB110F">
        <w:rPr>
          <w:rFonts w:ascii="Times New Roman" w:hAnsi="Times New Roman"/>
          <w:sz w:val="26"/>
          <w:szCs w:val="26"/>
        </w:rPr>
        <w:t>6</w:t>
      </w:r>
      <w:r w:rsidRPr="68F2F182">
        <w:rPr>
          <w:rFonts w:ascii="Times New Roman" w:hAnsi="Times New Roman"/>
          <w:sz w:val="26"/>
          <w:szCs w:val="26"/>
        </w:rPr>
        <w:t>-</w:t>
      </w:r>
      <w:r w:rsidR="00432261">
        <w:rPr>
          <w:rFonts w:ascii="Times New Roman" w:hAnsi="Times New Roman"/>
          <w:sz w:val="26"/>
          <w:szCs w:val="26"/>
        </w:rPr>
        <w:t>1</w:t>
      </w:r>
      <w:r w:rsidRPr="68F2F182">
        <w:rPr>
          <w:rFonts w:ascii="Times New Roman" w:hAnsi="Times New Roman"/>
          <w:sz w:val="26"/>
          <w:szCs w:val="26"/>
        </w:rPr>
        <w:t xml:space="preserve">-000, </w:t>
      </w:r>
      <w:r w:rsidRPr="68F2F182" w:rsidR="001372FF">
        <w:rPr>
          <w:rFonts w:ascii="Times New Roman" w:hAnsi="Times New Roman"/>
          <w:sz w:val="26"/>
          <w:szCs w:val="26"/>
        </w:rPr>
        <w:t>FERC</w:t>
      </w:r>
      <w:r w:rsidRPr="68F2F182" w:rsidR="00214792">
        <w:rPr>
          <w:rFonts w:ascii="Times New Roman" w:hAnsi="Times New Roman"/>
          <w:sz w:val="26"/>
          <w:szCs w:val="26"/>
        </w:rPr>
        <w:t xml:space="preserve"> </w:t>
      </w:r>
      <w:r w:rsidRPr="68F2F182" w:rsidR="001E3441">
        <w:rPr>
          <w:rFonts w:ascii="Times New Roman" w:hAnsi="Times New Roman"/>
          <w:sz w:val="26"/>
          <w:szCs w:val="26"/>
        </w:rPr>
        <w:t xml:space="preserve">approved </w:t>
      </w:r>
      <w:r w:rsidRPr="68F2F182" w:rsidR="004D2F48">
        <w:rPr>
          <w:rFonts w:ascii="Times New Roman" w:hAnsi="Times New Roman"/>
          <w:sz w:val="26"/>
          <w:szCs w:val="26"/>
        </w:rPr>
        <w:t xml:space="preserve">one Reliability Standard being updated within the FERC-725A: </w:t>
      </w:r>
      <w:r w:rsidRPr="32BF9139" w:rsidR="718C667F">
        <w:rPr>
          <w:rFonts w:ascii="Times New Roman" w:hAnsi="Times New Roman"/>
          <w:sz w:val="26"/>
          <w:szCs w:val="26"/>
        </w:rPr>
        <w:t xml:space="preserve">Reliability Standard </w:t>
      </w:r>
      <w:r w:rsidRPr="08757AC0" w:rsidR="718C667F">
        <w:rPr>
          <w:rFonts w:ascii="Times New Roman" w:hAnsi="Times New Roman"/>
          <w:sz w:val="26"/>
          <w:szCs w:val="26"/>
        </w:rPr>
        <w:t>TOP-</w:t>
      </w:r>
      <w:r w:rsidRPr="2678AA16" w:rsidR="718C667F">
        <w:rPr>
          <w:rFonts w:ascii="Times New Roman" w:hAnsi="Times New Roman"/>
          <w:sz w:val="26"/>
          <w:szCs w:val="26"/>
        </w:rPr>
        <w:t>00</w:t>
      </w:r>
      <w:r w:rsidR="00BE2B4E">
        <w:rPr>
          <w:rFonts w:ascii="Times New Roman" w:hAnsi="Times New Roman"/>
          <w:sz w:val="26"/>
          <w:szCs w:val="26"/>
        </w:rPr>
        <w:t>3</w:t>
      </w:r>
      <w:r w:rsidRPr="2678AA16" w:rsidR="718C667F">
        <w:rPr>
          <w:rFonts w:ascii="Times New Roman" w:hAnsi="Times New Roman"/>
          <w:sz w:val="26"/>
          <w:szCs w:val="26"/>
        </w:rPr>
        <w:t>-</w:t>
      </w:r>
      <w:r w:rsidR="00DB110F">
        <w:rPr>
          <w:rFonts w:ascii="Times New Roman" w:hAnsi="Times New Roman"/>
          <w:sz w:val="26"/>
          <w:szCs w:val="26"/>
        </w:rPr>
        <w:t>7</w:t>
      </w:r>
      <w:r w:rsidRPr="2678AA16" w:rsidR="718C667F">
        <w:rPr>
          <w:rFonts w:ascii="Times New Roman" w:hAnsi="Times New Roman"/>
          <w:sz w:val="26"/>
          <w:szCs w:val="26"/>
        </w:rPr>
        <w:t xml:space="preserve"> is being replaced with </w:t>
      </w:r>
      <w:r w:rsidRPr="25A5658E" w:rsidR="718C667F">
        <w:rPr>
          <w:rFonts w:ascii="Times New Roman" w:hAnsi="Times New Roman"/>
          <w:sz w:val="26"/>
          <w:szCs w:val="26"/>
        </w:rPr>
        <w:t>version TOP-00</w:t>
      </w:r>
      <w:r w:rsidR="00BE2B4E">
        <w:rPr>
          <w:rFonts w:ascii="Times New Roman" w:hAnsi="Times New Roman"/>
          <w:sz w:val="26"/>
          <w:szCs w:val="26"/>
        </w:rPr>
        <w:t>3</w:t>
      </w:r>
      <w:r w:rsidRPr="25A5658E" w:rsidR="718C667F">
        <w:rPr>
          <w:rFonts w:ascii="Times New Roman" w:hAnsi="Times New Roman"/>
          <w:sz w:val="26"/>
          <w:szCs w:val="26"/>
        </w:rPr>
        <w:t>-</w:t>
      </w:r>
      <w:r w:rsidR="00DB110F">
        <w:rPr>
          <w:rFonts w:ascii="Times New Roman" w:hAnsi="Times New Roman"/>
          <w:sz w:val="26"/>
          <w:szCs w:val="26"/>
        </w:rPr>
        <w:t>8</w:t>
      </w:r>
      <w:r w:rsidRPr="573363D4" w:rsidR="718C667F">
        <w:rPr>
          <w:rFonts w:ascii="Times New Roman" w:hAnsi="Times New Roman"/>
          <w:sz w:val="26"/>
          <w:szCs w:val="26"/>
        </w:rPr>
        <w:t xml:space="preserve"> </w:t>
      </w:r>
      <w:r w:rsidRPr="5CA6F5DA" w:rsidR="718C667F">
        <w:rPr>
          <w:rFonts w:ascii="Times New Roman" w:hAnsi="Times New Roman"/>
          <w:sz w:val="26"/>
          <w:szCs w:val="26"/>
        </w:rPr>
        <w:t xml:space="preserve">that will </w:t>
      </w:r>
      <w:r w:rsidRPr="6EAAC5AD" w:rsidR="718C667F">
        <w:rPr>
          <w:rFonts w:ascii="Times New Roman" w:hAnsi="Times New Roman"/>
          <w:sz w:val="26"/>
          <w:szCs w:val="26"/>
        </w:rPr>
        <w:t xml:space="preserve">supersede requirements in </w:t>
      </w:r>
      <w:r w:rsidRPr="2678AA16" w:rsidR="004D2F48">
        <w:rPr>
          <w:rFonts w:ascii="Times New Roman" w:hAnsi="Times New Roman"/>
          <w:sz w:val="26"/>
          <w:szCs w:val="26"/>
        </w:rPr>
        <w:t>TOP-00</w:t>
      </w:r>
      <w:r w:rsidR="00BE2B4E">
        <w:rPr>
          <w:rFonts w:ascii="Times New Roman" w:hAnsi="Times New Roman"/>
          <w:sz w:val="26"/>
          <w:szCs w:val="26"/>
        </w:rPr>
        <w:t>3-</w:t>
      </w:r>
      <w:r w:rsidR="00DB110F">
        <w:rPr>
          <w:rFonts w:ascii="Times New Roman" w:hAnsi="Times New Roman"/>
          <w:sz w:val="26"/>
          <w:szCs w:val="26"/>
        </w:rPr>
        <w:t>7</w:t>
      </w:r>
      <w:r w:rsidRPr="2615F83E" w:rsidR="718C667F">
        <w:rPr>
          <w:rFonts w:ascii="Times New Roman" w:hAnsi="Times New Roman"/>
          <w:sz w:val="26"/>
          <w:szCs w:val="26"/>
        </w:rPr>
        <w:t xml:space="preserve">.  </w:t>
      </w:r>
    </w:p>
    <w:p w:rsidR="00B17D68" w:rsidP="00B17D68" w14:paraId="5A3BDDCE" w14:textId="77777777">
      <w:pPr>
        <w:pStyle w:val="ListParagraph"/>
        <w:spacing w:after="0" w:line="240" w:lineRule="auto"/>
        <w:ind w:left="0"/>
        <w:rPr>
          <w:rFonts w:ascii="Times New Roman" w:hAnsi="Times New Roman" w:cs="Times New Roman"/>
          <w:b/>
          <w:sz w:val="26"/>
          <w:szCs w:val="24"/>
        </w:rPr>
      </w:pPr>
    </w:p>
    <w:p w:rsidR="00D514C1" w:rsidP="00964094" w14:paraId="72D8D2EB" w14:textId="4756AC09">
      <w:pPr>
        <w:pStyle w:val="ListParagraph"/>
        <w:numPr>
          <w:ilvl w:val="0"/>
          <w:numId w:val="36"/>
        </w:numPr>
        <w:spacing w:after="0" w:line="240" w:lineRule="auto"/>
        <w:ind w:left="360"/>
        <w:rPr>
          <w:rFonts w:ascii="Times New Roman" w:hAnsi="Times New Roman" w:cs="Times New Roman"/>
          <w:b/>
          <w:sz w:val="26"/>
          <w:szCs w:val="26"/>
        </w:rPr>
      </w:pPr>
      <w:r w:rsidRPr="36F2AEA8">
        <w:rPr>
          <w:rFonts w:ascii="Times New Roman" w:hAnsi="Times New Roman" w:cs="Times New Roman"/>
          <w:b/>
          <w:sz w:val="26"/>
          <w:szCs w:val="26"/>
        </w:rPr>
        <w:t>CIRCUMSTANCES THAT MAKE THE COLLECTION OF INFORMATION NECESSARY</w:t>
      </w:r>
    </w:p>
    <w:p w:rsidR="00AC44F0" w:rsidRPr="002705B2" w:rsidP="00AC44F0" w14:paraId="44B4D61D" w14:textId="77777777">
      <w:pPr>
        <w:pStyle w:val="ListParagraph"/>
        <w:spacing w:after="0" w:line="240" w:lineRule="auto"/>
        <w:ind w:left="0"/>
        <w:rPr>
          <w:rFonts w:ascii="Times New Roman" w:hAnsi="Times New Roman" w:cs="Times New Roman"/>
          <w:b/>
          <w:sz w:val="26"/>
          <w:szCs w:val="26"/>
        </w:rPr>
      </w:pPr>
    </w:p>
    <w:p w:rsidR="0059254D" w:rsidP="00990364" w14:paraId="154D5C35" w14:textId="776FDB27">
      <w:pPr>
        <w:widowControl w:val="0"/>
        <w:spacing w:after="0" w:line="240" w:lineRule="auto"/>
        <w:rPr>
          <w:rFonts w:ascii="Times New Roman" w:eastAsia="Times New Roman" w:hAnsi="Times New Roman" w:cs="Times New Roman"/>
          <w:color w:val="000000" w:themeColor="text1"/>
          <w:sz w:val="26"/>
          <w:szCs w:val="26"/>
        </w:rPr>
      </w:pPr>
      <w:r w:rsidRPr="69AAEE80">
        <w:rPr>
          <w:rFonts w:ascii="Times New Roman" w:eastAsia="Times New Roman" w:hAnsi="Times New Roman" w:cs="Times New Roman"/>
          <w:color w:val="000000" w:themeColor="text1"/>
          <w:sz w:val="26"/>
          <w:szCs w:val="26"/>
        </w:rPr>
        <w:t xml:space="preserve">On August 8, 2005, The Electricity Modernization Act of 2005, which is Title XII of the Energy Policy Act of </w:t>
      </w:r>
      <w:r w:rsidRPr="36F2AEA8">
        <w:rPr>
          <w:rFonts w:ascii="Times New Roman" w:eastAsia="Times New Roman" w:hAnsi="Times New Roman" w:cs="Times New Roman"/>
          <w:color w:val="000000" w:themeColor="text1"/>
          <w:sz w:val="26"/>
          <w:szCs w:val="26"/>
        </w:rPr>
        <w:t>2005</w:t>
      </w:r>
      <w:r>
        <w:rPr>
          <w:rStyle w:val="FootnoteReference"/>
          <w:rFonts w:ascii="Times New Roman" w:eastAsia="Times New Roman" w:hAnsi="Times New Roman" w:cs="Times New Roman"/>
          <w:b/>
          <w:bCs/>
          <w:color w:val="000000" w:themeColor="text1"/>
          <w:sz w:val="26"/>
          <w:szCs w:val="26"/>
          <w:vertAlign w:val="superscript"/>
        </w:rPr>
        <w:footnoteReference w:id="3"/>
      </w:r>
      <w:r w:rsidR="0002471C">
        <w:rPr>
          <w:rFonts w:ascii="Times New Roman" w:eastAsia="Times New Roman" w:hAnsi="Times New Roman" w:cs="Times New Roman"/>
          <w:color w:val="000000" w:themeColor="text1"/>
          <w:sz w:val="26"/>
          <w:szCs w:val="26"/>
        </w:rPr>
        <w:t xml:space="preserve"> </w:t>
      </w:r>
      <w:r w:rsidRPr="69AAEE80">
        <w:rPr>
          <w:rFonts w:ascii="Times New Roman" w:eastAsia="Times New Roman" w:hAnsi="Times New Roman" w:cs="Times New Roman"/>
          <w:color w:val="000000" w:themeColor="text1"/>
          <w:sz w:val="26"/>
          <w:szCs w:val="26"/>
        </w:rPr>
        <w:t>(EPAct 2005), was enacted into law.  EPAct 2005 added a new section 215 to the Federal Power Act (FPA),</w:t>
      </w:r>
      <w:r>
        <w:rPr>
          <w:rStyle w:val="FootnoteReference"/>
          <w:rFonts w:ascii="Times New Roman" w:eastAsia="Times New Roman" w:hAnsi="Times New Roman" w:cs="Times New Roman"/>
          <w:b/>
          <w:bCs/>
          <w:color w:val="000000" w:themeColor="text1"/>
          <w:sz w:val="26"/>
          <w:szCs w:val="26"/>
          <w:vertAlign w:val="superscript"/>
        </w:rPr>
        <w:footnoteReference w:id="4"/>
      </w:r>
      <w:r w:rsidRPr="00D764EC">
        <w:rPr>
          <w:rFonts w:ascii="Times New Roman" w:eastAsia="Times New Roman" w:hAnsi="Times New Roman" w:cs="Times New Roman"/>
          <w:b/>
          <w:color w:val="000000" w:themeColor="text1"/>
          <w:sz w:val="26"/>
          <w:szCs w:val="26"/>
          <w:vertAlign w:val="superscript"/>
        </w:rPr>
        <w:t xml:space="preserve"> </w:t>
      </w:r>
      <w:r w:rsidRPr="69AAEE80">
        <w:rPr>
          <w:rFonts w:ascii="Times New Roman" w:eastAsia="Times New Roman" w:hAnsi="Times New Roman" w:cs="Times New Roman"/>
          <w:color w:val="000000" w:themeColor="text1"/>
          <w:sz w:val="26"/>
          <w:szCs w:val="26"/>
        </w:rPr>
        <w:t xml:space="preserve">which requires a Commission-certified Electric Reliability Organization (ERO) to develop mandatory and enforceable Reliability Standards, subject to Commission review and approval.  </w:t>
      </w:r>
    </w:p>
    <w:p w:rsidR="0059254D" w:rsidP="00990364" w14:paraId="3E85F74B" w14:textId="77777777">
      <w:pPr>
        <w:widowControl w:val="0"/>
        <w:spacing w:after="0" w:line="240" w:lineRule="auto"/>
        <w:rPr>
          <w:rFonts w:ascii="Times New Roman" w:eastAsia="Times New Roman" w:hAnsi="Times New Roman" w:cs="Times New Roman"/>
          <w:color w:val="000000" w:themeColor="text1"/>
          <w:sz w:val="26"/>
          <w:szCs w:val="26"/>
        </w:rPr>
      </w:pPr>
    </w:p>
    <w:p w:rsidR="5447553A" w:rsidP="008A5C71" w14:paraId="12DA4742" w14:textId="1821C551">
      <w:pPr>
        <w:rPr>
          <w:rFonts w:ascii="Times New Roman" w:eastAsia="Times New Roman" w:hAnsi="Times New Roman" w:cs="Times New Roman"/>
          <w:color w:val="000000" w:themeColor="text1"/>
          <w:sz w:val="26"/>
          <w:szCs w:val="26"/>
        </w:rPr>
      </w:pPr>
      <w:r w:rsidRPr="2A2D9407">
        <w:rPr>
          <w:rFonts w:ascii="Times New Roman" w:eastAsia="Times New Roman" w:hAnsi="Times New Roman" w:cs="Times New Roman"/>
          <w:sz w:val="26"/>
          <w:szCs w:val="26"/>
        </w:rPr>
        <w:t xml:space="preserve">Section 215 of the FPA requires the Commission-certified ERO to develop mandatory and enforceable Reliability Standards, subject to Commission review and approval.  </w:t>
      </w:r>
      <w:r w:rsidRPr="69AAEE80" w:rsidR="004455FB">
        <w:rPr>
          <w:rFonts w:ascii="Times New Roman" w:eastAsia="Times New Roman" w:hAnsi="Times New Roman" w:cs="Times New Roman"/>
          <w:color w:val="000000" w:themeColor="text1"/>
          <w:sz w:val="26"/>
          <w:szCs w:val="26"/>
        </w:rPr>
        <w:t xml:space="preserve">Once approved by the Commission, the Reliability Standards may be enforced by the ERO, subject to Commission oversight, or by the Commission independently. </w:t>
      </w:r>
    </w:p>
    <w:p w:rsidR="00B43515" w:rsidRPr="004B344D" w:rsidP="00D764EC" w14:paraId="0B7DAF74" w14:textId="799F1372">
      <w:pPr>
        <w:widowControl w:val="0"/>
        <w:spacing w:after="0" w:line="240" w:lineRule="auto"/>
        <w:rPr>
          <w:rFonts w:ascii="Times New Roman" w:eastAsia="Times New Roman" w:hAnsi="Times New Roman" w:cs="Times New Roman"/>
          <w:color w:val="000000" w:themeColor="text1"/>
          <w:sz w:val="26"/>
          <w:szCs w:val="26"/>
        </w:rPr>
      </w:pPr>
      <w:r w:rsidRPr="2A2D9407">
        <w:rPr>
          <w:rFonts w:ascii="Times New Roman" w:eastAsia="Times New Roman" w:hAnsi="Times New Roman" w:cs="Times New Roman"/>
          <w:sz w:val="26"/>
          <w:szCs w:val="26"/>
        </w:rPr>
        <w:t>Pursuant to the requirements of FPA section 215, the Commission established a process to select and certify an ERO</w:t>
      </w:r>
      <w:r>
        <w:rPr>
          <w:rStyle w:val="FootnoteReference"/>
          <w:rFonts w:ascii="Times New Roman" w:eastAsia="Times New Roman" w:hAnsi="Times New Roman" w:cs="Times New Roman"/>
          <w:b/>
          <w:bCs/>
          <w:sz w:val="26"/>
          <w:szCs w:val="26"/>
        </w:rPr>
        <w:footnoteReference w:id="5"/>
      </w:r>
      <w:r w:rsidRPr="2A2D9407">
        <w:rPr>
          <w:rFonts w:ascii="Times New Roman" w:eastAsia="Times New Roman" w:hAnsi="Times New Roman" w:cs="Times New Roman"/>
          <w:sz w:val="26"/>
          <w:szCs w:val="26"/>
        </w:rPr>
        <w:t xml:space="preserve"> and, subsequently, certified the North American Electric Reliability Corporation (NERC) as the ERO. Pursuant to Section 215(d)(1) of the FPA and 18 CFR 39.5, the NERC is authorized to submit for Commission approval proposed </w:t>
      </w:r>
      <w:r w:rsidRPr="2A2D9407">
        <w:rPr>
          <w:rFonts w:ascii="Times New Roman" w:eastAsia="Times New Roman" w:hAnsi="Times New Roman" w:cs="Times New Roman"/>
          <w:sz w:val="26"/>
          <w:szCs w:val="26"/>
        </w:rPr>
        <w:t>Reliability Standards, and to propose revision or retirement of such standards.</w:t>
      </w:r>
    </w:p>
    <w:p w:rsidR="0078429F" w:rsidP="0078429F" w14:paraId="5CF8F6F9" w14:textId="030E4E4E">
      <w:pPr>
        <w:spacing w:after="0" w:line="240" w:lineRule="auto"/>
        <w:rPr>
          <w:rFonts w:ascii="Times New Roman" w:hAnsi="Times New Roman" w:cs="Times New Roman"/>
          <w:sz w:val="26"/>
          <w:szCs w:val="24"/>
        </w:rPr>
      </w:pPr>
      <w:r>
        <w:rPr>
          <w:rFonts w:ascii="Times New Roman" w:eastAsia="Times New Roman" w:hAnsi="Times New Roman" w:cs="Times New Roman"/>
          <w:sz w:val="26"/>
          <w:szCs w:val="26"/>
        </w:rPr>
        <w:t xml:space="preserve">On February </w:t>
      </w:r>
      <w:r w:rsidR="00D539A1">
        <w:rPr>
          <w:rFonts w:ascii="Times New Roman" w:eastAsia="Times New Roman" w:hAnsi="Times New Roman" w:cs="Times New Roman"/>
          <w:sz w:val="26"/>
          <w:szCs w:val="26"/>
        </w:rPr>
        <w:t>19</w:t>
      </w:r>
      <w:r>
        <w:rPr>
          <w:rFonts w:ascii="Times New Roman" w:eastAsia="Times New Roman" w:hAnsi="Times New Roman" w:cs="Times New Roman"/>
          <w:sz w:val="26"/>
          <w:szCs w:val="26"/>
        </w:rPr>
        <w:t>, 2026, the Commission issued an</w:t>
      </w:r>
      <w:r w:rsidRPr="47073EDB" w:rsidR="004455FB">
        <w:rPr>
          <w:rFonts w:ascii="Times New Roman" w:eastAsia="Times New Roman" w:hAnsi="Times New Roman" w:cs="Times New Roman"/>
          <w:sz w:val="26"/>
          <w:szCs w:val="26"/>
        </w:rPr>
        <w:t xml:space="preserve"> order</w:t>
      </w:r>
      <w:r>
        <w:rPr>
          <w:rFonts w:ascii="Times New Roman" w:eastAsia="Times New Roman" w:hAnsi="Times New Roman" w:cs="Times New Roman"/>
          <w:sz w:val="26"/>
          <w:szCs w:val="26"/>
        </w:rPr>
        <w:t xml:space="preserve"> in Docket No.</w:t>
      </w:r>
      <w:r w:rsidRPr="47073EDB" w:rsidR="004455FB">
        <w:rPr>
          <w:rFonts w:ascii="Times New Roman" w:eastAsia="Times New Roman" w:hAnsi="Times New Roman" w:cs="Times New Roman"/>
          <w:sz w:val="26"/>
          <w:szCs w:val="26"/>
        </w:rPr>
        <w:t xml:space="preserve"> RD2</w:t>
      </w:r>
      <w:r w:rsidR="00DB110F">
        <w:rPr>
          <w:rFonts w:ascii="Times New Roman" w:eastAsia="Times New Roman" w:hAnsi="Times New Roman" w:cs="Times New Roman"/>
          <w:sz w:val="26"/>
          <w:szCs w:val="26"/>
        </w:rPr>
        <w:t>6</w:t>
      </w:r>
      <w:r w:rsidRPr="47073EDB" w:rsidR="004455FB">
        <w:rPr>
          <w:rFonts w:ascii="Times New Roman" w:eastAsia="Times New Roman" w:hAnsi="Times New Roman" w:cs="Times New Roman"/>
          <w:sz w:val="26"/>
          <w:szCs w:val="26"/>
        </w:rPr>
        <w:t>-</w:t>
      </w:r>
      <w:r w:rsidR="007324F1">
        <w:rPr>
          <w:rFonts w:ascii="Times New Roman" w:eastAsia="Times New Roman" w:hAnsi="Times New Roman" w:cs="Times New Roman"/>
          <w:sz w:val="26"/>
          <w:szCs w:val="26"/>
        </w:rPr>
        <w:t>1</w:t>
      </w:r>
      <w:r w:rsidRPr="47073EDB" w:rsidR="004455FB">
        <w:rPr>
          <w:rFonts w:ascii="Times New Roman" w:eastAsia="Times New Roman" w:hAnsi="Times New Roman" w:cs="Times New Roman"/>
          <w:sz w:val="26"/>
          <w:szCs w:val="26"/>
        </w:rPr>
        <w:t xml:space="preserve">-000, </w:t>
      </w:r>
      <w:r w:rsidRPr="2618ED96" w:rsidR="00A3035B">
        <w:rPr>
          <w:rFonts w:ascii="Times New Roman" w:eastAsia="Times New Roman" w:hAnsi="Times New Roman" w:cs="Times New Roman"/>
          <w:sz w:val="26"/>
          <w:szCs w:val="26"/>
        </w:rPr>
        <w:t>approv</w:t>
      </w:r>
      <w:r>
        <w:rPr>
          <w:rFonts w:ascii="Times New Roman" w:eastAsia="Times New Roman" w:hAnsi="Times New Roman" w:cs="Times New Roman"/>
          <w:sz w:val="26"/>
          <w:szCs w:val="26"/>
        </w:rPr>
        <w:t>ing Reliability Standard</w:t>
      </w:r>
      <w:r w:rsidRPr="2618ED96" w:rsidR="004455FB">
        <w:rPr>
          <w:rFonts w:ascii="Times New Roman" w:eastAsia="Times New Roman" w:hAnsi="Times New Roman" w:cs="Times New Roman"/>
          <w:sz w:val="26"/>
          <w:szCs w:val="26"/>
        </w:rPr>
        <w:t xml:space="preserve"> </w:t>
      </w:r>
      <w:r w:rsidRPr="2AB419B2" w:rsidR="004455FB">
        <w:rPr>
          <w:rFonts w:ascii="Times New Roman" w:eastAsia="Times New Roman" w:hAnsi="Times New Roman" w:cs="Times New Roman"/>
          <w:sz w:val="26"/>
          <w:szCs w:val="26"/>
        </w:rPr>
        <w:t>TOP-00</w:t>
      </w:r>
      <w:r w:rsidR="009F56BE">
        <w:rPr>
          <w:rFonts w:ascii="Times New Roman" w:eastAsia="Times New Roman" w:hAnsi="Times New Roman" w:cs="Times New Roman"/>
          <w:sz w:val="26"/>
          <w:szCs w:val="26"/>
        </w:rPr>
        <w:t>3</w:t>
      </w:r>
      <w:r w:rsidRPr="2AB419B2" w:rsidR="004455FB">
        <w:rPr>
          <w:rFonts w:ascii="Times New Roman" w:eastAsia="Times New Roman" w:hAnsi="Times New Roman" w:cs="Times New Roman"/>
          <w:sz w:val="26"/>
          <w:szCs w:val="26"/>
        </w:rPr>
        <w:t>-</w:t>
      </w:r>
      <w:r w:rsidR="00DB110F">
        <w:rPr>
          <w:rFonts w:ascii="Times New Roman" w:eastAsia="Times New Roman" w:hAnsi="Times New Roman" w:cs="Times New Roman"/>
          <w:sz w:val="26"/>
          <w:szCs w:val="26"/>
        </w:rPr>
        <w:t>8</w:t>
      </w:r>
      <w:r w:rsidR="00295F88">
        <w:rPr>
          <w:rFonts w:ascii="Times New Roman" w:eastAsia="Times New Roman" w:hAnsi="Times New Roman" w:cs="Times New Roman"/>
          <w:sz w:val="26"/>
          <w:szCs w:val="26"/>
        </w:rPr>
        <w:t xml:space="preserve"> (</w:t>
      </w:r>
      <w:r w:rsidRPr="00295F88" w:rsidR="00295F88">
        <w:rPr>
          <w:rFonts w:ascii="Times New Roman" w:eastAsia="Times New Roman" w:hAnsi="Times New Roman" w:cs="Times New Roman"/>
          <w:sz w:val="26"/>
          <w:szCs w:val="26"/>
        </w:rPr>
        <w:t>Transmission Operator and Balancing Authority Data and Information Specification and Collection</w:t>
      </w:r>
      <w:r w:rsidR="00295F88">
        <w:rPr>
          <w:rFonts w:ascii="Times New Roman" w:eastAsia="Times New Roman" w:hAnsi="Times New Roman" w:cs="Times New Roman"/>
          <w:sz w:val="26"/>
          <w:szCs w:val="26"/>
        </w:rPr>
        <w:t>)</w:t>
      </w:r>
      <w:r w:rsidR="00B716CA">
        <w:rPr>
          <w:rFonts w:ascii="Times New Roman" w:eastAsia="Times New Roman" w:hAnsi="Times New Roman" w:cs="Times New Roman"/>
          <w:sz w:val="26"/>
          <w:szCs w:val="26"/>
        </w:rPr>
        <w:t xml:space="preserve"> to require transmission operators and balancing authorities to maintain inverter based resource (IBR)</w:t>
      </w:r>
      <w:r w:rsidR="007973A8">
        <w:rPr>
          <w:rFonts w:ascii="Times New Roman" w:eastAsia="Times New Roman" w:hAnsi="Times New Roman" w:cs="Times New Roman"/>
          <w:sz w:val="26"/>
          <w:szCs w:val="26"/>
        </w:rPr>
        <w:t xml:space="preserve"> </w:t>
      </w:r>
      <w:r w:rsidR="00B716CA">
        <w:rPr>
          <w:rFonts w:ascii="Times New Roman" w:eastAsia="Times New Roman" w:hAnsi="Times New Roman" w:cs="Times New Roman"/>
          <w:sz w:val="26"/>
          <w:szCs w:val="26"/>
        </w:rPr>
        <w:t>specific data</w:t>
      </w:r>
      <w:r w:rsidR="00162F5A">
        <w:rPr>
          <w:rFonts w:ascii="Times New Roman" w:eastAsia="Times New Roman" w:hAnsi="Times New Roman" w:cs="Times New Roman"/>
          <w:sz w:val="26"/>
          <w:szCs w:val="26"/>
        </w:rPr>
        <w:t>.</w:t>
      </w:r>
      <w:r w:rsidR="002234B3">
        <w:rPr>
          <w:rFonts w:ascii="Times New Roman" w:eastAsia="Times New Roman" w:hAnsi="Times New Roman" w:cs="Times New Roman"/>
          <w:sz w:val="26"/>
          <w:szCs w:val="26"/>
        </w:rPr>
        <w:t xml:space="preserve"> </w:t>
      </w:r>
      <w:r w:rsidRPr="3B7B02B9" w:rsidR="004455FB">
        <w:rPr>
          <w:rFonts w:ascii="Times New Roman" w:eastAsia="Times New Roman" w:hAnsi="Times New Roman" w:cs="Times New Roman"/>
          <w:sz w:val="26"/>
          <w:szCs w:val="26"/>
        </w:rPr>
        <w:t xml:space="preserve"> </w:t>
      </w:r>
    </w:p>
    <w:p w:rsidR="005B72CD" w:rsidRPr="002705B2" w:rsidP="001F5F1E" w14:paraId="5FA6C500" w14:textId="77777777">
      <w:pPr>
        <w:spacing w:after="0" w:line="240" w:lineRule="auto"/>
        <w:rPr>
          <w:rFonts w:ascii="Times New Roman" w:hAnsi="Times New Roman" w:cs="Times New Roman"/>
          <w:sz w:val="26"/>
          <w:szCs w:val="24"/>
        </w:rPr>
      </w:pPr>
    </w:p>
    <w:p w:rsidR="00A72E7B" w:rsidRPr="00F84E20" w:rsidP="00964094" w14:paraId="1A5C90A5" w14:textId="13EBC667">
      <w:pPr>
        <w:pStyle w:val="ListParagraph"/>
        <w:numPr>
          <w:ilvl w:val="0"/>
          <w:numId w:val="36"/>
        </w:numPr>
        <w:spacing w:after="0" w:line="240" w:lineRule="auto"/>
        <w:ind w:left="360"/>
        <w:rPr>
          <w:rFonts w:ascii="Times New Roman" w:hAnsi="Times New Roman" w:cs="Times New Roman"/>
          <w:b/>
          <w:sz w:val="26"/>
          <w:szCs w:val="24"/>
        </w:rPr>
      </w:pPr>
      <w:r w:rsidRPr="00F84E20">
        <w:rPr>
          <w:rFonts w:ascii="Times New Roman" w:hAnsi="Times New Roman" w:cs="Times New Roman"/>
          <w:b/>
          <w:sz w:val="26"/>
          <w:szCs w:val="24"/>
        </w:rPr>
        <w:t>HOW, BY WHOM, AND FOR WHAT PURPOSE THE INFORMATION IS TO BE USED AND THE CONSEQUENCES OF NOT COLLECTING THE INFORMATION</w:t>
      </w:r>
    </w:p>
    <w:p w:rsidR="009A6326" w:rsidRPr="002705B2" w:rsidP="002705B2" w14:paraId="6C25D29F" w14:textId="30B0D1B1">
      <w:pPr>
        <w:spacing w:after="0" w:line="240" w:lineRule="auto"/>
        <w:rPr>
          <w:rFonts w:ascii="Times New Roman" w:hAnsi="Times New Roman" w:cs="Times New Roman"/>
          <w:sz w:val="26"/>
          <w:szCs w:val="24"/>
        </w:rPr>
      </w:pPr>
    </w:p>
    <w:p w:rsidR="004F4D8D" w:rsidP="004F4D8D" w14:paraId="463D2305" w14:textId="6CEC2ACB">
      <w:pPr>
        <w:spacing w:after="0" w:line="240" w:lineRule="auto"/>
        <w:rPr>
          <w:rFonts w:ascii="Times New Roman" w:hAnsi="Times New Roman" w:cs="Times New Roman"/>
          <w:b/>
          <w:bCs/>
          <w:sz w:val="26"/>
          <w:szCs w:val="26"/>
        </w:rPr>
      </w:pPr>
      <w:r w:rsidRPr="004F4D8D">
        <w:rPr>
          <w:rFonts w:ascii="Times New Roman" w:hAnsi="Times New Roman" w:cs="Times New Roman"/>
          <w:b/>
          <w:bCs/>
          <w:sz w:val="26"/>
          <w:szCs w:val="26"/>
        </w:rPr>
        <w:t>RD2</w:t>
      </w:r>
      <w:r w:rsidR="00A3035B">
        <w:rPr>
          <w:rFonts w:ascii="Times New Roman" w:hAnsi="Times New Roman" w:cs="Times New Roman"/>
          <w:b/>
          <w:bCs/>
          <w:sz w:val="26"/>
          <w:szCs w:val="26"/>
        </w:rPr>
        <w:t>6</w:t>
      </w:r>
      <w:r w:rsidRPr="004F4D8D">
        <w:rPr>
          <w:rFonts w:ascii="Times New Roman" w:hAnsi="Times New Roman" w:cs="Times New Roman"/>
          <w:b/>
          <w:bCs/>
          <w:sz w:val="26"/>
          <w:szCs w:val="26"/>
        </w:rPr>
        <w:t>-1</w:t>
      </w:r>
      <w:r w:rsidR="00CE47E4">
        <w:rPr>
          <w:rFonts w:ascii="Times New Roman" w:hAnsi="Times New Roman" w:cs="Times New Roman"/>
          <w:b/>
          <w:bCs/>
          <w:sz w:val="26"/>
          <w:szCs w:val="26"/>
        </w:rPr>
        <w:t xml:space="preserve"> for TOP-003-8</w:t>
      </w:r>
    </w:p>
    <w:p w:rsidR="0071725E" w:rsidP="0071725E" w14:paraId="07A7E4B6" w14:textId="77777777">
      <w:pPr>
        <w:pStyle w:val="FERCparanumber"/>
        <w:widowControl/>
        <w:numPr>
          <w:ilvl w:val="0"/>
          <w:numId w:val="0"/>
        </w:numPr>
        <w:autoSpaceDE/>
        <w:autoSpaceDN/>
        <w:adjustRightInd/>
        <w:spacing w:after="260" w:line="240" w:lineRule="auto"/>
      </w:pPr>
    </w:p>
    <w:p w:rsidR="002E0E01" w:rsidP="002E0E01" w14:paraId="2EA313D8" w14:textId="62D876FA">
      <w:pPr>
        <w:spacing w:after="0" w:line="240" w:lineRule="auto"/>
        <w:rPr>
          <w:rFonts w:ascii="Times New Roman" w:hAnsi="Times New Roman" w:cs="Times New Roman"/>
          <w:sz w:val="26"/>
          <w:szCs w:val="26"/>
        </w:rPr>
      </w:pPr>
      <w:r w:rsidRPr="2A2D9407">
        <w:rPr>
          <w:rFonts w:ascii="Times New Roman" w:hAnsi="Times New Roman" w:cs="Times New Roman"/>
          <w:sz w:val="26"/>
          <w:szCs w:val="26"/>
        </w:rPr>
        <w:t>In general, information collection and record retention requirements related to Reliability Standards are not submitted to or retained for audit by the Commission.  Rather they are submitted to or retained for audit by NERC (the Commission-approved ERO) or the Compliance Enforcement Authority, as specified in each individual Reliability Standard.</w:t>
      </w:r>
    </w:p>
    <w:p w:rsidR="002E0E01" w:rsidRPr="00323A45" w:rsidP="00F67707" w14:paraId="3B2B4EB2" w14:textId="77777777">
      <w:pPr>
        <w:spacing w:after="0" w:line="240" w:lineRule="auto"/>
        <w:rPr>
          <w:szCs w:val="26"/>
        </w:rPr>
      </w:pPr>
    </w:p>
    <w:p w:rsidR="00640FAD" w:rsidP="00F67707" w14:paraId="4879A8BB" w14:textId="3028F746">
      <w:pPr>
        <w:pStyle w:val="FERCparanumber"/>
        <w:widowControl/>
        <w:numPr>
          <w:ilvl w:val="0"/>
          <w:numId w:val="0"/>
        </w:numPr>
        <w:autoSpaceDE/>
        <w:autoSpaceDN/>
        <w:adjustRightInd/>
        <w:spacing w:after="260" w:line="240" w:lineRule="auto"/>
      </w:pPr>
      <w:r>
        <w:t>NERC states that the purpose of proposed Reliability Standard TOP-003-8 is “to</w:t>
      </w:r>
      <w:r w:rsidRPr="006F0027">
        <w:t xml:space="preserve"> ensure that each </w:t>
      </w:r>
      <w:r>
        <w:t>[t]</w:t>
      </w:r>
      <w:r w:rsidRPr="006F0027">
        <w:t xml:space="preserve">ransmission </w:t>
      </w:r>
      <w:r>
        <w:t>[o]</w:t>
      </w:r>
      <w:r w:rsidRPr="006F0027">
        <w:t xml:space="preserve">perator and </w:t>
      </w:r>
      <w:r>
        <w:t>[b]</w:t>
      </w:r>
      <w:r w:rsidRPr="006F0027">
        <w:t xml:space="preserve">alancing </w:t>
      </w:r>
      <w:r>
        <w:t>[a]</w:t>
      </w:r>
      <w:r w:rsidRPr="006F0027">
        <w:t xml:space="preserve">uthority has the data and information it needs to plan, monitor, and assess the operation of its </w:t>
      </w:r>
      <w:r>
        <w:t>[t]</w:t>
      </w:r>
      <w:r w:rsidRPr="006F0027">
        <w:t xml:space="preserve">ransmission </w:t>
      </w:r>
      <w:r>
        <w:t>[o]</w:t>
      </w:r>
      <w:r w:rsidRPr="006F0027">
        <w:t xml:space="preserve">perator </w:t>
      </w:r>
      <w:r>
        <w:t>[a]</w:t>
      </w:r>
      <w:r w:rsidRPr="006F0027">
        <w:t xml:space="preserve">rea or </w:t>
      </w:r>
      <w:r>
        <w:t>[b]</w:t>
      </w:r>
      <w:r w:rsidRPr="006F0027">
        <w:t xml:space="preserve">alancing </w:t>
      </w:r>
      <w:r>
        <w:t>[a]</w:t>
      </w:r>
      <w:r w:rsidRPr="006F0027">
        <w:t xml:space="preserve">uthority </w:t>
      </w:r>
      <w:r>
        <w:t>[a]</w:t>
      </w:r>
      <w:r w:rsidRPr="006F0027">
        <w:t>rea.</w:t>
      </w:r>
      <w:r>
        <w:t>”</w:t>
      </w:r>
      <w:r>
        <w:rPr>
          <w:rStyle w:val="FootnoteReference"/>
          <w:b/>
          <w:bCs/>
          <w:vertAlign w:val="superscript"/>
        </w:rPr>
        <w:footnoteReference w:id="6"/>
      </w:r>
      <w:r>
        <w:t xml:space="preserve"> </w:t>
      </w:r>
    </w:p>
    <w:p w:rsidR="00640FAD" w:rsidP="00F67707" w14:paraId="7E4AFC86" w14:textId="56DEA9ED">
      <w:pPr>
        <w:pStyle w:val="FERCparanumber"/>
        <w:widowControl/>
        <w:numPr>
          <w:ilvl w:val="0"/>
          <w:numId w:val="0"/>
        </w:numPr>
        <w:autoSpaceDE/>
        <w:autoSpaceDN/>
        <w:adjustRightInd/>
        <w:spacing w:after="260" w:line="240" w:lineRule="auto"/>
      </w:pPr>
      <w:r>
        <w:t xml:space="preserve">The Commission approved </w:t>
      </w:r>
      <w:r>
        <w:t>NERC</w:t>
      </w:r>
      <w:r>
        <w:t>’s</w:t>
      </w:r>
      <w:r>
        <w:t xml:space="preserve"> minor modifications to proposed Reliability Standards IRO-010-6 and TOP-003-8 to </w:t>
      </w:r>
      <w:r w:rsidRPr="004F5910">
        <w:t xml:space="preserve">add “Inverter-based Resource (IBR)-specific data and parameters” to the list of information </w:t>
      </w:r>
      <w:r>
        <w:t xml:space="preserve">reliability coordinators, transmission operators, and balancing authorities </w:t>
      </w:r>
      <w:r w:rsidRPr="004F5910">
        <w:t xml:space="preserve">must address in </w:t>
      </w:r>
      <w:r>
        <w:t>their</w:t>
      </w:r>
      <w:r w:rsidRPr="004F5910">
        <w:t xml:space="preserve"> documented data specifications</w:t>
      </w:r>
      <w:r>
        <w:t>.</w:t>
      </w:r>
      <w:r>
        <w:rPr>
          <w:rStyle w:val="FootnoteReference"/>
          <w:b/>
          <w:bCs/>
          <w:vertAlign w:val="superscript"/>
        </w:rPr>
        <w:footnoteReference w:id="7"/>
      </w:r>
      <w:r>
        <w:t xml:space="preserve">  Additionally, both proposed Reliability Standards</w:t>
      </w:r>
      <w:r>
        <w:t xml:space="preserve"> now</w:t>
      </w:r>
      <w:r>
        <w:t xml:space="preserve"> include a new proposed Requirement that specifies that requirements for model submission for reliability coordinators, transmission operators, and balancing authorities are to be consistent with “the model submitted for planning purposes, subject to modifications for operations purposes, as applicable.”</w:t>
      </w:r>
      <w:r>
        <w:rPr>
          <w:rStyle w:val="FootnoteReference"/>
          <w:b/>
          <w:bCs/>
          <w:vertAlign w:val="superscript"/>
        </w:rPr>
        <w:footnoteReference w:id="8"/>
      </w:r>
      <w:r>
        <w:t xml:space="preserve">  </w:t>
      </w:r>
      <w:r w:rsidR="00DD44F0">
        <w:t>The Commission also approved NERC’s associated implementation plants, violation risk factors, and violation severity levels for Reliab</w:t>
      </w:r>
      <w:r w:rsidR="00466863">
        <w:t>ility</w:t>
      </w:r>
      <w:r w:rsidR="00DD44F0">
        <w:t xml:space="preserve"> Standard TOP-003-8 </w:t>
      </w:r>
      <w:r w:rsidR="00466863">
        <w:t xml:space="preserve">and the retirement of currently effective Reliability Standard TOP-003-8. </w:t>
      </w:r>
    </w:p>
    <w:p w:rsidR="00FF735D" w:rsidRPr="00FF735D" w:rsidP="00FF735D" w14:paraId="17459B7A" w14:textId="77777777">
      <w:pPr>
        <w:spacing w:after="0" w:line="240" w:lineRule="auto"/>
        <w:rPr>
          <w:rFonts w:ascii="Times New Roman" w:hAnsi="Times New Roman" w:cs="Times New Roman"/>
          <w:b/>
          <w:bCs/>
          <w:sz w:val="26"/>
          <w:szCs w:val="24"/>
        </w:rPr>
      </w:pPr>
      <w:r w:rsidRPr="00FF735D">
        <w:rPr>
          <w:rFonts w:ascii="Times New Roman" w:hAnsi="Times New Roman" w:cs="Times New Roman"/>
          <w:b/>
          <w:bCs/>
          <w:sz w:val="26"/>
          <w:szCs w:val="24"/>
        </w:rPr>
        <w:t>Requirements and Measures</w:t>
      </w:r>
    </w:p>
    <w:p w:rsidR="00F65F64" w:rsidP="00FF735D" w14:paraId="32AB896D" w14:textId="77777777">
      <w:pPr>
        <w:spacing w:after="0" w:line="240" w:lineRule="auto"/>
        <w:rPr>
          <w:rFonts w:ascii="Times New Roman" w:hAnsi="Times New Roman" w:cs="Times New Roman"/>
          <w:sz w:val="26"/>
          <w:szCs w:val="24"/>
        </w:rPr>
      </w:pPr>
      <w:r w:rsidRPr="00F65F64">
        <w:rPr>
          <w:rFonts w:ascii="Times New Roman" w:hAnsi="Times New Roman" w:cs="Times New Roman"/>
          <w:sz w:val="26"/>
          <w:szCs w:val="24"/>
        </w:rPr>
        <w:t xml:space="preserve">R1. Each Transmission Operator shall maintain documented specification(s) for the data and information necessary for it to perform its Operational Planning Analyses, Real time monitoring, and Real-time Assessments. The specification shall include, but not be limited to: [Violation Risk Factor: Lower] [Time Horizon: Operations Planning] </w:t>
      </w:r>
    </w:p>
    <w:p w:rsidR="00F65F64" w:rsidP="00FF735D" w14:paraId="6E48B590" w14:textId="77777777">
      <w:pPr>
        <w:spacing w:after="0" w:line="240" w:lineRule="auto"/>
        <w:rPr>
          <w:rFonts w:ascii="Times New Roman" w:hAnsi="Times New Roman" w:cs="Times New Roman"/>
          <w:sz w:val="26"/>
          <w:szCs w:val="24"/>
        </w:rPr>
      </w:pPr>
      <w:r w:rsidRPr="00F65F64">
        <w:rPr>
          <w:rFonts w:ascii="Times New Roman" w:hAnsi="Times New Roman" w:cs="Times New Roman"/>
          <w:sz w:val="26"/>
          <w:szCs w:val="24"/>
        </w:rPr>
        <w:t xml:space="preserve">1.1. A list of data and information needed by the Transmission Operator to support its Operational Planning Analyses, Real-time monitoring, and Real-time Assessments, as deemed necessary by the Transmission Operator, including non-BES data and information, external network data and information, Inverter-based Resource (IBR)-specific data and parameters, and identification of the entities responsible for responding to the specification. </w:t>
      </w:r>
    </w:p>
    <w:p w:rsidR="00F65F64" w:rsidP="00FF735D" w14:paraId="66938F64" w14:textId="77777777">
      <w:pPr>
        <w:spacing w:after="0" w:line="240" w:lineRule="auto"/>
        <w:rPr>
          <w:rFonts w:ascii="Times New Roman" w:hAnsi="Times New Roman" w:cs="Times New Roman"/>
          <w:sz w:val="26"/>
          <w:szCs w:val="24"/>
        </w:rPr>
      </w:pPr>
      <w:r w:rsidRPr="00F65F64">
        <w:rPr>
          <w:rFonts w:ascii="Times New Roman" w:hAnsi="Times New Roman" w:cs="Times New Roman"/>
          <w:sz w:val="26"/>
          <w:szCs w:val="24"/>
        </w:rPr>
        <w:t xml:space="preserve">1.2. Provisions for notification of current Protection System and Remedial Action Scheme (RAS) status or degradation that impacts System reliability. </w:t>
      </w:r>
    </w:p>
    <w:p w:rsidR="00F65F64" w:rsidP="00FF735D" w14:paraId="4373307F" w14:textId="77777777">
      <w:pPr>
        <w:spacing w:after="0" w:line="240" w:lineRule="auto"/>
        <w:rPr>
          <w:rFonts w:ascii="Times New Roman" w:hAnsi="Times New Roman" w:cs="Times New Roman"/>
          <w:sz w:val="26"/>
          <w:szCs w:val="24"/>
        </w:rPr>
      </w:pPr>
      <w:r w:rsidRPr="00F65F64">
        <w:rPr>
          <w:rFonts w:ascii="Times New Roman" w:hAnsi="Times New Roman" w:cs="Times New Roman"/>
          <w:sz w:val="26"/>
          <w:szCs w:val="24"/>
        </w:rPr>
        <w:t xml:space="preserve">1.3. Provisions for notification of BES generating unit(s) during local forecasted cold weather to include: 1.3.1. Operating limitations based on: 1.3.1.1. capability and availability; 1.3.1.2. 1.3.1.3. 1.3.1.4. fuel supply and inventory concerns; fuel switching capabilities; and environmental constraints 1.3.2. Generating unit(s) minimum: 1.3.2.1. design temperature; or 1.3.2.2. 1.3.2.3. historical operating temperature; or current cold weather performance temperature determined by an engineering analysis. </w:t>
      </w:r>
    </w:p>
    <w:p w:rsidR="00F65F64" w:rsidP="00FF735D" w14:paraId="025566C1" w14:textId="77777777">
      <w:pPr>
        <w:spacing w:after="0" w:line="240" w:lineRule="auto"/>
        <w:rPr>
          <w:rFonts w:ascii="Times New Roman" w:hAnsi="Times New Roman" w:cs="Times New Roman"/>
          <w:sz w:val="26"/>
          <w:szCs w:val="24"/>
        </w:rPr>
      </w:pPr>
      <w:r w:rsidRPr="00F65F64">
        <w:rPr>
          <w:rFonts w:ascii="Times New Roman" w:hAnsi="Times New Roman" w:cs="Times New Roman"/>
          <w:sz w:val="26"/>
          <w:szCs w:val="24"/>
        </w:rPr>
        <w:t xml:space="preserve">1.4. Identification of a mutually agreeable process for resolving conflicts. </w:t>
      </w:r>
    </w:p>
    <w:p w:rsidR="000A0F8C" w:rsidP="000A0F8C" w14:paraId="2720E490" w14:textId="77777777">
      <w:pPr>
        <w:spacing w:after="0" w:line="240" w:lineRule="auto"/>
        <w:rPr>
          <w:rFonts w:ascii="Times New Roman" w:hAnsi="Times New Roman" w:cs="Times New Roman"/>
          <w:sz w:val="26"/>
          <w:szCs w:val="24"/>
        </w:rPr>
      </w:pPr>
      <w:r w:rsidRPr="00F65F64">
        <w:rPr>
          <w:rFonts w:ascii="Times New Roman" w:hAnsi="Times New Roman" w:cs="Times New Roman"/>
          <w:sz w:val="26"/>
          <w:szCs w:val="24"/>
        </w:rPr>
        <w:t>1.5. Method(s) for the entity identified in Part 1.1 to provide the data and information that includes but is not limited to: 1.5.1. Specified deadlines or periodicity in which data and information is to be provided; 1.5.2. Performance criteria for the availability and accuracy of data and information as applicable; 1.5.3. Requirements for necessary model submissions to be consistent with the model submitted for planning purposes, subject to modifications for operations purposes, as applicable; 1.5.4. Provisions to update or correct data and information, as applicable or necessary;</w:t>
      </w:r>
      <w:r w:rsidRPr="000A0F8C">
        <w:t xml:space="preserve"> </w:t>
      </w:r>
      <w:r w:rsidRPr="000A0F8C">
        <w:rPr>
          <w:rFonts w:ascii="Times New Roman" w:hAnsi="Times New Roman" w:cs="Times New Roman"/>
          <w:sz w:val="26"/>
          <w:szCs w:val="24"/>
        </w:rPr>
        <w:t>1.5.5. A mutually agreeable format; 1.5.6. Mutually agreeable method(s) for securely transferring data and information.</w:t>
      </w:r>
    </w:p>
    <w:p w:rsidR="00FC166D" w:rsidP="00FF735D" w14:paraId="356646C9" w14:textId="15C673E7">
      <w:pPr>
        <w:spacing w:after="0" w:line="240" w:lineRule="auto"/>
        <w:rPr>
          <w:rFonts w:ascii="Times New Roman" w:hAnsi="Times New Roman" w:cs="Times New Roman"/>
          <w:sz w:val="26"/>
          <w:szCs w:val="24"/>
        </w:rPr>
      </w:pPr>
      <w:r w:rsidRPr="001A1CF5">
        <w:rPr>
          <w:rFonts w:ascii="Times New Roman" w:hAnsi="Times New Roman" w:cs="Times New Roman"/>
          <w:sz w:val="26"/>
          <w:szCs w:val="24"/>
        </w:rPr>
        <w:t xml:space="preserve">M1. Each Transmission Operator shall make available its dated, current, in force documented specification(s) for data and information. R2. Each Balancing Authority shall maintain documented specification(s) for the data and information necessary for it to perform its analysis functions, Real-time monitoring, and Near-Term Energy Reliability Assessments. The data specification shall include, but not be limited to: [Violation Risk Factor: Lower] [Time Horizon: Operations Planning] 2.1. A list of data and information needed by the Balancing Authority to support its analysis functions, Real-time monitoring, and Near-Term Energy Reliability Assessments, as deemed necessary by the Balancing Authority, including non Bulk Electric System data and information, IBR-specific data and parameters, and external network data and information, and identification of the entity responsible for responding to the </w:t>
      </w:r>
      <w:r w:rsidRPr="001A1CF5">
        <w:rPr>
          <w:rFonts w:ascii="Times New Roman" w:hAnsi="Times New Roman" w:cs="Times New Roman"/>
          <w:sz w:val="26"/>
          <w:szCs w:val="24"/>
        </w:rPr>
        <w:t xml:space="preserve">specification. 2.2. Provisions for notification of current Protection System and Remedial Action Scheme status or degradation that impacts System reliability. 2.3. Provisions for notification of BES generating unit(s) status during local forecasted cold weather to include: 2.3.1. Operating limitations based on: 2.3.1.1. capability and availability; 2.3.1.2. 2.3.1.3. 2.3.1.4. fuel supply and inventory concerns; fuel switching capabilities; and environmental constraints. 2.3.2. Generating unit(s) minimum: 2.3.2.1. design temperature; or 2.3.2.2. 2.3.2.3. historical operating temperature; or current cold weather performance temperature determined by an engineering analysis. 2.4. Identification of a mutually agreeable process in resolving conflicts; 2.5. Methods for the entity identified in Part 2.1 to provide data and information that includes, but is not limited to: 2.5.1. Specific deadlines or periodicity in which data and information is to be provided; 2.5.2. Performance criteria for the availability and accuracy of data and information, as applicable; Page 3 of 11 TOP-003-8 – Transmission Operator and Balancing Authority Data and Information Specification and Collection 2.5.3. Requirements for necessary model submissions to be consistent with the model submitted for planning purposes, subject to modifications for operations purposes, as applicable; 2.5.4. Provisions to update or correct data and information, as applicable or necessary. 2.5.5. A mutually agreeable format. 2.5.6. A mutually agreeable method(s) for securely transferring data and information. M2. Each Balancing Authority shall make available its dated, current, in force documented specification(s) for data and information. R3. Each Transmission Operator shall distribute its data and information specification(s) to entities that have data and information required by the Transmission Operator’s Operational Planning Analyses, Real-time monitoring, and Real-time Assessments. [Violation Risk Factor: Lower] [Time Horizon: Operations Planning] M3. Each Transmission Operator shall make available evidence that it has distributed its data specification(s) to entities that have data and information required by the Transmission Operator’s Operational Planning Analyses, Real-time monitoring, and Real-time Assessments. Such evidence could include, but is not limited to, web postings with an electronic notice of the posting, dated operator logs, voice recordings, postal receipts showing the recipient, date and contents, or email records. R4. Each Balancing Authority shall distribute its data and information specification(s) to entities that have data and information required by the Balancing Authority’s analysis functions, Real-time monitoring, and Near-Term Energy Reliability Assessments. [Violation Risk Factor: Lower] [Time Horizon: Operations Planning] M4. Each Balancing Authority shall make available evidence that it has distributed its data specification(s) to entities that have data and information required by the Balancing Authority’s analysis functions, Real-time monitoring, and Near-Term Energy Reliability Assessments. Such evidence could include, but is not limited to, web postings with an electronic notice of the posting, dated operator logs, voice recordings, postal receipts showing the recipient, or email records. R5. Each Transmission Operator, Balancing Authority, Generator Owner, Generator Operator, Transmission Owner, and Distribution </w:t>
      </w:r>
      <w:r w:rsidRPr="001A1CF5">
        <w:rPr>
          <w:rFonts w:ascii="Times New Roman" w:hAnsi="Times New Roman" w:cs="Times New Roman"/>
          <w:sz w:val="26"/>
          <w:szCs w:val="24"/>
        </w:rPr>
        <w:t>Provider receiving a data and information specification(s) in Requirement R3 or R4 shall satisfy the obligations of the documented specifications. [Violation Risk Factor: Medium] [Time Horizon: Operations Planning, Same-Day Operations, Real-time Operations] M5. Each Transmission Operator, Balancing Authority, Generator Owner, Generator Operator, Transmission Owner, and Distribution Provider receiving a specification(s) in Requirement R3 or R4 shall make available evidence that it has satisfied the obligations of the documented specification. Such evidence could include, but is not limited to, electronic or hard copies of data transmittals or attestations of receiving entities.</w:t>
      </w:r>
    </w:p>
    <w:p w:rsidR="001A1CF5" w:rsidP="00FF735D" w14:paraId="70845E07" w14:textId="77777777">
      <w:pPr>
        <w:spacing w:after="0" w:line="240" w:lineRule="auto"/>
        <w:rPr>
          <w:rFonts w:ascii="Times New Roman" w:hAnsi="Times New Roman" w:cs="Times New Roman"/>
          <w:sz w:val="26"/>
          <w:szCs w:val="24"/>
        </w:rPr>
      </w:pPr>
    </w:p>
    <w:p w:rsidR="00FC166D" w:rsidRPr="00FC166D" w:rsidP="00FC166D" w14:paraId="36B1CDCD" w14:textId="77777777">
      <w:pPr>
        <w:spacing w:after="0" w:line="240" w:lineRule="auto"/>
        <w:rPr>
          <w:rFonts w:ascii="Times New Roman" w:hAnsi="Times New Roman" w:cs="Times New Roman"/>
          <w:sz w:val="26"/>
          <w:szCs w:val="24"/>
        </w:rPr>
      </w:pPr>
      <w:r w:rsidRPr="00FC166D">
        <w:rPr>
          <w:rFonts w:ascii="Times New Roman" w:hAnsi="Times New Roman" w:cs="Times New Roman"/>
          <w:b/>
          <w:bCs/>
          <w:sz w:val="26"/>
          <w:szCs w:val="24"/>
        </w:rPr>
        <w:t xml:space="preserve">Evidence Retention: </w:t>
      </w:r>
      <w:r w:rsidRPr="00FC166D">
        <w:rPr>
          <w:rFonts w:ascii="Times New Roman" w:hAnsi="Times New Roman" w:cs="Times New Roman"/>
          <w:sz w:val="26"/>
          <w:szCs w:val="24"/>
        </w:rPr>
        <w:t xml:space="preserve">The following evidence retention period(s) identify the </w:t>
      </w:r>
    </w:p>
    <w:p w:rsidR="00FC166D" w:rsidRPr="00FC166D" w:rsidP="00FC166D" w14:paraId="5E30F26F"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period of time an entity is required to retain specific evidence to demonstrate </w:t>
      </w:r>
    </w:p>
    <w:p w:rsidR="00FC166D" w:rsidRPr="00FC166D" w:rsidP="00FC166D" w14:paraId="16D178AC"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compliance. For instances where the evidence retention period specified below </w:t>
      </w:r>
    </w:p>
    <w:p w:rsidR="00FC166D" w:rsidRPr="00FC166D" w:rsidP="00FC166D" w14:paraId="7D0F2AFC"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is shorter than the time since the last audit, the Compliance Enforcement </w:t>
      </w:r>
    </w:p>
    <w:p w:rsidR="00FC166D" w:rsidRPr="00FC166D" w:rsidP="00FC166D" w14:paraId="49F0F0D8"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Authority (CEA) may ask an entity to provide other evidence to show that it was </w:t>
      </w:r>
    </w:p>
    <w:p w:rsidR="00FC166D" w:rsidRPr="00FC166D" w:rsidP="00FC166D" w14:paraId="3B546C81"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compliant for the full time period since the last audit.</w:t>
      </w:r>
    </w:p>
    <w:p w:rsidR="00FC166D" w:rsidRPr="00FC166D" w:rsidP="00FC166D" w14:paraId="30D36921"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Each responsible entity shall keep data or evidence to show compliance as </w:t>
      </w:r>
    </w:p>
    <w:p w:rsidR="00FC166D" w:rsidRPr="00FC166D" w:rsidP="00FC166D" w14:paraId="3974EFC7"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identified below unless directed by its CEA to retain specific evidence for a </w:t>
      </w:r>
    </w:p>
    <w:p w:rsidR="00FC166D" w:rsidRPr="00FC166D" w:rsidP="00FC166D" w14:paraId="561F887F"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longer period of time as part of an investigation.</w:t>
      </w:r>
    </w:p>
    <w:p w:rsidR="00FC166D" w:rsidRPr="00FC166D" w:rsidP="00FC166D" w14:paraId="12C45CDC"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 Each Transmission Operator shall retain its dated, current, in force, </w:t>
      </w:r>
    </w:p>
    <w:p w:rsidR="00FC166D" w:rsidRPr="00FC166D" w:rsidP="00FC166D" w14:paraId="122B2CE8"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documented specification for the data and information necessary for it to </w:t>
      </w:r>
    </w:p>
    <w:p w:rsidR="00FC166D" w:rsidRPr="00FC166D" w:rsidP="00FC166D" w14:paraId="1D66709D"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perform its Operational Planning Analyses, Real-time monitoring, and </w:t>
      </w:r>
    </w:p>
    <w:p w:rsidR="00FC166D" w:rsidRPr="00FC166D" w:rsidP="00FC166D" w14:paraId="7DFAF094"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Real-time Assessments in accordance with Requirement R1 and </w:t>
      </w:r>
    </w:p>
    <w:p w:rsidR="00FC166D" w:rsidRPr="00FC166D" w:rsidP="00FC166D" w14:paraId="1EEC4ACA"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Measurement M1 as well as any documents in force since the last </w:t>
      </w:r>
    </w:p>
    <w:p w:rsidR="00FC166D" w:rsidRPr="00FC166D" w:rsidP="00FC166D" w14:paraId="69FDE5F2"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compliance audit.</w:t>
      </w:r>
    </w:p>
    <w:p w:rsidR="00FC166D" w:rsidRPr="00FC166D" w:rsidP="00FC166D" w14:paraId="4C6B6874"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 Each Balancing Authority shall retain its dated, current, in force, </w:t>
      </w:r>
    </w:p>
    <w:p w:rsidR="00FC166D" w:rsidRPr="00FC166D" w:rsidP="00FC166D" w14:paraId="4F93076D"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documented specification(s) for the data and information necessary for it </w:t>
      </w:r>
    </w:p>
    <w:p w:rsidR="00FC166D" w:rsidRPr="00FC166D" w:rsidP="00FC166D" w14:paraId="5690BFE8"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to perform its analysis functions, Real-time monitoring, and Near-Term </w:t>
      </w:r>
    </w:p>
    <w:p w:rsidR="00FC166D" w:rsidRPr="00FC166D" w:rsidP="00FC166D" w14:paraId="0A1F02EC"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Energy Reliability Assessments in accordance with Requirement R2 and </w:t>
      </w:r>
    </w:p>
    <w:p w:rsidR="00FC166D" w:rsidRPr="00FC166D" w:rsidP="00FC166D" w14:paraId="62BFD0D4"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Measurement M2, as well as any documents in force since the last </w:t>
      </w:r>
    </w:p>
    <w:p w:rsidR="00FC166D" w:rsidRPr="00FC166D" w:rsidP="00FC166D" w14:paraId="73BB3E96"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compliance audit.</w:t>
      </w:r>
    </w:p>
    <w:p w:rsidR="00FC166D" w:rsidRPr="00FC166D" w:rsidP="00FC166D" w14:paraId="715CFE12"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 Each Transmission Operator shall retain evidence for three calendar years </w:t>
      </w:r>
    </w:p>
    <w:p w:rsidR="00FC166D" w:rsidRPr="00FC166D" w:rsidP="00FC166D" w14:paraId="178BE2DD"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that it has distributed its specification(s) to entities that have data </w:t>
      </w:r>
    </w:p>
    <w:p w:rsidR="00FC166D" w:rsidRPr="00FC166D" w:rsidP="00FC166D" w14:paraId="6C8B0888"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required by the Transmission Operator’s Operational Planning Analyses, </w:t>
      </w:r>
    </w:p>
    <w:p w:rsidR="00FC166D" w:rsidRPr="00FC166D" w:rsidP="00FC166D" w14:paraId="2CD337DA"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Real-time monitoring, and Real-time Assessments in accordance with </w:t>
      </w:r>
    </w:p>
    <w:p w:rsidR="00FC166D" w:rsidRPr="00FC166D" w:rsidP="00FC166D" w14:paraId="3E127625"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Requirement R3 and Measurement M3.</w:t>
      </w:r>
    </w:p>
    <w:p w:rsidR="00FC166D" w:rsidRPr="00FC166D" w:rsidP="00FC166D" w14:paraId="654B3C03"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 Each Balancing Authority shall retain evidence for three calendar years </w:t>
      </w:r>
    </w:p>
    <w:p w:rsidR="00FC166D" w:rsidRPr="00FC166D" w:rsidP="00FC166D" w14:paraId="124A1F60"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that it has distributed its specification(s) to entities that have data </w:t>
      </w:r>
    </w:p>
    <w:p w:rsidR="00FC166D" w:rsidRPr="00FC166D" w:rsidP="00FC166D" w14:paraId="40A26903"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required by the Balancing Authority’s analysis functions, Real-time </w:t>
      </w:r>
    </w:p>
    <w:p w:rsidR="00FC166D" w:rsidRPr="00FC166D" w:rsidP="00FC166D" w14:paraId="31A36857" w14:textId="1D830F45">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monitoring, and Near-Term Energy Reliability Assessments</w:t>
      </w:r>
      <w:r>
        <w:rPr>
          <w:rFonts w:ascii="Times New Roman" w:hAnsi="Times New Roman" w:cs="Times New Roman"/>
          <w:sz w:val="26"/>
          <w:szCs w:val="24"/>
        </w:rPr>
        <w:t xml:space="preserve"> </w:t>
      </w:r>
      <w:r w:rsidRPr="00FC166D">
        <w:rPr>
          <w:rFonts w:ascii="Times New Roman" w:hAnsi="Times New Roman" w:cs="Times New Roman"/>
          <w:sz w:val="26"/>
          <w:szCs w:val="24"/>
        </w:rPr>
        <w:t xml:space="preserve">in accordance </w:t>
      </w:r>
    </w:p>
    <w:p w:rsidR="00FC166D" w:rsidRPr="00FC166D" w:rsidP="00FC166D" w14:paraId="64E699AF"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with Requirement R4 and Measurement M4.</w:t>
      </w:r>
    </w:p>
    <w:p w:rsidR="00FC166D" w:rsidRPr="00FC166D" w:rsidP="00FC166D" w14:paraId="7DA2C4BC"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Each Balancing Authority, Generator Owner, Generator Operator,</w:t>
      </w:r>
    </w:p>
    <w:p w:rsidR="00FC166D" w:rsidRPr="00FC166D" w:rsidP="00FC166D" w14:paraId="68624B4B"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Transmission Operator, Transmission Owner, and Distribution Provider receiving a </w:t>
      </w:r>
    </w:p>
    <w:p w:rsidR="00FC166D" w:rsidRPr="00FC166D" w:rsidP="00FC166D" w14:paraId="1DEF64C6"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specification(s) in Requirement R3 or R4 shall retain evidence for the most recent</w:t>
      </w:r>
    </w:p>
    <w:p w:rsidR="00FC166D" w:rsidRPr="00FC166D" w:rsidP="00FC166D" w14:paraId="03F9C252" w14:textId="77777777">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 xml:space="preserve">90-calendar days that it has satisfied the obligations of the documented </w:t>
      </w:r>
    </w:p>
    <w:p w:rsidR="00FC166D" w:rsidP="00FC166D" w14:paraId="7C92BC64" w14:textId="79740C00">
      <w:pPr>
        <w:spacing w:after="0" w:line="240" w:lineRule="auto"/>
        <w:rPr>
          <w:rFonts w:ascii="Times New Roman" w:hAnsi="Times New Roman" w:cs="Times New Roman"/>
          <w:sz w:val="26"/>
          <w:szCs w:val="24"/>
        </w:rPr>
      </w:pPr>
      <w:r w:rsidRPr="00FC166D">
        <w:rPr>
          <w:rFonts w:ascii="Times New Roman" w:hAnsi="Times New Roman" w:cs="Times New Roman"/>
          <w:sz w:val="26"/>
          <w:szCs w:val="24"/>
        </w:rPr>
        <w:t>specifications in accordance with Requirement R5 and Measurement M5</w:t>
      </w:r>
      <w:r>
        <w:rPr>
          <w:rFonts w:ascii="Times New Roman" w:hAnsi="Times New Roman" w:cs="Times New Roman"/>
          <w:sz w:val="26"/>
          <w:szCs w:val="24"/>
        </w:rPr>
        <w:t>.</w:t>
      </w:r>
    </w:p>
    <w:p w:rsidR="00FC166D" w:rsidRPr="002705B2" w:rsidP="00FC166D" w14:paraId="58D59380" w14:textId="77777777">
      <w:pPr>
        <w:spacing w:after="0" w:line="240" w:lineRule="auto"/>
        <w:rPr>
          <w:rFonts w:ascii="Times New Roman" w:hAnsi="Times New Roman" w:cs="Times New Roman"/>
          <w:sz w:val="26"/>
          <w:szCs w:val="24"/>
        </w:rPr>
      </w:pPr>
    </w:p>
    <w:p w:rsidR="00EB3E6F" w:rsidRPr="00B17D68" w:rsidP="00964094" w14:paraId="04ECF797" w14:textId="4DB34053">
      <w:pPr>
        <w:pStyle w:val="ListParagraph"/>
        <w:numPr>
          <w:ilvl w:val="0"/>
          <w:numId w:val="36"/>
        </w:numPr>
        <w:spacing w:after="0" w:line="240" w:lineRule="auto"/>
        <w:ind w:left="360"/>
        <w:rPr>
          <w:rFonts w:ascii="Times New Roman" w:hAnsi="Times New Roman" w:cs="Times New Roman"/>
          <w:b/>
          <w:sz w:val="26"/>
          <w:szCs w:val="24"/>
        </w:rPr>
      </w:pPr>
      <w:r w:rsidRPr="00B17D68">
        <w:rPr>
          <w:rFonts w:ascii="Times New Roman" w:hAnsi="Times New Roman" w:cs="Times New Roman"/>
          <w:b/>
          <w:sz w:val="26"/>
          <w:szCs w:val="24"/>
        </w:rPr>
        <w:t>DESCRIBE ANY CONSIDERATION OF THE USE OF IMPROVED INFORMATION TECHNOLOGY TO REDUCE THE BURDEN AND TECHNICAL OR LEGAL OBSTACLES TO REDUCING BURDEN</w:t>
      </w:r>
    </w:p>
    <w:p w:rsidR="00EB3E6F" w:rsidRPr="002705B2" w:rsidP="002705B2" w14:paraId="11E30C30" w14:textId="77777777">
      <w:pPr>
        <w:spacing w:after="0" w:line="240" w:lineRule="auto"/>
        <w:rPr>
          <w:rFonts w:ascii="Times New Roman" w:hAnsi="Times New Roman" w:cs="Times New Roman"/>
          <w:sz w:val="26"/>
          <w:szCs w:val="24"/>
        </w:rPr>
      </w:pPr>
    </w:p>
    <w:p w:rsidR="00C00D70" w:rsidP="002705B2" w14:paraId="4E5746FB" w14:textId="0D198BBB">
      <w:pPr>
        <w:spacing w:after="0" w:line="240" w:lineRule="auto"/>
        <w:rPr>
          <w:rFonts w:ascii="Times New Roman" w:hAnsi="Times New Roman" w:cs="Times New Roman"/>
          <w:sz w:val="26"/>
          <w:szCs w:val="26"/>
        </w:rPr>
      </w:pPr>
      <w:r w:rsidRPr="4A95DBAC">
        <w:rPr>
          <w:rFonts w:ascii="Times New Roman" w:hAnsi="Times New Roman" w:cs="Times New Roman"/>
          <w:sz w:val="26"/>
          <w:szCs w:val="26"/>
        </w:rPr>
        <w:t xml:space="preserve">The use of current or improved technology is not covered in Reliability </w:t>
      </w:r>
      <w:r w:rsidRPr="4A95DBAC" w:rsidR="00896DEA">
        <w:rPr>
          <w:rFonts w:ascii="Times New Roman" w:hAnsi="Times New Roman" w:cs="Times New Roman"/>
          <w:sz w:val="26"/>
          <w:szCs w:val="26"/>
        </w:rPr>
        <w:t>Standards and</w:t>
      </w:r>
      <w:r w:rsidRPr="4A95DBAC">
        <w:rPr>
          <w:rFonts w:ascii="Times New Roman" w:hAnsi="Times New Roman" w:cs="Times New Roman"/>
          <w:sz w:val="26"/>
          <w:szCs w:val="26"/>
        </w:rPr>
        <w:t xml:space="preserve"> is therefore left to the discretion of each reporting entity.</w:t>
      </w:r>
      <w:r w:rsidRPr="4A95DBAC" w:rsidR="00DD0209">
        <w:rPr>
          <w:rFonts w:ascii="Times New Roman" w:hAnsi="Times New Roman"/>
          <w:sz w:val="26"/>
          <w:szCs w:val="26"/>
        </w:rPr>
        <w:t xml:space="preserve"> </w:t>
      </w:r>
      <w:r w:rsidRPr="4A95DBAC" w:rsidR="00DD1F76">
        <w:rPr>
          <w:rFonts w:ascii="Times New Roman" w:hAnsi="Times New Roman"/>
          <w:sz w:val="26"/>
          <w:szCs w:val="26"/>
        </w:rPr>
        <w:t xml:space="preserve"> </w:t>
      </w:r>
      <w:r w:rsidRPr="4A95DBAC" w:rsidR="00DD0209">
        <w:rPr>
          <w:rFonts w:ascii="Times New Roman" w:hAnsi="Times New Roman" w:cs="Times New Roman"/>
          <w:sz w:val="26"/>
          <w:szCs w:val="26"/>
        </w:rPr>
        <w:t xml:space="preserve">We think that nearly all of the respondents are likely to make and keep related records in an electronic format.  Each of the </w:t>
      </w:r>
      <w:r w:rsidRPr="4A95DBAC" w:rsidR="00DD1F76">
        <w:rPr>
          <w:rFonts w:ascii="Times New Roman" w:hAnsi="Times New Roman" w:cs="Times New Roman"/>
          <w:sz w:val="26"/>
          <w:szCs w:val="26"/>
        </w:rPr>
        <w:t xml:space="preserve">six </w:t>
      </w:r>
      <w:r w:rsidRPr="4A95DBAC" w:rsidR="00DD0209">
        <w:rPr>
          <w:rFonts w:ascii="Times New Roman" w:hAnsi="Times New Roman" w:cs="Times New Roman"/>
          <w:sz w:val="26"/>
          <w:szCs w:val="26"/>
        </w:rPr>
        <w:t>Regional Entities has a well-established compliance portal for registered entities to electronically submit compliance information and reports.  The compliance portals allow documents developed by the registered entities to be attached and uploaded to the Regional Entity’s portal.  Compliance data can also be submitted by filling out data forms on the portals.  These portals are accessible through an internet browser password protected user interface.</w:t>
      </w:r>
      <w:r w:rsidRPr="4A95DBAC" w:rsidR="00AB3C34">
        <w:rPr>
          <w:rFonts w:ascii="Times New Roman" w:hAnsi="Times New Roman" w:cs="Times New Roman"/>
          <w:sz w:val="26"/>
          <w:szCs w:val="26"/>
        </w:rPr>
        <w:t xml:space="preserve">  </w:t>
      </w:r>
    </w:p>
    <w:p w:rsidR="001614D0" w:rsidP="002705B2" w14:paraId="23E7005C" w14:textId="77777777">
      <w:pPr>
        <w:spacing w:after="0" w:line="240" w:lineRule="auto"/>
        <w:rPr>
          <w:rFonts w:ascii="Times New Roman" w:hAnsi="Times New Roman" w:cs="Times New Roman"/>
          <w:sz w:val="26"/>
          <w:szCs w:val="26"/>
        </w:rPr>
      </w:pPr>
    </w:p>
    <w:p w:rsidR="001614D0" w:rsidRPr="002705B2" w:rsidP="002705B2" w14:paraId="58B16098" w14:textId="71B86F34">
      <w:pPr>
        <w:spacing w:after="0" w:line="240" w:lineRule="auto"/>
        <w:rPr>
          <w:rFonts w:ascii="Times New Roman" w:hAnsi="Times New Roman" w:cs="Times New Roman"/>
          <w:sz w:val="26"/>
          <w:szCs w:val="26"/>
        </w:rPr>
      </w:pPr>
      <w:r w:rsidRPr="00D0606B">
        <w:rPr>
          <w:rFonts w:ascii="Times New Roman" w:hAnsi="Times New Roman" w:cs="Times New Roman"/>
          <w:sz w:val="26"/>
          <w:szCs w:val="26"/>
        </w:rPr>
        <w:t>In general, the Commission supports the use of information technology to reduce burden.</w:t>
      </w:r>
    </w:p>
    <w:p w:rsidR="00EB3E6F" w:rsidRPr="002705B2" w:rsidP="002705B2" w14:paraId="054AF835" w14:textId="77777777">
      <w:pPr>
        <w:spacing w:after="0" w:line="240" w:lineRule="auto"/>
        <w:rPr>
          <w:rFonts w:ascii="Times New Roman" w:hAnsi="Times New Roman" w:cs="Times New Roman"/>
          <w:sz w:val="26"/>
          <w:szCs w:val="24"/>
        </w:rPr>
      </w:pPr>
    </w:p>
    <w:p w:rsidR="00EB3E6F" w:rsidRPr="005140A8" w:rsidP="00964094" w14:paraId="2820C7BF" w14:textId="7952500A">
      <w:pPr>
        <w:pStyle w:val="ListParagraph"/>
        <w:numPr>
          <w:ilvl w:val="0"/>
          <w:numId w:val="36"/>
        </w:numPr>
        <w:spacing w:after="0" w:line="240" w:lineRule="auto"/>
        <w:ind w:left="360"/>
        <w:rPr>
          <w:rFonts w:ascii="Times New Roman" w:hAnsi="Times New Roman" w:cs="Times New Roman"/>
          <w:b/>
          <w:sz w:val="26"/>
          <w:szCs w:val="24"/>
        </w:rPr>
      </w:pPr>
      <w:r w:rsidRPr="005140A8">
        <w:rPr>
          <w:rFonts w:ascii="Times New Roman" w:hAnsi="Times New Roman" w:cs="Times New Roman"/>
          <w:b/>
          <w:sz w:val="26"/>
          <w:szCs w:val="24"/>
        </w:rPr>
        <w:t>DESCRIBE EFFORTS TO IDENTIF</w:t>
      </w:r>
      <w:r w:rsidRPr="005140A8" w:rsidR="00E05FA3">
        <w:rPr>
          <w:rFonts w:ascii="Times New Roman" w:hAnsi="Times New Roman" w:cs="Times New Roman"/>
          <w:b/>
          <w:sz w:val="26"/>
          <w:szCs w:val="24"/>
        </w:rPr>
        <w:t>Y</w:t>
      </w:r>
      <w:r w:rsidRPr="005140A8">
        <w:rPr>
          <w:rFonts w:ascii="Times New Roman" w:hAnsi="Times New Roman" w:cs="Times New Roman"/>
          <w:b/>
          <w:sz w:val="26"/>
          <w:szCs w:val="24"/>
        </w:rPr>
        <w:t xml:space="preserve"> DUPLICATION AND SHOW SPECIFICALLY WHY ANY SIMILAR INFORMATION ALREADY AVAILABLE CANNOT BE USED OR MODIFIED FOR USE FOR THE PURPOSE(S) DESCRIBED IN INSTRUCTION NO. 2</w:t>
      </w:r>
    </w:p>
    <w:p w:rsidR="00EB3E6F" w:rsidRPr="002705B2" w:rsidP="002705B2" w14:paraId="0C9BB099" w14:textId="77777777">
      <w:pPr>
        <w:spacing w:after="0" w:line="240" w:lineRule="auto"/>
        <w:rPr>
          <w:rFonts w:ascii="Times New Roman" w:hAnsi="Times New Roman" w:cs="Times New Roman"/>
          <w:sz w:val="26"/>
          <w:szCs w:val="24"/>
        </w:rPr>
      </w:pPr>
    </w:p>
    <w:p w:rsidR="000C69C2" w:rsidP="00E5214D" w14:paraId="7BF872DA" w14:textId="5C58F066">
      <w:pPr>
        <w:spacing w:after="0" w:line="240" w:lineRule="auto"/>
        <w:rPr>
          <w:rFonts w:ascii="Times New Roman" w:hAnsi="Times New Roman" w:cs="Times New Roman"/>
          <w:sz w:val="26"/>
          <w:szCs w:val="24"/>
        </w:rPr>
      </w:pPr>
      <w:r w:rsidRPr="002705B2">
        <w:rPr>
          <w:rFonts w:ascii="Times New Roman" w:hAnsi="Times New Roman" w:cs="Times New Roman"/>
          <w:sz w:val="26"/>
          <w:szCs w:val="24"/>
        </w:rPr>
        <w:t>The Commission periodically reviews requirements concurrent with OMB review or as the Commission deems necessary to eliminate duplicati</w:t>
      </w:r>
      <w:r w:rsidR="0093057E">
        <w:rPr>
          <w:rFonts w:ascii="Times New Roman" w:hAnsi="Times New Roman" w:cs="Times New Roman"/>
          <w:sz w:val="26"/>
          <w:szCs w:val="24"/>
        </w:rPr>
        <w:t>on</w:t>
      </w:r>
      <w:r w:rsidRPr="002705B2">
        <w:rPr>
          <w:rFonts w:ascii="Times New Roman" w:hAnsi="Times New Roman" w:cs="Times New Roman"/>
          <w:sz w:val="26"/>
          <w:szCs w:val="24"/>
        </w:rPr>
        <w:t xml:space="preserve"> and to minimize the burden.</w:t>
      </w:r>
      <w:r>
        <w:rPr>
          <w:rFonts w:ascii="Times New Roman" w:hAnsi="Times New Roman" w:cs="Times New Roman"/>
          <w:sz w:val="26"/>
          <w:szCs w:val="24"/>
        </w:rPr>
        <w:t xml:space="preserve">  </w:t>
      </w:r>
      <w:r w:rsidRPr="002705B2">
        <w:rPr>
          <w:rFonts w:ascii="Times New Roman" w:hAnsi="Times New Roman" w:cs="Times New Roman"/>
          <w:sz w:val="26"/>
          <w:szCs w:val="24"/>
        </w:rPr>
        <w:t xml:space="preserve">Reliability Standards are developed by a collaborative process which requires industry participation.  The Commission is unaware of any other source of information </w:t>
      </w:r>
      <w:r w:rsidRPr="002705B2" w:rsidR="0093057E">
        <w:rPr>
          <w:rFonts w:ascii="Times New Roman" w:hAnsi="Times New Roman" w:cs="Times New Roman"/>
          <w:sz w:val="26"/>
          <w:szCs w:val="24"/>
        </w:rPr>
        <w:t>like</w:t>
      </w:r>
      <w:r w:rsidRPr="002705B2">
        <w:rPr>
          <w:rFonts w:ascii="Times New Roman" w:hAnsi="Times New Roman" w:cs="Times New Roman"/>
          <w:sz w:val="26"/>
          <w:szCs w:val="24"/>
        </w:rPr>
        <w:t xml:space="preserve"> the requirements</w:t>
      </w:r>
      <w:r w:rsidR="001B2B87">
        <w:rPr>
          <w:rFonts w:ascii="Times New Roman" w:hAnsi="Times New Roman" w:cs="Times New Roman"/>
          <w:sz w:val="26"/>
          <w:szCs w:val="24"/>
        </w:rPr>
        <w:t xml:space="preserve"> in the Reliability Standard.  </w:t>
      </w:r>
    </w:p>
    <w:p w:rsidR="00E5214D" w:rsidP="00E5214D" w14:paraId="12A34C91" w14:textId="77777777">
      <w:pPr>
        <w:spacing w:after="0" w:line="240" w:lineRule="auto"/>
        <w:rPr>
          <w:rFonts w:ascii="Times New Roman" w:hAnsi="Times New Roman" w:cs="Times New Roman"/>
          <w:sz w:val="26"/>
          <w:szCs w:val="24"/>
        </w:rPr>
      </w:pPr>
    </w:p>
    <w:p w:rsidR="00EB3E6F" w:rsidRPr="002705B2" w:rsidP="005140A8" w14:paraId="093A3264" w14:textId="77777777">
      <w:pPr>
        <w:pStyle w:val="ListParagraph"/>
        <w:numPr>
          <w:ilvl w:val="0"/>
          <w:numId w:val="36"/>
        </w:numPr>
        <w:spacing w:after="0" w:line="240" w:lineRule="auto"/>
        <w:ind w:left="360"/>
        <w:rPr>
          <w:rFonts w:ascii="Times New Roman" w:hAnsi="Times New Roman" w:cs="Times New Roman"/>
          <w:b/>
          <w:sz w:val="26"/>
          <w:szCs w:val="24"/>
        </w:rPr>
      </w:pPr>
      <w:r w:rsidRPr="002705B2">
        <w:rPr>
          <w:rFonts w:ascii="Times New Roman" w:hAnsi="Times New Roman" w:cs="Times New Roman"/>
          <w:b/>
          <w:sz w:val="26"/>
          <w:szCs w:val="24"/>
        </w:rPr>
        <w:t>METHODS USED TO MINIMIZE THE BURDEN IN COLLECTION OF INFORMATION INVOLVING SMALL ENTITIES</w:t>
      </w:r>
    </w:p>
    <w:p w:rsidR="00C00D70" w:rsidRPr="002705B2" w:rsidP="002705B2" w14:paraId="40F90D38" w14:textId="77777777">
      <w:pPr>
        <w:spacing w:after="0" w:line="240" w:lineRule="auto"/>
        <w:rPr>
          <w:rFonts w:ascii="Times New Roman" w:hAnsi="Times New Roman" w:cs="Times New Roman"/>
          <w:sz w:val="26"/>
          <w:szCs w:val="24"/>
        </w:rPr>
      </w:pPr>
    </w:p>
    <w:p w:rsidR="00C00D70" w:rsidRPr="002705B2" w:rsidP="002705B2" w14:paraId="2D7CFBFB" w14:textId="1733A40D">
      <w:pPr>
        <w:spacing w:after="0" w:line="240" w:lineRule="auto"/>
        <w:rPr>
          <w:rFonts w:ascii="Times New Roman" w:hAnsi="Times New Roman" w:cs="Times New Roman"/>
          <w:sz w:val="26"/>
          <w:szCs w:val="26"/>
        </w:rPr>
      </w:pPr>
      <w:r w:rsidRPr="002705B2">
        <w:rPr>
          <w:rFonts w:ascii="Times New Roman" w:hAnsi="Times New Roman" w:cs="Times New Roman"/>
          <w:sz w:val="26"/>
          <w:szCs w:val="26"/>
        </w:rPr>
        <w:t xml:space="preserve">In general, small entities may </w:t>
      </w:r>
      <w:r w:rsidRPr="002705B2" w:rsidR="00B86284">
        <w:rPr>
          <w:rFonts w:ascii="Times New Roman" w:hAnsi="Times New Roman" w:cs="Times New Roman"/>
          <w:sz w:val="26"/>
          <w:szCs w:val="26"/>
        </w:rPr>
        <w:t xml:space="preserve">reduce their burden by taking part in a joint registration organization or </w:t>
      </w:r>
      <w:r w:rsidRPr="002705B2">
        <w:rPr>
          <w:rFonts w:ascii="Times New Roman" w:hAnsi="Times New Roman" w:cs="Times New Roman"/>
          <w:sz w:val="26"/>
          <w:szCs w:val="26"/>
        </w:rPr>
        <w:t>a coordinated functional registration</w:t>
      </w:r>
      <w:r w:rsidRPr="002705B2" w:rsidR="00B86284">
        <w:rPr>
          <w:rFonts w:ascii="Times New Roman" w:hAnsi="Times New Roman" w:cs="Times New Roman"/>
          <w:sz w:val="26"/>
          <w:szCs w:val="26"/>
        </w:rPr>
        <w:t xml:space="preserve">.  </w:t>
      </w:r>
      <w:r w:rsidRPr="10A3CB0F" w:rsidR="00B86284">
        <w:rPr>
          <w:rFonts w:ascii="Times New Roman" w:hAnsi="Times New Roman" w:cs="Times New Roman"/>
          <w:sz w:val="26"/>
          <w:szCs w:val="26"/>
        </w:rPr>
        <w:t>These options allow a</w:t>
      </w:r>
      <w:r w:rsidRPr="10A3CB0F" w:rsidR="00E5376C">
        <w:rPr>
          <w:rFonts w:ascii="Times New Roman" w:hAnsi="Times New Roman" w:cs="Times New Roman"/>
          <w:sz w:val="26"/>
          <w:szCs w:val="26"/>
        </w:rPr>
        <w:t xml:space="preserve"> small</w:t>
      </w:r>
      <w:r w:rsidRPr="002705B2" w:rsidR="00B86284">
        <w:rPr>
          <w:rFonts w:ascii="Times New Roman" w:hAnsi="Times New Roman" w:cs="Times New Roman"/>
          <w:sz w:val="26"/>
          <w:szCs w:val="26"/>
        </w:rPr>
        <w:t xml:space="preserve"> entity to share its compliance burden with other entities</w:t>
      </w:r>
      <w:r w:rsidRPr="10A3CB0F" w:rsidR="006B3547">
        <w:rPr>
          <w:rFonts w:ascii="Times New Roman" w:hAnsi="Times New Roman" w:cs="Times New Roman"/>
          <w:sz w:val="26"/>
          <w:szCs w:val="26"/>
        </w:rPr>
        <w:t xml:space="preserve"> and, thus</w:t>
      </w:r>
      <w:r w:rsidRPr="10A3CB0F" w:rsidR="003125FB">
        <w:rPr>
          <w:rFonts w:ascii="Times New Roman" w:hAnsi="Times New Roman" w:cs="Times New Roman"/>
          <w:sz w:val="26"/>
          <w:szCs w:val="26"/>
        </w:rPr>
        <w:t>,</w:t>
      </w:r>
      <w:r w:rsidRPr="10A3CB0F" w:rsidR="006B3547">
        <w:rPr>
          <w:rFonts w:ascii="Times New Roman" w:hAnsi="Times New Roman" w:cs="Times New Roman"/>
          <w:sz w:val="26"/>
          <w:szCs w:val="26"/>
        </w:rPr>
        <w:t xml:space="preserve"> to minimize their own </w:t>
      </w:r>
      <w:r w:rsidRPr="10A3CB0F" w:rsidR="006B3547">
        <w:rPr>
          <w:rFonts w:ascii="Times New Roman" w:hAnsi="Times New Roman" w:cs="Times New Roman"/>
          <w:sz w:val="26"/>
          <w:szCs w:val="26"/>
        </w:rPr>
        <w:t>compliance burden</w:t>
      </w:r>
      <w:r w:rsidRPr="002705B2" w:rsidR="00B86284">
        <w:rPr>
          <w:rFonts w:ascii="Times New Roman" w:hAnsi="Times New Roman" w:cs="Times New Roman"/>
          <w:sz w:val="26"/>
          <w:szCs w:val="26"/>
        </w:rPr>
        <w:t>.</w:t>
      </w:r>
      <w:r w:rsidRPr="10A3CB0F" w:rsidR="003125FB">
        <w:rPr>
          <w:rFonts w:ascii="Times New Roman" w:hAnsi="Times New Roman" w:cs="Times New Roman"/>
          <w:sz w:val="26"/>
          <w:szCs w:val="26"/>
        </w:rPr>
        <w:t xml:space="preserve"> </w:t>
      </w:r>
      <w:r w:rsidRPr="00F00E11" w:rsidR="003125FB">
        <w:rPr>
          <w:rFonts w:ascii="Times New Roman" w:hAnsi="Times New Roman" w:cs="Times New Roman"/>
          <w:sz w:val="26"/>
          <w:szCs w:val="26"/>
        </w:rPr>
        <w:t>Detailed information regarding these options is available in NERC’s Rule of Procedure at Sections 507 and 508.</w:t>
      </w:r>
      <w:r>
        <w:rPr>
          <w:rStyle w:val="FootnoteReference"/>
          <w:rFonts w:ascii="Times New Roman" w:hAnsi="Times New Roman" w:cs="Times New Roman"/>
          <w:b/>
          <w:sz w:val="26"/>
          <w:szCs w:val="26"/>
          <w:vertAlign w:val="superscript"/>
        </w:rPr>
        <w:footnoteReference w:id="9"/>
      </w:r>
    </w:p>
    <w:p w:rsidR="007F0136" w:rsidRPr="002705B2" w:rsidP="00F67707" w14:paraId="7215EC62" w14:textId="57D7BC5C">
      <w:pPr>
        <w:tabs>
          <w:tab w:val="left" w:pos="2580"/>
        </w:tabs>
        <w:spacing w:after="0" w:line="240" w:lineRule="auto"/>
        <w:rPr>
          <w:rFonts w:ascii="Times New Roman" w:hAnsi="Times New Roman" w:cs="Times New Roman"/>
          <w:sz w:val="26"/>
          <w:szCs w:val="24"/>
        </w:rPr>
      </w:pPr>
      <w:r>
        <w:rPr>
          <w:rFonts w:ascii="Times New Roman" w:hAnsi="Times New Roman" w:cs="Times New Roman"/>
          <w:sz w:val="26"/>
          <w:szCs w:val="24"/>
        </w:rPr>
        <w:tab/>
      </w:r>
    </w:p>
    <w:p w:rsidR="007F0136" w:rsidRPr="002705B2" w:rsidP="002705B2" w14:paraId="652280F7" w14:textId="539536CC">
      <w:pPr>
        <w:spacing w:after="0" w:line="240" w:lineRule="auto"/>
        <w:rPr>
          <w:rFonts w:ascii="Times New Roman" w:hAnsi="Times New Roman" w:cs="Times New Roman"/>
          <w:sz w:val="26"/>
          <w:szCs w:val="26"/>
        </w:rPr>
      </w:pPr>
      <w:r w:rsidRPr="002705B2">
        <w:rPr>
          <w:rFonts w:ascii="Times New Roman" w:hAnsi="Times New Roman" w:cs="Times New Roman"/>
          <w:sz w:val="26"/>
          <w:szCs w:val="26"/>
        </w:rPr>
        <w:t>Detailed information regarding these options is available in NERC’s Rules of Procedure at sections 507 and 508.</w:t>
      </w:r>
      <w:r>
        <w:rPr>
          <w:rFonts w:ascii="Times New Roman" w:hAnsi="Times New Roman" w:cs="Times New Roman"/>
          <w:b/>
          <w:sz w:val="26"/>
          <w:szCs w:val="26"/>
          <w:vertAlign w:val="superscript"/>
        </w:rPr>
        <w:footnoteReference w:id="10"/>
      </w:r>
      <w:r w:rsidRPr="00D764EC" w:rsidR="00024344">
        <w:rPr>
          <w:rFonts w:ascii="Times New Roman" w:hAnsi="Times New Roman" w:cs="Times New Roman"/>
          <w:b/>
          <w:sz w:val="26"/>
          <w:szCs w:val="26"/>
        </w:rPr>
        <w:t xml:space="preserve"> </w:t>
      </w:r>
      <w:r w:rsidR="00024344">
        <w:rPr>
          <w:rFonts w:ascii="Times New Roman" w:hAnsi="Times New Roman" w:cs="Times New Roman"/>
          <w:sz w:val="26"/>
          <w:szCs w:val="26"/>
        </w:rPr>
        <w:t xml:space="preserve"> </w:t>
      </w:r>
    </w:p>
    <w:p w:rsidR="00EB3E6F" w:rsidRPr="002705B2" w:rsidP="002705B2" w14:paraId="2EDB8F78" w14:textId="77777777">
      <w:pPr>
        <w:spacing w:after="0" w:line="240" w:lineRule="auto"/>
        <w:rPr>
          <w:rFonts w:ascii="Times New Roman" w:hAnsi="Times New Roman" w:cs="Times New Roman"/>
          <w:sz w:val="26"/>
          <w:szCs w:val="24"/>
        </w:rPr>
      </w:pPr>
    </w:p>
    <w:p w:rsidR="00EB3E6F" w:rsidRPr="005140A8" w:rsidP="00964094" w14:paraId="381BCCC8" w14:textId="0C540251">
      <w:pPr>
        <w:pStyle w:val="ListParagraph"/>
        <w:numPr>
          <w:ilvl w:val="0"/>
          <w:numId w:val="36"/>
        </w:numPr>
        <w:spacing w:after="0" w:line="240" w:lineRule="auto"/>
        <w:ind w:left="360"/>
        <w:rPr>
          <w:rFonts w:ascii="Times New Roman" w:hAnsi="Times New Roman" w:cs="Times New Roman"/>
          <w:b/>
          <w:sz w:val="26"/>
          <w:szCs w:val="24"/>
        </w:rPr>
      </w:pPr>
      <w:r w:rsidRPr="005140A8">
        <w:rPr>
          <w:rFonts w:ascii="Times New Roman" w:hAnsi="Times New Roman" w:cs="Times New Roman"/>
          <w:b/>
          <w:sz w:val="26"/>
          <w:szCs w:val="24"/>
        </w:rPr>
        <w:t>CONSEQUENCE TO FEDERAL PROGRAM IF COLLECTION WERE CONDUCTED LESS FREQUENTLY</w:t>
      </w:r>
    </w:p>
    <w:p w:rsidR="00EB3E6F" w:rsidRPr="002705B2" w:rsidP="002705B2" w14:paraId="1D8BD47F" w14:textId="77777777">
      <w:pPr>
        <w:spacing w:after="0" w:line="240" w:lineRule="auto"/>
        <w:rPr>
          <w:rFonts w:ascii="Times New Roman" w:hAnsi="Times New Roman" w:cs="Times New Roman"/>
          <w:sz w:val="26"/>
          <w:szCs w:val="24"/>
        </w:rPr>
      </w:pPr>
    </w:p>
    <w:p w:rsidR="00C96857" w:rsidRPr="002705B2" w:rsidP="00145A85" w14:paraId="01613560" w14:textId="4A8A28FF">
      <w:pPr>
        <w:widowControl w:val="0"/>
        <w:autoSpaceDE w:val="0"/>
        <w:autoSpaceDN w:val="0"/>
        <w:adjustRightInd w:val="0"/>
        <w:spacing w:after="0" w:line="240" w:lineRule="auto"/>
        <w:rPr>
          <w:rFonts w:ascii="Times New Roman" w:eastAsia="Times New Roman" w:hAnsi="Times New Roman" w:cs="Times New Roman"/>
          <w:sz w:val="26"/>
          <w:szCs w:val="26"/>
        </w:rPr>
      </w:pPr>
      <w:r w:rsidRPr="19802ACB">
        <w:rPr>
          <w:rFonts w:ascii="Times New Roman" w:eastAsia="Times New Roman" w:hAnsi="Times New Roman" w:cs="Times New Roman"/>
          <w:sz w:val="26"/>
          <w:szCs w:val="26"/>
        </w:rPr>
        <w:t xml:space="preserve">In general, information collection requirements in Reliability Standards and requirements help maintain Bulk-Power System reliability. </w:t>
      </w:r>
      <w:r w:rsidR="00B07E9D">
        <w:rPr>
          <w:rFonts w:ascii="Times New Roman" w:eastAsia="Times New Roman" w:hAnsi="Times New Roman" w:cs="Times New Roman"/>
          <w:sz w:val="26"/>
          <w:szCs w:val="26"/>
        </w:rPr>
        <w:t xml:space="preserve"> </w:t>
      </w:r>
      <w:r w:rsidRPr="2A2D9407" w:rsidR="00410F2F">
        <w:rPr>
          <w:rFonts w:ascii="Times New Roman" w:eastAsia="Times New Roman" w:hAnsi="Times New Roman" w:cs="Times New Roman"/>
          <w:sz w:val="26"/>
          <w:szCs w:val="26"/>
        </w:rPr>
        <w:t>If this standard and the associated information collection requirements did not exist or were performed less frequently, it would not be possible to ensure that applicable entities have the access to</w:t>
      </w:r>
      <w:r w:rsidR="00410F2F">
        <w:rPr>
          <w:rFonts w:ascii="Times New Roman" w:eastAsia="Times New Roman" w:hAnsi="Times New Roman" w:cs="Times New Roman"/>
          <w:sz w:val="26"/>
          <w:szCs w:val="26"/>
        </w:rPr>
        <w:t xml:space="preserve"> IBR-specific</w:t>
      </w:r>
      <w:r w:rsidRPr="2A2D9407" w:rsidR="00410F2F">
        <w:rPr>
          <w:rFonts w:ascii="Times New Roman" w:eastAsia="Times New Roman" w:hAnsi="Times New Roman" w:cs="Times New Roman"/>
          <w:sz w:val="26"/>
          <w:szCs w:val="26"/>
        </w:rPr>
        <w:t xml:space="preserve"> data needed from other entities to ensure reliability of the Bulk-Power System</w:t>
      </w:r>
      <w:r w:rsidR="007157F9">
        <w:rPr>
          <w:rFonts w:ascii="Times New Roman" w:eastAsia="Times New Roman" w:hAnsi="Times New Roman" w:cs="Times New Roman"/>
          <w:sz w:val="26"/>
          <w:szCs w:val="26"/>
        </w:rPr>
        <w:t>.</w:t>
      </w:r>
      <w:r w:rsidR="00B07E9D">
        <w:rPr>
          <w:rFonts w:ascii="Times New Roman" w:eastAsia="Times New Roman" w:hAnsi="Times New Roman" w:cs="Times New Roman"/>
          <w:sz w:val="26"/>
          <w:szCs w:val="26"/>
        </w:rPr>
        <w:t xml:space="preserve"> </w:t>
      </w:r>
      <w:r w:rsidR="007157F9">
        <w:rPr>
          <w:rFonts w:ascii="Times New Roman" w:eastAsia="Times New Roman" w:hAnsi="Times New Roman" w:cs="Times New Roman"/>
          <w:sz w:val="26"/>
          <w:szCs w:val="26"/>
        </w:rPr>
        <w:t xml:space="preserve"> </w:t>
      </w:r>
      <w:r w:rsidRPr="2A2D9407" w:rsidR="007157F9">
        <w:rPr>
          <w:rFonts w:ascii="Times New Roman" w:eastAsia="Times New Roman" w:hAnsi="Times New Roman" w:cs="Times New Roman"/>
          <w:sz w:val="26"/>
          <w:szCs w:val="26"/>
        </w:rPr>
        <w:t xml:space="preserve">This would likely lead to lower system reliability and higher vulnerability and risk by operating in an unknown state.  </w:t>
      </w:r>
      <w:r w:rsidR="00410F2F">
        <w:rPr>
          <w:rFonts w:ascii="Times New Roman" w:eastAsia="Times New Roman" w:hAnsi="Times New Roman" w:cs="Times New Roman"/>
          <w:sz w:val="26"/>
          <w:szCs w:val="26"/>
        </w:rPr>
        <w:t xml:space="preserve"> </w:t>
      </w:r>
    </w:p>
    <w:p w:rsidR="002E7D81" w:rsidRPr="002705B2" w:rsidP="002705B2" w14:paraId="4A160987" w14:textId="77777777">
      <w:pPr>
        <w:spacing w:after="0" w:line="240" w:lineRule="auto"/>
        <w:rPr>
          <w:rFonts w:ascii="Times New Roman" w:hAnsi="Times New Roman" w:cs="Times New Roman"/>
          <w:sz w:val="26"/>
          <w:szCs w:val="24"/>
        </w:rPr>
      </w:pPr>
    </w:p>
    <w:p w:rsidR="00EB3E6F" w:rsidRPr="002705B2" w:rsidP="005140A8" w14:paraId="4A7865B8" w14:textId="77777777">
      <w:pPr>
        <w:pStyle w:val="ListParagraph"/>
        <w:numPr>
          <w:ilvl w:val="0"/>
          <w:numId w:val="36"/>
        </w:numPr>
        <w:spacing w:after="0" w:line="240" w:lineRule="auto"/>
        <w:ind w:left="360"/>
        <w:rPr>
          <w:rFonts w:ascii="Times New Roman" w:hAnsi="Times New Roman" w:cs="Times New Roman"/>
          <w:b/>
          <w:sz w:val="26"/>
          <w:szCs w:val="24"/>
        </w:rPr>
      </w:pPr>
      <w:r w:rsidRPr="002705B2">
        <w:rPr>
          <w:rFonts w:ascii="Times New Roman" w:hAnsi="Times New Roman" w:cs="Times New Roman"/>
          <w:b/>
          <w:sz w:val="26"/>
          <w:szCs w:val="24"/>
        </w:rPr>
        <w:t>EXPLAIN ANY SPECIAL CIRCUMSTANCES RELATING TO THE INFORMATION COLLECTION</w:t>
      </w:r>
    </w:p>
    <w:p w:rsidR="00EB3E6F" w:rsidRPr="002705B2" w:rsidP="002705B2" w14:paraId="07E33058" w14:textId="77777777">
      <w:pPr>
        <w:spacing w:after="0" w:line="240" w:lineRule="auto"/>
        <w:rPr>
          <w:rFonts w:ascii="Times New Roman" w:hAnsi="Times New Roman" w:cs="Times New Roman"/>
          <w:sz w:val="26"/>
          <w:szCs w:val="24"/>
        </w:rPr>
      </w:pPr>
    </w:p>
    <w:p w:rsidR="003E0475" w:rsidP="00731CBC" w14:paraId="2AC511E5" w14:textId="57A03E1F">
      <w:pPr>
        <w:spacing w:after="0" w:line="240" w:lineRule="auto"/>
        <w:rPr>
          <w:rFonts w:ascii="Times New Roman" w:hAnsi="Times New Roman"/>
          <w:sz w:val="26"/>
          <w:szCs w:val="26"/>
        </w:rPr>
      </w:pPr>
      <w:r w:rsidRPr="61B73D95">
        <w:rPr>
          <w:rFonts w:ascii="Times New Roman" w:hAnsi="Times New Roman"/>
          <w:sz w:val="26"/>
          <w:szCs w:val="26"/>
        </w:rPr>
        <w:t xml:space="preserve">There </w:t>
      </w:r>
      <w:r w:rsidRPr="61B73D95" w:rsidR="00EE4C15">
        <w:rPr>
          <w:rFonts w:ascii="Times New Roman" w:hAnsi="Times New Roman"/>
          <w:sz w:val="26"/>
          <w:szCs w:val="26"/>
        </w:rPr>
        <w:t>are</w:t>
      </w:r>
      <w:r w:rsidRPr="61B73D95" w:rsidR="00705F66">
        <w:rPr>
          <w:rFonts w:ascii="Times New Roman" w:hAnsi="Times New Roman"/>
          <w:sz w:val="26"/>
          <w:szCs w:val="26"/>
        </w:rPr>
        <w:t xml:space="preserve"> </w:t>
      </w:r>
      <w:r w:rsidRPr="61B73D95" w:rsidR="00A6790F">
        <w:rPr>
          <w:rFonts w:ascii="Times New Roman" w:hAnsi="Times New Roman"/>
          <w:sz w:val="26"/>
          <w:szCs w:val="26"/>
        </w:rPr>
        <w:t>no</w:t>
      </w:r>
      <w:r w:rsidRPr="61B73D95">
        <w:rPr>
          <w:rFonts w:ascii="Times New Roman" w:hAnsi="Times New Roman"/>
          <w:sz w:val="26"/>
          <w:szCs w:val="26"/>
        </w:rPr>
        <w:t xml:space="preserve"> special circumstances as described in 5 CFR 1320.5(d)(2) related to th</w:t>
      </w:r>
      <w:r w:rsidRPr="61B73D95" w:rsidR="00086B41">
        <w:rPr>
          <w:rFonts w:ascii="Times New Roman" w:hAnsi="Times New Roman"/>
          <w:sz w:val="26"/>
          <w:szCs w:val="26"/>
        </w:rPr>
        <w:t xml:space="preserve">e </w:t>
      </w:r>
      <w:r w:rsidR="00C65788">
        <w:rPr>
          <w:rFonts w:ascii="Times New Roman" w:hAnsi="Times New Roman"/>
          <w:sz w:val="26"/>
          <w:szCs w:val="26"/>
        </w:rPr>
        <w:t xml:space="preserve">revisions </w:t>
      </w:r>
      <w:r w:rsidRPr="61B73D95" w:rsidR="00086B41">
        <w:rPr>
          <w:rFonts w:ascii="Times New Roman" w:hAnsi="Times New Roman"/>
          <w:sz w:val="26"/>
          <w:szCs w:val="26"/>
        </w:rPr>
        <w:t xml:space="preserve">of </w:t>
      </w:r>
      <w:r w:rsidRPr="61B73D95" w:rsidR="00731CBC">
        <w:rPr>
          <w:rFonts w:ascii="Times New Roman" w:hAnsi="Times New Roman"/>
          <w:sz w:val="26"/>
          <w:szCs w:val="26"/>
        </w:rPr>
        <w:t xml:space="preserve">Reliability </w:t>
      </w:r>
      <w:r w:rsidRPr="2E13F299" w:rsidR="00731CBC">
        <w:rPr>
          <w:rFonts w:ascii="Times New Roman" w:hAnsi="Times New Roman"/>
          <w:sz w:val="26"/>
          <w:szCs w:val="26"/>
        </w:rPr>
        <w:t>Standard</w:t>
      </w:r>
      <w:r w:rsidRPr="2E13F299" w:rsidR="43D8358F">
        <w:rPr>
          <w:rFonts w:ascii="Times New Roman" w:hAnsi="Times New Roman"/>
          <w:sz w:val="26"/>
          <w:szCs w:val="26"/>
        </w:rPr>
        <w:t xml:space="preserve"> TOP-</w:t>
      </w:r>
      <w:r w:rsidRPr="4AB2FF1D" w:rsidR="43D8358F">
        <w:rPr>
          <w:rFonts w:ascii="Times New Roman" w:hAnsi="Times New Roman"/>
          <w:sz w:val="26"/>
          <w:szCs w:val="26"/>
        </w:rPr>
        <w:t>00</w:t>
      </w:r>
      <w:r w:rsidR="00F06AC9">
        <w:rPr>
          <w:rFonts w:ascii="Times New Roman" w:hAnsi="Times New Roman"/>
          <w:sz w:val="26"/>
          <w:szCs w:val="26"/>
        </w:rPr>
        <w:t>3</w:t>
      </w:r>
      <w:r w:rsidRPr="4AB2FF1D" w:rsidR="43D8358F">
        <w:rPr>
          <w:rFonts w:ascii="Times New Roman" w:hAnsi="Times New Roman"/>
          <w:sz w:val="26"/>
          <w:szCs w:val="26"/>
        </w:rPr>
        <w:t>-</w:t>
      </w:r>
      <w:r w:rsidR="00DB110F">
        <w:rPr>
          <w:rFonts w:ascii="Times New Roman" w:hAnsi="Times New Roman"/>
          <w:sz w:val="26"/>
          <w:szCs w:val="26"/>
        </w:rPr>
        <w:t>8</w:t>
      </w:r>
      <w:r w:rsidRPr="61B73D95" w:rsidR="00731CBC">
        <w:rPr>
          <w:rFonts w:ascii="Times New Roman" w:hAnsi="Times New Roman"/>
          <w:sz w:val="26"/>
          <w:szCs w:val="26"/>
        </w:rPr>
        <w:t>.</w:t>
      </w:r>
    </w:p>
    <w:p w:rsidR="00731CBC" w:rsidP="00731CBC" w14:paraId="7C2639D4" w14:textId="77777777">
      <w:pPr>
        <w:spacing w:after="0" w:line="240" w:lineRule="auto"/>
        <w:rPr>
          <w:rFonts w:ascii="Times New Roman" w:hAnsi="Times New Roman"/>
          <w:sz w:val="26"/>
          <w:szCs w:val="24"/>
          <w:u w:val="double"/>
        </w:rPr>
      </w:pPr>
    </w:p>
    <w:p w:rsidR="00EB3E6F" w:rsidP="005140A8" w14:paraId="4E1E27C3" w14:textId="77777777">
      <w:pPr>
        <w:pStyle w:val="ListParagraph"/>
        <w:numPr>
          <w:ilvl w:val="0"/>
          <w:numId w:val="36"/>
        </w:numPr>
        <w:spacing w:after="0" w:line="240" w:lineRule="auto"/>
        <w:ind w:left="360"/>
        <w:rPr>
          <w:rFonts w:ascii="Times New Roman" w:hAnsi="Times New Roman" w:cs="Times New Roman"/>
          <w:b/>
          <w:sz w:val="26"/>
          <w:szCs w:val="24"/>
        </w:rPr>
      </w:pPr>
      <w:r w:rsidRPr="002705B2">
        <w:rPr>
          <w:rFonts w:ascii="Times New Roman" w:hAnsi="Times New Roman" w:cs="Times New Roman"/>
          <w:b/>
          <w:sz w:val="26"/>
          <w:szCs w:val="24"/>
        </w:rPr>
        <w:t>DESCRIBE EFFORTS TO CONSULT OUTSIDE THE AGENCY: SUMMARIZE PUBLIC COMMENTS AND THE AGENCY’S RESPONSE</w:t>
      </w:r>
    </w:p>
    <w:p w:rsidR="00B07E9D" w:rsidRPr="002705B2" w:rsidP="00F67707" w14:paraId="70814782" w14:textId="77777777">
      <w:pPr>
        <w:pStyle w:val="ListParagraph"/>
        <w:spacing w:after="0" w:line="240" w:lineRule="auto"/>
        <w:ind w:left="360"/>
        <w:rPr>
          <w:rFonts w:ascii="Times New Roman" w:hAnsi="Times New Roman" w:cs="Times New Roman"/>
          <w:b/>
          <w:sz w:val="26"/>
          <w:szCs w:val="24"/>
        </w:rPr>
      </w:pPr>
    </w:p>
    <w:p w:rsidR="00EB3E6F" w:rsidRPr="000F5ED8" w:rsidP="00F67707" w14:paraId="75E84060" w14:textId="751B4F2F">
      <w:pPr>
        <w:spacing w:after="0"/>
        <w:rPr>
          <w:rFonts w:ascii="Times New Roman" w:hAnsi="Times New Roman" w:cs="Times New Roman"/>
          <w:sz w:val="26"/>
          <w:szCs w:val="26"/>
        </w:rPr>
      </w:pPr>
      <w:r w:rsidRPr="00F67707">
        <w:rPr>
          <w:rFonts w:ascii="Times New Roman" w:hAnsi="Times New Roman" w:cs="Times New Roman"/>
          <w:sz w:val="26"/>
          <w:szCs w:val="26"/>
        </w:rPr>
        <w:t>The ERO process to establish Reliability Standards is a collaborative process with the ERO, Regional Entities, and other stakeholders developing and reviewing drafts and providing comments.</w:t>
      </w:r>
      <w:r>
        <w:rPr>
          <w:rStyle w:val="FootnoteReference"/>
          <w:rFonts w:ascii="Times New Roman" w:hAnsi="Times New Roman" w:cs="Times New Roman"/>
          <w:b/>
          <w:bCs/>
          <w:sz w:val="26"/>
          <w:szCs w:val="26"/>
          <w:vertAlign w:val="superscript"/>
        </w:rPr>
        <w:footnoteReference w:id="11"/>
      </w:r>
      <w:r w:rsidRPr="00F67707">
        <w:rPr>
          <w:rFonts w:ascii="Times New Roman" w:hAnsi="Times New Roman" w:cs="Times New Roman"/>
          <w:sz w:val="26"/>
          <w:szCs w:val="26"/>
        </w:rPr>
        <w:t xml:space="preserve">  The NERC-approved Reliability Standards were then submitted by NERC to the FERC for review and approval.</w:t>
      </w:r>
    </w:p>
    <w:p w:rsidR="000F5ED8" w:rsidRPr="002705B2" w:rsidP="002705B2" w14:paraId="1A12338A" w14:textId="77777777">
      <w:pPr>
        <w:spacing w:after="0" w:line="240" w:lineRule="auto"/>
        <w:rPr>
          <w:rFonts w:ascii="Times New Roman" w:hAnsi="Times New Roman" w:cs="Times New Roman"/>
          <w:sz w:val="26"/>
          <w:szCs w:val="24"/>
        </w:rPr>
      </w:pPr>
    </w:p>
    <w:p w:rsidR="00D84F64" w:rsidP="7116DBA1" w14:paraId="7314E5EB" w14:textId="181E1324">
      <w:pPr>
        <w:spacing w:after="0" w:line="240" w:lineRule="auto"/>
        <w:rPr>
          <w:rFonts w:ascii="Times New Roman" w:hAnsi="Times New Roman"/>
          <w:sz w:val="26"/>
          <w:szCs w:val="26"/>
        </w:rPr>
      </w:pPr>
      <w:r>
        <w:rPr>
          <w:rFonts w:ascii="Times New Roman" w:hAnsi="Times New Roman"/>
          <w:sz w:val="26"/>
          <w:szCs w:val="26"/>
        </w:rPr>
        <w:t>T</w:t>
      </w:r>
      <w:r w:rsidRPr="72389835">
        <w:rPr>
          <w:rFonts w:ascii="Times New Roman" w:hAnsi="Times New Roman"/>
          <w:sz w:val="26"/>
          <w:szCs w:val="26"/>
        </w:rPr>
        <w:t xml:space="preserve">he </w:t>
      </w:r>
      <w:r w:rsidRPr="235CF438">
        <w:rPr>
          <w:rFonts w:ascii="Times New Roman" w:hAnsi="Times New Roman"/>
          <w:sz w:val="26"/>
          <w:szCs w:val="26"/>
        </w:rPr>
        <w:t>Commission issued a</w:t>
      </w:r>
      <w:r w:rsidR="003740B8">
        <w:rPr>
          <w:rFonts w:ascii="Times New Roman" w:hAnsi="Times New Roman"/>
          <w:sz w:val="26"/>
          <w:szCs w:val="26"/>
        </w:rPr>
        <w:t>n</w:t>
      </w:r>
      <w:r w:rsidRPr="235CF438">
        <w:rPr>
          <w:rFonts w:ascii="Times New Roman" w:hAnsi="Times New Roman"/>
          <w:sz w:val="26"/>
          <w:szCs w:val="26"/>
        </w:rPr>
        <w:t xml:space="preserve"> </w:t>
      </w:r>
      <w:r w:rsidR="003740B8">
        <w:rPr>
          <w:rFonts w:ascii="Times New Roman" w:hAnsi="Times New Roman"/>
          <w:sz w:val="26"/>
          <w:szCs w:val="26"/>
        </w:rPr>
        <w:t xml:space="preserve">order </w:t>
      </w:r>
      <w:r w:rsidRPr="6D10ED8A">
        <w:rPr>
          <w:rFonts w:ascii="Times New Roman" w:hAnsi="Times New Roman"/>
          <w:sz w:val="26"/>
          <w:szCs w:val="26"/>
        </w:rPr>
        <w:t xml:space="preserve">approving, among other </w:t>
      </w:r>
      <w:r w:rsidRPr="7E1A3CCF">
        <w:rPr>
          <w:rFonts w:ascii="Times New Roman" w:hAnsi="Times New Roman"/>
          <w:sz w:val="26"/>
          <w:szCs w:val="26"/>
        </w:rPr>
        <w:t xml:space="preserve">things, the retirement of </w:t>
      </w:r>
      <w:r w:rsidRPr="560CAF12">
        <w:rPr>
          <w:rFonts w:ascii="Times New Roman" w:hAnsi="Times New Roman"/>
          <w:sz w:val="26"/>
          <w:szCs w:val="26"/>
        </w:rPr>
        <w:t>Reliability Standard TOP-</w:t>
      </w:r>
      <w:r w:rsidRPr="52247BE4">
        <w:rPr>
          <w:rFonts w:ascii="Times New Roman" w:hAnsi="Times New Roman"/>
          <w:sz w:val="26"/>
          <w:szCs w:val="26"/>
        </w:rPr>
        <w:t>00</w:t>
      </w:r>
      <w:r w:rsidR="003740B8">
        <w:rPr>
          <w:rFonts w:ascii="Times New Roman" w:hAnsi="Times New Roman"/>
          <w:sz w:val="26"/>
          <w:szCs w:val="26"/>
        </w:rPr>
        <w:t>3-</w:t>
      </w:r>
      <w:r w:rsidR="00BE4215">
        <w:rPr>
          <w:rFonts w:ascii="Times New Roman" w:hAnsi="Times New Roman"/>
          <w:sz w:val="26"/>
          <w:szCs w:val="26"/>
        </w:rPr>
        <w:t xml:space="preserve">7 </w:t>
      </w:r>
      <w:r w:rsidRPr="6E1BDFA1">
        <w:rPr>
          <w:rFonts w:ascii="Times New Roman" w:hAnsi="Times New Roman"/>
          <w:sz w:val="26"/>
          <w:szCs w:val="26"/>
        </w:rPr>
        <w:t>(</w:t>
      </w:r>
      <w:r w:rsidRPr="3D1EBFA5">
        <w:rPr>
          <w:rFonts w:ascii="Times New Roman" w:hAnsi="Times New Roman"/>
          <w:sz w:val="26"/>
          <w:szCs w:val="26"/>
        </w:rPr>
        <w:t>Docket No. RD2</w:t>
      </w:r>
      <w:r w:rsidR="00BE4215">
        <w:rPr>
          <w:rFonts w:ascii="Times New Roman" w:hAnsi="Times New Roman"/>
          <w:sz w:val="26"/>
          <w:szCs w:val="26"/>
        </w:rPr>
        <w:t>6</w:t>
      </w:r>
      <w:r w:rsidRPr="3D1EBFA5">
        <w:rPr>
          <w:rFonts w:ascii="Times New Roman" w:hAnsi="Times New Roman"/>
          <w:sz w:val="26"/>
          <w:szCs w:val="26"/>
        </w:rPr>
        <w:t>-</w:t>
      </w:r>
      <w:r w:rsidR="00E92D84">
        <w:rPr>
          <w:rFonts w:ascii="Times New Roman" w:hAnsi="Times New Roman"/>
          <w:sz w:val="26"/>
          <w:szCs w:val="26"/>
        </w:rPr>
        <w:t>1</w:t>
      </w:r>
      <w:r w:rsidRPr="3D1EBFA5">
        <w:rPr>
          <w:rFonts w:ascii="Times New Roman" w:hAnsi="Times New Roman"/>
          <w:sz w:val="26"/>
          <w:szCs w:val="26"/>
        </w:rPr>
        <w:t>-</w:t>
      </w:r>
      <w:r w:rsidRPr="3BDF4828">
        <w:rPr>
          <w:rFonts w:ascii="Times New Roman" w:hAnsi="Times New Roman"/>
          <w:sz w:val="26"/>
          <w:szCs w:val="26"/>
        </w:rPr>
        <w:t>000)</w:t>
      </w:r>
      <w:r w:rsidR="008B4E95">
        <w:rPr>
          <w:rFonts w:ascii="Times New Roman" w:hAnsi="Times New Roman"/>
          <w:sz w:val="26"/>
          <w:szCs w:val="26"/>
        </w:rPr>
        <w:t xml:space="preserve"> and approval of </w:t>
      </w:r>
      <w:r w:rsidR="00EC012E">
        <w:rPr>
          <w:rFonts w:ascii="Times New Roman" w:hAnsi="Times New Roman"/>
          <w:sz w:val="26"/>
          <w:szCs w:val="26"/>
        </w:rPr>
        <w:t>new TOP-00</w:t>
      </w:r>
      <w:r w:rsidR="003740B8">
        <w:rPr>
          <w:rFonts w:ascii="Times New Roman" w:hAnsi="Times New Roman"/>
          <w:sz w:val="26"/>
          <w:szCs w:val="26"/>
        </w:rPr>
        <w:t>3</w:t>
      </w:r>
      <w:r w:rsidR="00EC012E">
        <w:rPr>
          <w:rFonts w:ascii="Times New Roman" w:hAnsi="Times New Roman"/>
          <w:sz w:val="26"/>
          <w:szCs w:val="26"/>
        </w:rPr>
        <w:t>-</w:t>
      </w:r>
      <w:r w:rsidR="00BE4215">
        <w:rPr>
          <w:rFonts w:ascii="Times New Roman" w:hAnsi="Times New Roman"/>
          <w:sz w:val="26"/>
          <w:szCs w:val="26"/>
        </w:rPr>
        <w:t>8</w:t>
      </w:r>
      <w:r w:rsidR="00D82F3A">
        <w:rPr>
          <w:rFonts w:ascii="Times New Roman" w:hAnsi="Times New Roman"/>
          <w:sz w:val="26"/>
          <w:szCs w:val="26"/>
        </w:rPr>
        <w:t>, which included a 60</w:t>
      </w:r>
      <w:r w:rsidR="003740B8">
        <w:rPr>
          <w:rFonts w:ascii="Times New Roman" w:hAnsi="Times New Roman"/>
          <w:sz w:val="26"/>
          <w:szCs w:val="26"/>
        </w:rPr>
        <w:t>-</w:t>
      </w:r>
      <w:r w:rsidR="00D82F3A">
        <w:rPr>
          <w:rFonts w:ascii="Times New Roman" w:hAnsi="Times New Roman"/>
          <w:sz w:val="26"/>
          <w:szCs w:val="26"/>
        </w:rPr>
        <w:t>day public notice</w:t>
      </w:r>
      <w:r w:rsidR="00EF1C79">
        <w:rPr>
          <w:rFonts w:ascii="Times New Roman" w:hAnsi="Times New Roman"/>
          <w:sz w:val="26"/>
          <w:szCs w:val="26"/>
        </w:rPr>
        <w:t>, on</w:t>
      </w:r>
      <w:r w:rsidR="00416076">
        <w:rPr>
          <w:rFonts w:ascii="Times New Roman" w:hAnsi="Times New Roman"/>
          <w:sz w:val="26"/>
          <w:szCs w:val="26"/>
        </w:rPr>
        <w:t xml:space="preserve"> </w:t>
      </w:r>
      <w:r w:rsidR="00DB110F">
        <w:rPr>
          <w:rFonts w:ascii="Times New Roman" w:hAnsi="Times New Roman"/>
          <w:sz w:val="26"/>
          <w:szCs w:val="26"/>
        </w:rPr>
        <w:t>February</w:t>
      </w:r>
      <w:r w:rsidR="00416076">
        <w:rPr>
          <w:rFonts w:ascii="Times New Roman" w:hAnsi="Times New Roman"/>
          <w:sz w:val="26"/>
          <w:szCs w:val="26"/>
        </w:rPr>
        <w:t xml:space="preserve"> </w:t>
      </w:r>
      <w:r w:rsidR="00DB110F">
        <w:rPr>
          <w:rFonts w:ascii="Times New Roman" w:hAnsi="Times New Roman"/>
          <w:sz w:val="26"/>
          <w:szCs w:val="26"/>
        </w:rPr>
        <w:t>24</w:t>
      </w:r>
      <w:r w:rsidR="00416076">
        <w:rPr>
          <w:rFonts w:ascii="Times New Roman" w:hAnsi="Times New Roman"/>
          <w:sz w:val="26"/>
          <w:szCs w:val="26"/>
        </w:rPr>
        <w:t>, 2025</w:t>
      </w:r>
      <w:r w:rsidR="00E86333">
        <w:rPr>
          <w:rFonts w:ascii="Times New Roman" w:hAnsi="Times New Roman"/>
          <w:sz w:val="26"/>
          <w:szCs w:val="26"/>
        </w:rPr>
        <w:t xml:space="preserve"> (</w:t>
      </w:r>
      <w:r w:rsidR="003740B8">
        <w:rPr>
          <w:rFonts w:ascii="Times New Roman" w:hAnsi="Times New Roman"/>
          <w:sz w:val="26"/>
          <w:szCs w:val="26"/>
        </w:rPr>
        <w:t>9</w:t>
      </w:r>
      <w:r w:rsidR="00DB110F">
        <w:rPr>
          <w:rFonts w:ascii="Times New Roman" w:hAnsi="Times New Roman"/>
          <w:sz w:val="26"/>
          <w:szCs w:val="26"/>
        </w:rPr>
        <w:t>1</w:t>
      </w:r>
      <w:r w:rsidR="003740B8">
        <w:rPr>
          <w:rFonts w:ascii="Times New Roman" w:hAnsi="Times New Roman"/>
          <w:sz w:val="26"/>
          <w:szCs w:val="26"/>
        </w:rPr>
        <w:t xml:space="preserve"> FR </w:t>
      </w:r>
      <w:r w:rsidR="00DB110F">
        <w:rPr>
          <w:rFonts w:ascii="Times New Roman" w:hAnsi="Times New Roman"/>
          <w:sz w:val="26"/>
          <w:szCs w:val="26"/>
        </w:rPr>
        <w:t>8864</w:t>
      </w:r>
      <w:r>
        <w:rPr>
          <w:rFonts w:ascii="Times New Roman" w:hAnsi="Times New Roman"/>
          <w:sz w:val="26"/>
          <w:szCs w:val="26"/>
        </w:rPr>
        <w:t>).</w:t>
      </w:r>
      <w:r w:rsidRPr="36B0AD11">
        <w:rPr>
          <w:rFonts w:ascii="Times New Roman" w:hAnsi="Times New Roman"/>
          <w:sz w:val="26"/>
          <w:szCs w:val="26"/>
        </w:rPr>
        <w:t xml:space="preserve"> </w:t>
      </w:r>
      <w:r w:rsidR="00B07E9D">
        <w:rPr>
          <w:rFonts w:ascii="Times New Roman" w:hAnsi="Times New Roman"/>
          <w:sz w:val="26"/>
          <w:szCs w:val="26"/>
        </w:rPr>
        <w:t xml:space="preserve"> </w:t>
      </w:r>
      <w:r w:rsidRPr="52247BE4">
        <w:rPr>
          <w:rFonts w:ascii="Times New Roman" w:hAnsi="Times New Roman"/>
          <w:sz w:val="26"/>
          <w:szCs w:val="26"/>
        </w:rPr>
        <w:t>The Commission</w:t>
      </w:r>
      <w:r w:rsidRPr="135515ED">
        <w:rPr>
          <w:rFonts w:ascii="Times New Roman" w:hAnsi="Times New Roman"/>
          <w:sz w:val="26"/>
          <w:szCs w:val="26"/>
        </w:rPr>
        <w:t xml:space="preserve"> received </w:t>
      </w:r>
      <w:r w:rsidRPr="21734343">
        <w:rPr>
          <w:rFonts w:ascii="Times New Roman" w:hAnsi="Times New Roman"/>
          <w:sz w:val="26"/>
          <w:szCs w:val="26"/>
        </w:rPr>
        <w:t xml:space="preserve">no set of comments or </w:t>
      </w:r>
      <w:r w:rsidRPr="66B0BBCE">
        <w:rPr>
          <w:rFonts w:ascii="Times New Roman" w:hAnsi="Times New Roman"/>
          <w:sz w:val="26"/>
          <w:szCs w:val="26"/>
        </w:rPr>
        <w:t xml:space="preserve">protests in connection with this </w:t>
      </w:r>
      <w:r w:rsidRPr="61CE0812">
        <w:rPr>
          <w:rFonts w:ascii="Times New Roman" w:hAnsi="Times New Roman"/>
          <w:sz w:val="26"/>
          <w:szCs w:val="26"/>
        </w:rPr>
        <w:t>docket.</w:t>
      </w:r>
      <w:r w:rsidRPr="36B0AD11">
        <w:rPr>
          <w:rFonts w:ascii="Times New Roman" w:hAnsi="Times New Roman"/>
          <w:sz w:val="26"/>
          <w:szCs w:val="26"/>
        </w:rPr>
        <w:t xml:space="preserve">  </w:t>
      </w:r>
      <w:r>
        <w:rPr>
          <w:rFonts w:ascii="Times New Roman" w:hAnsi="Times New Roman"/>
          <w:sz w:val="26"/>
          <w:szCs w:val="26"/>
        </w:rPr>
        <w:t xml:space="preserve">Further, the Commission </w:t>
      </w:r>
      <w:r w:rsidR="006F1DDF">
        <w:rPr>
          <w:rFonts w:ascii="Times New Roman" w:hAnsi="Times New Roman"/>
          <w:sz w:val="26"/>
          <w:szCs w:val="26"/>
        </w:rPr>
        <w:t>published</w:t>
      </w:r>
      <w:r>
        <w:rPr>
          <w:rFonts w:ascii="Times New Roman" w:hAnsi="Times New Roman"/>
          <w:sz w:val="26"/>
          <w:szCs w:val="26"/>
        </w:rPr>
        <w:t xml:space="preserve"> a 30</w:t>
      </w:r>
      <w:r w:rsidR="003740B8">
        <w:rPr>
          <w:rFonts w:ascii="Times New Roman" w:hAnsi="Times New Roman"/>
          <w:sz w:val="26"/>
          <w:szCs w:val="26"/>
        </w:rPr>
        <w:t>-</w:t>
      </w:r>
      <w:r>
        <w:rPr>
          <w:rFonts w:ascii="Times New Roman" w:hAnsi="Times New Roman"/>
          <w:sz w:val="26"/>
          <w:szCs w:val="26"/>
        </w:rPr>
        <w:t xml:space="preserve">day notice and invited public comment on </w:t>
      </w:r>
      <w:r w:rsidR="00F24CB9">
        <w:rPr>
          <w:rFonts w:ascii="Times New Roman" w:hAnsi="Times New Roman"/>
          <w:sz w:val="26"/>
          <w:szCs w:val="26"/>
        </w:rPr>
        <w:t xml:space="preserve">October </w:t>
      </w:r>
      <w:r w:rsidR="00610C3E">
        <w:rPr>
          <w:rFonts w:ascii="Times New Roman" w:hAnsi="Times New Roman"/>
          <w:sz w:val="26"/>
          <w:szCs w:val="26"/>
        </w:rPr>
        <w:t>15</w:t>
      </w:r>
      <w:r w:rsidR="00F24CB9">
        <w:rPr>
          <w:rFonts w:ascii="Times New Roman" w:hAnsi="Times New Roman"/>
          <w:sz w:val="26"/>
          <w:szCs w:val="26"/>
        </w:rPr>
        <w:t>, 2026</w:t>
      </w:r>
      <w:r w:rsidR="006F1DDF">
        <w:rPr>
          <w:rFonts w:ascii="Times New Roman" w:hAnsi="Times New Roman"/>
          <w:sz w:val="26"/>
          <w:szCs w:val="26"/>
        </w:rPr>
        <w:t xml:space="preserve"> (</w:t>
      </w:r>
      <w:r w:rsidR="003740B8">
        <w:rPr>
          <w:rFonts w:ascii="Times New Roman" w:hAnsi="Times New Roman"/>
          <w:sz w:val="26"/>
          <w:szCs w:val="26"/>
        </w:rPr>
        <w:t>9</w:t>
      </w:r>
      <w:r w:rsidR="00177381">
        <w:rPr>
          <w:rFonts w:ascii="Times New Roman" w:hAnsi="Times New Roman"/>
          <w:sz w:val="26"/>
          <w:szCs w:val="26"/>
        </w:rPr>
        <w:t>1</w:t>
      </w:r>
      <w:r w:rsidR="006F1DDF">
        <w:rPr>
          <w:rFonts w:ascii="Times New Roman" w:hAnsi="Times New Roman"/>
          <w:sz w:val="26"/>
          <w:szCs w:val="26"/>
        </w:rPr>
        <w:t xml:space="preserve"> FR</w:t>
      </w:r>
      <w:r w:rsidR="00D461AA">
        <w:rPr>
          <w:rFonts w:ascii="Times New Roman" w:hAnsi="Times New Roman"/>
          <w:sz w:val="26"/>
          <w:szCs w:val="26"/>
        </w:rPr>
        <w:t xml:space="preserve"> 65538</w:t>
      </w:r>
      <w:r w:rsidR="006F1DDF">
        <w:rPr>
          <w:rFonts w:ascii="Times New Roman" w:hAnsi="Times New Roman"/>
          <w:sz w:val="26"/>
          <w:szCs w:val="26"/>
        </w:rPr>
        <w:t>).</w:t>
      </w:r>
    </w:p>
    <w:p w:rsidR="00EB3E6F" w:rsidRPr="002705B2" w:rsidP="002705B2" w14:paraId="50B43B4F" w14:textId="77777777">
      <w:pPr>
        <w:spacing w:after="0" w:line="240" w:lineRule="auto"/>
        <w:rPr>
          <w:rFonts w:ascii="Times New Roman" w:hAnsi="Times New Roman" w:cs="Times New Roman"/>
          <w:sz w:val="26"/>
          <w:szCs w:val="24"/>
        </w:rPr>
      </w:pPr>
    </w:p>
    <w:p w:rsidR="00EB3E6F" w:rsidRPr="002705B2" w:rsidP="005140A8" w14:paraId="2D54320C" w14:textId="77777777">
      <w:pPr>
        <w:pStyle w:val="ListParagraph"/>
        <w:numPr>
          <w:ilvl w:val="0"/>
          <w:numId w:val="36"/>
        </w:numPr>
        <w:spacing w:after="0" w:line="240" w:lineRule="auto"/>
        <w:ind w:left="360"/>
        <w:rPr>
          <w:rFonts w:ascii="Times New Roman" w:hAnsi="Times New Roman" w:cs="Times New Roman"/>
          <w:b/>
          <w:sz w:val="26"/>
          <w:szCs w:val="24"/>
        </w:rPr>
      </w:pPr>
      <w:r w:rsidRPr="002705B2">
        <w:rPr>
          <w:rFonts w:ascii="Times New Roman" w:hAnsi="Times New Roman" w:cs="Times New Roman"/>
          <w:b/>
          <w:sz w:val="26"/>
          <w:szCs w:val="24"/>
        </w:rPr>
        <w:t>EXPLAIN ANY PAYMENT OR GIFTS TO RESPONDENTS</w:t>
      </w:r>
    </w:p>
    <w:p w:rsidR="00D80FBD" w:rsidRPr="002705B2" w:rsidP="002705B2" w14:paraId="1210C2DD" w14:textId="77777777">
      <w:pPr>
        <w:spacing w:after="0" w:line="240" w:lineRule="auto"/>
        <w:rPr>
          <w:rFonts w:ascii="Times New Roman" w:hAnsi="Times New Roman" w:cs="Times New Roman"/>
          <w:sz w:val="26"/>
          <w:szCs w:val="24"/>
        </w:rPr>
      </w:pPr>
    </w:p>
    <w:p w:rsidR="0072126E" w:rsidRPr="002705B2" w:rsidP="002705B2" w14:paraId="28105D39" w14:textId="5B0B5298">
      <w:pPr>
        <w:spacing w:after="0" w:line="240" w:lineRule="auto"/>
        <w:rPr>
          <w:rFonts w:ascii="Times New Roman" w:hAnsi="Times New Roman"/>
          <w:sz w:val="26"/>
          <w:szCs w:val="26"/>
        </w:rPr>
      </w:pPr>
      <w:r w:rsidRPr="15CDABF3">
        <w:rPr>
          <w:rFonts w:ascii="Times New Roman" w:hAnsi="Times New Roman"/>
          <w:sz w:val="26"/>
          <w:szCs w:val="26"/>
        </w:rPr>
        <w:t xml:space="preserve">The Commission does not make payments or provide gifts </w:t>
      </w:r>
      <w:r w:rsidR="00B300D7">
        <w:rPr>
          <w:rFonts w:ascii="Times New Roman" w:hAnsi="Times New Roman"/>
          <w:sz w:val="26"/>
          <w:szCs w:val="26"/>
        </w:rPr>
        <w:t>to</w:t>
      </w:r>
      <w:r w:rsidRPr="15CDABF3">
        <w:rPr>
          <w:rFonts w:ascii="Times New Roman" w:hAnsi="Times New Roman"/>
          <w:sz w:val="26"/>
          <w:szCs w:val="26"/>
        </w:rPr>
        <w:t xml:space="preserve"> respondents</w:t>
      </w:r>
      <w:r w:rsidR="00B300D7">
        <w:rPr>
          <w:rFonts w:ascii="Times New Roman" w:hAnsi="Times New Roman"/>
          <w:sz w:val="26"/>
          <w:szCs w:val="26"/>
        </w:rPr>
        <w:t>.</w:t>
      </w:r>
    </w:p>
    <w:p w:rsidR="00D80FBD" w:rsidRPr="002705B2" w:rsidP="002705B2" w14:paraId="16D50B62" w14:textId="77777777">
      <w:pPr>
        <w:spacing w:after="0" w:line="240" w:lineRule="auto"/>
        <w:rPr>
          <w:rFonts w:ascii="Times New Roman" w:hAnsi="Times New Roman" w:cs="Times New Roman"/>
          <w:sz w:val="26"/>
          <w:szCs w:val="24"/>
        </w:rPr>
      </w:pPr>
    </w:p>
    <w:p w:rsidR="00D80FBD" w:rsidRPr="002705B2" w:rsidP="005140A8" w14:paraId="06226082" w14:textId="77777777">
      <w:pPr>
        <w:pStyle w:val="ListParagraph"/>
        <w:numPr>
          <w:ilvl w:val="0"/>
          <w:numId w:val="36"/>
        </w:numPr>
        <w:spacing w:after="0" w:line="240" w:lineRule="auto"/>
        <w:ind w:left="360"/>
        <w:rPr>
          <w:rFonts w:ascii="Times New Roman" w:hAnsi="Times New Roman" w:cs="Times New Roman"/>
          <w:b/>
          <w:sz w:val="26"/>
          <w:szCs w:val="24"/>
        </w:rPr>
      </w:pPr>
      <w:r w:rsidRPr="002705B2">
        <w:rPr>
          <w:rFonts w:ascii="Times New Roman" w:hAnsi="Times New Roman" w:cs="Times New Roman"/>
          <w:b/>
          <w:sz w:val="26"/>
          <w:szCs w:val="24"/>
        </w:rPr>
        <w:t>DESCRIBE ANY ASSURANCE OF CONFIDENTIALITY PROVIDED TO RESPONDENTS</w:t>
      </w:r>
    </w:p>
    <w:p w:rsidR="00182858" w:rsidRPr="002705B2" w:rsidP="002705B2" w14:paraId="6FDD0DA7" w14:textId="77777777">
      <w:pPr>
        <w:spacing w:after="0" w:line="240" w:lineRule="auto"/>
        <w:rPr>
          <w:rFonts w:ascii="Times New Roman" w:hAnsi="Times New Roman" w:cs="Times New Roman"/>
          <w:sz w:val="26"/>
          <w:szCs w:val="24"/>
        </w:rPr>
      </w:pPr>
    </w:p>
    <w:p w:rsidR="00B81043" w:rsidRPr="00D0606B" w:rsidP="00B81043" w14:paraId="0303FC9E" w14:textId="77777777">
      <w:pPr>
        <w:spacing w:after="0" w:line="240" w:lineRule="auto"/>
        <w:rPr>
          <w:rFonts w:ascii="Times New Roman" w:hAnsi="Times New Roman" w:cs="Times New Roman"/>
          <w:sz w:val="26"/>
          <w:szCs w:val="26"/>
        </w:rPr>
      </w:pPr>
      <w:r w:rsidRPr="00D0606B">
        <w:rPr>
          <w:rFonts w:ascii="Times New Roman" w:hAnsi="Times New Roman" w:cs="Times New Roman"/>
          <w:sz w:val="26"/>
          <w:szCs w:val="26"/>
        </w:rPr>
        <w:t>Responding entities do not submit the information</w:t>
      </w:r>
      <w:r>
        <w:rPr>
          <w:rFonts w:ascii="Times New Roman" w:hAnsi="Times New Roman" w:cs="Times New Roman"/>
          <w:sz w:val="26"/>
          <w:szCs w:val="26"/>
        </w:rPr>
        <w:t xml:space="preserve"> collected under this Reliability Standard</w:t>
      </w:r>
      <w:r w:rsidRPr="00D0606B">
        <w:rPr>
          <w:rFonts w:ascii="Times New Roman" w:hAnsi="Times New Roman" w:cs="Times New Roman"/>
          <w:sz w:val="26"/>
          <w:szCs w:val="26"/>
        </w:rPr>
        <w:t xml:space="preserve"> to FERC.  Rather, they submit the information to NERC, the regions, or maintain it internally.  Since there are no submi</w:t>
      </w:r>
      <w:r>
        <w:rPr>
          <w:rFonts w:ascii="Times New Roman" w:hAnsi="Times New Roman" w:cs="Times New Roman"/>
          <w:sz w:val="26"/>
          <w:szCs w:val="26"/>
        </w:rPr>
        <w:t>ttals</w:t>
      </w:r>
      <w:r w:rsidRPr="00D0606B">
        <w:rPr>
          <w:rFonts w:ascii="Times New Roman" w:hAnsi="Times New Roman" w:cs="Times New Roman"/>
          <w:sz w:val="26"/>
          <w:szCs w:val="26"/>
        </w:rPr>
        <w:t xml:space="preserve"> made to FERC, FERC provides no specific provisions to protect confidentiality.  </w:t>
      </w:r>
    </w:p>
    <w:p w:rsidR="00B81043" w:rsidRPr="00D0606B" w:rsidP="00B81043" w14:paraId="4AFEEB00" w14:textId="77777777">
      <w:pPr>
        <w:spacing w:after="0" w:line="240" w:lineRule="auto"/>
        <w:rPr>
          <w:rFonts w:ascii="Times New Roman" w:hAnsi="Times New Roman" w:cs="Times New Roman"/>
          <w:sz w:val="26"/>
          <w:szCs w:val="26"/>
        </w:rPr>
      </w:pPr>
    </w:p>
    <w:p w:rsidR="00B81043" w:rsidRPr="00D0606B" w:rsidP="00B81043" w14:paraId="308A4249" w14:textId="4690F339">
      <w:pPr>
        <w:spacing w:after="0" w:line="240" w:lineRule="auto"/>
        <w:rPr>
          <w:rFonts w:ascii="Times New Roman" w:hAnsi="Times New Roman" w:cs="Times New Roman"/>
          <w:sz w:val="26"/>
          <w:szCs w:val="26"/>
        </w:rPr>
      </w:pPr>
      <w:r w:rsidRPr="1FC4EE31">
        <w:rPr>
          <w:rFonts w:ascii="Times New Roman" w:hAnsi="Times New Roman" w:cs="Times New Roman"/>
          <w:sz w:val="26"/>
          <w:szCs w:val="26"/>
        </w:rPr>
        <w:t>According to the NERC Rules of Procedure section 1502, “a Receiving Entity shall keep in confidence and not copy, disclose, or distribute any Confidential Information or any part thereof without the permission of the Submitting Entity, except as otherwise legally required.”</w:t>
      </w:r>
      <w:r>
        <w:rPr>
          <w:rStyle w:val="FootnoteReference"/>
          <w:rFonts w:ascii="Times New Roman" w:hAnsi="Times New Roman" w:cs="Times New Roman"/>
          <w:b/>
          <w:bCs/>
          <w:sz w:val="26"/>
          <w:szCs w:val="26"/>
          <w:vertAlign w:val="superscript"/>
        </w:rPr>
        <w:footnoteReference w:id="12"/>
      </w:r>
      <w:r w:rsidRPr="1FC4EE31">
        <w:rPr>
          <w:rFonts w:ascii="Times New Roman" w:hAnsi="Times New Roman" w:cs="Times New Roman"/>
          <w:sz w:val="26"/>
          <w:szCs w:val="26"/>
        </w:rPr>
        <w:t xml:space="preserve">  This serves to protect confidential information submitted to or retained for NERC or Regional Entities.</w:t>
      </w:r>
    </w:p>
    <w:p w:rsidR="00D80FBD" w:rsidRPr="002705B2" w:rsidP="002705B2" w14:paraId="0E61A2E0" w14:textId="55BB7FAD">
      <w:pPr>
        <w:spacing w:after="0" w:line="240" w:lineRule="auto"/>
        <w:rPr>
          <w:rFonts w:ascii="Times New Roman" w:hAnsi="Times New Roman" w:cs="Times New Roman"/>
          <w:sz w:val="26"/>
          <w:szCs w:val="24"/>
        </w:rPr>
      </w:pPr>
    </w:p>
    <w:p w:rsidR="00D80FBD" w:rsidRPr="002705B2" w:rsidP="002705B2" w14:paraId="52B231BB" w14:textId="77777777">
      <w:pPr>
        <w:spacing w:after="0" w:line="240" w:lineRule="auto"/>
        <w:rPr>
          <w:rFonts w:ascii="Times New Roman" w:hAnsi="Times New Roman" w:cs="Times New Roman"/>
          <w:sz w:val="26"/>
          <w:szCs w:val="24"/>
        </w:rPr>
      </w:pPr>
    </w:p>
    <w:p w:rsidR="00D80FBD" w:rsidP="002705B2" w14:paraId="186BF47D" w14:textId="760D2207">
      <w:pPr>
        <w:pStyle w:val="ListParagraph"/>
        <w:numPr>
          <w:ilvl w:val="0"/>
          <w:numId w:val="36"/>
        </w:numPr>
        <w:spacing w:after="0" w:line="240" w:lineRule="auto"/>
        <w:ind w:left="360"/>
        <w:rPr>
          <w:rFonts w:ascii="Times New Roman" w:hAnsi="Times New Roman" w:cs="Times New Roman"/>
          <w:b/>
          <w:sz w:val="26"/>
          <w:szCs w:val="24"/>
        </w:rPr>
      </w:pPr>
      <w:r w:rsidRPr="002705B2">
        <w:rPr>
          <w:rFonts w:ascii="Times New Roman" w:hAnsi="Times New Roman" w:cs="Times New Roman"/>
          <w:b/>
          <w:sz w:val="26"/>
          <w:szCs w:val="24"/>
        </w:rPr>
        <w:t>PROVIDE ADDITIONAL JUSTIFICATION FOR ANY QUESTIONS OF A SENSITIVE NATURE</w:t>
      </w:r>
    </w:p>
    <w:p w:rsidR="00376D79" w:rsidRPr="00376D79" w:rsidP="00376D79" w14:paraId="52B221EE" w14:textId="77777777">
      <w:pPr>
        <w:pStyle w:val="ListParagraph"/>
        <w:spacing w:after="0" w:line="240" w:lineRule="auto"/>
        <w:ind w:left="360"/>
        <w:rPr>
          <w:rFonts w:ascii="Times New Roman" w:hAnsi="Times New Roman" w:cs="Times New Roman"/>
          <w:b/>
          <w:sz w:val="26"/>
          <w:szCs w:val="24"/>
        </w:rPr>
      </w:pPr>
    </w:p>
    <w:p w:rsidR="00A4336A" w:rsidRPr="002705B2" w:rsidP="002705B2" w14:paraId="008F18F6" w14:textId="77777777">
      <w:pPr>
        <w:spacing w:after="0" w:line="240" w:lineRule="auto"/>
        <w:rPr>
          <w:rFonts w:ascii="Times New Roman" w:hAnsi="Times New Roman"/>
          <w:sz w:val="26"/>
          <w:szCs w:val="24"/>
        </w:rPr>
      </w:pPr>
      <w:r w:rsidRPr="002705B2">
        <w:rPr>
          <w:rFonts w:ascii="Times New Roman" w:hAnsi="Times New Roman"/>
          <w:sz w:val="26"/>
          <w:szCs w:val="24"/>
        </w:rPr>
        <w:t>This collection does not include any questions of a sensitive nature.</w:t>
      </w:r>
    </w:p>
    <w:p w:rsidR="00D80FBD" w:rsidRPr="002705B2" w:rsidP="002705B2" w14:paraId="0CBD35AA" w14:textId="77777777">
      <w:pPr>
        <w:spacing w:after="0" w:line="240" w:lineRule="auto"/>
        <w:rPr>
          <w:rFonts w:ascii="Times New Roman" w:hAnsi="Times New Roman" w:cs="Times New Roman"/>
          <w:sz w:val="26"/>
          <w:szCs w:val="24"/>
        </w:rPr>
      </w:pPr>
    </w:p>
    <w:p w:rsidR="00B821FC" w:rsidP="00B821FC" w14:paraId="2C34EE1C" w14:textId="6F39EDEB">
      <w:pPr>
        <w:pStyle w:val="ListParagraph"/>
        <w:numPr>
          <w:ilvl w:val="0"/>
          <w:numId w:val="36"/>
        </w:numPr>
        <w:spacing w:after="0" w:line="240" w:lineRule="auto"/>
        <w:ind w:left="360"/>
        <w:rPr>
          <w:rFonts w:ascii="Times New Roman" w:hAnsi="Times New Roman" w:cs="Times New Roman"/>
          <w:b/>
          <w:sz w:val="26"/>
          <w:szCs w:val="24"/>
        </w:rPr>
      </w:pPr>
      <w:r w:rsidRPr="002705B2">
        <w:rPr>
          <w:rFonts w:ascii="Times New Roman" w:hAnsi="Times New Roman" w:cs="Times New Roman"/>
          <w:b/>
          <w:sz w:val="26"/>
          <w:szCs w:val="24"/>
        </w:rPr>
        <w:t>ESTIMATED BURDEN OF COLLECTION OF INFORMATION</w:t>
      </w:r>
    </w:p>
    <w:p w:rsidR="00376D79" w:rsidRPr="00B821FC" w:rsidP="00376D79" w14:paraId="34E01317" w14:textId="77777777">
      <w:pPr>
        <w:pStyle w:val="ListParagraph"/>
        <w:spacing w:after="0" w:line="240" w:lineRule="auto"/>
        <w:ind w:left="360"/>
        <w:rPr>
          <w:rFonts w:ascii="Times New Roman" w:hAnsi="Times New Roman" w:cs="Times New Roman"/>
          <w:b/>
          <w:sz w:val="26"/>
          <w:szCs w:val="24"/>
        </w:rPr>
      </w:pPr>
    </w:p>
    <w:p w:rsidR="00B821FC" w:rsidP="00B821FC" w14:paraId="3ED93999" w14:textId="11C78805">
      <w:pPr>
        <w:pStyle w:val="FERCparanumber"/>
        <w:widowControl/>
        <w:numPr>
          <w:ilvl w:val="0"/>
          <w:numId w:val="0"/>
        </w:numPr>
        <w:autoSpaceDE/>
        <w:autoSpaceDN/>
        <w:adjustRightInd/>
        <w:spacing w:after="260" w:line="240" w:lineRule="auto"/>
      </w:pPr>
      <w:r w:rsidRPr="00A067D7">
        <w:t>The number of respondents</w:t>
      </w:r>
      <w:r>
        <w:t xml:space="preserve"> that are subject to mandatory compliance with Reliability Standard TOP-003-8,</w:t>
      </w:r>
      <w:r w:rsidRPr="00A067D7">
        <w:t xml:space="preserve"> in the table below, are based on </w:t>
      </w:r>
      <w:r>
        <w:t xml:space="preserve">the </w:t>
      </w:r>
      <w:r w:rsidRPr="00A067D7">
        <w:t xml:space="preserve">NERC </w:t>
      </w:r>
      <w:r>
        <w:t>C</w:t>
      </w:r>
      <w:r w:rsidRPr="00A067D7">
        <w:t xml:space="preserve">ompliance </w:t>
      </w:r>
      <w:r>
        <w:t>R</w:t>
      </w:r>
      <w:r w:rsidRPr="00A067D7">
        <w:t>egistr</w:t>
      </w:r>
      <w:r>
        <w:t>y</w:t>
      </w:r>
      <w:r w:rsidRPr="00A067D7">
        <w:t xml:space="preserve"> as of Decembe</w:t>
      </w:r>
      <w:r w:rsidR="00055B11">
        <w:t>r</w:t>
      </w:r>
      <w:r w:rsidRPr="00A067D7">
        <w:t xml:space="preserve"> 3, 2025</w:t>
      </w:r>
      <w:r>
        <w:t>,</w:t>
      </w:r>
      <w:r w:rsidRPr="00A067D7">
        <w:t xml:space="preserve"> and good faith estimates provided by NERC</w:t>
      </w:r>
      <w:r>
        <w:t xml:space="preserve"> to Commission staff</w:t>
      </w:r>
      <w:r w:rsidRPr="00A067D7">
        <w:t xml:space="preserve">, in August 2025.  </w:t>
      </w:r>
      <w:r>
        <w:t xml:space="preserve">NERC </w:t>
      </w:r>
      <w:r w:rsidRPr="00A067D7">
        <w:t xml:space="preserve">estimates </w:t>
      </w:r>
      <w:r>
        <w:t>that there are</w:t>
      </w:r>
      <w:r w:rsidRPr="00A067D7">
        <w:t xml:space="preserve"> </w:t>
      </w:r>
      <w:r>
        <w:t>491</w:t>
      </w:r>
      <w:r w:rsidRPr="00A067D7">
        <w:t xml:space="preserve"> </w:t>
      </w:r>
      <w:r>
        <w:t xml:space="preserve">category </w:t>
      </w:r>
      <w:r w:rsidRPr="00A067D7">
        <w:t>2 generator owners and</w:t>
      </w:r>
      <w:r>
        <w:t xml:space="preserve"> 310</w:t>
      </w:r>
      <w:r w:rsidRPr="00A067D7">
        <w:t xml:space="preserve"> </w:t>
      </w:r>
      <w:r>
        <w:t xml:space="preserve">category </w:t>
      </w:r>
      <w:r w:rsidRPr="00A067D7">
        <w:t>2 generator operators</w:t>
      </w:r>
      <w:r>
        <w:t>, which</w:t>
      </w:r>
      <w:r w:rsidRPr="00A067D7">
        <w:t xml:space="preserve"> will be added</w:t>
      </w:r>
      <w:r>
        <w:t xml:space="preserve"> to</w:t>
      </w:r>
      <w:r w:rsidRPr="00A067D7">
        <w:t xml:space="preserve"> </w:t>
      </w:r>
      <w:r>
        <w:t xml:space="preserve">the </w:t>
      </w:r>
      <w:r w:rsidRPr="00A067D7">
        <w:t xml:space="preserve">respective </w:t>
      </w:r>
      <w:r>
        <w:t xml:space="preserve">category </w:t>
      </w:r>
      <w:r w:rsidRPr="00A067D7">
        <w:t>1 generator owners and generator operators</w:t>
      </w:r>
      <w:r>
        <w:t xml:space="preserve"> in the NERC Compliance Registry to reach an estimate of the total number of generator owners and generator operators</w:t>
      </w:r>
      <w:r w:rsidRPr="00A067D7">
        <w:t xml:space="preserve">.  </w:t>
      </w:r>
    </w:p>
    <w:p w:rsidR="00B821FC" w:rsidP="00B821FC" w14:paraId="2E837322" w14:textId="77777777">
      <w:pPr>
        <w:pStyle w:val="FERCparanumber"/>
        <w:numPr>
          <w:ilvl w:val="0"/>
          <w:numId w:val="0"/>
        </w:numPr>
      </w:pPr>
      <w:r>
        <w:t>Based on these assumptions, we estimate the following reporting burden:</w:t>
      </w:r>
    </w:p>
    <w:p w:rsidR="0016596B" w:rsidP="0016596B" w14:paraId="3A75D00C" w14:textId="77777777">
      <w:pPr>
        <w:pStyle w:val="ListParagraph"/>
        <w:spacing w:after="0" w:line="240" w:lineRule="auto"/>
        <w:ind w:left="360"/>
        <w:rPr>
          <w:rFonts w:ascii="Times New Roman" w:hAnsi="Times New Roman" w:cs="Times New Roman"/>
          <w:b/>
          <w:sz w:val="26"/>
          <w:szCs w:val="24"/>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252"/>
        <w:gridCol w:w="1440"/>
        <w:gridCol w:w="1710"/>
        <w:gridCol w:w="1890"/>
        <w:gridCol w:w="1532"/>
        <w:gridCol w:w="1520"/>
      </w:tblGrid>
      <w:tr w14:paraId="51B8C75F" w14:textId="77777777" w:rsidTr="00745136">
        <w:tblPrEx>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hideMark/>
          </w:tcPr>
          <w:p w:rsidR="00745136" w:rsidRPr="00745136" w:rsidP="00745136" w14:paraId="1C4D04AB"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r w:rsidRPr="00745136">
              <w:rPr>
                <w:rFonts w:ascii="Times New Roman" w:eastAsia="Calibri" w:hAnsi="Times New Roman" w:cs="Times New Roman"/>
                <w:b/>
                <w:bCs/>
                <w:sz w:val="26"/>
                <w:szCs w:val="26"/>
              </w:rPr>
              <w:t>Proposed Changes in Burden TOP-003-8 Docket No. RD26-1</w:t>
            </w:r>
          </w:p>
        </w:tc>
      </w:tr>
      <w:tr w14:paraId="438FB3D7" w14:textId="77777777">
        <w:tblPrEx>
          <w:tblW w:w="9344" w:type="dxa"/>
          <w:tblCellMar>
            <w:left w:w="0" w:type="dxa"/>
            <w:right w:w="0" w:type="dxa"/>
          </w:tblCellMar>
          <w:tblLook w:val="04A0"/>
        </w:tblPrEx>
        <w:trPr>
          <w:trHeight w:val="300"/>
        </w:trPr>
        <w:tc>
          <w:tcPr>
            <w:tcW w:w="1252" w:type="dxa"/>
            <w:tcBorders>
              <w:top w:val="single" w:sz="6" w:space="0" w:color="auto"/>
              <w:left w:val="single" w:sz="6" w:space="0" w:color="auto"/>
              <w:bottom w:val="single" w:sz="6" w:space="0" w:color="auto"/>
              <w:right w:val="single" w:sz="6" w:space="0" w:color="auto"/>
            </w:tcBorders>
            <w:hideMark/>
          </w:tcPr>
          <w:p w:rsidR="00745136" w:rsidRPr="00745136" w:rsidP="00745136" w14:paraId="38C56AA5"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r w:rsidRPr="00745136">
              <w:rPr>
                <w:rFonts w:ascii="Times New Roman" w:eastAsia="Calibri" w:hAnsi="Times New Roman" w:cs="Times New Roman"/>
                <w:b/>
                <w:bCs/>
                <w:sz w:val="26"/>
                <w:szCs w:val="26"/>
              </w:rPr>
              <w:t>Reliability Standard</w:t>
            </w:r>
          </w:p>
        </w:tc>
        <w:tc>
          <w:tcPr>
            <w:tcW w:w="1440" w:type="dxa"/>
            <w:tcBorders>
              <w:top w:val="single" w:sz="6" w:space="0" w:color="auto"/>
              <w:left w:val="single" w:sz="6" w:space="0" w:color="auto"/>
              <w:bottom w:val="single" w:sz="6" w:space="0" w:color="auto"/>
              <w:right w:val="single" w:sz="6" w:space="0" w:color="auto"/>
            </w:tcBorders>
            <w:hideMark/>
          </w:tcPr>
          <w:p w:rsidR="00745136" w:rsidRPr="00745136" w:rsidP="00745136" w14:paraId="0898FB56"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745136">
              <w:rPr>
                <w:rFonts w:ascii="Times New Roman" w:eastAsia="Calibri" w:hAnsi="Times New Roman" w:cs="Times New Roman"/>
                <w:b/>
                <w:bCs/>
                <w:sz w:val="26"/>
                <w:szCs w:val="26"/>
              </w:rPr>
              <w:t>Type and Number of Entity</w:t>
            </w:r>
            <w:r>
              <w:rPr>
                <w:rFonts w:ascii="Times New Roman" w:eastAsia="Calibri" w:hAnsi="Times New Roman" w:cs="Times New Roman"/>
                <w:b/>
                <w:sz w:val="26"/>
                <w:szCs w:val="26"/>
                <w:vertAlign w:val="superscript"/>
              </w:rPr>
              <w:footnoteReference w:id="13"/>
            </w:r>
            <w:r w:rsidRPr="00745136">
              <w:rPr>
                <w:rFonts w:ascii="Times New Roman" w:eastAsia="Calibri" w:hAnsi="Times New Roman" w:cs="Times New Roman"/>
                <w:sz w:val="26"/>
                <w:szCs w:val="26"/>
              </w:rPr>
              <w:t> </w:t>
            </w:r>
          </w:p>
          <w:p w:rsidR="00745136" w:rsidRPr="00745136" w:rsidP="00745136" w14:paraId="6FEEB8FA"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745136">
              <w:rPr>
                <w:rFonts w:ascii="Times New Roman" w:eastAsia="Calibri" w:hAnsi="Times New Roman" w:cs="Times New Roman"/>
                <w:b/>
                <w:sz w:val="26"/>
                <w:szCs w:val="26"/>
              </w:rPr>
              <w:t>(1)</w:t>
            </w:r>
          </w:p>
        </w:tc>
        <w:tc>
          <w:tcPr>
            <w:tcW w:w="1710" w:type="dxa"/>
            <w:tcBorders>
              <w:top w:val="single" w:sz="6" w:space="0" w:color="auto"/>
              <w:left w:val="single" w:sz="6" w:space="0" w:color="auto"/>
              <w:bottom w:val="single" w:sz="6" w:space="0" w:color="auto"/>
              <w:right w:val="single" w:sz="6" w:space="0" w:color="auto"/>
            </w:tcBorders>
            <w:hideMark/>
          </w:tcPr>
          <w:p w:rsidR="00745136" w:rsidRPr="00745136" w:rsidP="00745136" w14:paraId="343B4B81"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745136">
              <w:rPr>
                <w:rFonts w:ascii="Times New Roman" w:eastAsia="Calibri" w:hAnsi="Times New Roman" w:cs="Times New Roman"/>
                <w:b/>
                <w:bCs/>
                <w:sz w:val="26"/>
                <w:szCs w:val="26"/>
              </w:rPr>
              <w:t>Number of Annual Responses Per Entity</w:t>
            </w:r>
          </w:p>
          <w:p w:rsidR="00745136" w:rsidRPr="00745136" w:rsidP="00745136" w14:paraId="61CC50EE"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745136">
              <w:rPr>
                <w:rFonts w:ascii="Times New Roman" w:eastAsia="Calibri" w:hAnsi="Times New Roman" w:cs="Times New Roman"/>
                <w:b/>
                <w:bCs/>
                <w:sz w:val="26"/>
                <w:szCs w:val="26"/>
              </w:rPr>
              <w:t>(</w:t>
            </w:r>
            <w:r w:rsidRPr="00745136">
              <w:rPr>
                <w:rFonts w:ascii="Times New Roman" w:eastAsia="Calibri" w:hAnsi="Times New Roman" w:cs="Times New Roman"/>
                <w:b/>
                <w:sz w:val="26"/>
                <w:szCs w:val="26"/>
              </w:rPr>
              <w:t>2)</w:t>
            </w:r>
          </w:p>
        </w:tc>
        <w:tc>
          <w:tcPr>
            <w:tcW w:w="1890" w:type="dxa"/>
            <w:tcBorders>
              <w:top w:val="single" w:sz="6" w:space="0" w:color="auto"/>
              <w:left w:val="single" w:sz="6" w:space="0" w:color="auto"/>
              <w:bottom w:val="single" w:sz="6" w:space="0" w:color="auto"/>
              <w:right w:val="single" w:sz="6" w:space="0" w:color="auto"/>
            </w:tcBorders>
            <w:hideMark/>
          </w:tcPr>
          <w:p w:rsidR="00745136" w:rsidRPr="00745136" w:rsidP="00745136" w14:paraId="764995B8"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745136">
              <w:rPr>
                <w:rFonts w:ascii="Times New Roman" w:eastAsia="Calibri" w:hAnsi="Times New Roman" w:cs="Times New Roman"/>
                <w:b/>
                <w:bCs/>
                <w:sz w:val="26"/>
                <w:szCs w:val="26"/>
              </w:rPr>
              <w:t>Total Number of Responses</w:t>
            </w:r>
          </w:p>
          <w:p w:rsidR="00745136" w:rsidRPr="00745136" w:rsidP="00745136" w14:paraId="0001BD31"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745136">
              <w:rPr>
                <w:rFonts w:ascii="Times New Roman" w:eastAsia="Calibri" w:hAnsi="Times New Roman" w:cs="Times New Roman"/>
                <w:b/>
                <w:bCs/>
                <w:sz w:val="26"/>
                <w:szCs w:val="26"/>
              </w:rPr>
              <w:t>(1)*(2)=(3)</w:t>
            </w:r>
          </w:p>
        </w:tc>
        <w:tc>
          <w:tcPr>
            <w:tcW w:w="1532" w:type="dxa"/>
            <w:tcBorders>
              <w:top w:val="single" w:sz="6" w:space="0" w:color="auto"/>
              <w:left w:val="single" w:sz="6" w:space="0" w:color="auto"/>
              <w:bottom w:val="single" w:sz="6" w:space="0" w:color="auto"/>
              <w:right w:val="single" w:sz="6" w:space="0" w:color="auto"/>
            </w:tcBorders>
            <w:hideMark/>
          </w:tcPr>
          <w:p w:rsidR="00745136" w:rsidRPr="00745136" w:rsidP="00745136" w14:paraId="5DC3B254"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745136">
              <w:rPr>
                <w:rFonts w:ascii="Times New Roman" w:eastAsia="Calibri" w:hAnsi="Times New Roman" w:cs="Times New Roman"/>
                <w:b/>
                <w:sz w:val="26"/>
              </w:rPr>
              <w:t>Average Number of Burden Hours per Response</w:t>
            </w:r>
            <w:r>
              <w:rPr>
                <w:rFonts w:ascii="Times New Roman" w:eastAsia="Calibri" w:hAnsi="Times New Roman" w:cs="Times New Roman"/>
                <w:b/>
                <w:sz w:val="26"/>
                <w:vertAlign w:val="superscript"/>
              </w:rPr>
              <w:footnoteReference w:id="14"/>
            </w:r>
          </w:p>
          <w:p w:rsidR="00745136" w:rsidRPr="00745136" w:rsidP="00745136" w14:paraId="379D1CD4"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745136">
              <w:rPr>
                <w:rFonts w:ascii="Times New Roman" w:eastAsia="Calibri" w:hAnsi="Times New Roman" w:cs="Times New Roman"/>
                <w:b/>
                <w:bCs/>
                <w:sz w:val="26"/>
                <w:szCs w:val="26"/>
              </w:rPr>
              <w:t>(4)</w:t>
            </w:r>
          </w:p>
        </w:tc>
        <w:tc>
          <w:tcPr>
            <w:tcW w:w="1520" w:type="dxa"/>
            <w:tcBorders>
              <w:top w:val="single" w:sz="6" w:space="0" w:color="auto"/>
              <w:left w:val="single" w:sz="6" w:space="0" w:color="auto"/>
              <w:bottom w:val="single" w:sz="6" w:space="0" w:color="auto"/>
              <w:right w:val="single" w:sz="6" w:space="0" w:color="auto"/>
            </w:tcBorders>
            <w:hideMark/>
          </w:tcPr>
          <w:p w:rsidR="00745136" w:rsidRPr="00745136" w:rsidP="00745136" w14:paraId="2167D054"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745136">
              <w:rPr>
                <w:rFonts w:ascii="Times New Roman" w:eastAsia="Calibri" w:hAnsi="Times New Roman" w:cs="Times New Roman"/>
                <w:b/>
                <w:bCs/>
                <w:sz w:val="26"/>
                <w:szCs w:val="26"/>
              </w:rPr>
              <w:t>Total Burden Hours</w:t>
            </w:r>
          </w:p>
          <w:p w:rsidR="00745136" w:rsidRPr="00745136" w:rsidP="00745136" w14:paraId="26AFDBCB"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745136">
              <w:rPr>
                <w:rFonts w:ascii="Times New Roman" w:eastAsia="Calibri" w:hAnsi="Times New Roman" w:cs="Times New Roman"/>
                <w:b/>
                <w:bCs/>
                <w:sz w:val="26"/>
                <w:szCs w:val="26"/>
              </w:rPr>
              <w:t>(3)*(4)=(5)</w:t>
            </w:r>
          </w:p>
        </w:tc>
      </w:tr>
      <w:tr w14:paraId="5D6C726D" w14:textId="77777777" w:rsidTr="00745136">
        <w:tblPrEx>
          <w:tblW w:w="9344" w:type="dxa"/>
          <w:tblCellMar>
            <w:left w:w="0" w:type="dxa"/>
            <w:right w:w="0" w:type="dxa"/>
          </w:tblCellMar>
          <w:tblLook w:val="04A0"/>
        </w:tblPrEx>
        <w:trPr>
          <w:trHeight w:val="300"/>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hideMark/>
          </w:tcPr>
          <w:p w:rsidR="00745136" w:rsidRPr="00745136" w:rsidP="00745136" w14:paraId="7AF328AD"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r w:rsidRPr="00745136">
              <w:rPr>
                <w:rFonts w:ascii="Times New Roman" w:eastAsia="Calibri" w:hAnsi="Times New Roman" w:cs="Times New Roman"/>
                <w:b/>
                <w:bCs/>
                <w:sz w:val="26"/>
                <w:szCs w:val="26"/>
              </w:rPr>
              <w:t>Annual Collection TOP-003-8 FERC-725 A</w:t>
            </w:r>
          </w:p>
        </w:tc>
      </w:tr>
      <w:tr w14:paraId="3B1071EE" w14:textId="77777777">
        <w:tblPrEx>
          <w:tblW w:w="9344" w:type="dxa"/>
          <w:tblCellMar>
            <w:left w:w="0" w:type="dxa"/>
            <w:right w:w="0" w:type="dxa"/>
          </w:tblCellMar>
          <w:tblLook w:val="04A0"/>
        </w:tblPrEx>
        <w:trPr>
          <w:trHeight w:val="300"/>
        </w:trPr>
        <w:tc>
          <w:tcPr>
            <w:tcW w:w="1252" w:type="dxa"/>
            <w:vMerge w:val="restart"/>
            <w:tcBorders>
              <w:top w:val="single" w:sz="6" w:space="0" w:color="auto"/>
              <w:left w:val="single" w:sz="6" w:space="0" w:color="auto"/>
              <w:right w:val="single" w:sz="6" w:space="0" w:color="auto"/>
            </w:tcBorders>
            <w:hideMark/>
          </w:tcPr>
          <w:p w:rsidR="00745136" w:rsidRPr="00745136" w:rsidP="00745136" w14:paraId="246EA9EC"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r w:rsidRPr="00745136">
              <w:rPr>
                <w:rFonts w:ascii="Times New Roman" w:eastAsia="Calibri" w:hAnsi="Times New Roman" w:cs="Times New Roman"/>
                <w:b/>
                <w:bCs/>
                <w:sz w:val="26"/>
                <w:szCs w:val="26"/>
              </w:rPr>
              <w:t>Annual review and record retention</w:t>
            </w:r>
          </w:p>
          <w:p w:rsidR="00745136" w:rsidRPr="00745136" w:rsidP="00745136" w14:paraId="447992E8"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p>
          <w:p w:rsidR="00745136" w:rsidRPr="00745136" w:rsidP="00745136" w14:paraId="0705B5C3"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p>
          <w:p w:rsidR="00745136" w:rsidRPr="00745136" w:rsidP="00745136" w14:paraId="011AA767"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440" w:type="dxa"/>
            <w:tcBorders>
              <w:top w:val="single" w:sz="6" w:space="0" w:color="auto"/>
              <w:left w:val="single" w:sz="6" w:space="0" w:color="auto"/>
              <w:bottom w:val="single" w:sz="6" w:space="0" w:color="auto"/>
              <w:right w:val="single" w:sz="6" w:space="0" w:color="auto"/>
            </w:tcBorders>
            <w:hideMark/>
          </w:tcPr>
          <w:p w:rsidR="00745136" w:rsidRPr="00745136" w:rsidP="00745136" w14:paraId="7694B850"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745136">
              <w:rPr>
                <w:rFonts w:ascii="Times New Roman" w:eastAsia="Calibri" w:hAnsi="Times New Roman" w:cs="Times New Roman"/>
                <w:sz w:val="26"/>
              </w:rPr>
              <w:t>170 (TOP)</w:t>
            </w:r>
          </w:p>
        </w:tc>
        <w:tc>
          <w:tcPr>
            <w:tcW w:w="1710" w:type="dxa"/>
            <w:tcBorders>
              <w:top w:val="single" w:sz="6" w:space="0" w:color="auto"/>
              <w:left w:val="single" w:sz="6" w:space="0" w:color="auto"/>
              <w:bottom w:val="single" w:sz="6" w:space="0" w:color="auto"/>
              <w:right w:val="single" w:sz="6" w:space="0" w:color="auto"/>
            </w:tcBorders>
            <w:hideMark/>
          </w:tcPr>
          <w:p w:rsidR="00745136" w:rsidRPr="00745136" w:rsidP="00745136" w14:paraId="426FC11C"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745136">
              <w:rPr>
                <w:rFonts w:ascii="Times New Roman" w:eastAsia="Calibri" w:hAnsi="Times New Roman" w:cs="Times New Roman"/>
                <w:sz w:val="26"/>
                <w:szCs w:val="26"/>
              </w:rPr>
              <w:t>1</w:t>
            </w:r>
          </w:p>
        </w:tc>
        <w:tc>
          <w:tcPr>
            <w:tcW w:w="1890" w:type="dxa"/>
            <w:tcBorders>
              <w:top w:val="single" w:sz="6" w:space="0" w:color="auto"/>
              <w:left w:val="single" w:sz="6" w:space="0" w:color="auto"/>
              <w:bottom w:val="single" w:sz="6" w:space="0" w:color="auto"/>
              <w:right w:val="single" w:sz="6" w:space="0" w:color="auto"/>
            </w:tcBorders>
            <w:hideMark/>
          </w:tcPr>
          <w:p w:rsidR="00745136" w:rsidRPr="00745136" w:rsidP="00745136" w14:paraId="545031B4"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745136">
              <w:rPr>
                <w:rFonts w:ascii="Times New Roman" w:eastAsia="Calibri" w:hAnsi="Times New Roman" w:cs="Times New Roman"/>
                <w:sz w:val="26"/>
              </w:rPr>
              <w:t>170</w:t>
            </w:r>
          </w:p>
        </w:tc>
        <w:tc>
          <w:tcPr>
            <w:tcW w:w="1532" w:type="dxa"/>
            <w:tcBorders>
              <w:top w:val="single" w:sz="6" w:space="0" w:color="auto"/>
              <w:left w:val="single" w:sz="6" w:space="0" w:color="auto"/>
              <w:bottom w:val="single" w:sz="6" w:space="0" w:color="auto"/>
              <w:right w:val="single" w:sz="6" w:space="0" w:color="auto"/>
            </w:tcBorders>
            <w:hideMark/>
          </w:tcPr>
          <w:p w:rsidR="00745136" w:rsidRPr="00745136" w:rsidP="00745136" w14:paraId="238F9AC3"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8 hrs.</w:t>
            </w:r>
          </w:p>
          <w:p w:rsidR="00745136" w:rsidRPr="00745136" w:rsidP="00745136" w14:paraId="5730F28C" w14:textId="288B8C7E">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$508.16 </w:t>
            </w:r>
          </w:p>
        </w:tc>
        <w:tc>
          <w:tcPr>
            <w:tcW w:w="1520" w:type="dxa"/>
            <w:tcBorders>
              <w:top w:val="single" w:sz="6" w:space="0" w:color="auto"/>
              <w:left w:val="single" w:sz="6" w:space="0" w:color="auto"/>
              <w:bottom w:val="single" w:sz="6" w:space="0" w:color="auto"/>
              <w:right w:val="single" w:sz="6" w:space="0" w:color="auto"/>
            </w:tcBorders>
            <w:hideMark/>
          </w:tcPr>
          <w:p w:rsidR="00745136" w:rsidRPr="00745136" w:rsidP="00745136" w14:paraId="0BD5B82F"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1,360 hrs. </w:t>
            </w:r>
          </w:p>
          <w:p w:rsidR="00745136" w:rsidRPr="00745136" w:rsidP="00745136" w14:paraId="210795F4"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 xml:space="preserve">$86,387.20 </w:t>
            </w:r>
          </w:p>
        </w:tc>
      </w:tr>
      <w:tr w14:paraId="0B845D3D" w14:textId="77777777">
        <w:tblPrEx>
          <w:tblW w:w="9344" w:type="dxa"/>
          <w:tblCellMar>
            <w:left w:w="0" w:type="dxa"/>
            <w:right w:w="0" w:type="dxa"/>
          </w:tblCellMar>
          <w:tblLook w:val="04A0"/>
        </w:tblPrEx>
        <w:trPr>
          <w:trHeight w:val="300"/>
        </w:trPr>
        <w:tc>
          <w:tcPr>
            <w:tcW w:w="1252" w:type="dxa"/>
            <w:vMerge/>
            <w:vAlign w:val="center"/>
            <w:hideMark/>
          </w:tcPr>
          <w:p w:rsidR="00745136" w:rsidRPr="00745136" w:rsidP="00745136" w14:paraId="00EF8B76"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440" w:type="dxa"/>
            <w:tcBorders>
              <w:top w:val="single" w:sz="6" w:space="0" w:color="auto"/>
              <w:left w:val="single" w:sz="6" w:space="0" w:color="auto"/>
              <w:bottom w:val="single" w:sz="6" w:space="0" w:color="auto"/>
              <w:right w:val="single" w:sz="6" w:space="0" w:color="auto"/>
            </w:tcBorders>
            <w:hideMark/>
          </w:tcPr>
          <w:p w:rsidR="00745136" w:rsidRPr="00745136" w:rsidP="00745136" w14:paraId="00C5D2BC"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745136">
              <w:rPr>
                <w:rFonts w:ascii="Times New Roman" w:eastAsia="Calibri" w:hAnsi="Times New Roman" w:cs="Times New Roman"/>
                <w:sz w:val="26"/>
                <w:szCs w:val="26"/>
              </w:rPr>
              <w:t>97 (BA)</w:t>
            </w:r>
          </w:p>
        </w:tc>
        <w:tc>
          <w:tcPr>
            <w:tcW w:w="1710" w:type="dxa"/>
            <w:tcBorders>
              <w:top w:val="single" w:sz="6" w:space="0" w:color="auto"/>
              <w:left w:val="single" w:sz="6" w:space="0" w:color="auto"/>
              <w:bottom w:val="single" w:sz="6" w:space="0" w:color="auto"/>
              <w:right w:val="single" w:sz="6" w:space="0" w:color="auto"/>
            </w:tcBorders>
            <w:hideMark/>
          </w:tcPr>
          <w:p w:rsidR="00745136" w:rsidRPr="00745136" w:rsidP="00745136" w14:paraId="403237DC"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745136">
              <w:rPr>
                <w:rFonts w:ascii="Times New Roman" w:eastAsia="Calibri" w:hAnsi="Times New Roman" w:cs="Times New Roman"/>
                <w:sz w:val="26"/>
                <w:szCs w:val="26"/>
              </w:rPr>
              <w:t>1</w:t>
            </w:r>
          </w:p>
        </w:tc>
        <w:tc>
          <w:tcPr>
            <w:tcW w:w="1890" w:type="dxa"/>
            <w:tcBorders>
              <w:top w:val="single" w:sz="6" w:space="0" w:color="auto"/>
              <w:left w:val="single" w:sz="6" w:space="0" w:color="auto"/>
              <w:bottom w:val="single" w:sz="6" w:space="0" w:color="auto"/>
              <w:right w:val="single" w:sz="6" w:space="0" w:color="auto"/>
            </w:tcBorders>
            <w:hideMark/>
          </w:tcPr>
          <w:p w:rsidR="00745136" w:rsidRPr="00745136" w:rsidP="00745136" w14:paraId="6195D5C9"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745136">
              <w:rPr>
                <w:rFonts w:ascii="Times New Roman" w:eastAsia="Calibri" w:hAnsi="Times New Roman" w:cs="Times New Roman"/>
                <w:sz w:val="26"/>
              </w:rPr>
              <w:t>97</w:t>
            </w:r>
          </w:p>
        </w:tc>
        <w:tc>
          <w:tcPr>
            <w:tcW w:w="1532" w:type="dxa"/>
            <w:tcBorders>
              <w:top w:val="single" w:sz="6" w:space="0" w:color="auto"/>
              <w:left w:val="single" w:sz="6" w:space="0" w:color="auto"/>
              <w:bottom w:val="single" w:sz="6" w:space="0" w:color="auto"/>
              <w:right w:val="single" w:sz="6" w:space="0" w:color="auto"/>
            </w:tcBorders>
            <w:hideMark/>
          </w:tcPr>
          <w:p w:rsidR="00745136" w:rsidRPr="00745136" w:rsidP="00745136" w14:paraId="4C376FF6"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8 hrs.</w:t>
            </w:r>
          </w:p>
          <w:p w:rsidR="00745136" w:rsidRPr="00745136" w:rsidP="00745136" w14:paraId="05CF1872" w14:textId="04CAE2EE">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$508.16 </w:t>
            </w:r>
          </w:p>
        </w:tc>
        <w:tc>
          <w:tcPr>
            <w:tcW w:w="1520" w:type="dxa"/>
            <w:tcBorders>
              <w:top w:val="single" w:sz="6" w:space="0" w:color="auto"/>
              <w:left w:val="single" w:sz="6" w:space="0" w:color="auto"/>
              <w:bottom w:val="single" w:sz="6" w:space="0" w:color="auto"/>
              <w:right w:val="single" w:sz="6" w:space="0" w:color="auto"/>
            </w:tcBorders>
            <w:hideMark/>
          </w:tcPr>
          <w:p w:rsidR="00745136" w:rsidRPr="00745136" w:rsidP="00745136" w14:paraId="74E98C5A"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776 hrs.  </w:t>
            </w:r>
          </w:p>
          <w:p w:rsidR="00745136" w:rsidRPr="00745136" w:rsidP="00745136" w14:paraId="3EBA48B7"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$49,291.52</w:t>
            </w:r>
          </w:p>
        </w:tc>
      </w:tr>
      <w:tr w14:paraId="37A46659" w14:textId="77777777">
        <w:tblPrEx>
          <w:tblW w:w="9344" w:type="dxa"/>
          <w:tblCellMar>
            <w:left w:w="0" w:type="dxa"/>
            <w:right w:w="0" w:type="dxa"/>
          </w:tblCellMar>
          <w:tblLook w:val="04A0"/>
        </w:tblPrEx>
        <w:trPr>
          <w:trHeight w:val="300"/>
        </w:trPr>
        <w:tc>
          <w:tcPr>
            <w:tcW w:w="1252" w:type="dxa"/>
            <w:vMerge/>
            <w:vAlign w:val="center"/>
            <w:hideMark/>
          </w:tcPr>
          <w:p w:rsidR="00745136" w:rsidRPr="00745136" w:rsidP="00745136" w14:paraId="6FF9AEF2"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440" w:type="dxa"/>
            <w:tcBorders>
              <w:top w:val="single" w:sz="6" w:space="0" w:color="auto"/>
              <w:left w:val="single" w:sz="6" w:space="0" w:color="auto"/>
              <w:bottom w:val="single" w:sz="6" w:space="0" w:color="auto"/>
              <w:right w:val="single" w:sz="6" w:space="0" w:color="auto"/>
            </w:tcBorders>
            <w:hideMark/>
          </w:tcPr>
          <w:p w:rsidR="00745136" w:rsidRPr="00745136" w:rsidP="00745136" w14:paraId="58B9662F"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745136">
              <w:rPr>
                <w:rFonts w:ascii="Times New Roman" w:eastAsia="Calibri" w:hAnsi="Times New Roman" w:cs="Times New Roman"/>
                <w:sz w:val="26"/>
              </w:rPr>
              <w:t>1,834</w:t>
            </w:r>
            <w:r w:rsidRPr="00745136">
              <w:rPr>
                <w:rFonts w:ascii="Times New Roman" w:eastAsia="Calibri" w:hAnsi="Times New Roman" w:cs="Times New Roman"/>
                <w:color w:val="FF0000"/>
                <w:sz w:val="26"/>
              </w:rPr>
              <w:t xml:space="preserve"> </w:t>
            </w:r>
            <w:r w:rsidRPr="00745136">
              <w:rPr>
                <w:rFonts w:ascii="Times New Roman" w:eastAsia="Calibri" w:hAnsi="Times New Roman" w:cs="Times New Roman"/>
                <w:sz w:val="26"/>
              </w:rPr>
              <w:t>(GO)</w:t>
            </w:r>
          </w:p>
        </w:tc>
        <w:tc>
          <w:tcPr>
            <w:tcW w:w="1710" w:type="dxa"/>
            <w:tcBorders>
              <w:top w:val="single" w:sz="6" w:space="0" w:color="auto"/>
              <w:left w:val="single" w:sz="6" w:space="0" w:color="auto"/>
              <w:bottom w:val="single" w:sz="6" w:space="0" w:color="auto"/>
              <w:right w:val="single" w:sz="6" w:space="0" w:color="auto"/>
            </w:tcBorders>
            <w:hideMark/>
          </w:tcPr>
          <w:p w:rsidR="00745136" w:rsidRPr="00745136" w:rsidP="00745136" w14:paraId="5B92050B"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745136">
              <w:rPr>
                <w:rFonts w:ascii="Times New Roman" w:eastAsia="Calibri" w:hAnsi="Times New Roman" w:cs="Times New Roman"/>
                <w:sz w:val="26"/>
                <w:szCs w:val="26"/>
              </w:rPr>
              <w:t>1</w:t>
            </w:r>
          </w:p>
        </w:tc>
        <w:tc>
          <w:tcPr>
            <w:tcW w:w="1890" w:type="dxa"/>
            <w:tcBorders>
              <w:top w:val="single" w:sz="6" w:space="0" w:color="auto"/>
              <w:left w:val="single" w:sz="6" w:space="0" w:color="auto"/>
              <w:bottom w:val="single" w:sz="6" w:space="0" w:color="auto"/>
              <w:right w:val="single" w:sz="6" w:space="0" w:color="auto"/>
            </w:tcBorders>
            <w:hideMark/>
          </w:tcPr>
          <w:p w:rsidR="00745136" w:rsidRPr="00745136" w:rsidP="00745136" w14:paraId="0BD86D63"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745136">
              <w:rPr>
                <w:rFonts w:ascii="Times New Roman" w:eastAsia="Calibri" w:hAnsi="Times New Roman" w:cs="Times New Roman"/>
                <w:sz w:val="26"/>
              </w:rPr>
              <w:t>1834</w:t>
            </w:r>
          </w:p>
        </w:tc>
        <w:tc>
          <w:tcPr>
            <w:tcW w:w="1532" w:type="dxa"/>
            <w:tcBorders>
              <w:top w:val="single" w:sz="6" w:space="0" w:color="auto"/>
              <w:left w:val="single" w:sz="6" w:space="0" w:color="auto"/>
              <w:bottom w:val="single" w:sz="6" w:space="0" w:color="auto"/>
              <w:right w:val="single" w:sz="6" w:space="0" w:color="auto"/>
            </w:tcBorders>
            <w:hideMark/>
          </w:tcPr>
          <w:p w:rsidR="00745136" w:rsidRPr="00745136" w:rsidP="00745136" w14:paraId="08E92225" w14:textId="76707BC1">
            <w:pPr>
              <w:tabs>
                <w:tab w:val="left" w:pos="720"/>
              </w:tabs>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8</w:t>
            </w:r>
            <w:r w:rsidR="00666423">
              <w:rPr>
                <w:rFonts w:ascii="Times New Roman" w:eastAsia="Calibri" w:hAnsi="Times New Roman" w:cs="Times New Roman"/>
                <w:sz w:val="26"/>
              </w:rPr>
              <w:t xml:space="preserve"> </w:t>
            </w:r>
            <w:r w:rsidRPr="00745136">
              <w:rPr>
                <w:rFonts w:ascii="Times New Roman" w:eastAsia="Calibri" w:hAnsi="Times New Roman" w:cs="Times New Roman"/>
                <w:sz w:val="26"/>
              </w:rPr>
              <w:t>hrs. </w:t>
            </w:r>
          </w:p>
          <w:p w:rsidR="00745136" w:rsidRPr="00745136" w:rsidP="00745136" w14:paraId="72CF9B3D" w14:textId="609B379D">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$508.16 </w:t>
            </w:r>
          </w:p>
        </w:tc>
        <w:tc>
          <w:tcPr>
            <w:tcW w:w="1520" w:type="dxa"/>
            <w:tcBorders>
              <w:top w:val="single" w:sz="6" w:space="0" w:color="auto"/>
              <w:left w:val="single" w:sz="6" w:space="0" w:color="auto"/>
              <w:bottom w:val="single" w:sz="6" w:space="0" w:color="auto"/>
              <w:right w:val="single" w:sz="6" w:space="0" w:color="auto"/>
            </w:tcBorders>
            <w:hideMark/>
          </w:tcPr>
          <w:p w:rsidR="00745136" w:rsidRPr="00745136" w:rsidP="00745136" w14:paraId="21835D09"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14,672 hrs. </w:t>
            </w:r>
          </w:p>
          <w:p w:rsidR="00745136" w:rsidRPr="00745136" w:rsidP="00745136" w14:paraId="4794EF12"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 xml:space="preserve">$931,965.44 </w:t>
            </w:r>
          </w:p>
        </w:tc>
      </w:tr>
      <w:tr w14:paraId="7C2D0A28" w14:textId="77777777">
        <w:tblPrEx>
          <w:tblW w:w="9344" w:type="dxa"/>
          <w:tblCellMar>
            <w:left w:w="0" w:type="dxa"/>
            <w:right w:w="0" w:type="dxa"/>
          </w:tblCellMar>
          <w:tblLook w:val="04A0"/>
        </w:tblPrEx>
        <w:trPr>
          <w:trHeight w:val="300"/>
        </w:trPr>
        <w:tc>
          <w:tcPr>
            <w:tcW w:w="1252" w:type="dxa"/>
            <w:vMerge/>
            <w:vAlign w:val="center"/>
          </w:tcPr>
          <w:p w:rsidR="00745136" w:rsidRPr="00745136" w:rsidP="00745136" w14:paraId="38F731E2"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440" w:type="dxa"/>
            <w:tcBorders>
              <w:top w:val="single" w:sz="6" w:space="0" w:color="auto"/>
              <w:left w:val="single" w:sz="6" w:space="0" w:color="auto"/>
              <w:bottom w:val="single" w:sz="6" w:space="0" w:color="auto"/>
              <w:right w:val="single" w:sz="6" w:space="0" w:color="auto"/>
            </w:tcBorders>
          </w:tcPr>
          <w:p w:rsidR="00745136" w:rsidRPr="00745136" w:rsidP="00745136" w14:paraId="7E4184DD"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745136">
              <w:rPr>
                <w:rFonts w:ascii="Times New Roman" w:eastAsia="Calibri" w:hAnsi="Times New Roman" w:cs="Times New Roman"/>
                <w:sz w:val="26"/>
              </w:rPr>
              <w:t>1,333 (GOP)</w:t>
            </w:r>
          </w:p>
        </w:tc>
        <w:tc>
          <w:tcPr>
            <w:tcW w:w="1710" w:type="dxa"/>
            <w:tcBorders>
              <w:top w:val="single" w:sz="6" w:space="0" w:color="auto"/>
              <w:left w:val="single" w:sz="6" w:space="0" w:color="auto"/>
              <w:bottom w:val="single" w:sz="6" w:space="0" w:color="auto"/>
              <w:right w:val="single" w:sz="6" w:space="0" w:color="auto"/>
            </w:tcBorders>
          </w:tcPr>
          <w:p w:rsidR="00745136" w:rsidRPr="00745136" w:rsidP="00745136" w14:paraId="3293035A"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745136">
              <w:rPr>
                <w:rFonts w:ascii="Times New Roman" w:eastAsia="Calibri" w:hAnsi="Times New Roman" w:cs="Times New Roman"/>
                <w:sz w:val="26"/>
                <w:szCs w:val="26"/>
              </w:rPr>
              <w:t>1</w:t>
            </w:r>
          </w:p>
        </w:tc>
        <w:tc>
          <w:tcPr>
            <w:tcW w:w="1890" w:type="dxa"/>
            <w:tcBorders>
              <w:top w:val="single" w:sz="6" w:space="0" w:color="auto"/>
              <w:left w:val="single" w:sz="6" w:space="0" w:color="auto"/>
              <w:bottom w:val="single" w:sz="6" w:space="0" w:color="auto"/>
              <w:right w:val="single" w:sz="6" w:space="0" w:color="auto"/>
            </w:tcBorders>
          </w:tcPr>
          <w:p w:rsidR="00745136" w:rsidRPr="00745136" w:rsidP="00745136" w14:paraId="4CF47148"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745136">
              <w:rPr>
                <w:rFonts w:ascii="Times New Roman" w:eastAsia="Calibri" w:hAnsi="Times New Roman" w:cs="Times New Roman"/>
                <w:sz w:val="26"/>
              </w:rPr>
              <w:t>1333</w:t>
            </w:r>
          </w:p>
        </w:tc>
        <w:tc>
          <w:tcPr>
            <w:tcW w:w="1532" w:type="dxa"/>
            <w:tcBorders>
              <w:top w:val="single" w:sz="6" w:space="0" w:color="auto"/>
              <w:left w:val="single" w:sz="6" w:space="0" w:color="auto"/>
              <w:bottom w:val="single" w:sz="6" w:space="0" w:color="auto"/>
              <w:right w:val="single" w:sz="6" w:space="0" w:color="auto"/>
            </w:tcBorders>
          </w:tcPr>
          <w:p w:rsidR="00745136" w:rsidRPr="00745136" w:rsidP="00745136" w14:paraId="58AAABF9"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8 hrs.</w:t>
            </w:r>
          </w:p>
          <w:p w:rsidR="00745136" w:rsidRPr="00745136" w:rsidP="00745136" w14:paraId="269460FA" w14:textId="61CFE1CB">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$5</w:t>
            </w:r>
            <w:r w:rsidR="00666423">
              <w:rPr>
                <w:rFonts w:ascii="Times New Roman" w:eastAsia="Calibri" w:hAnsi="Times New Roman" w:cs="Times New Roman"/>
                <w:sz w:val="26"/>
              </w:rPr>
              <w:t>08</w:t>
            </w:r>
            <w:r w:rsidRPr="00745136">
              <w:rPr>
                <w:rFonts w:ascii="Times New Roman" w:eastAsia="Calibri" w:hAnsi="Times New Roman" w:cs="Times New Roman"/>
                <w:sz w:val="26"/>
              </w:rPr>
              <w:t>.</w:t>
            </w:r>
            <w:r w:rsidR="00666423">
              <w:rPr>
                <w:rFonts w:ascii="Times New Roman" w:eastAsia="Calibri" w:hAnsi="Times New Roman" w:cs="Times New Roman"/>
                <w:sz w:val="26"/>
              </w:rPr>
              <w:t>1</w:t>
            </w:r>
            <w:r w:rsidRPr="00745136">
              <w:rPr>
                <w:rFonts w:ascii="Times New Roman" w:eastAsia="Calibri" w:hAnsi="Times New Roman" w:cs="Times New Roman"/>
                <w:sz w:val="26"/>
              </w:rPr>
              <w:t>6 </w:t>
            </w:r>
          </w:p>
        </w:tc>
        <w:tc>
          <w:tcPr>
            <w:tcW w:w="1520" w:type="dxa"/>
            <w:tcBorders>
              <w:top w:val="single" w:sz="6" w:space="0" w:color="auto"/>
              <w:left w:val="single" w:sz="6" w:space="0" w:color="auto"/>
              <w:bottom w:val="single" w:sz="6" w:space="0" w:color="auto"/>
              <w:right w:val="single" w:sz="6" w:space="0" w:color="auto"/>
            </w:tcBorders>
          </w:tcPr>
          <w:p w:rsidR="00745136" w:rsidRPr="00745136" w:rsidP="00745136" w14:paraId="2559116B"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10,664 hrs. </w:t>
            </w:r>
          </w:p>
          <w:p w:rsidR="00745136" w:rsidRPr="00745136" w:rsidP="00745136" w14:paraId="64FDEAFE"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 xml:space="preserve">$677,377.28 </w:t>
            </w:r>
          </w:p>
        </w:tc>
      </w:tr>
      <w:tr w14:paraId="3A062B95" w14:textId="77777777">
        <w:tblPrEx>
          <w:tblW w:w="9344" w:type="dxa"/>
          <w:tblCellMar>
            <w:left w:w="0" w:type="dxa"/>
            <w:right w:w="0" w:type="dxa"/>
          </w:tblCellMar>
          <w:tblLook w:val="04A0"/>
        </w:tblPrEx>
        <w:trPr>
          <w:trHeight w:val="300"/>
        </w:trPr>
        <w:tc>
          <w:tcPr>
            <w:tcW w:w="1252" w:type="dxa"/>
            <w:vMerge/>
            <w:vAlign w:val="center"/>
          </w:tcPr>
          <w:p w:rsidR="00745136" w:rsidRPr="00745136" w:rsidP="00745136" w14:paraId="66EB9258"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440" w:type="dxa"/>
            <w:tcBorders>
              <w:top w:val="single" w:sz="6" w:space="0" w:color="auto"/>
              <w:left w:val="single" w:sz="6" w:space="0" w:color="auto"/>
              <w:bottom w:val="single" w:sz="6" w:space="0" w:color="auto"/>
              <w:right w:val="single" w:sz="6" w:space="0" w:color="auto"/>
            </w:tcBorders>
          </w:tcPr>
          <w:p w:rsidR="00745136" w:rsidRPr="00745136" w:rsidP="00745136" w14:paraId="765A36DF"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745136">
              <w:rPr>
                <w:rFonts w:ascii="Times New Roman" w:eastAsia="Calibri" w:hAnsi="Times New Roman" w:cs="Times New Roman"/>
                <w:sz w:val="26"/>
              </w:rPr>
              <w:t>341 (TO)</w:t>
            </w:r>
          </w:p>
        </w:tc>
        <w:tc>
          <w:tcPr>
            <w:tcW w:w="1710" w:type="dxa"/>
            <w:tcBorders>
              <w:top w:val="single" w:sz="6" w:space="0" w:color="auto"/>
              <w:left w:val="single" w:sz="6" w:space="0" w:color="auto"/>
              <w:bottom w:val="single" w:sz="6" w:space="0" w:color="auto"/>
              <w:right w:val="single" w:sz="6" w:space="0" w:color="auto"/>
            </w:tcBorders>
          </w:tcPr>
          <w:p w:rsidR="00745136" w:rsidRPr="00745136" w:rsidP="00745136" w14:paraId="7DF80158"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745136">
              <w:rPr>
                <w:rFonts w:ascii="Times New Roman" w:eastAsia="Calibri" w:hAnsi="Times New Roman" w:cs="Times New Roman"/>
                <w:sz w:val="26"/>
                <w:szCs w:val="26"/>
              </w:rPr>
              <w:t>1</w:t>
            </w:r>
          </w:p>
        </w:tc>
        <w:tc>
          <w:tcPr>
            <w:tcW w:w="1890" w:type="dxa"/>
            <w:tcBorders>
              <w:top w:val="single" w:sz="6" w:space="0" w:color="auto"/>
              <w:left w:val="single" w:sz="6" w:space="0" w:color="auto"/>
              <w:bottom w:val="single" w:sz="6" w:space="0" w:color="auto"/>
              <w:right w:val="single" w:sz="6" w:space="0" w:color="auto"/>
            </w:tcBorders>
          </w:tcPr>
          <w:p w:rsidR="00745136" w:rsidRPr="00745136" w:rsidP="00745136" w14:paraId="2E588262"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745136">
              <w:rPr>
                <w:rFonts w:ascii="Times New Roman" w:eastAsia="Calibri" w:hAnsi="Times New Roman" w:cs="Times New Roman"/>
                <w:sz w:val="26"/>
              </w:rPr>
              <w:t>341</w:t>
            </w:r>
          </w:p>
        </w:tc>
        <w:tc>
          <w:tcPr>
            <w:tcW w:w="1532" w:type="dxa"/>
            <w:tcBorders>
              <w:top w:val="single" w:sz="6" w:space="0" w:color="auto"/>
              <w:left w:val="single" w:sz="6" w:space="0" w:color="auto"/>
              <w:bottom w:val="single" w:sz="6" w:space="0" w:color="auto"/>
              <w:right w:val="single" w:sz="6" w:space="0" w:color="auto"/>
            </w:tcBorders>
          </w:tcPr>
          <w:p w:rsidR="00745136" w:rsidRPr="00745136" w:rsidP="00745136" w14:paraId="148EB55B"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8 hrs.</w:t>
            </w:r>
          </w:p>
          <w:p w:rsidR="00745136" w:rsidRPr="00745136" w:rsidP="00745136" w14:paraId="41D03009" w14:textId="18535C2D">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$508.16 </w:t>
            </w:r>
          </w:p>
        </w:tc>
        <w:tc>
          <w:tcPr>
            <w:tcW w:w="1520" w:type="dxa"/>
            <w:tcBorders>
              <w:top w:val="single" w:sz="6" w:space="0" w:color="auto"/>
              <w:left w:val="single" w:sz="6" w:space="0" w:color="auto"/>
              <w:bottom w:val="single" w:sz="6" w:space="0" w:color="auto"/>
              <w:right w:val="single" w:sz="6" w:space="0" w:color="auto"/>
            </w:tcBorders>
          </w:tcPr>
          <w:p w:rsidR="00745136" w:rsidRPr="00745136" w:rsidP="00745136" w14:paraId="6ACFAA26"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2,728 hrs. </w:t>
            </w:r>
          </w:p>
          <w:p w:rsidR="00745136" w:rsidRPr="00745136" w:rsidP="00745136" w14:paraId="3BBF6EB0"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 xml:space="preserve">$173,282.56 </w:t>
            </w:r>
          </w:p>
        </w:tc>
      </w:tr>
      <w:tr w14:paraId="093A1639" w14:textId="77777777">
        <w:tblPrEx>
          <w:tblW w:w="9344" w:type="dxa"/>
          <w:tblCellMar>
            <w:left w:w="0" w:type="dxa"/>
            <w:right w:w="0" w:type="dxa"/>
          </w:tblCellMar>
          <w:tblLook w:val="04A0"/>
        </w:tblPrEx>
        <w:trPr>
          <w:trHeight w:val="300"/>
        </w:trPr>
        <w:tc>
          <w:tcPr>
            <w:tcW w:w="1252" w:type="dxa"/>
            <w:vMerge/>
            <w:vAlign w:val="center"/>
          </w:tcPr>
          <w:p w:rsidR="00745136" w:rsidRPr="00745136" w:rsidP="00745136" w14:paraId="19C2BE36"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440" w:type="dxa"/>
            <w:tcBorders>
              <w:top w:val="single" w:sz="6" w:space="0" w:color="auto"/>
              <w:left w:val="single" w:sz="6" w:space="0" w:color="auto"/>
              <w:bottom w:val="single" w:sz="6" w:space="0" w:color="auto"/>
              <w:right w:val="single" w:sz="6" w:space="0" w:color="auto"/>
            </w:tcBorders>
          </w:tcPr>
          <w:p w:rsidR="00745136" w:rsidRPr="00745136" w:rsidP="00745136" w14:paraId="5F07D13E"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745136">
              <w:rPr>
                <w:rFonts w:ascii="Times New Roman" w:eastAsia="Calibri" w:hAnsi="Times New Roman" w:cs="Times New Roman"/>
                <w:sz w:val="26"/>
                <w:szCs w:val="26"/>
              </w:rPr>
              <w:t>299 (DP)</w:t>
            </w:r>
          </w:p>
        </w:tc>
        <w:tc>
          <w:tcPr>
            <w:tcW w:w="1710" w:type="dxa"/>
            <w:tcBorders>
              <w:top w:val="single" w:sz="6" w:space="0" w:color="auto"/>
              <w:left w:val="single" w:sz="6" w:space="0" w:color="auto"/>
              <w:bottom w:val="single" w:sz="6" w:space="0" w:color="auto"/>
              <w:right w:val="single" w:sz="6" w:space="0" w:color="auto"/>
            </w:tcBorders>
          </w:tcPr>
          <w:p w:rsidR="00745136" w:rsidRPr="00745136" w:rsidP="00745136" w14:paraId="49F31722"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745136">
              <w:rPr>
                <w:rFonts w:ascii="Times New Roman" w:eastAsia="Calibri" w:hAnsi="Times New Roman" w:cs="Times New Roman"/>
                <w:sz w:val="26"/>
                <w:szCs w:val="26"/>
              </w:rPr>
              <w:t>1</w:t>
            </w:r>
          </w:p>
        </w:tc>
        <w:tc>
          <w:tcPr>
            <w:tcW w:w="1890" w:type="dxa"/>
            <w:tcBorders>
              <w:top w:val="single" w:sz="6" w:space="0" w:color="auto"/>
              <w:left w:val="single" w:sz="6" w:space="0" w:color="auto"/>
              <w:bottom w:val="single" w:sz="6" w:space="0" w:color="auto"/>
              <w:right w:val="single" w:sz="6" w:space="0" w:color="auto"/>
            </w:tcBorders>
          </w:tcPr>
          <w:p w:rsidR="00745136" w:rsidRPr="00745136" w:rsidP="00745136" w14:paraId="0DCB4481"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745136">
              <w:rPr>
                <w:rFonts w:ascii="Times New Roman" w:eastAsia="Calibri" w:hAnsi="Times New Roman" w:cs="Times New Roman"/>
                <w:sz w:val="26"/>
              </w:rPr>
              <w:t>299</w:t>
            </w:r>
          </w:p>
        </w:tc>
        <w:tc>
          <w:tcPr>
            <w:tcW w:w="1532" w:type="dxa"/>
            <w:tcBorders>
              <w:top w:val="single" w:sz="6" w:space="0" w:color="auto"/>
              <w:left w:val="single" w:sz="6" w:space="0" w:color="auto"/>
              <w:bottom w:val="single" w:sz="6" w:space="0" w:color="auto"/>
              <w:right w:val="single" w:sz="6" w:space="0" w:color="auto"/>
            </w:tcBorders>
          </w:tcPr>
          <w:p w:rsidR="00745136" w:rsidRPr="00745136" w:rsidP="00745136" w14:paraId="4A0FB179"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8 hrs.</w:t>
            </w:r>
          </w:p>
          <w:p w:rsidR="00745136" w:rsidRPr="00745136" w:rsidP="00745136" w14:paraId="57185A07" w14:textId="252DDC53">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$508.16 </w:t>
            </w:r>
          </w:p>
        </w:tc>
        <w:tc>
          <w:tcPr>
            <w:tcW w:w="1520" w:type="dxa"/>
            <w:tcBorders>
              <w:top w:val="single" w:sz="6" w:space="0" w:color="auto"/>
              <w:left w:val="single" w:sz="6" w:space="0" w:color="auto"/>
              <w:bottom w:val="single" w:sz="6" w:space="0" w:color="auto"/>
              <w:right w:val="single" w:sz="6" w:space="0" w:color="auto"/>
            </w:tcBorders>
          </w:tcPr>
          <w:p w:rsidR="00745136" w:rsidRPr="00745136" w:rsidP="00745136" w14:paraId="5C42AE09"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2,392 hrs. </w:t>
            </w:r>
          </w:p>
          <w:p w:rsidR="00745136" w:rsidRPr="00745136" w:rsidP="00745136" w14:paraId="051B73E7"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745136">
              <w:rPr>
                <w:rFonts w:ascii="Times New Roman" w:eastAsia="Calibri" w:hAnsi="Times New Roman" w:cs="Times New Roman"/>
                <w:sz w:val="26"/>
              </w:rPr>
              <w:t>$151,939.84</w:t>
            </w:r>
          </w:p>
        </w:tc>
      </w:tr>
      <w:tr w14:paraId="2206B5B3" w14:textId="77777777" w:rsidTr="00745136">
        <w:tblPrEx>
          <w:tblW w:w="9344" w:type="dxa"/>
          <w:tblCellMar>
            <w:left w:w="0" w:type="dxa"/>
            <w:right w:w="0" w:type="dxa"/>
          </w:tblCellMar>
          <w:tblLook w:val="04A0"/>
        </w:tblPrEx>
        <w:trPr>
          <w:trHeight w:val="300"/>
        </w:trPr>
        <w:tc>
          <w:tcPr>
            <w:tcW w:w="1252" w:type="dxa"/>
            <w:tcBorders>
              <w:top w:val="single" w:sz="6" w:space="0" w:color="auto"/>
              <w:left w:val="single" w:sz="6" w:space="0" w:color="auto"/>
              <w:bottom w:val="single" w:sz="6" w:space="0" w:color="auto"/>
              <w:right w:val="single" w:sz="6" w:space="0" w:color="auto"/>
            </w:tcBorders>
            <w:hideMark/>
          </w:tcPr>
          <w:p w:rsidR="00745136" w:rsidRPr="00745136" w:rsidP="00745136" w14:paraId="1473501E"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r w:rsidRPr="00745136">
              <w:rPr>
                <w:rFonts w:ascii="Times New Roman" w:eastAsia="Calibri" w:hAnsi="Times New Roman" w:cs="Times New Roman"/>
                <w:b/>
                <w:bCs/>
                <w:sz w:val="26"/>
                <w:szCs w:val="26"/>
              </w:rPr>
              <w:t>Total for TOP-003-8</w:t>
            </w:r>
          </w:p>
        </w:tc>
        <w:tc>
          <w:tcPr>
            <w:tcW w:w="1440" w:type="dxa"/>
            <w:tcBorders>
              <w:top w:val="single" w:sz="6" w:space="0" w:color="auto"/>
              <w:left w:val="single" w:sz="6" w:space="0" w:color="auto"/>
              <w:bottom w:val="single" w:sz="6" w:space="0" w:color="auto"/>
              <w:right w:val="single" w:sz="6" w:space="0" w:color="auto"/>
            </w:tcBorders>
            <w:shd w:val="clear" w:color="auto" w:fill="BFBFBF"/>
            <w:hideMark/>
          </w:tcPr>
          <w:p w:rsidR="00745136" w:rsidRPr="00745136" w:rsidP="00745136" w14:paraId="26D54659"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r w:rsidRPr="00745136">
              <w:rPr>
                <w:rFonts w:ascii="Times New Roman" w:eastAsia="Calibri" w:hAnsi="Times New Roman" w:cs="Times New Roman"/>
                <w:sz w:val="26"/>
                <w:szCs w:val="26"/>
              </w:rPr>
              <w:t> </w:t>
            </w:r>
          </w:p>
        </w:tc>
        <w:tc>
          <w:tcPr>
            <w:tcW w:w="1710" w:type="dxa"/>
            <w:tcBorders>
              <w:top w:val="single" w:sz="6" w:space="0" w:color="auto"/>
              <w:left w:val="single" w:sz="6" w:space="0" w:color="auto"/>
              <w:bottom w:val="single" w:sz="6" w:space="0" w:color="auto"/>
              <w:right w:val="single" w:sz="6" w:space="0" w:color="auto"/>
            </w:tcBorders>
            <w:shd w:val="clear" w:color="auto" w:fill="BFBFBF"/>
            <w:hideMark/>
          </w:tcPr>
          <w:p w:rsidR="00745136" w:rsidRPr="00745136" w:rsidP="00745136" w14:paraId="5EF887B1"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r w:rsidRPr="00745136">
              <w:rPr>
                <w:rFonts w:ascii="Times New Roman" w:eastAsia="Calibri" w:hAnsi="Times New Roman" w:cs="Times New Roman"/>
                <w:sz w:val="26"/>
                <w:szCs w:val="26"/>
              </w:rPr>
              <w:t> </w:t>
            </w:r>
          </w:p>
        </w:tc>
        <w:tc>
          <w:tcPr>
            <w:tcW w:w="1890" w:type="dxa"/>
            <w:tcBorders>
              <w:top w:val="single" w:sz="6" w:space="0" w:color="auto"/>
              <w:left w:val="single" w:sz="6" w:space="0" w:color="auto"/>
              <w:bottom w:val="single" w:sz="6" w:space="0" w:color="auto"/>
              <w:right w:val="single" w:sz="6" w:space="0" w:color="auto"/>
            </w:tcBorders>
            <w:hideMark/>
          </w:tcPr>
          <w:p w:rsidR="00745136" w:rsidRPr="00745136" w:rsidP="00745136" w14:paraId="7F7A7673" w14:textId="77777777">
            <w:pPr>
              <w:tabs>
                <w:tab w:val="left" w:pos="720"/>
              </w:tabs>
              <w:autoSpaceDE w:val="0"/>
              <w:autoSpaceDN w:val="0"/>
              <w:adjustRightInd w:val="0"/>
              <w:spacing w:after="0" w:line="240" w:lineRule="auto"/>
              <w:jc w:val="center"/>
              <w:rPr>
                <w:rFonts w:ascii="Times New Roman" w:eastAsia="Calibri" w:hAnsi="Times New Roman" w:cs="Times New Roman"/>
                <w:bCs/>
                <w:sz w:val="26"/>
              </w:rPr>
            </w:pPr>
            <w:r w:rsidRPr="00745136">
              <w:rPr>
                <w:rFonts w:ascii="Times New Roman" w:eastAsia="Calibri" w:hAnsi="Times New Roman" w:cs="Times New Roman"/>
                <w:bCs/>
                <w:sz w:val="26"/>
              </w:rPr>
              <w:t>4,074</w:t>
            </w:r>
          </w:p>
        </w:tc>
        <w:tc>
          <w:tcPr>
            <w:tcW w:w="1532" w:type="dxa"/>
            <w:tcBorders>
              <w:top w:val="single" w:sz="6" w:space="0" w:color="auto"/>
              <w:left w:val="single" w:sz="6" w:space="0" w:color="auto"/>
              <w:bottom w:val="single" w:sz="6" w:space="0" w:color="auto"/>
              <w:right w:val="single" w:sz="6" w:space="0" w:color="auto"/>
            </w:tcBorders>
            <w:shd w:val="clear" w:color="auto" w:fill="BFBFBF"/>
            <w:hideMark/>
          </w:tcPr>
          <w:p w:rsidR="00745136" w:rsidRPr="00745136" w:rsidP="00745136" w14:paraId="181F2239" w14:textId="77777777">
            <w:pPr>
              <w:tabs>
                <w:tab w:val="left" w:pos="720"/>
              </w:tabs>
              <w:autoSpaceDE w:val="0"/>
              <w:autoSpaceDN w:val="0"/>
              <w:adjustRightInd w:val="0"/>
              <w:spacing w:after="0" w:line="240" w:lineRule="auto"/>
              <w:jc w:val="right"/>
              <w:rPr>
                <w:rFonts w:ascii="Times New Roman" w:eastAsia="Calibri" w:hAnsi="Times New Roman" w:cs="Times New Roman"/>
                <w:bCs/>
                <w:sz w:val="26"/>
              </w:rPr>
            </w:pPr>
            <w:r w:rsidRPr="00745136">
              <w:rPr>
                <w:rFonts w:ascii="Times New Roman" w:eastAsia="Calibri" w:hAnsi="Times New Roman" w:cs="Times New Roman"/>
                <w:bCs/>
                <w:sz w:val="26"/>
              </w:rPr>
              <w:t> </w:t>
            </w:r>
          </w:p>
        </w:tc>
        <w:tc>
          <w:tcPr>
            <w:tcW w:w="1520" w:type="dxa"/>
            <w:tcBorders>
              <w:top w:val="single" w:sz="6" w:space="0" w:color="auto"/>
              <w:left w:val="single" w:sz="6" w:space="0" w:color="auto"/>
              <w:bottom w:val="single" w:sz="6" w:space="0" w:color="auto"/>
              <w:right w:val="single" w:sz="6" w:space="0" w:color="auto"/>
            </w:tcBorders>
            <w:hideMark/>
          </w:tcPr>
          <w:p w:rsidR="00745136" w:rsidRPr="00745136" w:rsidP="00745136" w14:paraId="7D70B5B3" w14:textId="77777777">
            <w:pPr>
              <w:tabs>
                <w:tab w:val="left" w:pos="720"/>
              </w:tabs>
              <w:autoSpaceDE w:val="0"/>
              <w:autoSpaceDN w:val="0"/>
              <w:adjustRightInd w:val="0"/>
              <w:spacing w:after="0" w:line="240" w:lineRule="auto"/>
              <w:jc w:val="right"/>
              <w:rPr>
                <w:rFonts w:ascii="Times New Roman" w:eastAsia="Calibri" w:hAnsi="Times New Roman" w:cs="Times New Roman"/>
                <w:bCs/>
                <w:sz w:val="26"/>
              </w:rPr>
            </w:pPr>
            <w:r w:rsidRPr="00745136">
              <w:rPr>
                <w:rFonts w:ascii="Times New Roman" w:eastAsia="Calibri" w:hAnsi="Times New Roman" w:cs="Times New Roman"/>
                <w:bCs/>
                <w:sz w:val="26"/>
              </w:rPr>
              <w:t>32,592 hrs. </w:t>
            </w:r>
          </w:p>
          <w:p w:rsidR="00745136" w:rsidRPr="00745136" w:rsidP="00745136" w14:paraId="67F7A1CA" w14:textId="77777777">
            <w:pPr>
              <w:tabs>
                <w:tab w:val="left" w:pos="720"/>
              </w:tabs>
              <w:autoSpaceDE w:val="0"/>
              <w:autoSpaceDN w:val="0"/>
              <w:adjustRightInd w:val="0"/>
              <w:spacing w:after="0" w:line="240" w:lineRule="auto"/>
              <w:jc w:val="right"/>
              <w:rPr>
                <w:rFonts w:ascii="Times New Roman" w:eastAsia="Calibri" w:hAnsi="Times New Roman" w:cs="Times New Roman"/>
                <w:bCs/>
                <w:sz w:val="26"/>
              </w:rPr>
            </w:pPr>
            <w:r w:rsidRPr="00745136">
              <w:rPr>
                <w:rFonts w:ascii="Times New Roman" w:eastAsia="Calibri" w:hAnsi="Times New Roman" w:cs="Times New Roman"/>
                <w:bCs/>
                <w:sz w:val="26"/>
              </w:rPr>
              <w:t xml:space="preserve">$2,070,243.84 </w:t>
            </w:r>
          </w:p>
        </w:tc>
      </w:tr>
    </w:tbl>
    <w:p w:rsidR="008F7F55" w:rsidP="00D50AB5" w14:paraId="1A6E3D3E" w14:textId="77777777">
      <w:pPr>
        <w:pStyle w:val="FERCparanumber"/>
        <w:numPr>
          <w:ilvl w:val="0"/>
          <w:numId w:val="0"/>
        </w:numPr>
        <w:spacing w:line="240" w:lineRule="auto"/>
      </w:pPr>
    </w:p>
    <w:p w:rsidR="00525121" w:rsidRPr="0016596B" w:rsidP="0016596B" w14:paraId="11F25951" w14:textId="51C523B4">
      <w:pPr>
        <w:tabs>
          <w:tab w:val="num" w:pos="720"/>
        </w:tabs>
        <w:spacing w:after="260" w:line="240" w:lineRule="auto"/>
        <w:rPr>
          <w:rFonts w:ascii="Times New Roman" w:eastAsia="Calibri" w:hAnsi="Times New Roman" w:cs="Times New Roman"/>
          <w:sz w:val="26"/>
        </w:rPr>
      </w:pPr>
      <w:r w:rsidRPr="00DD648A">
        <w:rPr>
          <w:rFonts w:ascii="Times New Roman" w:eastAsia="Calibri" w:hAnsi="Times New Roman" w:cs="Times New Roman"/>
          <w:sz w:val="26"/>
        </w:rPr>
        <w:t>The annual responses and burden hours for</w:t>
      </w:r>
      <w:r w:rsidR="00745136">
        <w:rPr>
          <w:rFonts w:ascii="Times New Roman" w:eastAsia="Calibri" w:hAnsi="Times New Roman" w:cs="Times New Roman"/>
          <w:sz w:val="26"/>
        </w:rPr>
        <w:t xml:space="preserve"> </w:t>
      </w:r>
      <w:r w:rsidRPr="00DD648A">
        <w:rPr>
          <w:rFonts w:ascii="Times New Roman" w:eastAsia="Calibri" w:hAnsi="Times New Roman" w:cs="Times New Roman"/>
          <w:sz w:val="26"/>
        </w:rPr>
        <w:t>Reliability Standard TOP-003-</w:t>
      </w:r>
      <w:r w:rsidR="00745136">
        <w:rPr>
          <w:rFonts w:ascii="Times New Roman" w:eastAsia="Calibri" w:hAnsi="Times New Roman" w:cs="Times New Roman"/>
          <w:sz w:val="26"/>
        </w:rPr>
        <w:t>8</w:t>
      </w:r>
      <w:r w:rsidRPr="00DD648A">
        <w:rPr>
          <w:rFonts w:ascii="Times New Roman" w:eastAsia="Calibri" w:hAnsi="Times New Roman" w:cs="Times New Roman"/>
          <w:sz w:val="26"/>
        </w:rPr>
        <w:t xml:space="preserve"> </w:t>
      </w:r>
      <w:r w:rsidRPr="00DD648A" w:rsidR="00062B1F">
        <w:rPr>
          <w:rFonts w:ascii="Times New Roman" w:eastAsia="Calibri" w:hAnsi="Times New Roman" w:cs="Times New Roman"/>
          <w:sz w:val="26"/>
        </w:rPr>
        <w:t>are</w:t>
      </w:r>
      <w:r w:rsidRPr="00DD648A">
        <w:rPr>
          <w:rFonts w:ascii="Times New Roman" w:eastAsia="Calibri" w:hAnsi="Times New Roman" w:cs="Times New Roman"/>
          <w:sz w:val="26"/>
        </w:rPr>
        <w:t xml:space="preserve"> </w:t>
      </w:r>
      <w:r w:rsidR="000C0126">
        <w:rPr>
          <w:rFonts w:ascii="Times New Roman" w:eastAsia="Calibri" w:hAnsi="Times New Roman" w:cs="Times New Roman"/>
          <w:sz w:val="26"/>
        </w:rPr>
        <w:t>4,074</w:t>
      </w:r>
      <w:r w:rsidRPr="00DD648A">
        <w:rPr>
          <w:rFonts w:ascii="Times New Roman" w:eastAsia="Calibri" w:hAnsi="Times New Roman" w:cs="Times New Roman"/>
          <w:sz w:val="26"/>
        </w:rPr>
        <w:t xml:space="preserve"> responses; </w:t>
      </w:r>
      <w:r w:rsidR="000C0126">
        <w:rPr>
          <w:rFonts w:ascii="Times New Roman" w:eastAsia="Calibri" w:hAnsi="Times New Roman" w:cs="Times New Roman"/>
          <w:sz w:val="26"/>
        </w:rPr>
        <w:t>32,592</w:t>
      </w:r>
      <w:r w:rsidRPr="00DD648A">
        <w:rPr>
          <w:rFonts w:ascii="Times New Roman" w:eastAsia="Calibri" w:hAnsi="Times New Roman" w:cs="Times New Roman"/>
          <w:sz w:val="26"/>
        </w:rPr>
        <w:t xml:space="preserve"> hours. </w:t>
      </w:r>
      <w:r w:rsidRPr="00500748" w:rsidR="00500748">
        <w:rPr>
          <w:rFonts w:ascii="Times New Roman" w:eastAsia="Calibri" w:hAnsi="Times New Roman" w:cs="Times New Roman"/>
          <w:sz w:val="26"/>
        </w:rPr>
        <w:t xml:space="preserve">The annual cost burden is $ </w:t>
      </w:r>
      <w:r w:rsidR="000C0126">
        <w:rPr>
          <w:rFonts w:ascii="Times New Roman" w:eastAsia="Calibri" w:hAnsi="Times New Roman" w:cs="Times New Roman"/>
          <w:sz w:val="26"/>
        </w:rPr>
        <w:t>2,070,243.84</w:t>
      </w:r>
      <w:r w:rsidRPr="00500748" w:rsidR="00500748">
        <w:rPr>
          <w:rFonts w:ascii="Times New Roman" w:eastAsia="Calibri" w:hAnsi="Times New Roman" w:cs="Times New Roman"/>
          <w:sz w:val="26"/>
        </w:rPr>
        <w:t xml:space="preserve"> for Reliability Standard TOP-003-</w:t>
      </w:r>
      <w:r w:rsidR="000C0126">
        <w:rPr>
          <w:rFonts w:ascii="Times New Roman" w:eastAsia="Calibri" w:hAnsi="Times New Roman" w:cs="Times New Roman"/>
          <w:sz w:val="26"/>
        </w:rPr>
        <w:t>8</w:t>
      </w:r>
      <w:r w:rsidRPr="00500748" w:rsidR="00500748">
        <w:rPr>
          <w:rFonts w:ascii="Times New Roman" w:eastAsia="Calibri" w:hAnsi="Times New Roman" w:cs="Times New Roman"/>
          <w:sz w:val="26"/>
        </w:rPr>
        <w:t>.</w:t>
      </w:r>
    </w:p>
    <w:p w:rsidR="00D80FBD" w:rsidRPr="002705B2" w:rsidP="005140A8" w14:paraId="6E56DD0C" w14:textId="77777777">
      <w:pPr>
        <w:pStyle w:val="ListParagraph"/>
        <w:numPr>
          <w:ilvl w:val="0"/>
          <w:numId w:val="36"/>
        </w:numPr>
        <w:spacing w:after="0" w:line="240" w:lineRule="auto"/>
        <w:ind w:left="360"/>
        <w:rPr>
          <w:rFonts w:ascii="Times New Roman" w:hAnsi="Times New Roman" w:cs="Times New Roman"/>
          <w:b/>
          <w:sz w:val="26"/>
          <w:szCs w:val="24"/>
        </w:rPr>
      </w:pPr>
      <w:r w:rsidRPr="002705B2">
        <w:rPr>
          <w:rFonts w:ascii="Times New Roman" w:hAnsi="Times New Roman" w:cs="Times New Roman"/>
          <w:b/>
          <w:sz w:val="26"/>
          <w:szCs w:val="24"/>
        </w:rPr>
        <w:t>ESTIMATE OF THE TOTAL ANNUAL COST BURDEN TO RESPONDENTS</w:t>
      </w:r>
    </w:p>
    <w:p w:rsidR="00E636D7" w:rsidRPr="002705B2" w:rsidP="002705B2" w14:paraId="156AFB31" w14:textId="77777777">
      <w:pPr>
        <w:spacing w:after="0" w:line="240" w:lineRule="auto"/>
        <w:rPr>
          <w:rFonts w:ascii="Times New Roman" w:hAnsi="Times New Roman" w:cs="Times New Roman"/>
          <w:sz w:val="26"/>
          <w:szCs w:val="24"/>
        </w:rPr>
      </w:pPr>
    </w:p>
    <w:p w:rsidR="00585922" w:rsidP="002705B2" w14:paraId="3F84DA23" w14:textId="73CD73D9">
      <w:pPr>
        <w:spacing w:after="0" w:line="240" w:lineRule="auto"/>
        <w:rPr>
          <w:rFonts w:ascii="Times New Roman" w:hAnsi="Times New Roman"/>
          <w:sz w:val="26"/>
          <w:szCs w:val="26"/>
        </w:rPr>
      </w:pPr>
      <w:r w:rsidRPr="6136D0D4">
        <w:rPr>
          <w:rFonts w:ascii="Times New Roman" w:hAnsi="Times New Roman"/>
          <w:sz w:val="26"/>
          <w:szCs w:val="26"/>
        </w:rPr>
        <w:t>There is no non-labor hour cost associated with</w:t>
      </w:r>
      <w:r w:rsidR="004654F8">
        <w:rPr>
          <w:rFonts w:ascii="Times New Roman" w:hAnsi="Times New Roman"/>
          <w:sz w:val="26"/>
          <w:szCs w:val="26"/>
        </w:rPr>
        <w:t xml:space="preserve"> FERC-725A</w:t>
      </w:r>
      <w:r w:rsidRPr="6136D0D4" w:rsidR="00EC7208">
        <w:rPr>
          <w:rFonts w:ascii="Times New Roman" w:hAnsi="Times New Roman"/>
          <w:sz w:val="26"/>
          <w:szCs w:val="26"/>
        </w:rPr>
        <w:t>.</w:t>
      </w:r>
      <w:r w:rsidRPr="6136D0D4">
        <w:rPr>
          <w:rFonts w:ascii="Times New Roman" w:hAnsi="Times New Roman"/>
          <w:sz w:val="26"/>
          <w:szCs w:val="26"/>
        </w:rPr>
        <w:t xml:space="preserve"> </w:t>
      </w:r>
    </w:p>
    <w:p w:rsidR="00585922" w:rsidRPr="00585922" w:rsidP="00F67707" w14:paraId="06660AEC" w14:textId="0513FBA7">
      <w:pPr>
        <w:spacing w:after="0"/>
        <w:rPr>
          <w:rFonts w:ascii="Times New Roman" w:hAnsi="Times New Roman" w:cs="Times New Roman"/>
          <w:sz w:val="26"/>
          <w:szCs w:val="26"/>
        </w:rPr>
      </w:pPr>
      <w:r w:rsidRPr="00257D06">
        <w:rPr>
          <w:rFonts w:ascii="Times New Roman" w:hAnsi="Times New Roman" w:cs="Times New Roman"/>
          <w:sz w:val="26"/>
          <w:szCs w:val="26"/>
        </w:rPr>
        <w:t>All the costs are associated with burden hours (labor) and described in #12 and 15.</w:t>
      </w:r>
    </w:p>
    <w:p w:rsidR="00E636D7" w:rsidRPr="002705B2" w:rsidP="002705B2" w14:paraId="7B75114A" w14:textId="77777777">
      <w:pPr>
        <w:spacing w:after="0" w:line="240" w:lineRule="auto"/>
        <w:rPr>
          <w:rFonts w:ascii="Times New Roman" w:hAnsi="Times New Roman" w:cs="Times New Roman"/>
          <w:sz w:val="26"/>
          <w:szCs w:val="24"/>
        </w:rPr>
      </w:pPr>
    </w:p>
    <w:p w:rsidR="00E636D7" w:rsidRPr="002705B2" w:rsidP="005140A8" w14:paraId="552549EE" w14:textId="77777777">
      <w:pPr>
        <w:pStyle w:val="ListParagraph"/>
        <w:numPr>
          <w:ilvl w:val="0"/>
          <w:numId w:val="36"/>
        </w:numPr>
        <w:spacing w:after="0" w:line="240" w:lineRule="auto"/>
        <w:ind w:left="360"/>
        <w:rPr>
          <w:rFonts w:ascii="Times New Roman" w:hAnsi="Times New Roman" w:cs="Times New Roman"/>
          <w:b/>
          <w:sz w:val="26"/>
          <w:szCs w:val="24"/>
        </w:rPr>
      </w:pPr>
      <w:r w:rsidRPr="002705B2">
        <w:rPr>
          <w:rFonts w:ascii="Times New Roman" w:hAnsi="Times New Roman" w:cs="Times New Roman"/>
          <w:b/>
          <w:sz w:val="26"/>
          <w:szCs w:val="24"/>
        </w:rPr>
        <w:t>ESTIMATED ANNUALIZED COST TO FEDERAL GOVERNMENT</w:t>
      </w:r>
    </w:p>
    <w:p w:rsidR="00A276F5" w:rsidRPr="002705B2" w:rsidP="002705B2" w14:paraId="129207A8" w14:textId="77777777">
      <w:pPr>
        <w:spacing w:after="0" w:line="240" w:lineRule="auto"/>
        <w:rPr>
          <w:rFonts w:ascii="Times New Roman" w:hAnsi="Times New Roman" w:cs="Times New Roman"/>
          <w:sz w:val="26"/>
          <w:szCs w:val="24"/>
        </w:rPr>
      </w:pPr>
    </w:p>
    <w:p w:rsidR="001B66CF" w:rsidRPr="0093057E" w:rsidP="0093057E" w14:paraId="20A89DBE" w14:textId="7124371F">
      <w:pPr>
        <w:spacing w:after="0"/>
        <w:rPr>
          <w:rFonts w:ascii="Times New Roman" w:hAnsi="Times New Roman" w:cs="Times New Roman"/>
          <w:sz w:val="26"/>
          <w:szCs w:val="26"/>
        </w:rPr>
      </w:pPr>
      <w:r w:rsidRPr="004109FB">
        <w:rPr>
          <w:rFonts w:ascii="Times New Roman" w:hAnsi="Times New Roman"/>
          <w:sz w:val="26"/>
          <w:szCs w:val="26"/>
        </w:rPr>
        <w:t>The Regional Entities and NERC do most of the data processing, monitoring</w:t>
      </w:r>
      <w:r>
        <w:rPr>
          <w:rFonts w:ascii="Times New Roman" w:hAnsi="Times New Roman"/>
          <w:sz w:val="26"/>
          <w:szCs w:val="26"/>
        </w:rPr>
        <w:t xml:space="preserve">, auditing, </w:t>
      </w:r>
      <w:r w:rsidRPr="004109FB">
        <w:rPr>
          <w:rFonts w:ascii="Times New Roman" w:hAnsi="Times New Roman"/>
          <w:sz w:val="26"/>
          <w:szCs w:val="26"/>
        </w:rPr>
        <w:t xml:space="preserve">and compliance work for Reliability Standards.  </w:t>
      </w:r>
      <w:r w:rsidRPr="003D155C">
        <w:rPr>
          <w:rFonts w:ascii="Times New Roman" w:hAnsi="Times New Roman" w:cs="Times New Roman"/>
          <w:sz w:val="26"/>
          <w:szCs w:val="26"/>
        </w:rPr>
        <w:t>Any involvement by the Commission is covered under the FERC-725 (OMB Control No. 1902-0255)</w:t>
      </w:r>
      <w:r w:rsidRPr="004109FB">
        <w:rPr>
          <w:rFonts w:ascii="Times New Roman" w:hAnsi="Times New Roman"/>
          <w:sz w:val="26"/>
          <w:szCs w:val="26"/>
        </w:rPr>
        <w:t xml:space="preserve"> and is not part of this request or package</w:t>
      </w:r>
      <w:r w:rsidRPr="003D155C">
        <w:rPr>
          <w:rFonts w:ascii="Times New Roman" w:hAnsi="Times New Roman" w:cs="Times New Roman"/>
          <w:sz w:val="26"/>
          <w:szCs w:val="26"/>
        </w:rPr>
        <w:t xml:space="preserve">.  The data </w:t>
      </w:r>
      <w:r>
        <w:rPr>
          <w:rFonts w:ascii="Times New Roman" w:hAnsi="Times New Roman" w:cs="Times New Roman"/>
          <w:sz w:val="26"/>
          <w:szCs w:val="26"/>
        </w:rPr>
        <w:t xml:space="preserve">for FERC-725A </w:t>
      </w:r>
      <w:r w:rsidRPr="003D155C">
        <w:rPr>
          <w:rFonts w:ascii="Times New Roman" w:hAnsi="Times New Roman" w:cs="Times New Roman"/>
          <w:sz w:val="26"/>
          <w:szCs w:val="26"/>
        </w:rPr>
        <w:t xml:space="preserve">are not submitted to FERC.  </w:t>
      </w:r>
    </w:p>
    <w:p w:rsidR="001B66CF" w:rsidRPr="002705B2" w:rsidP="002705B2" w14:paraId="7FB8557D" w14:textId="77777777">
      <w:pPr>
        <w:spacing w:after="0" w:line="240" w:lineRule="auto"/>
        <w:rPr>
          <w:rFonts w:ascii="Times New Roman" w:eastAsia="Calibri" w:hAnsi="Times New Roman" w:cs="Times New Roman"/>
          <w:sz w:val="26"/>
          <w:szCs w:val="26"/>
        </w:rPr>
      </w:pPr>
    </w:p>
    <w:p w:rsidR="001B66CF" w:rsidP="002705B2" w14:paraId="5DB4A9F3" w14:textId="3B39729B">
      <w:pPr>
        <w:spacing w:after="0" w:line="240" w:lineRule="auto"/>
        <w:rPr>
          <w:rFonts w:ascii="Times New Roman" w:eastAsia="Calibri" w:hAnsi="Times New Roman" w:cs="Times New Roman"/>
          <w:sz w:val="26"/>
          <w:szCs w:val="26"/>
        </w:rPr>
      </w:pPr>
      <w:r w:rsidRPr="00D0606B">
        <w:rPr>
          <w:rFonts w:ascii="Times New Roman" w:hAnsi="Times New Roman" w:cs="Times New Roman"/>
          <w:sz w:val="26"/>
          <w:szCs w:val="26"/>
        </w:rPr>
        <w:t xml:space="preserve">The Commission does incur the costs associated with obtaining OMB clearance for </w:t>
      </w:r>
      <w:r>
        <w:rPr>
          <w:rFonts w:ascii="Times New Roman" w:hAnsi="Times New Roman" w:cs="Times New Roman"/>
          <w:sz w:val="26"/>
          <w:szCs w:val="26"/>
        </w:rPr>
        <w:t xml:space="preserve">the collection under the Paperwork Reduction Act of 1995 (PRA). </w:t>
      </w:r>
      <w:r w:rsidRPr="00FB48E9">
        <w:rPr>
          <w:rFonts w:ascii="Times New Roman" w:hAnsi="Times New Roman" w:cs="Times New Roman"/>
          <w:sz w:val="26"/>
          <w:szCs w:val="26"/>
        </w:rPr>
        <w:t>The estimate of the cost for ‘analysis and processing of filings’</w:t>
      </w:r>
      <w:r>
        <w:rPr>
          <w:rFonts w:ascii="Times New Roman" w:hAnsi="Times New Roman" w:cs="Times New Roman"/>
          <w:b/>
          <w:bCs/>
          <w:sz w:val="26"/>
          <w:szCs w:val="26"/>
          <w:vertAlign w:val="superscript"/>
        </w:rPr>
        <w:footnoteReference w:id="15"/>
      </w:r>
      <w:r w:rsidRPr="00FB48E9">
        <w:rPr>
          <w:rFonts w:ascii="Times New Roman" w:hAnsi="Times New Roman" w:cs="Times New Roman"/>
          <w:sz w:val="26"/>
          <w:szCs w:val="26"/>
          <w:vertAlign w:val="superscript"/>
        </w:rPr>
        <w:t xml:space="preserve"> </w:t>
      </w:r>
      <w:r w:rsidRPr="00FB48E9">
        <w:rPr>
          <w:rFonts w:ascii="Times New Roman" w:hAnsi="Times New Roman" w:cs="Times New Roman"/>
          <w:sz w:val="26"/>
          <w:szCs w:val="26"/>
        </w:rPr>
        <w:t xml:space="preserve">is based on salaries and benefits for professional and clerical support.  </w:t>
      </w:r>
      <w:r w:rsidRPr="002705B2" w:rsidR="004455FB">
        <w:rPr>
          <w:rFonts w:ascii="Times New Roman" w:eastAsia="Calibri" w:hAnsi="Times New Roman" w:cs="Times New Roman"/>
          <w:sz w:val="26"/>
          <w:szCs w:val="26"/>
        </w:rPr>
        <w:t xml:space="preserve">The PRA Administrative Cost is the average annual FERC cost associated with preparing, issuing, and submitting materials necessary to comply with the PRA for rulemakings, orders, or any other vehicle used to create, modify, extend, or discontinue an information collection. </w:t>
      </w:r>
      <w:r w:rsidRPr="003D155C" w:rsidR="004C11FF">
        <w:rPr>
          <w:rFonts w:ascii="Times New Roman" w:hAnsi="Times New Roman" w:cs="Times New Roman"/>
          <w:sz w:val="26"/>
          <w:szCs w:val="26"/>
        </w:rPr>
        <w:t>This average annual cost includes requests for extensions, all associated rulemakings and orders, other changes to the collection, and associated publications in the Federal Register.</w:t>
      </w:r>
      <w:r w:rsidR="004C11FF">
        <w:rPr>
          <w:rFonts w:ascii="Times New Roman" w:hAnsi="Times New Roman" w:cs="Times New Roman"/>
          <w:sz w:val="26"/>
          <w:szCs w:val="26"/>
        </w:rPr>
        <w:t xml:space="preserve">  </w:t>
      </w:r>
      <w:r w:rsidRPr="002705B2" w:rsidR="004455FB">
        <w:rPr>
          <w:rFonts w:ascii="Times New Roman" w:eastAsia="Calibri" w:hAnsi="Times New Roman" w:cs="Times New Roman"/>
          <w:sz w:val="26"/>
          <w:szCs w:val="26"/>
        </w:rPr>
        <w:t xml:space="preserve"> It also includes the cost of publishing the necessary notices in the Federal Register.</w:t>
      </w:r>
    </w:p>
    <w:p w:rsidR="00960EBF" w:rsidP="002705B2" w14:paraId="66491BD0" w14:textId="77777777">
      <w:pPr>
        <w:spacing w:after="0" w:line="240" w:lineRule="auto"/>
        <w:rPr>
          <w:rFonts w:ascii="Times New Roman" w:eastAsia="Calibri" w:hAnsi="Times New Roman" w:cs="Times New Roman"/>
          <w:sz w:val="26"/>
          <w:szCs w:val="26"/>
        </w:rPr>
      </w:pPr>
    </w:p>
    <w:p w:rsidR="00960EBF" w:rsidRPr="00F67707" w:rsidP="00F67707" w14:paraId="39A1548A" w14:textId="5102F3E2">
      <w:pPr>
        <w:spacing w:after="0"/>
        <w:rPr>
          <w:rFonts w:ascii="Times New Roman" w:hAnsi="Times New Roman" w:cs="Times New Roman"/>
          <w:sz w:val="26"/>
          <w:szCs w:val="26"/>
        </w:rPr>
      </w:pPr>
      <w:r w:rsidRPr="00257D06">
        <w:rPr>
          <w:rFonts w:ascii="Times New Roman" w:hAnsi="Times New Roman" w:cs="Times New Roman"/>
          <w:sz w:val="26"/>
          <w:szCs w:val="26"/>
        </w:rPr>
        <w:t>The estimated annualized cost to the Federal Government for FERC-725</w:t>
      </w:r>
      <w:r>
        <w:rPr>
          <w:rFonts w:ascii="Times New Roman" w:hAnsi="Times New Roman" w:cs="Times New Roman"/>
          <w:sz w:val="26"/>
          <w:szCs w:val="26"/>
        </w:rPr>
        <w:t>A</w:t>
      </w:r>
      <w:r w:rsidRPr="00257D06">
        <w:rPr>
          <w:rFonts w:ascii="Times New Roman" w:hAnsi="Times New Roman" w:cs="Times New Roman"/>
          <w:sz w:val="26"/>
          <w:szCs w:val="26"/>
        </w:rPr>
        <w:t xml:space="preserve"> is as follows:</w:t>
      </w:r>
    </w:p>
    <w:p w:rsidR="001B66CF" w:rsidRPr="002705B2" w:rsidP="002705B2" w14:paraId="76E8ADC2" w14:textId="77777777">
      <w:pPr>
        <w:tabs>
          <w:tab w:val="left" w:pos="-1440"/>
        </w:tabs>
        <w:autoSpaceDE w:val="0"/>
        <w:autoSpaceDN w:val="0"/>
        <w:adjustRightInd w:val="0"/>
        <w:spacing w:after="0" w:line="240" w:lineRule="auto"/>
        <w:ind w:left="720" w:hanging="720"/>
        <w:rPr>
          <w:rFonts w:ascii="Times New Roman" w:eastAsia="Times New Roman" w:hAnsi="Times New Roman" w:cs="Times New Roman"/>
          <w:b/>
          <w:bCs/>
          <w:sz w:val="26"/>
          <w:szCs w:val="26"/>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2"/>
        <w:gridCol w:w="3201"/>
        <w:gridCol w:w="3985"/>
      </w:tblGrid>
      <w:tr w14:paraId="6E059B37" w14:textId="77777777" w:rsidTr="007C5EB4">
        <w:tblPrEx>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3182" w:type="dxa"/>
            <w:shd w:val="clear" w:color="auto" w:fill="CCCCCC"/>
          </w:tcPr>
          <w:p w:rsidR="001B66CF" w:rsidRPr="002705B2" w:rsidP="002705B2" w14:paraId="575EED8D" w14:textId="77777777">
            <w:pPr>
              <w:autoSpaceDE w:val="0"/>
              <w:autoSpaceDN w:val="0"/>
              <w:adjustRightInd w:val="0"/>
              <w:spacing w:after="0" w:line="240" w:lineRule="auto"/>
              <w:rPr>
                <w:rFonts w:ascii="Times New Roman" w:eastAsia="Times New Roman" w:hAnsi="Times New Roman" w:cs="Times New Roman"/>
                <w:sz w:val="26"/>
                <w:szCs w:val="26"/>
              </w:rPr>
            </w:pPr>
          </w:p>
        </w:tc>
        <w:tc>
          <w:tcPr>
            <w:tcW w:w="3201" w:type="dxa"/>
            <w:shd w:val="clear" w:color="auto" w:fill="CCCCCC"/>
          </w:tcPr>
          <w:p w:rsidR="001B66CF" w:rsidRPr="002705B2" w:rsidP="002705B2" w14:paraId="6FCC20A6" w14:textId="77777777">
            <w:pPr>
              <w:autoSpaceDE w:val="0"/>
              <w:autoSpaceDN w:val="0"/>
              <w:adjustRightInd w:val="0"/>
              <w:spacing w:after="0" w:line="240" w:lineRule="auto"/>
              <w:rPr>
                <w:rFonts w:ascii="Times New Roman" w:eastAsia="Times New Roman" w:hAnsi="Times New Roman" w:cs="Times New Roman"/>
                <w:b/>
                <w:sz w:val="26"/>
                <w:szCs w:val="26"/>
              </w:rPr>
            </w:pPr>
            <w:r w:rsidRPr="002705B2">
              <w:rPr>
                <w:rFonts w:ascii="Times New Roman" w:eastAsia="Times New Roman" w:hAnsi="Times New Roman" w:cs="Times New Roman"/>
                <w:b/>
                <w:sz w:val="26"/>
                <w:szCs w:val="26"/>
              </w:rPr>
              <w:t>Number of Employees (FTEs)</w:t>
            </w:r>
          </w:p>
        </w:tc>
        <w:tc>
          <w:tcPr>
            <w:tcW w:w="3985" w:type="dxa"/>
            <w:shd w:val="clear" w:color="auto" w:fill="CCCCCC"/>
          </w:tcPr>
          <w:p w:rsidR="001B66CF" w:rsidRPr="002705B2" w:rsidP="002705B2" w14:paraId="050D65C3" w14:textId="77777777">
            <w:pPr>
              <w:autoSpaceDE w:val="0"/>
              <w:autoSpaceDN w:val="0"/>
              <w:adjustRightInd w:val="0"/>
              <w:spacing w:after="0" w:line="240" w:lineRule="auto"/>
              <w:rPr>
                <w:rFonts w:ascii="Times New Roman" w:eastAsia="Times New Roman" w:hAnsi="Times New Roman" w:cs="Times New Roman"/>
                <w:b/>
                <w:sz w:val="26"/>
                <w:szCs w:val="26"/>
              </w:rPr>
            </w:pPr>
            <w:r w:rsidRPr="002705B2">
              <w:rPr>
                <w:rFonts w:ascii="Times New Roman" w:eastAsia="Times New Roman" w:hAnsi="Times New Roman" w:cs="Times New Roman"/>
                <w:b/>
                <w:sz w:val="26"/>
                <w:szCs w:val="26"/>
              </w:rPr>
              <w:t>Estimated Annual Federal Cost</w:t>
            </w:r>
          </w:p>
        </w:tc>
      </w:tr>
      <w:tr w14:paraId="42CA9A47" w14:textId="77777777" w:rsidTr="007C5EB4">
        <w:tblPrEx>
          <w:tblW w:w="10368" w:type="dxa"/>
          <w:tblLook w:val="01E0"/>
        </w:tblPrEx>
        <w:tc>
          <w:tcPr>
            <w:tcW w:w="3182" w:type="dxa"/>
          </w:tcPr>
          <w:p w:rsidR="001B66CF" w:rsidRPr="002705B2" w:rsidP="002705B2" w14:paraId="682081B7" w14:textId="77777777">
            <w:pPr>
              <w:autoSpaceDE w:val="0"/>
              <w:autoSpaceDN w:val="0"/>
              <w:adjustRightInd w:val="0"/>
              <w:spacing w:after="0" w:line="240" w:lineRule="auto"/>
              <w:rPr>
                <w:rFonts w:ascii="Times New Roman" w:eastAsia="Times New Roman" w:hAnsi="Times New Roman" w:cs="Times New Roman"/>
                <w:sz w:val="26"/>
                <w:szCs w:val="26"/>
              </w:rPr>
            </w:pPr>
            <w:r w:rsidRPr="002705B2">
              <w:rPr>
                <w:rFonts w:ascii="Times New Roman" w:eastAsia="Times New Roman" w:hAnsi="Times New Roman" w:cs="Times New Roman"/>
                <w:sz w:val="26"/>
                <w:szCs w:val="26"/>
              </w:rPr>
              <w:t>Analysis and Processing of filings</w:t>
            </w:r>
          </w:p>
        </w:tc>
        <w:tc>
          <w:tcPr>
            <w:tcW w:w="3201" w:type="dxa"/>
            <w:vAlign w:val="center"/>
          </w:tcPr>
          <w:p w:rsidR="001B66CF" w:rsidRPr="002705B2" w:rsidP="002705B2" w14:paraId="421D49AF" w14:textId="6CDE7F74">
            <w:pPr>
              <w:autoSpaceDE w:val="0"/>
              <w:autoSpaceDN w:val="0"/>
              <w:adjustRightInd w:val="0"/>
              <w:spacing w:after="0" w:line="240" w:lineRule="auto"/>
              <w:jc w:val="right"/>
              <w:rPr>
                <w:rFonts w:ascii="Times New Roman" w:eastAsia="Times New Roman" w:hAnsi="Times New Roman" w:cs="Times New Roman"/>
                <w:sz w:val="26"/>
                <w:szCs w:val="26"/>
              </w:rPr>
            </w:pPr>
            <w:r w:rsidRPr="002705B2">
              <w:rPr>
                <w:rFonts w:ascii="Times New Roman" w:eastAsia="Times New Roman" w:hAnsi="Times New Roman" w:cs="Times New Roman"/>
                <w:sz w:val="26"/>
                <w:szCs w:val="26"/>
              </w:rPr>
              <w:t>0</w:t>
            </w:r>
          </w:p>
        </w:tc>
        <w:tc>
          <w:tcPr>
            <w:tcW w:w="3985" w:type="dxa"/>
            <w:vAlign w:val="center"/>
          </w:tcPr>
          <w:p w:rsidR="001B66CF" w:rsidRPr="002705B2" w:rsidP="002705B2" w14:paraId="78A0903E" w14:textId="172DFA8F">
            <w:pPr>
              <w:autoSpaceDE w:val="0"/>
              <w:autoSpaceDN w:val="0"/>
              <w:adjustRightInd w:val="0"/>
              <w:spacing w:after="0" w:line="240" w:lineRule="auto"/>
              <w:jc w:val="right"/>
              <w:rPr>
                <w:rFonts w:ascii="Times New Roman" w:eastAsia="Times New Roman" w:hAnsi="Times New Roman" w:cs="Times New Roman"/>
                <w:sz w:val="26"/>
                <w:szCs w:val="26"/>
                <w:highlight w:val="yellow"/>
              </w:rPr>
            </w:pPr>
            <w:r w:rsidRPr="002705B2">
              <w:rPr>
                <w:rFonts w:ascii="Times New Roman" w:eastAsia="Times New Roman" w:hAnsi="Times New Roman" w:cs="Times New Roman"/>
                <w:sz w:val="26"/>
                <w:szCs w:val="26"/>
              </w:rPr>
              <w:t>$0</w:t>
            </w:r>
          </w:p>
        </w:tc>
      </w:tr>
      <w:tr w14:paraId="2BC4BA8A" w14:textId="77777777" w:rsidTr="005C547C">
        <w:tblPrEx>
          <w:tblW w:w="10368" w:type="dxa"/>
          <w:tblLook w:val="01E0"/>
        </w:tblPrEx>
        <w:trPr>
          <w:trHeight w:val="197"/>
        </w:trPr>
        <w:tc>
          <w:tcPr>
            <w:tcW w:w="3182" w:type="dxa"/>
          </w:tcPr>
          <w:p w:rsidR="001B66CF" w:rsidRPr="002705B2" w:rsidP="002705B2" w14:paraId="718D6417" w14:textId="77777777">
            <w:pPr>
              <w:autoSpaceDE w:val="0"/>
              <w:autoSpaceDN w:val="0"/>
              <w:adjustRightInd w:val="0"/>
              <w:spacing w:after="0" w:line="240" w:lineRule="auto"/>
              <w:rPr>
                <w:rFonts w:ascii="Times New Roman" w:eastAsia="Times New Roman" w:hAnsi="Times New Roman" w:cs="Times New Roman"/>
                <w:sz w:val="26"/>
                <w:szCs w:val="26"/>
              </w:rPr>
            </w:pPr>
            <w:r w:rsidRPr="002705B2">
              <w:rPr>
                <w:rFonts w:ascii="Times New Roman" w:eastAsia="Times New Roman" w:hAnsi="Times New Roman" w:cs="Times New Roman"/>
                <w:sz w:val="26"/>
                <w:szCs w:val="26"/>
              </w:rPr>
              <w:t>PRA Administrative Cost</w:t>
            </w:r>
          </w:p>
        </w:tc>
        <w:tc>
          <w:tcPr>
            <w:tcW w:w="3201" w:type="dxa"/>
            <w:vAlign w:val="center"/>
          </w:tcPr>
          <w:p w:rsidR="001B66CF" w:rsidRPr="002705B2" w:rsidP="002705B2" w14:paraId="5845BF70" w14:textId="77777777">
            <w:pPr>
              <w:autoSpaceDE w:val="0"/>
              <w:autoSpaceDN w:val="0"/>
              <w:adjustRightInd w:val="0"/>
              <w:spacing w:after="0" w:line="240" w:lineRule="auto"/>
              <w:jc w:val="right"/>
              <w:rPr>
                <w:rFonts w:ascii="Times New Roman" w:eastAsia="Times New Roman" w:hAnsi="Times New Roman" w:cs="Times New Roman"/>
                <w:sz w:val="26"/>
                <w:szCs w:val="26"/>
              </w:rPr>
            </w:pPr>
          </w:p>
        </w:tc>
        <w:tc>
          <w:tcPr>
            <w:tcW w:w="3985" w:type="dxa"/>
            <w:vAlign w:val="center"/>
          </w:tcPr>
          <w:p w:rsidR="001B66CF" w:rsidRPr="002705B2" w:rsidP="002705B2" w14:paraId="06CE19E9" w14:textId="015D89C7">
            <w:pPr>
              <w:autoSpaceDE w:val="0"/>
              <w:autoSpaceDN w:val="0"/>
              <w:adjustRightInd w:val="0"/>
              <w:spacing w:after="0" w:line="240" w:lineRule="auto"/>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5550BE">
              <w:rPr>
                <w:rFonts w:ascii="Times New Roman" w:eastAsia="Times New Roman" w:hAnsi="Times New Roman" w:cs="Times New Roman"/>
                <w:sz w:val="26"/>
                <w:szCs w:val="26"/>
              </w:rPr>
              <w:t>8,404</w:t>
            </w:r>
          </w:p>
        </w:tc>
      </w:tr>
      <w:tr w14:paraId="6B8F4D89" w14:textId="77777777" w:rsidTr="007C5EB4">
        <w:tblPrEx>
          <w:tblW w:w="10368" w:type="dxa"/>
          <w:tblLook w:val="01E0"/>
        </w:tblPrEx>
        <w:tc>
          <w:tcPr>
            <w:tcW w:w="3182" w:type="dxa"/>
          </w:tcPr>
          <w:p w:rsidR="001B66CF" w:rsidRPr="002705B2" w:rsidP="002705B2" w14:paraId="35351122" w14:textId="77777777">
            <w:pPr>
              <w:autoSpaceDE w:val="0"/>
              <w:autoSpaceDN w:val="0"/>
              <w:adjustRightInd w:val="0"/>
              <w:spacing w:after="0" w:line="240" w:lineRule="auto"/>
              <w:rPr>
                <w:rFonts w:ascii="Times New Roman" w:eastAsia="Times New Roman" w:hAnsi="Times New Roman" w:cs="Times New Roman"/>
                <w:b/>
                <w:sz w:val="26"/>
                <w:szCs w:val="26"/>
              </w:rPr>
            </w:pPr>
            <w:r w:rsidRPr="002705B2">
              <w:rPr>
                <w:rFonts w:ascii="Times New Roman" w:eastAsia="Times New Roman" w:hAnsi="Times New Roman" w:cs="Times New Roman"/>
                <w:b/>
                <w:sz w:val="26"/>
                <w:szCs w:val="26"/>
              </w:rPr>
              <w:t>FERC Total</w:t>
            </w:r>
          </w:p>
        </w:tc>
        <w:tc>
          <w:tcPr>
            <w:tcW w:w="3201" w:type="dxa"/>
            <w:vAlign w:val="center"/>
          </w:tcPr>
          <w:p w:rsidR="001B66CF" w:rsidRPr="002705B2" w:rsidP="002705B2" w14:paraId="4FDF0664" w14:textId="77777777">
            <w:pPr>
              <w:autoSpaceDE w:val="0"/>
              <w:autoSpaceDN w:val="0"/>
              <w:adjustRightInd w:val="0"/>
              <w:spacing w:after="0" w:line="240" w:lineRule="auto"/>
              <w:jc w:val="right"/>
              <w:rPr>
                <w:rFonts w:ascii="Times New Roman" w:eastAsia="Times New Roman" w:hAnsi="Times New Roman" w:cs="Times New Roman"/>
                <w:sz w:val="26"/>
                <w:szCs w:val="26"/>
              </w:rPr>
            </w:pPr>
          </w:p>
        </w:tc>
        <w:tc>
          <w:tcPr>
            <w:tcW w:w="3985" w:type="dxa"/>
            <w:vAlign w:val="center"/>
          </w:tcPr>
          <w:p w:rsidR="001B66CF" w:rsidRPr="002705B2" w:rsidP="002705B2" w14:paraId="3A04F748" w14:textId="371C58E7">
            <w:pPr>
              <w:autoSpaceDE w:val="0"/>
              <w:autoSpaceDN w:val="0"/>
              <w:adjustRightInd w:val="0"/>
              <w:spacing w:after="0" w:line="240" w:lineRule="auto"/>
              <w:jc w:val="right"/>
              <w:rPr>
                <w:rFonts w:ascii="Times New Roman" w:eastAsia="Times New Roman" w:hAnsi="Times New Roman" w:cs="Times New Roman"/>
                <w:sz w:val="26"/>
                <w:szCs w:val="26"/>
                <w:highlight w:val="yellow"/>
              </w:rPr>
            </w:pPr>
            <w:r>
              <w:rPr>
                <w:rFonts w:ascii="Times New Roman" w:eastAsia="Times New Roman" w:hAnsi="Times New Roman" w:cs="Times New Roman"/>
                <w:sz w:val="26"/>
                <w:szCs w:val="26"/>
              </w:rPr>
              <w:t>$</w:t>
            </w:r>
            <w:r w:rsidR="005550BE">
              <w:rPr>
                <w:rFonts w:ascii="Times New Roman" w:eastAsia="Times New Roman" w:hAnsi="Times New Roman" w:cs="Times New Roman"/>
                <w:sz w:val="26"/>
                <w:szCs w:val="26"/>
              </w:rPr>
              <w:t>8,404</w:t>
            </w:r>
          </w:p>
        </w:tc>
      </w:tr>
    </w:tbl>
    <w:p w:rsidR="0060762B" w:rsidP="0093057E" w14:paraId="00CCF237" w14:textId="2B212D3C">
      <w:pPr>
        <w:autoSpaceDE w:val="0"/>
        <w:autoSpaceDN w:val="0"/>
        <w:adjustRightInd w:val="0"/>
        <w:spacing w:after="0" w:line="240" w:lineRule="auto"/>
        <w:rPr>
          <w:rFonts w:ascii="Times New Roman" w:eastAsia="Times New Roman" w:hAnsi="Times New Roman" w:cs="Times New Roman"/>
          <w:sz w:val="26"/>
          <w:szCs w:val="26"/>
        </w:rPr>
      </w:pPr>
    </w:p>
    <w:p w:rsidR="00A276F5" w:rsidRPr="002705B2" w:rsidP="005140A8" w14:paraId="73EF5D58" w14:textId="16C7EEC3">
      <w:pPr>
        <w:pStyle w:val="ListParagraph"/>
        <w:numPr>
          <w:ilvl w:val="0"/>
          <w:numId w:val="36"/>
        </w:numPr>
        <w:spacing w:after="0" w:line="240" w:lineRule="auto"/>
        <w:ind w:left="360"/>
        <w:rPr>
          <w:rFonts w:ascii="Times New Roman" w:hAnsi="Times New Roman" w:cs="Times New Roman"/>
          <w:b/>
          <w:sz w:val="26"/>
          <w:szCs w:val="24"/>
        </w:rPr>
      </w:pPr>
      <w:r w:rsidRPr="002705B2">
        <w:rPr>
          <w:rFonts w:ascii="Times New Roman" w:hAnsi="Times New Roman" w:cs="Times New Roman"/>
          <w:b/>
          <w:sz w:val="26"/>
          <w:szCs w:val="24"/>
        </w:rPr>
        <w:t>REASONS FOR CHANGES IN BURDEN INCLUDING THE NEED FOR ANY INCREASE</w:t>
      </w:r>
    </w:p>
    <w:p w:rsidR="007F1AC1" w:rsidRPr="002705B2" w:rsidP="002705B2" w14:paraId="0F1F5B93" w14:textId="008EE442">
      <w:pPr>
        <w:spacing w:after="0" w:line="240" w:lineRule="auto"/>
        <w:rPr>
          <w:rFonts w:ascii="Times New Roman" w:hAnsi="Times New Roman" w:cs="Times New Roman"/>
          <w:b/>
          <w:sz w:val="26"/>
          <w:szCs w:val="24"/>
        </w:rPr>
      </w:pPr>
    </w:p>
    <w:p w:rsidR="00C754CC" w:rsidRPr="00CA4BDB" w:rsidP="00CA4BDB" w14:paraId="16D1433E" w14:textId="15C02D76">
      <w:pPr>
        <w:spacing w:after="0" w:line="240" w:lineRule="auto"/>
        <w:rPr>
          <w:rFonts w:ascii="Times New Roman" w:eastAsia="Calibri" w:hAnsi="Times New Roman" w:cs="Times New Roman"/>
          <w:sz w:val="26"/>
        </w:rPr>
      </w:pPr>
      <w:r>
        <w:rPr>
          <w:rFonts w:ascii="Times New Roman" w:hAnsi="Times New Roman" w:cs="Times New Roman"/>
          <w:sz w:val="26"/>
          <w:szCs w:val="26"/>
        </w:rPr>
        <w:t>There</w:t>
      </w:r>
      <w:r w:rsidR="002E15BA">
        <w:rPr>
          <w:rFonts w:ascii="Times New Roman" w:hAnsi="Times New Roman" w:cs="Times New Roman"/>
          <w:sz w:val="26"/>
          <w:szCs w:val="26"/>
        </w:rPr>
        <w:t xml:space="preserve"> is a </w:t>
      </w:r>
      <w:r>
        <w:rPr>
          <w:rFonts w:ascii="Times New Roman" w:hAnsi="Times New Roman" w:cs="Times New Roman"/>
          <w:sz w:val="26"/>
          <w:szCs w:val="26"/>
        </w:rPr>
        <w:t xml:space="preserve">change </w:t>
      </w:r>
      <w:r w:rsidR="002E15BA">
        <w:rPr>
          <w:rFonts w:ascii="Times New Roman" w:hAnsi="Times New Roman" w:cs="Times New Roman"/>
          <w:sz w:val="26"/>
          <w:szCs w:val="26"/>
        </w:rPr>
        <w:t xml:space="preserve">in </w:t>
      </w:r>
      <w:r>
        <w:rPr>
          <w:rFonts w:ascii="Times New Roman" w:hAnsi="Times New Roman" w:cs="Times New Roman"/>
          <w:sz w:val="26"/>
          <w:szCs w:val="26"/>
        </w:rPr>
        <w:t xml:space="preserve">the burden estimate </w:t>
      </w:r>
      <w:r w:rsidR="002007AC">
        <w:rPr>
          <w:rFonts w:ascii="Times New Roman" w:hAnsi="Times New Roman" w:cs="Times New Roman"/>
          <w:sz w:val="26"/>
          <w:szCs w:val="26"/>
        </w:rPr>
        <w:t>in this revision due</w:t>
      </w:r>
      <w:r w:rsidR="00D3513E">
        <w:rPr>
          <w:rFonts w:ascii="Times New Roman" w:hAnsi="Times New Roman" w:cs="Times New Roman"/>
          <w:sz w:val="26"/>
          <w:szCs w:val="26"/>
        </w:rPr>
        <w:t xml:space="preserve"> to</w:t>
      </w:r>
      <w:r w:rsidR="002007AC">
        <w:rPr>
          <w:rFonts w:ascii="Times New Roman" w:hAnsi="Times New Roman" w:cs="Times New Roman"/>
          <w:sz w:val="26"/>
          <w:szCs w:val="26"/>
        </w:rPr>
        <w:t xml:space="preserve"> </w:t>
      </w:r>
      <w:r w:rsidR="008205F7">
        <w:rPr>
          <w:rFonts w:ascii="Times New Roman" w:hAnsi="Times New Roman" w:cs="Times New Roman"/>
          <w:sz w:val="26"/>
          <w:szCs w:val="26"/>
        </w:rPr>
        <w:t>retirement of</w:t>
      </w:r>
      <w:r w:rsidR="00A610CD">
        <w:rPr>
          <w:rFonts w:ascii="Times New Roman" w:hAnsi="Times New Roman" w:cs="Times New Roman"/>
          <w:sz w:val="26"/>
          <w:szCs w:val="26"/>
        </w:rPr>
        <w:t xml:space="preserve"> Reliability Standard</w:t>
      </w:r>
      <w:r w:rsidR="008205F7">
        <w:rPr>
          <w:rFonts w:ascii="Times New Roman" w:hAnsi="Times New Roman" w:cs="Times New Roman"/>
          <w:sz w:val="26"/>
          <w:szCs w:val="26"/>
        </w:rPr>
        <w:t xml:space="preserve"> TOP-003-</w:t>
      </w:r>
      <w:r w:rsidR="00D66124">
        <w:rPr>
          <w:rFonts w:ascii="Times New Roman" w:hAnsi="Times New Roman" w:cs="Times New Roman"/>
          <w:sz w:val="26"/>
          <w:szCs w:val="26"/>
        </w:rPr>
        <w:t>7</w:t>
      </w:r>
      <w:r w:rsidR="00CA4BDB">
        <w:rPr>
          <w:rFonts w:ascii="Times New Roman" w:hAnsi="Times New Roman" w:cs="Times New Roman"/>
          <w:sz w:val="26"/>
          <w:szCs w:val="26"/>
        </w:rPr>
        <w:t>,</w:t>
      </w:r>
      <w:r w:rsidR="008205F7">
        <w:rPr>
          <w:rFonts w:ascii="Times New Roman" w:hAnsi="Times New Roman" w:cs="Times New Roman"/>
          <w:sz w:val="26"/>
          <w:szCs w:val="26"/>
        </w:rPr>
        <w:t xml:space="preserve"> </w:t>
      </w:r>
      <w:r w:rsidR="00CA4BDB">
        <w:rPr>
          <w:rFonts w:ascii="Times New Roman" w:hAnsi="Times New Roman" w:cs="Times New Roman"/>
          <w:sz w:val="26"/>
          <w:szCs w:val="26"/>
        </w:rPr>
        <w:t>replaced with Reliability Standard</w:t>
      </w:r>
      <w:r w:rsidR="001B4565">
        <w:rPr>
          <w:rFonts w:ascii="Times New Roman" w:hAnsi="Times New Roman" w:cs="Times New Roman"/>
          <w:sz w:val="26"/>
          <w:szCs w:val="26"/>
        </w:rPr>
        <w:t xml:space="preserve"> </w:t>
      </w:r>
      <w:r w:rsidR="004169C0">
        <w:rPr>
          <w:rFonts w:ascii="Times New Roman" w:hAnsi="Times New Roman" w:cs="Times New Roman"/>
          <w:sz w:val="26"/>
          <w:szCs w:val="26"/>
        </w:rPr>
        <w:t>TOP-00</w:t>
      </w:r>
      <w:r w:rsidR="00211FC3">
        <w:rPr>
          <w:rFonts w:ascii="Times New Roman" w:hAnsi="Times New Roman" w:cs="Times New Roman"/>
          <w:sz w:val="26"/>
          <w:szCs w:val="26"/>
        </w:rPr>
        <w:t>3</w:t>
      </w:r>
      <w:r w:rsidR="004169C0">
        <w:rPr>
          <w:rFonts w:ascii="Times New Roman" w:hAnsi="Times New Roman" w:cs="Times New Roman"/>
          <w:sz w:val="26"/>
          <w:szCs w:val="26"/>
        </w:rPr>
        <w:t>-</w:t>
      </w:r>
      <w:r w:rsidR="00851259">
        <w:rPr>
          <w:rFonts w:ascii="Times New Roman" w:hAnsi="Times New Roman" w:cs="Times New Roman"/>
          <w:sz w:val="26"/>
          <w:szCs w:val="26"/>
        </w:rPr>
        <w:t>8</w:t>
      </w:r>
      <w:r w:rsidR="00D3513E">
        <w:rPr>
          <w:rFonts w:ascii="Times New Roman" w:hAnsi="Times New Roman" w:cs="Times New Roman"/>
          <w:sz w:val="26"/>
          <w:szCs w:val="26"/>
        </w:rPr>
        <w:t>.</w:t>
      </w:r>
      <w:r w:rsidR="00CA4BDB">
        <w:rPr>
          <w:rFonts w:ascii="Times New Roman" w:eastAsia="Calibri" w:hAnsi="Times New Roman" w:cs="Times New Roman"/>
          <w:sz w:val="26"/>
        </w:rPr>
        <w:t xml:space="preserve"> </w:t>
      </w:r>
      <w:r w:rsidR="001B4565">
        <w:rPr>
          <w:rFonts w:ascii="Times New Roman" w:eastAsia="Calibri" w:hAnsi="Times New Roman" w:cs="Times New Roman"/>
          <w:sz w:val="26"/>
        </w:rPr>
        <w:t xml:space="preserve"> </w:t>
      </w:r>
      <w:r w:rsidRPr="00DD648A" w:rsidR="008205F7">
        <w:rPr>
          <w:rFonts w:ascii="Times New Roman" w:eastAsia="Calibri" w:hAnsi="Times New Roman" w:cs="Times New Roman"/>
          <w:sz w:val="26"/>
        </w:rPr>
        <w:t>The annual responses and burden hours</w:t>
      </w:r>
      <w:r w:rsidR="00B81C6A">
        <w:rPr>
          <w:rFonts w:ascii="Times New Roman" w:eastAsia="Calibri" w:hAnsi="Times New Roman" w:cs="Times New Roman"/>
          <w:sz w:val="26"/>
        </w:rPr>
        <w:t xml:space="preserve"> resulted in a</w:t>
      </w:r>
      <w:r w:rsidR="00A56ED8">
        <w:rPr>
          <w:rFonts w:ascii="Times New Roman" w:eastAsia="Calibri" w:hAnsi="Times New Roman" w:cs="Times New Roman"/>
          <w:sz w:val="26"/>
        </w:rPr>
        <w:t>n</w:t>
      </w:r>
      <w:r w:rsidR="00B81C6A">
        <w:rPr>
          <w:rFonts w:ascii="Times New Roman" w:eastAsia="Calibri" w:hAnsi="Times New Roman" w:cs="Times New Roman"/>
          <w:sz w:val="26"/>
        </w:rPr>
        <w:t xml:space="preserve"> </w:t>
      </w:r>
      <w:r w:rsidR="00B84826">
        <w:rPr>
          <w:rFonts w:ascii="Times New Roman" w:eastAsia="Calibri" w:hAnsi="Times New Roman" w:cs="Times New Roman"/>
          <w:sz w:val="26"/>
        </w:rPr>
        <w:t>increase</w:t>
      </w:r>
      <w:r w:rsidR="00B81C6A">
        <w:rPr>
          <w:rFonts w:ascii="Times New Roman" w:eastAsia="Calibri" w:hAnsi="Times New Roman" w:cs="Times New Roman"/>
          <w:sz w:val="26"/>
        </w:rPr>
        <w:t xml:space="preserve"> of </w:t>
      </w:r>
      <w:r w:rsidR="00FC1DBF">
        <w:rPr>
          <w:rFonts w:ascii="Times New Roman" w:eastAsia="Calibri" w:hAnsi="Times New Roman" w:cs="Times New Roman"/>
          <w:sz w:val="26"/>
        </w:rPr>
        <w:t>2,507</w:t>
      </w:r>
      <w:r w:rsidR="00D66124">
        <w:rPr>
          <w:rFonts w:ascii="Times New Roman" w:eastAsia="Calibri" w:hAnsi="Times New Roman" w:cs="Times New Roman"/>
          <w:sz w:val="26"/>
        </w:rPr>
        <w:t xml:space="preserve"> </w:t>
      </w:r>
      <w:r w:rsidR="00B81C6A">
        <w:rPr>
          <w:rFonts w:ascii="Times New Roman" w:eastAsia="Calibri" w:hAnsi="Times New Roman" w:cs="Times New Roman"/>
          <w:sz w:val="26"/>
        </w:rPr>
        <w:t>responses and</w:t>
      </w:r>
      <w:r w:rsidR="00FC1DBF">
        <w:rPr>
          <w:rFonts w:ascii="Times New Roman" w:eastAsia="Calibri" w:hAnsi="Times New Roman" w:cs="Times New Roman"/>
          <w:sz w:val="26"/>
        </w:rPr>
        <w:t xml:space="preserve"> decrease of</w:t>
      </w:r>
      <w:r w:rsidR="00B81C6A">
        <w:rPr>
          <w:rFonts w:ascii="Times New Roman" w:eastAsia="Calibri" w:hAnsi="Times New Roman" w:cs="Times New Roman"/>
          <w:sz w:val="26"/>
        </w:rPr>
        <w:t xml:space="preserve"> </w:t>
      </w:r>
      <w:r w:rsidR="00FC1DBF">
        <w:rPr>
          <w:rFonts w:ascii="Times New Roman" w:eastAsia="Calibri" w:hAnsi="Times New Roman" w:cs="Times New Roman"/>
          <w:sz w:val="26"/>
        </w:rPr>
        <w:t>155,448</w:t>
      </w:r>
      <w:r w:rsidR="00117B3D">
        <w:rPr>
          <w:rFonts w:ascii="Times New Roman" w:eastAsia="Calibri" w:hAnsi="Times New Roman" w:cs="Times New Roman"/>
          <w:sz w:val="26"/>
        </w:rPr>
        <w:t xml:space="preserve"> annual burden h</w:t>
      </w:r>
      <w:r w:rsidR="00CA4BDB">
        <w:rPr>
          <w:rFonts w:ascii="Times New Roman" w:eastAsia="Calibri" w:hAnsi="Times New Roman" w:cs="Times New Roman"/>
          <w:sz w:val="26"/>
        </w:rPr>
        <w:t>ou</w:t>
      </w:r>
      <w:r w:rsidR="00117B3D">
        <w:rPr>
          <w:rFonts w:ascii="Times New Roman" w:eastAsia="Calibri" w:hAnsi="Times New Roman" w:cs="Times New Roman"/>
          <w:sz w:val="26"/>
        </w:rPr>
        <w:t>rs</w:t>
      </w:r>
      <w:r w:rsidR="00D66124">
        <w:rPr>
          <w:rFonts w:ascii="Times New Roman" w:eastAsia="Calibri" w:hAnsi="Times New Roman" w:cs="Times New Roman"/>
          <w:sz w:val="26"/>
        </w:rPr>
        <w:t>.</w:t>
      </w:r>
      <w:r w:rsidR="000D18A0">
        <w:rPr>
          <w:rFonts w:ascii="Times New Roman" w:eastAsia="Calibri" w:hAnsi="Times New Roman" w:cs="Times New Roman"/>
          <w:sz w:val="26"/>
        </w:rPr>
        <w:t xml:space="preserve"> </w:t>
      </w:r>
    </w:p>
    <w:p w:rsidR="00E22E62" w:rsidP="00280A6C" w14:paraId="5C19F898" w14:textId="48D757B7">
      <w:pPr>
        <w:spacing w:after="0" w:line="240" w:lineRule="auto"/>
        <w:jc w:val="center"/>
        <w:rPr>
          <w:rFonts w:ascii="Times New Roman" w:hAnsi="Times New Roman" w:cs="Times New Roman"/>
          <w:bCs/>
          <w:sz w:val="26"/>
          <w:szCs w:val="24"/>
        </w:rPr>
      </w:pPr>
    </w:p>
    <w:tbl>
      <w:tblPr>
        <w:tblStyle w:val="TableGrid"/>
        <w:tblW w:w="0" w:type="auto"/>
        <w:tblLook w:val="04A0"/>
      </w:tblPr>
      <w:tblGrid>
        <w:gridCol w:w="1941"/>
        <w:gridCol w:w="1963"/>
        <w:gridCol w:w="1519"/>
        <w:gridCol w:w="1958"/>
      </w:tblGrid>
      <w:tr w14:paraId="376B9CB8" w14:textId="77777777" w:rsidTr="00F67707">
        <w:tblPrEx>
          <w:tblW w:w="0" w:type="auto"/>
          <w:tblLook w:val="04A0"/>
        </w:tblPrEx>
        <w:tc>
          <w:tcPr>
            <w:tcW w:w="1941" w:type="dxa"/>
            <w:shd w:val="clear" w:color="auto" w:fill="D9D9D9" w:themeFill="background1" w:themeFillShade="D9"/>
          </w:tcPr>
          <w:p w:rsidR="0093057E" w:rsidP="00E22E62" w14:paraId="3E5B45AE" w14:textId="77777777">
            <w:pPr>
              <w:rPr>
                <w:rFonts w:ascii="Times New Roman" w:hAnsi="Times New Roman" w:cs="Times New Roman"/>
                <w:b/>
                <w:sz w:val="26"/>
                <w:szCs w:val="24"/>
              </w:rPr>
            </w:pPr>
          </w:p>
          <w:p w:rsidR="0093057E" w:rsidP="00E22E62" w14:paraId="2987575A" w14:textId="77777777">
            <w:pPr>
              <w:rPr>
                <w:rFonts w:ascii="Times New Roman" w:hAnsi="Times New Roman" w:cs="Times New Roman"/>
                <w:b/>
                <w:sz w:val="26"/>
                <w:szCs w:val="24"/>
              </w:rPr>
            </w:pPr>
          </w:p>
          <w:p w:rsidR="0093057E" w:rsidP="00E22E62" w14:paraId="7D8C3205" w14:textId="77777777">
            <w:pPr>
              <w:rPr>
                <w:rFonts w:ascii="Times New Roman" w:hAnsi="Times New Roman" w:cs="Times New Roman"/>
                <w:b/>
                <w:sz w:val="26"/>
                <w:szCs w:val="24"/>
              </w:rPr>
            </w:pPr>
          </w:p>
          <w:p w:rsidR="0093057E" w:rsidRPr="00F67707" w:rsidP="00E22E62" w14:paraId="26AA9C10" w14:textId="49E5521E">
            <w:pPr>
              <w:rPr>
                <w:rFonts w:ascii="Times New Roman" w:hAnsi="Times New Roman" w:cs="Times New Roman"/>
                <w:b/>
                <w:sz w:val="26"/>
                <w:szCs w:val="24"/>
              </w:rPr>
            </w:pPr>
            <w:r w:rsidRPr="00F67707">
              <w:rPr>
                <w:rFonts w:ascii="Times New Roman" w:hAnsi="Times New Roman" w:cs="Times New Roman"/>
                <w:b/>
                <w:sz w:val="26"/>
                <w:szCs w:val="24"/>
              </w:rPr>
              <w:t>FERC 725-A</w:t>
            </w:r>
          </w:p>
        </w:tc>
        <w:tc>
          <w:tcPr>
            <w:tcW w:w="1963" w:type="dxa"/>
            <w:shd w:val="clear" w:color="auto" w:fill="D9D9D9" w:themeFill="background1" w:themeFillShade="D9"/>
          </w:tcPr>
          <w:p w:rsidR="0093057E" w:rsidP="00943534" w14:paraId="338D6765" w14:textId="77777777">
            <w:pPr>
              <w:jc w:val="center"/>
              <w:rPr>
                <w:rFonts w:ascii="Times New Roman" w:hAnsi="Times New Roman" w:cs="Times New Roman"/>
                <w:b/>
                <w:sz w:val="26"/>
                <w:szCs w:val="24"/>
              </w:rPr>
            </w:pPr>
          </w:p>
          <w:p w:rsidR="0093057E" w:rsidP="00943534" w14:paraId="776B042C" w14:textId="77777777">
            <w:pPr>
              <w:jc w:val="center"/>
              <w:rPr>
                <w:rFonts w:ascii="Times New Roman" w:hAnsi="Times New Roman" w:cs="Times New Roman"/>
                <w:b/>
                <w:sz w:val="26"/>
                <w:szCs w:val="24"/>
              </w:rPr>
            </w:pPr>
          </w:p>
          <w:p w:rsidR="0093057E" w:rsidRPr="00913AEB" w:rsidP="00943534" w14:paraId="7A31EB46" w14:textId="50A99D70">
            <w:pPr>
              <w:jc w:val="center"/>
              <w:rPr>
                <w:rFonts w:ascii="Times New Roman" w:hAnsi="Times New Roman" w:cs="Times New Roman"/>
                <w:b/>
                <w:sz w:val="26"/>
                <w:szCs w:val="24"/>
              </w:rPr>
            </w:pPr>
            <w:r>
              <w:rPr>
                <w:rFonts w:ascii="Times New Roman" w:hAnsi="Times New Roman" w:cs="Times New Roman"/>
                <w:b/>
                <w:sz w:val="26"/>
                <w:szCs w:val="24"/>
              </w:rPr>
              <w:t xml:space="preserve">Total </w:t>
            </w:r>
            <w:r w:rsidRPr="00913AEB">
              <w:rPr>
                <w:rFonts w:ascii="Times New Roman" w:hAnsi="Times New Roman" w:cs="Times New Roman"/>
                <w:b/>
                <w:sz w:val="26"/>
                <w:szCs w:val="24"/>
              </w:rPr>
              <w:t>Request</w:t>
            </w:r>
          </w:p>
        </w:tc>
        <w:tc>
          <w:tcPr>
            <w:tcW w:w="1519" w:type="dxa"/>
            <w:shd w:val="clear" w:color="auto" w:fill="D9D9D9" w:themeFill="background1" w:themeFillShade="D9"/>
          </w:tcPr>
          <w:p w:rsidR="0093057E" w:rsidP="00943534" w14:paraId="46A51880" w14:textId="77777777">
            <w:pPr>
              <w:jc w:val="center"/>
              <w:rPr>
                <w:rFonts w:ascii="Times New Roman" w:hAnsi="Times New Roman" w:cs="Times New Roman"/>
                <w:b/>
                <w:sz w:val="26"/>
                <w:szCs w:val="24"/>
              </w:rPr>
            </w:pPr>
          </w:p>
          <w:p w:rsidR="0093057E" w:rsidP="00943534" w14:paraId="19AAEFA5" w14:textId="77777777">
            <w:pPr>
              <w:jc w:val="center"/>
              <w:rPr>
                <w:rFonts w:ascii="Times New Roman" w:hAnsi="Times New Roman" w:cs="Times New Roman"/>
                <w:b/>
                <w:sz w:val="26"/>
                <w:szCs w:val="24"/>
              </w:rPr>
            </w:pPr>
          </w:p>
          <w:p w:rsidR="0093057E" w:rsidRPr="00913AEB" w:rsidP="00943534" w14:paraId="569F5BBC" w14:textId="500CE49B">
            <w:pPr>
              <w:jc w:val="center"/>
              <w:rPr>
                <w:rFonts w:ascii="Times New Roman" w:hAnsi="Times New Roman" w:cs="Times New Roman"/>
                <w:b/>
                <w:sz w:val="26"/>
                <w:szCs w:val="24"/>
              </w:rPr>
            </w:pPr>
            <w:r>
              <w:rPr>
                <w:rFonts w:ascii="Times New Roman" w:hAnsi="Times New Roman" w:cs="Times New Roman"/>
                <w:b/>
                <w:sz w:val="26"/>
                <w:szCs w:val="24"/>
              </w:rPr>
              <w:t>Previously Approved</w:t>
            </w:r>
          </w:p>
        </w:tc>
        <w:tc>
          <w:tcPr>
            <w:tcW w:w="1958" w:type="dxa"/>
            <w:shd w:val="clear" w:color="auto" w:fill="D9D9D9" w:themeFill="background1" w:themeFillShade="D9"/>
          </w:tcPr>
          <w:p w:rsidR="0093057E" w:rsidRPr="00913AEB" w:rsidP="00943534" w14:paraId="681BD7FC" w14:textId="638A95BD">
            <w:pPr>
              <w:jc w:val="center"/>
              <w:rPr>
                <w:rFonts w:ascii="Times New Roman" w:hAnsi="Times New Roman" w:cs="Times New Roman"/>
                <w:b/>
                <w:sz w:val="26"/>
                <w:szCs w:val="24"/>
              </w:rPr>
            </w:pPr>
            <w:r w:rsidRPr="00913AEB">
              <w:rPr>
                <w:rFonts w:ascii="Times New Roman" w:hAnsi="Times New Roman" w:cs="Times New Roman"/>
                <w:b/>
                <w:sz w:val="26"/>
                <w:szCs w:val="24"/>
              </w:rPr>
              <w:t>Program Changes due to Agency Discretion</w:t>
            </w:r>
          </w:p>
        </w:tc>
      </w:tr>
      <w:tr w14:paraId="0D98239F" w14:textId="77777777" w:rsidTr="00F67707">
        <w:tblPrEx>
          <w:tblW w:w="0" w:type="auto"/>
          <w:tblLook w:val="04A0"/>
        </w:tblPrEx>
        <w:tc>
          <w:tcPr>
            <w:tcW w:w="1941" w:type="dxa"/>
          </w:tcPr>
          <w:p w:rsidR="0093057E" w:rsidRPr="00F24CB9" w:rsidP="00704AC8" w14:paraId="36681816" w14:textId="0B79EB65">
            <w:pPr>
              <w:rPr>
                <w:rFonts w:ascii="Times New Roman" w:hAnsi="Times New Roman" w:cs="Times New Roman"/>
                <w:bCs/>
                <w:sz w:val="26"/>
                <w:szCs w:val="24"/>
              </w:rPr>
            </w:pPr>
            <w:r w:rsidRPr="00F24CB9">
              <w:rPr>
                <w:rFonts w:ascii="Times New Roman" w:hAnsi="Times New Roman" w:cs="Times New Roman"/>
                <w:bCs/>
                <w:sz w:val="26"/>
                <w:szCs w:val="24"/>
              </w:rPr>
              <w:t>Annual # of Responses</w:t>
            </w:r>
          </w:p>
        </w:tc>
        <w:tc>
          <w:tcPr>
            <w:tcW w:w="1963" w:type="dxa"/>
            <w:vAlign w:val="bottom"/>
          </w:tcPr>
          <w:p w:rsidR="0093057E" w:rsidRPr="00F24CB9" w:rsidP="00704AC8" w14:paraId="5270C448" w14:textId="2EDDDD4D">
            <w:pPr>
              <w:jc w:val="right"/>
              <w:rPr>
                <w:rFonts w:ascii="Times New Roman" w:hAnsi="Times New Roman" w:cs="Times New Roman"/>
                <w:bCs/>
                <w:sz w:val="26"/>
                <w:szCs w:val="24"/>
              </w:rPr>
            </w:pPr>
            <w:r>
              <w:rPr>
                <w:rFonts w:ascii="Times New Roman" w:hAnsi="Times New Roman" w:cs="Times New Roman"/>
                <w:bCs/>
                <w:sz w:val="26"/>
                <w:szCs w:val="24"/>
              </w:rPr>
              <w:t>10,462</w:t>
            </w:r>
          </w:p>
        </w:tc>
        <w:tc>
          <w:tcPr>
            <w:tcW w:w="1519" w:type="dxa"/>
            <w:vAlign w:val="bottom"/>
          </w:tcPr>
          <w:p w:rsidR="0093057E" w:rsidP="00704AC8" w14:paraId="4BF0EC4E" w14:textId="0D0EEE53">
            <w:pPr>
              <w:jc w:val="right"/>
              <w:rPr>
                <w:rFonts w:ascii="Times New Roman" w:hAnsi="Times New Roman" w:cs="Times New Roman"/>
                <w:bCs/>
                <w:sz w:val="26"/>
                <w:szCs w:val="24"/>
              </w:rPr>
            </w:pPr>
            <w:r w:rsidRPr="00F24CB9">
              <w:rPr>
                <w:rFonts w:ascii="Times New Roman" w:hAnsi="Times New Roman" w:cs="Times New Roman"/>
                <w:bCs/>
                <w:sz w:val="26"/>
                <w:szCs w:val="24"/>
              </w:rPr>
              <w:t>8,</w:t>
            </w:r>
            <w:r>
              <w:rPr>
                <w:rFonts w:ascii="Times New Roman" w:hAnsi="Times New Roman" w:cs="Times New Roman"/>
                <w:bCs/>
                <w:sz w:val="26"/>
                <w:szCs w:val="24"/>
              </w:rPr>
              <w:t>853</w:t>
            </w:r>
          </w:p>
        </w:tc>
        <w:tc>
          <w:tcPr>
            <w:tcW w:w="1958" w:type="dxa"/>
            <w:vAlign w:val="bottom"/>
          </w:tcPr>
          <w:p w:rsidR="0093057E" w:rsidRPr="00F24CB9" w:rsidP="00704AC8" w14:paraId="4B26D227" w14:textId="0252A754">
            <w:pPr>
              <w:jc w:val="right"/>
              <w:rPr>
                <w:rFonts w:ascii="Times New Roman" w:hAnsi="Times New Roman" w:cs="Times New Roman"/>
                <w:bCs/>
                <w:sz w:val="26"/>
                <w:szCs w:val="24"/>
              </w:rPr>
            </w:pPr>
            <w:r>
              <w:rPr>
                <w:rFonts w:ascii="Times New Roman" w:hAnsi="Times New Roman" w:cs="Times New Roman"/>
                <w:bCs/>
                <w:sz w:val="26"/>
                <w:szCs w:val="24"/>
              </w:rPr>
              <w:t>+1,609</w:t>
            </w:r>
          </w:p>
        </w:tc>
      </w:tr>
      <w:tr w14:paraId="7880E665" w14:textId="77777777" w:rsidTr="00F67707">
        <w:tblPrEx>
          <w:tblW w:w="0" w:type="auto"/>
          <w:tblLook w:val="04A0"/>
        </w:tblPrEx>
        <w:tc>
          <w:tcPr>
            <w:tcW w:w="1941" w:type="dxa"/>
          </w:tcPr>
          <w:p w:rsidR="0093057E" w:rsidRPr="00F24CB9" w:rsidP="00704AC8" w14:paraId="209B3BC4" w14:textId="5E9FF156">
            <w:pPr>
              <w:rPr>
                <w:rFonts w:ascii="Times New Roman" w:hAnsi="Times New Roman" w:cs="Times New Roman"/>
                <w:bCs/>
                <w:sz w:val="26"/>
                <w:szCs w:val="24"/>
              </w:rPr>
            </w:pPr>
            <w:r w:rsidRPr="00F24CB9">
              <w:rPr>
                <w:rFonts w:ascii="Times New Roman" w:hAnsi="Times New Roman" w:cs="Times New Roman"/>
                <w:bCs/>
                <w:sz w:val="26"/>
                <w:szCs w:val="24"/>
              </w:rPr>
              <w:t>Annual Time Burden</w:t>
            </w:r>
            <w:r>
              <w:rPr>
                <w:rFonts w:ascii="Times New Roman" w:hAnsi="Times New Roman" w:cs="Times New Roman"/>
                <w:bCs/>
                <w:sz w:val="26"/>
                <w:szCs w:val="24"/>
              </w:rPr>
              <w:t xml:space="preserve"> (HR)</w:t>
            </w:r>
          </w:p>
        </w:tc>
        <w:tc>
          <w:tcPr>
            <w:tcW w:w="1963" w:type="dxa"/>
            <w:vAlign w:val="bottom"/>
          </w:tcPr>
          <w:p w:rsidR="0093057E" w:rsidRPr="00F24CB9" w:rsidP="00704AC8" w14:paraId="7E50A019" w14:textId="4D9EC475">
            <w:pPr>
              <w:jc w:val="right"/>
              <w:rPr>
                <w:rFonts w:ascii="Times New Roman" w:hAnsi="Times New Roman" w:cs="Times New Roman"/>
                <w:bCs/>
                <w:sz w:val="26"/>
                <w:szCs w:val="24"/>
              </w:rPr>
            </w:pPr>
            <w:r>
              <w:rPr>
                <w:rFonts w:ascii="Times New Roman" w:hAnsi="Times New Roman" w:cs="Times New Roman"/>
                <w:bCs/>
                <w:sz w:val="26"/>
                <w:szCs w:val="24"/>
              </w:rPr>
              <w:t>947,592</w:t>
            </w:r>
          </w:p>
        </w:tc>
        <w:tc>
          <w:tcPr>
            <w:tcW w:w="1519" w:type="dxa"/>
            <w:vAlign w:val="bottom"/>
          </w:tcPr>
          <w:p w:rsidR="0093057E" w:rsidP="00704AC8" w14:paraId="5813EF62" w14:textId="407904C7">
            <w:pPr>
              <w:jc w:val="right"/>
              <w:rPr>
                <w:rFonts w:ascii="Times New Roman" w:hAnsi="Times New Roman" w:cs="Times New Roman"/>
                <w:bCs/>
                <w:sz w:val="26"/>
                <w:szCs w:val="24"/>
              </w:rPr>
            </w:pPr>
            <w:r w:rsidRPr="00F24CB9">
              <w:rPr>
                <w:rFonts w:ascii="Times New Roman" w:hAnsi="Times New Roman" w:cs="Times New Roman"/>
                <w:bCs/>
                <w:sz w:val="26"/>
                <w:szCs w:val="24"/>
              </w:rPr>
              <w:t>1,1</w:t>
            </w:r>
            <w:r>
              <w:rPr>
                <w:rFonts w:ascii="Times New Roman" w:hAnsi="Times New Roman" w:cs="Times New Roman"/>
                <w:bCs/>
                <w:sz w:val="26"/>
                <w:szCs w:val="24"/>
              </w:rPr>
              <w:t>09,836</w:t>
            </w:r>
          </w:p>
        </w:tc>
        <w:tc>
          <w:tcPr>
            <w:tcW w:w="1958" w:type="dxa"/>
            <w:vAlign w:val="bottom"/>
          </w:tcPr>
          <w:p w:rsidR="0093057E" w:rsidRPr="00F24CB9" w:rsidP="00704AC8" w14:paraId="761ACD60" w14:textId="22C97DFD">
            <w:pPr>
              <w:jc w:val="right"/>
              <w:rPr>
                <w:rFonts w:ascii="Times New Roman" w:hAnsi="Times New Roman" w:cs="Times New Roman"/>
                <w:bCs/>
                <w:sz w:val="26"/>
                <w:szCs w:val="24"/>
              </w:rPr>
            </w:pPr>
            <w:r>
              <w:rPr>
                <w:rFonts w:ascii="Times New Roman" w:hAnsi="Times New Roman" w:cs="Times New Roman"/>
                <w:bCs/>
                <w:sz w:val="26"/>
                <w:szCs w:val="24"/>
              </w:rPr>
              <w:t>-162,244</w:t>
            </w:r>
          </w:p>
        </w:tc>
      </w:tr>
      <w:tr w14:paraId="6942BEFD" w14:textId="77777777" w:rsidTr="00F67707">
        <w:tblPrEx>
          <w:tblW w:w="0" w:type="auto"/>
          <w:tblLook w:val="04A0"/>
        </w:tblPrEx>
        <w:tc>
          <w:tcPr>
            <w:tcW w:w="1941" w:type="dxa"/>
          </w:tcPr>
          <w:p w:rsidR="0093057E" w:rsidRPr="00F24CB9" w:rsidP="00704AC8" w14:paraId="04139F84" w14:textId="3D26357B">
            <w:pPr>
              <w:rPr>
                <w:rFonts w:ascii="Times New Roman" w:hAnsi="Times New Roman" w:cs="Times New Roman"/>
                <w:bCs/>
                <w:sz w:val="26"/>
                <w:szCs w:val="24"/>
              </w:rPr>
            </w:pPr>
            <w:r w:rsidRPr="00F24CB9">
              <w:rPr>
                <w:rFonts w:ascii="Times New Roman" w:hAnsi="Times New Roman" w:cs="Times New Roman"/>
                <w:bCs/>
                <w:sz w:val="26"/>
                <w:szCs w:val="24"/>
              </w:rPr>
              <w:t>Annual Cost Burden ($)</w:t>
            </w:r>
          </w:p>
        </w:tc>
        <w:tc>
          <w:tcPr>
            <w:tcW w:w="1963" w:type="dxa"/>
            <w:vAlign w:val="bottom"/>
          </w:tcPr>
          <w:p w:rsidR="0093057E" w:rsidRPr="00F24CB9" w:rsidP="00704AC8" w14:paraId="7FDB30F0" w14:textId="65307AA2">
            <w:pPr>
              <w:jc w:val="right"/>
              <w:rPr>
                <w:rFonts w:ascii="Times New Roman" w:hAnsi="Times New Roman" w:cs="Times New Roman"/>
                <w:bCs/>
                <w:sz w:val="26"/>
                <w:szCs w:val="24"/>
              </w:rPr>
            </w:pPr>
            <w:r w:rsidRPr="00F24CB9">
              <w:rPr>
                <w:rFonts w:ascii="Times New Roman" w:hAnsi="Times New Roman" w:cs="Times New Roman"/>
                <w:bCs/>
                <w:sz w:val="26"/>
                <w:szCs w:val="24"/>
              </w:rPr>
              <w:t>$371,</w:t>
            </w:r>
            <w:r>
              <w:rPr>
                <w:rFonts w:ascii="Times New Roman" w:hAnsi="Times New Roman" w:cs="Times New Roman"/>
                <w:bCs/>
                <w:sz w:val="26"/>
                <w:szCs w:val="24"/>
              </w:rPr>
              <w:t>1</w:t>
            </w:r>
            <w:r w:rsidRPr="00F24CB9">
              <w:rPr>
                <w:rFonts w:ascii="Times New Roman" w:hAnsi="Times New Roman" w:cs="Times New Roman"/>
                <w:bCs/>
                <w:sz w:val="26"/>
                <w:szCs w:val="24"/>
              </w:rPr>
              <w:t>00</w:t>
            </w:r>
          </w:p>
        </w:tc>
        <w:tc>
          <w:tcPr>
            <w:tcW w:w="1519" w:type="dxa"/>
            <w:vAlign w:val="bottom"/>
          </w:tcPr>
          <w:p w:rsidR="0093057E" w:rsidRPr="00F24CB9" w:rsidP="00704AC8" w14:paraId="109066DC" w14:textId="4ED30605">
            <w:pPr>
              <w:jc w:val="right"/>
              <w:rPr>
                <w:rFonts w:ascii="Times New Roman" w:hAnsi="Times New Roman" w:cs="Times New Roman"/>
                <w:bCs/>
                <w:sz w:val="26"/>
                <w:szCs w:val="24"/>
              </w:rPr>
            </w:pPr>
            <w:r w:rsidRPr="00F24CB9">
              <w:rPr>
                <w:rFonts w:ascii="Times New Roman" w:hAnsi="Times New Roman" w:cs="Times New Roman"/>
                <w:bCs/>
                <w:sz w:val="26"/>
                <w:szCs w:val="24"/>
              </w:rPr>
              <w:t>$371,</w:t>
            </w:r>
            <w:r>
              <w:rPr>
                <w:rFonts w:ascii="Times New Roman" w:hAnsi="Times New Roman" w:cs="Times New Roman"/>
                <w:bCs/>
                <w:sz w:val="26"/>
                <w:szCs w:val="24"/>
              </w:rPr>
              <w:t>1</w:t>
            </w:r>
            <w:r w:rsidRPr="00F24CB9">
              <w:rPr>
                <w:rFonts w:ascii="Times New Roman" w:hAnsi="Times New Roman" w:cs="Times New Roman"/>
                <w:bCs/>
                <w:sz w:val="26"/>
                <w:szCs w:val="24"/>
              </w:rPr>
              <w:t>00</w:t>
            </w:r>
          </w:p>
        </w:tc>
        <w:tc>
          <w:tcPr>
            <w:tcW w:w="1958" w:type="dxa"/>
            <w:vAlign w:val="bottom"/>
          </w:tcPr>
          <w:p w:rsidR="0093057E" w:rsidRPr="00F24CB9" w:rsidP="00704AC8" w14:paraId="16F16AEA" w14:textId="387C3880">
            <w:pPr>
              <w:jc w:val="right"/>
              <w:rPr>
                <w:rFonts w:ascii="Times New Roman" w:hAnsi="Times New Roman" w:cs="Times New Roman"/>
                <w:bCs/>
                <w:sz w:val="26"/>
                <w:szCs w:val="24"/>
              </w:rPr>
            </w:pPr>
            <w:r w:rsidRPr="00F24CB9">
              <w:rPr>
                <w:rFonts w:ascii="Times New Roman" w:hAnsi="Times New Roman" w:cs="Times New Roman"/>
                <w:bCs/>
                <w:sz w:val="26"/>
                <w:szCs w:val="24"/>
              </w:rPr>
              <w:t>$0</w:t>
            </w:r>
          </w:p>
        </w:tc>
      </w:tr>
    </w:tbl>
    <w:p w:rsidR="00E22E62" w:rsidRPr="002705B2" w:rsidP="00E22E62" w14:paraId="084CD3D6" w14:textId="77777777">
      <w:pPr>
        <w:spacing w:after="0" w:line="240" w:lineRule="auto"/>
        <w:rPr>
          <w:rFonts w:ascii="Times New Roman" w:hAnsi="Times New Roman" w:cs="Times New Roman"/>
          <w:bCs/>
          <w:sz w:val="26"/>
          <w:szCs w:val="24"/>
        </w:rPr>
      </w:pPr>
    </w:p>
    <w:p w:rsidR="00A276F5" w:rsidRPr="002705B2" w:rsidP="005140A8" w14:paraId="2660E8C0" w14:textId="77777777">
      <w:pPr>
        <w:pStyle w:val="ListParagraph"/>
        <w:numPr>
          <w:ilvl w:val="0"/>
          <w:numId w:val="36"/>
        </w:numPr>
        <w:spacing w:after="0" w:line="240" w:lineRule="auto"/>
        <w:ind w:left="360"/>
        <w:rPr>
          <w:rFonts w:ascii="Times New Roman" w:hAnsi="Times New Roman" w:cs="Times New Roman"/>
          <w:b/>
          <w:sz w:val="26"/>
          <w:szCs w:val="24"/>
        </w:rPr>
      </w:pPr>
      <w:r w:rsidRPr="002705B2">
        <w:rPr>
          <w:rFonts w:ascii="Times New Roman" w:hAnsi="Times New Roman" w:cs="Times New Roman"/>
          <w:b/>
          <w:sz w:val="26"/>
          <w:szCs w:val="24"/>
        </w:rPr>
        <w:t>TIME SCHEDULE FOR PUBLICATION OF DATA</w:t>
      </w:r>
    </w:p>
    <w:p w:rsidR="00826750" w:rsidRPr="002705B2" w:rsidP="002705B2" w14:paraId="6ECDCBF0" w14:textId="77777777">
      <w:pPr>
        <w:spacing w:after="0" w:line="240" w:lineRule="auto"/>
        <w:rPr>
          <w:rFonts w:ascii="Times New Roman" w:hAnsi="Times New Roman" w:cs="Times New Roman"/>
          <w:sz w:val="26"/>
          <w:szCs w:val="24"/>
        </w:rPr>
      </w:pPr>
    </w:p>
    <w:p w:rsidR="00BD1EEB" w:rsidRPr="00D0606B" w:rsidP="00BD1EEB" w14:paraId="06675370" w14:textId="63C75C26">
      <w:pPr>
        <w:spacing w:after="0" w:line="240" w:lineRule="auto"/>
        <w:rPr>
          <w:rFonts w:ascii="Times New Roman" w:hAnsi="Times New Roman" w:cs="Times New Roman"/>
          <w:sz w:val="26"/>
          <w:szCs w:val="26"/>
        </w:rPr>
      </w:pPr>
      <w:r w:rsidRPr="00D0606B">
        <w:rPr>
          <w:rFonts w:ascii="Times New Roman" w:hAnsi="Times New Roman" w:cs="Times New Roman"/>
          <w:sz w:val="26"/>
          <w:szCs w:val="26"/>
        </w:rPr>
        <w:t xml:space="preserve">There is no publication of data associated with </w:t>
      </w:r>
      <w:r>
        <w:rPr>
          <w:rFonts w:ascii="Times New Roman" w:hAnsi="Times New Roman" w:cs="Times New Roman"/>
          <w:sz w:val="26"/>
          <w:szCs w:val="26"/>
        </w:rPr>
        <w:t xml:space="preserve">the </w:t>
      </w:r>
      <w:r w:rsidRPr="00D0606B">
        <w:rPr>
          <w:rFonts w:ascii="Times New Roman" w:hAnsi="Times New Roman" w:cs="Times New Roman"/>
          <w:sz w:val="26"/>
          <w:szCs w:val="26"/>
        </w:rPr>
        <w:t>FERC-725</w:t>
      </w:r>
      <w:r>
        <w:rPr>
          <w:rFonts w:ascii="Times New Roman" w:hAnsi="Times New Roman" w:cs="Times New Roman"/>
          <w:sz w:val="26"/>
          <w:szCs w:val="26"/>
        </w:rPr>
        <w:t>A</w:t>
      </w:r>
      <w:r w:rsidRPr="00D0606B">
        <w:rPr>
          <w:rFonts w:ascii="Times New Roman" w:hAnsi="Times New Roman" w:cs="Times New Roman"/>
          <w:sz w:val="26"/>
          <w:szCs w:val="26"/>
        </w:rPr>
        <w:t>.</w:t>
      </w:r>
    </w:p>
    <w:p w:rsidR="00414F32" w:rsidRPr="002705B2" w:rsidP="002705B2" w14:paraId="22A43BDB" w14:textId="77777777">
      <w:pPr>
        <w:spacing w:after="0" w:line="240" w:lineRule="auto"/>
        <w:rPr>
          <w:rFonts w:ascii="Times New Roman" w:hAnsi="Times New Roman" w:cs="Times New Roman"/>
          <w:sz w:val="26"/>
          <w:szCs w:val="24"/>
        </w:rPr>
      </w:pPr>
    </w:p>
    <w:p w:rsidR="00414F32" w:rsidRPr="002705B2" w:rsidP="005140A8" w14:paraId="1198FE9A" w14:textId="77777777">
      <w:pPr>
        <w:pStyle w:val="ListParagraph"/>
        <w:numPr>
          <w:ilvl w:val="0"/>
          <w:numId w:val="36"/>
        </w:numPr>
        <w:spacing w:after="0" w:line="240" w:lineRule="auto"/>
        <w:ind w:left="360"/>
        <w:rPr>
          <w:rFonts w:ascii="Times New Roman" w:hAnsi="Times New Roman" w:cs="Times New Roman"/>
          <w:b/>
          <w:sz w:val="26"/>
          <w:szCs w:val="24"/>
        </w:rPr>
      </w:pPr>
      <w:r w:rsidRPr="002705B2">
        <w:rPr>
          <w:rFonts w:ascii="Times New Roman" w:hAnsi="Times New Roman" w:cs="Times New Roman"/>
          <w:b/>
          <w:sz w:val="26"/>
          <w:szCs w:val="24"/>
        </w:rPr>
        <w:t>DISPLAY OF EXPIRATION DATE</w:t>
      </w:r>
    </w:p>
    <w:p w:rsidR="00414F32" w:rsidP="002705B2" w14:paraId="356C1CB5" w14:textId="218BB2CC">
      <w:pPr>
        <w:spacing w:after="0" w:line="240" w:lineRule="auto"/>
        <w:rPr>
          <w:rFonts w:ascii="Times New Roman" w:hAnsi="Times New Roman" w:cs="Times New Roman"/>
          <w:sz w:val="26"/>
          <w:szCs w:val="24"/>
        </w:rPr>
      </w:pPr>
    </w:p>
    <w:p w:rsidR="00914D64" w:rsidRPr="002705B2" w:rsidP="002705B2" w14:paraId="0756F895" w14:textId="53D5AD06">
      <w:pPr>
        <w:spacing w:after="0" w:line="240" w:lineRule="auto"/>
        <w:rPr>
          <w:rFonts w:ascii="Times New Roman" w:hAnsi="Times New Roman" w:cs="Times New Roman"/>
          <w:sz w:val="26"/>
          <w:szCs w:val="24"/>
        </w:rPr>
      </w:pPr>
      <w:r w:rsidRPr="00572C67">
        <w:rPr>
          <w:rFonts w:ascii="Times New Roman" w:hAnsi="Times New Roman" w:cs="Times New Roman"/>
          <w:sz w:val="26"/>
          <w:szCs w:val="24"/>
        </w:rPr>
        <w:t>The expiration date for FERC-</w:t>
      </w:r>
      <w:r>
        <w:rPr>
          <w:rFonts w:ascii="Times New Roman" w:hAnsi="Times New Roman" w:cs="Times New Roman"/>
          <w:sz w:val="26"/>
          <w:szCs w:val="24"/>
        </w:rPr>
        <w:t>725A</w:t>
      </w:r>
      <w:r w:rsidRPr="00572C67">
        <w:rPr>
          <w:rFonts w:ascii="Times New Roman" w:hAnsi="Times New Roman" w:cs="Times New Roman"/>
          <w:sz w:val="26"/>
          <w:szCs w:val="24"/>
        </w:rPr>
        <w:t xml:space="preserve"> will not change as a result of the </w:t>
      </w:r>
      <w:r w:rsidR="00082621">
        <w:rPr>
          <w:rFonts w:ascii="Times New Roman" w:hAnsi="Times New Roman" w:cs="Times New Roman"/>
          <w:sz w:val="26"/>
          <w:szCs w:val="24"/>
        </w:rPr>
        <w:t>revision</w:t>
      </w:r>
      <w:r w:rsidRPr="00572C67">
        <w:rPr>
          <w:rFonts w:ascii="Times New Roman" w:hAnsi="Times New Roman" w:cs="Times New Roman"/>
          <w:sz w:val="26"/>
          <w:szCs w:val="24"/>
        </w:rPr>
        <w:t>.  That expiration date is displayed at</w:t>
      </w:r>
      <w:r w:rsidRPr="000810E8" w:rsidR="000810E8">
        <w:t xml:space="preserve"> </w:t>
      </w:r>
      <w:hyperlink r:id="rId9" w:history="1">
        <w:r w:rsidRPr="000810E8" w:rsidR="000810E8">
          <w:rPr>
            <w:rStyle w:val="Hyperlink"/>
            <w:rFonts w:ascii="Times New Roman" w:hAnsi="Times New Roman"/>
            <w:sz w:val="26"/>
            <w:szCs w:val="24"/>
          </w:rPr>
          <w:t>Information Collections | Federal Energy Regulatory Commission</w:t>
        </w:r>
      </w:hyperlink>
      <w:r w:rsidR="007D00F7">
        <w:rPr>
          <w:rStyle w:val="Hyperlink"/>
          <w:rFonts w:ascii="Times New Roman" w:hAnsi="Times New Roman"/>
          <w:bCs/>
          <w:sz w:val="26"/>
          <w:szCs w:val="24"/>
        </w:rPr>
        <w:t>.</w:t>
      </w:r>
    </w:p>
    <w:p w:rsidR="00414F32" w:rsidRPr="002705B2" w:rsidP="002705B2" w14:paraId="0D44345F" w14:textId="77777777">
      <w:pPr>
        <w:spacing w:after="0" w:line="240" w:lineRule="auto"/>
        <w:rPr>
          <w:rFonts w:ascii="Times New Roman" w:hAnsi="Times New Roman" w:cs="Times New Roman"/>
          <w:sz w:val="26"/>
          <w:szCs w:val="24"/>
        </w:rPr>
      </w:pPr>
    </w:p>
    <w:p w:rsidR="00414F32" w:rsidRPr="002705B2" w:rsidP="005140A8" w14:paraId="0C99C814" w14:textId="77777777">
      <w:pPr>
        <w:pStyle w:val="ListParagraph"/>
        <w:numPr>
          <w:ilvl w:val="0"/>
          <w:numId w:val="36"/>
        </w:numPr>
        <w:spacing w:after="0" w:line="240" w:lineRule="auto"/>
        <w:ind w:left="360"/>
        <w:rPr>
          <w:rFonts w:ascii="Times New Roman" w:hAnsi="Times New Roman" w:cs="Times New Roman"/>
          <w:b/>
          <w:sz w:val="26"/>
          <w:szCs w:val="24"/>
        </w:rPr>
      </w:pPr>
      <w:r w:rsidRPr="002705B2">
        <w:rPr>
          <w:rFonts w:ascii="Times New Roman" w:hAnsi="Times New Roman" w:cs="Times New Roman"/>
          <w:b/>
          <w:sz w:val="26"/>
          <w:szCs w:val="24"/>
        </w:rPr>
        <w:t>EXCEPTIONS TO THE CERTIFICATION STATEMENT</w:t>
      </w:r>
    </w:p>
    <w:p w:rsidR="0057700F" w:rsidRPr="002705B2" w:rsidP="002705B2" w14:paraId="029D5726" w14:textId="77777777">
      <w:pPr>
        <w:spacing w:after="0" w:line="240" w:lineRule="auto"/>
        <w:rPr>
          <w:rFonts w:ascii="Times New Roman" w:hAnsi="Times New Roman" w:cs="Times New Roman"/>
          <w:b/>
          <w:sz w:val="26"/>
          <w:szCs w:val="24"/>
        </w:rPr>
      </w:pPr>
    </w:p>
    <w:p w:rsidR="00970FE4" w:rsidRPr="002705B2" w:rsidP="002705B2" w14:paraId="4BED374E" w14:textId="41AF053A">
      <w:pPr>
        <w:spacing w:after="0" w:line="240" w:lineRule="auto"/>
        <w:rPr>
          <w:rFonts w:ascii="Times New Roman" w:hAnsi="Times New Roman" w:cs="Times New Roman"/>
          <w:sz w:val="26"/>
          <w:szCs w:val="24"/>
        </w:rPr>
      </w:pPr>
      <w:r>
        <w:rPr>
          <w:rFonts w:ascii="Times New Roman" w:hAnsi="Times New Roman" w:cs="Times New Roman"/>
          <w:sz w:val="26"/>
          <w:szCs w:val="24"/>
        </w:rPr>
        <w:t>There are no exceptions.</w:t>
      </w:r>
    </w:p>
    <w:p w:rsidR="00414F32" w:rsidRPr="002705B2" w:rsidP="002705B2" w14:paraId="666F7E94" w14:textId="77777777">
      <w:pPr>
        <w:spacing w:after="0" w:line="240" w:lineRule="auto"/>
        <w:rPr>
          <w:rFonts w:ascii="Times New Roman" w:hAnsi="Times New Roman" w:cs="Times New Roman"/>
          <w:sz w:val="26"/>
          <w:szCs w:val="24"/>
        </w:rPr>
      </w:pPr>
    </w:p>
    <w:sectPr>
      <w:headerReference w:type="default" r:id="rId10"/>
      <w:footerReference w:type="defaul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6411206"/>
      <w:docPartObj>
        <w:docPartGallery w:val="Page Numbers (Bottom of Page)"/>
        <w:docPartUnique/>
      </w:docPartObj>
    </w:sdtPr>
    <w:sdtEndPr>
      <w:rPr>
        <w:noProof/>
      </w:rPr>
    </w:sdtEndPr>
    <w:sdtContent>
      <w:p w:rsidR="00EE7794" w14:paraId="60067388" w14:textId="77777777">
        <w:pPr>
          <w:pStyle w:val="Footer"/>
          <w:jc w:val="right"/>
        </w:pPr>
        <w:r w:rsidRPr="00781137">
          <w:rPr>
            <w:rFonts w:ascii="Times New Roman" w:hAnsi="Times New Roman" w:cs="Times New Roman"/>
          </w:rPr>
          <w:fldChar w:fldCharType="begin"/>
        </w:r>
        <w:r w:rsidRPr="00781137">
          <w:rPr>
            <w:rFonts w:ascii="Times New Roman" w:hAnsi="Times New Roman" w:cs="Times New Roman"/>
          </w:rPr>
          <w:instrText xml:space="preserve"> PAGE   \* MERGEFORMAT </w:instrText>
        </w:r>
        <w:r w:rsidRPr="00781137">
          <w:rPr>
            <w:rFonts w:ascii="Times New Roman" w:hAnsi="Times New Roman" w:cs="Times New Roman"/>
          </w:rPr>
          <w:fldChar w:fldCharType="separate"/>
        </w:r>
        <w:r>
          <w:rPr>
            <w:rFonts w:ascii="Times New Roman" w:hAnsi="Times New Roman" w:cs="Times New Roman"/>
            <w:noProof/>
          </w:rPr>
          <w:t>1</w:t>
        </w:r>
        <w:r w:rsidRPr="00781137">
          <w:rPr>
            <w:rFonts w:ascii="Times New Roman" w:hAnsi="Times New Roman" w:cs="Times New Roman"/>
            <w:noProof/>
          </w:rPr>
          <w:fldChar w:fldCharType="end"/>
        </w:r>
      </w:p>
    </w:sdtContent>
  </w:sdt>
  <w:p w:rsidR="00EE7794" w14:paraId="728B0517" w14:textId="77777777">
    <w:pPr>
      <w:pStyle w:val="Footer"/>
    </w:pPr>
  </w:p>
  <w:p w:rsidR="005A57ED" w14:paraId="05D0B1C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C06FD" w:rsidP="00FD66F1" w14:paraId="56E69153" w14:textId="77777777">
      <w:pPr>
        <w:spacing w:after="0" w:line="240" w:lineRule="auto"/>
      </w:pPr>
      <w:r>
        <w:separator/>
      </w:r>
    </w:p>
  </w:footnote>
  <w:footnote w:type="continuationSeparator" w:id="1">
    <w:p w:rsidR="00BC06FD" w:rsidP="00FD66F1" w14:paraId="57BD5AE7" w14:textId="77777777">
      <w:pPr>
        <w:spacing w:after="0" w:line="240" w:lineRule="auto"/>
      </w:pPr>
      <w:r>
        <w:continuationSeparator/>
      </w:r>
    </w:p>
  </w:footnote>
  <w:footnote w:type="continuationNotice" w:id="2">
    <w:p w:rsidR="00BC06FD" w14:paraId="5B07B678" w14:textId="77777777">
      <w:pPr>
        <w:spacing w:after="0" w:line="240" w:lineRule="auto"/>
      </w:pPr>
    </w:p>
  </w:footnote>
  <w:footnote w:id="3">
    <w:p w:rsidR="00990364" w:rsidRPr="00D764EC" w:rsidP="00D764EC" w14:paraId="449245F1" w14:textId="72C50D3F">
      <w:pPr>
        <w:pStyle w:val="FootnoteText"/>
        <w:spacing w:before="120" w:after="120"/>
        <w:rPr>
          <w:sz w:val="26"/>
          <w:szCs w:val="26"/>
        </w:rPr>
      </w:pPr>
      <w:r w:rsidRPr="00D764EC">
        <w:rPr>
          <w:rStyle w:val="FootnoteReference"/>
          <w:b/>
          <w:bCs/>
          <w:sz w:val="26"/>
          <w:szCs w:val="26"/>
          <w:vertAlign w:val="superscript"/>
        </w:rPr>
        <w:footnoteRef/>
      </w:r>
      <w:r w:rsidRPr="00D764EC">
        <w:rPr>
          <w:b/>
          <w:bCs/>
          <w:sz w:val="26"/>
          <w:szCs w:val="26"/>
          <w:vertAlign w:val="superscript"/>
        </w:rPr>
        <w:t xml:space="preserve"> </w:t>
      </w:r>
      <w:r w:rsidRPr="00D764EC">
        <w:rPr>
          <w:sz w:val="26"/>
          <w:szCs w:val="26"/>
        </w:rPr>
        <w:t xml:space="preserve">16 U.S.C. </w:t>
      </w:r>
      <w:r w:rsidRPr="00990364">
        <w:rPr>
          <w:sz w:val="26"/>
          <w:szCs w:val="26"/>
        </w:rPr>
        <w:t xml:space="preserve">§ </w:t>
      </w:r>
      <w:r w:rsidRPr="00D764EC">
        <w:rPr>
          <w:sz w:val="26"/>
          <w:szCs w:val="26"/>
        </w:rPr>
        <w:t>824d(a).</w:t>
      </w:r>
    </w:p>
  </w:footnote>
  <w:footnote w:id="4">
    <w:p w:rsidR="00C9184D" w:rsidRPr="00D764EC" w:rsidP="00D764EC" w14:paraId="2CE69893" w14:textId="239119E7">
      <w:pPr>
        <w:pStyle w:val="FootnoteText"/>
        <w:spacing w:before="120" w:after="120"/>
        <w:rPr>
          <w:sz w:val="26"/>
          <w:szCs w:val="26"/>
        </w:rPr>
      </w:pPr>
      <w:r w:rsidRPr="00D764EC">
        <w:rPr>
          <w:rStyle w:val="FootnoteReference"/>
          <w:b/>
          <w:bCs/>
          <w:sz w:val="26"/>
          <w:szCs w:val="26"/>
          <w:vertAlign w:val="superscript"/>
        </w:rPr>
        <w:footnoteRef/>
      </w:r>
      <w:r w:rsidRPr="00D764EC">
        <w:rPr>
          <w:b/>
          <w:bCs/>
          <w:sz w:val="26"/>
          <w:szCs w:val="26"/>
          <w:vertAlign w:val="superscript"/>
        </w:rPr>
        <w:t xml:space="preserve"> </w:t>
      </w:r>
      <w:r w:rsidR="00AF715D">
        <w:rPr>
          <w:i/>
          <w:iCs/>
          <w:sz w:val="26"/>
          <w:szCs w:val="26"/>
        </w:rPr>
        <w:t xml:space="preserve">Id. </w:t>
      </w:r>
      <w:r w:rsidRPr="00C9184D">
        <w:rPr>
          <w:sz w:val="26"/>
          <w:szCs w:val="26"/>
        </w:rPr>
        <w:t xml:space="preserve"> § 824o.  </w:t>
      </w:r>
    </w:p>
  </w:footnote>
  <w:footnote w:id="5">
    <w:p w:rsidR="00B827BB" w:rsidRPr="0025459C" w:rsidP="00B827BB" w14:paraId="21677E2A" w14:textId="77777777">
      <w:pPr>
        <w:rPr>
          <w:rFonts w:ascii="Times New Roman" w:hAnsi="Times New Roman" w:cs="Times New Roman"/>
          <w:sz w:val="26"/>
          <w:szCs w:val="26"/>
        </w:rPr>
      </w:pPr>
      <w:r w:rsidRPr="000D7D58">
        <w:rPr>
          <w:rStyle w:val="FootnoteReference"/>
          <w:rFonts w:ascii="Times New Roman" w:hAnsi="Times New Roman" w:cs="Times New Roman"/>
          <w:sz w:val="26"/>
          <w:szCs w:val="26"/>
          <w:vertAlign w:val="superscript"/>
        </w:rPr>
        <w:footnoteRef/>
      </w:r>
      <w:r w:rsidRPr="000D7D58">
        <w:rPr>
          <w:rFonts w:ascii="Times New Roman" w:hAnsi="Times New Roman" w:cs="Times New Roman"/>
          <w:sz w:val="26"/>
          <w:szCs w:val="26"/>
          <w:vertAlign w:val="superscript"/>
        </w:rPr>
        <w:t xml:space="preserve"> </w:t>
      </w:r>
      <w:r w:rsidRPr="0025459C">
        <w:rPr>
          <w:rFonts w:ascii="Times New Roman" w:eastAsia="Times New Roman" w:hAnsi="Times New Roman" w:cs="Times New Roman"/>
          <w:sz w:val="26"/>
          <w:szCs w:val="26"/>
        </w:rPr>
        <w:t xml:space="preserve">Rules Concerning Certification of the Electric Reliability Organization; and Procedures for the Establishment, Approval, and Enforcement of Electric Reliability Standards, Order No. 672, FERC Stats. &amp; Regs. ¶ 31,204, order on reh’g, Order No. 672-A, FERC Stats. &amp; Regs. ¶ 31,212 (2006).  </w:t>
      </w:r>
    </w:p>
  </w:footnote>
  <w:footnote w:id="6">
    <w:p w:rsidR="00640FAD" w:rsidRPr="005C4C74" w:rsidP="00640FAD" w14:paraId="1DC6A4C8" w14:textId="384BD8FB">
      <w:pPr>
        <w:pStyle w:val="FootnoteText"/>
        <w:rPr>
          <w:sz w:val="26"/>
          <w:szCs w:val="26"/>
        </w:rPr>
      </w:pPr>
      <w:r w:rsidRPr="005C4C74">
        <w:rPr>
          <w:rStyle w:val="FootnoteReference"/>
          <w:sz w:val="26"/>
          <w:szCs w:val="26"/>
          <w:vertAlign w:val="superscript"/>
        </w:rPr>
        <w:footnoteRef/>
      </w:r>
      <w:r w:rsidR="00EF795B">
        <w:rPr>
          <w:i/>
          <w:iCs/>
          <w:sz w:val="26"/>
          <w:szCs w:val="26"/>
        </w:rPr>
        <w:t xml:space="preserve"> </w:t>
      </w:r>
      <w:r w:rsidRPr="00F67707" w:rsidR="008D2CA4">
        <w:rPr>
          <w:sz w:val="26"/>
          <w:szCs w:val="26"/>
        </w:rPr>
        <w:t>NERC MOD-032-2, IRO-010-6, and TOP-003-8 Petition</w:t>
      </w:r>
      <w:r w:rsidRPr="005C4C74">
        <w:rPr>
          <w:i/>
          <w:iCs/>
          <w:sz w:val="26"/>
          <w:szCs w:val="26"/>
        </w:rPr>
        <w:t xml:space="preserve"> </w:t>
      </w:r>
      <w:r w:rsidRPr="005C4C74">
        <w:rPr>
          <w:sz w:val="26"/>
          <w:szCs w:val="26"/>
        </w:rPr>
        <w:t>at 60.</w:t>
      </w:r>
    </w:p>
  </w:footnote>
  <w:footnote w:id="7">
    <w:p w:rsidR="00640FAD" w:rsidRPr="005C4C74" w:rsidP="00640FAD" w14:paraId="68AC491F" w14:textId="77777777">
      <w:pPr>
        <w:pStyle w:val="FootnoteText"/>
        <w:rPr>
          <w:sz w:val="26"/>
          <w:szCs w:val="26"/>
        </w:rPr>
      </w:pPr>
      <w:r w:rsidRPr="005C4C74">
        <w:rPr>
          <w:rStyle w:val="FootnoteReference"/>
          <w:sz w:val="26"/>
          <w:szCs w:val="26"/>
          <w:vertAlign w:val="superscript"/>
        </w:rPr>
        <w:footnoteRef/>
      </w:r>
      <w:r w:rsidRPr="005C4C74">
        <w:rPr>
          <w:sz w:val="26"/>
          <w:szCs w:val="26"/>
        </w:rPr>
        <w:t xml:space="preserve"> </w:t>
      </w:r>
      <w:r w:rsidRPr="005C4C74">
        <w:rPr>
          <w:i/>
          <w:iCs/>
          <w:sz w:val="26"/>
          <w:szCs w:val="26"/>
        </w:rPr>
        <w:t>Id.</w:t>
      </w:r>
      <w:r w:rsidRPr="005C4C74">
        <w:rPr>
          <w:sz w:val="26"/>
          <w:szCs w:val="26"/>
        </w:rPr>
        <w:t xml:space="preserve"> at 60-61.</w:t>
      </w:r>
    </w:p>
  </w:footnote>
  <w:footnote w:id="8">
    <w:p w:rsidR="00640FAD" w:rsidRPr="005C4C74" w:rsidP="00640FAD" w14:paraId="347E1A81" w14:textId="77777777">
      <w:pPr>
        <w:pStyle w:val="FootnoteText"/>
        <w:rPr>
          <w:sz w:val="26"/>
          <w:szCs w:val="26"/>
        </w:rPr>
      </w:pPr>
      <w:r w:rsidRPr="005C4C74">
        <w:rPr>
          <w:rStyle w:val="FootnoteReference"/>
          <w:sz w:val="26"/>
          <w:szCs w:val="26"/>
          <w:vertAlign w:val="superscript"/>
        </w:rPr>
        <w:footnoteRef/>
      </w:r>
      <w:r w:rsidRPr="005C4C74">
        <w:rPr>
          <w:sz w:val="26"/>
          <w:szCs w:val="26"/>
          <w:vertAlign w:val="superscript"/>
        </w:rPr>
        <w:t xml:space="preserve"> </w:t>
      </w:r>
      <w:r w:rsidRPr="005C4C74">
        <w:rPr>
          <w:i/>
          <w:iCs/>
          <w:sz w:val="26"/>
          <w:szCs w:val="26"/>
        </w:rPr>
        <w:t>Id.</w:t>
      </w:r>
      <w:r w:rsidRPr="005C4C74">
        <w:rPr>
          <w:sz w:val="26"/>
          <w:szCs w:val="26"/>
        </w:rPr>
        <w:t xml:space="preserve"> at 62.   </w:t>
      </w:r>
    </w:p>
  </w:footnote>
  <w:footnote w:id="9">
    <w:p w:rsidR="003125FB" w:rsidRPr="00D247D5" w:rsidP="003125FB" w14:paraId="48566AC5" w14:textId="77777777">
      <w:pPr>
        <w:pStyle w:val="FootnoteText"/>
        <w:rPr>
          <w:sz w:val="26"/>
          <w:szCs w:val="26"/>
        </w:rPr>
      </w:pPr>
      <w:r w:rsidRPr="00F67707">
        <w:rPr>
          <w:sz w:val="26"/>
          <w:szCs w:val="26"/>
          <w:vertAlign w:val="superscript"/>
        </w:rPr>
        <w:t xml:space="preserve"> </w:t>
      </w:r>
      <w:r w:rsidRPr="00D247D5">
        <w:rPr>
          <w:sz w:val="26"/>
          <w:szCs w:val="26"/>
        </w:rPr>
        <w:t xml:space="preserve">NERC Rules of Procedure Sections 507 and 508 are available at: </w:t>
      </w:r>
      <w:hyperlink r:id="rId1" w:history="1">
        <w:r w:rsidRPr="00D247D5">
          <w:rPr>
            <w:rStyle w:val="Hyperlink"/>
            <w:sz w:val="26"/>
            <w:szCs w:val="26"/>
          </w:rPr>
          <w:t>https://www.nerc.com/FilingsOrders/us/RuleOfProcedureDL/NERC_ROP_Effective_20190125.pdf</w:t>
        </w:r>
      </w:hyperlink>
      <w:r w:rsidRPr="00D247D5">
        <w:rPr>
          <w:sz w:val="26"/>
          <w:szCs w:val="26"/>
        </w:rPr>
        <w:t>.</w:t>
      </w:r>
    </w:p>
  </w:footnote>
  <w:footnote w:id="10">
    <w:p w:rsidR="00EE7794" w:rsidRPr="008A757A" w:rsidP="00D764EC" w14:paraId="78A9B43F" w14:textId="68DAA02F">
      <w:pPr>
        <w:pStyle w:val="FootnoteText"/>
        <w:spacing w:before="120" w:after="120"/>
        <w:rPr>
          <w:sz w:val="26"/>
          <w:szCs w:val="26"/>
        </w:rPr>
      </w:pPr>
      <w:r w:rsidRPr="00F67707">
        <w:rPr>
          <w:rStyle w:val="FootnoteReference"/>
          <w:bCs/>
          <w:sz w:val="26"/>
          <w:szCs w:val="26"/>
          <w:vertAlign w:val="superscript"/>
        </w:rPr>
        <w:footnoteRef/>
      </w:r>
      <w:r w:rsidRPr="00F67707">
        <w:rPr>
          <w:bCs/>
          <w:sz w:val="26"/>
          <w:szCs w:val="26"/>
          <w:vertAlign w:val="superscript"/>
        </w:rPr>
        <w:t xml:space="preserve"> </w:t>
      </w:r>
      <w:r w:rsidRPr="00F627B7">
        <w:rPr>
          <w:sz w:val="26"/>
          <w:szCs w:val="26"/>
        </w:rPr>
        <w:t xml:space="preserve">Details of the current ERO Reliability Standard processes are available on the NERC website at </w:t>
      </w:r>
      <w:hyperlink r:id="rId2" w:history="1">
        <w:r w:rsidRPr="00F627B7" w:rsidR="00F627B7">
          <w:rPr>
            <w:rStyle w:val="Hyperlink"/>
            <w:sz w:val="26"/>
            <w:szCs w:val="26"/>
          </w:rPr>
          <w:t>https://www.nerc.com/AboutNERC/RulesOfProcedure/NERC ROP effective 20220825_no appendicies.pdf</w:t>
        </w:r>
      </w:hyperlink>
      <w:r w:rsidRPr="00F627B7">
        <w:rPr>
          <w:sz w:val="26"/>
          <w:szCs w:val="26"/>
        </w:rPr>
        <w:t>.</w:t>
      </w:r>
      <w:r w:rsidRPr="00F627B7" w:rsidR="00F627B7">
        <w:rPr>
          <w:sz w:val="26"/>
          <w:szCs w:val="26"/>
        </w:rPr>
        <w:t xml:space="preserve">  </w:t>
      </w:r>
    </w:p>
  </w:footnote>
  <w:footnote w:id="11">
    <w:p w:rsidR="000F5ED8" w:rsidRPr="00257D06" w:rsidP="000F5ED8" w14:paraId="7539C9BE" w14:textId="77777777">
      <w:pPr>
        <w:pStyle w:val="FootnoteText"/>
        <w:rPr>
          <w:sz w:val="26"/>
          <w:szCs w:val="26"/>
        </w:rPr>
      </w:pPr>
      <w:r w:rsidRPr="00257D06">
        <w:rPr>
          <w:rStyle w:val="FootnoteReference"/>
          <w:sz w:val="26"/>
          <w:szCs w:val="26"/>
          <w:vertAlign w:val="superscript"/>
        </w:rPr>
        <w:footnoteRef/>
      </w:r>
      <w:r w:rsidRPr="00257D06">
        <w:rPr>
          <w:sz w:val="26"/>
          <w:szCs w:val="26"/>
          <w:vertAlign w:val="superscript"/>
        </w:rPr>
        <w:t xml:space="preserve"> </w:t>
      </w:r>
      <w:r w:rsidRPr="00257D06">
        <w:rPr>
          <w:sz w:val="26"/>
          <w:szCs w:val="26"/>
        </w:rPr>
        <w:t xml:space="preserve">Details of the ERO standards development process are available on the NERC website at </w:t>
      </w:r>
      <w:hyperlink r:id="rId3" w:history="1">
        <w:r w:rsidRPr="00257D06">
          <w:rPr>
            <w:rStyle w:val="Hyperlink"/>
            <w:sz w:val="26"/>
            <w:szCs w:val="26"/>
          </w:rPr>
          <w:t>http://www.nerc.com/pa/Stand/Documents/Appendix_3A_StandardsProcessesManual.pdf</w:t>
        </w:r>
      </w:hyperlink>
      <w:r w:rsidRPr="00257D06">
        <w:rPr>
          <w:sz w:val="26"/>
          <w:szCs w:val="26"/>
        </w:rPr>
        <w:t>.</w:t>
      </w:r>
    </w:p>
  </w:footnote>
  <w:footnote w:id="12">
    <w:p w:rsidR="000E7D08" w14:paraId="41CFA9BF" w14:textId="41BEE728">
      <w:pPr>
        <w:pStyle w:val="FootnoteText"/>
      </w:pPr>
      <w:r w:rsidRPr="00F67707">
        <w:rPr>
          <w:rStyle w:val="FootnoteReference"/>
          <w:sz w:val="26"/>
          <w:szCs w:val="26"/>
          <w:vertAlign w:val="superscript"/>
        </w:rPr>
        <w:footnoteRef/>
      </w:r>
      <w:r w:rsidRPr="00F67707">
        <w:rPr>
          <w:sz w:val="26"/>
          <w:szCs w:val="26"/>
        </w:rPr>
        <w:t xml:space="preserve"> </w:t>
      </w:r>
      <w:r w:rsidRPr="000E7D08">
        <w:rPr>
          <w:sz w:val="26"/>
          <w:szCs w:val="26"/>
        </w:rPr>
        <w:t xml:space="preserve">NERC’s </w:t>
      </w:r>
      <w:r w:rsidRPr="00257D06">
        <w:rPr>
          <w:sz w:val="26"/>
          <w:szCs w:val="26"/>
        </w:rPr>
        <w:t xml:space="preserve">Rule of Procedure </w:t>
      </w:r>
      <w:r>
        <w:rPr>
          <w:sz w:val="24"/>
          <w:szCs w:val="24"/>
        </w:rPr>
        <w:t>S</w:t>
      </w:r>
      <w:r w:rsidRPr="00C02614">
        <w:rPr>
          <w:sz w:val="24"/>
          <w:szCs w:val="24"/>
        </w:rPr>
        <w:t>ection 1502, Paragraph 2.</w:t>
      </w:r>
    </w:p>
  </w:footnote>
  <w:footnote w:id="13">
    <w:p w:rsidR="00745136" w:rsidRPr="005C4C74" w:rsidP="00745136" w14:paraId="76755C68" w14:textId="77777777">
      <w:pPr>
        <w:pStyle w:val="FootnoteText"/>
        <w:rPr>
          <w:sz w:val="26"/>
          <w:szCs w:val="26"/>
        </w:rPr>
      </w:pPr>
      <w:r w:rsidRPr="005C4C74">
        <w:rPr>
          <w:rStyle w:val="FootnoteReference"/>
          <w:sz w:val="26"/>
          <w:szCs w:val="26"/>
          <w:vertAlign w:val="superscript"/>
        </w:rPr>
        <w:footnoteRef/>
      </w:r>
      <w:r w:rsidRPr="005C4C74">
        <w:rPr>
          <w:sz w:val="26"/>
          <w:szCs w:val="26"/>
        </w:rPr>
        <w:t xml:space="preserve"> The “Number of Entity” data is compiled from the December 3, 2025, edition of the NERC Compliance Registry.  </w:t>
      </w:r>
    </w:p>
  </w:footnote>
  <w:footnote w:id="14">
    <w:p w:rsidR="00745136" w:rsidRPr="005C4C74" w:rsidP="00745136" w14:paraId="0F66ED75" w14:textId="12F6D2A9">
      <w:pPr>
        <w:pStyle w:val="FootnoteText"/>
        <w:rPr>
          <w:sz w:val="26"/>
          <w:szCs w:val="26"/>
        </w:rPr>
      </w:pPr>
      <w:r w:rsidRPr="005C4C74">
        <w:rPr>
          <w:rStyle w:val="FootnoteReference"/>
          <w:sz w:val="26"/>
          <w:szCs w:val="26"/>
          <w:vertAlign w:val="superscript"/>
        </w:rPr>
        <w:footnoteRef/>
      </w:r>
      <w:r w:rsidRPr="005C4C74">
        <w:rPr>
          <w:sz w:val="26"/>
          <w:szCs w:val="26"/>
        </w:rPr>
        <w:t xml:space="preserve"> The estimated hourly cost (salary plus benefits) is a combination of the following categories from the BLS website, http://www.bls.gov/oes/current/naics2_22.htm:  75% of the average of an Electrical Engineer (17-2071) $71.19/hr., x .75 = 53.3925 ($53.39-rounded) ($53.39/hour); and 25% of an Information and Record Clerk (43-4199) $40.51/hr., $40.51 x .25 = 10.1275 ($10.13 rounded) ($10.13/hour), for a total ($53.39+$10.13 = </w:t>
      </w:r>
      <w:r w:rsidRPr="005C4C74">
        <w:rPr>
          <w:bCs/>
          <w:sz w:val="26"/>
          <w:szCs w:val="26"/>
        </w:rPr>
        <w:t>$63.52/hour</w:t>
      </w:r>
      <w:r w:rsidRPr="005C4C74">
        <w:rPr>
          <w:sz w:val="26"/>
          <w:szCs w:val="26"/>
        </w:rPr>
        <w:t xml:space="preserve">). </w:t>
      </w:r>
    </w:p>
  </w:footnote>
  <w:footnote w:id="15">
    <w:p w:rsidR="00EB3D96" w:rsidRPr="00FB48E9" w:rsidP="00EB3D96" w14:paraId="6506A84F" w14:textId="77777777">
      <w:pPr>
        <w:pStyle w:val="FootnoteText"/>
        <w:rPr>
          <w:sz w:val="26"/>
          <w:szCs w:val="26"/>
        </w:rPr>
      </w:pPr>
      <w:r w:rsidRPr="00FB48E9">
        <w:rPr>
          <w:sz w:val="26"/>
          <w:szCs w:val="26"/>
          <w:vertAlign w:val="superscript"/>
        </w:rPr>
        <w:footnoteRef/>
      </w:r>
      <w:r w:rsidRPr="00FB48E9">
        <w:rPr>
          <w:sz w:val="26"/>
          <w:szCs w:val="26"/>
          <w:vertAlign w:val="superscript"/>
        </w:rPr>
        <w:t xml:space="preserve"> </w:t>
      </w:r>
      <w:r w:rsidRPr="00FB48E9">
        <w:rPr>
          <w:sz w:val="26"/>
          <w:szCs w:val="26"/>
        </w:rPr>
        <w:t>The estimate uses the FERC’s FY 202</w:t>
      </w:r>
      <w:r>
        <w:rPr>
          <w:sz w:val="26"/>
          <w:szCs w:val="26"/>
        </w:rPr>
        <w:t>6</w:t>
      </w:r>
      <w:r w:rsidRPr="00FB48E9">
        <w:rPr>
          <w:sz w:val="26"/>
          <w:szCs w:val="26"/>
        </w:rPr>
        <w:t xml:space="preserve"> average annual salary plus benefits of one FERC FTE (full-time equivalent [$2</w:t>
      </w:r>
      <w:r>
        <w:rPr>
          <w:sz w:val="26"/>
          <w:szCs w:val="26"/>
        </w:rPr>
        <w:t>13</w:t>
      </w:r>
      <w:r w:rsidRPr="00FB48E9">
        <w:rPr>
          <w:sz w:val="26"/>
          <w:szCs w:val="26"/>
        </w:rPr>
        <w:t>,</w:t>
      </w:r>
      <w:r>
        <w:rPr>
          <w:sz w:val="26"/>
          <w:szCs w:val="26"/>
        </w:rPr>
        <w:t>003</w:t>
      </w:r>
      <w:r w:rsidRPr="00FB48E9">
        <w:rPr>
          <w:sz w:val="26"/>
          <w:szCs w:val="26"/>
        </w:rPr>
        <w:t xml:space="preserve"> per year or $10</w:t>
      </w:r>
      <w:r>
        <w:rPr>
          <w:sz w:val="26"/>
          <w:szCs w:val="26"/>
        </w:rPr>
        <w:t>2</w:t>
      </w:r>
      <w:r w:rsidRPr="00FB48E9">
        <w:rPr>
          <w:sz w:val="26"/>
          <w:szCs w:val="26"/>
        </w:rPr>
        <w:t xml:space="preserve">.00 per hour]).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74FE" w14:paraId="03F43A9B" w14:textId="37DA0A04">
    <w:pPr>
      <w:contextualSpacing/>
      <w:rPr>
        <w:rFonts w:ascii="Times New Roman" w:hAnsi="Times New Roman"/>
        <w:sz w:val="24"/>
        <w:szCs w:val="24"/>
      </w:rPr>
    </w:pPr>
    <w:r>
      <w:rPr>
        <w:rFonts w:ascii="Times New Roman" w:hAnsi="Times New Roman"/>
        <w:sz w:val="24"/>
        <w:szCs w:val="24"/>
      </w:rPr>
      <w:t>FERC-725A (OMB Control No. 1902-0244)</w:t>
    </w:r>
    <w:r w:rsidR="00DC1DFB">
      <w:rPr>
        <w:rFonts w:ascii="Times New Roman" w:hAnsi="Times New Roman"/>
        <w:sz w:val="24"/>
        <w:szCs w:val="24"/>
      </w:rPr>
      <w:t xml:space="preserve"> D</w:t>
    </w:r>
    <w:r>
      <w:rPr>
        <w:rFonts w:ascii="Times New Roman" w:hAnsi="Times New Roman"/>
        <w:sz w:val="24"/>
        <w:szCs w:val="24"/>
      </w:rPr>
      <w:t>ocket No. RD2</w:t>
    </w:r>
    <w:r w:rsidR="00482349">
      <w:rPr>
        <w:rFonts w:ascii="Times New Roman" w:hAnsi="Times New Roman"/>
        <w:sz w:val="24"/>
        <w:szCs w:val="24"/>
      </w:rPr>
      <w:t>6</w:t>
    </w:r>
    <w:r>
      <w:rPr>
        <w:rFonts w:ascii="Times New Roman" w:hAnsi="Times New Roman"/>
        <w:sz w:val="24"/>
        <w:szCs w:val="24"/>
      </w:rPr>
      <w:t>-</w:t>
    </w:r>
    <w:r w:rsidR="00AC749C">
      <w:rPr>
        <w:rFonts w:ascii="Times New Roman" w:hAnsi="Times New Roman"/>
        <w:sz w:val="24"/>
        <w:szCs w:val="24"/>
      </w:rPr>
      <w:t>1</w:t>
    </w:r>
    <w:r>
      <w:rPr>
        <w:rFonts w:ascii="Times New Roman" w:hAnsi="Times New Roman"/>
        <w:sz w:val="24"/>
        <w:szCs w:val="24"/>
      </w:rPr>
      <w:t>-000</w:t>
    </w:r>
  </w:p>
  <w:p w:rsidR="00DC1DFB" w:rsidRPr="00DC1DFB" w14:paraId="04A64715" w14:textId="35B52609">
    <w:pPr>
      <w:contextualSpacing/>
      <w:rPr>
        <w:rFonts w:ascii="Times New Roman" w:hAnsi="Times New Roman"/>
        <w:sz w:val="24"/>
        <w:szCs w:val="24"/>
      </w:rPr>
    </w:pPr>
    <w:r>
      <w:rPr>
        <w:rFonts w:ascii="Times New Roman" w:hAnsi="Times New Roman"/>
        <w:sz w:val="24"/>
        <w:szCs w:val="24"/>
      </w:rPr>
      <w:t>Order</w:t>
    </w:r>
    <w:r w:rsidR="00482349">
      <w:rPr>
        <w:rFonts w:ascii="Times New Roman" w:hAnsi="Times New Roman"/>
        <w:sz w:val="24"/>
        <w:szCs w:val="24"/>
      </w:rPr>
      <w:t xml:space="preserve"> Approving IBRs and Generators Modeling Relia</w:t>
    </w:r>
    <w:r w:rsidR="00DF3F44">
      <w:rPr>
        <w:rFonts w:ascii="Times New Roman" w:hAnsi="Times New Roman"/>
        <w:sz w:val="24"/>
        <w:szCs w:val="24"/>
      </w:rPr>
      <w:t>bility</w:t>
    </w:r>
    <w:r w:rsidR="00482349">
      <w:rPr>
        <w:rFonts w:ascii="Times New Roman" w:hAnsi="Times New Roman"/>
        <w:sz w:val="24"/>
        <w:szCs w:val="24"/>
      </w:rPr>
      <w:t xml:space="preserve"> Standards</w:t>
    </w:r>
    <w:r w:rsidR="00E05326">
      <w:rPr>
        <w:rFonts w:ascii="Times New Roman" w:hAnsi="Times New Roman"/>
        <w:sz w:val="24"/>
        <w:szCs w:val="24"/>
      </w:rPr>
      <w:t xml:space="preserve"> published on</w:t>
    </w:r>
    <w:r>
      <w:rPr>
        <w:rFonts w:ascii="Times New Roman" w:hAnsi="Times New Roman"/>
        <w:sz w:val="24"/>
        <w:szCs w:val="24"/>
      </w:rPr>
      <w:t xml:space="preserve"> </w:t>
    </w:r>
    <w:r w:rsidR="00E05326">
      <w:rPr>
        <w:rFonts w:ascii="Times New Roman" w:hAnsi="Times New Roman"/>
        <w:sz w:val="24"/>
        <w:szCs w:val="24"/>
      </w:rPr>
      <w:t>Feb. 24,</w:t>
    </w:r>
    <w:r w:rsidR="00AC749C">
      <w:rPr>
        <w:rFonts w:ascii="Times New Roman" w:hAnsi="Times New Roman"/>
        <w:sz w:val="24"/>
        <w:szCs w:val="24"/>
      </w:rPr>
      <w:t>202</w:t>
    </w:r>
    <w:r w:rsidR="008B5160">
      <w:rPr>
        <w:rFonts w:ascii="Times New Roman" w:hAnsi="Times New Roman"/>
        <w:sz w:val="24"/>
        <w:szCs w:val="24"/>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AE65B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44C7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8612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CC05C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26633C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14A59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ABA11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BB2FB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A689938"/>
    <w:lvl w:ilvl="0">
      <w:start w:val="1"/>
      <w:numFmt w:val="decimal"/>
      <w:pStyle w:val="ListNumber"/>
      <w:lvlText w:val="%1."/>
      <w:lvlJc w:val="left"/>
      <w:pPr>
        <w:tabs>
          <w:tab w:val="num" w:pos="360"/>
        </w:tabs>
        <w:ind w:left="360" w:hanging="360"/>
      </w:pPr>
    </w:lvl>
  </w:abstractNum>
  <w:abstractNum w:abstractNumId="9">
    <w:nsid w:val="FFFFFF89"/>
    <w:multiLevelType w:val="singleLevel"/>
    <w:tmpl w:val="6FC679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D616BCF"/>
    <w:multiLevelType w:val="hybridMultilevel"/>
    <w:tmpl w:val="D5E4401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120A3322"/>
    <w:multiLevelType w:val="hybridMultilevel"/>
    <w:tmpl w:val="D6AE93A6"/>
    <w:lvl w:ilvl="0">
      <w:start w:val="40"/>
      <w:numFmt w:val="decimal"/>
      <w:lvlText w:val="%1"/>
      <w:lvlJc w:val="left"/>
      <w:pPr>
        <w:ind w:left="580" w:firstLine="0"/>
      </w:pPr>
      <w:rPr>
        <w:rFonts w:ascii="Times New Roman" w:eastAsia="Times New Roman" w:hAnsi="Times New Roman" w:cs="Times New Roman"/>
        <w:b/>
        <w:bCs/>
        <w:i w:val="0"/>
        <w:strike w:val="0"/>
        <w:dstrike w:val="0"/>
        <w:color w:val="000000"/>
        <w:sz w:val="17"/>
        <w:szCs w:val="17"/>
        <w:u w:val="none" w:color="000000"/>
        <w:effect w:val="none"/>
        <w:bdr w:val="none" w:sz="0" w:space="0" w:color="auto" w:frame="1"/>
        <w:vertAlign w:val="baseline"/>
      </w:rPr>
    </w:lvl>
    <w:lvl w:ilvl="1">
      <w:start w:val="1"/>
      <w:numFmt w:val="lowerLetter"/>
      <w:lvlText w:val="%2"/>
      <w:lvlJc w:val="left"/>
      <w:pPr>
        <w:ind w:left="1800" w:firstLine="0"/>
      </w:pPr>
      <w:rPr>
        <w:rFonts w:ascii="Times New Roman" w:eastAsia="Times New Roman" w:hAnsi="Times New Roman" w:cs="Times New Roman"/>
        <w:b/>
        <w:bCs/>
        <w:i w:val="0"/>
        <w:strike w:val="0"/>
        <w:dstrike w:val="0"/>
        <w:color w:val="000000"/>
        <w:sz w:val="17"/>
        <w:szCs w:val="17"/>
        <w:u w:val="none" w:color="000000"/>
        <w:effect w:val="none"/>
        <w:bdr w:val="none" w:sz="0" w:space="0" w:color="auto" w:frame="1"/>
        <w:vertAlign w:val="baseline"/>
      </w:rPr>
    </w:lvl>
    <w:lvl w:ilvl="2">
      <w:start w:val="1"/>
      <w:numFmt w:val="lowerRoman"/>
      <w:lvlText w:val="%3"/>
      <w:lvlJc w:val="left"/>
      <w:pPr>
        <w:ind w:left="2520" w:firstLine="0"/>
      </w:pPr>
      <w:rPr>
        <w:rFonts w:ascii="Times New Roman" w:eastAsia="Times New Roman" w:hAnsi="Times New Roman" w:cs="Times New Roman"/>
        <w:b/>
        <w:bCs/>
        <w:i w:val="0"/>
        <w:strike w:val="0"/>
        <w:dstrike w:val="0"/>
        <w:color w:val="000000"/>
        <w:sz w:val="17"/>
        <w:szCs w:val="17"/>
        <w:u w:val="none" w:color="000000"/>
        <w:effect w:val="none"/>
        <w:bdr w:val="none" w:sz="0" w:space="0" w:color="auto" w:frame="1"/>
        <w:vertAlign w:val="baseline"/>
      </w:rPr>
    </w:lvl>
    <w:lvl w:ilvl="3">
      <w:start w:val="1"/>
      <w:numFmt w:val="decimal"/>
      <w:lvlText w:val="%4"/>
      <w:lvlJc w:val="left"/>
      <w:pPr>
        <w:ind w:left="3240" w:firstLine="0"/>
      </w:pPr>
      <w:rPr>
        <w:rFonts w:ascii="Times New Roman" w:eastAsia="Times New Roman" w:hAnsi="Times New Roman" w:cs="Times New Roman"/>
        <w:b/>
        <w:bCs/>
        <w:i w:val="0"/>
        <w:strike w:val="0"/>
        <w:dstrike w:val="0"/>
        <w:color w:val="000000"/>
        <w:sz w:val="17"/>
        <w:szCs w:val="17"/>
        <w:u w:val="none" w:color="000000"/>
        <w:effect w:val="none"/>
        <w:bdr w:val="none" w:sz="0" w:space="0" w:color="auto" w:frame="1"/>
        <w:vertAlign w:val="baseline"/>
      </w:rPr>
    </w:lvl>
    <w:lvl w:ilvl="4">
      <w:start w:val="1"/>
      <w:numFmt w:val="lowerLetter"/>
      <w:lvlText w:val="%5"/>
      <w:lvlJc w:val="left"/>
      <w:pPr>
        <w:ind w:left="3960" w:firstLine="0"/>
      </w:pPr>
      <w:rPr>
        <w:rFonts w:ascii="Times New Roman" w:eastAsia="Times New Roman" w:hAnsi="Times New Roman" w:cs="Times New Roman"/>
        <w:b/>
        <w:bCs/>
        <w:i w:val="0"/>
        <w:strike w:val="0"/>
        <w:dstrike w:val="0"/>
        <w:color w:val="000000"/>
        <w:sz w:val="17"/>
        <w:szCs w:val="17"/>
        <w:u w:val="none" w:color="000000"/>
        <w:effect w:val="none"/>
        <w:bdr w:val="none" w:sz="0" w:space="0" w:color="auto" w:frame="1"/>
        <w:vertAlign w:val="baseline"/>
      </w:rPr>
    </w:lvl>
    <w:lvl w:ilvl="5">
      <w:start w:val="1"/>
      <w:numFmt w:val="lowerRoman"/>
      <w:lvlText w:val="%6"/>
      <w:lvlJc w:val="left"/>
      <w:pPr>
        <w:ind w:left="4680" w:firstLine="0"/>
      </w:pPr>
      <w:rPr>
        <w:rFonts w:ascii="Times New Roman" w:eastAsia="Times New Roman" w:hAnsi="Times New Roman" w:cs="Times New Roman"/>
        <w:b/>
        <w:bCs/>
        <w:i w:val="0"/>
        <w:strike w:val="0"/>
        <w:dstrike w:val="0"/>
        <w:color w:val="000000"/>
        <w:sz w:val="17"/>
        <w:szCs w:val="17"/>
        <w:u w:val="none" w:color="000000"/>
        <w:effect w:val="none"/>
        <w:bdr w:val="none" w:sz="0" w:space="0" w:color="auto" w:frame="1"/>
        <w:vertAlign w:val="baseline"/>
      </w:rPr>
    </w:lvl>
    <w:lvl w:ilvl="6">
      <w:start w:val="1"/>
      <w:numFmt w:val="decimal"/>
      <w:lvlText w:val="%7"/>
      <w:lvlJc w:val="left"/>
      <w:pPr>
        <w:ind w:left="5400" w:firstLine="0"/>
      </w:pPr>
      <w:rPr>
        <w:rFonts w:ascii="Times New Roman" w:eastAsia="Times New Roman" w:hAnsi="Times New Roman" w:cs="Times New Roman"/>
        <w:b/>
        <w:bCs/>
        <w:i w:val="0"/>
        <w:strike w:val="0"/>
        <w:dstrike w:val="0"/>
        <w:color w:val="000000"/>
        <w:sz w:val="17"/>
        <w:szCs w:val="17"/>
        <w:u w:val="none" w:color="000000"/>
        <w:effect w:val="none"/>
        <w:bdr w:val="none" w:sz="0" w:space="0" w:color="auto" w:frame="1"/>
        <w:vertAlign w:val="baseline"/>
      </w:rPr>
    </w:lvl>
    <w:lvl w:ilvl="7">
      <w:start w:val="1"/>
      <w:numFmt w:val="lowerLetter"/>
      <w:lvlText w:val="%8"/>
      <w:lvlJc w:val="left"/>
      <w:pPr>
        <w:ind w:left="6120" w:firstLine="0"/>
      </w:pPr>
      <w:rPr>
        <w:rFonts w:ascii="Times New Roman" w:eastAsia="Times New Roman" w:hAnsi="Times New Roman" w:cs="Times New Roman"/>
        <w:b/>
        <w:bCs/>
        <w:i w:val="0"/>
        <w:strike w:val="0"/>
        <w:dstrike w:val="0"/>
        <w:color w:val="000000"/>
        <w:sz w:val="17"/>
        <w:szCs w:val="17"/>
        <w:u w:val="none" w:color="000000"/>
        <w:effect w:val="none"/>
        <w:bdr w:val="none" w:sz="0" w:space="0" w:color="auto" w:frame="1"/>
        <w:vertAlign w:val="baseline"/>
      </w:rPr>
    </w:lvl>
    <w:lvl w:ilvl="8">
      <w:start w:val="1"/>
      <w:numFmt w:val="lowerRoman"/>
      <w:lvlText w:val="%9"/>
      <w:lvlJc w:val="left"/>
      <w:pPr>
        <w:ind w:left="6840" w:firstLine="0"/>
      </w:pPr>
      <w:rPr>
        <w:rFonts w:ascii="Times New Roman" w:eastAsia="Times New Roman" w:hAnsi="Times New Roman" w:cs="Times New Roman"/>
        <w:b/>
        <w:bCs/>
        <w:i w:val="0"/>
        <w:strike w:val="0"/>
        <w:dstrike w:val="0"/>
        <w:color w:val="000000"/>
        <w:sz w:val="17"/>
        <w:szCs w:val="17"/>
        <w:u w:val="none" w:color="000000"/>
        <w:effect w:val="none"/>
        <w:bdr w:val="none" w:sz="0" w:space="0" w:color="auto" w:frame="1"/>
        <w:vertAlign w:val="baseline"/>
      </w:rPr>
    </w:lvl>
  </w:abstractNum>
  <w:abstractNum w:abstractNumId="12">
    <w:nsid w:val="1256264B"/>
    <w:multiLevelType w:val="hybridMultilevel"/>
    <w:tmpl w:val="64D22C7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12E80CF9"/>
    <w:multiLevelType w:val="hybridMultilevel"/>
    <w:tmpl w:val="C65E7E40"/>
    <w:lvl w:ilvl="0">
      <w:start w:val="1"/>
      <w:numFmt w:val="bullet"/>
      <w:lvlText w:val=""/>
      <w:lvlJc w:val="left"/>
      <w:pPr>
        <w:tabs>
          <w:tab w:val="num" w:pos="490"/>
        </w:tabs>
        <w:ind w:left="490" w:hanging="360"/>
      </w:pPr>
      <w:rPr>
        <w:rFonts w:ascii="Symbol" w:hAnsi="Symbol" w:hint="default"/>
      </w:rPr>
    </w:lvl>
    <w:lvl w:ilvl="1" w:tentative="1">
      <w:start w:val="1"/>
      <w:numFmt w:val="bullet"/>
      <w:lvlText w:val="o"/>
      <w:lvlJc w:val="left"/>
      <w:pPr>
        <w:tabs>
          <w:tab w:val="num" w:pos="1210"/>
        </w:tabs>
        <w:ind w:left="1210" w:hanging="360"/>
      </w:pPr>
      <w:rPr>
        <w:rFonts w:ascii="Courier New" w:hAnsi="Courier New" w:hint="default"/>
      </w:rPr>
    </w:lvl>
    <w:lvl w:ilvl="2" w:tentative="1">
      <w:start w:val="1"/>
      <w:numFmt w:val="bullet"/>
      <w:lvlText w:val=""/>
      <w:lvlJc w:val="left"/>
      <w:pPr>
        <w:tabs>
          <w:tab w:val="num" w:pos="1930"/>
        </w:tabs>
        <w:ind w:left="1930" w:hanging="360"/>
      </w:pPr>
      <w:rPr>
        <w:rFonts w:ascii="Wingdings" w:hAnsi="Wingdings" w:hint="default"/>
      </w:rPr>
    </w:lvl>
    <w:lvl w:ilvl="3" w:tentative="1">
      <w:start w:val="1"/>
      <w:numFmt w:val="bullet"/>
      <w:lvlText w:val=""/>
      <w:lvlJc w:val="left"/>
      <w:pPr>
        <w:tabs>
          <w:tab w:val="num" w:pos="2650"/>
        </w:tabs>
        <w:ind w:left="2650" w:hanging="360"/>
      </w:pPr>
      <w:rPr>
        <w:rFonts w:ascii="Symbol" w:hAnsi="Symbol" w:hint="default"/>
      </w:rPr>
    </w:lvl>
    <w:lvl w:ilvl="4" w:tentative="1">
      <w:start w:val="1"/>
      <w:numFmt w:val="bullet"/>
      <w:lvlText w:val="o"/>
      <w:lvlJc w:val="left"/>
      <w:pPr>
        <w:tabs>
          <w:tab w:val="num" w:pos="3370"/>
        </w:tabs>
        <w:ind w:left="3370" w:hanging="360"/>
      </w:pPr>
      <w:rPr>
        <w:rFonts w:ascii="Courier New" w:hAnsi="Courier New" w:hint="default"/>
      </w:rPr>
    </w:lvl>
    <w:lvl w:ilvl="5" w:tentative="1">
      <w:start w:val="1"/>
      <w:numFmt w:val="bullet"/>
      <w:lvlText w:val=""/>
      <w:lvlJc w:val="left"/>
      <w:pPr>
        <w:tabs>
          <w:tab w:val="num" w:pos="4090"/>
        </w:tabs>
        <w:ind w:left="4090" w:hanging="360"/>
      </w:pPr>
      <w:rPr>
        <w:rFonts w:ascii="Wingdings" w:hAnsi="Wingdings" w:hint="default"/>
      </w:rPr>
    </w:lvl>
    <w:lvl w:ilvl="6" w:tentative="1">
      <w:start w:val="1"/>
      <w:numFmt w:val="bullet"/>
      <w:lvlText w:val=""/>
      <w:lvlJc w:val="left"/>
      <w:pPr>
        <w:tabs>
          <w:tab w:val="num" w:pos="4810"/>
        </w:tabs>
        <w:ind w:left="4810" w:hanging="360"/>
      </w:pPr>
      <w:rPr>
        <w:rFonts w:ascii="Symbol" w:hAnsi="Symbol" w:hint="default"/>
      </w:rPr>
    </w:lvl>
    <w:lvl w:ilvl="7" w:tentative="1">
      <w:start w:val="1"/>
      <w:numFmt w:val="bullet"/>
      <w:lvlText w:val="o"/>
      <w:lvlJc w:val="left"/>
      <w:pPr>
        <w:tabs>
          <w:tab w:val="num" w:pos="5530"/>
        </w:tabs>
        <w:ind w:left="5530" w:hanging="360"/>
      </w:pPr>
      <w:rPr>
        <w:rFonts w:ascii="Courier New" w:hAnsi="Courier New" w:hint="default"/>
      </w:rPr>
    </w:lvl>
    <w:lvl w:ilvl="8" w:tentative="1">
      <w:start w:val="1"/>
      <w:numFmt w:val="bullet"/>
      <w:lvlText w:val=""/>
      <w:lvlJc w:val="left"/>
      <w:pPr>
        <w:tabs>
          <w:tab w:val="num" w:pos="6250"/>
        </w:tabs>
        <w:ind w:left="6250" w:hanging="360"/>
      </w:pPr>
      <w:rPr>
        <w:rFonts w:ascii="Wingdings" w:hAnsi="Wingdings" w:hint="default"/>
      </w:rPr>
    </w:lvl>
  </w:abstractNum>
  <w:abstractNum w:abstractNumId="14">
    <w:nsid w:val="1821664C"/>
    <w:multiLevelType w:val="hybridMultilevel"/>
    <w:tmpl w:val="A91056FC"/>
    <w:lvl w:ilvl="0">
      <w:start w:val="0"/>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191B4D7D"/>
    <w:multiLevelType w:val="hybridMultilevel"/>
    <w:tmpl w:val="66D473C4"/>
    <w:lvl w:ilvl="0">
      <w:start w:val="0"/>
      <w:numFmt w:val="bullet"/>
      <w:lvlText w:val=""/>
      <w:lvlJc w:val="left"/>
      <w:pPr>
        <w:ind w:left="810" w:hanging="360"/>
      </w:pPr>
      <w:rPr>
        <w:rFonts w:ascii="Times New Roman" w:hAnsi="Times New Roman" w:eastAsiaTheme="minorHAnsi" w:cs="Times New Roman"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16">
    <w:nsid w:val="1E334585"/>
    <w:multiLevelType w:val="hybridMultilevel"/>
    <w:tmpl w:val="70ECB0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2C3951C5"/>
    <w:multiLevelType w:val="hybridMultilevel"/>
    <w:tmpl w:val="CC068A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2E1A5B53"/>
    <w:multiLevelType w:val="hybridMultilevel"/>
    <w:tmpl w:val="C5C0E04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33156D43"/>
    <w:multiLevelType w:val="multilevel"/>
    <w:tmpl w:val="B140707E"/>
    <w:lvl w:ilvl="0">
      <w:start w:val="1"/>
      <w:numFmt w:val="decimal"/>
      <w:pStyle w:val="ListContinue"/>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20">
    <w:nsid w:val="3D3844F1"/>
    <w:multiLevelType w:val="hybridMultilevel"/>
    <w:tmpl w:val="213A04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3E2E38F3"/>
    <w:multiLevelType w:val="hybridMultilevel"/>
    <w:tmpl w:val="10AE4AAC"/>
    <w:lvl w:ilvl="0">
      <w:start w:val="1"/>
      <w:numFmt w:val="decimal"/>
      <w:lvlText w:val="%1."/>
      <w:lvlJc w:val="left"/>
      <w:pPr>
        <w:ind w:left="720" w:hanging="360"/>
      </w:pPr>
      <w:rPr>
        <w:rFonts w:cstheme="minorBid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3FD20B10"/>
    <w:multiLevelType w:val="hybridMultilevel"/>
    <w:tmpl w:val="185AA6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0430F52"/>
    <w:multiLevelType w:val="hybridMultilevel"/>
    <w:tmpl w:val="D004E9C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485F2E15"/>
    <w:multiLevelType w:val="hybridMultilevel"/>
    <w:tmpl w:val="3BF4897A"/>
    <w:lvl w:ilvl="0">
      <w:start w:val="36"/>
      <w:numFmt w:val="decimal"/>
      <w:lvlText w:val="%1"/>
      <w:lvlJc w:val="left"/>
      <w:pPr>
        <w:ind w:left="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1">
      <w:start w:val="1"/>
      <w:numFmt w:val="lowerLetter"/>
      <w:lvlText w:val="%2"/>
      <w:lvlJc w:val="left"/>
      <w:pPr>
        <w:ind w:left="180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2">
      <w:start w:val="1"/>
      <w:numFmt w:val="lowerRoman"/>
      <w:lvlText w:val="%3"/>
      <w:lvlJc w:val="left"/>
      <w:pPr>
        <w:ind w:left="252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324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396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468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540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612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684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abstractNum>
  <w:abstractNum w:abstractNumId="25">
    <w:nsid w:val="4FCC1895"/>
    <w:multiLevelType w:val="hybridMultilevel"/>
    <w:tmpl w:val="632C2E0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4B7425B"/>
    <w:multiLevelType w:val="hybridMultilevel"/>
    <w:tmpl w:val="825A398A"/>
    <w:lvl w:ilvl="0">
      <w:start w:val="0"/>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5155789"/>
    <w:multiLevelType w:val="hybridMultilevel"/>
    <w:tmpl w:val="F5E053C4"/>
    <w:lvl w:ilvl="0">
      <w:start w:val="1"/>
      <w:numFmt w:val="bullet"/>
      <w:lvlText w:val=""/>
      <w:lvlJc w:val="left"/>
      <w:pPr>
        <w:ind w:left="1170" w:hanging="360"/>
      </w:pPr>
      <w:rPr>
        <w:rFonts w:ascii="Symbol" w:hAnsi="Symbol" w:hint="default"/>
      </w:rPr>
    </w:lvl>
    <w:lvl w:ilvl="1" w:tentative="1">
      <w:start w:val="1"/>
      <w:numFmt w:val="bullet"/>
      <w:lvlText w:val="o"/>
      <w:lvlJc w:val="left"/>
      <w:pPr>
        <w:ind w:left="1890" w:hanging="360"/>
      </w:pPr>
      <w:rPr>
        <w:rFonts w:ascii="Courier New" w:hAnsi="Courier New" w:cs="Courier New" w:hint="default"/>
      </w:rPr>
    </w:lvl>
    <w:lvl w:ilvl="2" w:tentative="1">
      <w:start w:val="1"/>
      <w:numFmt w:val="bullet"/>
      <w:lvlText w:val=""/>
      <w:lvlJc w:val="left"/>
      <w:pPr>
        <w:ind w:left="2610" w:hanging="360"/>
      </w:pPr>
      <w:rPr>
        <w:rFonts w:ascii="Wingdings" w:hAnsi="Wingdings" w:hint="default"/>
      </w:rPr>
    </w:lvl>
    <w:lvl w:ilvl="3" w:tentative="1">
      <w:start w:val="1"/>
      <w:numFmt w:val="bullet"/>
      <w:lvlText w:val=""/>
      <w:lvlJc w:val="left"/>
      <w:pPr>
        <w:ind w:left="3330" w:hanging="360"/>
      </w:pPr>
      <w:rPr>
        <w:rFonts w:ascii="Symbol" w:hAnsi="Symbol" w:hint="default"/>
      </w:rPr>
    </w:lvl>
    <w:lvl w:ilvl="4" w:tentative="1">
      <w:start w:val="1"/>
      <w:numFmt w:val="bullet"/>
      <w:lvlText w:val="o"/>
      <w:lvlJc w:val="left"/>
      <w:pPr>
        <w:ind w:left="4050" w:hanging="360"/>
      </w:pPr>
      <w:rPr>
        <w:rFonts w:ascii="Courier New" w:hAnsi="Courier New" w:cs="Courier New" w:hint="default"/>
      </w:rPr>
    </w:lvl>
    <w:lvl w:ilvl="5" w:tentative="1">
      <w:start w:val="1"/>
      <w:numFmt w:val="bullet"/>
      <w:lvlText w:val=""/>
      <w:lvlJc w:val="left"/>
      <w:pPr>
        <w:ind w:left="4770" w:hanging="360"/>
      </w:pPr>
      <w:rPr>
        <w:rFonts w:ascii="Wingdings" w:hAnsi="Wingdings" w:hint="default"/>
      </w:rPr>
    </w:lvl>
    <w:lvl w:ilvl="6" w:tentative="1">
      <w:start w:val="1"/>
      <w:numFmt w:val="bullet"/>
      <w:lvlText w:val=""/>
      <w:lvlJc w:val="left"/>
      <w:pPr>
        <w:ind w:left="5490" w:hanging="360"/>
      </w:pPr>
      <w:rPr>
        <w:rFonts w:ascii="Symbol" w:hAnsi="Symbol" w:hint="default"/>
      </w:rPr>
    </w:lvl>
    <w:lvl w:ilvl="7" w:tentative="1">
      <w:start w:val="1"/>
      <w:numFmt w:val="bullet"/>
      <w:lvlText w:val="o"/>
      <w:lvlJc w:val="left"/>
      <w:pPr>
        <w:ind w:left="6210" w:hanging="360"/>
      </w:pPr>
      <w:rPr>
        <w:rFonts w:ascii="Courier New" w:hAnsi="Courier New" w:cs="Courier New" w:hint="default"/>
      </w:rPr>
    </w:lvl>
    <w:lvl w:ilvl="8" w:tentative="1">
      <w:start w:val="1"/>
      <w:numFmt w:val="bullet"/>
      <w:lvlText w:val=""/>
      <w:lvlJc w:val="left"/>
      <w:pPr>
        <w:ind w:left="6930" w:hanging="360"/>
      </w:pPr>
      <w:rPr>
        <w:rFonts w:ascii="Wingdings" w:hAnsi="Wingdings" w:hint="default"/>
      </w:rPr>
    </w:lvl>
  </w:abstractNum>
  <w:abstractNum w:abstractNumId="28">
    <w:nsid w:val="568B5F24"/>
    <w:multiLevelType w:val="hybridMultilevel"/>
    <w:tmpl w:val="60E217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A192B44"/>
    <w:multiLevelType w:val="hybridMultilevel"/>
    <w:tmpl w:val="3A7E3F9E"/>
    <w:lvl w:ilvl="0">
      <w:start w:val="36"/>
      <w:numFmt w:val="decimal"/>
      <w:lvlText w:val="%1"/>
      <w:lvlJc w:val="left"/>
      <w:pPr>
        <w:ind w:left="0" w:firstLine="0"/>
      </w:pPr>
      <w:rPr>
        <w:rFonts w:ascii="Times New Roman" w:eastAsia="Times New Roman" w:hAnsi="Times New Roman" w:cs="Times New Roman"/>
        <w:b/>
        <w:bCs/>
        <w:i w:val="0"/>
        <w:strike w:val="0"/>
        <w:dstrike w:val="0"/>
        <w:color w:val="000000"/>
        <w:sz w:val="17"/>
        <w:szCs w:val="17"/>
        <w:u w:val="none" w:color="000000"/>
        <w:effect w:val="none"/>
        <w:bdr w:val="none" w:sz="0" w:space="0" w:color="auto" w:frame="1"/>
        <w:vertAlign w:val="baseline"/>
      </w:rPr>
    </w:lvl>
    <w:lvl w:ilvl="1">
      <w:start w:val="1"/>
      <w:numFmt w:val="lowerLetter"/>
      <w:lvlText w:val="%2"/>
      <w:lvlJc w:val="left"/>
      <w:pPr>
        <w:ind w:left="1800" w:firstLine="0"/>
      </w:pPr>
      <w:rPr>
        <w:rFonts w:ascii="Times New Roman" w:eastAsia="Times New Roman" w:hAnsi="Times New Roman" w:cs="Times New Roman"/>
        <w:b/>
        <w:bCs/>
        <w:i w:val="0"/>
        <w:strike w:val="0"/>
        <w:dstrike w:val="0"/>
        <w:color w:val="000000"/>
        <w:sz w:val="17"/>
        <w:szCs w:val="17"/>
        <w:u w:val="none" w:color="000000"/>
        <w:effect w:val="none"/>
        <w:bdr w:val="none" w:sz="0" w:space="0" w:color="auto" w:frame="1"/>
        <w:vertAlign w:val="baseline"/>
      </w:rPr>
    </w:lvl>
    <w:lvl w:ilvl="2">
      <w:start w:val="1"/>
      <w:numFmt w:val="lowerRoman"/>
      <w:lvlText w:val="%3"/>
      <w:lvlJc w:val="left"/>
      <w:pPr>
        <w:ind w:left="2520" w:firstLine="0"/>
      </w:pPr>
      <w:rPr>
        <w:rFonts w:ascii="Times New Roman" w:eastAsia="Times New Roman" w:hAnsi="Times New Roman" w:cs="Times New Roman"/>
        <w:b/>
        <w:bCs/>
        <w:i w:val="0"/>
        <w:strike w:val="0"/>
        <w:dstrike w:val="0"/>
        <w:color w:val="000000"/>
        <w:sz w:val="17"/>
        <w:szCs w:val="17"/>
        <w:u w:val="none" w:color="000000"/>
        <w:effect w:val="none"/>
        <w:bdr w:val="none" w:sz="0" w:space="0" w:color="auto" w:frame="1"/>
        <w:vertAlign w:val="baseline"/>
      </w:rPr>
    </w:lvl>
    <w:lvl w:ilvl="3">
      <w:start w:val="1"/>
      <w:numFmt w:val="decimal"/>
      <w:lvlText w:val="%4"/>
      <w:lvlJc w:val="left"/>
      <w:pPr>
        <w:ind w:left="3240" w:firstLine="0"/>
      </w:pPr>
      <w:rPr>
        <w:rFonts w:ascii="Times New Roman" w:eastAsia="Times New Roman" w:hAnsi="Times New Roman" w:cs="Times New Roman"/>
        <w:b/>
        <w:bCs/>
        <w:i w:val="0"/>
        <w:strike w:val="0"/>
        <w:dstrike w:val="0"/>
        <w:color w:val="000000"/>
        <w:sz w:val="17"/>
        <w:szCs w:val="17"/>
        <w:u w:val="none" w:color="000000"/>
        <w:effect w:val="none"/>
        <w:bdr w:val="none" w:sz="0" w:space="0" w:color="auto" w:frame="1"/>
        <w:vertAlign w:val="baseline"/>
      </w:rPr>
    </w:lvl>
    <w:lvl w:ilvl="4">
      <w:start w:val="1"/>
      <w:numFmt w:val="lowerLetter"/>
      <w:lvlText w:val="%5"/>
      <w:lvlJc w:val="left"/>
      <w:pPr>
        <w:ind w:left="3960" w:firstLine="0"/>
      </w:pPr>
      <w:rPr>
        <w:rFonts w:ascii="Times New Roman" w:eastAsia="Times New Roman" w:hAnsi="Times New Roman" w:cs="Times New Roman"/>
        <w:b/>
        <w:bCs/>
        <w:i w:val="0"/>
        <w:strike w:val="0"/>
        <w:dstrike w:val="0"/>
        <w:color w:val="000000"/>
        <w:sz w:val="17"/>
        <w:szCs w:val="17"/>
        <w:u w:val="none" w:color="000000"/>
        <w:effect w:val="none"/>
        <w:bdr w:val="none" w:sz="0" w:space="0" w:color="auto" w:frame="1"/>
        <w:vertAlign w:val="baseline"/>
      </w:rPr>
    </w:lvl>
    <w:lvl w:ilvl="5">
      <w:start w:val="1"/>
      <w:numFmt w:val="lowerRoman"/>
      <w:lvlText w:val="%6"/>
      <w:lvlJc w:val="left"/>
      <w:pPr>
        <w:ind w:left="4680" w:firstLine="0"/>
      </w:pPr>
      <w:rPr>
        <w:rFonts w:ascii="Times New Roman" w:eastAsia="Times New Roman" w:hAnsi="Times New Roman" w:cs="Times New Roman"/>
        <w:b/>
        <w:bCs/>
        <w:i w:val="0"/>
        <w:strike w:val="0"/>
        <w:dstrike w:val="0"/>
        <w:color w:val="000000"/>
        <w:sz w:val="17"/>
        <w:szCs w:val="17"/>
        <w:u w:val="none" w:color="000000"/>
        <w:effect w:val="none"/>
        <w:bdr w:val="none" w:sz="0" w:space="0" w:color="auto" w:frame="1"/>
        <w:vertAlign w:val="baseline"/>
      </w:rPr>
    </w:lvl>
    <w:lvl w:ilvl="6">
      <w:start w:val="1"/>
      <w:numFmt w:val="decimal"/>
      <w:lvlText w:val="%7"/>
      <w:lvlJc w:val="left"/>
      <w:pPr>
        <w:ind w:left="5400" w:firstLine="0"/>
      </w:pPr>
      <w:rPr>
        <w:rFonts w:ascii="Times New Roman" w:eastAsia="Times New Roman" w:hAnsi="Times New Roman" w:cs="Times New Roman"/>
        <w:b/>
        <w:bCs/>
        <w:i w:val="0"/>
        <w:strike w:val="0"/>
        <w:dstrike w:val="0"/>
        <w:color w:val="000000"/>
        <w:sz w:val="17"/>
        <w:szCs w:val="17"/>
        <w:u w:val="none" w:color="000000"/>
        <w:effect w:val="none"/>
        <w:bdr w:val="none" w:sz="0" w:space="0" w:color="auto" w:frame="1"/>
        <w:vertAlign w:val="baseline"/>
      </w:rPr>
    </w:lvl>
    <w:lvl w:ilvl="7">
      <w:start w:val="1"/>
      <w:numFmt w:val="lowerLetter"/>
      <w:lvlText w:val="%8"/>
      <w:lvlJc w:val="left"/>
      <w:pPr>
        <w:ind w:left="6120" w:firstLine="0"/>
      </w:pPr>
      <w:rPr>
        <w:rFonts w:ascii="Times New Roman" w:eastAsia="Times New Roman" w:hAnsi="Times New Roman" w:cs="Times New Roman"/>
        <w:b/>
        <w:bCs/>
        <w:i w:val="0"/>
        <w:strike w:val="0"/>
        <w:dstrike w:val="0"/>
        <w:color w:val="000000"/>
        <w:sz w:val="17"/>
        <w:szCs w:val="17"/>
        <w:u w:val="none" w:color="000000"/>
        <w:effect w:val="none"/>
        <w:bdr w:val="none" w:sz="0" w:space="0" w:color="auto" w:frame="1"/>
        <w:vertAlign w:val="baseline"/>
      </w:rPr>
    </w:lvl>
    <w:lvl w:ilvl="8">
      <w:start w:val="1"/>
      <w:numFmt w:val="lowerRoman"/>
      <w:lvlText w:val="%9"/>
      <w:lvlJc w:val="left"/>
      <w:pPr>
        <w:ind w:left="6840" w:firstLine="0"/>
      </w:pPr>
      <w:rPr>
        <w:rFonts w:ascii="Times New Roman" w:eastAsia="Times New Roman" w:hAnsi="Times New Roman" w:cs="Times New Roman"/>
        <w:b/>
        <w:bCs/>
        <w:i w:val="0"/>
        <w:strike w:val="0"/>
        <w:dstrike w:val="0"/>
        <w:color w:val="000000"/>
        <w:sz w:val="17"/>
        <w:szCs w:val="17"/>
        <w:u w:val="none" w:color="000000"/>
        <w:effect w:val="none"/>
        <w:bdr w:val="none" w:sz="0" w:space="0" w:color="auto" w:frame="1"/>
        <w:vertAlign w:val="baseline"/>
      </w:rPr>
    </w:lvl>
  </w:abstractNum>
  <w:abstractNum w:abstractNumId="30">
    <w:nsid w:val="5B260868"/>
    <w:multiLevelType w:val="hybridMultilevel"/>
    <w:tmpl w:val="FF06381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E0E7BFE"/>
    <w:multiLevelType w:val="hybridMultilevel"/>
    <w:tmpl w:val="23A8604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nsid w:val="672835CA"/>
    <w:multiLevelType w:val="hybridMultilevel"/>
    <w:tmpl w:val="633420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7515523"/>
    <w:multiLevelType w:val="hybridMultilevel"/>
    <w:tmpl w:val="B41ACCB0"/>
    <w:lvl w:ilvl="0">
      <w:start w:val="40"/>
      <w:numFmt w:val="decimal"/>
      <w:lvlText w:val="%1"/>
      <w:lvlJc w:val="left"/>
      <w:pPr>
        <w:ind w:left="58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1">
      <w:start w:val="1"/>
      <w:numFmt w:val="lowerLetter"/>
      <w:lvlText w:val="%2"/>
      <w:lvlJc w:val="left"/>
      <w:pPr>
        <w:ind w:left="180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2">
      <w:start w:val="1"/>
      <w:numFmt w:val="lowerRoman"/>
      <w:lvlText w:val="%3"/>
      <w:lvlJc w:val="left"/>
      <w:pPr>
        <w:ind w:left="252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324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396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468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540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612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684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abstractNum>
  <w:abstractNum w:abstractNumId="34">
    <w:nsid w:val="69C03409"/>
    <w:multiLevelType w:val="hybridMultilevel"/>
    <w:tmpl w:val="0F2EB2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nsid w:val="6B5975AC"/>
    <w:multiLevelType w:val="hybridMultilevel"/>
    <w:tmpl w:val="2FFAF80A"/>
    <w:lvl w:ilvl="0">
      <w:start w:val="0"/>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6B893EE1"/>
    <w:multiLevelType w:val="hybridMultilevel"/>
    <w:tmpl w:val="FEB892DE"/>
    <w:lvl w:ilvl="0">
      <w:start w:val="1"/>
      <w:numFmt w:val="bullet"/>
      <w:lvlText w:val=""/>
      <w:lvlJc w:val="left"/>
      <w:pPr>
        <w:ind w:left="845" w:hanging="360"/>
      </w:pPr>
      <w:rPr>
        <w:rFonts w:ascii="Symbol" w:hAnsi="Symbol" w:hint="default"/>
      </w:rPr>
    </w:lvl>
    <w:lvl w:ilvl="1" w:tentative="1">
      <w:start w:val="1"/>
      <w:numFmt w:val="bullet"/>
      <w:lvlText w:val="o"/>
      <w:lvlJc w:val="left"/>
      <w:pPr>
        <w:ind w:left="1565" w:hanging="360"/>
      </w:pPr>
      <w:rPr>
        <w:rFonts w:ascii="Courier New" w:hAnsi="Courier New" w:cs="Courier New" w:hint="default"/>
      </w:rPr>
    </w:lvl>
    <w:lvl w:ilvl="2" w:tentative="1">
      <w:start w:val="1"/>
      <w:numFmt w:val="bullet"/>
      <w:lvlText w:val=""/>
      <w:lvlJc w:val="left"/>
      <w:pPr>
        <w:ind w:left="2285" w:hanging="360"/>
      </w:pPr>
      <w:rPr>
        <w:rFonts w:ascii="Wingdings" w:hAnsi="Wingdings" w:hint="default"/>
      </w:rPr>
    </w:lvl>
    <w:lvl w:ilvl="3" w:tentative="1">
      <w:start w:val="1"/>
      <w:numFmt w:val="bullet"/>
      <w:lvlText w:val=""/>
      <w:lvlJc w:val="left"/>
      <w:pPr>
        <w:ind w:left="3005" w:hanging="360"/>
      </w:pPr>
      <w:rPr>
        <w:rFonts w:ascii="Symbol" w:hAnsi="Symbol" w:hint="default"/>
      </w:rPr>
    </w:lvl>
    <w:lvl w:ilvl="4" w:tentative="1">
      <w:start w:val="1"/>
      <w:numFmt w:val="bullet"/>
      <w:lvlText w:val="o"/>
      <w:lvlJc w:val="left"/>
      <w:pPr>
        <w:ind w:left="3725" w:hanging="360"/>
      </w:pPr>
      <w:rPr>
        <w:rFonts w:ascii="Courier New" w:hAnsi="Courier New" w:cs="Courier New" w:hint="default"/>
      </w:rPr>
    </w:lvl>
    <w:lvl w:ilvl="5" w:tentative="1">
      <w:start w:val="1"/>
      <w:numFmt w:val="bullet"/>
      <w:lvlText w:val=""/>
      <w:lvlJc w:val="left"/>
      <w:pPr>
        <w:ind w:left="4445" w:hanging="360"/>
      </w:pPr>
      <w:rPr>
        <w:rFonts w:ascii="Wingdings" w:hAnsi="Wingdings" w:hint="default"/>
      </w:rPr>
    </w:lvl>
    <w:lvl w:ilvl="6" w:tentative="1">
      <w:start w:val="1"/>
      <w:numFmt w:val="bullet"/>
      <w:lvlText w:val=""/>
      <w:lvlJc w:val="left"/>
      <w:pPr>
        <w:ind w:left="5165" w:hanging="360"/>
      </w:pPr>
      <w:rPr>
        <w:rFonts w:ascii="Symbol" w:hAnsi="Symbol" w:hint="default"/>
      </w:rPr>
    </w:lvl>
    <w:lvl w:ilvl="7" w:tentative="1">
      <w:start w:val="1"/>
      <w:numFmt w:val="bullet"/>
      <w:lvlText w:val="o"/>
      <w:lvlJc w:val="left"/>
      <w:pPr>
        <w:ind w:left="5885" w:hanging="360"/>
      </w:pPr>
      <w:rPr>
        <w:rFonts w:ascii="Courier New" w:hAnsi="Courier New" w:cs="Courier New" w:hint="default"/>
      </w:rPr>
    </w:lvl>
    <w:lvl w:ilvl="8" w:tentative="1">
      <w:start w:val="1"/>
      <w:numFmt w:val="bullet"/>
      <w:lvlText w:val=""/>
      <w:lvlJc w:val="left"/>
      <w:pPr>
        <w:ind w:left="6605" w:hanging="360"/>
      </w:pPr>
      <w:rPr>
        <w:rFonts w:ascii="Wingdings" w:hAnsi="Wingdings" w:hint="default"/>
      </w:rPr>
    </w:lvl>
  </w:abstractNum>
  <w:abstractNum w:abstractNumId="37">
    <w:nsid w:val="73D16E82"/>
    <w:multiLevelType w:val="hybridMultilevel"/>
    <w:tmpl w:val="9D22A0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77460736"/>
    <w:multiLevelType w:val="hybridMultilevel"/>
    <w:tmpl w:val="804A27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E4E4DD3"/>
    <w:multiLevelType w:val="hybridMultilevel"/>
    <w:tmpl w:val="F68E5210"/>
    <w:lvl w:ilvl="0">
      <w:start w:val="1"/>
      <w:numFmt w:val="decimal"/>
      <w:pStyle w:val="FERCparanumber"/>
      <w:lvlText w:val="%1."/>
      <w:lvlJc w:val="left"/>
      <w:pPr>
        <w:tabs>
          <w:tab w:val="num" w:pos="720"/>
        </w:tabs>
      </w:pPr>
      <w:rPr>
        <w:rFonts w:ascii="Times New Roman" w:hAnsi="Times New Roman" w:cs="Times New Roman" w:hint="default"/>
        <w:b w:val="0"/>
        <w:i w:val="0"/>
        <w:sz w:val="26"/>
        <w:szCs w:val="26"/>
      </w:rPr>
    </w:lvl>
    <w:lvl w:ilvl="1">
      <w:start w:val="1"/>
      <w:numFmt w:val="upperLetter"/>
      <w:lvlText w:val="%2."/>
      <w:lvlJc w:val="left"/>
      <w:pPr>
        <w:tabs>
          <w:tab w:val="num" w:pos="1440"/>
        </w:tabs>
        <w:ind w:left="1440" w:hanging="360"/>
      </w:pPr>
      <w:rPr>
        <w:rFonts w:cs="Times New Roman" w:hint="default"/>
        <w:u w:val="none"/>
      </w:rPr>
    </w:lvl>
    <w:lvl w:ilvl="2">
      <w:start w:val="1"/>
      <w:numFmt w:val="bullet"/>
      <w:lvlText w:val=""/>
      <w:lvlJc w:val="left"/>
      <w:pPr>
        <w:tabs>
          <w:tab w:val="num" w:pos="2340"/>
        </w:tabs>
        <w:ind w:left="2340" w:hanging="360"/>
      </w:pPr>
      <w:rPr>
        <w:rFonts w:ascii="Symbol" w:hAnsi="Symbol" w:hint="default"/>
        <w:b w:val="0"/>
      </w:rPr>
    </w:lvl>
    <w:lvl w:ilvl="3">
      <w:start w:val="1"/>
      <w:numFmt w:val="decimal"/>
      <w:lvlText w:val="(%4)"/>
      <w:lvlJc w:val="left"/>
      <w:pPr>
        <w:tabs>
          <w:tab w:val="num" w:pos="2880"/>
        </w:tabs>
        <w:ind w:left="2880" w:hanging="360"/>
      </w:pPr>
      <w:rPr>
        <w:rFonts w:cs="Times New Roman" w:hint="default"/>
        <w:b w:val="0"/>
      </w:rPr>
    </w:lvl>
    <w:lvl w:ilvl="4">
      <w:start w:val="4"/>
      <w:numFmt w:val="lowerLetter"/>
      <w:lvlText w:val="%5."/>
      <w:lvlJc w:val="left"/>
      <w:pPr>
        <w:tabs>
          <w:tab w:val="num" w:pos="3600"/>
        </w:tabs>
        <w:ind w:left="3600" w:hanging="360"/>
      </w:pPr>
      <w:rPr>
        <w:rFonts w:cs="Times New Roman" w:hint="default"/>
        <w:b/>
        <w:u w:val="single"/>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num w:numId="1" w16cid:durableId="317619032">
    <w:abstractNumId w:val="25"/>
  </w:num>
  <w:num w:numId="2" w16cid:durableId="2116245160">
    <w:abstractNumId w:val="19"/>
  </w:num>
  <w:num w:numId="3" w16cid:durableId="749886002">
    <w:abstractNumId w:val="30"/>
  </w:num>
  <w:num w:numId="4" w16cid:durableId="249049677">
    <w:abstractNumId w:val="32"/>
  </w:num>
  <w:num w:numId="5" w16cid:durableId="2008628788">
    <w:abstractNumId w:val="39"/>
  </w:num>
  <w:num w:numId="6" w16cid:durableId="925768625">
    <w:abstractNumId w:val="36"/>
  </w:num>
  <w:num w:numId="7" w16cid:durableId="1261597995">
    <w:abstractNumId w:val="13"/>
  </w:num>
  <w:num w:numId="8" w16cid:durableId="1327396703">
    <w:abstractNumId w:val="31"/>
  </w:num>
  <w:num w:numId="9" w16cid:durableId="1170175000">
    <w:abstractNumId w:val="9"/>
  </w:num>
  <w:num w:numId="10" w16cid:durableId="2024165294">
    <w:abstractNumId w:val="7"/>
  </w:num>
  <w:num w:numId="11" w16cid:durableId="1165976530">
    <w:abstractNumId w:val="6"/>
  </w:num>
  <w:num w:numId="12" w16cid:durableId="120539864">
    <w:abstractNumId w:val="5"/>
  </w:num>
  <w:num w:numId="13" w16cid:durableId="882715142">
    <w:abstractNumId w:val="4"/>
  </w:num>
  <w:num w:numId="14" w16cid:durableId="1016229300">
    <w:abstractNumId w:val="8"/>
  </w:num>
  <w:num w:numId="15" w16cid:durableId="369837913">
    <w:abstractNumId w:val="3"/>
  </w:num>
  <w:num w:numId="16" w16cid:durableId="815687499">
    <w:abstractNumId w:val="2"/>
  </w:num>
  <w:num w:numId="17" w16cid:durableId="1348025210">
    <w:abstractNumId w:val="1"/>
  </w:num>
  <w:num w:numId="18" w16cid:durableId="165024132">
    <w:abstractNumId w:val="0"/>
  </w:num>
  <w:num w:numId="19" w16cid:durableId="934171610">
    <w:abstractNumId w:val="34"/>
  </w:num>
  <w:num w:numId="20" w16cid:durableId="668142023">
    <w:abstractNumId w:val="17"/>
  </w:num>
  <w:num w:numId="21" w16cid:durableId="1051927323">
    <w:abstractNumId w:val="10"/>
  </w:num>
  <w:num w:numId="22" w16cid:durableId="1485733457">
    <w:abstractNumId w:val="38"/>
  </w:num>
  <w:num w:numId="23" w16cid:durableId="1013458287">
    <w:abstractNumId w:val="20"/>
  </w:num>
  <w:num w:numId="24" w16cid:durableId="845025440">
    <w:abstractNumId w:val="23"/>
  </w:num>
  <w:num w:numId="25" w16cid:durableId="977953996">
    <w:abstractNumId w:val="37"/>
  </w:num>
  <w:num w:numId="26" w16cid:durableId="303193649">
    <w:abstractNumId w:val="14"/>
  </w:num>
  <w:num w:numId="27" w16cid:durableId="658384917">
    <w:abstractNumId w:val="35"/>
  </w:num>
  <w:num w:numId="28" w16cid:durableId="934480859">
    <w:abstractNumId w:val="12"/>
  </w:num>
  <w:num w:numId="29" w16cid:durableId="1440947199">
    <w:abstractNumId w:val="15"/>
  </w:num>
  <w:num w:numId="30" w16cid:durableId="62266160">
    <w:abstractNumId w:val="27"/>
  </w:num>
  <w:num w:numId="31" w16cid:durableId="841360484">
    <w:abstractNumId w:val="28"/>
  </w:num>
  <w:num w:numId="32" w16cid:durableId="1350060103">
    <w:abstractNumId w:val="16"/>
  </w:num>
  <w:num w:numId="33" w16cid:durableId="2082214978">
    <w:abstractNumId w:val="26"/>
  </w:num>
  <w:num w:numId="34" w16cid:durableId="2107187126">
    <w:abstractNumId w:val="21"/>
  </w:num>
  <w:num w:numId="35" w16cid:durableId="1460996407">
    <w:abstractNumId w:val="22"/>
  </w:num>
  <w:num w:numId="36" w16cid:durableId="1259756345">
    <w:abstractNumId w:val="18"/>
  </w:num>
  <w:num w:numId="37" w16cid:durableId="1102336363">
    <w:abstractNumId w:val="29"/>
    <w:lvlOverride w:ilvl="0">
      <w:startOverride w:val="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05253898">
    <w:abstractNumId w:val="11"/>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43751242">
    <w:abstractNumId w:val="24"/>
  </w:num>
  <w:num w:numId="40" w16cid:durableId="25941529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6F1"/>
    <w:rsid w:val="000006A7"/>
    <w:rsid w:val="00000FCC"/>
    <w:rsid w:val="00001A41"/>
    <w:rsid w:val="00001EC7"/>
    <w:rsid w:val="0000315F"/>
    <w:rsid w:val="00003329"/>
    <w:rsid w:val="000042C0"/>
    <w:rsid w:val="00004303"/>
    <w:rsid w:val="00004903"/>
    <w:rsid w:val="00004D85"/>
    <w:rsid w:val="0000709E"/>
    <w:rsid w:val="00007AA6"/>
    <w:rsid w:val="00010305"/>
    <w:rsid w:val="000104DA"/>
    <w:rsid w:val="00011946"/>
    <w:rsid w:val="00012A47"/>
    <w:rsid w:val="00012DDC"/>
    <w:rsid w:val="00013B0E"/>
    <w:rsid w:val="00015C34"/>
    <w:rsid w:val="00017E73"/>
    <w:rsid w:val="00021EEB"/>
    <w:rsid w:val="0002242D"/>
    <w:rsid w:val="000232B8"/>
    <w:rsid w:val="000233B8"/>
    <w:rsid w:val="00024344"/>
    <w:rsid w:val="0002471C"/>
    <w:rsid w:val="00024DB7"/>
    <w:rsid w:val="00025FDB"/>
    <w:rsid w:val="00026AF2"/>
    <w:rsid w:val="0002788C"/>
    <w:rsid w:val="00030ECE"/>
    <w:rsid w:val="0003127B"/>
    <w:rsid w:val="0003180C"/>
    <w:rsid w:val="000326F2"/>
    <w:rsid w:val="00032AB7"/>
    <w:rsid w:val="00033749"/>
    <w:rsid w:val="00035845"/>
    <w:rsid w:val="000360BA"/>
    <w:rsid w:val="00037F33"/>
    <w:rsid w:val="00043725"/>
    <w:rsid w:val="00043E54"/>
    <w:rsid w:val="00045205"/>
    <w:rsid w:val="00047034"/>
    <w:rsid w:val="0004709E"/>
    <w:rsid w:val="0005160E"/>
    <w:rsid w:val="00051752"/>
    <w:rsid w:val="0005284E"/>
    <w:rsid w:val="00052EA0"/>
    <w:rsid w:val="00053806"/>
    <w:rsid w:val="000541C7"/>
    <w:rsid w:val="00055B11"/>
    <w:rsid w:val="00056478"/>
    <w:rsid w:val="00056FA3"/>
    <w:rsid w:val="00057220"/>
    <w:rsid w:val="00057A9A"/>
    <w:rsid w:val="00057D73"/>
    <w:rsid w:val="000600A8"/>
    <w:rsid w:val="00060BEE"/>
    <w:rsid w:val="000619C7"/>
    <w:rsid w:val="00062B1F"/>
    <w:rsid w:val="00063126"/>
    <w:rsid w:val="00063299"/>
    <w:rsid w:val="0006501E"/>
    <w:rsid w:val="00067836"/>
    <w:rsid w:val="00067FEC"/>
    <w:rsid w:val="00070971"/>
    <w:rsid w:val="00071443"/>
    <w:rsid w:val="00071E8E"/>
    <w:rsid w:val="000739A6"/>
    <w:rsid w:val="00073EAE"/>
    <w:rsid w:val="00076376"/>
    <w:rsid w:val="0007651E"/>
    <w:rsid w:val="00076CA6"/>
    <w:rsid w:val="000810E8"/>
    <w:rsid w:val="00082621"/>
    <w:rsid w:val="00084694"/>
    <w:rsid w:val="0008525F"/>
    <w:rsid w:val="00086B41"/>
    <w:rsid w:val="000870FD"/>
    <w:rsid w:val="00087430"/>
    <w:rsid w:val="000876D1"/>
    <w:rsid w:val="00090E29"/>
    <w:rsid w:val="00090E67"/>
    <w:rsid w:val="00092D19"/>
    <w:rsid w:val="0009360E"/>
    <w:rsid w:val="00093620"/>
    <w:rsid w:val="00093935"/>
    <w:rsid w:val="00094ABA"/>
    <w:rsid w:val="0009667E"/>
    <w:rsid w:val="000A06A2"/>
    <w:rsid w:val="000A0F8C"/>
    <w:rsid w:val="000A1C5D"/>
    <w:rsid w:val="000A27C1"/>
    <w:rsid w:val="000A404A"/>
    <w:rsid w:val="000A441A"/>
    <w:rsid w:val="000B025F"/>
    <w:rsid w:val="000B0C37"/>
    <w:rsid w:val="000B1C57"/>
    <w:rsid w:val="000B26A7"/>
    <w:rsid w:val="000B4923"/>
    <w:rsid w:val="000C0126"/>
    <w:rsid w:val="000C3BBA"/>
    <w:rsid w:val="000C4123"/>
    <w:rsid w:val="000C4F76"/>
    <w:rsid w:val="000C574D"/>
    <w:rsid w:val="000C69C2"/>
    <w:rsid w:val="000D1476"/>
    <w:rsid w:val="000D18A0"/>
    <w:rsid w:val="000D1962"/>
    <w:rsid w:val="000D2802"/>
    <w:rsid w:val="000D2D00"/>
    <w:rsid w:val="000D4338"/>
    <w:rsid w:val="000D4B30"/>
    <w:rsid w:val="000D50EB"/>
    <w:rsid w:val="000D6678"/>
    <w:rsid w:val="000D6BB8"/>
    <w:rsid w:val="000D7D58"/>
    <w:rsid w:val="000E03EF"/>
    <w:rsid w:val="000E4604"/>
    <w:rsid w:val="000E608D"/>
    <w:rsid w:val="000E7D08"/>
    <w:rsid w:val="000F06C8"/>
    <w:rsid w:val="000F145F"/>
    <w:rsid w:val="000F29A4"/>
    <w:rsid w:val="000F3812"/>
    <w:rsid w:val="000F4DA0"/>
    <w:rsid w:val="000F532B"/>
    <w:rsid w:val="000F5B28"/>
    <w:rsid w:val="000F5ED8"/>
    <w:rsid w:val="0010002F"/>
    <w:rsid w:val="001000EC"/>
    <w:rsid w:val="00101B89"/>
    <w:rsid w:val="00103755"/>
    <w:rsid w:val="001062A6"/>
    <w:rsid w:val="00107834"/>
    <w:rsid w:val="00107CDE"/>
    <w:rsid w:val="00112564"/>
    <w:rsid w:val="00112DBD"/>
    <w:rsid w:val="00113862"/>
    <w:rsid w:val="00117B3D"/>
    <w:rsid w:val="00125C16"/>
    <w:rsid w:val="00132DA0"/>
    <w:rsid w:val="0013654C"/>
    <w:rsid w:val="00136F15"/>
    <w:rsid w:val="001372FF"/>
    <w:rsid w:val="001408AC"/>
    <w:rsid w:val="0014269D"/>
    <w:rsid w:val="00143103"/>
    <w:rsid w:val="00145A85"/>
    <w:rsid w:val="00146357"/>
    <w:rsid w:val="00146E4F"/>
    <w:rsid w:val="00146E66"/>
    <w:rsid w:val="001513C0"/>
    <w:rsid w:val="001547BC"/>
    <w:rsid w:val="00154BDD"/>
    <w:rsid w:val="00155694"/>
    <w:rsid w:val="001568A1"/>
    <w:rsid w:val="001614D0"/>
    <w:rsid w:val="00161773"/>
    <w:rsid w:val="00162F5A"/>
    <w:rsid w:val="00163CEC"/>
    <w:rsid w:val="0016596B"/>
    <w:rsid w:val="00167C07"/>
    <w:rsid w:val="001693FA"/>
    <w:rsid w:val="00172907"/>
    <w:rsid w:val="00172A88"/>
    <w:rsid w:val="001735B4"/>
    <w:rsid w:val="001763F0"/>
    <w:rsid w:val="00177381"/>
    <w:rsid w:val="0017787C"/>
    <w:rsid w:val="00181727"/>
    <w:rsid w:val="00182858"/>
    <w:rsid w:val="00185730"/>
    <w:rsid w:val="001866CA"/>
    <w:rsid w:val="0018750D"/>
    <w:rsid w:val="00187617"/>
    <w:rsid w:val="00190012"/>
    <w:rsid w:val="00190A04"/>
    <w:rsid w:val="00190C9C"/>
    <w:rsid w:val="00190F9D"/>
    <w:rsid w:val="0019399A"/>
    <w:rsid w:val="00193B8C"/>
    <w:rsid w:val="001950C7"/>
    <w:rsid w:val="00196432"/>
    <w:rsid w:val="001A0ACF"/>
    <w:rsid w:val="001A1689"/>
    <w:rsid w:val="001A1CF5"/>
    <w:rsid w:val="001A5341"/>
    <w:rsid w:val="001A5407"/>
    <w:rsid w:val="001A6340"/>
    <w:rsid w:val="001A63DC"/>
    <w:rsid w:val="001A77F6"/>
    <w:rsid w:val="001B1197"/>
    <w:rsid w:val="001B2B87"/>
    <w:rsid w:val="001B3AAE"/>
    <w:rsid w:val="001B4565"/>
    <w:rsid w:val="001B5333"/>
    <w:rsid w:val="001B581E"/>
    <w:rsid w:val="001B66CF"/>
    <w:rsid w:val="001B735D"/>
    <w:rsid w:val="001C20C3"/>
    <w:rsid w:val="001C300E"/>
    <w:rsid w:val="001C34CD"/>
    <w:rsid w:val="001C34F4"/>
    <w:rsid w:val="001C3AC0"/>
    <w:rsid w:val="001C71FE"/>
    <w:rsid w:val="001D0D91"/>
    <w:rsid w:val="001D258B"/>
    <w:rsid w:val="001D28EA"/>
    <w:rsid w:val="001E1029"/>
    <w:rsid w:val="001E3441"/>
    <w:rsid w:val="001E4B34"/>
    <w:rsid w:val="001E7276"/>
    <w:rsid w:val="001E7BDF"/>
    <w:rsid w:val="001F0501"/>
    <w:rsid w:val="001F0778"/>
    <w:rsid w:val="001F171A"/>
    <w:rsid w:val="001F1AD2"/>
    <w:rsid w:val="001F27EA"/>
    <w:rsid w:val="001F3020"/>
    <w:rsid w:val="001F4608"/>
    <w:rsid w:val="001F5F1E"/>
    <w:rsid w:val="001F6B5F"/>
    <w:rsid w:val="001F6D3D"/>
    <w:rsid w:val="001F709E"/>
    <w:rsid w:val="002007AC"/>
    <w:rsid w:val="002016C3"/>
    <w:rsid w:val="00201A3A"/>
    <w:rsid w:val="00201DEB"/>
    <w:rsid w:val="002044D3"/>
    <w:rsid w:val="002051EB"/>
    <w:rsid w:val="0020669E"/>
    <w:rsid w:val="00210748"/>
    <w:rsid w:val="00210902"/>
    <w:rsid w:val="00211FC3"/>
    <w:rsid w:val="00212FCA"/>
    <w:rsid w:val="002146FB"/>
    <w:rsid w:val="00214792"/>
    <w:rsid w:val="00215BA7"/>
    <w:rsid w:val="00216841"/>
    <w:rsid w:val="00216BAF"/>
    <w:rsid w:val="00222806"/>
    <w:rsid w:val="002234B3"/>
    <w:rsid w:val="00223906"/>
    <w:rsid w:val="00223D98"/>
    <w:rsid w:val="00224962"/>
    <w:rsid w:val="002249B4"/>
    <w:rsid w:val="002251F3"/>
    <w:rsid w:val="002277CE"/>
    <w:rsid w:val="002312F1"/>
    <w:rsid w:val="00231EBD"/>
    <w:rsid w:val="00232DDB"/>
    <w:rsid w:val="00233443"/>
    <w:rsid w:val="00233D0E"/>
    <w:rsid w:val="00236368"/>
    <w:rsid w:val="002370A4"/>
    <w:rsid w:val="00237EC1"/>
    <w:rsid w:val="00242C57"/>
    <w:rsid w:val="00243620"/>
    <w:rsid w:val="00243FFC"/>
    <w:rsid w:val="00247AA9"/>
    <w:rsid w:val="00250306"/>
    <w:rsid w:val="00250684"/>
    <w:rsid w:val="002512DB"/>
    <w:rsid w:val="00253334"/>
    <w:rsid w:val="0025459C"/>
    <w:rsid w:val="00257578"/>
    <w:rsid w:val="00257D06"/>
    <w:rsid w:val="00261AB8"/>
    <w:rsid w:val="0026278B"/>
    <w:rsid w:val="00263025"/>
    <w:rsid w:val="0026499C"/>
    <w:rsid w:val="0026674D"/>
    <w:rsid w:val="00270229"/>
    <w:rsid w:val="002705B2"/>
    <w:rsid w:val="0027327A"/>
    <w:rsid w:val="00273390"/>
    <w:rsid w:val="00275E54"/>
    <w:rsid w:val="0027782A"/>
    <w:rsid w:val="002800F3"/>
    <w:rsid w:val="00280A6C"/>
    <w:rsid w:val="00282038"/>
    <w:rsid w:val="0028269D"/>
    <w:rsid w:val="00292FC7"/>
    <w:rsid w:val="00293DD1"/>
    <w:rsid w:val="002942E6"/>
    <w:rsid w:val="00295F88"/>
    <w:rsid w:val="00296412"/>
    <w:rsid w:val="00297035"/>
    <w:rsid w:val="0029769D"/>
    <w:rsid w:val="002A2504"/>
    <w:rsid w:val="002A304E"/>
    <w:rsid w:val="002A50C6"/>
    <w:rsid w:val="002A5364"/>
    <w:rsid w:val="002A5FBE"/>
    <w:rsid w:val="002A6959"/>
    <w:rsid w:val="002B0FEB"/>
    <w:rsid w:val="002B13E2"/>
    <w:rsid w:val="002B34C8"/>
    <w:rsid w:val="002B4302"/>
    <w:rsid w:val="002B4480"/>
    <w:rsid w:val="002B4BA9"/>
    <w:rsid w:val="002B502D"/>
    <w:rsid w:val="002B555D"/>
    <w:rsid w:val="002C1BE1"/>
    <w:rsid w:val="002C1DB4"/>
    <w:rsid w:val="002C3327"/>
    <w:rsid w:val="002C5309"/>
    <w:rsid w:val="002C687C"/>
    <w:rsid w:val="002C7345"/>
    <w:rsid w:val="002C7703"/>
    <w:rsid w:val="002D025A"/>
    <w:rsid w:val="002D108B"/>
    <w:rsid w:val="002D1132"/>
    <w:rsid w:val="002D57E3"/>
    <w:rsid w:val="002D7F9F"/>
    <w:rsid w:val="002E0E01"/>
    <w:rsid w:val="002E15BA"/>
    <w:rsid w:val="002E1AFE"/>
    <w:rsid w:val="002E45A4"/>
    <w:rsid w:val="002E48FF"/>
    <w:rsid w:val="002E4A39"/>
    <w:rsid w:val="002E5CDB"/>
    <w:rsid w:val="002E6793"/>
    <w:rsid w:val="002E73DC"/>
    <w:rsid w:val="002E7D81"/>
    <w:rsid w:val="002F0209"/>
    <w:rsid w:val="002F347A"/>
    <w:rsid w:val="002F4042"/>
    <w:rsid w:val="002F5621"/>
    <w:rsid w:val="002F734B"/>
    <w:rsid w:val="00300443"/>
    <w:rsid w:val="0030268B"/>
    <w:rsid w:val="0030535D"/>
    <w:rsid w:val="003125FB"/>
    <w:rsid w:val="00312677"/>
    <w:rsid w:val="00312AD1"/>
    <w:rsid w:val="00314D90"/>
    <w:rsid w:val="00315EF3"/>
    <w:rsid w:val="00316C14"/>
    <w:rsid w:val="00317FAA"/>
    <w:rsid w:val="00321226"/>
    <w:rsid w:val="00322FDD"/>
    <w:rsid w:val="00323A45"/>
    <w:rsid w:val="003242E8"/>
    <w:rsid w:val="00324D7D"/>
    <w:rsid w:val="00325FB3"/>
    <w:rsid w:val="0032782C"/>
    <w:rsid w:val="00330A2A"/>
    <w:rsid w:val="00330AEB"/>
    <w:rsid w:val="00333EE2"/>
    <w:rsid w:val="00336BB3"/>
    <w:rsid w:val="00340E64"/>
    <w:rsid w:val="0034435C"/>
    <w:rsid w:val="00344D07"/>
    <w:rsid w:val="0034575A"/>
    <w:rsid w:val="003514E7"/>
    <w:rsid w:val="003519EB"/>
    <w:rsid w:val="003536EA"/>
    <w:rsid w:val="0035547C"/>
    <w:rsid w:val="00363925"/>
    <w:rsid w:val="0036409F"/>
    <w:rsid w:val="0036497B"/>
    <w:rsid w:val="003658F5"/>
    <w:rsid w:val="0036592A"/>
    <w:rsid w:val="00365B84"/>
    <w:rsid w:val="0036673D"/>
    <w:rsid w:val="00370C68"/>
    <w:rsid w:val="00372BC1"/>
    <w:rsid w:val="00373C36"/>
    <w:rsid w:val="003740B8"/>
    <w:rsid w:val="00375A46"/>
    <w:rsid w:val="00376540"/>
    <w:rsid w:val="00376D79"/>
    <w:rsid w:val="00376FED"/>
    <w:rsid w:val="00377C9C"/>
    <w:rsid w:val="00383A48"/>
    <w:rsid w:val="00383AA6"/>
    <w:rsid w:val="0038611B"/>
    <w:rsid w:val="0038733C"/>
    <w:rsid w:val="003908A0"/>
    <w:rsid w:val="003915AF"/>
    <w:rsid w:val="00393808"/>
    <w:rsid w:val="00394954"/>
    <w:rsid w:val="00397889"/>
    <w:rsid w:val="003A2655"/>
    <w:rsid w:val="003A2900"/>
    <w:rsid w:val="003B0CAB"/>
    <w:rsid w:val="003B11FC"/>
    <w:rsid w:val="003B1498"/>
    <w:rsid w:val="003B25DD"/>
    <w:rsid w:val="003B39BC"/>
    <w:rsid w:val="003B4B59"/>
    <w:rsid w:val="003B6B0F"/>
    <w:rsid w:val="003C0A4F"/>
    <w:rsid w:val="003C0F38"/>
    <w:rsid w:val="003C3085"/>
    <w:rsid w:val="003C4526"/>
    <w:rsid w:val="003C49CD"/>
    <w:rsid w:val="003C4D22"/>
    <w:rsid w:val="003D1048"/>
    <w:rsid w:val="003D155C"/>
    <w:rsid w:val="003D1945"/>
    <w:rsid w:val="003D3224"/>
    <w:rsid w:val="003D36D9"/>
    <w:rsid w:val="003D39D5"/>
    <w:rsid w:val="003D3D26"/>
    <w:rsid w:val="003D47B0"/>
    <w:rsid w:val="003D686D"/>
    <w:rsid w:val="003D69FC"/>
    <w:rsid w:val="003E0475"/>
    <w:rsid w:val="003E0948"/>
    <w:rsid w:val="003E0FA9"/>
    <w:rsid w:val="003E2C0B"/>
    <w:rsid w:val="003E3EF2"/>
    <w:rsid w:val="003E623F"/>
    <w:rsid w:val="003F04E4"/>
    <w:rsid w:val="003F119D"/>
    <w:rsid w:val="003F4B72"/>
    <w:rsid w:val="003F50E2"/>
    <w:rsid w:val="004002A4"/>
    <w:rsid w:val="004004BE"/>
    <w:rsid w:val="00400CDF"/>
    <w:rsid w:val="00401904"/>
    <w:rsid w:val="00402E86"/>
    <w:rsid w:val="004046B1"/>
    <w:rsid w:val="00406E7C"/>
    <w:rsid w:val="00407C55"/>
    <w:rsid w:val="004109FB"/>
    <w:rsid w:val="00410F2F"/>
    <w:rsid w:val="00414E63"/>
    <w:rsid w:val="00414F32"/>
    <w:rsid w:val="004159F5"/>
    <w:rsid w:val="00415C53"/>
    <w:rsid w:val="00416076"/>
    <w:rsid w:val="004169C0"/>
    <w:rsid w:val="00421760"/>
    <w:rsid w:val="00422AE4"/>
    <w:rsid w:val="00424822"/>
    <w:rsid w:val="00425C0F"/>
    <w:rsid w:val="00425E21"/>
    <w:rsid w:val="004272D3"/>
    <w:rsid w:val="00427514"/>
    <w:rsid w:val="00427F5F"/>
    <w:rsid w:val="00430578"/>
    <w:rsid w:val="00430932"/>
    <w:rsid w:val="00431B9E"/>
    <w:rsid w:val="00432261"/>
    <w:rsid w:val="00440CF3"/>
    <w:rsid w:val="00443C42"/>
    <w:rsid w:val="00443D81"/>
    <w:rsid w:val="00443E4D"/>
    <w:rsid w:val="00443E74"/>
    <w:rsid w:val="004455FB"/>
    <w:rsid w:val="00445EDD"/>
    <w:rsid w:val="004469CF"/>
    <w:rsid w:val="004500D0"/>
    <w:rsid w:val="004552E9"/>
    <w:rsid w:val="00455AD6"/>
    <w:rsid w:val="00457A5A"/>
    <w:rsid w:val="004601EA"/>
    <w:rsid w:val="0046112D"/>
    <w:rsid w:val="00461A70"/>
    <w:rsid w:val="004620D9"/>
    <w:rsid w:val="004654F8"/>
    <w:rsid w:val="0046560A"/>
    <w:rsid w:val="00466863"/>
    <w:rsid w:val="00467059"/>
    <w:rsid w:val="0047025C"/>
    <w:rsid w:val="00470344"/>
    <w:rsid w:val="004709A1"/>
    <w:rsid w:val="00471EC4"/>
    <w:rsid w:val="004724F9"/>
    <w:rsid w:val="004738F6"/>
    <w:rsid w:val="00474E28"/>
    <w:rsid w:val="00475459"/>
    <w:rsid w:val="00477458"/>
    <w:rsid w:val="004779B9"/>
    <w:rsid w:val="00477CC5"/>
    <w:rsid w:val="00477DCC"/>
    <w:rsid w:val="0048104A"/>
    <w:rsid w:val="00482349"/>
    <w:rsid w:val="00485D60"/>
    <w:rsid w:val="00486729"/>
    <w:rsid w:val="00491C99"/>
    <w:rsid w:val="00492339"/>
    <w:rsid w:val="00494024"/>
    <w:rsid w:val="004948ED"/>
    <w:rsid w:val="004951E2"/>
    <w:rsid w:val="00495511"/>
    <w:rsid w:val="00496651"/>
    <w:rsid w:val="0049779A"/>
    <w:rsid w:val="004A2318"/>
    <w:rsid w:val="004A446A"/>
    <w:rsid w:val="004B01EE"/>
    <w:rsid w:val="004B020B"/>
    <w:rsid w:val="004B244F"/>
    <w:rsid w:val="004B3103"/>
    <w:rsid w:val="004B344D"/>
    <w:rsid w:val="004B4999"/>
    <w:rsid w:val="004B502E"/>
    <w:rsid w:val="004B5DB0"/>
    <w:rsid w:val="004B71A0"/>
    <w:rsid w:val="004B7A8E"/>
    <w:rsid w:val="004B7B0F"/>
    <w:rsid w:val="004C06AC"/>
    <w:rsid w:val="004C104A"/>
    <w:rsid w:val="004C11FF"/>
    <w:rsid w:val="004C2C49"/>
    <w:rsid w:val="004C3944"/>
    <w:rsid w:val="004C4C89"/>
    <w:rsid w:val="004D2F48"/>
    <w:rsid w:val="004D504E"/>
    <w:rsid w:val="004D7C25"/>
    <w:rsid w:val="004E3294"/>
    <w:rsid w:val="004E3E8F"/>
    <w:rsid w:val="004E6793"/>
    <w:rsid w:val="004F15BA"/>
    <w:rsid w:val="004F1D5A"/>
    <w:rsid w:val="004F2D40"/>
    <w:rsid w:val="004F3733"/>
    <w:rsid w:val="004F4D8D"/>
    <w:rsid w:val="004F5366"/>
    <w:rsid w:val="004F5910"/>
    <w:rsid w:val="004F64EB"/>
    <w:rsid w:val="004F66B9"/>
    <w:rsid w:val="004F6977"/>
    <w:rsid w:val="004F7A4D"/>
    <w:rsid w:val="00500748"/>
    <w:rsid w:val="005017D8"/>
    <w:rsid w:val="00501FB6"/>
    <w:rsid w:val="0050216C"/>
    <w:rsid w:val="0050258F"/>
    <w:rsid w:val="00504647"/>
    <w:rsid w:val="00504E92"/>
    <w:rsid w:val="00506506"/>
    <w:rsid w:val="00506751"/>
    <w:rsid w:val="005068DE"/>
    <w:rsid w:val="005118CD"/>
    <w:rsid w:val="005121A0"/>
    <w:rsid w:val="005140A8"/>
    <w:rsid w:val="005160D0"/>
    <w:rsid w:val="00520776"/>
    <w:rsid w:val="005217DD"/>
    <w:rsid w:val="00521DA6"/>
    <w:rsid w:val="005224A0"/>
    <w:rsid w:val="00522B95"/>
    <w:rsid w:val="00522F69"/>
    <w:rsid w:val="00525121"/>
    <w:rsid w:val="00530462"/>
    <w:rsid w:val="00530589"/>
    <w:rsid w:val="00531539"/>
    <w:rsid w:val="005317BD"/>
    <w:rsid w:val="0053287C"/>
    <w:rsid w:val="005335A7"/>
    <w:rsid w:val="00533E0B"/>
    <w:rsid w:val="005344DB"/>
    <w:rsid w:val="00536430"/>
    <w:rsid w:val="00536766"/>
    <w:rsid w:val="00537B96"/>
    <w:rsid w:val="00544841"/>
    <w:rsid w:val="00547347"/>
    <w:rsid w:val="00550746"/>
    <w:rsid w:val="0055294C"/>
    <w:rsid w:val="005532D4"/>
    <w:rsid w:val="00554773"/>
    <w:rsid w:val="00554E27"/>
    <w:rsid w:val="005550BE"/>
    <w:rsid w:val="005577AB"/>
    <w:rsid w:val="00557DDD"/>
    <w:rsid w:val="00561C0C"/>
    <w:rsid w:val="0056728B"/>
    <w:rsid w:val="005705D6"/>
    <w:rsid w:val="005706BD"/>
    <w:rsid w:val="00571C5E"/>
    <w:rsid w:val="00572435"/>
    <w:rsid w:val="00572C67"/>
    <w:rsid w:val="0057700F"/>
    <w:rsid w:val="00577CC7"/>
    <w:rsid w:val="0058043B"/>
    <w:rsid w:val="00580974"/>
    <w:rsid w:val="00583179"/>
    <w:rsid w:val="00583863"/>
    <w:rsid w:val="00585922"/>
    <w:rsid w:val="00585990"/>
    <w:rsid w:val="005860A8"/>
    <w:rsid w:val="0059004C"/>
    <w:rsid w:val="0059254D"/>
    <w:rsid w:val="00593024"/>
    <w:rsid w:val="005932C8"/>
    <w:rsid w:val="00595EC6"/>
    <w:rsid w:val="005968EF"/>
    <w:rsid w:val="005A2792"/>
    <w:rsid w:val="005A27E0"/>
    <w:rsid w:val="005A2B14"/>
    <w:rsid w:val="005A565B"/>
    <w:rsid w:val="005A57ED"/>
    <w:rsid w:val="005A75D1"/>
    <w:rsid w:val="005A7605"/>
    <w:rsid w:val="005B222B"/>
    <w:rsid w:val="005B4642"/>
    <w:rsid w:val="005B5EC4"/>
    <w:rsid w:val="005B72CD"/>
    <w:rsid w:val="005B74EF"/>
    <w:rsid w:val="005B77CE"/>
    <w:rsid w:val="005C122D"/>
    <w:rsid w:val="005C4C74"/>
    <w:rsid w:val="005C4CA5"/>
    <w:rsid w:val="005C547C"/>
    <w:rsid w:val="005C59EC"/>
    <w:rsid w:val="005C626E"/>
    <w:rsid w:val="005C6D23"/>
    <w:rsid w:val="005C7425"/>
    <w:rsid w:val="005D014F"/>
    <w:rsid w:val="005D0394"/>
    <w:rsid w:val="005D09BE"/>
    <w:rsid w:val="005D1EAB"/>
    <w:rsid w:val="005D41A2"/>
    <w:rsid w:val="005D5649"/>
    <w:rsid w:val="005D7D08"/>
    <w:rsid w:val="005E000E"/>
    <w:rsid w:val="005E25DF"/>
    <w:rsid w:val="005E4F8E"/>
    <w:rsid w:val="005E707D"/>
    <w:rsid w:val="005E7290"/>
    <w:rsid w:val="005E7A9B"/>
    <w:rsid w:val="005F0A0E"/>
    <w:rsid w:val="005F0F07"/>
    <w:rsid w:val="005F1C3C"/>
    <w:rsid w:val="005F1FE5"/>
    <w:rsid w:val="005F2922"/>
    <w:rsid w:val="005F321F"/>
    <w:rsid w:val="005F37A1"/>
    <w:rsid w:val="005F389B"/>
    <w:rsid w:val="005F5468"/>
    <w:rsid w:val="005F59D9"/>
    <w:rsid w:val="005F6201"/>
    <w:rsid w:val="005F66E5"/>
    <w:rsid w:val="00604F7E"/>
    <w:rsid w:val="006058C7"/>
    <w:rsid w:val="00606510"/>
    <w:rsid w:val="00606994"/>
    <w:rsid w:val="0060709A"/>
    <w:rsid w:val="0060762B"/>
    <w:rsid w:val="00610902"/>
    <w:rsid w:val="00610C3E"/>
    <w:rsid w:val="00612952"/>
    <w:rsid w:val="00613B69"/>
    <w:rsid w:val="006151B8"/>
    <w:rsid w:val="00615C10"/>
    <w:rsid w:val="006166FA"/>
    <w:rsid w:val="006170F9"/>
    <w:rsid w:val="00620E17"/>
    <w:rsid w:val="00621532"/>
    <w:rsid w:val="00622210"/>
    <w:rsid w:val="006228F4"/>
    <w:rsid w:val="0062474B"/>
    <w:rsid w:val="00630129"/>
    <w:rsid w:val="00630606"/>
    <w:rsid w:val="006339D0"/>
    <w:rsid w:val="00635632"/>
    <w:rsid w:val="006368BA"/>
    <w:rsid w:val="00636CA8"/>
    <w:rsid w:val="00640FAD"/>
    <w:rsid w:val="00644E06"/>
    <w:rsid w:val="00645154"/>
    <w:rsid w:val="00647E07"/>
    <w:rsid w:val="006501BF"/>
    <w:rsid w:val="00651D25"/>
    <w:rsid w:val="00651F2B"/>
    <w:rsid w:val="00653239"/>
    <w:rsid w:val="00653BD5"/>
    <w:rsid w:val="006547AA"/>
    <w:rsid w:val="00654FBE"/>
    <w:rsid w:val="00655410"/>
    <w:rsid w:val="00655C7E"/>
    <w:rsid w:val="00656BFD"/>
    <w:rsid w:val="00656F55"/>
    <w:rsid w:val="00657D4D"/>
    <w:rsid w:val="0066124E"/>
    <w:rsid w:val="006612B1"/>
    <w:rsid w:val="0066309B"/>
    <w:rsid w:val="00664BC0"/>
    <w:rsid w:val="00666423"/>
    <w:rsid w:val="006668B5"/>
    <w:rsid w:val="006726F4"/>
    <w:rsid w:val="00673FA5"/>
    <w:rsid w:val="00675291"/>
    <w:rsid w:val="00675773"/>
    <w:rsid w:val="00676CE5"/>
    <w:rsid w:val="0067794A"/>
    <w:rsid w:val="00677DA5"/>
    <w:rsid w:val="0068056E"/>
    <w:rsid w:val="00681134"/>
    <w:rsid w:val="006825A5"/>
    <w:rsid w:val="00682665"/>
    <w:rsid w:val="006828AE"/>
    <w:rsid w:val="00682C0F"/>
    <w:rsid w:val="006835EB"/>
    <w:rsid w:val="00685757"/>
    <w:rsid w:val="00687039"/>
    <w:rsid w:val="00690136"/>
    <w:rsid w:val="00691710"/>
    <w:rsid w:val="0069205E"/>
    <w:rsid w:val="00693AD3"/>
    <w:rsid w:val="00694595"/>
    <w:rsid w:val="006945DB"/>
    <w:rsid w:val="0069477F"/>
    <w:rsid w:val="00694D1B"/>
    <w:rsid w:val="00694D88"/>
    <w:rsid w:val="00695622"/>
    <w:rsid w:val="006957DC"/>
    <w:rsid w:val="006A132E"/>
    <w:rsid w:val="006A1388"/>
    <w:rsid w:val="006A25D4"/>
    <w:rsid w:val="006A426A"/>
    <w:rsid w:val="006A4951"/>
    <w:rsid w:val="006A5231"/>
    <w:rsid w:val="006A6554"/>
    <w:rsid w:val="006B3547"/>
    <w:rsid w:val="006B74FE"/>
    <w:rsid w:val="006B7C5C"/>
    <w:rsid w:val="006C26A2"/>
    <w:rsid w:val="006C31FA"/>
    <w:rsid w:val="006C5B57"/>
    <w:rsid w:val="006C7216"/>
    <w:rsid w:val="006D1291"/>
    <w:rsid w:val="006D3EEF"/>
    <w:rsid w:val="006D54AC"/>
    <w:rsid w:val="006D67DF"/>
    <w:rsid w:val="006D74D9"/>
    <w:rsid w:val="006D7EBE"/>
    <w:rsid w:val="006E08D1"/>
    <w:rsid w:val="006E33D4"/>
    <w:rsid w:val="006E4404"/>
    <w:rsid w:val="006E4CD8"/>
    <w:rsid w:val="006E6BF1"/>
    <w:rsid w:val="006E6CA9"/>
    <w:rsid w:val="006E761D"/>
    <w:rsid w:val="006F0027"/>
    <w:rsid w:val="006F0438"/>
    <w:rsid w:val="006F1DDF"/>
    <w:rsid w:val="006F29A9"/>
    <w:rsid w:val="006F587F"/>
    <w:rsid w:val="00702ABF"/>
    <w:rsid w:val="00703DCE"/>
    <w:rsid w:val="00704AC8"/>
    <w:rsid w:val="00704ACA"/>
    <w:rsid w:val="00704C22"/>
    <w:rsid w:val="00705A5C"/>
    <w:rsid w:val="00705E98"/>
    <w:rsid w:val="00705F66"/>
    <w:rsid w:val="00706CD4"/>
    <w:rsid w:val="0070705D"/>
    <w:rsid w:val="00712881"/>
    <w:rsid w:val="00714B80"/>
    <w:rsid w:val="007157F9"/>
    <w:rsid w:val="007165A2"/>
    <w:rsid w:val="0071725E"/>
    <w:rsid w:val="0072020E"/>
    <w:rsid w:val="00720C70"/>
    <w:rsid w:val="0072126E"/>
    <w:rsid w:val="007215AC"/>
    <w:rsid w:val="00723F64"/>
    <w:rsid w:val="00725566"/>
    <w:rsid w:val="00730120"/>
    <w:rsid w:val="00730307"/>
    <w:rsid w:val="00731CBC"/>
    <w:rsid w:val="007324F1"/>
    <w:rsid w:val="007325B3"/>
    <w:rsid w:val="0073424E"/>
    <w:rsid w:val="00734692"/>
    <w:rsid w:val="00734D39"/>
    <w:rsid w:val="00736846"/>
    <w:rsid w:val="00736881"/>
    <w:rsid w:val="00736F96"/>
    <w:rsid w:val="007404D4"/>
    <w:rsid w:val="0074082C"/>
    <w:rsid w:val="00740A83"/>
    <w:rsid w:val="00740F51"/>
    <w:rsid w:val="00742C9C"/>
    <w:rsid w:val="007432DF"/>
    <w:rsid w:val="00743F7E"/>
    <w:rsid w:val="0074489A"/>
    <w:rsid w:val="00745136"/>
    <w:rsid w:val="00746969"/>
    <w:rsid w:val="0074696C"/>
    <w:rsid w:val="00751A76"/>
    <w:rsid w:val="00755ED1"/>
    <w:rsid w:val="00760836"/>
    <w:rsid w:val="00761D5F"/>
    <w:rsid w:val="00763A41"/>
    <w:rsid w:val="00763EAE"/>
    <w:rsid w:val="00764D4D"/>
    <w:rsid w:val="007666A8"/>
    <w:rsid w:val="00767664"/>
    <w:rsid w:val="00773039"/>
    <w:rsid w:val="00773AEB"/>
    <w:rsid w:val="00773B07"/>
    <w:rsid w:val="00773FC3"/>
    <w:rsid w:val="00774EB5"/>
    <w:rsid w:val="00776623"/>
    <w:rsid w:val="00776BE0"/>
    <w:rsid w:val="00777E67"/>
    <w:rsid w:val="00781137"/>
    <w:rsid w:val="007813DB"/>
    <w:rsid w:val="00782103"/>
    <w:rsid w:val="00783941"/>
    <w:rsid w:val="00784211"/>
    <w:rsid w:val="0078429F"/>
    <w:rsid w:val="0078458B"/>
    <w:rsid w:val="007850A8"/>
    <w:rsid w:val="00785C79"/>
    <w:rsid w:val="007869CF"/>
    <w:rsid w:val="00787670"/>
    <w:rsid w:val="00787FED"/>
    <w:rsid w:val="00794868"/>
    <w:rsid w:val="007973A8"/>
    <w:rsid w:val="007A063D"/>
    <w:rsid w:val="007A2408"/>
    <w:rsid w:val="007A2F92"/>
    <w:rsid w:val="007A3D73"/>
    <w:rsid w:val="007A4898"/>
    <w:rsid w:val="007A6167"/>
    <w:rsid w:val="007A618B"/>
    <w:rsid w:val="007A69B7"/>
    <w:rsid w:val="007A7A19"/>
    <w:rsid w:val="007A7B91"/>
    <w:rsid w:val="007B3E16"/>
    <w:rsid w:val="007B41D9"/>
    <w:rsid w:val="007B5C6E"/>
    <w:rsid w:val="007C0994"/>
    <w:rsid w:val="007C18C6"/>
    <w:rsid w:val="007C1CB4"/>
    <w:rsid w:val="007C31D6"/>
    <w:rsid w:val="007C5EB4"/>
    <w:rsid w:val="007C7029"/>
    <w:rsid w:val="007D00F7"/>
    <w:rsid w:val="007D09D5"/>
    <w:rsid w:val="007D1C64"/>
    <w:rsid w:val="007D1EDB"/>
    <w:rsid w:val="007D3513"/>
    <w:rsid w:val="007D4C3D"/>
    <w:rsid w:val="007D5112"/>
    <w:rsid w:val="007D5718"/>
    <w:rsid w:val="007D67D3"/>
    <w:rsid w:val="007E03FE"/>
    <w:rsid w:val="007E068D"/>
    <w:rsid w:val="007E08EF"/>
    <w:rsid w:val="007E12BA"/>
    <w:rsid w:val="007E15B5"/>
    <w:rsid w:val="007E4EC5"/>
    <w:rsid w:val="007E549C"/>
    <w:rsid w:val="007E7087"/>
    <w:rsid w:val="007E732A"/>
    <w:rsid w:val="007E7C0F"/>
    <w:rsid w:val="007E7FE9"/>
    <w:rsid w:val="007F0136"/>
    <w:rsid w:val="007F1AC1"/>
    <w:rsid w:val="007F2CD9"/>
    <w:rsid w:val="007F3C02"/>
    <w:rsid w:val="007F4289"/>
    <w:rsid w:val="007F42F1"/>
    <w:rsid w:val="007F442A"/>
    <w:rsid w:val="007F44DC"/>
    <w:rsid w:val="007F58DE"/>
    <w:rsid w:val="007F7801"/>
    <w:rsid w:val="007F7FCC"/>
    <w:rsid w:val="00801315"/>
    <w:rsid w:val="00804051"/>
    <w:rsid w:val="00805BA5"/>
    <w:rsid w:val="00805EA0"/>
    <w:rsid w:val="00806F1D"/>
    <w:rsid w:val="00807BE3"/>
    <w:rsid w:val="00810EBD"/>
    <w:rsid w:val="008123ED"/>
    <w:rsid w:val="00812502"/>
    <w:rsid w:val="008129BD"/>
    <w:rsid w:val="00813D9B"/>
    <w:rsid w:val="0081469B"/>
    <w:rsid w:val="008155D6"/>
    <w:rsid w:val="008204E6"/>
    <w:rsid w:val="008205F7"/>
    <w:rsid w:val="00820792"/>
    <w:rsid w:val="00821965"/>
    <w:rsid w:val="00823BFE"/>
    <w:rsid w:val="0082480E"/>
    <w:rsid w:val="00824B30"/>
    <w:rsid w:val="00826750"/>
    <w:rsid w:val="0082692C"/>
    <w:rsid w:val="00827787"/>
    <w:rsid w:val="00830E23"/>
    <w:rsid w:val="00832948"/>
    <w:rsid w:val="00833F52"/>
    <w:rsid w:val="00835344"/>
    <w:rsid w:val="00835C7D"/>
    <w:rsid w:val="00836ACB"/>
    <w:rsid w:val="00836F39"/>
    <w:rsid w:val="00841095"/>
    <w:rsid w:val="00841DE0"/>
    <w:rsid w:val="00842128"/>
    <w:rsid w:val="00842A8E"/>
    <w:rsid w:val="00842C1A"/>
    <w:rsid w:val="0084324D"/>
    <w:rsid w:val="00844D11"/>
    <w:rsid w:val="00845C73"/>
    <w:rsid w:val="00847190"/>
    <w:rsid w:val="00847B85"/>
    <w:rsid w:val="00851259"/>
    <w:rsid w:val="008521A5"/>
    <w:rsid w:val="00853750"/>
    <w:rsid w:val="0085429B"/>
    <w:rsid w:val="008571D8"/>
    <w:rsid w:val="00860221"/>
    <w:rsid w:val="008603A5"/>
    <w:rsid w:val="008619E1"/>
    <w:rsid w:val="00862C7E"/>
    <w:rsid w:val="00865DE3"/>
    <w:rsid w:val="00867694"/>
    <w:rsid w:val="00873A41"/>
    <w:rsid w:val="00873EBB"/>
    <w:rsid w:val="008742AC"/>
    <w:rsid w:val="00875599"/>
    <w:rsid w:val="00876C2E"/>
    <w:rsid w:val="00876E48"/>
    <w:rsid w:val="00876F75"/>
    <w:rsid w:val="008773B0"/>
    <w:rsid w:val="00877472"/>
    <w:rsid w:val="00877C00"/>
    <w:rsid w:val="0088039F"/>
    <w:rsid w:val="008810B7"/>
    <w:rsid w:val="00882AFF"/>
    <w:rsid w:val="008838BF"/>
    <w:rsid w:val="00883F19"/>
    <w:rsid w:val="00885FBA"/>
    <w:rsid w:val="00887060"/>
    <w:rsid w:val="00891979"/>
    <w:rsid w:val="00891EBA"/>
    <w:rsid w:val="0089521D"/>
    <w:rsid w:val="00896477"/>
    <w:rsid w:val="008964C2"/>
    <w:rsid w:val="00896DEA"/>
    <w:rsid w:val="008979AE"/>
    <w:rsid w:val="00897AE9"/>
    <w:rsid w:val="008A042D"/>
    <w:rsid w:val="008A0431"/>
    <w:rsid w:val="008A0603"/>
    <w:rsid w:val="008A0CCC"/>
    <w:rsid w:val="008A21A4"/>
    <w:rsid w:val="008A24A4"/>
    <w:rsid w:val="008A4C48"/>
    <w:rsid w:val="008A58E8"/>
    <w:rsid w:val="008A5C71"/>
    <w:rsid w:val="008A5CD5"/>
    <w:rsid w:val="008A72F0"/>
    <w:rsid w:val="008A757A"/>
    <w:rsid w:val="008B0739"/>
    <w:rsid w:val="008B0A37"/>
    <w:rsid w:val="008B2769"/>
    <w:rsid w:val="008B3F5A"/>
    <w:rsid w:val="008B4649"/>
    <w:rsid w:val="008B4E88"/>
    <w:rsid w:val="008B4E95"/>
    <w:rsid w:val="008B5160"/>
    <w:rsid w:val="008B58EA"/>
    <w:rsid w:val="008B703B"/>
    <w:rsid w:val="008B7B44"/>
    <w:rsid w:val="008C1E08"/>
    <w:rsid w:val="008C1F0A"/>
    <w:rsid w:val="008C288D"/>
    <w:rsid w:val="008C4831"/>
    <w:rsid w:val="008D00BA"/>
    <w:rsid w:val="008D0390"/>
    <w:rsid w:val="008D175A"/>
    <w:rsid w:val="008D176F"/>
    <w:rsid w:val="008D2CA4"/>
    <w:rsid w:val="008D4476"/>
    <w:rsid w:val="008D58DC"/>
    <w:rsid w:val="008E041E"/>
    <w:rsid w:val="008E04D7"/>
    <w:rsid w:val="008E2350"/>
    <w:rsid w:val="008E576B"/>
    <w:rsid w:val="008E5B37"/>
    <w:rsid w:val="008E60ED"/>
    <w:rsid w:val="008E70CD"/>
    <w:rsid w:val="008F06A4"/>
    <w:rsid w:val="008F16EE"/>
    <w:rsid w:val="008F3AD3"/>
    <w:rsid w:val="008F70E5"/>
    <w:rsid w:val="008F7F55"/>
    <w:rsid w:val="00900934"/>
    <w:rsid w:val="00901659"/>
    <w:rsid w:val="00907E06"/>
    <w:rsid w:val="0091198B"/>
    <w:rsid w:val="00913A8B"/>
    <w:rsid w:val="00913AEB"/>
    <w:rsid w:val="00913D1C"/>
    <w:rsid w:val="00914615"/>
    <w:rsid w:val="009146D3"/>
    <w:rsid w:val="00914CE1"/>
    <w:rsid w:val="00914D64"/>
    <w:rsid w:val="009160FE"/>
    <w:rsid w:val="00916824"/>
    <w:rsid w:val="0092018D"/>
    <w:rsid w:val="00922FD7"/>
    <w:rsid w:val="009230FE"/>
    <w:rsid w:val="00923407"/>
    <w:rsid w:val="009234F6"/>
    <w:rsid w:val="00924C11"/>
    <w:rsid w:val="009250E0"/>
    <w:rsid w:val="00925499"/>
    <w:rsid w:val="0092596C"/>
    <w:rsid w:val="009264B4"/>
    <w:rsid w:val="00926C52"/>
    <w:rsid w:val="0093047B"/>
    <w:rsid w:val="0093057E"/>
    <w:rsid w:val="009311F1"/>
    <w:rsid w:val="00931A73"/>
    <w:rsid w:val="00932E6F"/>
    <w:rsid w:val="00934B47"/>
    <w:rsid w:val="00934FFC"/>
    <w:rsid w:val="00937A53"/>
    <w:rsid w:val="00937B80"/>
    <w:rsid w:val="00943016"/>
    <w:rsid w:val="00943534"/>
    <w:rsid w:val="00943DB6"/>
    <w:rsid w:val="00944554"/>
    <w:rsid w:val="009455D4"/>
    <w:rsid w:val="009500BF"/>
    <w:rsid w:val="00950125"/>
    <w:rsid w:val="00952EB0"/>
    <w:rsid w:val="0095356C"/>
    <w:rsid w:val="00953E8C"/>
    <w:rsid w:val="00953F4C"/>
    <w:rsid w:val="00954E34"/>
    <w:rsid w:val="00955503"/>
    <w:rsid w:val="00956723"/>
    <w:rsid w:val="00956CCA"/>
    <w:rsid w:val="00956FFB"/>
    <w:rsid w:val="009602EB"/>
    <w:rsid w:val="00960EBF"/>
    <w:rsid w:val="009610C7"/>
    <w:rsid w:val="00961152"/>
    <w:rsid w:val="00962059"/>
    <w:rsid w:val="00964094"/>
    <w:rsid w:val="00964894"/>
    <w:rsid w:val="00970FE4"/>
    <w:rsid w:val="00973D7D"/>
    <w:rsid w:val="0097495E"/>
    <w:rsid w:val="009805CF"/>
    <w:rsid w:val="00980605"/>
    <w:rsid w:val="00981012"/>
    <w:rsid w:val="0098144A"/>
    <w:rsid w:val="0098152D"/>
    <w:rsid w:val="009831E0"/>
    <w:rsid w:val="009837D5"/>
    <w:rsid w:val="00983944"/>
    <w:rsid w:val="00984BF7"/>
    <w:rsid w:val="009875B8"/>
    <w:rsid w:val="00990364"/>
    <w:rsid w:val="00990402"/>
    <w:rsid w:val="0099060F"/>
    <w:rsid w:val="00990AA2"/>
    <w:rsid w:val="009930C8"/>
    <w:rsid w:val="00993AE1"/>
    <w:rsid w:val="009946AD"/>
    <w:rsid w:val="009947C7"/>
    <w:rsid w:val="0099480B"/>
    <w:rsid w:val="009A21D0"/>
    <w:rsid w:val="009A2394"/>
    <w:rsid w:val="009A2BB3"/>
    <w:rsid w:val="009A2C8A"/>
    <w:rsid w:val="009A3466"/>
    <w:rsid w:val="009A3F1E"/>
    <w:rsid w:val="009A480A"/>
    <w:rsid w:val="009A5072"/>
    <w:rsid w:val="009A58C8"/>
    <w:rsid w:val="009A6041"/>
    <w:rsid w:val="009A6326"/>
    <w:rsid w:val="009B0D3A"/>
    <w:rsid w:val="009B2E0D"/>
    <w:rsid w:val="009B2F0F"/>
    <w:rsid w:val="009B4DFC"/>
    <w:rsid w:val="009B4EF5"/>
    <w:rsid w:val="009C0408"/>
    <w:rsid w:val="009C1C89"/>
    <w:rsid w:val="009C2C25"/>
    <w:rsid w:val="009C373A"/>
    <w:rsid w:val="009C5C80"/>
    <w:rsid w:val="009C7ADC"/>
    <w:rsid w:val="009D3282"/>
    <w:rsid w:val="009D4D24"/>
    <w:rsid w:val="009D65E5"/>
    <w:rsid w:val="009D698D"/>
    <w:rsid w:val="009D7FB7"/>
    <w:rsid w:val="009E0176"/>
    <w:rsid w:val="009E1190"/>
    <w:rsid w:val="009E1CAE"/>
    <w:rsid w:val="009E68B7"/>
    <w:rsid w:val="009F02EF"/>
    <w:rsid w:val="009F04D1"/>
    <w:rsid w:val="009F0FC2"/>
    <w:rsid w:val="009F183B"/>
    <w:rsid w:val="009F2DC4"/>
    <w:rsid w:val="009F2EB1"/>
    <w:rsid w:val="009F358B"/>
    <w:rsid w:val="009F48B3"/>
    <w:rsid w:val="009F51E6"/>
    <w:rsid w:val="009F534F"/>
    <w:rsid w:val="009F56BE"/>
    <w:rsid w:val="009F6297"/>
    <w:rsid w:val="00A018C1"/>
    <w:rsid w:val="00A03474"/>
    <w:rsid w:val="00A03A01"/>
    <w:rsid w:val="00A04C6D"/>
    <w:rsid w:val="00A05618"/>
    <w:rsid w:val="00A067D7"/>
    <w:rsid w:val="00A0793A"/>
    <w:rsid w:val="00A11B1D"/>
    <w:rsid w:val="00A124D2"/>
    <w:rsid w:val="00A133CB"/>
    <w:rsid w:val="00A13B90"/>
    <w:rsid w:val="00A16ACC"/>
    <w:rsid w:val="00A16D58"/>
    <w:rsid w:val="00A21533"/>
    <w:rsid w:val="00A21E13"/>
    <w:rsid w:val="00A21E72"/>
    <w:rsid w:val="00A24658"/>
    <w:rsid w:val="00A25080"/>
    <w:rsid w:val="00A2597C"/>
    <w:rsid w:val="00A25ECB"/>
    <w:rsid w:val="00A276F5"/>
    <w:rsid w:val="00A3035B"/>
    <w:rsid w:val="00A314BA"/>
    <w:rsid w:val="00A31656"/>
    <w:rsid w:val="00A31664"/>
    <w:rsid w:val="00A31ABC"/>
    <w:rsid w:val="00A32414"/>
    <w:rsid w:val="00A32B85"/>
    <w:rsid w:val="00A330B8"/>
    <w:rsid w:val="00A343EB"/>
    <w:rsid w:val="00A34F00"/>
    <w:rsid w:val="00A36704"/>
    <w:rsid w:val="00A37824"/>
    <w:rsid w:val="00A40B52"/>
    <w:rsid w:val="00A41035"/>
    <w:rsid w:val="00A41F02"/>
    <w:rsid w:val="00A42341"/>
    <w:rsid w:val="00A4336A"/>
    <w:rsid w:val="00A45C37"/>
    <w:rsid w:val="00A512E8"/>
    <w:rsid w:val="00A54220"/>
    <w:rsid w:val="00A548BE"/>
    <w:rsid w:val="00A56ED8"/>
    <w:rsid w:val="00A57990"/>
    <w:rsid w:val="00A610CD"/>
    <w:rsid w:val="00A6163B"/>
    <w:rsid w:val="00A626FA"/>
    <w:rsid w:val="00A64247"/>
    <w:rsid w:val="00A64846"/>
    <w:rsid w:val="00A6790F"/>
    <w:rsid w:val="00A7099A"/>
    <w:rsid w:val="00A728C4"/>
    <w:rsid w:val="00A72E7B"/>
    <w:rsid w:val="00A73E74"/>
    <w:rsid w:val="00A77E32"/>
    <w:rsid w:val="00A80B50"/>
    <w:rsid w:val="00A81296"/>
    <w:rsid w:val="00A818E7"/>
    <w:rsid w:val="00A820E8"/>
    <w:rsid w:val="00A82672"/>
    <w:rsid w:val="00A828A2"/>
    <w:rsid w:val="00A830F4"/>
    <w:rsid w:val="00A8555E"/>
    <w:rsid w:val="00A95796"/>
    <w:rsid w:val="00A9662B"/>
    <w:rsid w:val="00A968FB"/>
    <w:rsid w:val="00A96B65"/>
    <w:rsid w:val="00A97A9B"/>
    <w:rsid w:val="00AA2703"/>
    <w:rsid w:val="00AA40D8"/>
    <w:rsid w:val="00AA46EF"/>
    <w:rsid w:val="00AA55C7"/>
    <w:rsid w:val="00AA5AE7"/>
    <w:rsid w:val="00AB222C"/>
    <w:rsid w:val="00AB3C34"/>
    <w:rsid w:val="00AB4A7E"/>
    <w:rsid w:val="00AB6645"/>
    <w:rsid w:val="00AB665B"/>
    <w:rsid w:val="00AB72A9"/>
    <w:rsid w:val="00AC39D3"/>
    <w:rsid w:val="00AC44F0"/>
    <w:rsid w:val="00AC488E"/>
    <w:rsid w:val="00AC5B54"/>
    <w:rsid w:val="00AC6F48"/>
    <w:rsid w:val="00AC749C"/>
    <w:rsid w:val="00AD09F7"/>
    <w:rsid w:val="00AD2F25"/>
    <w:rsid w:val="00AD3A82"/>
    <w:rsid w:val="00AD3DE5"/>
    <w:rsid w:val="00AD4511"/>
    <w:rsid w:val="00AD4C87"/>
    <w:rsid w:val="00AD4CC5"/>
    <w:rsid w:val="00AD5F1C"/>
    <w:rsid w:val="00AD7868"/>
    <w:rsid w:val="00AE1737"/>
    <w:rsid w:val="00AE205C"/>
    <w:rsid w:val="00AE487F"/>
    <w:rsid w:val="00AE4F96"/>
    <w:rsid w:val="00AE5C37"/>
    <w:rsid w:val="00AF32F2"/>
    <w:rsid w:val="00AF3AC9"/>
    <w:rsid w:val="00AF4A61"/>
    <w:rsid w:val="00AF715D"/>
    <w:rsid w:val="00AF7784"/>
    <w:rsid w:val="00B0108B"/>
    <w:rsid w:val="00B0214B"/>
    <w:rsid w:val="00B0505D"/>
    <w:rsid w:val="00B052D8"/>
    <w:rsid w:val="00B06088"/>
    <w:rsid w:val="00B07E9D"/>
    <w:rsid w:val="00B132AA"/>
    <w:rsid w:val="00B1381C"/>
    <w:rsid w:val="00B1520D"/>
    <w:rsid w:val="00B1608E"/>
    <w:rsid w:val="00B16372"/>
    <w:rsid w:val="00B17B3E"/>
    <w:rsid w:val="00B17D68"/>
    <w:rsid w:val="00B253C7"/>
    <w:rsid w:val="00B26F31"/>
    <w:rsid w:val="00B300D7"/>
    <w:rsid w:val="00B328F7"/>
    <w:rsid w:val="00B3407F"/>
    <w:rsid w:val="00B37B06"/>
    <w:rsid w:val="00B40453"/>
    <w:rsid w:val="00B40DAD"/>
    <w:rsid w:val="00B41006"/>
    <w:rsid w:val="00B43515"/>
    <w:rsid w:val="00B436F4"/>
    <w:rsid w:val="00B43923"/>
    <w:rsid w:val="00B44058"/>
    <w:rsid w:val="00B44D95"/>
    <w:rsid w:val="00B45812"/>
    <w:rsid w:val="00B47DAB"/>
    <w:rsid w:val="00B50347"/>
    <w:rsid w:val="00B51FE5"/>
    <w:rsid w:val="00B5301A"/>
    <w:rsid w:val="00B552E2"/>
    <w:rsid w:val="00B62DC2"/>
    <w:rsid w:val="00B633FE"/>
    <w:rsid w:val="00B664B3"/>
    <w:rsid w:val="00B66901"/>
    <w:rsid w:val="00B716CA"/>
    <w:rsid w:val="00B71901"/>
    <w:rsid w:val="00B7213C"/>
    <w:rsid w:val="00B73DC6"/>
    <w:rsid w:val="00B7545B"/>
    <w:rsid w:val="00B77083"/>
    <w:rsid w:val="00B775B6"/>
    <w:rsid w:val="00B81043"/>
    <w:rsid w:val="00B81C6A"/>
    <w:rsid w:val="00B821FC"/>
    <w:rsid w:val="00B827BB"/>
    <w:rsid w:val="00B82D54"/>
    <w:rsid w:val="00B8472E"/>
    <w:rsid w:val="00B84826"/>
    <w:rsid w:val="00B8516E"/>
    <w:rsid w:val="00B86284"/>
    <w:rsid w:val="00B862DA"/>
    <w:rsid w:val="00B8674F"/>
    <w:rsid w:val="00B87BD5"/>
    <w:rsid w:val="00B92843"/>
    <w:rsid w:val="00B941AE"/>
    <w:rsid w:val="00BA0D99"/>
    <w:rsid w:val="00BA1C7D"/>
    <w:rsid w:val="00BA1D55"/>
    <w:rsid w:val="00BA1F6D"/>
    <w:rsid w:val="00BA4984"/>
    <w:rsid w:val="00BA5743"/>
    <w:rsid w:val="00BA57C6"/>
    <w:rsid w:val="00BA5847"/>
    <w:rsid w:val="00BA7C56"/>
    <w:rsid w:val="00BB0490"/>
    <w:rsid w:val="00BB0CBD"/>
    <w:rsid w:val="00BB0FAF"/>
    <w:rsid w:val="00BB19B9"/>
    <w:rsid w:val="00BB46E2"/>
    <w:rsid w:val="00BB603D"/>
    <w:rsid w:val="00BB712C"/>
    <w:rsid w:val="00BB7F3D"/>
    <w:rsid w:val="00BC06FD"/>
    <w:rsid w:val="00BC266B"/>
    <w:rsid w:val="00BC2D1E"/>
    <w:rsid w:val="00BC302C"/>
    <w:rsid w:val="00BC3FF3"/>
    <w:rsid w:val="00BC45E4"/>
    <w:rsid w:val="00BC5111"/>
    <w:rsid w:val="00BC5409"/>
    <w:rsid w:val="00BD0FD5"/>
    <w:rsid w:val="00BD1BEC"/>
    <w:rsid w:val="00BD1EEB"/>
    <w:rsid w:val="00BD3423"/>
    <w:rsid w:val="00BD37A8"/>
    <w:rsid w:val="00BD6EFF"/>
    <w:rsid w:val="00BD7842"/>
    <w:rsid w:val="00BD7A0D"/>
    <w:rsid w:val="00BE1487"/>
    <w:rsid w:val="00BE16B9"/>
    <w:rsid w:val="00BE2B4E"/>
    <w:rsid w:val="00BE3A10"/>
    <w:rsid w:val="00BE3D99"/>
    <w:rsid w:val="00BE4215"/>
    <w:rsid w:val="00BE4E33"/>
    <w:rsid w:val="00BE6D1C"/>
    <w:rsid w:val="00BE714E"/>
    <w:rsid w:val="00BF3121"/>
    <w:rsid w:val="00BF3B0B"/>
    <w:rsid w:val="00BF3B8D"/>
    <w:rsid w:val="00BF6199"/>
    <w:rsid w:val="00BF725C"/>
    <w:rsid w:val="00BF7653"/>
    <w:rsid w:val="00BF7E7D"/>
    <w:rsid w:val="00C00D70"/>
    <w:rsid w:val="00C01459"/>
    <w:rsid w:val="00C01698"/>
    <w:rsid w:val="00C01BDD"/>
    <w:rsid w:val="00C022E7"/>
    <w:rsid w:val="00C02614"/>
    <w:rsid w:val="00C02A75"/>
    <w:rsid w:val="00C02E27"/>
    <w:rsid w:val="00C041A8"/>
    <w:rsid w:val="00C0666C"/>
    <w:rsid w:val="00C06946"/>
    <w:rsid w:val="00C120BE"/>
    <w:rsid w:val="00C1258E"/>
    <w:rsid w:val="00C12FB6"/>
    <w:rsid w:val="00C13736"/>
    <w:rsid w:val="00C14DD2"/>
    <w:rsid w:val="00C158DC"/>
    <w:rsid w:val="00C17470"/>
    <w:rsid w:val="00C2187C"/>
    <w:rsid w:val="00C21ECD"/>
    <w:rsid w:val="00C24270"/>
    <w:rsid w:val="00C256D9"/>
    <w:rsid w:val="00C263BB"/>
    <w:rsid w:val="00C26A65"/>
    <w:rsid w:val="00C27875"/>
    <w:rsid w:val="00C279BF"/>
    <w:rsid w:val="00C27EF3"/>
    <w:rsid w:val="00C2FA5E"/>
    <w:rsid w:val="00C301FB"/>
    <w:rsid w:val="00C314B4"/>
    <w:rsid w:val="00C32A4C"/>
    <w:rsid w:val="00C32C02"/>
    <w:rsid w:val="00C3435C"/>
    <w:rsid w:val="00C35193"/>
    <w:rsid w:val="00C379AB"/>
    <w:rsid w:val="00C37A2F"/>
    <w:rsid w:val="00C41BEC"/>
    <w:rsid w:val="00C42A79"/>
    <w:rsid w:val="00C4352F"/>
    <w:rsid w:val="00C438A6"/>
    <w:rsid w:val="00C45F56"/>
    <w:rsid w:val="00C5074E"/>
    <w:rsid w:val="00C508CC"/>
    <w:rsid w:val="00C510DD"/>
    <w:rsid w:val="00C535D8"/>
    <w:rsid w:val="00C540D8"/>
    <w:rsid w:val="00C54227"/>
    <w:rsid w:val="00C54E83"/>
    <w:rsid w:val="00C5745C"/>
    <w:rsid w:val="00C57485"/>
    <w:rsid w:val="00C578EE"/>
    <w:rsid w:val="00C604F0"/>
    <w:rsid w:val="00C60886"/>
    <w:rsid w:val="00C60B95"/>
    <w:rsid w:val="00C60EDC"/>
    <w:rsid w:val="00C62B59"/>
    <w:rsid w:val="00C62FF1"/>
    <w:rsid w:val="00C65788"/>
    <w:rsid w:val="00C66618"/>
    <w:rsid w:val="00C70B32"/>
    <w:rsid w:val="00C718DE"/>
    <w:rsid w:val="00C754A4"/>
    <w:rsid w:val="00C754CC"/>
    <w:rsid w:val="00C779B8"/>
    <w:rsid w:val="00C800B7"/>
    <w:rsid w:val="00C80796"/>
    <w:rsid w:val="00C80859"/>
    <w:rsid w:val="00C83E54"/>
    <w:rsid w:val="00C8605B"/>
    <w:rsid w:val="00C8617F"/>
    <w:rsid w:val="00C867EB"/>
    <w:rsid w:val="00C907C8"/>
    <w:rsid w:val="00C9184D"/>
    <w:rsid w:val="00C941BD"/>
    <w:rsid w:val="00C944AD"/>
    <w:rsid w:val="00C955C5"/>
    <w:rsid w:val="00C959A5"/>
    <w:rsid w:val="00C96857"/>
    <w:rsid w:val="00C96D18"/>
    <w:rsid w:val="00C9708B"/>
    <w:rsid w:val="00CA29FC"/>
    <w:rsid w:val="00CA495F"/>
    <w:rsid w:val="00CA4BDB"/>
    <w:rsid w:val="00CA4F8C"/>
    <w:rsid w:val="00CA59C3"/>
    <w:rsid w:val="00CA6D5C"/>
    <w:rsid w:val="00CB0275"/>
    <w:rsid w:val="00CB0CFE"/>
    <w:rsid w:val="00CB4FDE"/>
    <w:rsid w:val="00CB508D"/>
    <w:rsid w:val="00CB5BDA"/>
    <w:rsid w:val="00CB5C60"/>
    <w:rsid w:val="00CB6E9E"/>
    <w:rsid w:val="00CC086F"/>
    <w:rsid w:val="00CC0E63"/>
    <w:rsid w:val="00CC3EA3"/>
    <w:rsid w:val="00CC433E"/>
    <w:rsid w:val="00CD061C"/>
    <w:rsid w:val="00CD079C"/>
    <w:rsid w:val="00CD129D"/>
    <w:rsid w:val="00CD24AB"/>
    <w:rsid w:val="00CD2D86"/>
    <w:rsid w:val="00CD47F8"/>
    <w:rsid w:val="00CD62E1"/>
    <w:rsid w:val="00CD7DBB"/>
    <w:rsid w:val="00CD7E50"/>
    <w:rsid w:val="00CE121F"/>
    <w:rsid w:val="00CE12BE"/>
    <w:rsid w:val="00CE25A3"/>
    <w:rsid w:val="00CE34E4"/>
    <w:rsid w:val="00CE47E4"/>
    <w:rsid w:val="00CE4DC5"/>
    <w:rsid w:val="00CE7EC8"/>
    <w:rsid w:val="00CF08CA"/>
    <w:rsid w:val="00CF1325"/>
    <w:rsid w:val="00CF21A0"/>
    <w:rsid w:val="00CF4A63"/>
    <w:rsid w:val="00CF5C55"/>
    <w:rsid w:val="00CF695A"/>
    <w:rsid w:val="00CF702E"/>
    <w:rsid w:val="00CF734E"/>
    <w:rsid w:val="00D0102F"/>
    <w:rsid w:val="00D01F52"/>
    <w:rsid w:val="00D037AB"/>
    <w:rsid w:val="00D03DA5"/>
    <w:rsid w:val="00D0486F"/>
    <w:rsid w:val="00D05648"/>
    <w:rsid w:val="00D059C1"/>
    <w:rsid w:val="00D05A7F"/>
    <w:rsid w:val="00D05BEF"/>
    <w:rsid w:val="00D0606B"/>
    <w:rsid w:val="00D06394"/>
    <w:rsid w:val="00D119C3"/>
    <w:rsid w:val="00D12DCF"/>
    <w:rsid w:val="00D147B5"/>
    <w:rsid w:val="00D15EC4"/>
    <w:rsid w:val="00D163A9"/>
    <w:rsid w:val="00D16521"/>
    <w:rsid w:val="00D166D3"/>
    <w:rsid w:val="00D17F19"/>
    <w:rsid w:val="00D20588"/>
    <w:rsid w:val="00D21EB1"/>
    <w:rsid w:val="00D247D5"/>
    <w:rsid w:val="00D27F8E"/>
    <w:rsid w:val="00D302C0"/>
    <w:rsid w:val="00D31FF3"/>
    <w:rsid w:val="00D32EB5"/>
    <w:rsid w:val="00D330F8"/>
    <w:rsid w:val="00D3513E"/>
    <w:rsid w:val="00D35525"/>
    <w:rsid w:val="00D3595A"/>
    <w:rsid w:val="00D36400"/>
    <w:rsid w:val="00D369C0"/>
    <w:rsid w:val="00D41C6C"/>
    <w:rsid w:val="00D43052"/>
    <w:rsid w:val="00D43C87"/>
    <w:rsid w:val="00D45311"/>
    <w:rsid w:val="00D461AA"/>
    <w:rsid w:val="00D476B6"/>
    <w:rsid w:val="00D47A58"/>
    <w:rsid w:val="00D50AB5"/>
    <w:rsid w:val="00D514C1"/>
    <w:rsid w:val="00D5320A"/>
    <w:rsid w:val="00D539A1"/>
    <w:rsid w:val="00D53C96"/>
    <w:rsid w:val="00D541E1"/>
    <w:rsid w:val="00D54396"/>
    <w:rsid w:val="00D5479E"/>
    <w:rsid w:val="00D54915"/>
    <w:rsid w:val="00D55229"/>
    <w:rsid w:val="00D55758"/>
    <w:rsid w:val="00D55EE1"/>
    <w:rsid w:val="00D572AF"/>
    <w:rsid w:val="00D60602"/>
    <w:rsid w:val="00D60B08"/>
    <w:rsid w:val="00D63283"/>
    <w:rsid w:val="00D65734"/>
    <w:rsid w:val="00D65F04"/>
    <w:rsid w:val="00D66124"/>
    <w:rsid w:val="00D668AB"/>
    <w:rsid w:val="00D66E3E"/>
    <w:rsid w:val="00D7115B"/>
    <w:rsid w:val="00D734E6"/>
    <w:rsid w:val="00D75CE7"/>
    <w:rsid w:val="00D764EC"/>
    <w:rsid w:val="00D774AE"/>
    <w:rsid w:val="00D80FBD"/>
    <w:rsid w:val="00D822F2"/>
    <w:rsid w:val="00D82F3A"/>
    <w:rsid w:val="00D83652"/>
    <w:rsid w:val="00D84F64"/>
    <w:rsid w:val="00D85C7B"/>
    <w:rsid w:val="00D871DA"/>
    <w:rsid w:val="00D900B6"/>
    <w:rsid w:val="00D930C9"/>
    <w:rsid w:val="00D935E6"/>
    <w:rsid w:val="00D95158"/>
    <w:rsid w:val="00D96947"/>
    <w:rsid w:val="00D96B0C"/>
    <w:rsid w:val="00D97595"/>
    <w:rsid w:val="00D979F5"/>
    <w:rsid w:val="00D97A1F"/>
    <w:rsid w:val="00DA2A0C"/>
    <w:rsid w:val="00DA2E3D"/>
    <w:rsid w:val="00DA39E7"/>
    <w:rsid w:val="00DA4AAB"/>
    <w:rsid w:val="00DA64D4"/>
    <w:rsid w:val="00DA7E74"/>
    <w:rsid w:val="00DB0F6D"/>
    <w:rsid w:val="00DB110F"/>
    <w:rsid w:val="00DB14A2"/>
    <w:rsid w:val="00DB1B41"/>
    <w:rsid w:val="00DB5B8C"/>
    <w:rsid w:val="00DC1046"/>
    <w:rsid w:val="00DC1DFB"/>
    <w:rsid w:val="00DC1E3C"/>
    <w:rsid w:val="00DC23F7"/>
    <w:rsid w:val="00DC3363"/>
    <w:rsid w:val="00DC4E36"/>
    <w:rsid w:val="00DC5E38"/>
    <w:rsid w:val="00DD0189"/>
    <w:rsid w:val="00DD0209"/>
    <w:rsid w:val="00DD1EBD"/>
    <w:rsid w:val="00DD1F76"/>
    <w:rsid w:val="00DD2B39"/>
    <w:rsid w:val="00DD44F0"/>
    <w:rsid w:val="00DD465F"/>
    <w:rsid w:val="00DD648A"/>
    <w:rsid w:val="00DD7010"/>
    <w:rsid w:val="00DE2B0D"/>
    <w:rsid w:val="00DE3A12"/>
    <w:rsid w:val="00DE3ECD"/>
    <w:rsid w:val="00DE63E2"/>
    <w:rsid w:val="00DF0D4E"/>
    <w:rsid w:val="00DF1E62"/>
    <w:rsid w:val="00DF25AF"/>
    <w:rsid w:val="00DF35C6"/>
    <w:rsid w:val="00DF3F44"/>
    <w:rsid w:val="00DF401D"/>
    <w:rsid w:val="00DF4879"/>
    <w:rsid w:val="00DF5355"/>
    <w:rsid w:val="00DF56DA"/>
    <w:rsid w:val="00DF60C5"/>
    <w:rsid w:val="00DF739D"/>
    <w:rsid w:val="00DF7790"/>
    <w:rsid w:val="00E02778"/>
    <w:rsid w:val="00E031E8"/>
    <w:rsid w:val="00E03D7F"/>
    <w:rsid w:val="00E052FC"/>
    <w:rsid w:val="00E05326"/>
    <w:rsid w:val="00E0595B"/>
    <w:rsid w:val="00E05FA3"/>
    <w:rsid w:val="00E072CF"/>
    <w:rsid w:val="00E07759"/>
    <w:rsid w:val="00E11C0F"/>
    <w:rsid w:val="00E11CA6"/>
    <w:rsid w:val="00E12C35"/>
    <w:rsid w:val="00E14565"/>
    <w:rsid w:val="00E14A5D"/>
    <w:rsid w:val="00E14DF6"/>
    <w:rsid w:val="00E20612"/>
    <w:rsid w:val="00E20D1F"/>
    <w:rsid w:val="00E22E62"/>
    <w:rsid w:val="00E25003"/>
    <w:rsid w:val="00E2558C"/>
    <w:rsid w:val="00E30A65"/>
    <w:rsid w:val="00E30BE9"/>
    <w:rsid w:val="00E32859"/>
    <w:rsid w:val="00E32AEE"/>
    <w:rsid w:val="00E32BA1"/>
    <w:rsid w:val="00E32E13"/>
    <w:rsid w:val="00E32FBE"/>
    <w:rsid w:val="00E35E3C"/>
    <w:rsid w:val="00E36FC0"/>
    <w:rsid w:val="00E40C63"/>
    <w:rsid w:val="00E4102E"/>
    <w:rsid w:val="00E4214B"/>
    <w:rsid w:val="00E4424E"/>
    <w:rsid w:val="00E47A6C"/>
    <w:rsid w:val="00E50E65"/>
    <w:rsid w:val="00E5214D"/>
    <w:rsid w:val="00E5234B"/>
    <w:rsid w:val="00E5376C"/>
    <w:rsid w:val="00E53E6A"/>
    <w:rsid w:val="00E53FDC"/>
    <w:rsid w:val="00E55816"/>
    <w:rsid w:val="00E56E39"/>
    <w:rsid w:val="00E57AAC"/>
    <w:rsid w:val="00E57F49"/>
    <w:rsid w:val="00E60A5F"/>
    <w:rsid w:val="00E61A51"/>
    <w:rsid w:val="00E61B24"/>
    <w:rsid w:val="00E62687"/>
    <w:rsid w:val="00E636D7"/>
    <w:rsid w:val="00E647B3"/>
    <w:rsid w:val="00E64CB3"/>
    <w:rsid w:val="00E64E93"/>
    <w:rsid w:val="00E67806"/>
    <w:rsid w:val="00E705F0"/>
    <w:rsid w:val="00E70EFE"/>
    <w:rsid w:val="00E713F7"/>
    <w:rsid w:val="00E716BC"/>
    <w:rsid w:val="00E71CB8"/>
    <w:rsid w:val="00E727DF"/>
    <w:rsid w:val="00E75129"/>
    <w:rsid w:val="00E754A0"/>
    <w:rsid w:val="00E766AB"/>
    <w:rsid w:val="00E76FDC"/>
    <w:rsid w:val="00E77AEF"/>
    <w:rsid w:val="00E77D58"/>
    <w:rsid w:val="00E80DC2"/>
    <w:rsid w:val="00E8554B"/>
    <w:rsid w:val="00E86333"/>
    <w:rsid w:val="00E8669E"/>
    <w:rsid w:val="00E86750"/>
    <w:rsid w:val="00E87A4F"/>
    <w:rsid w:val="00E87AB9"/>
    <w:rsid w:val="00E90E56"/>
    <w:rsid w:val="00E90EF4"/>
    <w:rsid w:val="00E920BC"/>
    <w:rsid w:val="00E92D84"/>
    <w:rsid w:val="00E944ED"/>
    <w:rsid w:val="00E94681"/>
    <w:rsid w:val="00EA0C5C"/>
    <w:rsid w:val="00EA1CE0"/>
    <w:rsid w:val="00EA3207"/>
    <w:rsid w:val="00EA4504"/>
    <w:rsid w:val="00EA4AC4"/>
    <w:rsid w:val="00EA5DC5"/>
    <w:rsid w:val="00EB0A8A"/>
    <w:rsid w:val="00EB0E11"/>
    <w:rsid w:val="00EB1FF5"/>
    <w:rsid w:val="00EB3A82"/>
    <w:rsid w:val="00EB3D96"/>
    <w:rsid w:val="00EB3E6F"/>
    <w:rsid w:val="00EB5CC7"/>
    <w:rsid w:val="00EC00AA"/>
    <w:rsid w:val="00EC012E"/>
    <w:rsid w:val="00EC0232"/>
    <w:rsid w:val="00EC7208"/>
    <w:rsid w:val="00EC75B0"/>
    <w:rsid w:val="00ED261C"/>
    <w:rsid w:val="00ED3021"/>
    <w:rsid w:val="00ED4723"/>
    <w:rsid w:val="00ED5560"/>
    <w:rsid w:val="00EE0C41"/>
    <w:rsid w:val="00EE137D"/>
    <w:rsid w:val="00EE13E8"/>
    <w:rsid w:val="00EE1F12"/>
    <w:rsid w:val="00EE2CE5"/>
    <w:rsid w:val="00EE4C15"/>
    <w:rsid w:val="00EE697F"/>
    <w:rsid w:val="00EE6E2F"/>
    <w:rsid w:val="00EE7794"/>
    <w:rsid w:val="00EF0B6E"/>
    <w:rsid w:val="00EF1C79"/>
    <w:rsid w:val="00EF38C8"/>
    <w:rsid w:val="00EF39B4"/>
    <w:rsid w:val="00EF3E7D"/>
    <w:rsid w:val="00EF4134"/>
    <w:rsid w:val="00EF6759"/>
    <w:rsid w:val="00EF7828"/>
    <w:rsid w:val="00EF795B"/>
    <w:rsid w:val="00F00021"/>
    <w:rsid w:val="00F00E11"/>
    <w:rsid w:val="00F02A2F"/>
    <w:rsid w:val="00F06AC9"/>
    <w:rsid w:val="00F1126D"/>
    <w:rsid w:val="00F12DC2"/>
    <w:rsid w:val="00F13D5C"/>
    <w:rsid w:val="00F14A64"/>
    <w:rsid w:val="00F152DF"/>
    <w:rsid w:val="00F201B5"/>
    <w:rsid w:val="00F20353"/>
    <w:rsid w:val="00F21C1A"/>
    <w:rsid w:val="00F22881"/>
    <w:rsid w:val="00F23834"/>
    <w:rsid w:val="00F2495D"/>
    <w:rsid w:val="00F24CB9"/>
    <w:rsid w:val="00F25976"/>
    <w:rsid w:val="00F25A3B"/>
    <w:rsid w:val="00F274E1"/>
    <w:rsid w:val="00F27DC7"/>
    <w:rsid w:val="00F30A81"/>
    <w:rsid w:val="00F30D79"/>
    <w:rsid w:val="00F3112A"/>
    <w:rsid w:val="00F33281"/>
    <w:rsid w:val="00F3397E"/>
    <w:rsid w:val="00F35839"/>
    <w:rsid w:val="00F35E3B"/>
    <w:rsid w:val="00F36A08"/>
    <w:rsid w:val="00F41825"/>
    <w:rsid w:val="00F449B8"/>
    <w:rsid w:val="00F45979"/>
    <w:rsid w:val="00F4774A"/>
    <w:rsid w:val="00F50647"/>
    <w:rsid w:val="00F520AD"/>
    <w:rsid w:val="00F53FC6"/>
    <w:rsid w:val="00F546B0"/>
    <w:rsid w:val="00F55597"/>
    <w:rsid w:val="00F56991"/>
    <w:rsid w:val="00F56BC5"/>
    <w:rsid w:val="00F61AF6"/>
    <w:rsid w:val="00F61D2E"/>
    <w:rsid w:val="00F627B7"/>
    <w:rsid w:val="00F63031"/>
    <w:rsid w:val="00F63BAB"/>
    <w:rsid w:val="00F65F64"/>
    <w:rsid w:val="00F67707"/>
    <w:rsid w:val="00F7015C"/>
    <w:rsid w:val="00F70991"/>
    <w:rsid w:val="00F73349"/>
    <w:rsid w:val="00F73789"/>
    <w:rsid w:val="00F73C69"/>
    <w:rsid w:val="00F763B7"/>
    <w:rsid w:val="00F76F42"/>
    <w:rsid w:val="00F82BE2"/>
    <w:rsid w:val="00F82D8E"/>
    <w:rsid w:val="00F8342A"/>
    <w:rsid w:val="00F84E20"/>
    <w:rsid w:val="00F85F9A"/>
    <w:rsid w:val="00F91AEB"/>
    <w:rsid w:val="00F92EF3"/>
    <w:rsid w:val="00F93B59"/>
    <w:rsid w:val="00F955FA"/>
    <w:rsid w:val="00F9588F"/>
    <w:rsid w:val="00FA01E0"/>
    <w:rsid w:val="00FA0AF5"/>
    <w:rsid w:val="00FA0F81"/>
    <w:rsid w:val="00FA2243"/>
    <w:rsid w:val="00FA2817"/>
    <w:rsid w:val="00FA4AEB"/>
    <w:rsid w:val="00FA4FFE"/>
    <w:rsid w:val="00FA5429"/>
    <w:rsid w:val="00FA589D"/>
    <w:rsid w:val="00FB0397"/>
    <w:rsid w:val="00FB09BD"/>
    <w:rsid w:val="00FB16E6"/>
    <w:rsid w:val="00FB2180"/>
    <w:rsid w:val="00FB2A4A"/>
    <w:rsid w:val="00FB482A"/>
    <w:rsid w:val="00FB48E9"/>
    <w:rsid w:val="00FB68E1"/>
    <w:rsid w:val="00FB7528"/>
    <w:rsid w:val="00FB7658"/>
    <w:rsid w:val="00FB79E2"/>
    <w:rsid w:val="00FC1142"/>
    <w:rsid w:val="00FC166D"/>
    <w:rsid w:val="00FC1DBF"/>
    <w:rsid w:val="00FC21CF"/>
    <w:rsid w:val="00FC42EB"/>
    <w:rsid w:val="00FC58BA"/>
    <w:rsid w:val="00FD05F3"/>
    <w:rsid w:val="00FD1AE4"/>
    <w:rsid w:val="00FD2BC6"/>
    <w:rsid w:val="00FD2E3C"/>
    <w:rsid w:val="00FD4269"/>
    <w:rsid w:val="00FD4C24"/>
    <w:rsid w:val="00FD65FD"/>
    <w:rsid w:val="00FD66F1"/>
    <w:rsid w:val="00FE5B79"/>
    <w:rsid w:val="00FE7259"/>
    <w:rsid w:val="00FE72AF"/>
    <w:rsid w:val="00FF0862"/>
    <w:rsid w:val="00FF48D1"/>
    <w:rsid w:val="00FF4FFE"/>
    <w:rsid w:val="00FF5C5A"/>
    <w:rsid w:val="00FF5E95"/>
    <w:rsid w:val="00FF6C04"/>
    <w:rsid w:val="00FF735D"/>
    <w:rsid w:val="0121EAB8"/>
    <w:rsid w:val="01F0CF85"/>
    <w:rsid w:val="02FC5914"/>
    <w:rsid w:val="035DAA26"/>
    <w:rsid w:val="038CA23B"/>
    <w:rsid w:val="060B2A39"/>
    <w:rsid w:val="060E1F91"/>
    <w:rsid w:val="06137C66"/>
    <w:rsid w:val="0718E2B7"/>
    <w:rsid w:val="07B01615"/>
    <w:rsid w:val="07C74634"/>
    <w:rsid w:val="08757AC0"/>
    <w:rsid w:val="0926D67A"/>
    <w:rsid w:val="0B6627D9"/>
    <w:rsid w:val="0BBCC2C2"/>
    <w:rsid w:val="0C464AFE"/>
    <w:rsid w:val="0CF80C5A"/>
    <w:rsid w:val="0D48219A"/>
    <w:rsid w:val="0D76B2B3"/>
    <w:rsid w:val="0EF3CC0C"/>
    <w:rsid w:val="10340DD2"/>
    <w:rsid w:val="10A3CB0F"/>
    <w:rsid w:val="10E46D6D"/>
    <w:rsid w:val="135515ED"/>
    <w:rsid w:val="15CDABF3"/>
    <w:rsid w:val="1603931A"/>
    <w:rsid w:val="16D0E450"/>
    <w:rsid w:val="18A5F7C0"/>
    <w:rsid w:val="19802ACB"/>
    <w:rsid w:val="1A9F8E0D"/>
    <w:rsid w:val="1B41A39B"/>
    <w:rsid w:val="1E710F4D"/>
    <w:rsid w:val="1E94A166"/>
    <w:rsid w:val="1FC4EE31"/>
    <w:rsid w:val="215D430F"/>
    <w:rsid w:val="21734343"/>
    <w:rsid w:val="235CF438"/>
    <w:rsid w:val="24059CE9"/>
    <w:rsid w:val="24B1A29B"/>
    <w:rsid w:val="25A5658E"/>
    <w:rsid w:val="2615F83E"/>
    <w:rsid w:val="2618ED96"/>
    <w:rsid w:val="2636A87F"/>
    <w:rsid w:val="263FC3FA"/>
    <w:rsid w:val="2678AA16"/>
    <w:rsid w:val="29209B7E"/>
    <w:rsid w:val="2A2D9407"/>
    <w:rsid w:val="2AB419B2"/>
    <w:rsid w:val="2AE4A404"/>
    <w:rsid w:val="2B022C1C"/>
    <w:rsid w:val="2B1FB52F"/>
    <w:rsid w:val="2B56FD1C"/>
    <w:rsid w:val="2B5E2059"/>
    <w:rsid w:val="2C05FBF1"/>
    <w:rsid w:val="2C0E7FF4"/>
    <w:rsid w:val="2C5F5F7D"/>
    <w:rsid w:val="2E13F299"/>
    <w:rsid w:val="3037C893"/>
    <w:rsid w:val="30BAE7E2"/>
    <w:rsid w:val="321E4166"/>
    <w:rsid w:val="32BF9139"/>
    <w:rsid w:val="36B0AD11"/>
    <w:rsid w:val="36C924BF"/>
    <w:rsid w:val="36F2AEA8"/>
    <w:rsid w:val="3B368278"/>
    <w:rsid w:val="3B7B02B9"/>
    <w:rsid w:val="3BCD0FE2"/>
    <w:rsid w:val="3BDF4828"/>
    <w:rsid w:val="3BF31D4D"/>
    <w:rsid w:val="3C4E4741"/>
    <w:rsid w:val="3D1EBFA5"/>
    <w:rsid w:val="3E935400"/>
    <w:rsid w:val="40C68E70"/>
    <w:rsid w:val="426AADF0"/>
    <w:rsid w:val="42729D89"/>
    <w:rsid w:val="431A7921"/>
    <w:rsid w:val="43D8358F"/>
    <w:rsid w:val="452F2E5F"/>
    <w:rsid w:val="4652B15B"/>
    <w:rsid w:val="47073EDB"/>
    <w:rsid w:val="47343C5D"/>
    <w:rsid w:val="499C9A77"/>
    <w:rsid w:val="4A542843"/>
    <w:rsid w:val="4A95DBAC"/>
    <w:rsid w:val="4AB2FF1D"/>
    <w:rsid w:val="4AF62FA4"/>
    <w:rsid w:val="4B3BBE0B"/>
    <w:rsid w:val="4BFA314F"/>
    <w:rsid w:val="4DB0E78A"/>
    <w:rsid w:val="4DF94B00"/>
    <w:rsid w:val="4E8317F4"/>
    <w:rsid w:val="4EECDB22"/>
    <w:rsid w:val="505C784A"/>
    <w:rsid w:val="5194FF5B"/>
    <w:rsid w:val="51E6DB03"/>
    <w:rsid w:val="52247BE4"/>
    <w:rsid w:val="5417D405"/>
    <w:rsid w:val="543BC1D3"/>
    <w:rsid w:val="5447553A"/>
    <w:rsid w:val="549A8234"/>
    <w:rsid w:val="551E7BC5"/>
    <w:rsid w:val="560CAF12"/>
    <w:rsid w:val="56FF4315"/>
    <w:rsid w:val="573363D4"/>
    <w:rsid w:val="5A47228F"/>
    <w:rsid w:val="5B28AD91"/>
    <w:rsid w:val="5B658524"/>
    <w:rsid w:val="5BCF29BD"/>
    <w:rsid w:val="5BF925F5"/>
    <w:rsid w:val="5CA6F5DA"/>
    <w:rsid w:val="5D0FCDD5"/>
    <w:rsid w:val="5D5CC268"/>
    <w:rsid w:val="5ED0C10F"/>
    <w:rsid w:val="5FA978C3"/>
    <w:rsid w:val="60594836"/>
    <w:rsid w:val="60F2A42E"/>
    <w:rsid w:val="6136D0D4"/>
    <w:rsid w:val="61AEB992"/>
    <w:rsid w:val="61B73D95"/>
    <w:rsid w:val="61CE0812"/>
    <w:rsid w:val="6276DFC9"/>
    <w:rsid w:val="62C1665E"/>
    <w:rsid w:val="630DB260"/>
    <w:rsid w:val="652B1E72"/>
    <w:rsid w:val="65D4C072"/>
    <w:rsid w:val="66591A1E"/>
    <w:rsid w:val="66B0BBCE"/>
    <w:rsid w:val="67397ABC"/>
    <w:rsid w:val="676DCE4C"/>
    <w:rsid w:val="68F2F182"/>
    <w:rsid w:val="691A5A8E"/>
    <w:rsid w:val="69AAEE80"/>
    <w:rsid w:val="69B114A3"/>
    <w:rsid w:val="6A3A6B09"/>
    <w:rsid w:val="6A9DB459"/>
    <w:rsid w:val="6CC5062F"/>
    <w:rsid w:val="6D10ED8A"/>
    <w:rsid w:val="6E1BDFA1"/>
    <w:rsid w:val="6E689145"/>
    <w:rsid w:val="6E96BDB7"/>
    <w:rsid w:val="6EAAC5AD"/>
    <w:rsid w:val="6FC55F04"/>
    <w:rsid w:val="7116DBA1"/>
    <w:rsid w:val="718C667F"/>
    <w:rsid w:val="72389835"/>
    <w:rsid w:val="737ECE48"/>
    <w:rsid w:val="73943704"/>
    <w:rsid w:val="744CB5FB"/>
    <w:rsid w:val="75D718B4"/>
    <w:rsid w:val="76223B00"/>
    <w:rsid w:val="7675DC80"/>
    <w:rsid w:val="76F14D64"/>
    <w:rsid w:val="7710CEB5"/>
    <w:rsid w:val="77D20480"/>
    <w:rsid w:val="77EC983B"/>
    <w:rsid w:val="793E47A9"/>
    <w:rsid w:val="79B8C01D"/>
    <w:rsid w:val="79FB592C"/>
    <w:rsid w:val="79FC554B"/>
    <w:rsid w:val="7A60043D"/>
    <w:rsid w:val="7A609BB5"/>
    <w:rsid w:val="7B26313B"/>
    <w:rsid w:val="7B363E1D"/>
    <w:rsid w:val="7B7525CD"/>
    <w:rsid w:val="7B99876D"/>
    <w:rsid w:val="7D8AD91A"/>
    <w:rsid w:val="7D8EBB5A"/>
    <w:rsid w:val="7D993896"/>
    <w:rsid w:val="7E1A3CCF"/>
    <w:rsid w:val="7EB79B2B"/>
    <w:rsid w:val="7EF5D384"/>
    <w:rsid w:val="7F1D0F8A"/>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7E963E9"/>
  <w15:docId w15:val="{0C831C66-0BE4-437E-8918-003282938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30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C302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C302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C302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C302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C302C"/>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C302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C302C"/>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C302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6F1"/>
  </w:style>
  <w:style w:type="paragraph" w:styleId="Footer">
    <w:name w:val="footer"/>
    <w:basedOn w:val="Normal"/>
    <w:link w:val="FooterChar"/>
    <w:uiPriority w:val="99"/>
    <w:unhideWhenUsed/>
    <w:rsid w:val="00FD6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6F1"/>
  </w:style>
  <w:style w:type="paragraph" w:styleId="BalloonText">
    <w:name w:val="Balloon Text"/>
    <w:basedOn w:val="Normal"/>
    <w:link w:val="BalloonTextChar"/>
    <w:uiPriority w:val="99"/>
    <w:semiHidden/>
    <w:unhideWhenUsed/>
    <w:rsid w:val="00FD66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66F1"/>
    <w:rPr>
      <w:rFonts w:ascii="Tahoma" w:hAnsi="Tahoma" w:cs="Tahoma"/>
      <w:sz w:val="16"/>
      <w:szCs w:val="16"/>
    </w:rPr>
  </w:style>
  <w:style w:type="paragraph" w:styleId="ListParagraph">
    <w:name w:val="List Paragraph"/>
    <w:basedOn w:val="Normal"/>
    <w:uiPriority w:val="34"/>
    <w:qFormat/>
    <w:rsid w:val="00A72E7B"/>
    <w:pPr>
      <w:ind w:left="720"/>
      <w:contextualSpacing/>
    </w:pPr>
  </w:style>
  <w:style w:type="paragraph" w:styleId="ListContinue">
    <w:name w:val="List Continue"/>
    <w:basedOn w:val="Normal"/>
    <w:rsid w:val="00D80FBD"/>
    <w:pPr>
      <w:numPr>
        <w:numId w:val="2"/>
      </w:numPr>
      <w:spacing w:after="120" w:line="480" w:lineRule="auto"/>
    </w:pPr>
    <w:rPr>
      <w:rFonts w:ascii="Times New Roman" w:eastAsia="Times New Roman" w:hAnsi="Times New Roman" w:cs="Times New Roman"/>
      <w:sz w:val="26"/>
      <w:szCs w:val="24"/>
    </w:rPr>
  </w:style>
  <w:style w:type="paragraph" w:customStyle="1" w:styleId="LegalFormat">
    <w:name w:val="Legal Format"/>
    <w:basedOn w:val="ListContinue"/>
    <w:rsid w:val="00D80FBD"/>
    <w:pPr>
      <w:spacing w:after="0"/>
      <w:ind w:left="0"/>
    </w:pPr>
    <w:rPr>
      <w:u w:val="single"/>
    </w:rPr>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uiPriority w:val="99"/>
    <w:qFormat/>
    <w:rsid w:val="00E636D7"/>
  </w:style>
  <w:style w:type="paragraph" w:styleId="FootnoteText">
    <w:name w:val="footnote text"/>
    <w:aliases w:val="Footnote Text Char Char Char Char Char,Footnote Text Char Char1 Char,Footnote Text Char1 Char Char Char,Footnote Text Char1 Char Char Char Char Char Char Char,Footnote Text Char1 Char1 Char,Footnote Text Char2 Char,Footnote Text MRP,fn,ft"/>
    <w:basedOn w:val="Normal"/>
    <w:link w:val="FootnoteTextChar1"/>
    <w:qFormat/>
    <w:rsid w:val="00E636D7"/>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Footnote Text Char Char Char Char1 Char,Footnote Text Char Char Char1,Footnote Text Char1 Char Char1,Footnote Text Char1 Char2,Footnote Text Char3 Char,Footnote Text MRP Char,fn Char1,fn1 Char"/>
    <w:basedOn w:val="DefaultParagraphFont"/>
    <w:uiPriority w:val="99"/>
    <w:rsid w:val="00E636D7"/>
    <w:rPr>
      <w:sz w:val="20"/>
      <w:szCs w:val="20"/>
    </w:rPr>
  </w:style>
  <w:style w:type="character" w:customStyle="1" w:styleId="FootnoteTextChar1">
    <w:name w:val="Footnote Text Char1"/>
    <w:aliases w:val="Footnote Text Char Char Char Char Char Char,Footnote Text Char Char1 Char Char,Footnote Text Char1 Char Char Char Char,Footnote Text Char1 Char Char Char Char Char Char Char Char,Footnote Text Char1 Char1 Char Char,fn Char,ft Char"/>
    <w:link w:val="FootnoteText"/>
    <w:rsid w:val="00E636D7"/>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57700F"/>
    <w:rPr>
      <w:sz w:val="16"/>
      <w:szCs w:val="16"/>
    </w:rPr>
  </w:style>
  <w:style w:type="paragraph" w:styleId="CommentText">
    <w:name w:val="annotation text"/>
    <w:basedOn w:val="Normal"/>
    <w:link w:val="CommentTextChar"/>
    <w:uiPriority w:val="99"/>
    <w:unhideWhenUsed/>
    <w:rsid w:val="0057700F"/>
    <w:pPr>
      <w:spacing w:line="240" w:lineRule="auto"/>
    </w:pPr>
    <w:rPr>
      <w:sz w:val="20"/>
      <w:szCs w:val="20"/>
    </w:rPr>
  </w:style>
  <w:style w:type="character" w:customStyle="1" w:styleId="CommentTextChar">
    <w:name w:val="Comment Text Char"/>
    <w:basedOn w:val="DefaultParagraphFont"/>
    <w:link w:val="CommentText"/>
    <w:uiPriority w:val="99"/>
    <w:rsid w:val="0057700F"/>
    <w:rPr>
      <w:sz w:val="20"/>
      <w:szCs w:val="20"/>
    </w:rPr>
  </w:style>
  <w:style w:type="paragraph" w:styleId="CommentSubject">
    <w:name w:val="annotation subject"/>
    <w:basedOn w:val="CommentText"/>
    <w:next w:val="CommentText"/>
    <w:link w:val="CommentSubjectChar"/>
    <w:uiPriority w:val="99"/>
    <w:semiHidden/>
    <w:unhideWhenUsed/>
    <w:rsid w:val="0057700F"/>
    <w:rPr>
      <w:b/>
      <w:bCs/>
    </w:rPr>
  </w:style>
  <w:style w:type="character" w:customStyle="1" w:styleId="CommentSubjectChar">
    <w:name w:val="Comment Subject Char"/>
    <w:basedOn w:val="CommentTextChar"/>
    <w:link w:val="CommentSubject"/>
    <w:uiPriority w:val="99"/>
    <w:semiHidden/>
    <w:rsid w:val="0057700F"/>
    <w:rPr>
      <w:b/>
      <w:bCs/>
      <w:sz w:val="20"/>
      <w:szCs w:val="20"/>
    </w:rPr>
  </w:style>
  <w:style w:type="paragraph" w:customStyle="1" w:styleId="FERCparanumber">
    <w:name w:val="FERC paranumber"/>
    <w:basedOn w:val="Normal"/>
    <w:link w:val="FERCparanumberChar"/>
    <w:qFormat/>
    <w:rsid w:val="00DF401D"/>
    <w:pPr>
      <w:widowControl w:val="0"/>
      <w:numPr>
        <w:numId w:val="5"/>
      </w:numPr>
      <w:autoSpaceDE w:val="0"/>
      <w:autoSpaceDN w:val="0"/>
      <w:adjustRightInd w:val="0"/>
      <w:spacing w:after="0" w:line="480" w:lineRule="auto"/>
    </w:pPr>
    <w:rPr>
      <w:rFonts w:ascii="Times New Roman" w:eastAsia="Times New Roman" w:hAnsi="Times New Roman" w:cs="Times New Roman"/>
      <w:sz w:val="26"/>
      <w:szCs w:val="24"/>
    </w:rPr>
  </w:style>
  <w:style w:type="character" w:customStyle="1" w:styleId="FERCparanumberChar">
    <w:name w:val="FERC paranumber Char"/>
    <w:link w:val="FERCparanumber"/>
    <w:locked/>
    <w:rsid w:val="00DF401D"/>
    <w:rPr>
      <w:rFonts w:ascii="Times New Roman" w:eastAsia="Times New Roman" w:hAnsi="Times New Roman" w:cs="Times New Roman"/>
      <w:sz w:val="26"/>
      <w:szCs w:val="24"/>
    </w:rPr>
  </w:style>
  <w:style w:type="character" w:styleId="Hyperlink">
    <w:name w:val="Hyperlink"/>
    <w:basedOn w:val="DefaultParagraphFont"/>
    <w:uiPriority w:val="99"/>
    <w:rsid w:val="0072126E"/>
    <w:rPr>
      <w:rFonts w:cs="Times New Roman"/>
      <w:color w:val="0000FF"/>
      <w:u w:val="single"/>
    </w:rPr>
  </w:style>
  <w:style w:type="character" w:styleId="FollowedHyperlink">
    <w:name w:val="FollowedHyperlink"/>
    <w:basedOn w:val="DefaultParagraphFont"/>
    <w:uiPriority w:val="99"/>
    <w:semiHidden/>
    <w:unhideWhenUsed/>
    <w:rsid w:val="0072126E"/>
    <w:rPr>
      <w:color w:val="800080" w:themeColor="followedHyperlink"/>
      <w:u w:val="single"/>
    </w:rPr>
  </w:style>
  <w:style w:type="paragraph" w:styleId="Bibliography">
    <w:name w:val="Bibliography"/>
    <w:basedOn w:val="Normal"/>
    <w:next w:val="Normal"/>
    <w:uiPriority w:val="37"/>
    <w:semiHidden/>
    <w:unhideWhenUsed/>
    <w:rsid w:val="00BC302C"/>
  </w:style>
  <w:style w:type="paragraph" w:styleId="BlockText">
    <w:name w:val="Block Text"/>
    <w:basedOn w:val="Normal"/>
    <w:uiPriority w:val="99"/>
    <w:semiHidden/>
    <w:unhideWhenUsed/>
    <w:rsid w:val="00BC302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C302C"/>
    <w:pPr>
      <w:spacing w:after="120"/>
    </w:pPr>
  </w:style>
  <w:style w:type="character" w:customStyle="1" w:styleId="BodyTextChar">
    <w:name w:val="Body Text Char"/>
    <w:basedOn w:val="DefaultParagraphFont"/>
    <w:link w:val="BodyText"/>
    <w:uiPriority w:val="99"/>
    <w:semiHidden/>
    <w:rsid w:val="00BC302C"/>
  </w:style>
  <w:style w:type="paragraph" w:styleId="BodyText2">
    <w:name w:val="Body Text 2"/>
    <w:basedOn w:val="Normal"/>
    <w:link w:val="BodyText2Char"/>
    <w:uiPriority w:val="99"/>
    <w:semiHidden/>
    <w:unhideWhenUsed/>
    <w:rsid w:val="00BC302C"/>
    <w:pPr>
      <w:spacing w:after="120" w:line="480" w:lineRule="auto"/>
    </w:pPr>
  </w:style>
  <w:style w:type="character" w:customStyle="1" w:styleId="BodyText2Char">
    <w:name w:val="Body Text 2 Char"/>
    <w:basedOn w:val="DefaultParagraphFont"/>
    <w:link w:val="BodyText2"/>
    <w:uiPriority w:val="99"/>
    <w:semiHidden/>
    <w:rsid w:val="00BC302C"/>
  </w:style>
  <w:style w:type="paragraph" w:styleId="BodyText3">
    <w:name w:val="Body Text 3"/>
    <w:basedOn w:val="Normal"/>
    <w:link w:val="BodyText3Char"/>
    <w:uiPriority w:val="99"/>
    <w:semiHidden/>
    <w:unhideWhenUsed/>
    <w:rsid w:val="00BC302C"/>
    <w:pPr>
      <w:spacing w:after="120"/>
    </w:pPr>
    <w:rPr>
      <w:sz w:val="16"/>
      <w:szCs w:val="16"/>
    </w:rPr>
  </w:style>
  <w:style w:type="character" w:customStyle="1" w:styleId="BodyText3Char">
    <w:name w:val="Body Text 3 Char"/>
    <w:basedOn w:val="DefaultParagraphFont"/>
    <w:link w:val="BodyText3"/>
    <w:uiPriority w:val="99"/>
    <w:semiHidden/>
    <w:rsid w:val="00BC302C"/>
    <w:rPr>
      <w:sz w:val="16"/>
      <w:szCs w:val="16"/>
    </w:rPr>
  </w:style>
  <w:style w:type="paragraph" w:styleId="BodyTextFirstIndent">
    <w:name w:val="Body Text First Indent"/>
    <w:basedOn w:val="BodyText"/>
    <w:link w:val="BodyTextFirstIndentChar"/>
    <w:uiPriority w:val="99"/>
    <w:semiHidden/>
    <w:unhideWhenUsed/>
    <w:rsid w:val="00BC302C"/>
    <w:pPr>
      <w:spacing w:after="200"/>
      <w:ind w:firstLine="360"/>
    </w:pPr>
  </w:style>
  <w:style w:type="character" w:customStyle="1" w:styleId="BodyTextFirstIndentChar">
    <w:name w:val="Body Text First Indent Char"/>
    <w:basedOn w:val="BodyTextChar"/>
    <w:link w:val="BodyTextFirstIndent"/>
    <w:uiPriority w:val="99"/>
    <w:semiHidden/>
    <w:rsid w:val="00BC302C"/>
  </w:style>
  <w:style w:type="paragraph" w:styleId="BodyTextIndent">
    <w:name w:val="Body Text Indent"/>
    <w:basedOn w:val="Normal"/>
    <w:link w:val="BodyTextIndentChar"/>
    <w:uiPriority w:val="99"/>
    <w:semiHidden/>
    <w:unhideWhenUsed/>
    <w:rsid w:val="00BC302C"/>
    <w:pPr>
      <w:spacing w:after="120"/>
      <w:ind w:left="360"/>
    </w:pPr>
  </w:style>
  <w:style w:type="character" w:customStyle="1" w:styleId="BodyTextIndentChar">
    <w:name w:val="Body Text Indent Char"/>
    <w:basedOn w:val="DefaultParagraphFont"/>
    <w:link w:val="BodyTextIndent"/>
    <w:uiPriority w:val="99"/>
    <w:semiHidden/>
    <w:rsid w:val="00BC302C"/>
  </w:style>
  <w:style w:type="paragraph" w:styleId="BodyTextFirstIndent2">
    <w:name w:val="Body Text First Indent 2"/>
    <w:basedOn w:val="BodyTextIndent"/>
    <w:link w:val="BodyTextFirstIndent2Char"/>
    <w:uiPriority w:val="99"/>
    <w:semiHidden/>
    <w:unhideWhenUsed/>
    <w:rsid w:val="00BC302C"/>
    <w:pPr>
      <w:spacing w:after="200"/>
      <w:ind w:firstLine="360"/>
    </w:pPr>
  </w:style>
  <w:style w:type="character" w:customStyle="1" w:styleId="BodyTextFirstIndent2Char">
    <w:name w:val="Body Text First Indent 2 Char"/>
    <w:basedOn w:val="BodyTextIndentChar"/>
    <w:link w:val="BodyTextFirstIndent2"/>
    <w:uiPriority w:val="99"/>
    <w:semiHidden/>
    <w:rsid w:val="00BC302C"/>
  </w:style>
  <w:style w:type="paragraph" w:styleId="BodyTextIndent2">
    <w:name w:val="Body Text Indent 2"/>
    <w:basedOn w:val="Normal"/>
    <w:link w:val="BodyTextIndent2Char"/>
    <w:uiPriority w:val="99"/>
    <w:semiHidden/>
    <w:unhideWhenUsed/>
    <w:rsid w:val="00BC302C"/>
    <w:pPr>
      <w:spacing w:after="120" w:line="480" w:lineRule="auto"/>
      <w:ind w:left="360"/>
    </w:pPr>
  </w:style>
  <w:style w:type="character" w:customStyle="1" w:styleId="BodyTextIndent2Char">
    <w:name w:val="Body Text Indent 2 Char"/>
    <w:basedOn w:val="DefaultParagraphFont"/>
    <w:link w:val="BodyTextIndent2"/>
    <w:uiPriority w:val="99"/>
    <w:semiHidden/>
    <w:rsid w:val="00BC302C"/>
  </w:style>
  <w:style w:type="paragraph" w:styleId="BodyTextIndent3">
    <w:name w:val="Body Text Indent 3"/>
    <w:basedOn w:val="Normal"/>
    <w:link w:val="BodyTextIndent3Char"/>
    <w:uiPriority w:val="99"/>
    <w:semiHidden/>
    <w:unhideWhenUsed/>
    <w:rsid w:val="00BC302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C302C"/>
    <w:rPr>
      <w:sz w:val="16"/>
      <w:szCs w:val="16"/>
    </w:rPr>
  </w:style>
  <w:style w:type="paragraph" w:styleId="Caption">
    <w:name w:val="caption"/>
    <w:basedOn w:val="Normal"/>
    <w:next w:val="Normal"/>
    <w:uiPriority w:val="35"/>
    <w:semiHidden/>
    <w:unhideWhenUsed/>
    <w:qFormat/>
    <w:rsid w:val="00BC302C"/>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C302C"/>
    <w:pPr>
      <w:spacing w:after="0" w:line="240" w:lineRule="auto"/>
      <w:ind w:left="4320"/>
    </w:pPr>
  </w:style>
  <w:style w:type="character" w:customStyle="1" w:styleId="ClosingChar">
    <w:name w:val="Closing Char"/>
    <w:basedOn w:val="DefaultParagraphFont"/>
    <w:link w:val="Closing"/>
    <w:uiPriority w:val="99"/>
    <w:semiHidden/>
    <w:rsid w:val="00BC302C"/>
  </w:style>
  <w:style w:type="paragraph" w:styleId="Date">
    <w:name w:val="Date"/>
    <w:basedOn w:val="Normal"/>
    <w:next w:val="Normal"/>
    <w:link w:val="DateChar"/>
    <w:uiPriority w:val="99"/>
    <w:semiHidden/>
    <w:unhideWhenUsed/>
    <w:rsid w:val="00BC302C"/>
  </w:style>
  <w:style w:type="character" w:customStyle="1" w:styleId="DateChar">
    <w:name w:val="Date Char"/>
    <w:basedOn w:val="DefaultParagraphFont"/>
    <w:link w:val="Date"/>
    <w:uiPriority w:val="99"/>
    <w:semiHidden/>
    <w:rsid w:val="00BC302C"/>
  </w:style>
  <w:style w:type="paragraph" w:styleId="DocumentMap">
    <w:name w:val="Document Map"/>
    <w:basedOn w:val="Normal"/>
    <w:link w:val="DocumentMapChar"/>
    <w:uiPriority w:val="99"/>
    <w:semiHidden/>
    <w:unhideWhenUsed/>
    <w:rsid w:val="00BC302C"/>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C302C"/>
    <w:rPr>
      <w:rFonts w:ascii="Tahoma" w:hAnsi="Tahoma" w:cs="Tahoma"/>
      <w:sz w:val="16"/>
      <w:szCs w:val="16"/>
    </w:rPr>
  </w:style>
  <w:style w:type="paragraph" w:styleId="E-mailSignature">
    <w:name w:val="E-mail Signature"/>
    <w:basedOn w:val="Normal"/>
    <w:link w:val="E-mailSignatureChar"/>
    <w:uiPriority w:val="99"/>
    <w:semiHidden/>
    <w:unhideWhenUsed/>
    <w:rsid w:val="00BC302C"/>
    <w:pPr>
      <w:spacing w:after="0" w:line="240" w:lineRule="auto"/>
    </w:pPr>
  </w:style>
  <w:style w:type="character" w:customStyle="1" w:styleId="E-mailSignatureChar">
    <w:name w:val="E-mail Signature Char"/>
    <w:basedOn w:val="DefaultParagraphFont"/>
    <w:link w:val="E-mailSignature"/>
    <w:uiPriority w:val="99"/>
    <w:semiHidden/>
    <w:rsid w:val="00BC302C"/>
  </w:style>
  <w:style w:type="paragraph" w:styleId="EndnoteText">
    <w:name w:val="endnote text"/>
    <w:basedOn w:val="Normal"/>
    <w:link w:val="EndnoteTextChar"/>
    <w:uiPriority w:val="99"/>
    <w:semiHidden/>
    <w:unhideWhenUsed/>
    <w:rsid w:val="00BC302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C302C"/>
    <w:rPr>
      <w:sz w:val="20"/>
      <w:szCs w:val="20"/>
    </w:rPr>
  </w:style>
  <w:style w:type="paragraph" w:styleId="EnvelopeAddress">
    <w:name w:val="envelope address"/>
    <w:basedOn w:val="Normal"/>
    <w:uiPriority w:val="99"/>
    <w:semiHidden/>
    <w:unhideWhenUsed/>
    <w:rsid w:val="00BC302C"/>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C302C"/>
    <w:pPr>
      <w:spacing w:after="0" w:line="240" w:lineRule="auto"/>
    </w:pPr>
    <w:rPr>
      <w:rFonts w:asciiTheme="majorHAnsi" w:eastAsiaTheme="majorEastAsia" w:hAnsiTheme="majorHAnsi" w:cstheme="majorBidi"/>
      <w:sz w:val="20"/>
      <w:szCs w:val="20"/>
    </w:rPr>
  </w:style>
  <w:style w:type="character" w:customStyle="1" w:styleId="Heading1Char">
    <w:name w:val="Heading 1 Char"/>
    <w:basedOn w:val="DefaultParagraphFont"/>
    <w:link w:val="Heading1"/>
    <w:uiPriority w:val="9"/>
    <w:rsid w:val="00BC302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C302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C302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C302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C302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C302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C302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C302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C302C"/>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semiHidden/>
    <w:unhideWhenUsed/>
    <w:rsid w:val="00BC302C"/>
    <w:pPr>
      <w:spacing w:after="0" w:line="240" w:lineRule="auto"/>
    </w:pPr>
    <w:rPr>
      <w:i/>
      <w:iCs/>
    </w:rPr>
  </w:style>
  <w:style w:type="character" w:customStyle="1" w:styleId="HTMLAddressChar">
    <w:name w:val="HTML Address Char"/>
    <w:basedOn w:val="DefaultParagraphFont"/>
    <w:link w:val="HTMLAddress"/>
    <w:uiPriority w:val="99"/>
    <w:semiHidden/>
    <w:rsid w:val="00BC302C"/>
    <w:rPr>
      <w:i/>
      <w:iCs/>
    </w:rPr>
  </w:style>
  <w:style w:type="paragraph" w:styleId="HTMLPreformatted">
    <w:name w:val="HTML Preformatted"/>
    <w:basedOn w:val="Normal"/>
    <w:link w:val="HTMLPreformattedChar"/>
    <w:uiPriority w:val="99"/>
    <w:semiHidden/>
    <w:unhideWhenUsed/>
    <w:rsid w:val="00BC302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C302C"/>
    <w:rPr>
      <w:rFonts w:ascii="Consolas" w:hAnsi="Consolas"/>
      <w:sz w:val="20"/>
      <w:szCs w:val="20"/>
    </w:rPr>
  </w:style>
  <w:style w:type="paragraph" w:styleId="Index1">
    <w:name w:val="index 1"/>
    <w:basedOn w:val="Normal"/>
    <w:next w:val="Normal"/>
    <w:uiPriority w:val="99"/>
    <w:semiHidden/>
    <w:unhideWhenUsed/>
    <w:rsid w:val="00BC302C"/>
    <w:pPr>
      <w:spacing w:after="0" w:line="240" w:lineRule="auto"/>
      <w:ind w:left="220" w:hanging="220"/>
    </w:pPr>
  </w:style>
  <w:style w:type="paragraph" w:styleId="Index2">
    <w:name w:val="index 2"/>
    <w:basedOn w:val="Normal"/>
    <w:next w:val="Normal"/>
    <w:uiPriority w:val="99"/>
    <w:semiHidden/>
    <w:unhideWhenUsed/>
    <w:rsid w:val="00BC302C"/>
    <w:pPr>
      <w:spacing w:after="0" w:line="240" w:lineRule="auto"/>
      <w:ind w:left="440" w:hanging="220"/>
    </w:pPr>
  </w:style>
  <w:style w:type="paragraph" w:styleId="Index3">
    <w:name w:val="index 3"/>
    <w:basedOn w:val="Normal"/>
    <w:next w:val="Normal"/>
    <w:uiPriority w:val="99"/>
    <w:semiHidden/>
    <w:unhideWhenUsed/>
    <w:rsid w:val="00BC302C"/>
    <w:pPr>
      <w:spacing w:after="0" w:line="240" w:lineRule="auto"/>
      <w:ind w:left="660" w:hanging="220"/>
    </w:pPr>
  </w:style>
  <w:style w:type="paragraph" w:styleId="Index4">
    <w:name w:val="index 4"/>
    <w:basedOn w:val="Normal"/>
    <w:next w:val="Normal"/>
    <w:uiPriority w:val="99"/>
    <w:semiHidden/>
    <w:unhideWhenUsed/>
    <w:rsid w:val="00BC302C"/>
    <w:pPr>
      <w:spacing w:after="0" w:line="240" w:lineRule="auto"/>
      <w:ind w:left="880" w:hanging="220"/>
    </w:pPr>
  </w:style>
  <w:style w:type="paragraph" w:styleId="Index5">
    <w:name w:val="index 5"/>
    <w:basedOn w:val="Normal"/>
    <w:next w:val="Normal"/>
    <w:uiPriority w:val="99"/>
    <w:semiHidden/>
    <w:unhideWhenUsed/>
    <w:rsid w:val="00BC302C"/>
    <w:pPr>
      <w:spacing w:after="0" w:line="240" w:lineRule="auto"/>
      <w:ind w:left="1100" w:hanging="220"/>
    </w:pPr>
  </w:style>
  <w:style w:type="paragraph" w:styleId="Index6">
    <w:name w:val="index 6"/>
    <w:basedOn w:val="Normal"/>
    <w:next w:val="Normal"/>
    <w:uiPriority w:val="99"/>
    <w:semiHidden/>
    <w:unhideWhenUsed/>
    <w:rsid w:val="00BC302C"/>
    <w:pPr>
      <w:spacing w:after="0" w:line="240" w:lineRule="auto"/>
      <w:ind w:left="1320" w:hanging="220"/>
    </w:pPr>
  </w:style>
  <w:style w:type="paragraph" w:styleId="Index7">
    <w:name w:val="index 7"/>
    <w:basedOn w:val="Normal"/>
    <w:next w:val="Normal"/>
    <w:uiPriority w:val="99"/>
    <w:semiHidden/>
    <w:unhideWhenUsed/>
    <w:rsid w:val="00BC302C"/>
    <w:pPr>
      <w:spacing w:after="0" w:line="240" w:lineRule="auto"/>
      <w:ind w:left="1540" w:hanging="220"/>
    </w:pPr>
  </w:style>
  <w:style w:type="paragraph" w:styleId="Index8">
    <w:name w:val="index 8"/>
    <w:basedOn w:val="Normal"/>
    <w:next w:val="Normal"/>
    <w:uiPriority w:val="99"/>
    <w:semiHidden/>
    <w:unhideWhenUsed/>
    <w:rsid w:val="00BC302C"/>
    <w:pPr>
      <w:spacing w:after="0" w:line="240" w:lineRule="auto"/>
      <w:ind w:left="1760" w:hanging="220"/>
    </w:pPr>
  </w:style>
  <w:style w:type="paragraph" w:styleId="Index9">
    <w:name w:val="index 9"/>
    <w:basedOn w:val="Normal"/>
    <w:next w:val="Normal"/>
    <w:uiPriority w:val="99"/>
    <w:semiHidden/>
    <w:unhideWhenUsed/>
    <w:rsid w:val="00BC302C"/>
    <w:pPr>
      <w:spacing w:after="0" w:line="240" w:lineRule="auto"/>
      <w:ind w:left="1980" w:hanging="220"/>
    </w:pPr>
  </w:style>
  <w:style w:type="paragraph" w:styleId="IndexHeading">
    <w:name w:val="index heading"/>
    <w:basedOn w:val="Normal"/>
    <w:next w:val="Index1"/>
    <w:uiPriority w:val="99"/>
    <w:semiHidden/>
    <w:unhideWhenUsed/>
    <w:rsid w:val="00BC302C"/>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C302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C302C"/>
    <w:rPr>
      <w:b/>
      <w:bCs/>
      <w:i/>
      <w:iCs/>
      <w:color w:val="4F81BD" w:themeColor="accent1"/>
    </w:rPr>
  </w:style>
  <w:style w:type="paragraph" w:styleId="List">
    <w:name w:val="List"/>
    <w:basedOn w:val="Normal"/>
    <w:uiPriority w:val="99"/>
    <w:semiHidden/>
    <w:unhideWhenUsed/>
    <w:rsid w:val="00BC302C"/>
    <w:pPr>
      <w:ind w:left="360" w:hanging="360"/>
      <w:contextualSpacing/>
    </w:pPr>
  </w:style>
  <w:style w:type="paragraph" w:styleId="List2">
    <w:name w:val="List 2"/>
    <w:basedOn w:val="Normal"/>
    <w:uiPriority w:val="99"/>
    <w:semiHidden/>
    <w:unhideWhenUsed/>
    <w:rsid w:val="00BC302C"/>
    <w:pPr>
      <w:ind w:left="720" w:hanging="360"/>
      <w:contextualSpacing/>
    </w:pPr>
  </w:style>
  <w:style w:type="paragraph" w:styleId="List3">
    <w:name w:val="List 3"/>
    <w:basedOn w:val="Normal"/>
    <w:uiPriority w:val="99"/>
    <w:semiHidden/>
    <w:unhideWhenUsed/>
    <w:rsid w:val="00BC302C"/>
    <w:pPr>
      <w:ind w:left="1080" w:hanging="360"/>
      <w:contextualSpacing/>
    </w:pPr>
  </w:style>
  <w:style w:type="paragraph" w:styleId="List4">
    <w:name w:val="List 4"/>
    <w:basedOn w:val="Normal"/>
    <w:uiPriority w:val="99"/>
    <w:semiHidden/>
    <w:unhideWhenUsed/>
    <w:rsid w:val="00BC302C"/>
    <w:pPr>
      <w:ind w:left="1440" w:hanging="360"/>
      <w:contextualSpacing/>
    </w:pPr>
  </w:style>
  <w:style w:type="paragraph" w:styleId="List5">
    <w:name w:val="List 5"/>
    <w:basedOn w:val="Normal"/>
    <w:uiPriority w:val="99"/>
    <w:semiHidden/>
    <w:unhideWhenUsed/>
    <w:rsid w:val="00BC302C"/>
    <w:pPr>
      <w:ind w:left="1800" w:hanging="360"/>
      <w:contextualSpacing/>
    </w:pPr>
  </w:style>
  <w:style w:type="paragraph" w:styleId="ListBullet">
    <w:name w:val="List Bullet"/>
    <w:basedOn w:val="Normal"/>
    <w:uiPriority w:val="99"/>
    <w:semiHidden/>
    <w:unhideWhenUsed/>
    <w:rsid w:val="00BC302C"/>
    <w:pPr>
      <w:numPr>
        <w:numId w:val="9"/>
      </w:numPr>
      <w:contextualSpacing/>
    </w:pPr>
  </w:style>
  <w:style w:type="paragraph" w:styleId="ListBullet2">
    <w:name w:val="List Bullet 2"/>
    <w:basedOn w:val="Normal"/>
    <w:uiPriority w:val="99"/>
    <w:semiHidden/>
    <w:unhideWhenUsed/>
    <w:rsid w:val="00BC302C"/>
    <w:pPr>
      <w:numPr>
        <w:numId w:val="10"/>
      </w:numPr>
      <w:contextualSpacing/>
    </w:pPr>
  </w:style>
  <w:style w:type="paragraph" w:styleId="ListBullet3">
    <w:name w:val="List Bullet 3"/>
    <w:basedOn w:val="Normal"/>
    <w:uiPriority w:val="99"/>
    <w:semiHidden/>
    <w:unhideWhenUsed/>
    <w:rsid w:val="00BC302C"/>
    <w:pPr>
      <w:numPr>
        <w:numId w:val="11"/>
      </w:numPr>
      <w:contextualSpacing/>
    </w:pPr>
  </w:style>
  <w:style w:type="paragraph" w:styleId="ListBullet4">
    <w:name w:val="List Bullet 4"/>
    <w:basedOn w:val="Normal"/>
    <w:uiPriority w:val="99"/>
    <w:semiHidden/>
    <w:unhideWhenUsed/>
    <w:rsid w:val="00BC302C"/>
    <w:pPr>
      <w:numPr>
        <w:numId w:val="12"/>
      </w:numPr>
      <w:contextualSpacing/>
    </w:pPr>
  </w:style>
  <w:style w:type="paragraph" w:styleId="ListBullet5">
    <w:name w:val="List Bullet 5"/>
    <w:basedOn w:val="Normal"/>
    <w:uiPriority w:val="99"/>
    <w:semiHidden/>
    <w:unhideWhenUsed/>
    <w:rsid w:val="00BC302C"/>
    <w:pPr>
      <w:numPr>
        <w:numId w:val="13"/>
      </w:numPr>
      <w:contextualSpacing/>
    </w:pPr>
  </w:style>
  <w:style w:type="paragraph" w:styleId="ListContinue2">
    <w:name w:val="List Continue 2"/>
    <w:basedOn w:val="Normal"/>
    <w:uiPriority w:val="99"/>
    <w:semiHidden/>
    <w:unhideWhenUsed/>
    <w:rsid w:val="00BC302C"/>
    <w:pPr>
      <w:spacing w:after="120"/>
      <w:ind w:left="720"/>
      <w:contextualSpacing/>
    </w:pPr>
  </w:style>
  <w:style w:type="paragraph" w:styleId="ListContinue3">
    <w:name w:val="List Continue 3"/>
    <w:basedOn w:val="Normal"/>
    <w:uiPriority w:val="99"/>
    <w:semiHidden/>
    <w:unhideWhenUsed/>
    <w:rsid w:val="00BC302C"/>
    <w:pPr>
      <w:spacing w:after="120"/>
      <w:ind w:left="1080"/>
      <w:contextualSpacing/>
    </w:pPr>
  </w:style>
  <w:style w:type="paragraph" w:styleId="ListContinue4">
    <w:name w:val="List Continue 4"/>
    <w:basedOn w:val="Normal"/>
    <w:uiPriority w:val="99"/>
    <w:semiHidden/>
    <w:unhideWhenUsed/>
    <w:rsid w:val="00BC302C"/>
    <w:pPr>
      <w:spacing w:after="120"/>
      <w:ind w:left="1440"/>
      <w:contextualSpacing/>
    </w:pPr>
  </w:style>
  <w:style w:type="paragraph" w:styleId="ListContinue5">
    <w:name w:val="List Continue 5"/>
    <w:basedOn w:val="Normal"/>
    <w:uiPriority w:val="99"/>
    <w:semiHidden/>
    <w:unhideWhenUsed/>
    <w:rsid w:val="00BC302C"/>
    <w:pPr>
      <w:spacing w:after="120"/>
      <w:ind w:left="1800"/>
      <w:contextualSpacing/>
    </w:pPr>
  </w:style>
  <w:style w:type="paragraph" w:styleId="ListNumber">
    <w:name w:val="List Number"/>
    <w:basedOn w:val="Normal"/>
    <w:uiPriority w:val="99"/>
    <w:semiHidden/>
    <w:unhideWhenUsed/>
    <w:rsid w:val="00BC302C"/>
    <w:pPr>
      <w:numPr>
        <w:numId w:val="14"/>
      </w:numPr>
      <w:contextualSpacing/>
    </w:pPr>
  </w:style>
  <w:style w:type="paragraph" w:styleId="ListNumber2">
    <w:name w:val="List Number 2"/>
    <w:basedOn w:val="Normal"/>
    <w:uiPriority w:val="99"/>
    <w:semiHidden/>
    <w:unhideWhenUsed/>
    <w:rsid w:val="00BC302C"/>
    <w:pPr>
      <w:numPr>
        <w:numId w:val="15"/>
      </w:numPr>
      <w:contextualSpacing/>
    </w:pPr>
  </w:style>
  <w:style w:type="paragraph" w:styleId="ListNumber3">
    <w:name w:val="List Number 3"/>
    <w:basedOn w:val="Normal"/>
    <w:uiPriority w:val="99"/>
    <w:semiHidden/>
    <w:unhideWhenUsed/>
    <w:rsid w:val="00BC302C"/>
    <w:pPr>
      <w:numPr>
        <w:numId w:val="16"/>
      </w:numPr>
      <w:contextualSpacing/>
    </w:pPr>
  </w:style>
  <w:style w:type="paragraph" w:styleId="ListNumber4">
    <w:name w:val="List Number 4"/>
    <w:basedOn w:val="Normal"/>
    <w:uiPriority w:val="99"/>
    <w:semiHidden/>
    <w:unhideWhenUsed/>
    <w:rsid w:val="00BC302C"/>
    <w:pPr>
      <w:numPr>
        <w:numId w:val="17"/>
      </w:numPr>
      <w:contextualSpacing/>
    </w:pPr>
  </w:style>
  <w:style w:type="paragraph" w:styleId="ListNumber5">
    <w:name w:val="List Number 5"/>
    <w:basedOn w:val="Normal"/>
    <w:uiPriority w:val="99"/>
    <w:semiHidden/>
    <w:unhideWhenUsed/>
    <w:rsid w:val="00BC302C"/>
    <w:pPr>
      <w:numPr>
        <w:numId w:val="18"/>
      </w:numPr>
      <w:contextualSpacing/>
    </w:pPr>
  </w:style>
  <w:style w:type="paragraph" w:styleId="Macro">
    <w:name w:val="macro"/>
    <w:link w:val="MacroTextChar"/>
    <w:uiPriority w:val="99"/>
    <w:semiHidden/>
    <w:unhideWhenUsed/>
    <w:rsid w:val="00BC302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
    <w:uiPriority w:val="99"/>
    <w:semiHidden/>
    <w:rsid w:val="00BC302C"/>
    <w:rPr>
      <w:rFonts w:ascii="Consolas" w:hAnsi="Consolas"/>
      <w:sz w:val="20"/>
      <w:szCs w:val="20"/>
    </w:rPr>
  </w:style>
  <w:style w:type="paragraph" w:styleId="MessageHeader">
    <w:name w:val="Message Header"/>
    <w:basedOn w:val="Normal"/>
    <w:link w:val="MessageHeaderChar"/>
    <w:uiPriority w:val="99"/>
    <w:semiHidden/>
    <w:unhideWhenUsed/>
    <w:rsid w:val="00BC302C"/>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C302C"/>
    <w:rPr>
      <w:rFonts w:asciiTheme="majorHAnsi" w:eastAsiaTheme="majorEastAsia" w:hAnsiTheme="majorHAnsi" w:cstheme="majorBidi"/>
      <w:sz w:val="24"/>
      <w:szCs w:val="24"/>
      <w:shd w:val="pct20" w:color="auto" w:fill="auto"/>
    </w:rPr>
  </w:style>
  <w:style w:type="paragraph" w:styleId="NoSpacing">
    <w:name w:val="No Spacing"/>
    <w:uiPriority w:val="1"/>
    <w:qFormat/>
    <w:rsid w:val="00BC302C"/>
    <w:pPr>
      <w:spacing w:after="0" w:line="240" w:lineRule="auto"/>
    </w:pPr>
  </w:style>
  <w:style w:type="paragraph" w:styleId="NormalWeb">
    <w:name w:val="Normal (Web)"/>
    <w:basedOn w:val="Normal"/>
    <w:uiPriority w:val="99"/>
    <w:semiHidden/>
    <w:unhideWhenUsed/>
    <w:rsid w:val="00BC302C"/>
    <w:rPr>
      <w:rFonts w:ascii="Times New Roman" w:hAnsi="Times New Roman" w:cs="Times New Roman"/>
      <w:sz w:val="24"/>
      <w:szCs w:val="24"/>
    </w:rPr>
  </w:style>
  <w:style w:type="paragraph" w:styleId="NormalIndent">
    <w:name w:val="Normal Indent"/>
    <w:basedOn w:val="Normal"/>
    <w:uiPriority w:val="99"/>
    <w:semiHidden/>
    <w:unhideWhenUsed/>
    <w:rsid w:val="00BC302C"/>
    <w:pPr>
      <w:ind w:left="720"/>
    </w:pPr>
  </w:style>
  <w:style w:type="paragraph" w:styleId="NoteHeading">
    <w:name w:val="Note Heading"/>
    <w:basedOn w:val="Normal"/>
    <w:next w:val="Normal"/>
    <w:link w:val="NoteHeadingChar"/>
    <w:uiPriority w:val="99"/>
    <w:semiHidden/>
    <w:unhideWhenUsed/>
    <w:rsid w:val="00BC302C"/>
    <w:pPr>
      <w:spacing w:after="0" w:line="240" w:lineRule="auto"/>
    </w:pPr>
  </w:style>
  <w:style w:type="character" w:customStyle="1" w:styleId="NoteHeadingChar">
    <w:name w:val="Note Heading Char"/>
    <w:basedOn w:val="DefaultParagraphFont"/>
    <w:link w:val="NoteHeading"/>
    <w:uiPriority w:val="99"/>
    <w:semiHidden/>
    <w:rsid w:val="00BC302C"/>
  </w:style>
  <w:style w:type="paragraph" w:styleId="PlainText">
    <w:name w:val="Plain Text"/>
    <w:basedOn w:val="Normal"/>
    <w:link w:val="PlainTextChar"/>
    <w:uiPriority w:val="99"/>
    <w:semiHidden/>
    <w:unhideWhenUsed/>
    <w:rsid w:val="00BC302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C302C"/>
    <w:rPr>
      <w:rFonts w:ascii="Consolas" w:hAnsi="Consolas"/>
      <w:sz w:val="21"/>
      <w:szCs w:val="21"/>
    </w:rPr>
  </w:style>
  <w:style w:type="paragraph" w:styleId="Quote">
    <w:name w:val="Quote"/>
    <w:basedOn w:val="Normal"/>
    <w:next w:val="Normal"/>
    <w:link w:val="QuoteChar"/>
    <w:uiPriority w:val="29"/>
    <w:qFormat/>
    <w:rsid w:val="00BC302C"/>
    <w:rPr>
      <w:i/>
      <w:iCs/>
      <w:color w:val="000000" w:themeColor="text1"/>
    </w:rPr>
  </w:style>
  <w:style w:type="character" w:customStyle="1" w:styleId="QuoteChar">
    <w:name w:val="Quote Char"/>
    <w:basedOn w:val="DefaultParagraphFont"/>
    <w:link w:val="Quote"/>
    <w:uiPriority w:val="29"/>
    <w:rsid w:val="00BC302C"/>
    <w:rPr>
      <w:i/>
      <w:iCs/>
      <w:color w:val="000000" w:themeColor="text1"/>
    </w:rPr>
  </w:style>
  <w:style w:type="paragraph" w:styleId="Salutation">
    <w:name w:val="Salutation"/>
    <w:basedOn w:val="Normal"/>
    <w:next w:val="Normal"/>
    <w:link w:val="SalutationChar"/>
    <w:uiPriority w:val="99"/>
    <w:semiHidden/>
    <w:unhideWhenUsed/>
    <w:rsid w:val="00BC302C"/>
  </w:style>
  <w:style w:type="character" w:customStyle="1" w:styleId="SalutationChar">
    <w:name w:val="Salutation Char"/>
    <w:basedOn w:val="DefaultParagraphFont"/>
    <w:link w:val="Salutation"/>
    <w:uiPriority w:val="99"/>
    <w:semiHidden/>
    <w:rsid w:val="00BC302C"/>
  </w:style>
  <w:style w:type="paragraph" w:styleId="Signature">
    <w:name w:val="Signature"/>
    <w:basedOn w:val="Normal"/>
    <w:link w:val="SignatureChar"/>
    <w:uiPriority w:val="99"/>
    <w:semiHidden/>
    <w:unhideWhenUsed/>
    <w:rsid w:val="00BC302C"/>
    <w:pPr>
      <w:spacing w:after="0" w:line="240" w:lineRule="auto"/>
      <w:ind w:left="4320"/>
    </w:pPr>
  </w:style>
  <w:style w:type="character" w:customStyle="1" w:styleId="SignatureChar">
    <w:name w:val="Signature Char"/>
    <w:basedOn w:val="DefaultParagraphFont"/>
    <w:link w:val="Signature"/>
    <w:uiPriority w:val="99"/>
    <w:semiHidden/>
    <w:rsid w:val="00BC302C"/>
  </w:style>
  <w:style w:type="paragraph" w:styleId="Subtitle">
    <w:name w:val="Subtitle"/>
    <w:basedOn w:val="Normal"/>
    <w:next w:val="Normal"/>
    <w:link w:val="SubtitleChar"/>
    <w:uiPriority w:val="11"/>
    <w:qFormat/>
    <w:rsid w:val="00BC302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C302C"/>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C302C"/>
    <w:pPr>
      <w:spacing w:after="0"/>
      <w:ind w:left="220" w:hanging="220"/>
    </w:pPr>
  </w:style>
  <w:style w:type="paragraph" w:styleId="TableofFigures">
    <w:name w:val="table of figures"/>
    <w:basedOn w:val="Normal"/>
    <w:next w:val="Normal"/>
    <w:uiPriority w:val="99"/>
    <w:semiHidden/>
    <w:unhideWhenUsed/>
    <w:rsid w:val="00BC302C"/>
    <w:pPr>
      <w:spacing w:after="0"/>
    </w:pPr>
  </w:style>
  <w:style w:type="paragraph" w:styleId="Title">
    <w:name w:val="Title"/>
    <w:basedOn w:val="Normal"/>
    <w:next w:val="Normal"/>
    <w:link w:val="TitleChar"/>
    <w:uiPriority w:val="10"/>
    <w:qFormat/>
    <w:rsid w:val="00BC302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C302C"/>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C302C"/>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semiHidden/>
    <w:unhideWhenUsed/>
    <w:rsid w:val="00BC302C"/>
    <w:pPr>
      <w:spacing w:after="100"/>
    </w:pPr>
  </w:style>
  <w:style w:type="paragraph" w:styleId="TOC2">
    <w:name w:val="toc 2"/>
    <w:basedOn w:val="Normal"/>
    <w:next w:val="Normal"/>
    <w:uiPriority w:val="39"/>
    <w:semiHidden/>
    <w:unhideWhenUsed/>
    <w:rsid w:val="00BC302C"/>
    <w:pPr>
      <w:spacing w:after="100"/>
      <w:ind w:left="220"/>
    </w:pPr>
  </w:style>
  <w:style w:type="paragraph" w:styleId="TOC3">
    <w:name w:val="toc 3"/>
    <w:basedOn w:val="Normal"/>
    <w:next w:val="Normal"/>
    <w:uiPriority w:val="39"/>
    <w:semiHidden/>
    <w:unhideWhenUsed/>
    <w:rsid w:val="00BC302C"/>
    <w:pPr>
      <w:spacing w:after="100"/>
      <w:ind w:left="440"/>
    </w:pPr>
  </w:style>
  <w:style w:type="paragraph" w:styleId="TOC4">
    <w:name w:val="toc 4"/>
    <w:basedOn w:val="Normal"/>
    <w:next w:val="Normal"/>
    <w:uiPriority w:val="39"/>
    <w:semiHidden/>
    <w:unhideWhenUsed/>
    <w:rsid w:val="00BC302C"/>
    <w:pPr>
      <w:spacing w:after="100"/>
      <w:ind w:left="660"/>
    </w:pPr>
  </w:style>
  <w:style w:type="paragraph" w:styleId="TOC5">
    <w:name w:val="toc 5"/>
    <w:basedOn w:val="Normal"/>
    <w:next w:val="Normal"/>
    <w:uiPriority w:val="39"/>
    <w:semiHidden/>
    <w:unhideWhenUsed/>
    <w:rsid w:val="00BC302C"/>
    <w:pPr>
      <w:spacing w:after="100"/>
      <w:ind w:left="880"/>
    </w:pPr>
  </w:style>
  <w:style w:type="paragraph" w:styleId="TOC6">
    <w:name w:val="toc 6"/>
    <w:basedOn w:val="Normal"/>
    <w:next w:val="Normal"/>
    <w:uiPriority w:val="39"/>
    <w:semiHidden/>
    <w:unhideWhenUsed/>
    <w:rsid w:val="00BC302C"/>
    <w:pPr>
      <w:spacing w:after="100"/>
      <w:ind w:left="1100"/>
    </w:pPr>
  </w:style>
  <w:style w:type="paragraph" w:styleId="TOC7">
    <w:name w:val="toc 7"/>
    <w:basedOn w:val="Normal"/>
    <w:next w:val="Normal"/>
    <w:uiPriority w:val="39"/>
    <w:semiHidden/>
    <w:unhideWhenUsed/>
    <w:rsid w:val="00BC302C"/>
    <w:pPr>
      <w:spacing w:after="100"/>
      <w:ind w:left="1320"/>
    </w:pPr>
  </w:style>
  <w:style w:type="paragraph" w:styleId="TOC8">
    <w:name w:val="toc 8"/>
    <w:basedOn w:val="Normal"/>
    <w:next w:val="Normal"/>
    <w:uiPriority w:val="39"/>
    <w:semiHidden/>
    <w:unhideWhenUsed/>
    <w:rsid w:val="00BC302C"/>
    <w:pPr>
      <w:spacing w:after="100"/>
      <w:ind w:left="1540"/>
    </w:pPr>
  </w:style>
  <w:style w:type="paragraph" w:styleId="TOC9">
    <w:name w:val="toc 9"/>
    <w:basedOn w:val="Normal"/>
    <w:next w:val="Normal"/>
    <w:uiPriority w:val="39"/>
    <w:semiHidden/>
    <w:unhideWhenUsed/>
    <w:rsid w:val="00BC302C"/>
    <w:pPr>
      <w:spacing w:after="100"/>
      <w:ind w:left="1760"/>
    </w:pPr>
  </w:style>
  <w:style w:type="paragraph" w:styleId="TOCHeading">
    <w:name w:val="TOC Heading"/>
    <w:basedOn w:val="Heading1"/>
    <w:next w:val="Normal"/>
    <w:uiPriority w:val="39"/>
    <w:semiHidden/>
    <w:unhideWhenUsed/>
    <w:qFormat/>
    <w:rsid w:val="00BC302C"/>
    <w:pPr>
      <w:outlineLvl w:val="9"/>
    </w:pPr>
  </w:style>
  <w:style w:type="character" w:customStyle="1" w:styleId="FERCparanumberChar1">
    <w:name w:val="FERC paranumber Char1"/>
    <w:rsid w:val="007B3E16"/>
    <w:rPr>
      <w:sz w:val="26"/>
      <w:szCs w:val="24"/>
    </w:rPr>
  </w:style>
  <w:style w:type="table" w:styleId="TableGrid">
    <w:name w:val="Table Grid"/>
    <w:basedOn w:val="TableNormal"/>
    <w:uiPriority w:val="39"/>
    <w:rsid w:val="0092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5D41A2"/>
    <w:pPr>
      <w:spacing w:after="0" w:line="259" w:lineRule="auto"/>
      <w:ind w:left="720" w:right="146"/>
    </w:pPr>
    <w:rPr>
      <w:rFonts w:ascii="Times New Roman" w:eastAsia="Times New Roman" w:hAnsi="Times New Roman" w:cs="Times New Roman"/>
      <w:color w:val="000000"/>
      <w:sz w:val="26"/>
    </w:rPr>
  </w:style>
  <w:style w:type="character" w:customStyle="1" w:styleId="footnotedescriptionChar">
    <w:name w:val="footnote description Char"/>
    <w:link w:val="footnotedescription"/>
    <w:rsid w:val="005D41A2"/>
    <w:rPr>
      <w:rFonts w:ascii="Times New Roman" w:eastAsia="Times New Roman" w:hAnsi="Times New Roman" w:cs="Times New Roman"/>
      <w:color w:val="000000"/>
      <w:sz w:val="26"/>
    </w:rPr>
  </w:style>
  <w:style w:type="character" w:customStyle="1" w:styleId="footnotemark">
    <w:name w:val="footnote mark"/>
    <w:hidden/>
    <w:rsid w:val="005D41A2"/>
    <w:rPr>
      <w:rFonts w:ascii="Times New Roman" w:eastAsia="Times New Roman" w:hAnsi="Times New Roman" w:cs="Times New Roman"/>
      <w:b/>
      <w:color w:val="000000"/>
      <w:sz w:val="26"/>
      <w:vertAlign w:val="superscript"/>
    </w:rPr>
  </w:style>
  <w:style w:type="character" w:styleId="UnresolvedMention">
    <w:name w:val="Unresolved Mention"/>
    <w:basedOn w:val="DefaultParagraphFont"/>
    <w:uiPriority w:val="99"/>
    <w:semiHidden/>
    <w:unhideWhenUsed/>
    <w:rsid w:val="00427514"/>
    <w:rPr>
      <w:color w:val="605E5C"/>
      <w:shd w:val="clear" w:color="auto" w:fill="E1DFDD"/>
    </w:rPr>
  </w:style>
  <w:style w:type="table" w:customStyle="1" w:styleId="TableGrid1">
    <w:name w:val="Table Grid1"/>
    <w:basedOn w:val="TableNormal"/>
    <w:next w:val="TableGrid"/>
    <w:uiPriority w:val="39"/>
    <w:rsid w:val="008F7F55"/>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724F9"/>
    <w:pPr>
      <w:spacing w:after="0" w:line="240" w:lineRule="auto"/>
    </w:pPr>
  </w:style>
  <w:style w:type="table" w:customStyle="1" w:styleId="TableGrid3">
    <w:name w:val="Table Grid3"/>
    <w:basedOn w:val="TableNormal"/>
    <w:next w:val="TableGrid"/>
    <w:uiPriority w:val="39"/>
    <w:rsid w:val="00805EA0"/>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ferc.gov/information-collections"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nerc.com/FilingsOrders/us/RuleOfProcedureDL/NERC_ROP_Effective_20190125.pdf" TargetMode="External" /><Relationship Id="rId2" Type="http://schemas.openxmlformats.org/officeDocument/2006/relationships/hyperlink" Target="https://www.nerc.com/AboutNERC/RulesOfProcedure/NERC%20ROP%20effective%2020220825_no%20appendicies.pdf" TargetMode="External" /><Relationship Id="rId3" Type="http://schemas.openxmlformats.org/officeDocument/2006/relationships/hyperlink" Target="http://www.nerc.com/pa/Stand/Documents/Appendix_3A_StandardsProcessesManual.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efd1f78-2452-40eb-b641-aaad3c0a6650">
      <UserInfo>
        <DisplayName>Jean Sonneman</DisplayName>
        <AccountId>551</AccountId>
        <AccountType/>
      </UserInfo>
      <UserInfo>
        <DisplayName>Chanel Chasanov</DisplayName>
        <AccountId>2840</AccountId>
        <AccountType/>
      </UserInfo>
      <UserInfo>
        <DisplayName>David O'Connor</DisplayName>
        <AccountId>1256</AccountId>
        <AccountType/>
      </UserInfo>
      <UserInfo>
        <DisplayName>Dennis Fuentes Pedrosa</DisplayName>
        <AccountId>1202</AccountId>
        <AccountType/>
      </UserInfo>
      <UserInfo>
        <DisplayName>Syed Ahmad</DisplayName>
        <AccountId>1223</AccountId>
        <AccountType/>
      </UserInfo>
      <UserInfo>
        <DisplayName>Michael Gandolfo</DisplayName>
        <AccountId>1214</AccountId>
        <AccountType/>
      </UserInfo>
    </SharedWithUsers>
    <Updates xmlns="82e40cf6-c09f-421d-a298-827f536a5023">N/A</Updates>
    <_ip_UnifiedCompliancePolicyUIAction xmlns="http://schemas.microsoft.com/sharepoint/v3" xsi:nil="true"/>
    <IconOverlay xmlns="http://schemas.microsoft.com/sharepoint/v4" xsi:nil="true"/>
    <_ip_UnifiedCompliancePolicyProperties xmlns="http://schemas.microsoft.com/sharepoint/v3" xsi:nil="true"/>
    <kwizcomcontrollerfield xmlns="82e40cf6-c09f-421d-a298-827f536a50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D4A98CE0B408D41A9CE8FC72BBBB8EE" ma:contentTypeVersion="27" ma:contentTypeDescription="Create a new document." ma:contentTypeScope="" ma:versionID="a7cef3435b449a7a441d1852b207f1df">
  <xsd:schema xmlns:xsd="http://www.w3.org/2001/XMLSchema" xmlns:xs="http://www.w3.org/2001/XMLSchema" xmlns:p="http://schemas.microsoft.com/office/2006/metadata/properties" xmlns:ns1="http://schemas.microsoft.com/sharepoint/v3" xmlns:ns2="http://schemas.microsoft.com/sharepoint/v4" xmlns:ns3="9efd1f78-2452-40eb-b641-aaad3c0a6650" xmlns:ns4="82e40cf6-c09f-421d-a298-827f536a5023" targetNamespace="http://schemas.microsoft.com/office/2006/metadata/properties" ma:root="true" ma:fieldsID="3484e85d3de3007e2ab14115e68b8786" ns1:_="" ns2:_="" ns3:_="" ns4:_="">
    <xsd:import namespace="http://schemas.microsoft.com/sharepoint/v3"/>
    <xsd:import namespace="http://schemas.microsoft.com/sharepoint/v4"/>
    <xsd:import namespace="9efd1f78-2452-40eb-b641-aaad3c0a6650"/>
    <xsd:import namespace="82e40cf6-c09f-421d-a298-827f536a5023"/>
    <xsd:element name="properties">
      <xsd:complexType>
        <xsd:sequence>
          <xsd:element name="documentManagement">
            <xsd:complexType>
              <xsd:all>
                <xsd:element ref="ns2:IconOverlay" minOccurs="0"/>
                <xsd:element ref="ns3:SharedWithUsers" minOccurs="0"/>
                <xsd:element ref="ns3:SharedWithDetails" minOccurs="0"/>
                <xsd:element ref="ns4:MediaServiceDateTaken" minOccurs="0"/>
                <xsd:element ref="ns4:MediaLengthInSeconds" minOccurs="0"/>
                <xsd:element ref="ns4:MediaServiceObjectDetectorVersions" minOccurs="0"/>
                <xsd:element ref="ns4:MediaServiceLocation" minOccurs="0"/>
                <xsd:element ref="ns4:MediaServiceSearchProperties" minOccurs="0"/>
                <xsd:element ref="ns4:Updates" minOccurs="0"/>
                <xsd:element ref="ns1:_ip_UnifiedCompliancePolicyProperties" minOccurs="0"/>
                <xsd:element ref="ns1:_ip_UnifiedCompliancePolicyUIAction" minOccurs="0"/>
                <xsd:element ref="ns4:kwizcomcontroller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fd1f78-2452-40eb-b641-aaad3c0a6650"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e40cf6-c09f-421d-a298-827f536a5023" elementFormDefault="qualified">
    <xsd:import namespace="http://schemas.microsoft.com/office/2006/documentManagement/types"/>
    <xsd:import namespace="http://schemas.microsoft.com/office/infopath/2007/PartnerControls"/>
    <xsd:element name="MediaServiceDateTaken" ma:index="11" nillable="true" ma:displayName="MediaServiceDateTaken" ma:hidden="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ServiceLocation" ma:index="14" nillable="true" ma:displayName="Location" ma:description="" ma:indexed="true" ma:internalName="MediaServiceLocatio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Updates" ma:index="16" nillable="true" ma:displayName="Updates" ma:default="N/A" ma:format="Dropdown" ma:internalName="Updates">
      <xsd:simpleType>
        <xsd:restriction base="dms:Text">
          <xsd:maxLength value="255"/>
        </xsd:restriction>
      </xsd:simpleType>
    </xsd:element>
    <xsd:element name="kwizcomcontrollerfield" ma:index="19" nillable="true" ma:displayName="kwizcomcontrollerfield" ma:internalName="kwizcomcontrollerfiel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E38246-0F0A-41E9-B509-474AE497E194}">
  <ds:schemaRefs>
    <ds:schemaRef ds:uri="http://schemas.microsoft.com/office/2006/metadata/properties"/>
    <ds:schemaRef ds:uri="http://schemas.microsoft.com/office/infopath/2007/PartnerControls"/>
    <ds:schemaRef ds:uri="9efd1f78-2452-40eb-b641-aaad3c0a6650"/>
    <ds:schemaRef ds:uri="82e40cf6-c09f-421d-a298-827f536a5023"/>
    <ds:schemaRef ds:uri="http://schemas.microsoft.com/sharepoint/v3"/>
    <ds:schemaRef ds:uri="http://schemas.microsoft.com/sharepoint/v4"/>
  </ds:schemaRefs>
</ds:datastoreItem>
</file>

<file path=customXml/itemProps2.xml><?xml version="1.0" encoding="utf-8"?>
<ds:datastoreItem xmlns:ds="http://schemas.openxmlformats.org/officeDocument/2006/customXml" ds:itemID="{A0BFA69B-9D30-4399-9238-96357D87FB69}">
  <ds:schemaRefs>
    <ds:schemaRef ds:uri="http://schemas.microsoft.com/sharepoint/v3/contenttype/forms"/>
  </ds:schemaRefs>
</ds:datastoreItem>
</file>

<file path=customXml/itemProps3.xml><?xml version="1.0" encoding="utf-8"?>
<ds:datastoreItem xmlns:ds="http://schemas.openxmlformats.org/officeDocument/2006/customXml" ds:itemID="{C4907F3B-4487-46B2-97E6-F3EB0E4B447A}">
  <ds:schemaRefs>
    <ds:schemaRef ds:uri="http://schemas.openxmlformats.org/officeDocument/2006/bibliography"/>
  </ds:schemaRefs>
</ds:datastoreItem>
</file>

<file path=customXml/itemProps4.xml><?xml version="1.0" encoding="utf-8"?>
<ds:datastoreItem xmlns:ds="http://schemas.openxmlformats.org/officeDocument/2006/customXml" ds:itemID="{CF613845-7269-4643-B6B9-D6EBFDC16A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4"/>
    <ds:schemaRef ds:uri="9efd1f78-2452-40eb-b641-aaad3c0a6650"/>
    <ds:schemaRef ds:uri="82e40cf6-c09f-421d-a298-827f536a5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11</Pages>
  <Words>3236</Words>
  <Characters>19551</Characters>
  <Application>Microsoft Office Word</Application>
  <DocSecurity>0</DocSecurity>
  <Lines>501</Lines>
  <Paragraphs>214</Paragraphs>
  <ScaleCrop>false</ScaleCrop>
  <Company/>
  <LinksUpToDate>false</LinksUpToDate>
  <CharactersWithSpaces>22573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Williams</dc:creator>
  <cp:lastModifiedBy>Kayla Williams</cp:lastModifiedBy>
  <cp:revision>8</cp:revision>
  <dcterms:created xsi:type="dcterms:W3CDTF">2026-10-21T10:57:00Z</dcterms:created>
  <dcterms:modified xsi:type="dcterms:W3CDTF">2026-10-22T21:43:00Z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#ff0000,13,Times New Roman</vt:lpwstr>
  </property>
  <property fmtid="{D5CDD505-2E9C-101B-9397-08002B2CF9AE}" pid="3" name="ClassificationContentMarkingHeaderShapeIds">
    <vt:lpwstr>9576ef1</vt:lpwstr>
  </property>
  <property fmtid="{D5CDD505-2E9C-101B-9397-08002B2CF9AE}" pid="4" name="ClassificationContentMarkingHeaderText">
    <vt:lpwstr>CUI//ISVI</vt:lpwstr>
  </property>
  <property fmtid="{D5CDD505-2E9C-101B-9397-08002B2CF9AE}" pid="5" name="ContentTypeId">
    <vt:lpwstr>0x0101006D4A98CE0B408D41A9CE8FC72BBBB8EE</vt:lpwstr>
  </property>
  <property fmtid="{D5CDD505-2E9C-101B-9397-08002B2CF9AE}" pid="6" name="docLang">
    <vt:lpwstr>en</vt:lpwstr>
  </property>
  <property fmtid="{D5CDD505-2E9C-101B-9397-08002B2CF9AE}" pid="7" name="lcf76f155ced4ddcb4097134ff3c332f">
    <vt:lpwstr/>
  </property>
  <property fmtid="{D5CDD505-2E9C-101B-9397-08002B2CF9AE}" pid="8" name="MediaServiceImageTags">
    <vt:lpwstr/>
  </property>
  <property fmtid="{D5CDD505-2E9C-101B-9397-08002B2CF9AE}" pid="9" name="MSIP_Label_bd24d06a-0e85-4d57-b1e0-ba34b1abc708_ActionId">
    <vt:lpwstr>94bb39ff-22fd-4deb-af9f-3b4a3ec27ab9</vt:lpwstr>
  </property>
  <property fmtid="{D5CDD505-2E9C-101B-9397-08002B2CF9AE}" pid="10" name="MSIP_Label_bd24d06a-0e85-4d57-b1e0-ba34b1abc708_ContentBits">
    <vt:lpwstr>0</vt:lpwstr>
  </property>
  <property fmtid="{D5CDD505-2E9C-101B-9397-08002B2CF9AE}" pid="11" name="MSIP_Label_bd24d06a-0e85-4d57-b1e0-ba34b1abc708_Enabled">
    <vt:lpwstr>true</vt:lpwstr>
  </property>
  <property fmtid="{D5CDD505-2E9C-101B-9397-08002B2CF9AE}" pid="12" name="MSIP_Label_bd24d06a-0e85-4d57-b1e0-ba34b1abc708_Method">
    <vt:lpwstr>Privileged</vt:lpwstr>
  </property>
  <property fmtid="{D5CDD505-2E9C-101B-9397-08002B2CF9AE}" pid="13" name="MSIP_Label_bd24d06a-0e85-4d57-b1e0-ba34b1abc708_Name">
    <vt:lpwstr>bd24d06a-0e85-4d57-b1e0-ba34b1abc708</vt:lpwstr>
  </property>
  <property fmtid="{D5CDD505-2E9C-101B-9397-08002B2CF9AE}" pid="14" name="MSIP_Label_bd24d06a-0e85-4d57-b1e0-ba34b1abc708_SetDate">
    <vt:lpwstr>2026-02-25T03:01:24Z</vt:lpwstr>
  </property>
  <property fmtid="{D5CDD505-2E9C-101B-9397-08002B2CF9AE}" pid="15" name="MSIP_Label_bd24d06a-0e85-4d57-b1e0-ba34b1abc708_SiteId">
    <vt:lpwstr>19caa9e9-04ff-43fa-885f-d77fac387903</vt:lpwstr>
  </property>
  <property fmtid="{D5CDD505-2E9C-101B-9397-08002B2CF9AE}" pid="16" name="TaxCatchAll">
    <vt:lpwstr/>
  </property>
  <property fmtid="{D5CDD505-2E9C-101B-9397-08002B2CF9AE}" pid="17" name="_NewReviewCycle">
    <vt:lpwstr/>
  </property>
</Properties>
</file>