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D69F1" w:rsidRPr="00CB038B" w:rsidP="11AB4B38" w14:paraId="27F105E6" w14:textId="77777777">
      <w:pPr>
        <w:spacing w:after="0"/>
        <w:jc w:val="center"/>
        <w:rPr>
          <w:sz w:val="32"/>
          <w:szCs w:val="32"/>
        </w:rPr>
      </w:pPr>
      <w:r w:rsidRPr="11AB4B38">
        <w:rPr>
          <w:sz w:val="32"/>
          <w:szCs w:val="32"/>
        </w:rPr>
        <w:t>U.S. Environmental Protection Agency</w:t>
      </w:r>
    </w:p>
    <w:p w:rsidR="000D69F1" w:rsidRPr="00CB038B" w:rsidP="11AB4B38" w14:paraId="647C2072" w14:textId="77777777">
      <w:pPr>
        <w:jc w:val="center"/>
        <w:rPr>
          <w:sz w:val="32"/>
          <w:szCs w:val="32"/>
        </w:rPr>
      </w:pPr>
      <w:r w:rsidRPr="11AB4B38">
        <w:rPr>
          <w:sz w:val="32"/>
          <w:szCs w:val="32"/>
        </w:rPr>
        <w:t>Information Collection Request</w:t>
      </w:r>
    </w:p>
    <w:p w:rsidR="000D69F1" w:rsidP="00BB432F" w14:paraId="08F591BB" w14:textId="77777777">
      <w:pPr>
        <w:rPr>
          <w:rFonts w:cstheme="minorHAnsi"/>
          <w:b/>
          <w:bCs/>
        </w:rPr>
      </w:pPr>
    </w:p>
    <w:p w:rsidR="000D69F1" w:rsidRPr="00C546F3" w:rsidP="00BB432F" w14:paraId="4FE45E04" w14:textId="2649054F">
      <w:pPr>
        <w:rPr>
          <w:rFonts w:cstheme="minorHAnsi"/>
        </w:rPr>
      </w:pPr>
      <w:r w:rsidRPr="00BB3410">
        <w:rPr>
          <w:rFonts w:cstheme="minorHAnsi"/>
          <w:b/>
          <w:bCs/>
        </w:rPr>
        <w:t>Title</w:t>
      </w:r>
      <w:r w:rsidRPr="00EA0D20">
        <w:rPr>
          <w:rFonts w:cstheme="minorHAnsi"/>
          <w:b/>
          <w:bCs/>
        </w:rPr>
        <w:t>:</w:t>
      </w:r>
      <w:r>
        <w:rPr>
          <w:rFonts w:cstheme="minorHAnsi"/>
        </w:rPr>
        <w:t xml:space="preserve"> </w:t>
      </w:r>
      <w:r w:rsidRPr="00C546F3">
        <w:rPr>
          <w:rFonts w:cstheme="minorHAnsi"/>
          <w:noProof/>
        </w:rPr>
        <w:t xml:space="preserve">NESHAP for Primary Magnesium Refining (40 CFR </w:t>
      </w:r>
      <w:r w:rsidRPr="00C546F3" w:rsidR="00080D11">
        <w:rPr>
          <w:rFonts w:cstheme="minorHAnsi"/>
          <w:noProof/>
        </w:rPr>
        <w:t>Part 63</w:t>
      </w:r>
      <w:r w:rsidRPr="00C546F3">
        <w:rPr>
          <w:rFonts w:cstheme="minorHAnsi"/>
          <w:noProof/>
        </w:rPr>
        <w:t>, Subpart TTTTT) (Renewal)</w:t>
      </w:r>
    </w:p>
    <w:p w:rsidR="000D69F1" w:rsidRPr="00C546F3" w:rsidP="00BB432F" w14:paraId="06F7AA4E" w14:textId="77777777">
      <w:pPr>
        <w:spacing w:line="240" w:lineRule="auto"/>
        <w:rPr>
          <w:rFonts w:cstheme="minorHAnsi"/>
        </w:rPr>
      </w:pPr>
      <w:r w:rsidRPr="00C546F3">
        <w:rPr>
          <w:rFonts w:cstheme="minorHAnsi"/>
          <w:b/>
          <w:bCs/>
        </w:rPr>
        <w:t>OMB Control Number:</w:t>
      </w:r>
      <w:r w:rsidRPr="00C546F3">
        <w:rPr>
          <w:rFonts w:cstheme="minorHAnsi"/>
        </w:rPr>
        <w:t xml:space="preserve"> </w:t>
      </w:r>
      <w:r w:rsidRPr="00C546F3">
        <w:rPr>
          <w:rFonts w:cstheme="minorHAnsi"/>
          <w:noProof/>
        </w:rPr>
        <w:t>2060-0536</w:t>
      </w:r>
    </w:p>
    <w:p w:rsidR="000D69F1" w:rsidRPr="00BB3410" w:rsidP="00ED57A4" w14:paraId="664D268F" w14:textId="77777777">
      <w:pPr>
        <w:spacing w:before="240" w:line="240" w:lineRule="auto"/>
        <w:rPr>
          <w:rFonts w:cstheme="minorHAnsi"/>
        </w:rPr>
      </w:pPr>
      <w:r w:rsidRPr="00C546F3">
        <w:rPr>
          <w:rFonts w:cstheme="minorHAnsi"/>
          <w:b/>
          <w:bCs/>
        </w:rPr>
        <w:t xml:space="preserve">EPA ICR Number: </w:t>
      </w:r>
      <w:r w:rsidRPr="00C546F3">
        <w:rPr>
          <w:rFonts w:cstheme="minorHAnsi"/>
          <w:noProof/>
        </w:rPr>
        <w:t>2098.11</w:t>
      </w:r>
    </w:p>
    <w:p w:rsidR="002E4449" w:rsidP="002E4449" w14:paraId="4D064E98" w14:textId="4C013160">
      <w:pPr>
        <w:spacing w:before="240"/>
      </w:pPr>
      <w:r w:rsidRPr="4BDBF0A0">
        <w:rPr>
          <w:b/>
          <w:bCs/>
        </w:rPr>
        <w:t>Abstract:</w:t>
      </w:r>
      <w:r w:rsidRPr="4BDBF0A0">
        <w:t xml:space="preserve"> </w:t>
      </w:r>
      <w:r>
        <w:t xml:space="preserve">The National Emission Standards for Hazardous Air Pollutants (NESHAP) for Primary Magnesium Refining (40 CFR Part 63, Subpart TTTTT) were proposed on January 22, 2003; promulgated on October 10, 2003; and </w:t>
      </w:r>
      <w:r w:rsidR="00C97FAA">
        <w:t xml:space="preserve">most recently </w:t>
      </w:r>
      <w:r>
        <w:t xml:space="preserve">amended on </w:t>
      </w:r>
      <w:r w:rsidR="00C97FAA">
        <w:t>November 19, 2020</w:t>
      </w:r>
      <w:r>
        <w:t xml:space="preserve">. These regulations apply to both existing and new facilities that perform primary magnesium refining where the total hazardous air pollutants (HAPs) emitted are greater than, or equal to, 10 tons per year for each HAP, or where the total HAPs emitted are greater than, or equal to, 25 tons per year of any combination of HAPs. New facilities include those that commenced construction or reconstruction after the date of proposal. This information is being collected to assure compliance with 40 CFR Part 63, Subpart TTTTT. </w:t>
      </w:r>
    </w:p>
    <w:p w:rsidR="000D69F1" w:rsidRPr="00EA1F47" w:rsidP="002E4449" w14:paraId="26A49AB1" w14:textId="5D8B0059">
      <w:pPr>
        <w:spacing w:before="240"/>
        <w:rPr>
          <w:color w:val="FF0000"/>
        </w:rPr>
      </w:pPr>
      <w:r>
        <w:t>In general, all NESHAP standards require initial notifications, performance tests, and periodic reports by the owners/operators of the affected facilities. They are also required to maintain records of the occurrence and duration of any startup, shutdown, or malfunction in the operation of an affected facility, or any period during which the monitoring system is inoperative. These notifications, reports, and records are essential in determining compliance, and are required of all affected facilities subject to NESHAP.</w:t>
      </w:r>
    </w:p>
    <w:p w:rsidR="000D69F1" w:rsidRPr="004048AD" w:rsidP="4BDBF0A0" w14:paraId="25680638" w14:textId="6B2146EA">
      <w:pPr>
        <w:spacing w:before="240"/>
      </w:pPr>
      <w:r w:rsidRPr="004048AD">
        <w:rPr>
          <w:noProof/>
        </w:rPr>
        <w:t>The Office of Management and Budget (OMB) approved the currently active ICR without any “Terms of Clearance .”</w:t>
      </w:r>
    </w:p>
    <w:p w:rsidR="000D69F1" w:rsidRPr="00BB3410" w:rsidP="4BDBF0A0" w14:paraId="22C347FF" w14:textId="77777777">
      <w:pPr>
        <w:rPr>
          <w:b/>
          <w:bCs/>
          <w:u w:val="single"/>
        </w:rPr>
      </w:pPr>
      <w:r w:rsidRPr="4BDBF0A0">
        <w:rPr>
          <w:b/>
          <w:bCs/>
          <w:u w:val="single"/>
        </w:rPr>
        <w:t>Supporting Statement A</w:t>
      </w:r>
    </w:p>
    <w:p w:rsidR="000D69F1" w:rsidRPr="00E3122D" w:rsidP="00854AAE" w14:paraId="38ADB736"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NEED AND AUTHORITY FOR THE COLLECTION</w:t>
      </w:r>
    </w:p>
    <w:p w:rsidR="000D69F1" w:rsidP="00854AAE" w14:paraId="7B5A6795"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Explain the circumstances that make the collection of information necessary. Identify any legal or administrative requirements that necessitate the collection.</w:t>
      </w:r>
    </w:p>
    <w:p w:rsidR="000D69F1" w:rsidRPr="004048AD" w:rsidP="00DA5E22" w14:paraId="5644BE95" w14:textId="77777777">
      <w:pPr>
        <w:spacing w:before="60"/>
        <w:rPr>
          <w:rFonts w:ascii="Calibri" w:hAnsi="Calibri" w:cs="Calibri"/>
          <w:noProof/>
          <w:color w:val="000000"/>
          <w:shd w:val="clear" w:color="auto" w:fill="FFFFFF"/>
        </w:rPr>
      </w:pPr>
      <w:r w:rsidRPr="004048AD">
        <w:rPr>
          <w:rFonts w:ascii="Calibri" w:hAnsi="Calibri" w:cs="Calibri"/>
          <w:noProof/>
          <w:color w:val="000000"/>
          <w:shd w:val="clear" w:color="auto" w:fill="FFFFFF"/>
        </w:rPr>
        <w:t xml:space="preserve">The EPA is charged under Section 112 of the Clean Air Act, as amended, to establish standards of performance for each category or subcategory of major sources and area sources of hazardous air pollutants. These standards are applicable to new or existing sources of hazardous air pollutants and shall require the maximum degree of emission reduction. In addition, section 114(a) states that the Administrator may require any owner/operator subject to any requirement of this Act to: </w:t>
      </w:r>
    </w:p>
    <w:p w:rsidR="000D69F1" w:rsidP="00DA5E22" w14:paraId="265032EC" w14:textId="77777777">
      <w:pPr>
        <w:spacing w:before="60"/>
        <w:ind w:left="720" w:right="720"/>
        <w:rPr>
          <w:rFonts w:ascii="Calibri" w:hAnsi="Calibri" w:cs="Calibri"/>
          <w:color w:val="000000"/>
          <w:shd w:val="clear" w:color="auto" w:fill="FFFFFF"/>
        </w:rPr>
      </w:pPr>
      <w:r w:rsidRPr="004048AD">
        <w:rPr>
          <w:rFonts w:ascii="Calibri" w:hAnsi="Calibri" w:cs="Calibri"/>
          <w:noProof/>
          <w:color w:val="000000"/>
          <w:shd w:val="clear" w:color="auto" w:fill="FFFFFF"/>
        </w:rPr>
        <w:t xml:space="preserve">(A) Establish and maintain such records; (B) make such reports; (C) install, use, and maintain such monitoring equipment, and use such audit procedures, or methods; (D) sample such emissions (in accordance with such procedures or methods, at such locations, at such intervals, during such periods, and in such manner as the Administrator shall prescribe); (E) keep records on control equipment parameters, </w:t>
      </w:r>
      <w:r w:rsidRPr="004048AD">
        <w:rPr>
          <w:rFonts w:ascii="Calibri" w:hAnsi="Calibri" w:cs="Calibri"/>
          <w:noProof/>
          <w:color w:val="000000"/>
          <w:shd w:val="clear" w:color="auto" w:fill="FFFFFF"/>
        </w:rPr>
        <w:t>production variables or other indirect data when direct monitoring of emissions is impractical; (F) submit compliance certifications in accordance with Section 114(a)(3); and (G) provide such other information as the Administrator may reasonably require.</w:t>
      </w:r>
    </w:p>
    <w:p w:rsidR="000D69F1" w:rsidRPr="001A74AB" w:rsidP="00DA5E22" w14:paraId="6DBE4493" w14:textId="766AE4D1">
      <w:pPr>
        <w:spacing w:before="60"/>
        <w:rPr>
          <w:rFonts w:cstheme="minorHAnsi"/>
        </w:rPr>
      </w:pPr>
      <w:r w:rsidRPr="00E1154E">
        <w:rPr>
          <w:rFonts w:cstheme="minorHAnsi"/>
        </w:rPr>
        <w:t xml:space="preserve">In the Administrator's judgment, </w:t>
      </w:r>
      <w:r w:rsidRPr="00140A19" w:rsidR="007C0133">
        <w:rPr>
          <w:rFonts w:cstheme="minorHAnsi"/>
        </w:rPr>
        <w:t>HAP</w:t>
      </w:r>
      <w:r w:rsidRPr="00140A19">
        <w:rPr>
          <w:rFonts w:cstheme="minorHAnsi"/>
        </w:rPr>
        <w:t xml:space="preserve"> emissions from </w:t>
      </w:r>
      <w:r w:rsidRPr="00140A19" w:rsidR="00140A19">
        <w:rPr>
          <w:rFonts w:cstheme="minorHAnsi"/>
        </w:rPr>
        <w:t>primary magnesium refining facilities</w:t>
      </w:r>
      <w:r w:rsidRPr="00140A19" w:rsidR="00140A19">
        <w:rPr>
          <w:rFonts w:cstheme="minorHAnsi"/>
          <w:color w:val="FF0000"/>
        </w:rPr>
        <w:t xml:space="preserve"> </w:t>
      </w:r>
      <w:r w:rsidRPr="00E1154E">
        <w:rPr>
          <w:rFonts w:cstheme="minorHAnsi"/>
        </w:rPr>
        <w:t xml:space="preserve">cause or contribute to air pollution that may reasonably </w:t>
      </w:r>
      <w:r w:rsidRPr="00140A19">
        <w:rPr>
          <w:rFonts w:cstheme="minorHAnsi"/>
        </w:rPr>
        <w:t xml:space="preserve">be anticipated to endanger public health or welfare. Therefore, the </w:t>
      </w:r>
      <w:r w:rsidRPr="00140A19">
        <w:rPr>
          <w:rFonts w:cstheme="minorHAnsi"/>
          <w:noProof/>
        </w:rPr>
        <w:t>NESHAP</w:t>
      </w:r>
      <w:r w:rsidRPr="00140A19">
        <w:rPr>
          <w:rFonts w:cstheme="minorHAnsi"/>
        </w:rPr>
        <w:t xml:space="preserve"> were promulgated for this source category at </w:t>
      </w:r>
      <w:r w:rsidRPr="00140A19">
        <w:rPr>
          <w:rFonts w:cstheme="minorHAnsi"/>
          <w:noProof/>
        </w:rPr>
        <w:t xml:space="preserve">40 CFR </w:t>
      </w:r>
      <w:r w:rsidRPr="00140A19" w:rsidR="00080D11">
        <w:rPr>
          <w:rFonts w:cstheme="minorHAnsi"/>
          <w:noProof/>
        </w:rPr>
        <w:t>Part 63</w:t>
      </w:r>
      <w:r w:rsidRPr="00140A19">
        <w:rPr>
          <w:rFonts w:cstheme="minorHAnsi"/>
          <w:noProof/>
        </w:rPr>
        <w:t>, Subpart TTTTT</w:t>
      </w:r>
      <w:r w:rsidRPr="00140A19">
        <w:rPr>
          <w:rFonts w:cstheme="minorHAnsi"/>
        </w:rPr>
        <w:t>.</w:t>
      </w:r>
      <w:r w:rsidRPr="00E1154E">
        <w:rPr>
          <w:rFonts w:cstheme="minorHAnsi"/>
        </w:rPr>
        <w:t> </w:t>
      </w:r>
    </w:p>
    <w:p w:rsidR="000D69F1" w:rsidRPr="00E3122D" w:rsidP="00854AAE" w14:paraId="3759A820"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PRACTICAL UTILITY/USERS OF THE DATA</w:t>
      </w:r>
    </w:p>
    <w:p w:rsidR="000D69F1" w:rsidRPr="00D47CB3" w:rsidP="00854AAE" w14:paraId="05939CAF"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55645E" w:rsidRPr="001B108A" w:rsidP="0055645E" w14:paraId="5591677B" w14:textId="17B73572">
      <w:pPr>
        <w:pBdr>
          <w:top w:val="single" w:sz="6" w:space="0" w:color="FFFFFF"/>
          <w:left w:val="single" w:sz="6" w:space="0" w:color="FFFFFF"/>
          <w:bottom w:val="single" w:sz="6" w:space="0" w:color="FFFFFF"/>
          <w:right w:val="single" w:sz="6" w:space="0" w:color="FFFFFF"/>
        </w:pBdr>
      </w:pPr>
      <w:r w:rsidRPr="001B108A">
        <w:t>The recordkeeping and reporting requirements in the</w:t>
      </w:r>
      <w:r>
        <w:t>se</w:t>
      </w:r>
      <w:r w:rsidRPr="001B108A">
        <w:t xml:space="preserve"> standards ensure compliance with the applicable regulations which were promulgated in accordance with the Clean Air Act. The collected information is also used for targeting inspections and as evidence in legal proceedings.</w:t>
      </w:r>
    </w:p>
    <w:p w:rsidR="0055645E" w:rsidRPr="001B108A" w:rsidP="0055645E" w14:paraId="463BAFDA" w14:textId="77777777">
      <w:pPr>
        <w:pBdr>
          <w:top w:val="single" w:sz="6" w:space="0" w:color="FFFFFF"/>
          <w:left w:val="single" w:sz="6" w:space="0" w:color="FFFFFF"/>
          <w:bottom w:val="single" w:sz="6" w:space="0" w:color="FFFFFF"/>
          <w:right w:val="single" w:sz="6" w:space="0" w:color="FFFFFF"/>
        </w:pBdr>
      </w:pPr>
      <w:r w:rsidRPr="001B108A">
        <w:t>Performance tests are required in order to determine an affected facility’s initial capability to comply with the</w:t>
      </w:r>
      <w:r>
        <w:t>se</w:t>
      </w:r>
      <w:r w:rsidRPr="001B108A">
        <w:t xml:space="preserve"> emission standards. Continuous emission monitors are used to ensure compliance with the</w:t>
      </w:r>
      <w:r>
        <w:t>se same</w:t>
      </w:r>
      <w:r w:rsidRPr="001B108A">
        <w:t xml:space="preserve"> standards at all times. During the performance test a record of the operating parameters under which compliance was achieved may be recorded and used to determine compliance in place of a continuous emission monitor. </w:t>
      </w:r>
    </w:p>
    <w:p w:rsidR="0055645E" w:rsidRPr="001B108A" w:rsidP="0055645E" w14:paraId="01BE2A72" w14:textId="6AE2F880">
      <w:pPr>
        <w:pBdr>
          <w:top w:val="single" w:sz="6" w:space="0" w:color="FFFFFF"/>
          <w:left w:val="single" w:sz="6" w:space="0" w:color="FFFFFF"/>
          <w:bottom w:val="single" w:sz="6" w:space="0" w:color="FFFFFF"/>
          <w:right w:val="single" w:sz="6" w:space="0" w:color="FFFFFF"/>
        </w:pBdr>
      </w:pPr>
      <w:r w:rsidRPr="001B108A">
        <w:t>The notifications required in the</w:t>
      </w:r>
      <w:r>
        <w:t>se</w:t>
      </w:r>
      <w:r w:rsidRPr="001B108A">
        <w:t xml:space="preserve"> standards are used to inform </w:t>
      </w:r>
      <w:r>
        <w:t xml:space="preserve">either </w:t>
      </w:r>
      <w:r w:rsidRPr="001B108A">
        <w:t>the Agency or</w:t>
      </w:r>
      <w:r>
        <w:t xml:space="preserve"> its</w:t>
      </w:r>
      <w:r w:rsidRPr="001B108A">
        <w:t xml:space="preserve"> delegated authority when a source becomes subject to the requirements of the regulations. The reviewing authority may then inspect the source to check if the pollution control devices are properly installed and operated, leaks are being detected and repaired and </w:t>
      </w:r>
      <w:r>
        <w:t xml:space="preserve">that </w:t>
      </w:r>
      <w:r w:rsidRPr="001B108A">
        <w:t>the</w:t>
      </w:r>
      <w:r>
        <w:t>se</w:t>
      </w:r>
      <w:r w:rsidRPr="001B108A">
        <w:t xml:space="preserve"> standards</w:t>
      </w:r>
      <w:r w:rsidR="00BB045A">
        <w:t xml:space="preserve"> </w:t>
      </w:r>
      <w:r w:rsidRPr="001B108A">
        <w:t>are being met. The performance test may also be observed.</w:t>
      </w:r>
    </w:p>
    <w:p w:rsidR="000D69F1" w:rsidRPr="0055645E" w:rsidP="00854AAE" w14:paraId="0AEE9CE0" w14:textId="07385EB1">
      <w:pPr>
        <w:pBdr>
          <w:top w:val="single" w:sz="6" w:space="0" w:color="FFFFFF"/>
          <w:left w:val="single" w:sz="6" w:space="0" w:color="FFFFFF"/>
          <w:bottom w:val="single" w:sz="6" w:space="0" w:color="FFFFFF"/>
          <w:right w:val="single" w:sz="6" w:space="0" w:color="FFFFFF"/>
        </w:pBdr>
      </w:pPr>
      <w:r w:rsidRPr="001B108A">
        <w:t>The required semiannual reports are used to determine periods of excess emissions, identify problems at the facility, verify operation/maintenance procedures</w:t>
      </w:r>
      <w:r>
        <w:t>,</w:t>
      </w:r>
      <w:r w:rsidRPr="001B108A">
        <w:t xml:space="preserve"> and for compliance </w:t>
      </w:r>
      <w:r w:rsidRPr="00F33B4D">
        <w:t>determinations.</w:t>
      </w:r>
    </w:p>
    <w:p w:rsidR="000D69F1" w:rsidRPr="00E3122D" w:rsidP="00854AAE" w14:paraId="7F04F2CC"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USE OF TECHNOLOGY</w:t>
      </w:r>
    </w:p>
    <w:p w:rsidR="000D69F1" w:rsidRPr="001F0834" w:rsidP="00854AAE" w14:paraId="7BE36980"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0D69F1" w:rsidRPr="0093123F" w:rsidP="0093123F" w14:paraId="5E535B32"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Some of the respondents are using monitoring equipment that automatically records parameter data. Although personnel at the affected facility must still evaluate the data, internal automation has significantly reduced the burden associated with monitoring and recordkeeping at a plant site.</w:t>
      </w:r>
    </w:p>
    <w:p w:rsidR="000D69F1" w:rsidRPr="0093123F" w:rsidP="0093123F" w14:paraId="3EDE6535" w14:textId="2B3E17B3">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 xml:space="preserve">The rule was amended to include electronic reporting provisions </w:t>
      </w:r>
      <w:r w:rsidRPr="0055645E">
        <w:rPr>
          <w:rFonts w:cstheme="minorHAnsi"/>
        </w:rPr>
        <w:t xml:space="preserve">on </w:t>
      </w:r>
      <w:r w:rsidRPr="0055645E" w:rsidR="0055645E">
        <w:rPr>
          <w:rFonts w:cstheme="minorHAnsi"/>
        </w:rPr>
        <w:t>November 19, 2020</w:t>
      </w:r>
      <w:r w:rsidRPr="0055645E">
        <w:rPr>
          <w:rFonts w:cstheme="minorHAnsi"/>
        </w:rPr>
        <w:t>.</w:t>
      </w:r>
      <w:r w:rsidRPr="0093123F">
        <w:rPr>
          <w:rFonts w:cstheme="minorHAnsi"/>
          <w:color w:val="000000"/>
        </w:rPr>
        <w:t xml:space="preserve"> Respondents are also required to submit electronic copies of notifications </w:t>
      </w:r>
      <w:r w:rsidRPr="00CF495D" w:rsidR="00CF495D">
        <w:rPr>
          <w:rFonts w:cstheme="minorHAnsi"/>
          <w:color w:val="000000"/>
        </w:rPr>
        <w:t xml:space="preserve">required in 40 CFR 63.9(b) and 63.9(j) </w:t>
      </w:r>
      <w:r w:rsidRPr="0093123F">
        <w:rPr>
          <w:rFonts w:cstheme="minorHAnsi"/>
          <w:color w:val="000000"/>
        </w:rPr>
        <w:t xml:space="preserve">through EPA’s CEDRI. The notification is an upload of their currently required notification in portable document format (PDF) file. </w:t>
      </w:r>
      <w:r>
        <w:rPr>
          <w:rFonts w:cstheme="minorHAnsi"/>
          <w:color w:val="000000"/>
        </w:rPr>
        <w:t>For the</w:t>
      </w:r>
      <w:r w:rsidRPr="0093123F">
        <w:rPr>
          <w:rFonts w:cstheme="minorHAnsi"/>
          <w:color w:val="000000"/>
        </w:rPr>
        <w:t xml:space="preserve"> purposes of this ICR, it is assumed that there is no additional burden associated with the requirement for respondents to submit the notifications and reports electronically. </w:t>
      </w:r>
      <w:r w:rsidRPr="0093123F">
        <w:rPr>
          <w:rFonts w:cstheme="minorHAnsi"/>
          <w:color w:val="000000"/>
        </w:rPr>
        <w:t xml:space="preserve">The supplemental files to this ICR renewal contain screenshots showing the CDX homepage for CEDRI login, the CEDRI PRA screen, </w:t>
      </w:r>
      <w:r w:rsidR="00AC4173">
        <w:rPr>
          <w:rFonts w:cstheme="minorHAnsi"/>
          <w:color w:val="000000"/>
        </w:rPr>
        <w:t xml:space="preserve">and </w:t>
      </w:r>
      <w:r w:rsidRPr="0093123F">
        <w:rPr>
          <w:rFonts w:cstheme="minorHAnsi"/>
          <w:color w:val="000000"/>
        </w:rPr>
        <w:t>the CEDRI interface for managing reports for various subparts.</w:t>
      </w:r>
    </w:p>
    <w:p w:rsidR="000D69F1" w:rsidRPr="0093123F" w:rsidP="0093123F" w14:paraId="74DD6623"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Electronic copies of records may also be maintained in order to satisfy federal recordkeeping requirements. For additional information on the Paperwork Reduction Act requirements for CEDRI and ERT for this rule, see: https://www.epa.gov/electronic-reporting-air-emissions/paperwork-reduction-act-pra-cedri-and-ert.</w:t>
      </w:r>
    </w:p>
    <w:p w:rsidR="000D69F1" w:rsidRPr="00E3122D" w:rsidP="00854AAE" w14:paraId="73A981D3"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EFFORTS TO IDENTIFY DUPLICATION</w:t>
      </w:r>
    </w:p>
    <w:p w:rsidR="000D69F1" w:rsidRPr="001F0834" w:rsidP="00854AAE" w14:paraId="48E67C9B"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efforts to identify duplication. Show specifically why any similar information already available cannot be used or modified for use for the purposes described in Item 2 above.</w:t>
      </w:r>
    </w:p>
    <w:p w:rsidR="000D69F1" w:rsidRPr="000459E3" w:rsidP="00653D08" w14:paraId="4D471103" w14:textId="77777777">
      <w:pPr>
        <w:pBdr>
          <w:top w:val="single" w:sz="6" w:space="0" w:color="FFFFFF"/>
          <w:left w:val="single" w:sz="6" w:space="0" w:color="FFFFFF"/>
          <w:bottom w:val="single" w:sz="6" w:space="0" w:color="FFFFFF"/>
          <w:right w:val="single" w:sz="6" w:space="0" w:color="FFFFFF"/>
        </w:pBdr>
        <w:rPr>
          <w:shd w:val="clear" w:color="auto" w:fill="FFFFFF"/>
        </w:rPr>
      </w:pPr>
      <w:r w:rsidRPr="000459E3">
        <w:t>For reports required to be submitted electronically</w:t>
      </w:r>
      <w:r w:rsidRPr="000459E3">
        <w:rPr>
          <w:shd w:val="clear" w:color="auto" w:fill="FFFFFF"/>
        </w:rPr>
        <w:t>, the information is sent through the EPA's CDX, using CEDRI, where the appropriate EPA regional office can review it, as well as state and local agencies that have been delegated authority. If a state or local agency has adopted under its own authority its own standards for reporting or data collection, adherence to those non-Federal requirements does not constitute duplication. </w:t>
      </w:r>
    </w:p>
    <w:p w:rsidR="000D69F1" w:rsidRPr="00653D08" w:rsidP="00854AAE" w14:paraId="3A647D9A" w14:textId="77777777">
      <w:pPr>
        <w:rPr>
          <w:shd w:val="clear" w:color="auto" w:fill="FFFFFF"/>
        </w:rPr>
      </w:pPr>
      <w:r w:rsidRPr="000459E3">
        <w:rPr>
          <w:shd w:val="clear" w:color="auto" w:fill="FFFFFF"/>
        </w:rPr>
        <w:t>For all other reports, if the subject standards have not been delegated, the information is sent directly to the appropriate EPA regional office. Otherwise, the information is sent directly to the delegated state or local agency. If a state or local agency has adopted its own standards to implement the Federal standards, a copy of the report submitted to the state or local agency can be sent to the Administrator in lieu of the report required by the Federal standards. Therefore, duplication does not exist.</w:t>
      </w:r>
      <w:r w:rsidRPr="00C2600C">
        <w:rPr>
          <w:shd w:val="clear" w:color="auto" w:fill="FFFFFF"/>
        </w:rPr>
        <w:t> </w:t>
      </w:r>
    </w:p>
    <w:p w:rsidR="000D69F1" w:rsidRPr="00E3122D" w:rsidP="4BDBF0A0" w14:paraId="3C334ACC" w14:textId="77777777">
      <w:pPr>
        <w:pStyle w:val="ListParagraph"/>
        <w:numPr>
          <w:ilvl w:val="0"/>
          <w:numId w:val="25"/>
        </w:numPr>
        <w:pBdr>
          <w:bottom w:val="single" w:sz="4" w:space="1" w:color="auto"/>
        </w:pBdr>
        <w:spacing w:before="240" w:after="0"/>
        <w:rPr>
          <w:b/>
          <w:bCs/>
        </w:rPr>
      </w:pPr>
      <w:r w:rsidRPr="4BDBF0A0">
        <w:rPr>
          <w:b/>
          <w:bCs/>
        </w:rPr>
        <w:t>MINIMIZING BURDEN ON SMALL BUSINESSES AND SMALL ENTITIES</w:t>
      </w:r>
    </w:p>
    <w:p w:rsidR="000D69F1" w:rsidRPr="001F0834" w:rsidP="00854AAE" w14:paraId="16C94363"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If the collection of information impacts small businesses or other small entities, describe any methods used to minimize burden.</w:t>
      </w:r>
    </w:p>
    <w:p w:rsidR="000D69F1" w:rsidRPr="00482027" w:rsidP="00482027" w14:paraId="422AE72F" w14:textId="5AA23C76">
      <w:pPr>
        <w:pBdr>
          <w:top w:val="single" w:sz="6" w:space="0" w:color="FFFFFF"/>
          <w:left w:val="single" w:sz="6" w:space="0" w:color="FFFFFF"/>
          <w:bottom w:val="single" w:sz="6" w:space="0" w:color="FFFFFF"/>
          <w:right w:val="single" w:sz="6" w:space="0" w:color="FFFFFF"/>
        </w:pBdr>
      </w:pPr>
      <w:r>
        <w:t>There are no small entities (e.g., small businesses) affected by this regulation.</w:t>
      </w:r>
    </w:p>
    <w:p w:rsidR="000D69F1" w:rsidRPr="00E3122D" w:rsidP="4BDBF0A0" w14:paraId="02F3D516" w14:textId="77777777">
      <w:pPr>
        <w:pStyle w:val="ListParagraph"/>
        <w:numPr>
          <w:ilvl w:val="0"/>
          <w:numId w:val="25"/>
        </w:numPr>
        <w:pBdr>
          <w:bottom w:val="single" w:sz="4" w:space="1" w:color="auto"/>
        </w:pBdr>
        <w:spacing w:before="240" w:after="0"/>
        <w:rPr>
          <w:b/>
          <w:bCs/>
        </w:rPr>
      </w:pPr>
      <w:r w:rsidRPr="4BDBF0A0">
        <w:rPr>
          <w:b/>
          <w:bCs/>
        </w:rPr>
        <w:t>CONSEQUENCES OF LESS FREQUENT COLLECTION</w:t>
      </w:r>
    </w:p>
    <w:p w:rsidR="000D69F1" w:rsidRPr="001F0834" w:rsidP="00854AAE" w14:paraId="5F426CC1" w14:textId="77777777">
      <w:pPr>
        <w:pBdr>
          <w:bottom w:val="single" w:sz="4" w:space="1" w:color="auto"/>
        </w:pBdr>
        <w:tabs>
          <w:tab w:val="left" w:pos="921"/>
        </w:tabs>
        <w:spacing w:before="60"/>
        <w:rPr>
          <w:rFonts w:cstheme="minorHAnsi"/>
          <w:i/>
          <w:iCs/>
        </w:rPr>
      </w:pPr>
      <w:r w:rsidRPr="001F0834">
        <w:rPr>
          <w:rFonts w:ascii="Calibri" w:hAnsi="Calibri" w:cs="Calibr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0D69F1" w:rsidRPr="00653D08" w:rsidP="00653D08" w14:paraId="12531810" w14:textId="77777777">
      <w:pPr>
        <w:pBdr>
          <w:top w:val="single" w:sz="6" w:space="0" w:color="FFFFFF"/>
          <w:left w:val="single" w:sz="6" w:space="0" w:color="FFFFFF"/>
          <w:bottom w:val="single" w:sz="6" w:space="0" w:color="FFFFFF"/>
          <w:right w:val="single" w:sz="6" w:space="0" w:color="FFFFFF"/>
        </w:pBdr>
        <w:rPr>
          <w:color w:val="000000"/>
        </w:rPr>
      </w:pPr>
      <w:r w:rsidRPr="00253DBC">
        <w:rPr>
          <w:color w:val="000000"/>
        </w:rPr>
        <w:t>Less frequent information collection would decrease the margin of assurance that facilities are continuing to meet the standards. Requirements for information gathering and recordkeeping are useful techniques to ensure that good operation and maintenance practices are applied and emission limitations are met. If the information required by these standards was collected less frequently, the proper operation and maintenance of control equipment and the possibility of detecting violations would be less likely.</w:t>
      </w:r>
    </w:p>
    <w:p w:rsidR="000D69F1" w:rsidRPr="00E3122D" w:rsidP="00854AAE" w14:paraId="18CED02B"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GENERAL GUIDELINES</w:t>
      </w:r>
    </w:p>
    <w:p w:rsidR="000D69F1" w:rsidRPr="00A233E0" w:rsidP="00854AAE" w14:paraId="5114B77E" w14:textId="77777777">
      <w:pPr>
        <w:pBdr>
          <w:bottom w:val="single" w:sz="4" w:space="1" w:color="auto"/>
        </w:pBdr>
        <w:spacing w:before="60"/>
        <w:rPr>
          <w:rFonts w:cstheme="minorHAnsi"/>
        </w:rPr>
      </w:pPr>
      <w:r w:rsidRPr="00A233E0">
        <w:rPr>
          <w:rFonts w:cstheme="minorHAnsi"/>
          <w:i/>
          <w:iCs/>
        </w:rPr>
        <w:t>Explain any special circumstances that require the collection to be conducted in a manner inconsistent with OMB guidelines.</w:t>
      </w:r>
    </w:p>
    <w:p w:rsidR="0023289F" w:rsidP="0023289F" w14:paraId="4C04FAE8" w14:textId="77777777">
      <w:pPr>
        <w:pBdr>
          <w:top w:val="single" w:sz="6" w:space="0" w:color="FFFFFF"/>
          <w:left w:val="single" w:sz="6" w:space="0" w:color="FFFFFF"/>
          <w:bottom w:val="single" w:sz="6" w:space="0" w:color="FFFFFF"/>
          <w:right w:val="single" w:sz="6" w:space="0" w:color="FFFFFF"/>
        </w:pBdr>
        <w:rPr>
          <w:color w:val="000000"/>
        </w:rPr>
      </w:pPr>
      <w:r>
        <w:rPr>
          <w:color w:val="000000"/>
        </w:rPr>
        <w:t>With the following exception, t</w:t>
      </w:r>
      <w:r w:rsidRPr="00992702">
        <w:rPr>
          <w:color w:val="000000"/>
        </w:rPr>
        <w:t>he proposed collection does not create special circumstances requiring justification under 5 CFR 1320.5.</w:t>
      </w:r>
    </w:p>
    <w:p w:rsidR="000D69F1" w:rsidRPr="005D2F8C" w:rsidP="00854AAE" w14:paraId="2C3E6F01" w14:textId="1107C912">
      <w:pPr>
        <w:pBdr>
          <w:top w:val="single" w:sz="6" w:space="0" w:color="FFFFFF"/>
          <w:left w:val="single" w:sz="6" w:space="0" w:color="FFFFFF"/>
          <w:bottom w:val="single" w:sz="6" w:space="0" w:color="FFFFFF"/>
          <w:right w:val="single" w:sz="6" w:space="0" w:color="FFFFFF"/>
        </w:pBdr>
      </w:pPr>
      <w:r w:rsidRPr="005D2F8C">
        <w:t>These standards require the respondents to maintain all records, including reports and notifications for at least five years. This is consistent with the General Provisions as applied to the standards. EPA believes that the five-year records retention requirement is consistent with the Part 70 permit program and the five-year statute of limitations on which the permit program is based. The retention of records for five years allows EPA to establish the compliance history of a source, any pattern of non-compliance and to determine the appropriate level of enforcement action. EPA has found that the most flagrant violators have violations extending beyond five years. In addition, EPA would be prevented from pursuing the violators due to the destruction or nonexistence of essential records.</w:t>
      </w:r>
    </w:p>
    <w:p w:rsidR="000D69F1" w:rsidRPr="00E3122D" w:rsidP="00854AAE" w14:paraId="72355393"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PUBLIC COMMENT AND CONSULTATIONS</w:t>
      </w:r>
    </w:p>
    <w:p w:rsidR="000D69F1" w:rsidRPr="00E3122D" w:rsidP="00854AAE" w14:paraId="02D422EB" w14:textId="77777777">
      <w:pPr>
        <w:spacing w:before="120" w:after="0"/>
        <w:rPr>
          <w:rFonts w:cstheme="minorHAnsi"/>
          <w:b/>
          <w:bCs/>
        </w:rPr>
      </w:pPr>
      <w:r w:rsidRPr="00E3122D">
        <w:rPr>
          <w:rFonts w:cstheme="minorHAnsi"/>
          <w:b/>
          <w:bCs/>
        </w:rPr>
        <w:t>8a. Public Comment</w:t>
      </w:r>
    </w:p>
    <w:p w:rsidR="000D69F1" w:rsidRPr="00A233E0" w:rsidP="00854AAE" w14:paraId="1F4C563C" w14:textId="77777777">
      <w:pPr>
        <w:spacing w:line="240" w:lineRule="auto"/>
        <w:rPr>
          <w:rFonts w:cstheme="minorHAnsi"/>
          <w:i/>
          <w:iCs/>
        </w:rPr>
      </w:pPr>
      <w:r w:rsidRPr="00A233E0">
        <w:rPr>
          <w:rFonts w:cstheme="minorHAnsi"/>
          <w:i/>
          <w:iCs/>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0D69F1" w:rsidP="00854AAE" w14:paraId="4E94EC81" w14:textId="77777777">
      <w:pPr>
        <w:spacing w:before="120" w:after="0"/>
        <w:rPr>
          <w:rFonts w:cstheme="minorHAnsi"/>
          <w:color w:val="000000"/>
        </w:rPr>
      </w:pPr>
      <w:r w:rsidRPr="0093123F">
        <w:rPr>
          <w:rFonts w:cstheme="minorHAnsi"/>
          <w:color w:val="000000"/>
        </w:rPr>
        <w:t>An announcement of a public comment period for the renewal of this ICR was published in the Federal Register (</w:t>
      </w:r>
      <w:r w:rsidRPr="0015347D">
        <w:rPr>
          <w:rFonts w:cstheme="minorHAnsi"/>
        </w:rPr>
        <w:t>89 FR 63933) on August 6, 2024.</w:t>
      </w:r>
      <w:r w:rsidRPr="0093123F">
        <w:rPr>
          <w:rFonts w:cstheme="minorHAnsi"/>
          <w:color w:val="000000"/>
        </w:rPr>
        <w:t xml:space="preserve"> No comments were received on the burden published in the Federal Register for this renewal.</w:t>
      </w:r>
    </w:p>
    <w:p w:rsidR="000D69F1" w:rsidRPr="00E3122D" w:rsidP="00854AAE" w14:paraId="4241DDE4" w14:textId="77777777">
      <w:pPr>
        <w:spacing w:before="120" w:after="0"/>
        <w:rPr>
          <w:rFonts w:cstheme="minorHAnsi"/>
          <w:b/>
          <w:bCs/>
        </w:rPr>
      </w:pPr>
      <w:r w:rsidRPr="00E3122D">
        <w:rPr>
          <w:rFonts w:cstheme="minorHAnsi"/>
          <w:b/>
          <w:bCs/>
        </w:rPr>
        <w:t>8b. Consultations</w:t>
      </w:r>
    </w:p>
    <w:p w:rsidR="000D69F1" w:rsidRPr="00A233E0" w:rsidP="00854AAE" w14:paraId="73EA432D" w14:textId="77777777">
      <w:pPr>
        <w:rPr>
          <w:rFonts w:cstheme="minorHAnsi"/>
          <w:i/>
          <w:iCs/>
        </w:rPr>
      </w:pPr>
      <w:r w:rsidRPr="00A233E0">
        <w:rPr>
          <w:rFonts w:cstheme="minorHAnsi"/>
          <w:i/>
          <w:i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0D69F1" w:rsidRPr="00FE090D" w:rsidP="0093123F" w14:paraId="7D1FFCE5" w14:textId="4021F0AA">
      <w:pPr>
        <w:rPr>
          <w:rFonts w:cstheme="minorHAnsi"/>
        </w:rPr>
      </w:pPr>
      <w:r w:rsidRPr="00FE090D">
        <w:rPr>
          <w:rFonts w:cstheme="minorHAnsi"/>
        </w:rPr>
        <w:t xml:space="preserve">The Agency has consulted industry experts and internal data sources to project the number of affected facilities and industry growth over the next three years. The primary source of information as reported by industry, in compliance with the recordkeeping and reporting provisions in the standard, is the Integrated Compliance Information System (ICIS). ICIS is EPA’s database for the collection, maintenance, and retrieval of compliance data for industrial and government-owned facilities. The growth rate for the industry is based on our consultations with the Agency’s internal industry experts. Approximately </w:t>
      </w:r>
      <w:r w:rsidR="005D2F8C">
        <w:rPr>
          <w:rFonts w:cstheme="minorHAnsi"/>
        </w:rPr>
        <w:t>one</w:t>
      </w:r>
      <w:r w:rsidRPr="00FE090D">
        <w:rPr>
          <w:rFonts w:cstheme="minorHAnsi"/>
        </w:rPr>
        <w:t xml:space="preserve"> respondent will be subject to the standard over the three-year period covered by this ICR.</w:t>
      </w:r>
    </w:p>
    <w:p w:rsidR="000D69F1" w:rsidRPr="00FE090D" w:rsidP="0093123F" w14:paraId="4F35DE98" w14:textId="61681943">
      <w:pPr>
        <w:rPr>
          <w:rFonts w:cstheme="minorHAnsi"/>
        </w:rPr>
      </w:pPr>
      <w:r w:rsidRPr="00FE090D">
        <w:rPr>
          <w:rFonts w:cstheme="minorHAnsi"/>
        </w:rPr>
        <w:t xml:space="preserve">Industry trade association(s) and other interested parties were provided an opportunity to comment on the burden associated with the standard as it was being developed and the standard has been previously reviewed to determine the </w:t>
      </w:r>
      <w:r w:rsidRPr="00C24C10">
        <w:rPr>
          <w:rFonts w:cstheme="minorHAnsi"/>
        </w:rPr>
        <w:t xml:space="preserve">minimum information needed for compliance purposes. In developing this ICR, we contacted both the </w:t>
      </w:r>
      <w:r w:rsidRPr="00C24C10" w:rsidR="00E670BB">
        <w:rPr>
          <w:rFonts w:cstheme="minorHAnsi"/>
        </w:rPr>
        <w:t xml:space="preserve">American Foundry Society </w:t>
      </w:r>
      <w:r w:rsidRPr="00C24C10">
        <w:rPr>
          <w:rFonts w:cstheme="minorHAnsi"/>
        </w:rPr>
        <w:t xml:space="preserve">at </w:t>
      </w:r>
      <w:r w:rsidRPr="00C24C10" w:rsidR="0056423D">
        <w:rPr>
          <w:rFonts w:cstheme="minorHAnsi"/>
        </w:rPr>
        <w:t>1-800-537-4237</w:t>
      </w:r>
      <w:r w:rsidRPr="00C24C10">
        <w:rPr>
          <w:rFonts w:cstheme="minorHAnsi"/>
        </w:rPr>
        <w:t xml:space="preserve">, and the </w:t>
      </w:r>
      <w:r w:rsidRPr="00C24C10" w:rsidR="00BD1299">
        <w:rPr>
          <w:rFonts w:cstheme="minorHAnsi"/>
        </w:rPr>
        <w:t>US Magnesium LLC</w:t>
      </w:r>
      <w:r w:rsidR="00C24C10">
        <w:rPr>
          <w:rFonts w:cstheme="minorHAnsi"/>
        </w:rPr>
        <w:t xml:space="preserve"> </w:t>
      </w:r>
      <w:r w:rsidRPr="00C24C10">
        <w:rPr>
          <w:rFonts w:cstheme="minorHAnsi"/>
        </w:rPr>
        <w:t xml:space="preserve">at </w:t>
      </w:r>
      <w:hyperlink r:id="rId9" w:history="1">
        <w:r w:rsidRPr="00C24C10" w:rsidR="00C24C10">
          <w:rPr>
            <w:rStyle w:val="Hyperlink"/>
            <w:rFonts w:cstheme="minorHAnsi"/>
            <w:color w:val="auto"/>
            <w:u w:val="none"/>
          </w:rPr>
          <w:t>801-532-2043</w:t>
        </w:r>
      </w:hyperlink>
      <w:r w:rsidRPr="00C24C10">
        <w:rPr>
          <w:rFonts w:cstheme="minorHAnsi"/>
        </w:rPr>
        <w:t>. In this case, no comments were received.</w:t>
      </w:r>
    </w:p>
    <w:p w:rsidR="000D69F1" w:rsidRPr="00BB3410" w:rsidP="00854AAE" w14:paraId="60A93B5E" w14:textId="77777777">
      <w:pPr>
        <w:rPr>
          <w:rFonts w:cstheme="minorHAnsi"/>
        </w:rPr>
      </w:pPr>
      <w:r w:rsidRPr="00FE090D">
        <w:rPr>
          <w:rFonts w:cstheme="minorHAnsi"/>
        </w:rPr>
        <w:t>It is our policy to respond after a thorough review of comments received since the last ICR renewal as well as those submitted in response to the first Federal Register notice. In this case, no comments were received.</w:t>
      </w:r>
    </w:p>
    <w:p w:rsidR="000D69F1" w:rsidRPr="00E3122D" w:rsidP="00854AAE" w14:paraId="5757704B"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PAYMENTS OR GIFTS TO RESPONDENTS</w:t>
      </w:r>
    </w:p>
    <w:p w:rsidR="000D69F1" w:rsidRPr="00D47CB3" w:rsidP="00854AAE" w14:paraId="507BE3B5" w14:textId="77777777">
      <w:pPr>
        <w:pBdr>
          <w:bottom w:val="single" w:sz="4" w:space="1" w:color="auto"/>
        </w:pBdr>
        <w:spacing w:before="60"/>
        <w:rPr>
          <w:rFonts w:cstheme="minorHAnsi"/>
        </w:rPr>
      </w:pPr>
      <w:r w:rsidRPr="00A233E0">
        <w:rPr>
          <w:rFonts w:cstheme="minorHAnsi"/>
          <w:i/>
          <w:iCs/>
        </w:rPr>
        <w:t>Explain any decisions to provide payments or gifts to respondents, other than remuneration of contractors or grantees.</w:t>
      </w:r>
    </w:p>
    <w:p w:rsidR="000D69F1" w:rsidRPr="00BB3410" w:rsidP="00854AAE" w14:paraId="3BDB7743" w14:textId="77777777">
      <w:pPr>
        <w:rPr>
          <w:rFonts w:cstheme="minorHAnsi"/>
        </w:rPr>
      </w:pPr>
      <w:r w:rsidRPr="0036059B">
        <w:rPr>
          <w:rStyle w:val="normaltextrun"/>
          <w:color w:val="000000"/>
          <w:bdr w:val="none" w:sz="0" w:space="0" w:color="auto" w:frame="1"/>
        </w:rPr>
        <w:t>No payments or gifts are made to respondents.</w:t>
      </w:r>
    </w:p>
    <w:p w:rsidR="000D69F1" w:rsidP="4BDBF0A0" w14:paraId="6D7B1D61" w14:textId="77777777">
      <w:pPr>
        <w:pStyle w:val="ListParagraph"/>
        <w:numPr>
          <w:ilvl w:val="0"/>
          <w:numId w:val="25"/>
        </w:numPr>
        <w:pBdr>
          <w:bottom w:val="single" w:sz="4" w:space="1" w:color="auto"/>
        </w:pBdr>
        <w:spacing w:before="240" w:after="0"/>
        <w:rPr>
          <w:b/>
          <w:bCs/>
        </w:rPr>
      </w:pPr>
      <w:r w:rsidRPr="4BDBF0A0">
        <w:rPr>
          <w:b/>
          <w:bCs/>
        </w:rPr>
        <w:t>ASSURANCE OF CONFIDENTIALITY</w:t>
      </w:r>
    </w:p>
    <w:p w:rsidR="000D69F1" w:rsidRPr="00A233E0" w:rsidP="00854AAE" w14:paraId="2722FC7D" w14:textId="77777777">
      <w:pPr>
        <w:pBdr>
          <w:bottom w:val="single" w:sz="4" w:space="1" w:color="auto"/>
        </w:pBdr>
        <w:spacing w:before="60"/>
        <w:rPr>
          <w:rFonts w:cstheme="minorHAnsi"/>
        </w:rPr>
      </w:pPr>
      <w:r w:rsidRPr="00A233E0">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0D69F1" w:rsidRPr="00BB3410" w:rsidP="00854AAE" w14:paraId="043D10C5"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141AC2">
        <w:rPr>
          <w:rFonts w:cstheme="minorHAnsi"/>
          <w:color w:val="000000"/>
        </w:rPr>
        <w:t>Any information submitted to the Agency for which a claim of confidentiality is made will be safeguarded according to the Agency policies set forth in Title 40, chapter 1, part 2, subpart B - Confidentiality of Business Information (see 40 CFR 2; 41 FR 36902, September 1, 1976; amended by 43 FR 40000, September 8, 1978; 43 FR 42251, September 20, 1978; 44 FR 17674, March 23, 1979).</w:t>
      </w:r>
    </w:p>
    <w:p w:rsidR="000D69F1" w:rsidRPr="00E3122D" w:rsidP="00854AAE" w14:paraId="35B90260" w14:textId="77777777">
      <w:pPr>
        <w:pStyle w:val="ListParagraph"/>
        <w:numPr>
          <w:ilvl w:val="0"/>
          <w:numId w:val="25"/>
        </w:numPr>
        <w:pBdr>
          <w:bottom w:val="single" w:sz="4" w:space="1" w:color="auto"/>
        </w:pBdr>
        <w:spacing w:before="240" w:after="0"/>
        <w:rPr>
          <w:rFonts w:cstheme="minorHAnsi"/>
          <w:b/>
          <w:bCs/>
        </w:rPr>
      </w:pPr>
      <w:r w:rsidRPr="4BDBF0A0">
        <w:rPr>
          <w:b/>
          <w:bCs/>
        </w:rPr>
        <w:t>JUSTIFICATION FOR SENSITIVE QUESTIONS</w:t>
      </w:r>
    </w:p>
    <w:p w:rsidR="000D69F1" w:rsidRPr="00A233E0" w:rsidP="00854AAE" w14:paraId="159CE82E" w14:textId="77777777">
      <w:pPr>
        <w:pBdr>
          <w:bottom w:val="single" w:sz="4" w:space="1" w:color="auto"/>
        </w:pBdr>
        <w:spacing w:before="60"/>
        <w:rPr>
          <w:rFonts w:cstheme="minorHAnsi"/>
        </w:rPr>
      </w:pPr>
      <w:r w:rsidRPr="00A233E0">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D69F1" w:rsidRPr="00BB3410" w:rsidP="00854AAE" w14:paraId="3F83F53E"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5E4C2F">
        <w:rPr>
          <w:rFonts w:cstheme="minorHAnsi"/>
          <w:color w:val="000000"/>
        </w:rPr>
        <w:t>The reporting or recordkeeping requirements in the standard do not include sensitive questions.</w:t>
      </w:r>
    </w:p>
    <w:p w:rsidR="000D69F1" w:rsidRPr="00E3122D" w:rsidP="00854AAE" w14:paraId="44641EC5" w14:textId="77777777">
      <w:pPr>
        <w:pStyle w:val="ListParagraph"/>
        <w:numPr>
          <w:ilvl w:val="0"/>
          <w:numId w:val="25"/>
        </w:numPr>
        <w:spacing w:before="240" w:after="0"/>
        <w:rPr>
          <w:rFonts w:cstheme="minorHAnsi"/>
          <w:b/>
          <w:bCs/>
        </w:rPr>
      </w:pPr>
      <w:r w:rsidRPr="4BDBF0A0">
        <w:rPr>
          <w:b/>
          <w:bCs/>
        </w:rPr>
        <w:t>RESPONDENT BURDEN HOURS &amp; LABOR COSTS</w:t>
      </w:r>
    </w:p>
    <w:p w:rsidR="000D69F1" w:rsidRPr="00F532D6" w:rsidP="00163C69" w14:paraId="4FFD3DD6" w14:textId="77777777">
      <w:pPr>
        <w:pStyle w:val="ListParagraph"/>
        <w:ind w:left="0"/>
        <w:rPr>
          <w:rFonts w:cstheme="minorHAnsi"/>
          <w:i/>
          <w:iCs/>
        </w:rPr>
      </w:pPr>
      <w:r w:rsidRPr="00F532D6">
        <w:rPr>
          <w:rFonts w:cstheme="minorHAnsi"/>
          <w:i/>
          <w:iCs/>
        </w:rPr>
        <w:t>Provide estimates of the hour burden of the collection of information. The statement should:</w:t>
      </w:r>
    </w:p>
    <w:p w:rsidR="000D69F1" w:rsidRPr="00F532D6" w:rsidP="006E197A" w14:paraId="413A2584" w14:textId="77777777">
      <w:pPr>
        <w:pStyle w:val="ListParagraph"/>
        <w:numPr>
          <w:ilvl w:val="0"/>
          <w:numId w:val="14"/>
        </w:numPr>
        <w:ind w:left="446"/>
        <w:rPr>
          <w:rFonts w:cstheme="minorHAnsi"/>
          <w:i/>
          <w:iCs/>
        </w:rPr>
      </w:pPr>
      <w:r w:rsidRPr="00F532D6">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0D69F1" w:rsidRPr="00F532D6" w:rsidP="001F0834" w14:paraId="6EBE0C92" w14:textId="77777777">
      <w:pPr>
        <w:pStyle w:val="ListParagraph"/>
        <w:numPr>
          <w:ilvl w:val="0"/>
          <w:numId w:val="14"/>
        </w:numPr>
        <w:ind w:left="450"/>
        <w:rPr>
          <w:rFonts w:cstheme="minorHAnsi"/>
          <w:i/>
          <w:iCs/>
        </w:rPr>
      </w:pPr>
      <w:r w:rsidRPr="00F532D6">
        <w:rPr>
          <w:rFonts w:cstheme="minorHAnsi"/>
          <w:i/>
          <w:iCs/>
        </w:rPr>
        <w:t>If this request for approval covers more than one form, provide separate hour burden estimates for each form and the aggregate the hour burdens.</w:t>
      </w:r>
    </w:p>
    <w:p w:rsidR="000D69F1" w:rsidRPr="00F532D6" w:rsidP="00854AAE" w14:paraId="0BF53228" w14:textId="77777777">
      <w:pPr>
        <w:pStyle w:val="ListParagraph"/>
        <w:numPr>
          <w:ilvl w:val="0"/>
          <w:numId w:val="14"/>
        </w:numPr>
        <w:pBdr>
          <w:bottom w:val="single" w:sz="4" w:space="1" w:color="auto"/>
        </w:pBdr>
        <w:ind w:left="446"/>
        <w:rPr>
          <w:rFonts w:cstheme="minorHAnsi"/>
          <w:i/>
          <w:iCs/>
        </w:rPr>
      </w:pPr>
      <w:r w:rsidRPr="00F532D6">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Pr>
          <w:rFonts w:cstheme="minorHAnsi"/>
          <w:i/>
          <w:iCs/>
        </w:rPr>
        <w:t>.</w:t>
      </w:r>
    </w:p>
    <w:p w:rsidR="000D69F1" w:rsidRPr="00E3122D" w:rsidP="00854AAE" w14:paraId="5891D869" w14:textId="77777777">
      <w:pPr>
        <w:spacing w:before="120" w:after="0"/>
        <w:rPr>
          <w:rFonts w:cstheme="minorHAnsi"/>
          <w:b/>
          <w:bCs/>
        </w:rPr>
      </w:pPr>
      <w:r w:rsidRPr="00E3122D">
        <w:rPr>
          <w:rFonts w:cstheme="minorHAnsi"/>
          <w:b/>
          <w:bCs/>
        </w:rPr>
        <w:t>12a. Respondents/NAICS Codes</w:t>
      </w:r>
    </w:p>
    <w:p w:rsidR="000D69F1" w:rsidRPr="00BB7977" w:rsidP="00BB7977" w14:paraId="6E28109B" w14:textId="0367DB4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B7977">
        <w:rPr>
          <w:rFonts w:cstheme="minorHAnsi"/>
          <w:color w:val="000000"/>
        </w:rPr>
        <w:t>The respondents to the recordkeeping and reporting requirements are</w:t>
      </w:r>
      <w:r>
        <w:rPr>
          <w:rFonts w:cstheme="minorHAnsi"/>
          <w:color w:val="000000"/>
        </w:rPr>
        <w:t xml:space="preserve"> </w:t>
      </w:r>
      <w:r w:rsidRPr="00624665" w:rsidR="00624665">
        <w:rPr>
          <w:rFonts w:cstheme="minorHAnsi"/>
          <w:color w:val="000000"/>
        </w:rPr>
        <w:t>primary magnesium refining facilities</w:t>
      </w:r>
      <w:r w:rsidRPr="00624665">
        <w:rPr>
          <w:rFonts w:cstheme="minorHAnsi"/>
          <w:color w:val="000000"/>
        </w:rPr>
        <w:t>. The</w:t>
      </w:r>
      <w:r w:rsidRPr="00BB7977">
        <w:rPr>
          <w:rFonts w:cstheme="minorHAnsi"/>
          <w:color w:val="000000"/>
        </w:rPr>
        <w:t xml:space="preserve"> United States Standard Industrial Classification (SIC) codes and the corresponding North </w:t>
      </w:r>
      <w:r w:rsidRPr="00BB7977">
        <w:rPr>
          <w:rFonts w:cstheme="minorHAnsi"/>
          <w:color w:val="000000"/>
        </w:rPr>
        <w:t xml:space="preserve">American Industry Classification System (NAICS) codes for the respondents affected by the standards are listed in the table below: </w:t>
      </w:r>
    </w:p>
    <w:tbl>
      <w:tblPr>
        <w:tblW w:w="9360" w:type="dxa"/>
        <w:tblInd w:w="112" w:type="dxa"/>
        <w:tblLayout w:type="fixed"/>
        <w:tblCellMar>
          <w:left w:w="112" w:type="dxa"/>
          <w:right w:w="112" w:type="dxa"/>
        </w:tblCellMar>
        <w:tblLook w:val="04A0"/>
      </w:tblPr>
      <w:tblGrid>
        <w:gridCol w:w="4320"/>
        <w:gridCol w:w="2610"/>
        <w:gridCol w:w="2430"/>
      </w:tblGrid>
      <w:tr w14:paraId="2514FE4B" w14:textId="77777777" w:rsidTr="00A70FBA">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tcPr>
          <w:p w:rsidR="000D69F1" w:rsidRPr="00BB7977" w:rsidP="00BB7977" w14:paraId="1211E9B2"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BB7977" w:rsidP="00BB7977" w14:paraId="543F0DFB" w14:textId="2F2D900D">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A70FBA">
              <w:rPr>
                <w:rFonts w:cstheme="minorHAnsi"/>
                <w:b/>
                <w:bCs/>
                <w:color w:val="000000"/>
              </w:rPr>
              <w:t xml:space="preserve">Standard </w:t>
            </w:r>
            <w:r w:rsidRPr="00A70FBA">
              <w:rPr>
                <w:rFonts w:cstheme="minorHAnsi"/>
                <w:b/>
                <w:bCs/>
                <w:noProof/>
                <w:color w:val="000000"/>
              </w:rPr>
              <w:t xml:space="preserve">(40 CFR </w:t>
            </w:r>
            <w:r w:rsidRPr="00A70FBA" w:rsidR="00080D11">
              <w:rPr>
                <w:rFonts w:cstheme="minorHAnsi"/>
                <w:b/>
                <w:bCs/>
                <w:noProof/>
                <w:color w:val="000000"/>
              </w:rPr>
              <w:t>Part 63</w:t>
            </w:r>
            <w:r w:rsidRPr="00A70FBA">
              <w:rPr>
                <w:rFonts w:cstheme="minorHAnsi"/>
                <w:b/>
                <w:bCs/>
                <w:noProof/>
                <w:color w:val="000000"/>
              </w:rPr>
              <w:t>, Subpart TTTTT)</w:t>
            </w:r>
          </w:p>
        </w:tc>
        <w:tc>
          <w:tcPr>
            <w:tcW w:w="2610" w:type="dxa"/>
            <w:tcBorders>
              <w:top w:val="single" w:sz="8" w:space="0" w:color="000000"/>
              <w:left w:val="single" w:sz="8" w:space="0" w:color="000000"/>
              <w:bottom w:val="single" w:sz="8" w:space="0" w:color="000000"/>
              <w:right w:val="single" w:sz="6" w:space="0" w:color="FFFFFF"/>
            </w:tcBorders>
          </w:tcPr>
          <w:p w:rsidR="000D69F1" w:rsidRPr="00BB7977" w:rsidP="00BB7977" w14:paraId="1208387E"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0D69F1" w:rsidRPr="00BB7977" w:rsidP="00BB7977" w14:paraId="606BF93C"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SIC Codes</w:t>
            </w:r>
          </w:p>
        </w:tc>
        <w:tc>
          <w:tcPr>
            <w:tcW w:w="2430" w:type="dxa"/>
            <w:tcBorders>
              <w:top w:val="single" w:sz="8" w:space="0" w:color="000000"/>
              <w:left w:val="single" w:sz="8" w:space="0" w:color="000000"/>
              <w:bottom w:val="single" w:sz="8" w:space="0" w:color="000000"/>
              <w:right w:val="single" w:sz="8" w:space="0" w:color="000000"/>
            </w:tcBorders>
          </w:tcPr>
          <w:p w:rsidR="000D69F1" w:rsidRPr="00BB7977" w:rsidP="00BB7977" w14:paraId="29456D3B"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0D69F1" w:rsidRPr="00BB7977" w:rsidP="00BB7977" w14:paraId="677C42A1"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NAICS Codes</w:t>
            </w:r>
          </w:p>
        </w:tc>
      </w:tr>
      <w:tr w14:paraId="5ACD775A" w14:textId="77777777" w:rsidTr="00A70FBA">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tcPr>
          <w:p w:rsidR="000D69F1" w:rsidRPr="00BB7977" w:rsidP="00BB7977" w14:paraId="316C5AFD" w14:textId="09EB679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21563D">
              <w:rPr>
                <w:rFonts w:cstheme="minorHAnsi"/>
                <w:color w:val="000000"/>
              </w:rPr>
              <w:t>Nonferrous Metal (except Aluminum) Smelting and Refining</w:t>
            </w:r>
          </w:p>
        </w:tc>
        <w:tc>
          <w:tcPr>
            <w:tcW w:w="2610" w:type="dxa"/>
            <w:tcBorders>
              <w:top w:val="single" w:sz="8" w:space="0" w:color="000000"/>
              <w:left w:val="single" w:sz="8" w:space="0" w:color="000000"/>
              <w:bottom w:val="single" w:sz="8" w:space="0" w:color="000000"/>
              <w:right w:val="single" w:sz="6" w:space="0" w:color="FFFFFF"/>
            </w:tcBorders>
          </w:tcPr>
          <w:p w:rsidR="000D69F1" w:rsidRPr="00BB7977" w:rsidP="00BB7977" w14:paraId="24EB6A4A" w14:textId="1EE4742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A554E0">
              <w:rPr>
                <w:rFonts w:cstheme="minorHAnsi"/>
                <w:color w:val="000000"/>
              </w:rPr>
              <w:t>3339</w:t>
            </w:r>
          </w:p>
        </w:tc>
        <w:tc>
          <w:tcPr>
            <w:tcW w:w="2430" w:type="dxa"/>
            <w:tcBorders>
              <w:top w:val="single" w:sz="8" w:space="0" w:color="000000"/>
              <w:left w:val="single" w:sz="8" w:space="0" w:color="000000"/>
              <w:bottom w:val="single" w:sz="8" w:space="0" w:color="000000"/>
              <w:right w:val="single" w:sz="8" w:space="0" w:color="000000"/>
            </w:tcBorders>
          </w:tcPr>
          <w:p w:rsidR="000D69F1" w:rsidRPr="00BB7977" w:rsidP="00BB7977" w14:paraId="76594C35" w14:textId="34C0ACE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A82955">
              <w:rPr>
                <w:rFonts w:cstheme="minorHAnsi"/>
                <w:color w:val="000000"/>
              </w:rPr>
              <w:t>331410</w:t>
            </w:r>
          </w:p>
        </w:tc>
      </w:tr>
    </w:tbl>
    <w:p w:rsidR="000D69F1" w:rsidP="00854AAE" w14:paraId="4B9AADF4"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2368C0" w:rsidP="00D71532" w14:paraId="08103895" w14:textId="63AB8266">
      <w:pPr>
        <w:pBdr>
          <w:top w:val="single" w:sz="6" w:space="0" w:color="FFFFFF"/>
          <w:left w:val="single" w:sz="6" w:space="0" w:color="FFFFFF"/>
          <w:bottom w:val="single" w:sz="6" w:space="0" w:color="FFFFFF"/>
          <w:right w:val="single" w:sz="6" w:space="0" w:color="FFFFFF"/>
        </w:pBdr>
        <w:spacing w:before="60"/>
        <w:rPr>
          <w:rFonts w:cstheme="minorHAnsi"/>
        </w:rPr>
      </w:pPr>
      <w:r w:rsidRPr="00D71532">
        <w:rPr>
          <w:rFonts w:cstheme="minorHAnsi"/>
          <w:color w:val="000000"/>
        </w:rPr>
        <w:t>Based on our research for this ICR, on average over the next three years, approximately</w:t>
      </w:r>
      <w:r w:rsidRPr="00D71532">
        <w:rPr>
          <w:rFonts w:cstheme="minorHAnsi"/>
          <w:color w:val="FF0000"/>
        </w:rPr>
        <w:t xml:space="preserve"> </w:t>
      </w:r>
      <w:r w:rsidR="002368C0">
        <w:rPr>
          <w:rFonts w:cstheme="minorHAnsi"/>
          <w:color w:val="FF0000"/>
        </w:rPr>
        <w:t>one</w:t>
      </w:r>
      <w:r w:rsidRPr="00D71532">
        <w:rPr>
          <w:rFonts w:cstheme="minorHAnsi"/>
          <w:color w:val="000000"/>
        </w:rPr>
        <w:t xml:space="preserve"> existing respondent will be </w:t>
      </w:r>
      <w:r w:rsidRPr="002368C0">
        <w:rPr>
          <w:rFonts w:cstheme="minorHAnsi"/>
        </w:rPr>
        <w:t xml:space="preserve">subject to the standard. It is estimated that </w:t>
      </w:r>
      <w:r w:rsidRPr="002368C0" w:rsidR="002368C0">
        <w:rPr>
          <w:rFonts w:cstheme="minorHAnsi"/>
        </w:rPr>
        <w:t>no</w:t>
      </w:r>
      <w:r w:rsidRPr="002368C0">
        <w:rPr>
          <w:rFonts w:cstheme="minorHAnsi"/>
        </w:rPr>
        <w:t xml:space="preserve"> additional respondents per year will become subject, for an overall total of </w:t>
      </w:r>
      <w:r w:rsidRPr="002368C0" w:rsidR="002368C0">
        <w:rPr>
          <w:rFonts w:cstheme="minorHAnsi"/>
        </w:rPr>
        <w:t>one</w:t>
      </w:r>
      <w:r w:rsidRPr="002368C0">
        <w:rPr>
          <w:rFonts w:cstheme="minorHAnsi"/>
        </w:rPr>
        <w:t xml:space="preserve"> respondent per year. The number of respondents is calculated using the table Number of Respondents that addresses the three years covered by this ICR. None of the facilities in the United States are owned by either state, local, or tribal entities or by the Federal government. They are all owned and operated by privately-owned, for-profit businesses. We assume that they will all respond to EPA inquiries. Based on our consultations with industry representatives, there is an average of one affected facility at each plant site and each plant site has only one respondent (i.e., the owner/operator of the plant site).</w:t>
      </w:r>
    </w:p>
    <w:p w:rsidR="000D69F1" w:rsidRPr="00BB3410" w:rsidP="00854AAE" w14:paraId="3F29B86C" w14:textId="2394BC6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2368C0">
        <w:rPr>
          <w:rFonts w:cstheme="minorHAnsi"/>
        </w:rPr>
        <w:t xml:space="preserve">The total number of annual responses per year is calculated using the table Total Annual Responses shown below. The number of Total Annual Responses is </w:t>
      </w:r>
      <w:r w:rsidRPr="002368C0" w:rsidR="002368C0">
        <w:rPr>
          <w:rFonts w:cstheme="minorHAnsi"/>
        </w:rPr>
        <w:t>eight.</w:t>
      </w:r>
    </w:p>
    <w:p w:rsidR="000D69F1" w:rsidRPr="00163C69" w:rsidP="00854AAE" w14:paraId="3E94DAA1" w14:textId="77777777">
      <w:pPr>
        <w:spacing w:before="120" w:after="0"/>
        <w:rPr>
          <w:rFonts w:cstheme="minorHAnsi"/>
          <w:b/>
          <w:bCs/>
        </w:rPr>
      </w:pPr>
      <w:r w:rsidRPr="00163C69">
        <w:rPr>
          <w:rFonts w:cstheme="minorHAnsi"/>
          <w:b/>
          <w:bCs/>
        </w:rPr>
        <w:t>12b. Information Requested</w:t>
      </w:r>
    </w:p>
    <w:p w:rsidR="000D69F1" w:rsidRPr="00987C8D" w:rsidP="00987C8D" w14:paraId="6F9432B2" w14:textId="17F8D8C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 xml:space="preserve">In this </w:t>
      </w:r>
      <w:r w:rsidRPr="002368C0">
        <w:rPr>
          <w:rFonts w:cstheme="minorHAnsi"/>
          <w:color w:val="000000"/>
        </w:rPr>
        <w:t>ICR, all the data that are recorded or reported is required by the</w:t>
      </w:r>
      <w:r w:rsidRPr="002368C0">
        <w:rPr>
          <w:rFonts w:cstheme="minorHAnsi"/>
        </w:rPr>
        <w:t xml:space="preserve"> </w:t>
      </w:r>
      <w:r w:rsidRPr="002368C0">
        <w:rPr>
          <w:rFonts w:cstheme="minorHAnsi"/>
          <w:noProof/>
        </w:rPr>
        <w:t xml:space="preserve">NESHAP for Primary Magnesium Refining (40 CFR </w:t>
      </w:r>
      <w:r w:rsidRPr="002368C0" w:rsidR="00080D11">
        <w:rPr>
          <w:rFonts w:cstheme="minorHAnsi"/>
          <w:noProof/>
        </w:rPr>
        <w:t>Part 63</w:t>
      </w:r>
      <w:r w:rsidRPr="002368C0">
        <w:rPr>
          <w:rFonts w:cstheme="minorHAnsi"/>
          <w:noProof/>
        </w:rPr>
        <w:t>, Subpart TTTTT)</w:t>
      </w:r>
      <w:r w:rsidRPr="002368C0">
        <w:rPr>
          <w:rFonts w:cstheme="minorHAnsi"/>
        </w:rPr>
        <w:t>.</w:t>
      </w:r>
      <w:r w:rsidRPr="002368C0">
        <w:rPr>
          <w:rFonts w:cstheme="minorHAnsi"/>
          <w:color w:val="FF0000"/>
        </w:rPr>
        <w:t xml:space="preserve"> </w:t>
      </w:r>
      <w:r w:rsidRPr="002368C0">
        <w:rPr>
          <w:rFonts w:cstheme="minorHAnsi"/>
          <w:color w:val="000000"/>
        </w:rPr>
        <w:t>Any</w:t>
      </w:r>
      <w:r w:rsidRPr="00987C8D">
        <w:rPr>
          <w:rFonts w:cstheme="minorHAnsi"/>
          <w:color w:val="000000"/>
        </w:rPr>
        <w:t xml:space="preserve"> owner/operator subject to the provisions of this part shall maintain a file of these measurements and retain the file for at </w:t>
      </w:r>
      <w:r w:rsidRPr="002368C0">
        <w:rPr>
          <w:rFonts w:cstheme="minorHAnsi"/>
        </w:rPr>
        <w:t xml:space="preserve">least </w:t>
      </w:r>
      <w:r w:rsidRPr="002368C0" w:rsidR="002368C0">
        <w:rPr>
          <w:rFonts w:cstheme="minorHAnsi"/>
        </w:rPr>
        <w:t>five</w:t>
      </w:r>
      <w:r w:rsidRPr="002368C0">
        <w:rPr>
          <w:rFonts w:cstheme="minorHAnsi"/>
        </w:rPr>
        <w:t xml:space="preserve"> years fo</w:t>
      </w:r>
      <w:r w:rsidRPr="00987C8D">
        <w:rPr>
          <w:rFonts w:cstheme="minorHAnsi"/>
          <w:color w:val="000000"/>
        </w:rPr>
        <w:t>llowing the date of such measurements, maintenance reports, and records.</w:t>
      </w:r>
    </w:p>
    <w:p w:rsidR="000D69F1" w:rsidRPr="00987C8D" w:rsidP="00987C8D" w14:paraId="2369B932"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make the following reports:</w:t>
      </w:r>
    </w:p>
    <w:tbl>
      <w:tblPr>
        <w:tblW w:w="9360" w:type="dxa"/>
        <w:jc w:val="center"/>
        <w:tblLayout w:type="fixed"/>
        <w:tblCellMar>
          <w:left w:w="120" w:type="dxa"/>
          <w:right w:w="120" w:type="dxa"/>
        </w:tblCellMar>
        <w:tblLook w:val="04A0"/>
      </w:tblPr>
      <w:tblGrid>
        <w:gridCol w:w="6831"/>
        <w:gridCol w:w="2529"/>
      </w:tblGrid>
      <w:tr w14:paraId="0C503789"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0D69F1" w:rsidRPr="00987C8D" w:rsidP="00987C8D" w14:paraId="29F2879C"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987C8D" w:rsidP="00987C8D" w14:paraId="58493A58"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Notifications</w:t>
            </w:r>
          </w:p>
        </w:tc>
      </w:tr>
      <w:tr w14:paraId="0D6069BF" w14:textId="77777777" w:rsidTr="00816157">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C72F66" w:rsidRPr="00987C8D" w:rsidP="00C72F66" w14:paraId="7C6F3604" w14:textId="1F272979">
            <w:pPr>
              <w:pBdr>
                <w:top w:val="single" w:sz="6" w:space="0" w:color="FFFFFF"/>
                <w:left w:val="single" w:sz="6" w:space="0" w:color="FFFFFF"/>
                <w:bottom w:val="single" w:sz="6" w:space="0" w:color="FFFFFF"/>
                <w:right w:val="single" w:sz="6" w:space="0" w:color="FFFFFF"/>
              </w:pBdr>
              <w:spacing w:before="60" w:after="0" w:line="240" w:lineRule="auto"/>
              <w:rPr>
                <w:rFonts w:cstheme="minorHAnsi"/>
                <w:b/>
                <w:bCs/>
                <w:color w:val="000000"/>
              </w:rPr>
            </w:pPr>
            <w:r w:rsidRPr="001B108A">
              <w:t>Initial notification</w:t>
            </w:r>
          </w:p>
        </w:tc>
        <w:tc>
          <w:tcPr>
            <w:tcW w:w="2529" w:type="dxa"/>
            <w:tcBorders>
              <w:top w:val="single" w:sz="8" w:space="0" w:color="000000"/>
              <w:left w:val="single" w:sz="8" w:space="0" w:color="000000"/>
              <w:bottom w:val="single" w:sz="8" w:space="0" w:color="000000"/>
              <w:right w:val="single" w:sz="8" w:space="0" w:color="000000"/>
            </w:tcBorders>
            <w:hideMark/>
          </w:tcPr>
          <w:p w:rsidR="00C72F66" w:rsidRPr="00987C8D" w:rsidP="00C72F66" w14:paraId="517840F2" w14:textId="7F5D6135">
            <w:pPr>
              <w:pBdr>
                <w:top w:val="single" w:sz="6" w:space="0" w:color="FFFFFF"/>
                <w:left w:val="single" w:sz="6" w:space="0" w:color="FFFFFF"/>
                <w:bottom w:val="single" w:sz="6" w:space="0" w:color="FFFFFF"/>
                <w:right w:val="single" w:sz="6" w:space="0" w:color="FFFFFF"/>
              </w:pBdr>
              <w:spacing w:before="60" w:after="0" w:line="240" w:lineRule="auto"/>
              <w:rPr>
                <w:rFonts w:cstheme="minorHAnsi"/>
                <w:b/>
                <w:bCs/>
                <w:color w:val="000000"/>
              </w:rPr>
            </w:pPr>
            <w:r w:rsidRPr="001B108A">
              <w:t>§§63.9930(a), 63.9(b)</w:t>
            </w:r>
          </w:p>
        </w:tc>
      </w:tr>
      <w:tr w14:paraId="4412F8D0" w14:textId="77777777" w:rsidTr="00816157">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C72F66" w:rsidRPr="00987C8D" w:rsidP="00C72F66" w14:paraId="46C57218" w14:textId="3C672EFB">
            <w:pPr>
              <w:pBdr>
                <w:top w:val="single" w:sz="6" w:space="0" w:color="FFFFFF"/>
                <w:left w:val="single" w:sz="6" w:space="0" w:color="FFFFFF"/>
                <w:bottom w:val="single" w:sz="6" w:space="0" w:color="FFFFFF"/>
                <w:right w:val="single" w:sz="6" w:space="0" w:color="FFFFFF"/>
              </w:pBdr>
              <w:spacing w:before="60" w:after="0" w:line="240" w:lineRule="auto"/>
              <w:rPr>
                <w:rFonts w:cstheme="minorHAnsi"/>
                <w:color w:val="000000"/>
              </w:rPr>
            </w:pPr>
            <w:r w:rsidRPr="001B108A">
              <w:t>Notification of compliance status</w:t>
            </w:r>
          </w:p>
        </w:tc>
        <w:tc>
          <w:tcPr>
            <w:tcW w:w="2529" w:type="dxa"/>
            <w:tcBorders>
              <w:top w:val="single" w:sz="8" w:space="0" w:color="000000"/>
              <w:left w:val="single" w:sz="8" w:space="0" w:color="000000"/>
              <w:bottom w:val="single" w:sz="8" w:space="0" w:color="000000"/>
              <w:right w:val="single" w:sz="8" w:space="0" w:color="000000"/>
            </w:tcBorders>
          </w:tcPr>
          <w:p w:rsidR="00C72F66" w:rsidRPr="00987C8D" w:rsidP="00C72F66" w14:paraId="1FB6D4EB" w14:textId="5D822F6B">
            <w:pPr>
              <w:pBdr>
                <w:top w:val="single" w:sz="6" w:space="0" w:color="FFFFFF"/>
                <w:left w:val="single" w:sz="6" w:space="0" w:color="FFFFFF"/>
                <w:bottom w:val="single" w:sz="6" w:space="0" w:color="FFFFFF"/>
                <w:right w:val="single" w:sz="6" w:space="0" w:color="FFFFFF"/>
              </w:pBdr>
              <w:spacing w:before="60" w:after="0" w:line="240" w:lineRule="auto"/>
              <w:rPr>
                <w:rFonts w:cstheme="minorHAnsi"/>
                <w:color w:val="000000"/>
              </w:rPr>
            </w:pPr>
            <w:r w:rsidRPr="001B108A">
              <w:t>§§63.9930(e), 63.9(h)</w:t>
            </w:r>
          </w:p>
        </w:tc>
      </w:tr>
      <w:tr w14:paraId="57EC1253" w14:textId="77777777" w:rsidTr="00816157">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C72F66" w:rsidRPr="00987C8D" w:rsidP="00C72F66" w14:paraId="7E844DB5" w14:textId="5A8E9116">
            <w:pPr>
              <w:pBdr>
                <w:top w:val="single" w:sz="6" w:space="0" w:color="FFFFFF"/>
                <w:left w:val="single" w:sz="6" w:space="0" w:color="FFFFFF"/>
                <w:bottom w:val="single" w:sz="6" w:space="0" w:color="FFFFFF"/>
                <w:right w:val="single" w:sz="6" w:space="0" w:color="FFFFFF"/>
              </w:pBdr>
              <w:spacing w:before="60" w:after="0" w:line="240" w:lineRule="auto"/>
              <w:rPr>
                <w:rFonts w:cstheme="minorHAnsi"/>
                <w:color w:val="000000"/>
              </w:rPr>
            </w:pPr>
            <w:r w:rsidRPr="001B108A">
              <w:t>Notification of construction or reconstruction</w:t>
            </w:r>
          </w:p>
        </w:tc>
        <w:tc>
          <w:tcPr>
            <w:tcW w:w="2529" w:type="dxa"/>
            <w:tcBorders>
              <w:top w:val="single" w:sz="8" w:space="0" w:color="000000"/>
              <w:left w:val="single" w:sz="8" w:space="0" w:color="000000"/>
              <w:bottom w:val="single" w:sz="8" w:space="0" w:color="000000"/>
              <w:right w:val="single" w:sz="8" w:space="0" w:color="000000"/>
            </w:tcBorders>
          </w:tcPr>
          <w:p w:rsidR="00C72F66" w:rsidRPr="00987C8D" w:rsidP="00C72F66" w14:paraId="63128102" w14:textId="5F936667">
            <w:pPr>
              <w:pBdr>
                <w:top w:val="single" w:sz="6" w:space="0" w:color="FFFFFF"/>
                <w:left w:val="single" w:sz="6" w:space="0" w:color="FFFFFF"/>
                <w:bottom w:val="single" w:sz="6" w:space="0" w:color="FFFFFF"/>
                <w:right w:val="single" w:sz="6" w:space="0" w:color="FFFFFF"/>
              </w:pBdr>
              <w:spacing w:before="60" w:after="0" w:line="240" w:lineRule="auto"/>
              <w:rPr>
                <w:rFonts w:cstheme="minorHAnsi"/>
                <w:color w:val="000000"/>
              </w:rPr>
            </w:pPr>
            <w:r w:rsidRPr="001B108A">
              <w:t>§§63.9930(a), 63.5(b)(4), 63.9(b)(5)</w:t>
            </w:r>
          </w:p>
        </w:tc>
      </w:tr>
      <w:tr w14:paraId="2D4A066E" w14:textId="77777777" w:rsidTr="00816157">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C72F66" w:rsidRPr="00723245" w:rsidP="00C72F66" w14:paraId="7639EF12" w14:textId="34CC6891">
            <w:pPr>
              <w:spacing w:after="0" w:line="240" w:lineRule="auto"/>
            </w:pPr>
            <w:r w:rsidRPr="001B108A">
              <w:t>Notification of actual startup</w:t>
            </w:r>
          </w:p>
        </w:tc>
        <w:tc>
          <w:tcPr>
            <w:tcW w:w="2529" w:type="dxa"/>
            <w:tcBorders>
              <w:top w:val="single" w:sz="8" w:space="0" w:color="000000"/>
              <w:left w:val="single" w:sz="8" w:space="0" w:color="000000"/>
              <w:bottom w:val="single" w:sz="8" w:space="0" w:color="000000"/>
              <w:right w:val="single" w:sz="8" w:space="0" w:color="000000"/>
            </w:tcBorders>
          </w:tcPr>
          <w:p w:rsidR="00C72F66" w:rsidRPr="00723245" w:rsidP="00C72F66" w14:paraId="27957F86" w14:textId="20D452C7">
            <w:pPr>
              <w:spacing w:after="0" w:line="240" w:lineRule="auto"/>
            </w:pPr>
            <w:r w:rsidRPr="001B108A">
              <w:t>§§63.9930(a), 63.9(b)(4)(v), 63.9(b)(5)(ii)</w:t>
            </w:r>
          </w:p>
        </w:tc>
      </w:tr>
      <w:tr w14:paraId="02132AFC" w14:textId="77777777" w:rsidTr="00816157">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C72F66" w:rsidRPr="00723245" w:rsidP="00C72F66" w14:paraId="5AD01D30" w14:textId="0C785671">
            <w:pPr>
              <w:spacing w:after="0" w:line="240" w:lineRule="auto"/>
            </w:pPr>
            <w:r w:rsidRPr="001B108A">
              <w:t>Notification of performance test</w:t>
            </w:r>
          </w:p>
        </w:tc>
        <w:tc>
          <w:tcPr>
            <w:tcW w:w="2529" w:type="dxa"/>
            <w:tcBorders>
              <w:top w:val="single" w:sz="8" w:space="0" w:color="000000"/>
              <w:left w:val="single" w:sz="8" w:space="0" w:color="000000"/>
              <w:bottom w:val="single" w:sz="8" w:space="0" w:color="000000"/>
              <w:right w:val="single" w:sz="8" w:space="0" w:color="000000"/>
            </w:tcBorders>
          </w:tcPr>
          <w:p w:rsidR="00C72F66" w:rsidRPr="00723245" w:rsidP="00C72F66" w14:paraId="7CFC9CAA" w14:textId="7F98DEBA">
            <w:pPr>
              <w:spacing w:after="0" w:line="240" w:lineRule="auto"/>
            </w:pPr>
            <w:r w:rsidRPr="001B108A">
              <w:t>§§63.9930(d), 63.7(b), 63.8(e), 63.9(e)</w:t>
            </w:r>
          </w:p>
        </w:tc>
      </w:tr>
      <w:tr w14:paraId="5AA0EFA6" w14:textId="77777777" w:rsidTr="00A12B93">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tcPr>
          <w:p w:rsidR="00C72F66" w:rsidRPr="00723245" w:rsidP="00C72F66" w14:paraId="26A56FD2" w14:textId="77777777">
            <w:pPr>
              <w:spacing w:after="0" w:line="240" w:lineRule="auto"/>
            </w:pPr>
          </w:p>
          <w:p w:rsidR="00C72F66" w:rsidRPr="00723245" w:rsidP="00C72F66" w14:paraId="617D11C6" w14:textId="33BF94A5">
            <w:pPr>
              <w:spacing w:after="0" w:line="240" w:lineRule="auto"/>
            </w:pPr>
            <w:r w:rsidRPr="007744B9">
              <w:t>Notification of reclassification to area source status or to revert back to major source status (electronic submission)</w:t>
            </w:r>
          </w:p>
        </w:tc>
        <w:tc>
          <w:tcPr>
            <w:tcW w:w="2529" w:type="dxa"/>
            <w:tcBorders>
              <w:top w:val="single" w:sz="8" w:space="0" w:color="000000"/>
              <w:left w:val="single" w:sz="8" w:space="0" w:color="000000"/>
              <w:bottom w:val="single" w:sz="8" w:space="0" w:color="000000"/>
              <w:right w:val="single" w:sz="8" w:space="0" w:color="000000"/>
            </w:tcBorders>
          </w:tcPr>
          <w:p w:rsidR="00C72F66" w:rsidRPr="00723245" w:rsidP="00C72F66" w14:paraId="57B6511C" w14:textId="77777777">
            <w:pPr>
              <w:spacing w:after="0" w:line="240" w:lineRule="auto"/>
            </w:pPr>
          </w:p>
          <w:p w:rsidR="00C72F66" w:rsidRPr="00723245" w:rsidP="00C72F66" w14:paraId="161FBCF6" w14:textId="085290D8">
            <w:pPr>
              <w:spacing w:after="0" w:line="240" w:lineRule="auto"/>
            </w:pPr>
            <w:r w:rsidRPr="007744B9">
              <w:t>§§63.9(b), 63.9(j)</w:t>
            </w:r>
          </w:p>
        </w:tc>
      </w:tr>
    </w:tbl>
    <w:p w:rsidR="000D69F1" w:rsidRPr="00987C8D" w:rsidP="00987C8D" w14:paraId="1687E9E0"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tbl>
      <w:tblPr>
        <w:tblW w:w="9360" w:type="dxa"/>
        <w:jc w:val="center"/>
        <w:tblLayout w:type="fixed"/>
        <w:tblCellMar>
          <w:left w:w="120" w:type="dxa"/>
          <w:right w:w="120" w:type="dxa"/>
        </w:tblCellMar>
        <w:tblLook w:val="04A0"/>
      </w:tblPr>
      <w:tblGrid>
        <w:gridCol w:w="7290"/>
        <w:gridCol w:w="2070"/>
      </w:tblGrid>
      <w:tr w14:paraId="49D84AD8"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0D69F1" w:rsidRPr="00987C8D" w:rsidP="00987C8D" w14:paraId="7723E32E"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987C8D" w:rsidP="00987C8D" w14:paraId="36CF4D61"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Reports</w:t>
            </w:r>
          </w:p>
        </w:tc>
      </w:tr>
      <w:tr w14:paraId="2D42995B" w14:textId="77777777" w:rsidTr="008512AB">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09BC1AB0" w14:textId="6628111C">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Semiannual report</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105879BA" w14:textId="2A25517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 xml:space="preserve">§§63.9931(a), (b) </w:t>
            </w:r>
          </w:p>
        </w:tc>
      </w:tr>
      <w:tr w14:paraId="5E83A2AC" w14:textId="77777777" w:rsidTr="008512AB">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6F020828" w14:textId="74B20F9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Report of performance test</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3BFFC70A" w14:textId="6E0D5F95">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§63.9930(e)</w:t>
            </w:r>
          </w:p>
        </w:tc>
      </w:tr>
      <w:tr w14:paraId="73D1752B" w14:textId="77777777" w:rsidTr="008512AB">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7B048ABB" w14:textId="1218D2D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Immediate startup, shutdown, malfunction report</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51584" w:rsidRPr="00987C8D" w:rsidP="00651584" w14:paraId="784B1780" w14:textId="5D5D316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§63.9931(c), §63.10(d)(5)</w:t>
            </w:r>
          </w:p>
        </w:tc>
      </w:tr>
    </w:tbl>
    <w:p w:rsidR="000D69F1" w:rsidRPr="00987C8D" w:rsidP="00987C8D" w14:paraId="46B95DA4"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987C8D" w:rsidP="00987C8D" w14:paraId="504A2BDA"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keep the following records:</w:t>
      </w:r>
    </w:p>
    <w:tbl>
      <w:tblPr>
        <w:tblW w:w="9360" w:type="dxa"/>
        <w:jc w:val="center"/>
        <w:tblLayout w:type="fixed"/>
        <w:tblCellMar>
          <w:left w:w="120" w:type="dxa"/>
          <w:right w:w="120" w:type="dxa"/>
        </w:tblCellMar>
        <w:tblLook w:val="04A0"/>
      </w:tblPr>
      <w:tblGrid>
        <w:gridCol w:w="7110"/>
        <w:gridCol w:w="2250"/>
      </w:tblGrid>
      <w:tr w14:paraId="6F4CB719"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0D69F1" w:rsidRPr="00987C8D" w:rsidP="00987C8D" w14:paraId="48812AC7"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987C8D" w:rsidP="00987C8D" w14:paraId="1E52F34E"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Recordkeeping</w:t>
            </w:r>
          </w:p>
        </w:tc>
      </w:tr>
      <w:tr w14:paraId="0E7832BC" w14:textId="77777777" w:rsidTr="007D5B0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6D192A06" w14:textId="751C45F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Retention of records for five years</w:t>
            </w:r>
          </w:p>
        </w:tc>
        <w:tc>
          <w:tcPr>
            <w:tcW w:w="225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796E1067" w14:textId="58B485D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§§63.9933(b), 63.10(b)</w:t>
            </w:r>
          </w:p>
        </w:tc>
      </w:tr>
      <w:tr w14:paraId="2B4838B9" w14:textId="77777777" w:rsidTr="007D5B0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343F1EC1" w14:textId="207E9D96">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Copies of notifications and reports</w:t>
            </w:r>
          </w:p>
        </w:tc>
        <w:tc>
          <w:tcPr>
            <w:tcW w:w="225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748B9E63" w14:textId="3470443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§63.9932(a)(1)</w:t>
            </w:r>
          </w:p>
        </w:tc>
      </w:tr>
      <w:tr w14:paraId="0F990102" w14:textId="77777777" w:rsidTr="007D5B0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0CB4D552" w14:textId="51F662E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Startup, shutdown, and malfunction plan/records</w:t>
            </w:r>
          </w:p>
        </w:tc>
        <w:tc>
          <w:tcPr>
            <w:tcW w:w="225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1068628A" w14:textId="743C043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§§63.9932(a)(2), 63.6(e)(iii)-(v)</w:t>
            </w:r>
          </w:p>
        </w:tc>
      </w:tr>
      <w:tr w14:paraId="72C2744D" w14:textId="77777777" w:rsidTr="007D5B0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1EBF2A5A" w14:textId="3D7B8256">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Documentation of performance tests and opacity observations</w:t>
            </w:r>
          </w:p>
        </w:tc>
        <w:tc>
          <w:tcPr>
            <w:tcW w:w="225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26C871CC" w14:textId="4643DF8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§§63.9932(a)(3), 63.10(b)(2)(viii)</w:t>
            </w:r>
          </w:p>
        </w:tc>
      </w:tr>
      <w:tr w14:paraId="4B9E2DC5" w14:textId="77777777" w:rsidTr="007D5B0B">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4A4503C6" w14:textId="34E41AE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Records required to demonstrate continuous compliance</w:t>
            </w:r>
          </w:p>
        </w:tc>
        <w:tc>
          <w:tcPr>
            <w:tcW w:w="2250" w:type="dxa"/>
            <w:tcBorders>
              <w:top w:val="single" w:sz="8" w:space="0" w:color="000000"/>
              <w:left w:val="single" w:sz="8" w:space="0" w:color="000000"/>
              <w:bottom w:val="single" w:sz="8" w:space="0" w:color="000000"/>
              <w:right w:val="single" w:sz="8" w:space="0" w:color="000000"/>
            </w:tcBorders>
            <w:vAlign w:val="center"/>
          </w:tcPr>
          <w:p w:rsidR="003745C4" w:rsidRPr="00987C8D" w:rsidP="003745C4" w14:paraId="54AEA935" w14:textId="2DE92BB2">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1B108A">
              <w:t>§63.9932(b)</w:t>
            </w:r>
          </w:p>
        </w:tc>
      </w:tr>
    </w:tbl>
    <w:p w:rsidR="000D69F1" w:rsidRPr="00BB3410" w:rsidP="00854AAE" w14:paraId="7BC85807"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163C69" w:rsidP="00854AAE" w14:paraId="4FE60E7C" w14:textId="77777777">
      <w:pPr>
        <w:spacing w:before="120" w:after="0"/>
        <w:rPr>
          <w:rFonts w:cstheme="minorHAnsi"/>
          <w:b/>
          <w:bCs/>
        </w:rPr>
      </w:pPr>
      <w:r w:rsidRPr="00163C69">
        <w:rPr>
          <w:rFonts w:cstheme="minorHAnsi"/>
          <w:b/>
          <w:bCs/>
        </w:rPr>
        <w:t>12c. Respondent Activities</w:t>
      </w:r>
    </w:p>
    <w:p w:rsidR="000D69F1" w:rsidRPr="00BB3410" w:rsidP="00854AAE" w14:paraId="47C69452" w14:textId="77777777">
      <w:pPr>
        <w:spacing w:before="60"/>
        <w:rPr>
          <w:rFonts w:cstheme="minorHAnsi"/>
        </w:rPr>
      </w:pPr>
    </w:p>
    <w:tbl>
      <w:tblPr>
        <w:tblStyle w:val="TableGrid"/>
        <w:tblW w:w="9445" w:type="dxa"/>
        <w:tblLook w:val="04A0"/>
      </w:tblPr>
      <w:tblGrid>
        <w:gridCol w:w="9445"/>
      </w:tblGrid>
      <w:tr w14:paraId="11D4AF96" w14:textId="77777777">
        <w:tblPrEx>
          <w:tblW w:w="9445" w:type="dxa"/>
          <w:tblLook w:val="04A0"/>
        </w:tblPrEx>
        <w:trPr>
          <w:cantSplit/>
          <w:trHeight w:val="521"/>
          <w:tblHeader/>
        </w:trPr>
        <w:tc>
          <w:tcPr>
            <w:tcW w:w="9445" w:type="dxa"/>
          </w:tcPr>
          <w:p w:rsidR="000D69F1" w14:paraId="2834EF7F" w14:textId="77777777">
            <w:pPr>
              <w:jc w:val="center"/>
              <w:outlineLvl w:val="0"/>
              <w:rPr>
                <w:b/>
                <w:bCs/>
                <w:color w:val="000000"/>
              </w:rPr>
            </w:pPr>
            <w:r w:rsidRPr="00B04A5C">
              <w:rPr>
                <w:b/>
                <w:bCs/>
                <w:color w:val="000000"/>
              </w:rPr>
              <w:t>Respondent Activities</w:t>
            </w:r>
          </w:p>
        </w:tc>
      </w:tr>
      <w:tr w14:paraId="442B6F09" w14:textId="77777777">
        <w:tblPrEx>
          <w:tblW w:w="9445" w:type="dxa"/>
          <w:tblLook w:val="04A0"/>
        </w:tblPrEx>
        <w:trPr>
          <w:trHeight w:val="432"/>
        </w:trPr>
        <w:tc>
          <w:tcPr>
            <w:tcW w:w="9445" w:type="dxa"/>
            <w:vAlign w:val="center"/>
          </w:tcPr>
          <w:p w:rsidR="000D69F1" w:rsidRPr="00B04A5C" w14:paraId="2760B5CE" w14:textId="77777777">
            <w:pPr>
              <w:outlineLvl w:val="0"/>
              <w:rPr>
                <w:color w:val="000000"/>
              </w:rPr>
            </w:pPr>
            <w:r w:rsidRPr="00B04A5C">
              <w:rPr>
                <w:color w:val="000000"/>
              </w:rPr>
              <w:t>Familiarization with the regulatory requirements.</w:t>
            </w:r>
          </w:p>
        </w:tc>
      </w:tr>
      <w:tr w14:paraId="72D0123B" w14:textId="77777777">
        <w:tblPrEx>
          <w:tblW w:w="9445" w:type="dxa"/>
          <w:tblLook w:val="04A0"/>
        </w:tblPrEx>
        <w:trPr>
          <w:trHeight w:val="719"/>
        </w:trPr>
        <w:tc>
          <w:tcPr>
            <w:tcW w:w="9445" w:type="dxa"/>
            <w:vAlign w:val="center"/>
          </w:tcPr>
          <w:p w:rsidR="000D69F1" w:rsidRPr="00B04A5C" w14:paraId="514F85E2" w14:textId="60F5DA0E">
            <w:pPr>
              <w:outlineLvl w:val="0"/>
              <w:rPr>
                <w:color w:val="000000"/>
              </w:rPr>
            </w:pPr>
            <w:r w:rsidRPr="001B108A">
              <w:t>Install, calibrate, maintain, and operate CPMS for pressure drop and liquid supply pressure for wet scrubber.</w:t>
            </w:r>
          </w:p>
        </w:tc>
      </w:tr>
      <w:tr w14:paraId="5CAFC9B0" w14:textId="77777777">
        <w:tblPrEx>
          <w:tblW w:w="9445" w:type="dxa"/>
          <w:tblLook w:val="04A0"/>
        </w:tblPrEx>
        <w:trPr>
          <w:trHeight w:val="701"/>
        </w:trPr>
        <w:tc>
          <w:tcPr>
            <w:tcW w:w="9445" w:type="dxa"/>
            <w:vAlign w:val="center"/>
          </w:tcPr>
          <w:p w:rsidR="000D69F1" w:rsidRPr="00B04A5C" w14:paraId="33584730" w14:textId="2A91BCDE">
            <w:pPr>
              <w:outlineLvl w:val="0"/>
              <w:rPr>
                <w:color w:val="000000"/>
              </w:rPr>
            </w:pPr>
            <w:r w:rsidRPr="00B04A5C">
              <w:rPr>
                <w:color w:val="000000"/>
              </w:rPr>
              <w:t xml:space="preserve">Perform initial performance test, Reference Method </w:t>
            </w:r>
            <w:r w:rsidRPr="001B108A" w:rsidR="0039109C">
              <w:t xml:space="preserve">1, 2, 2F, 2G, 3, 3A, 3B, 4, 5, 5D, 18, 23, 25D, 26, 26A, 201, 201A, 301, 303, 303A, 304, 304A, 304B, 305, 306, 306A, 306B, 307, 308, 310A, 310B, 310C, 311, 312A, 312B, 312C, 313A, 313B, 315, 316, 318, 319, 320, or 321 </w:t>
            </w:r>
            <w:r w:rsidRPr="00B04A5C">
              <w:rPr>
                <w:color w:val="000000"/>
              </w:rPr>
              <w:t>test</w:t>
            </w:r>
            <w:r w:rsidR="0039109C">
              <w:rPr>
                <w:color w:val="000000"/>
              </w:rPr>
              <w:t>s</w:t>
            </w:r>
            <w:r w:rsidRPr="00B04A5C">
              <w:rPr>
                <w:color w:val="000000"/>
              </w:rPr>
              <w:t>, and repeat performance tests if necessary.</w:t>
            </w:r>
          </w:p>
        </w:tc>
      </w:tr>
      <w:tr w14:paraId="50D9B7FD" w14:textId="77777777">
        <w:tblPrEx>
          <w:tblW w:w="9445" w:type="dxa"/>
          <w:tblLook w:val="04A0"/>
        </w:tblPrEx>
        <w:trPr>
          <w:trHeight w:val="432"/>
        </w:trPr>
        <w:tc>
          <w:tcPr>
            <w:tcW w:w="9445" w:type="dxa"/>
            <w:vAlign w:val="center"/>
          </w:tcPr>
          <w:p w:rsidR="000D69F1" w:rsidRPr="00B04A5C" w14:paraId="5ED94931" w14:textId="77777777">
            <w:pPr>
              <w:outlineLvl w:val="0"/>
              <w:rPr>
                <w:color w:val="000000"/>
              </w:rPr>
            </w:pPr>
            <w:r w:rsidRPr="00B04A5C">
              <w:rPr>
                <w:color w:val="000000"/>
              </w:rPr>
              <w:t>Write the notifications and reports listed above.</w:t>
            </w:r>
          </w:p>
        </w:tc>
      </w:tr>
      <w:tr w14:paraId="45EB79AC" w14:textId="77777777">
        <w:tblPrEx>
          <w:tblW w:w="9445" w:type="dxa"/>
          <w:tblLook w:val="04A0"/>
        </w:tblPrEx>
        <w:trPr>
          <w:trHeight w:val="432"/>
        </w:trPr>
        <w:tc>
          <w:tcPr>
            <w:tcW w:w="9445" w:type="dxa"/>
            <w:vAlign w:val="center"/>
          </w:tcPr>
          <w:p w:rsidR="000D69F1" w:rsidRPr="00B04A5C" w14:paraId="4B7440EC" w14:textId="77777777">
            <w:pPr>
              <w:outlineLvl w:val="0"/>
              <w:rPr>
                <w:color w:val="000000"/>
              </w:rPr>
            </w:pPr>
            <w:r w:rsidRPr="00B04A5C">
              <w:rPr>
                <w:color w:val="000000"/>
              </w:rPr>
              <w:t>Enter information required to be recorded above.</w:t>
            </w:r>
          </w:p>
        </w:tc>
      </w:tr>
      <w:tr w14:paraId="385D8B3B" w14:textId="77777777">
        <w:tblPrEx>
          <w:tblW w:w="9445" w:type="dxa"/>
          <w:tblLook w:val="04A0"/>
        </w:tblPrEx>
        <w:trPr>
          <w:trHeight w:val="692"/>
        </w:trPr>
        <w:tc>
          <w:tcPr>
            <w:tcW w:w="9445" w:type="dxa"/>
            <w:vAlign w:val="center"/>
          </w:tcPr>
          <w:p w:rsidR="000D69F1" w:rsidRPr="00B04A5C" w14:paraId="75A79073" w14:textId="77777777">
            <w:pPr>
              <w:outlineLvl w:val="0"/>
              <w:rPr>
                <w:color w:val="000000"/>
              </w:rPr>
            </w:pPr>
            <w:r w:rsidRPr="00B04A5C">
              <w:rPr>
                <w:color w:val="000000"/>
              </w:rPr>
              <w:t>Submit the required reports developing, acquiring, installing, and utilizing technology and systems for collecting, validating, and verifying information.</w:t>
            </w:r>
          </w:p>
        </w:tc>
      </w:tr>
      <w:tr w14:paraId="302780EA" w14:textId="77777777">
        <w:tblPrEx>
          <w:tblW w:w="9445" w:type="dxa"/>
          <w:tblLook w:val="04A0"/>
        </w:tblPrEx>
        <w:trPr>
          <w:trHeight w:val="764"/>
        </w:trPr>
        <w:tc>
          <w:tcPr>
            <w:tcW w:w="9445" w:type="dxa"/>
            <w:vAlign w:val="center"/>
          </w:tcPr>
          <w:p w:rsidR="000D69F1" w:rsidRPr="00B04A5C" w14:paraId="77B32F38" w14:textId="77777777">
            <w:pPr>
              <w:outlineLvl w:val="0"/>
              <w:rPr>
                <w:color w:val="000000"/>
              </w:rPr>
            </w:pPr>
            <w:r w:rsidRPr="00B04A5C">
              <w:rPr>
                <w:color w:val="000000"/>
              </w:rPr>
              <w:t>Develop, acquire, install, and utilize technology and systems for processing and maintaining information.</w:t>
            </w:r>
          </w:p>
        </w:tc>
      </w:tr>
      <w:tr w14:paraId="0DE97A22" w14:textId="77777777">
        <w:tblPrEx>
          <w:tblW w:w="9445" w:type="dxa"/>
          <w:tblLook w:val="04A0"/>
        </w:tblPrEx>
        <w:trPr>
          <w:trHeight w:val="728"/>
        </w:trPr>
        <w:tc>
          <w:tcPr>
            <w:tcW w:w="9445" w:type="dxa"/>
            <w:vAlign w:val="center"/>
          </w:tcPr>
          <w:p w:rsidR="000D69F1" w:rsidRPr="00B04A5C" w14:paraId="7689575D" w14:textId="77777777">
            <w:pPr>
              <w:outlineLvl w:val="0"/>
              <w:rPr>
                <w:color w:val="000000"/>
              </w:rPr>
            </w:pPr>
            <w:r w:rsidRPr="00B04A5C">
              <w:rPr>
                <w:color w:val="000000"/>
              </w:rPr>
              <w:t>Develop, acquire, install, and utilize technology and systems for disclosing and providing information.</w:t>
            </w:r>
          </w:p>
        </w:tc>
      </w:tr>
      <w:tr w14:paraId="65B524DC" w14:textId="77777777">
        <w:tblPrEx>
          <w:tblW w:w="9445" w:type="dxa"/>
          <w:tblLook w:val="04A0"/>
        </w:tblPrEx>
        <w:trPr>
          <w:trHeight w:val="432"/>
        </w:trPr>
        <w:tc>
          <w:tcPr>
            <w:tcW w:w="9445" w:type="dxa"/>
            <w:vAlign w:val="center"/>
          </w:tcPr>
          <w:p w:rsidR="000D69F1" w:rsidRPr="00B04A5C" w14:paraId="50FF1AD4" w14:textId="77777777">
            <w:pPr>
              <w:outlineLvl w:val="0"/>
              <w:rPr>
                <w:color w:val="000000"/>
              </w:rPr>
            </w:pPr>
            <w:r w:rsidRPr="00B04A5C">
              <w:rPr>
                <w:color w:val="000000"/>
              </w:rPr>
              <w:t>Train personnel to be able to respond to a collection of information.</w:t>
            </w:r>
          </w:p>
        </w:tc>
      </w:tr>
      <w:tr w14:paraId="3C45E8A1" w14:textId="77777777">
        <w:tblPrEx>
          <w:tblW w:w="9445" w:type="dxa"/>
          <w:tblLook w:val="04A0"/>
        </w:tblPrEx>
        <w:trPr>
          <w:trHeight w:val="432"/>
        </w:trPr>
        <w:tc>
          <w:tcPr>
            <w:tcW w:w="9445" w:type="dxa"/>
            <w:vAlign w:val="center"/>
          </w:tcPr>
          <w:p w:rsidR="000D69F1" w:rsidRPr="00B04A5C" w14:paraId="7153F0B3" w14:textId="77777777">
            <w:pPr>
              <w:outlineLvl w:val="0"/>
              <w:rPr>
                <w:color w:val="000000"/>
              </w:rPr>
            </w:pPr>
            <w:r w:rsidRPr="00B04A5C">
              <w:rPr>
                <w:color w:val="000000"/>
              </w:rPr>
              <w:t>Transmit, or otherwise disclose the information.</w:t>
            </w:r>
          </w:p>
        </w:tc>
      </w:tr>
    </w:tbl>
    <w:p w:rsidR="000D69F1" w:rsidRPr="00BB3410" w:rsidP="00854AAE" w14:paraId="60FA4E04" w14:textId="77777777">
      <w:pPr>
        <w:spacing w:before="60"/>
        <w:rPr>
          <w:rFonts w:cstheme="minorHAnsi"/>
        </w:rPr>
      </w:pPr>
    </w:p>
    <w:p w:rsidR="000D69F1" w:rsidRPr="00163C69" w:rsidP="00854AAE" w14:paraId="7D8FCE02" w14:textId="77777777">
      <w:pPr>
        <w:spacing w:before="120" w:after="0"/>
        <w:rPr>
          <w:rFonts w:cstheme="minorHAnsi"/>
          <w:b/>
          <w:bCs/>
        </w:rPr>
      </w:pPr>
      <w:r w:rsidRPr="00163C69">
        <w:rPr>
          <w:rFonts w:cstheme="minorHAnsi"/>
          <w:b/>
          <w:bCs/>
        </w:rPr>
        <w:t>12d. Respondent Burden Hours and Labor Costs</w:t>
      </w:r>
    </w:p>
    <w:p w:rsidR="000D69F1" w:rsidRPr="00B6361B" w:rsidP="00B6361B" w14:paraId="10DF2BC6" w14:textId="77777777">
      <w:pPr>
        <w:spacing w:before="60"/>
        <w:rPr>
          <w:rFonts w:cstheme="minorHAnsi"/>
          <w:color w:val="000000"/>
        </w:rPr>
      </w:pPr>
      <w:r w:rsidRPr="00B6361B">
        <w:rPr>
          <w:rFonts w:cstheme="minorHAnsi"/>
          <w:color w:val="000000"/>
        </w:rPr>
        <w:t>Table 1 documents the computation of individual burdens for the recordkeeping and reporting requirements applicable to the industry for the subpart included in this ICR. The individual burdens are expressed under standardized headings believed to be consistent with the concept of burden under the Paperwork Reduction Act. Where appropriate, specific tasks and major assumptions have been identified. Responses to this information collection are mandatory.</w:t>
      </w:r>
    </w:p>
    <w:p w:rsidR="000D69F1" w:rsidRPr="00B6361B" w:rsidP="00B6361B" w14:paraId="5C9F06F2" w14:textId="3B6AFA03">
      <w:pPr>
        <w:spacing w:before="60"/>
        <w:rPr>
          <w:rFonts w:cstheme="minorHAnsi"/>
          <w:color w:val="000000"/>
        </w:rPr>
      </w:pPr>
      <w:r w:rsidRPr="00B6361B">
        <w:rPr>
          <w:rFonts w:cstheme="minorHAnsi"/>
          <w:color w:val="000000"/>
        </w:rPr>
        <w:t xml:space="preserve">The average annual burden to industry over the next three years from these recordkeeping and reporting requirements is estimated to be </w:t>
      </w:r>
      <w:r w:rsidRPr="00FB5BD9" w:rsidR="00FB5BD9">
        <w:rPr>
          <w:rFonts w:cstheme="minorHAnsi"/>
        </w:rPr>
        <w:t>972</w:t>
      </w:r>
      <w:r>
        <w:rPr>
          <w:rFonts w:cstheme="minorHAnsi"/>
          <w:color w:val="000000"/>
        </w:rPr>
        <w:t xml:space="preserve"> </w:t>
      </w:r>
      <w:r w:rsidRPr="00B6361B">
        <w:rPr>
          <w:rFonts w:cstheme="minorHAnsi"/>
          <w:color w:val="000000"/>
        </w:rPr>
        <w:t>hours (Total Labor Hours from Table 1). These hours are based on Agency studies and background documents from the development of the regulation, Agency knowledge and experience with the NESHAP program, the previously approved ICR, and any comments received.</w:t>
      </w:r>
    </w:p>
    <w:p w:rsidR="000D69F1" w:rsidRPr="00B6361B" w:rsidP="00B6361B" w14:paraId="5BDA5EB5" w14:textId="77777777">
      <w:pPr>
        <w:spacing w:before="60"/>
        <w:rPr>
          <w:rFonts w:cstheme="minorHAnsi"/>
          <w:color w:val="000000"/>
        </w:rPr>
      </w:pPr>
      <w:r w:rsidRPr="00B6361B">
        <w:rPr>
          <w:rFonts w:cstheme="minorHAnsi"/>
          <w:color w:val="000000"/>
        </w:rPr>
        <w:t>This ICR uses the following labor rates:</w:t>
      </w:r>
    </w:p>
    <w:p w:rsidR="000D69F1" w:rsidRPr="00B6361B" w:rsidP="00C4086C" w14:paraId="63703C10" w14:textId="3FFF4FE6">
      <w:pPr>
        <w:spacing w:before="60"/>
        <w:ind w:firstLine="720"/>
        <w:rPr>
          <w:rFonts w:cstheme="minorHAnsi"/>
          <w:color w:val="000000"/>
        </w:rPr>
      </w:pPr>
      <w:r w:rsidRPr="00B6361B">
        <w:rPr>
          <w:rFonts w:cstheme="minorHAnsi"/>
          <w:color w:val="000000"/>
        </w:rPr>
        <w:t>Managerial</w:t>
      </w:r>
      <w:r w:rsidRPr="00B6361B">
        <w:rPr>
          <w:rFonts w:cstheme="minorHAnsi"/>
          <w:color w:val="000000"/>
        </w:rPr>
        <w:tab/>
        <w:t>$</w:t>
      </w:r>
      <w:r w:rsidRPr="00F67B5E">
        <w:rPr>
          <w:rFonts w:cstheme="minorHAnsi"/>
          <w:color w:val="000000"/>
        </w:rPr>
        <w:t xml:space="preserve">172.41 </w:t>
      </w:r>
      <w:r w:rsidRPr="00B6361B">
        <w:rPr>
          <w:rFonts w:cstheme="minorHAnsi"/>
          <w:color w:val="000000"/>
        </w:rPr>
        <w:t>(</w:t>
      </w:r>
      <w:r w:rsidRPr="00FF4B69">
        <w:rPr>
          <w:rFonts w:cstheme="minorHAnsi"/>
          <w:color w:val="000000"/>
        </w:rPr>
        <w:t>$82.10</w:t>
      </w:r>
      <w:r>
        <w:rPr>
          <w:rFonts w:cstheme="minorHAnsi"/>
          <w:color w:val="000000"/>
        </w:rPr>
        <w:t xml:space="preserve"> </w:t>
      </w:r>
      <w:r w:rsidRPr="00B6361B">
        <w:rPr>
          <w:rFonts w:cstheme="minorHAnsi"/>
          <w:color w:val="000000"/>
        </w:rPr>
        <w:t>+ 110%)</w:t>
      </w:r>
      <w:r w:rsidR="00BB045A">
        <w:rPr>
          <w:rFonts w:cstheme="minorHAnsi"/>
          <w:color w:val="000000"/>
        </w:rPr>
        <w:t xml:space="preserve"> </w:t>
      </w:r>
    </w:p>
    <w:p w:rsidR="000D69F1" w:rsidRPr="00B6361B" w:rsidP="00C4086C" w14:paraId="63BD2ABF" w14:textId="77777777">
      <w:pPr>
        <w:spacing w:before="60"/>
        <w:ind w:firstLine="720"/>
        <w:rPr>
          <w:rFonts w:cstheme="minorHAnsi"/>
          <w:color w:val="000000"/>
        </w:rPr>
      </w:pPr>
      <w:r w:rsidRPr="00B6361B">
        <w:rPr>
          <w:rFonts w:cstheme="minorHAnsi"/>
          <w:color w:val="000000"/>
        </w:rPr>
        <w:t>Technical</w:t>
      </w:r>
      <w:r w:rsidRPr="00B6361B">
        <w:rPr>
          <w:rFonts w:cstheme="minorHAnsi"/>
          <w:color w:val="000000"/>
        </w:rPr>
        <w:tab/>
        <w:t>$</w:t>
      </w:r>
      <w:r w:rsidRPr="00583AAC">
        <w:rPr>
          <w:rFonts w:cstheme="minorHAnsi"/>
          <w:color w:val="000000"/>
        </w:rPr>
        <w:t>141.75 ($67.50 + 110%)</w:t>
      </w:r>
    </w:p>
    <w:p w:rsidR="000D69F1" w:rsidRPr="00B6361B" w:rsidP="00C4086C" w14:paraId="6B1DC1AB" w14:textId="77777777">
      <w:pPr>
        <w:spacing w:before="60"/>
        <w:ind w:firstLine="720"/>
        <w:rPr>
          <w:rFonts w:cstheme="minorHAnsi"/>
          <w:color w:val="000000"/>
        </w:rPr>
      </w:pPr>
      <w:r w:rsidRPr="00B6361B">
        <w:rPr>
          <w:rFonts w:cstheme="minorHAnsi"/>
          <w:color w:val="000000"/>
        </w:rPr>
        <w:t>Clerical</w:t>
      </w:r>
      <w:r w:rsidRPr="00B6361B">
        <w:rPr>
          <w:rFonts w:cstheme="minorHAnsi"/>
          <w:color w:val="000000"/>
        </w:rPr>
        <w:tab/>
      </w:r>
      <w:r>
        <w:rPr>
          <w:rFonts w:cstheme="minorHAnsi"/>
          <w:color w:val="000000"/>
        </w:rPr>
        <w:tab/>
      </w:r>
      <w:r w:rsidRPr="00B6361B">
        <w:rPr>
          <w:rFonts w:cstheme="minorHAnsi"/>
          <w:color w:val="000000"/>
        </w:rPr>
        <w:t>$</w:t>
      </w:r>
      <w:r w:rsidRPr="003F1F7D">
        <w:rPr>
          <w:rFonts w:cstheme="minorHAnsi"/>
          <w:color w:val="000000"/>
        </w:rPr>
        <w:t>71.36 ($33.98 + 110%</w:t>
      </w:r>
      <w:r>
        <w:rPr>
          <w:rFonts w:cstheme="minorHAnsi"/>
          <w:color w:val="000000"/>
        </w:rPr>
        <w:t>)</w:t>
      </w:r>
    </w:p>
    <w:p w:rsidR="000D69F1" w:rsidRPr="00B6361B" w:rsidP="00B6361B" w14:paraId="6F9BA69E" w14:textId="77777777">
      <w:pPr>
        <w:spacing w:before="60"/>
        <w:rPr>
          <w:rFonts w:cstheme="minorHAnsi"/>
          <w:color w:val="000000"/>
        </w:rPr>
      </w:pPr>
    </w:p>
    <w:p w:rsidR="000D69F1" w:rsidRPr="00B6361B" w:rsidP="00B6361B" w14:paraId="4153F203" w14:textId="77777777">
      <w:pPr>
        <w:spacing w:before="60"/>
        <w:rPr>
          <w:rFonts w:cstheme="minorHAnsi"/>
          <w:color w:val="000000"/>
        </w:rPr>
      </w:pPr>
      <w:r w:rsidRPr="006A0C6C">
        <w:rPr>
          <w:rFonts w:cstheme="minorHAnsi"/>
          <w:color w:val="000000"/>
        </w:rPr>
        <w:t>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w:t>
      </w:r>
    </w:p>
    <w:p w:rsidR="000D69F1" w:rsidRPr="00BB3410" w:rsidP="00B6361B" w14:paraId="4C78253F" w14:textId="77777777">
      <w:pPr>
        <w:spacing w:before="60"/>
        <w:rPr>
          <w:rFonts w:cstheme="minorHAnsi"/>
        </w:rPr>
      </w:pPr>
      <w:r w:rsidRPr="00B6361B">
        <w:rPr>
          <w:rFonts w:cstheme="minorHAnsi"/>
          <w:color w:val="000000"/>
        </w:rPr>
        <w:t>We assume that burdens for managerial tasks take 5% of the time required for technical 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0D69F1" w:rsidRPr="00163C69" w:rsidP="00854AAE" w14:paraId="3839B8A8" w14:textId="77777777">
      <w:pPr>
        <w:pStyle w:val="ListParagraph"/>
        <w:numPr>
          <w:ilvl w:val="0"/>
          <w:numId w:val="25"/>
        </w:numPr>
        <w:spacing w:before="240" w:after="0"/>
        <w:rPr>
          <w:rFonts w:cstheme="minorHAnsi"/>
          <w:b/>
          <w:bCs/>
          <w:caps/>
        </w:rPr>
      </w:pPr>
      <w:r w:rsidRPr="4BDBF0A0">
        <w:rPr>
          <w:b/>
          <w:bCs/>
          <w:caps/>
        </w:rPr>
        <w:t xml:space="preserve">Respondent CAPITAL AND O&amp;m CostS </w:t>
      </w:r>
    </w:p>
    <w:p w:rsidR="000D69F1" w:rsidRPr="00F92596" w:rsidP="00F92596" w14:paraId="196DC58C" w14:textId="77777777">
      <w:pPr>
        <w:spacing w:after="0" w:line="240" w:lineRule="auto"/>
        <w:rPr>
          <w:rFonts w:cstheme="minorHAnsi"/>
          <w:i/>
          <w:iCs/>
        </w:rPr>
      </w:pPr>
      <w:r w:rsidRPr="00F92596">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0D69F1" w:rsidRPr="00F92596" w:rsidP="00163C69" w14:paraId="23404E66" w14:textId="77777777">
      <w:pPr>
        <w:spacing w:before="120" w:after="0" w:line="240" w:lineRule="auto"/>
        <w:rPr>
          <w:rFonts w:cstheme="minorHAnsi"/>
          <w:i/>
          <w:iCs/>
        </w:rPr>
      </w:pPr>
      <w:r w:rsidRPr="00F92596">
        <w:rPr>
          <w:rFonts w:cstheme="minorHAnsi"/>
          <w:i/>
          <w:iCs/>
        </w:rPr>
        <w:t>The cost estimate should be split into two components: (a) a total capital and start-up cost</w:t>
      </w:r>
    </w:p>
    <w:p w:rsidR="000D69F1" w:rsidRPr="00F92596" w:rsidP="00F92596" w14:paraId="750C5DEB" w14:textId="77777777">
      <w:pPr>
        <w:spacing w:after="0" w:line="240" w:lineRule="auto"/>
        <w:rPr>
          <w:rFonts w:cstheme="minorHAnsi"/>
          <w:i/>
          <w:iCs/>
        </w:rPr>
      </w:pPr>
      <w:r w:rsidRPr="00F92596">
        <w:rPr>
          <w:rFonts w:cstheme="minorHAnsi"/>
          <w:i/>
          <w:iCs/>
        </w:rPr>
        <w:t>component (annualized over its expected useful life) and (b) 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0D69F1" w:rsidRPr="00F92596" w:rsidP="00163C69" w14:paraId="767BE96B" w14:textId="77777777">
      <w:pPr>
        <w:spacing w:line="240" w:lineRule="auto"/>
        <w:rPr>
          <w:rFonts w:cstheme="minorHAnsi"/>
          <w:i/>
          <w:iCs/>
        </w:rPr>
      </w:pPr>
      <w:r w:rsidRPr="00F92596">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0D69F1" w:rsidRPr="00F92596" w:rsidP="00163C69" w14:paraId="0AB6A130" w14:textId="77777777">
      <w:pPr>
        <w:pBdr>
          <w:bottom w:val="single" w:sz="4" w:space="1" w:color="auto"/>
        </w:pBdr>
        <w:spacing w:line="240" w:lineRule="auto"/>
        <w:rPr>
          <w:rFonts w:cstheme="minorHAnsi"/>
          <w:i/>
          <w:iCs/>
        </w:rPr>
      </w:pPr>
      <w:r w:rsidRPr="00F92596">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0D69F1" w:rsidRPr="00342882" w:rsidP="00342882" w14:paraId="586700FC" w14:textId="62496851">
      <w:pPr>
        <w:pBdr>
          <w:top w:val="single" w:sz="6" w:space="0" w:color="FFFFFF"/>
          <w:left w:val="single" w:sz="6" w:space="0" w:color="FFFFFF"/>
          <w:bottom w:val="single" w:sz="6" w:space="0" w:color="FFFFFF"/>
          <w:right w:val="single" w:sz="6" w:space="0" w:color="FFFFFF"/>
        </w:pBdr>
        <w:rPr>
          <w:rFonts w:cstheme="minorHAnsi"/>
          <w:color w:val="000000"/>
        </w:rPr>
      </w:pPr>
      <w:r w:rsidRPr="00342882">
        <w:rPr>
          <w:rFonts w:cstheme="minorHAnsi"/>
          <w:color w:val="000000"/>
        </w:rPr>
        <w:t>The type of industry costs associated with the information collection activities in the subject standard(s) are both labor costs which are addressed elsewhere in this ICR and the costs associated with continuous monitoring. The capital/startup costs are one-time costs when a facility becomes subject to this regulation. The annual operation and maintenance costs are the ongoing costs to maintain the monitor(s) and other costs such as photocopying and postage.</w:t>
      </w:r>
    </w:p>
    <w:p w:rsidR="000D69F1" w:rsidRPr="008A3D1E" w:rsidP="00342882" w14:paraId="029DADF3" w14:textId="66163C9E">
      <w:pPr>
        <w:pBdr>
          <w:top w:val="single" w:sz="6" w:space="0" w:color="FFFFFF"/>
          <w:left w:val="single" w:sz="6" w:space="0" w:color="FFFFFF"/>
          <w:bottom w:val="single" w:sz="6" w:space="0" w:color="FFFFFF"/>
          <w:right w:val="single" w:sz="6" w:space="0" w:color="FFFFFF"/>
        </w:pBdr>
        <w:rPr>
          <w:rFonts w:cstheme="minorHAnsi"/>
        </w:rPr>
      </w:pPr>
      <w:r w:rsidRPr="00342882">
        <w:rPr>
          <w:rFonts w:cstheme="minorHAnsi"/>
          <w:color w:val="000000"/>
        </w:rPr>
        <w:t xml:space="preserve">The total capital/startup </w:t>
      </w:r>
      <w:r w:rsidRPr="008A3D1E">
        <w:rPr>
          <w:rFonts w:cstheme="minorHAnsi"/>
        </w:rPr>
        <w:t>costs for this ICR are $</w:t>
      </w:r>
      <w:r w:rsidRPr="008A3D1E" w:rsidR="008A3D1E">
        <w:rPr>
          <w:rFonts w:cstheme="minorHAnsi"/>
        </w:rPr>
        <w:t>0</w:t>
      </w:r>
      <w:r w:rsidRPr="008A3D1E">
        <w:rPr>
          <w:rFonts w:cstheme="minorHAnsi"/>
        </w:rPr>
        <w:t xml:space="preserve">. This is the total of column D shown below in the table Capital/Startup vs. Operation and Maintenance (O&amp;M) Costs. </w:t>
      </w:r>
    </w:p>
    <w:p w:rsidR="000D69F1" w:rsidRPr="008A3D1E" w:rsidP="00342882" w14:paraId="7626F40D" w14:textId="0CA8A51C">
      <w:pPr>
        <w:pBdr>
          <w:top w:val="single" w:sz="6" w:space="0" w:color="FFFFFF"/>
          <w:left w:val="single" w:sz="6" w:space="0" w:color="FFFFFF"/>
          <w:bottom w:val="single" w:sz="6" w:space="0" w:color="FFFFFF"/>
          <w:right w:val="single" w:sz="6" w:space="0" w:color="FFFFFF"/>
        </w:pBdr>
        <w:rPr>
          <w:rFonts w:cstheme="minorHAnsi"/>
        </w:rPr>
      </w:pPr>
      <w:r w:rsidRPr="008A3D1E">
        <w:rPr>
          <w:rFonts w:cstheme="minorHAnsi"/>
        </w:rPr>
        <w:t>The total operation and maintenance (O&amp;M) costs for this ICR are $</w:t>
      </w:r>
      <w:r w:rsidRPr="008A3D1E" w:rsidR="008A3D1E">
        <w:rPr>
          <w:rFonts w:cstheme="minorHAnsi"/>
        </w:rPr>
        <w:t>1,820</w:t>
      </w:r>
      <w:r w:rsidRPr="008A3D1E">
        <w:rPr>
          <w:rFonts w:cstheme="minorHAnsi"/>
        </w:rPr>
        <w:t>. This is the total of column G shown below in the table Capital/Startup vs. Operation and Maintenance (O&amp;M) Costs.</w:t>
      </w:r>
    </w:p>
    <w:p w:rsidR="000D69F1" w:rsidRPr="00BB3410" w:rsidP="00854AAE" w14:paraId="3BB0FA6C" w14:textId="77777777">
      <w:pPr>
        <w:pBdr>
          <w:top w:val="single" w:sz="6" w:space="0" w:color="FFFFFF"/>
          <w:left w:val="single" w:sz="6" w:space="0" w:color="FFFFFF"/>
          <w:bottom w:val="single" w:sz="6" w:space="0" w:color="FFFFFF"/>
          <w:right w:val="single" w:sz="6" w:space="0" w:color="FFFFFF"/>
        </w:pBdr>
        <w:rPr>
          <w:rFonts w:cstheme="minorHAnsi"/>
          <w:color w:val="000000"/>
        </w:rPr>
      </w:pPr>
    </w:p>
    <w:p w:rsidR="000D69F1" w:rsidRPr="00163C69" w:rsidP="00854AAE" w14:paraId="0F83E63E" w14:textId="77777777">
      <w:pPr>
        <w:pStyle w:val="ListParagraph"/>
        <w:numPr>
          <w:ilvl w:val="0"/>
          <w:numId w:val="25"/>
        </w:numPr>
        <w:pBdr>
          <w:bottom w:val="single" w:sz="4" w:space="1" w:color="auto"/>
        </w:pBdr>
        <w:spacing w:before="240" w:after="0"/>
        <w:rPr>
          <w:rFonts w:cstheme="minorHAnsi"/>
          <w:b/>
          <w:bCs/>
        </w:rPr>
      </w:pPr>
      <w:r w:rsidRPr="4BDBF0A0">
        <w:rPr>
          <w:b/>
          <w:bCs/>
        </w:rPr>
        <w:t>AGENCY COSTS</w:t>
      </w:r>
    </w:p>
    <w:p w:rsidR="000D69F1" w:rsidRPr="001F0834" w:rsidP="00854AAE" w14:paraId="5224864E" w14:textId="77777777">
      <w:pPr>
        <w:pBdr>
          <w:bottom w:val="single" w:sz="4" w:space="1" w:color="auto"/>
        </w:pBdr>
        <w:rPr>
          <w:rFonts w:cstheme="minorHAnsi"/>
          <w:bCs/>
          <w:i/>
          <w:iCs/>
        </w:rPr>
      </w:pPr>
      <w:r w:rsidRPr="001F0834">
        <w:rPr>
          <w:rFonts w:cstheme="minorHAnsi"/>
          <w:bCs/>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0D69F1" w:rsidRPr="00163C69" w:rsidP="00854AAE" w14:paraId="5E413780" w14:textId="77777777">
      <w:pPr>
        <w:spacing w:before="120" w:after="0"/>
        <w:rPr>
          <w:rFonts w:cstheme="minorHAnsi"/>
          <w:b/>
          <w:bCs/>
        </w:rPr>
      </w:pPr>
      <w:r w:rsidRPr="00163C69">
        <w:rPr>
          <w:rFonts w:eastAsiaTheme="majorEastAsia" w:cstheme="minorHAnsi"/>
          <w:b/>
          <w:bCs/>
        </w:rPr>
        <w:t>14a. Agency Activities</w:t>
      </w:r>
    </w:p>
    <w:p w:rsidR="000D69F1" w:rsidRPr="00962BB9" w:rsidP="00962BB9" w14:paraId="06FB0930" w14:textId="77777777">
      <w:pPr>
        <w:spacing w:before="120" w:after="0"/>
        <w:rPr>
          <w:rFonts w:cstheme="minorHAnsi"/>
        </w:rPr>
      </w:pPr>
      <w:r w:rsidRPr="00962BB9">
        <w:rPr>
          <w:rFonts w:cstheme="minorHAnsi"/>
        </w:rPr>
        <w:t>The EPA conducts the following activities in connection with the acquisition, analysis, storage, and distribution of the required information:</w:t>
      </w:r>
    </w:p>
    <w:p w:rsidR="000D69F1" w:rsidRPr="00962BB9" w:rsidP="000C04C0" w14:paraId="679C2830" w14:textId="77777777">
      <w:pPr>
        <w:spacing w:before="120" w:after="0"/>
        <w:ind w:left="1440" w:hanging="720"/>
        <w:rPr>
          <w:rFonts w:cstheme="minorHAnsi"/>
        </w:rPr>
      </w:pPr>
      <w:r w:rsidRPr="00962BB9">
        <w:rPr>
          <w:rFonts w:cstheme="minorHAnsi"/>
        </w:rPr>
        <w:t>•</w:t>
      </w:r>
      <w:r w:rsidRPr="00962BB9">
        <w:rPr>
          <w:rFonts w:cstheme="minorHAnsi"/>
        </w:rPr>
        <w:tab/>
        <w:t>Review notifications and reports, including performance test reports, and excess emissions reports, required to be submitted by industry.</w:t>
      </w:r>
    </w:p>
    <w:p w:rsidR="000D69F1" w:rsidRPr="00962BB9" w:rsidP="000C04C0" w14:paraId="6CBEAAA7" w14:textId="77777777">
      <w:pPr>
        <w:spacing w:before="120" w:after="0"/>
        <w:ind w:left="1440" w:hanging="720"/>
        <w:rPr>
          <w:rFonts w:cstheme="minorHAnsi"/>
        </w:rPr>
      </w:pPr>
      <w:r w:rsidRPr="00962BB9">
        <w:rPr>
          <w:rFonts w:cstheme="minorHAnsi"/>
        </w:rPr>
        <w:t>•</w:t>
      </w:r>
      <w:r w:rsidRPr="00962BB9">
        <w:rPr>
          <w:rFonts w:cstheme="minorHAnsi"/>
        </w:rPr>
        <w:tab/>
        <w:t>Audit facility records.</w:t>
      </w:r>
    </w:p>
    <w:p w:rsidR="000D69F1" w:rsidRPr="00962BB9" w:rsidP="000C04C0" w14:paraId="69A5B41D" w14:textId="77777777">
      <w:pPr>
        <w:spacing w:before="120" w:after="0"/>
        <w:ind w:left="1440" w:hanging="720"/>
        <w:rPr>
          <w:rFonts w:cstheme="minorHAnsi"/>
        </w:rPr>
      </w:pPr>
      <w:r w:rsidRPr="00962BB9">
        <w:rPr>
          <w:rFonts w:cstheme="minorHAnsi"/>
        </w:rPr>
        <w:t>•</w:t>
      </w:r>
      <w:r w:rsidRPr="00962BB9">
        <w:rPr>
          <w:rFonts w:cstheme="minorHAnsi"/>
        </w:rPr>
        <w:tab/>
        <w:t>Input, analyze, and maintain data in the Enforcement and Compliance History Online (ECHO) and ICIS.</w:t>
      </w:r>
    </w:p>
    <w:p w:rsidR="000D69F1" w:rsidRPr="00962BB9" w:rsidP="00962BB9" w14:paraId="14FBA8A9" w14:textId="77777777">
      <w:pPr>
        <w:spacing w:before="120" w:after="0"/>
        <w:rPr>
          <w:rFonts w:cstheme="minorHAnsi"/>
        </w:rPr>
      </w:pPr>
      <w:r w:rsidRPr="00962BB9">
        <w:rPr>
          <w:rFonts w:cstheme="minorHAnsi"/>
        </w:rPr>
        <w:t>Following notification of startup, the reviewing authority could inspect the source to determine whether the pollution control devices are properly installed and operated. Performance test reports are used by the Agency to discern a source’s initial capability to comply with the emission standard, and note the operating conditions under which compliance was achieved. Data and records maintained by the respondents are tabulated and published for use in compliance and enforcement programs. The semiannual reports are used for problem identification, as a check on source operation and maintenance, and for compliance determinations.</w:t>
      </w:r>
    </w:p>
    <w:p w:rsidR="000D69F1" w:rsidRPr="00962BB9" w:rsidP="00962BB9" w14:paraId="158212FF" w14:textId="77777777">
      <w:pPr>
        <w:spacing w:before="120" w:after="0"/>
        <w:rPr>
          <w:rFonts w:cstheme="minorHAnsi"/>
        </w:rPr>
      </w:pPr>
      <w:r w:rsidRPr="00962BB9">
        <w:rPr>
          <w:rFonts w:cstheme="minorHAnsi"/>
        </w:rPr>
        <w:t>Information contained in the reports is reported by state and local governments in the ICIS Air database, which is operated and maintained by EPA's Office of Compliance. EPA uses ICIS for tracking air pollution compliance and enforcement by local and state regulatory agencies, EPA regional offices and EPA headquarters. EPA and its delegated Authorities can edit, store, retrieve and analyze the data.</w:t>
      </w:r>
    </w:p>
    <w:p w:rsidR="000D69F1" w:rsidRPr="00163C69" w:rsidP="00854AAE" w14:paraId="3A1F6B92" w14:textId="77777777">
      <w:pPr>
        <w:spacing w:before="120" w:after="0"/>
        <w:rPr>
          <w:rFonts w:cstheme="minorHAnsi"/>
          <w:b/>
          <w:bCs/>
        </w:rPr>
      </w:pPr>
      <w:r w:rsidRPr="00163C69">
        <w:rPr>
          <w:rFonts w:eastAsiaTheme="majorEastAsia" w:cstheme="minorHAnsi"/>
          <w:b/>
          <w:bCs/>
        </w:rPr>
        <w:t>14b. Agency Labor Cost</w:t>
      </w:r>
    </w:p>
    <w:p w:rsidR="000D69F1" w:rsidRPr="00314125" w:rsidP="000069AF" w14:paraId="626E9CF3" w14:textId="11493AB8">
      <w:pPr>
        <w:pBdr>
          <w:top w:val="single" w:sz="6" w:space="0" w:color="FFFFFF"/>
          <w:left w:val="single" w:sz="6" w:space="0" w:color="FFFFFF"/>
          <w:bottom w:val="single" w:sz="6" w:space="0" w:color="FFFFFF"/>
          <w:right w:val="single" w:sz="6" w:space="0" w:color="FFFFFF"/>
        </w:pBdr>
        <w:spacing w:before="60"/>
        <w:rPr>
          <w:rFonts w:cstheme="minorHAnsi"/>
        </w:rPr>
      </w:pPr>
      <w:r w:rsidRPr="000069AF">
        <w:rPr>
          <w:rFonts w:cstheme="minorHAnsi"/>
          <w:color w:val="000000"/>
        </w:rPr>
        <w:t xml:space="preserve">The ‘burden’ to the Federal Government is attributed entirely to work performed by either Federal employees or government contractors. The only costs to the Agency are those costs associated with analysis of the reported information. The EPA's overall compliance and enforcement program includes such activities as the examination of records maintained by the respondents, periodic inspection of sources of emissions, and the publication and distribution of collected information. The average annual Agency burden and cost during the three years of the ICR is estimated to be </w:t>
      </w:r>
      <w:r w:rsidRPr="00116D4C" w:rsidR="00116D4C">
        <w:rPr>
          <w:rFonts w:cstheme="minorHAnsi"/>
        </w:rPr>
        <w:t>92</w:t>
      </w:r>
      <w:r w:rsidRPr="00116D4C">
        <w:rPr>
          <w:rFonts w:cstheme="minorHAnsi"/>
        </w:rPr>
        <w:t xml:space="preserve"> hours at a cost of $</w:t>
      </w:r>
      <w:r w:rsidRPr="00116D4C" w:rsidR="00116D4C">
        <w:rPr>
          <w:rFonts w:cstheme="minorHAnsi"/>
        </w:rPr>
        <w:t>5,120</w:t>
      </w:r>
      <w:r w:rsidRPr="00116D4C">
        <w:rPr>
          <w:rFonts w:cstheme="minorHAnsi"/>
        </w:rPr>
        <w:t xml:space="preserve">. See Table 2: Average Annual EPA Burden and Cost – </w:t>
      </w:r>
      <w:r w:rsidRPr="00116D4C">
        <w:rPr>
          <w:rFonts w:cstheme="minorHAnsi"/>
          <w:noProof/>
        </w:rPr>
        <w:t xml:space="preserve">NESHAP for Primary Magnesium Refining (40 CFR </w:t>
      </w:r>
      <w:r w:rsidRPr="00116D4C" w:rsidR="00080D11">
        <w:rPr>
          <w:rFonts w:cstheme="minorHAnsi"/>
          <w:noProof/>
        </w:rPr>
        <w:t>Part 63</w:t>
      </w:r>
      <w:r w:rsidRPr="00116D4C">
        <w:rPr>
          <w:rFonts w:cstheme="minorHAnsi"/>
          <w:noProof/>
        </w:rPr>
        <w:t>, Subpart TTTTT) (Renewal)</w:t>
      </w:r>
      <w:r w:rsidRPr="00116D4C">
        <w:rPr>
          <w:rFonts w:cstheme="minorHAnsi"/>
        </w:rPr>
        <w:t>.</w:t>
      </w:r>
    </w:p>
    <w:p w:rsidR="000D69F1" w:rsidRPr="000069AF" w:rsidP="000069AF" w14:paraId="4887F91C"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This cost is based on the average hourly labor rate as follows:</w:t>
      </w:r>
    </w:p>
    <w:p w:rsidR="000D69F1" w:rsidP="435E80BA" w14:paraId="236C710E" w14:textId="77777777">
      <w:pPr>
        <w:pBdr>
          <w:top w:val="single" w:sz="6" w:space="0" w:color="FFFFFF"/>
          <w:left w:val="single" w:sz="6" w:space="0" w:color="FFFFFF"/>
          <w:bottom w:val="single" w:sz="6" w:space="0" w:color="FFFFFF"/>
          <w:right w:val="single" w:sz="6" w:space="0" w:color="FFFFFF"/>
        </w:pBdr>
        <w:spacing w:before="60"/>
        <w:rPr>
          <w:color w:val="000000"/>
        </w:rPr>
      </w:pPr>
      <w:r w:rsidRPr="000069AF">
        <w:rPr>
          <w:rFonts w:cstheme="minorHAnsi"/>
          <w:color w:val="000000"/>
        </w:rPr>
        <w:tab/>
      </w:r>
      <w:r w:rsidRPr="000069AF">
        <w:rPr>
          <w:rFonts w:cstheme="minorHAnsi"/>
          <w:color w:val="000000"/>
        </w:rPr>
        <w:tab/>
      </w:r>
      <w:r w:rsidRPr="435E80BA">
        <w:rPr>
          <w:color w:val="000000"/>
        </w:rPr>
        <w:t>Managerial</w:t>
      </w:r>
      <w:r w:rsidRPr="000069AF">
        <w:rPr>
          <w:rFonts w:cstheme="minorHAnsi"/>
          <w:color w:val="000000"/>
        </w:rPr>
        <w:tab/>
      </w:r>
      <w:r w:rsidRPr="435E80BA">
        <w:rPr>
          <w:color w:val="000000"/>
        </w:rPr>
        <w:t>$76.91 (GS-13, Step 5, $48.07 + 60%)</w:t>
      </w:r>
    </w:p>
    <w:p w:rsidR="000D69F1" w:rsidP="000069AF" w14:paraId="1239DD50"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Technical</w:t>
      </w:r>
      <w:r w:rsidRPr="000069AF">
        <w:rPr>
          <w:rFonts w:cstheme="minorHAnsi"/>
          <w:color w:val="000000"/>
        </w:rPr>
        <w:tab/>
        <w:t>$</w:t>
      </w:r>
      <w:r w:rsidRPr="00BF6C47">
        <w:rPr>
          <w:rFonts w:cstheme="minorHAnsi"/>
          <w:color w:val="000000"/>
        </w:rPr>
        <w:t>57.07 (GS-12, Step 1, $35.67 + 60%)</w:t>
      </w:r>
    </w:p>
    <w:p w:rsidR="000D69F1" w:rsidRPr="000069AF" w:rsidP="000069AF" w14:paraId="50EBF484"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Clerical</w:t>
      </w:r>
      <w:r w:rsidRPr="000069AF">
        <w:rPr>
          <w:rFonts w:cstheme="minorHAnsi"/>
          <w:color w:val="000000"/>
        </w:rPr>
        <w:tab/>
      </w:r>
      <w:r w:rsidRPr="000069AF">
        <w:rPr>
          <w:rFonts w:cstheme="minorHAnsi"/>
          <w:color w:val="000000"/>
        </w:rPr>
        <w:tab/>
        <w:t>$</w:t>
      </w:r>
      <w:r w:rsidRPr="00E30153">
        <w:rPr>
          <w:rFonts w:cstheme="minorHAnsi"/>
          <w:color w:val="000000"/>
        </w:rPr>
        <w:t>30.88 (GS-6, Step 3, $19.30+ 60%)</w:t>
      </w:r>
    </w:p>
    <w:p w:rsidR="000D69F1" w:rsidRPr="000069AF" w:rsidP="000069AF" w14:paraId="07105D7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0D69F1" w:rsidRPr="000069AF" w:rsidP="000069AF" w14:paraId="19DEA58E" w14:textId="45D2B9E3">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E30153">
        <w:rPr>
          <w:rFonts w:cstheme="minorHAnsi"/>
          <w:color w:val="000000"/>
        </w:rPr>
        <w:t xml:space="preserve">These rates are from the Office of Personnel Management (OPM), 2024 General Schedule, which excludes locality, rates of pay. The rates have been increased by 60 percent to account for the benefit packages available to government </w:t>
      </w:r>
      <w:r w:rsidRPr="00381333">
        <w:rPr>
          <w:rFonts w:cstheme="minorHAnsi"/>
          <w:color w:val="000000"/>
        </w:rPr>
        <w:t>employees. Details upon which this estimate is based appear at the end of this document in Table 2: Average Annual EPA Burden and Cost –</w:t>
      </w:r>
      <w:r w:rsidRPr="00381333">
        <w:rPr>
          <w:rFonts w:cstheme="minorHAnsi"/>
          <w:noProof/>
          <w:color w:val="000000"/>
        </w:rPr>
        <w:t xml:space="preserve">NESHAP for Primary Magnesium Refining (40 CFR </w:t>
      </w:r>
      <w:r w:rsidRPr="00381333" w:rsidR="00080D11">
        <w:rPr>
          <w:rFonts w:cstheme="minorHAnsi"/>
          <w:noProof/>
          <w:color w:val="000000"/>
        </w:rPr>
        <w:t>Part 63</w:t>
      </w:r>
      <w:r w:rsidRPr="00381333">
        <w:rPr>
          <w:rFonts w:cstheme="minorHAnsi"/>
          <w:noProof/>
          <w:color w:val="000000"/>
        </w:rPr>
        <w:t>, Subpart TTTTT) (Renewal)</w:t>
      </w:r>
      <w:r w:rsidRPr="00381333">
        <w:rPr>
          <w:rFonts w:cstheme="minorHAnsi"/>
          <w:color w:val="000000"/>
        </w:rPr>
        <w:t>.</w:t>
      </w:r>
    </w:p>
    <w:p w:rsidR="000D69F1" w:rsidRPr="00163C69" w:rsidP="00854AAE" w14:paraId="0D81EDB7" w14:textId="77777777">
      <w:pPr>
        <w:spacing w:before="120" w:after="0"/>
        <w:rPr>
          <w:rFonts w:cstheme="minorHAnsi"/>
          <w:b/>
          <w:bCs/>
        </w:rPr>
      </w:pPr>
      <w:r w:rsidRPr="00163C69">
        <w:rPr>
          <w:rFonts w:eastAsiaTheme="majorEastAsia" w:cstheme="minorHAnsi"/>
          <w:b/>
          <w:bCs/>
        </w:rPr>
        <w:t>14c. Agency Non-Labor Costs</w:t>
      </w:r>
    </w:p>
    <w:p w:rsidR="000D69F1" w:rsidRPr="00BB3410" w:rsidP="00854AAE" w14:paraId="4C8930A4" w14:textId="77777777">
      <w:pPr>
        <w:spacing w:before="60"/>
        <w:rPr>
          <w:rFonts w:cstheme="minorHAnsi"/>
        </w:rPr>
      </w:pPr>
      <w:r w:rsidRPr="00731652">
        <w:rPr>
          <w:rFonts w:cstheme="minorHAnsi"/>
        </w:rPr>
        <w:t>There are no non-labor costs to the Agency associated with this information collection.</w:t>
      </w:r>
    </w:p>
    <w:p w:rsidR="000D69F1" w:rsidRPr="00163C69" w:rsidP="4BDBF0A0" w14:paraId="461BCF08" w14:textId="77777777">
      <w:pPr>
        <w:pStyle w:val="ListParagraph"/>
        <w:numPr>
          <w:ilvl w:val="0"/>
          <w:numId w:val="27"/>
        </w:numPr>
        <w:spacing w:before="240" w:after="0"/>
        <w:rPr>
          <w:b/>
          <w:bCs/>
        </w:rPr>
      </w:pPr>
      <w:r w:rsidRPr="4BDBF0A0">
        <w:rPr>
          <w:b/>
          <w:bCs/>
        </w:rPr>
        <w:t>REASONS FOR CHANGE IN BURDEN</w:t>
      </w:r>
    </w:p>
    <w:p w:rsidR="000D69F1" w:rsidRPr="001F0834" w:rsidP="00854AAE" w14:paraId="33E23C60" w14:textId="77777777">
      <w:pPr>
        <w:pBdr>
          <w:bottom w:val="single" w:sz="12" w:space="1" w:color="auto"/>
        </w:pBdr>
        <w:spacing w:before="60"/>
        <w:rPr>
          <w:rFonts w:cstheme="minorHAnsi"/>
          <w:bCs/>
          <w:i/>
          <w:iCs/>
        </w:rPr>
      </w:pPr>
      <w:r w:rsidRPr="001F0834">
        <w:rPr>
          <w:rFonts w:cstheme="minorHAnsi"/>
          <w:bCs/>
          <w:i/>
          <w:iCs/>
        </w:rPr>
        <w:t>Explain the reasons for any program changes or adjustments reported in the burden or capital/O&amp;M cost estimates.</w:t>
      </w:r>
    </w:p>
    <w:p w:rsidR="0023289F" w:rsidRPr="00E64889" w:rsidP="0023289F" w14:paraId="0E317F02" w14:textId="77777777">
      <w:pPr>
        <w:rPr>
          <w:color w:val="000000" w:themeColor="text1"/>
        </w:rPr>
      </w:pPr>
      <w:r w:rsidRPr="00E64889">
        <w:rPr>
          <w:color w:val="000000" w:themeColor="text1"/>
        </w:rPr>
        <w:t>There is no change in burden from the most recently approved ICR as currently identified in the OMB Inventory of Approved Burdens. This is due to two considerations. First, the regulations have not changed over the past three years and are not anticipated to change over the next three years. Second, the growth rate for this industry is very low or non-existent</w:t>
      </w:r>
      <w:r>
        <w:rPr>
          <w:color w:val="000000" w:themeColor="text1"/>
        </w:rPr>
        <w:t>.</w:t>
      </w:r>
      <w:r w:rsidRPr="00E64889">
        <w:rPr>
          <w:color w:val="000000" w:themeColor="text1"/>
        </w:rPr>
        <w:t xml:space="preserve"> </w:t>
      </w:r>
      <w:r>
        <w:rPr>
          <w:color w:val="000000" w:themeColor="text1"/>
        </w:rPr>
        <w:t>O</w:t>
      </w:r>
      <w:r w:rsidRPr="00E64889">
        <w:rPr>
          <w:color w:val="000000" w:themeColor="text1"/>
        </w:rPr>
        <w:t xml:space="preserve">peration and maintenance (O&amp;M) </w:t>
      </w:r>
      <w:r>
        <w:rPr>
          <w:color w:val="000000" w:themeColor="text1"/>
        </w:rPr>
        <w:t xml:space="preserve">and labor costs have been adjusted upwards based on inflation. </w:t>
      </w:r>
    </w:p>
    <w:p w:rsidR="000D69F1" w:rsidRPr="00163C69" w:rsidP="4BDBF0A0" w14:paraId="3FCB9B8D" w14:textId="77777777">
      <w:pPr>
        <w:pStyle w:val="ListParagraph"/>
        <w:numPr>
          <w:ilvl w:val="0"/>
          <w:numId w:val="27"/>
        </w:numPr>
        <w:spacing w:before="240" w:after="0"/>
        <w:rPr>
          <w:b/>
          <w:bCs/>
        </w:rPr>
      </w:pPr>
      <w:r w:rsidRPr="4BDBF0A0">
        <w:rPr>
          <w:b/>
          <w:bCs/>
        </w:rPr>
        <w:t xml:space="preserve">PUBLICATION OF </w:t>
      </w:r>
      <w:r>
        <w:rPr>
          <w:b/>
          <w:bCs/>
        </w:rPr>
        <w:t>DATA</w:t>
      </w:r>
    </w:p>
    <w:p w:rsidR="000D69F1" w:rsidRPr="001F0834" w:rsidP="00854AAE" w14:paraId="011B3FE0" w14:textId="77777777">
      <w:pPr>
        <w:pBdr>
          <w:bottom w:val="single" w:sz="12" w:space="1" w:color="auto"/>
        </w:pBdr>
        <w:spacing w:before="60"/>
        <w:rPr>
          <w:rFonts w:cstheme="minorHAnsi"/>
          <w:bCs/>
          <w:i/>
          <w:iCs/>
        </w:rPr>
      </w:pPr>
      <w:r w:rsidRPr="001F0834">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0D69F1" w:rsidRPr="000C21A3" w:rsidP="007F11C3" w14:paraId="0D6E2B13" w14:textId="2BFF3AE9">
      <w:pPr>
        <w:pBdr>
          <w:top w:val="single" w:sz="6" w:space="0" w:color="FFFFFF"/>
          <w:left w:val="single" w:sz="6" w:space="0" w:color="FFFFFF"/>
          <w:bottom w:val="single" w:sz="6" w:space="0" w:color="FFFFFF"/>
          <w:right w:val="single" w:sz="6" w:space="0" w:color="FFFFFF"/>
        </w:pBdr>
        <w:rPr>
          <w:color w:val="FF0000"/>
        </w:rPr>
      </w:pPr>
      <w:r w:rsidRPr="007025A2">
        <w:t>All non-CBI data submitted electronically to the Agency through CEDRI are available to the public for review and printing and are accessible using WebFIRE. Electronically submitted emissions data from performance testing or performance evaluations using the Electronic Reporting Tool or templates attached to CEDRI, as well as data from reports from regulations with electronic templates, are tabulated; data submitted as portable document format (PDF) files attached to CEDRI are neither tabulated nor subject to complex analytical techniques. Electronically submitted emissions data used to develop emissions factors undergo complex analytical techniques and the draft emissions factors are available on the Clearinghouse for Inventories and Emission Factors listserv at https://www.epa.gov/chief/chief-listserv for public review and printing. Electronically submitted emissions data, as well as other data, obtained from one-time or sporadic information collection requests often undergo complex analytical techniques; results of those activities are included in individual rulemaking dockets and are available at https://www.regulations.gov/ for public review and printing.</w:t>
      </w:r>
    </w:p>
    <w:p w:rsidR="000D69F1" w:rsidRPr="00163C69" w:rsidP="4BDBF0A0" w14:paraId="5677424E" w14:textId="77777777">
      <w:pPr>
        <w:pStyle w:val="ListParagraph"/>
        <w:numPr>
          <w:ilvl w:val="0"/>
          <w:numId w:val="27"/>
        </w:numPr>
        <w:spacing w:before="240" w:after="0"/>
        <w:rPr>
          <w:b/>
          <w:bCs/>
        </w:rPr>
      </w:pPr>
      <w:r w:rsidRPr="4BDBF0A0">
        <w:rPr>
          <w:b/>
          <w:bCs/>
        </w:rPr>
        <w:t xml:space="preserve">DISPLAY OF EXPIRATION DATE </w:t>
      </w:r>
    </w:p>
    <w:p w:rsidR="000D69F1" w:rsidRPr="00F532D6" w:rsidP="00854AAE" w14:paraId="38379DD7" w14:textId="77777777">
      <w:pPr>
        <w:pBdr>
          <w:bottom w:val="single" w:sz="12" w:space="1" w:color="auto"/>
        </w:pBdr>
        <w:spacing w:before="60"/>
        <w:rPr>
          <w:rFonts w:cstheme="minorHAnsi"/>
          <w:i/>
          <w:iCs/>
        </w:rPr>
      </w:pPr>
      <w:r w:rsidRPr="00F532D6">
        <w:rPr>
          <w:rFonts w:cstheme="minorHAnsi"/>
          <w:i/>
          <w:iCs/>
        </w:rPr>
        <w:t>If seeking approval to not display the expiration date for OMB approval of the information collection, explain the reasons that display would be inappropriate.</w:t>
      </w:r>
    </w:p>
    <w:p w:rsidR="000D69F1" w:rsidRPr="00632312" w:rsidP="00854AAE" w14:paraId="48AF07B0" w14:textId="77777777">
      <w:pPr>
        <w:pBdr>
          <w:top w:val="single" w:sz="6" w:space="0" w:color="FFFFFF"/>
          <w:left w:val="single" w:sz="6" w:space="0" w:color="FFFFFF"/>
          <w:bottom w:val="single" w:sz="6" w:space="0" w:color="FFFFFF"/>
          <w:right w:val="single" w:sz="6" w:space="0" w:color="FFFFFF"/>
        </w:pBdr>
      </w:pPr>
      <w:r w:rsidRPr="00632312">
        <w:t>EPA will display the expiration date for OMB approval of the information collection.</w:t>
      </w:r>
    </w:p>
    <w:p w:rsidR="000D69F1" w:rsidRPr="00163C69" w:rsidP="00854AAE" w14:paraId="7DC6C8D2" w14:textId="77777777">
      <w:pPr>
        <w:pStyle w:val="ListParagraph"/>
        <w:numPr>
          <w:ilvl w:val="0"/>
          <w:numId w:val="27"/>
        </w:numPr>
        <w:spacing w:before="240" w:after="0"/>
        <w:rPr>
          <w:rFonts w:cstheme="minorHAnsi"/>
          <w:b/>
          <w:bCs/>
        </w:rPr>
      </w:pPr>
      <w:r w:rsidRPr="00163C69">
        <w:rPr>
          <w:rFonts w:cstheme="minorHAnsi"/>
          <w:b/>
          <w:bCs/>
        </w:rPr>
        <w:t>CERTIFICATION STATEMENT</w:t>
      </w:r>
    </w:p>
    <w:p w:rsidR="000D69F1" w:rsidRPr="001F0834" w:rsidP="00854AAE" w14:paraId="4E1310FB" w14:textId="77777777">
      <w:pPr>
        <w:pBdr>
          <w:bottom w:val="single" w:sz="12" w:space="1" w:color="auto"/>
        </w:pBdr>
        <w:spacing w:before="60"/>
        <w:rPr>
          <w:rFonts w:cstheme="minorHAnsi"/>
          <w:i/>
          <w:iCs/>
        </w:rPr>
      </w:pPr>
      <w:r w:rsidRPr="001F0834">
        <w:rPr>
          <w:rFonts w:cstheme="minorHAnsi"/>
          <w:i/>
          <w:iCs/>
        </w:rPr>
        <w:t>Explain each exception to the topics of the certification statement identified in “Certification for Paperwork Reduction Act Submissions.”</w:t>
      </w:r>
    </w:p>
    <w:p w:rsidR="000D69F1" w:rsidRPr="003C16BD" w:rsidP="003C16BD" w14:paraId="4C7F4E37" w14:textId="77777777">
      <w:pPr>
        <w:pBdr>
          <w:top w:val="single" w:sz="6" w:space="0" w:color="FFFFFF"/>
          <w:left w:val="single" w:sz="6" w:space="0" w:color="FFFFFF"/>
          <w:bottom w:val="single" w:sz="6" w:space="0" w:color="FFFFFF"/>
          <w:right w:val="single" w:sz="6" w:space="0" w:color="FFFFFF"/>
        </w:pBdr>
      </w:pPr>
      <w:r w:rsidRPr="003C16BD">
        <w:t>There are no exceptions to the topics of the certification statement.</w:t>
      </w:r>
    </w:p>
    <w:p w:rsidR="000D69F1" w:rsidRPr="0073767D" w:rsidP="00854AAE" w14:paraId="4AE87670" w14:textId="77777777">
      <w:pPr>
        <w:pBdr>
          <w:top w:val="single" w:sz="6" w:space="0" w:color="FFFFFF"/>
          <w:left w:val="single" w:sz="6" w:space="0" w:color="FFFFFF"/>
          <w:bottom w:val="single" w:sz="6" w:space="0" w:color="FFFFFF"/>
          <w:right w:val="single" w:sz="6" w:space="0" w:color="FFFFFF"/>
        </w:pBdr>
      </w:pPr>
    </w:p>
    <w:p w:rsidR="000D69F1" w:rsidRPr="00BB3410" w:rsidP="00BB3410" w14:paraId="53147416" w14:textId="77777777">
      <w:pPr>
        <w:rPr>
          <w:rFonts w:cstheme="minorHAnsi"/>
          <w:color w:val="000000"/>
          <w:shd w:val="clear" w:color="auto" w:fill="FFFFFF"/>
        </w:rPr>
        <w:sectPr w:rsidSect="000D69F1">
          <w:footerReference w:type="default" r:id="rId10"/>
          <w:pgSz w:w="12240" w:h="15840"/>
          <w:pgMar w:top="1440" w:right="1440" w:bottom="1440" w:left="1440" w:header="720" w:footer="720" w:gutter="0"/>
          <w:pgNumType w:start="1"/>
          <w:cols w:space="720"/>
          <w:docGrid w:linePitch="360"/>
        </w:sectPr>
      </w:pPr>
      <w:r w:rsidRPr="00BB3410">
        <w:rPr>
          <w:rStyle w:val="normaltextrun"/>
          <w:rFonts w:cstheme="minorHAnsi"/>
          <w:color w:val="000000"/>
          <w:shd w:val="clear" w:color="auto" w:fill="FFFFFF"/>
        </w:rPr>
        <w:br w:type="page"/>
      </w:r>
    </w:p>
    <w:p w:rsidR="000D69F1" w:rsidP="001641AA" w14:paraId="19C63495" w14:textId="094324C1">
      <w:pPr>
        <w:spacing w:before="240"/>
        <w:rPr>
          <w:rFonts w:cstheme="minorHAnsi"/>
          <w:b/>
          <w:bCs/>
          <w:noProof/>
          <w:sz w:val="24"/>
          <w:szCs w:val="24"/>
        </w:rPr>
      </w:pPr>
      <w:r w:rsidRPr="001641AA">
        <w:rPr>
          <w:rFonts w:cstheme="minorHAnsi"/>
          <w:b/>
          <w:bCs/>
          <w:sz w:val="24"/>
          <w:szCs w:val="24"/>
        </w:rPr>
        <w:t xml:space="preserve">Table 1: Annual Respondent Burden and Cost – </w:t>
      </w:r>
      <w:r w:rsidRPr="00381333">
        <w:rPr>
          <w:rFonts w:cstheme="minorHAnsi"/>
          <w:b/>
          <w:bCs/>
          <w:noProof/>
          <w:sz w:val="24"/>
          <w:szCs w:val="24"/>
        </w:rPr>
        <w:t xml:space="preserve">NESHAP for Primary Magnesium Refining (40 CFR </w:t>
      </w:r>
      <w:r w:rsidRPr="00381333" w:rsidR="00080D11">
        <w:rPr>
          <w:rFonts w:cstheme="minorHAnsi"/>
          <w:b/>
          <w:bCs/>
          <w:noProof/>
          <w:sz w:val="24"/>
          <w:szCs w:val="24"/>
        </w:rPr>
        <w:t>Part 63</w:t>
      </w:r>
      <w:r w:rsidRPr="00381333">
        <w:rPr>
          <w:rFonts w:cstheme="minorHAnsi"/>
          <w:b/>
          <w:bCs/>
          <w:noProof/>
          <w:sz w:val="24"/>
          <w:szCs w:val="24"/>
        </w:rPr>
        <w:t>, Subpart TTTTT) (Renewal)</w:t>
      </w:r>
    </w:p>
    <w:tbl>
      <w:tblPr>
        <w:tblW w:w="13060" w:type="dxa"/>
        <w:tblInd w:w="113" w:type="dxa"/>
        <w:tblLook w:val="04A0"/>
      </w:tblPr>
      <w:tblGrid>
        <w:gridCol w:w="3933"/>
        <w:gridCol w:w="1080"/>
        <w:gridCol w:w="1155"/>
        <w:gridCol w:w="1111"/>
        <w:gridCol w:w="1222"/>
        <w:gridCol w:w="943"/>
        <w:gridCol w:w="1256"/>
        <w:gridCol w:w="963"/>
        <w:gridCol w:w="1400"/>
      </w:tblGrid>
      <w:tr w14:paraId="4B9C1596" w14:textId="77777777" w:rsidTr="00700A9A">
        <w:tblPrEx>
          <w:tblW w:w="13060" w:type="dxa"/>
          <w:tblInd w:w="113" w:type="dxa"/>
          <w:tblLook w:val="04A0"/>
        </w:tblPrEx>
        <w:trPr>
          <w:trHeight w:val="1545"/>
        </w:trPr>
        <w:tc>
          <w:tcPr>
            <w:tcW w:w="4120" w:type="dxa"/>
            <w:tcBorders>
              <w:top w:val="single" w:sz="4" w:space="0" w:color="auto"/>
              <w:left w:val="single" w:sz="4" w:space="0" w:color="auto"/>
              <w:bottom w:val="single" w:sz="4" w:space="0" w:color="auto"/>
              <w:right w:val="single" w:sz="4" w:space="0" w:color="auto"/>
            </w:tcBorders>
            <w:vAlign w:val="center"/>
            <w:hideMark/>
          </w:tcPr>
          <w:p w:rsidR="00700A9A" w:rsidRPr="00700A9A" w:rsidP="00700A9A" w14:paraId="5F9CA62D"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Burden Item</w:t>
            </w:r>
          </w:p>
        </w:tc>
        <w:tc>
          <w:tcPr>
            <w:tcW w:w="1040" w:type="dxa"/>
            <w:tcBorders>
              <w:top w:val="single" w:sz="4" w:space="0" w:color="auto"/>
              <w:left w:val="nil"/>
              <w:bottom w:val="single" w:sz="4" w:space="0" w:color="auto"/>
              <w:right w:val="single" w:sz="4" w:space="0" w:color="auto"/>
            </w:tcBorders>
            <w:vAlign w:val="center"/>
            <w:hideMark/>
          </w:tcPr>
          <w:p w:rsidR="00700A9A" w:rsidRPr="00700A9A" w:rsidP="00700A9A" w14:paraId="179FEB4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(A)</w:t>
            </w:r>
            <w:r w:rsidRPr="00700A9A">
              <w:rPr>
                <w:rFonts w:eastAsia="Times New Roman" w:cstheme="minorHAnsi"/>
                <w:color w:val="000000"/>
                <w:sz w:val="20"/>
                <w:szCs w:val="20"/>
              </w:rPr>
              <w:br/>
              <w:t>Person hours per occurrence</w:t>
            </w:r>
          </w:p>
        </w:tc>
        <w:tc>
          <w:tcPr>
            <w:tcW w:w="1120" w:type="dxa"/>
            <w:tcBorders>
              <w:top w:val="single" w:sz="4" w:space="0" w:color="auto"/>
              <w:left w:val="nil"/>
              <w:bottom w:val="single" w:sz="4" w:space="0" w:color="auto"/>
              <w:right w:val="single" w:sz="4" w:space="0" w:color="auto"/>
            </w:tcBorders>
            <w:vAlign w:val="center"/>
            <w:hideMark/>
          </w:tcPr>
          <w:p w:rsidR="00700A9A" w:rsidRPr="00700A9A" w:rsidP="00700A9A" w14:paraId="6D12085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(B) </w:t>
            </w:r>
            <w:r w:rsidRPr="00700A9A">
              <w:rPr>
                <w:rFonts w:eastAsia="Times New Roman" w:cstheme="minorHAnsi"/>
                <w:color w:val="000000"/>
                <w:sz w:val="20"/>
                <w:szCs w:val="20"/>
              </w:rPr>
              <w:br/>
              <w:t>Number of occurrences per year</w:t>
            </w:r>
          </w:p>
        </w:tc>
        <w:tc>
          <w:tcPr>
            <w:tcW w:w="1080" w:type="dxa"/>
            <w:tcBorders>
              <w:top w:val="single" w:sz="4" w:space="0" w:color="auto"/>
              <w:left w:val="nil"/>
              <w:bottom w:val="single" w:sz="4" w:space="0" w:color="auto"/>
              <w:right w:val="single" w:sz="4" w:space="0" w:color="auto"/>
            </w:tcBorders>
            <w:vAlign w:val="center"/>
            <w:hideMark/>
          </w:tcPr>
          <w:p w:rsidR="00700A9A" w:rsidRPr="00700A9A" w:rsidP="00700A9A" w14:paraId="67D5D92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(C)</w:t>
            </w:r>
            <w:r w:rsidRPr="00700A9A">
              <w:rPr>
                <w:rFonts w:eastAsia="Times New Roman" w:cstheme="minorHAnsi"/>
                <w:color w:val="000000"/>
                <w:sz w:val="20"/>
                <w:szCs w:val="20"/>
              </w:rPr>
              <w:br/>
              <w:t>Person hours per respondent per year</w:t>
            </w:r>
            <w:r w:rsidRPr="00700A9A">
              <w:rPr>
                <w:rFonts w:eastAsia="Times New Roman" w:cstheme="minorHAnsi"/>
                <w:color w:val="000000"/>
                <w:sz w:val="20"/>
                <w:szCs w:val="20"/>
              </w:rPr>
              <w:br/>
              <w:t>(C=AxB)</w:t>
            </w:r>
          </w:p>
        </w:tc>
        <w:tc>
          <w:tcPr>
            <w:tcW w:w="1160" w:type="dxa"/>
            <w:tcBorders>
              <w:top w:val="single" w:sz="4" w:space="0" w:color="auto"/>
              <w:left w:val="nil"/>
              <w:bottom w:val="single" w:sz="4" w:space="0" w:color="auto"/>
              <w:right w:val="single" w:sz="4" w:space="0" w:color="auto"/>
            </w:tcBorders>
            <w:vAlign w:val="center"/>
            <w:hideMark/>
          </w:tcPr>
          <w:p w:rsidR="00700A9A" w:rsidRPr="00700A9A" w:rsidP="00700A9A" w14:paraId="11F7886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(D) </w:t>
            </w:r>
            <w:r w:rsidRPr="00700A9A">
              <w:rPr>
                <w:rFonts w:eastAsia="Times New Roman" w:cstheme="minorHAnsi"/>
                <w:color w:val="000000"/>
                <w:sz w:val="20"/>
                <w:szCs w:val="20"/>
              </w:rPr>
              <w:br/>
              <w:t xml:space="preserve">Respondents per year </w:t>
            </w:r>
            <w:r w:rsidRPr="00700A9A">
              <w:rPr>
                <w:rFonts w:eastAsia="Times New Roman" w:cstheme="minorHAnsi"/>
                <w:color w:val="000000"/>
                <w:sz w:val="20"/>
                <w:szCs w:val="20"/>
                <w:vertAlign w:val="superscript"/>
              </w:rPr>
              <w:t>a</w:t>
            </w:r>
          </w:p>
        </w:tc>
        <w:tc>
          <w:tcPr>
            <w:tcW w:w="980" w:type="dxa"/>
            <w:tcBorders>
              <w:top w:val="single" w:sz="4" w:space="0" w:color="auto"/>
              <w:left w:val="nil"/>
              <w:bottom w:val="single" w:sz="4" w:space="0" w:color="auto"/>
              <w:right w:val="single" w:sz="4" w:space="0" w:color="auto"/>
            </w:tcBorders>
            <w:vAlign w:val="center"/>
            <w:hideMark/>
          </w:tcPr>
          <w:p w:rsidR="00700A9A" w:rsidRPr="00700A9A" w:rsidP="00700A9A" w14:paraId="6038A0D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(E) </w:t>
            </w:r>
            <w:r w:rsidRPr="00700A9A">
              <w:rPr>
                <w:rFonts w:eastAsia="Times New Roman" w:cstheme="minorHAnsi"/>
                <w:color w:val="000000"/>
                <w:sz w:val="20"/>
                <w:szCs w:val="20"/>
              </w:rPr>
              <w:br/>
              <w:t>Technical person hours per year</w:t>
            </w:r>
            <w:r w:rsidRPr="00700A9A">
              <w:rPr>
                <w:rFonts w:eastAsia="Times New Roman" w:cstheme="minorHAnsi"/>
                <w:color w:val="000000"/>
                <w:sz w:val="20"/>
                <w:szCs w:val="20"/>
              </w:rPr>
              <w:br/>
              <w:t>(E=CxD)</w:t>
            </w:r>
          </w:p>
        </w:tc>
        <w:tc>
          <w:tcPr>
            <w:tcW w:w="1120" w:type="dxa"/>
            <w:tcBorders>
              <w:top w:val="single" w:sz="4" w:space="0" w:color="auto"/>
              <w:left w:val="nil"/>
              <w:bottom w:val="single" w:sz="4" w:space="0" w:color="auto"/>
              <w:right w:val="single" w:sz="4" w:space="0" w:color="auto"/>
            </w:tcBorders>
            <w:vAlign w:val="center"/>
            <w:hideMark/>
          </w:tcPr>
          <w:p w:rsidR="00700A9A" w:rsidRPr="00700A9A" w:rsidP="00700A9A" w14:paraId="777F7EF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(F) </w:t>
            </w:r>
            <w:r w:rsidRPr="00700A9A">
              <w:rPr>
                <w:rFonts w:eastAsia="Times New Roman" w:cstheme="minorHAnsi"/>
                <w:color w:val="000000"/>
                <w:sz w:val="20"/>
                <w:szCs w:val="20"/>
              </w:rPr>
              <w:br/>
              <w:t xml:space="preserve">Management person hours per year </w:t>
            </w:r>
            <w:r w:rsidRPr="00700A9A">
              <w:rPr>
                <w:rFonts w:eastAsia="Times New Roman" w:cstheme="minorHAnsi"/>
                <w:color w:val="000000"/>
                <w:sz w:val="20"/>
                <w:szCs w:val="20"/>
              </w:rPr>
              <w:br/>
              <w:t>(F=Ex0.05)</w:t>
            </w:r>
          </w:p>
        </w:tc>
        <w:tc>
          <w:tcPr>
            <w:tcW w:w="980" w:type="dxa"/>
            <w:tcBorders>
              <w:top w:val="single" w:sz="4" w:space="0" w:color="auto"/>
              <w:left w:val="nil"/>
              <w:bottom w:val="single" w:sz="4" w:space="0" w:color="auto"/>
              <w:right w:val="single" w:sz="4" w:space="0" w:color="auto"/>
            </w:tcBorders>
            <w:vAlign w:val="center"/>
            <w:hideMark/>
          </w:tcPr>
          <w:p w:rsidR="00700A9A" w:rsidRPr="00700A9A" w:rsidP="00700A9A" w14:paraId="7136DDA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(G) </w:t>
            </w:r>
            <w:r w:rsidRPr="00700A9A">
              <w:rPr>
                <w:rFonts w:eastAsia="Times New Roman" w:cstheme="minorHAnsi"/>
                <w:color w:val="000000"/>
                <w:sz w:val="20"/>
                <w:szCs w:val="20"/>
              </w:rPr>
              <w:br/>
              <w:t xml:space="preserve">Clerical person hours per year </w:t>
            </w:r>
            <w:r w:rsidRPr="00700A9A">
              <w:rPr>
                <w:rFonts w:eastAsia="Times New Roman" w:cstheme="minorHAnsi"/>
                <w:color w:val="000000"/>
                <w:sz w:val="20"/>
                <w:szCs w:val="20"/>
              </w:rPr>
              <w:br/>
              <w:t>(G=Ex0.1)</w:t>
            </w:r>
          </w:p>
        </w:tc>
        <w:tc>
          <w:tcPr>
            <w:tcW w:w="1460" w:type="dxa"/>
            <w:tcBorders>
              <w:top w:val="single" w:sz="4" w:space="0" w:color="auto"/>
              <w:left w:val="nil"/>
              <w:bottom w:val="single" w:sz="4" w:space="0" w:color="auto"/>
              <w:right w:val="single" w:sz="4" w:space="0" w:color="auto"/>
            </w:tcBorders>
            <w:vAlign w:val="center"/>
            <w:hideMark/>
          </w:tcPr>
          <w:p w:rsidR="00700A9A" w:rsidRPr="00700A9A" w:rsidP="00700A9A" w14:paraId="60E1A5A2"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xml:space="preserve">(H) </w:t>
            </w:r>
            <w:r w:rsidRPr="00700A9A">
              <w:rPr>
                <w:rFonts w:eastAsia="Times New Roman" w:cstheme="minorHAnsi"/>
                <w:color w:val="000000"/>
                <w:sz w:val="20"/>
                <w:szCs w:val="20"/>
              </w:rPr>
              <w:br/>
              <w:t xml:space="preserve">Annual costs ($) </w:t>
            </w:r>
            <w:r w:rsidRPr="00700A9A">
              <w:rPr>
                <w:rFonts w:eastAsia="Times New Roman" w:cstheme="minorHAnsi"/>
                <w:color w:val="000000"/>
                <w:sz w:val="20"/>
                <w:szCs w:val="20"/>
                <w:vertAlign w:val="superscript"/>
              </w:rPr>
              <w:t>b</w:t>
            </w:r>
          </w:p>
        </w:tc>
      </w:tr>
      <w:tr w14:paraId="02F7A3C2"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3DF4FE40"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1. Reporting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7ACAA028"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4A6F269A"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2528B664"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25E9E901"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199C9A91"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27E25FEE"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3286EA3B"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460" w:type="dxa"/>
            <w:tcBorders>
              <w:top w:val="nil"/>
              <w:left w:val="nil"/>
              <w:bottom w:val="single" w:sz="4" w:space="0" w:color="auto"/>
              <w:right w:val="single" w:sz="4" w:space="0" w:color="auto"/>
            </w:tcBorders>
            <w:vAlign w:val="center"/>
            <w:hideMark/>
          </w:tcPr>
          <w:p w:rsidR="00700A9A" w:rsidRPr="00700A9A" w:rsidP="00700A9A" w14:paraId="7CD498D2"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r>
      <w:tr w14:paraId="0087752A"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7151F981"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a. Familiarize with regulatory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70DDB44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04595C9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7340BB4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vAlign w:val="center"/>
            <w:hideMark/>
          </w:tcPr>
          <w:p w:rsidR="00700A9A" w:rsidRPr="00700A9A" w:rsidP="00700A9A" w14:paraId="155D912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419535B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1439A29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0.2</w:t>
            </w:r>
          </w:p>
        </w:tc>
        <w:tc>
          <w:tcPr>
            <w:tcW w:w="980" w:type="dxa"/>
            <w:tcBorders>
              <w:top w:val="nil"/>
              <w:left w:val="nil"/>
              <w:bottom w:val="single" w:sz="4" w:space="0" w:color="auto"/>
              <w:right w:val="single" w:sz="4" w:space="0" w:color="auto"/>
            </w:tcBorders>
            <w:vAlign w:val="center"/>
            <w:hideMark/>
          </w:tcPr>
          <w:p w:rsidR="00700A9A" w:rsidRPr="00700A9A" w:rsidP="00700A9A" w14:paraId="021E514C"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0.4</w:t>
            </w:r>
          </w:p>
        </w:tc>
        <w:tc>
          <w:tcPr>
            <w:tcW w:w="1460" w:type="dxa"/>
            <w:tcBorders>
              <w:top w:val="nil"/>
              <w:left w:val="nil"/>
              <w:bottom w:val="single" w:sz="4" w:space="0" w:color="auto"/>
              <w:right w:val="single" w:sz="4" w:space="0" w:color="auto"/>
            </w:tcBorders>
            <w:vAlign w:val="center"/>
            <w:hideMark/>
          </w:tcPr>
          <w:p w:rsidR="00700A9A" w:rsidRPr="00700A9A" w:rsidP="00700A9A" w14:paraId="6021820F"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$630.03 </w:t>
            </w:r>
          </w:p>
        </w:tc>
      </w:tr>
      <w:tr w14:paraId="75C16826"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67A66C1A"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b. Process/review information</w:t>
            </w:r>
          </w:p>
        </w:tc>
        <w:tc>
          <w:tcPr>
            <w:tcW w:w="1040" w:type="dxa"/>
            <w:tcBorders>
              <w:top w:val="nil"/>
              <w:left w:val="nil"/>
              <w:bottom w:val="single" w:sz="4" w:space="0" w:color="auto"/>
              <w:right w:val="single" w:sz="4" w:space="0" w:color="auto"/>
            </w:tcBorders>
            <w:vAlign w:val="center"/>
            <w:hideMark/>
          </w:tcPr>
          <w:p w:rsidR="00700A9A" w:rsidRPr="00700A9A" w:rsidP="00700A9A" w14:paraId="768E02DA"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41104F9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080" w:type="dxa"/>
            <w:tcBorders>
              <w:top w:val="nil"/>
              <w:left w:val="nil"/>
              <w:bottom w:val="single" w:sz="4" w:space="0" w:color="auto"/>
              <w:right w:val="single" w:sz="4" w:space="0" w:color="auto"/>
            </w:tcBorders>
            <w:vAlign w:val="center"/>
            <w:hideMark/>
          </w:tcPr>
          <w:p w:rsidR="00700A9A" w:rsidRPr="00700A9A" w:rsidP="00700A9A" w14:paraId="29CA515D"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16</w:t>
            </w:r>
          </w:p>
        </w:tc>
        <w:tc>
          <w:tcPr>
            <w:tcW w:w="1160" w:type="dxa"/>
            <w:tcBorders>
              <w:top w:val="nil"/>
              <w:left w:val="nil"/>
              <w:bottom w:val="single" w:sz="4" w:space="0" w:color="auto"/>
              <w:right w:val="single" w:sz="4" w:space="0" w:color="auto"/>
            </w:tcBorders>
            <w:vAlign w:val="center"/>
            <w:hideMark/>
          </w:tcPr>
          <w:p w:rsidR="00700A9A" w:rsidRPr="00700A9A" w:rsidP="00700A9A" w14:paraId="51A019C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0609BB9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16</w:t>
            </w:r>
          </w:p>
        </w:tc>
        <w:tc>
          <w:tcPr>
            <w:tcW w:w="1120" w:type="dxa"/>
            <w:tcBorders>
              <w:top w:val="nil"/>
              <w:left w:val="nil"/>
              <w:bottom w:val="single" w:sz="4" w:space="0" w:color="auto"/>
              <w:right w:val="single" w:sz="4" w:space="0" w:color="auto"/>
            </w:tcBorders>
            <w:vAlign w:val="center"/>
            <w:hideMark/>
          </w:tcPr>
          <w:p w:rsidR="00700A9A" w:rsidRPr="00700A9A" w:rsidP="00700A9A" w14:paraId="3E6E509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0.8</w:t>
            </w:r>
          </w:p>
        </w:tc>
        <w:tc>
          <w:tcPr>
            <w:tcW w:w="980" w:type="dxa"/>
            <w:tcBorders>
              <w:top w:val="nil"/>
              <w:left w:val="nil"/>
              <w:bottom w:val="single" w:sz="4" w:space="0" w:color="auto"/>
              <w:right w:val="single" w:sz="4" w:space="0" w:color="auto"/>
            </w:tcBorders>
            <w:vAlign w:val="center"/>
            <w:hideMark/>
          </w:tcPr>
          <w:p w:rsidR="00700A9A" w:rsidRPr="00700A9A" w:rsidP="00700A9A" w14:paraId="2916AEA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1.6</w:t>
            </w:r>
          </w:p>
        </w:tc>
        <w:tc>
          <w:tcPr>
            <w:tcW w:w="1460" w:type="dxa"/>
            <w:tcBorders>
              <w:top w:val="nil"/>
              <w:left w:val="nil"/>
              <w:bottom w:val="single" w:sz="4" w:space="0" w:color="auto"/>
              <w:right w:val="single" w:sz="4" w:space="0" w:color="auto"/>
            </w:tcBorders>
            <w:vAlign w:val="center"/>
            <w:hideMark/>
          </w:tcPr>
          <w:p w:rsidR="00700A9A" w:rsidRPr="00700A9A" w:rsidP="00700A9A" w14:paraId="66376242"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$2,520.10 </w:t>
            </w:r>
          </w:p>
        </w:tc>
      </w:tr>
      <w:tr w14:paraId="1C205DC5"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17C56268"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c. Write reports</w:t>
            </w:r>
          </w:p>
        </w:tc>
        <w:tc>
          <w:tcPr>
            <w:tcW w:w="1040" w:type="dxa"/>
            <w:tcBorders>
              <w:top w:val="nil"/>
              <w:left w:val="nil"/>
              <w:bottom w:val="single" w:sz="4" w:space="0" w:color="auto"/>
              <w:right w:val="single" w:sz="4" w:space="0" w:color="auto"/>
            </w:tcBorders>
            <w:vAlign w:val="center"/>
            <w:hideMark/>
          </w:tcPr>
          <w:p w:rsidR="00700A9A" w:rsidRPr="00700A9A" w:rsidP="00700A9A" w14:paraId="0A5CF924"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2BCE86E3"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2D197DC5"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45FAB719"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3E4F0D5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79BF21C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348006C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460" w:type="dxa"/>
            <w:tcBorders>
              <w:top w:val="nil"/>
              <w:left w:val="nil"/>
              <w:bottom w:val="single" w:sz="4" w:space="0" w:color="auto"/>
              <w:right w:val="single" w:sz="4" w:space="0" w:color="auto"/>
            </w:tcBorders>
            <w:vAlign w:val="center"/>
            <w:hideMark/>
          </w:tcPr>
          <w:p w:rsidR="00700A9A" w:rsidRPr="00700A9A" w:rsidP="00700A9A" w14:paraId="2E916D71"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w:t>
            </w:r>
          </w:p>
        </w:tc>
      </w:tr>
      <w:tr w14:paraId="522EBE03"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20BA209D" w14:textId="03B6C40C">
            <w:pPr>
              <w:spacing w:after="0" w:line="240" w:lineRule="auto"/>
              <w:ind w:left="432"/>
              <w:rPr>
                <w:rFonts w:eastAsia="Times New Roman" w:cstheme="minorHAnsi"/>
                <w:color w:val="000000"/>
                <w:sz w:val="20"/>
                <w:szCs w:val="20"/>
              </w:rPr>
            </w:pPr>
            <w:r w:rsidRPr="00700A9A">
              <w:rPr>
                <w:rFonts w:eastAsia="Times New Roman" w:cstheme="minorHAnsi"/>
                <w:color w:val="000000"/>
                <w:sz w:val="20"/>
                <w:szCs w:val="20"/>
              </w:rPr>
              <w:t>i. Initial notification</w:t>
            </w:r>
          </w:p>
        </w:tc>
        <w:tc>
          <w:tcPr>
            <w:tcW w:w="1040" w:type="dxa"/>
            <w:tcBorders>
              <w:top w:val="nil"/>
              <w:left w:val="nil"/>
              <w:bottom w:val="single" w:sz="4" w:space="0" w:color="auto"/>
              <w:right w:val="single" w:sz="4" w:space="0" w:color="auto"/>
            </w:tcBorders>
            <w:vAlign w:val="center"/>
            <w:hideMark/>
          </w:tcPr>
          <w:p w:rsidR="00700A9A" w:rsidRPr="00700A9A" w:rsidP="00700A9A" w14:paraId="1F81FCE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58D009E6"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4018B08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2</w:t>
            </w:r>
          </w:p>
        </w:tc>
        <w:tc>
          <w:tcPr>
            <w:tcW w:w="1160" w:type="dxa"/>
            <w:tcBorders>
              <w:top w:val="nil"/>
              <w:left w:val="nil"/>
              <w:bottom w:val="single" w:sz="4" w:space="0" w:color="auto"/>
              <w:right w:val="single" w:sz="4" w:space="0" w:color="auto"/>
            </w:tcBorders>
            <w:vAlign w:val="center"/>
            <w:hideMark/>
          </w:tcPr>
          <w:p w:rsidR="00700A9A" w:rsidRPr="00700A9A" w:rsidP="00700A9A" w14:paraId="0E39A53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54848F0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700A9A" w:rsidRPr="00700A9A" w:rsidP="00700A9A" w14:paraId="7C6F6A56"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594F55EF"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w:t>
            </w:r>
          </w:p>
        </w:tc>
        <w:tc>
          <w:tcPr>
            <w:tcW w:w="1460" w:type="dxa"/>
            <w:tcBorders>
              <w:top w:val="nil"/>
              <w:left w:val="nil"/>
              <w:bottom w:val="single" w:sz="4" w:space="0" w:color="auto"/>
              <w:right w:val="single" w:sz="4" w:space="0" w:color="auto"/>
            </w:tcBorders>
            <w:vAlign w:val="center"/>
            <w:hideMark/>
          </w:tcPr>
          <w:p w:rsidR="00700A9A" w:rsidRPr="00700A9A" w:rsidP="00700A9A" w14:paraId="53A092DB"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$0 </w:t>
            </w:r>
          </w:p>
        </w:tc>
      </w:tr>
      <w:tr w14:paraId="1AD010D8"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663C6CDA" w14:textId="5DFC6536">
            <w:pPr>
              <w:spacing w:after="0" w:line="240" w:lineRule="auto"/>
              <w:ind w:left="432"/>
              <w:rPr>
                <w:rFonts w:eastAsia="Times New Roman" w:cstheme="minorHAnsi"/>
                <w:sz w:val="20"/>
                <w:szCs w:val="20"/>
              </w:rPr>
            </w:pPr>
            <w:r w:rsidRPr="00700A9A">
              <w:rPr>
                <w:rFonts w:eastAsia="Times New Roman" w:cstheme="minorHAnsi"/>
                <w:sz w:val="20"/>
                <w:szCs w:val="20"/>
              </w:rPr>
              <w:t>ii. Notification of compliance status</w:t>
            </w:r>
            <w:r w:rsidR="00BB045A">
              <w:rPr>
                <w:rFonts w:eastAsia="Times New Roman" w:cstheme="minorHAnsi"/>
                <w:sz w:val="20"/>
                <w:szCs w:val="20"/>
              </w:rPr>
              <w:t xml:space="preserve"> </w:t>
            </w:r>
            <w:r w:rsidRPr="00700A9A">
              <w:rPr>
                <w:rFonts w:eastAsia="Times New Roman" w:cstheme="minorHAnsi"/>
                <w:sz w:val="20"/>
                <w:szCs w:val="20"/>
                <w:vertAlign w:val="superscript"/>
              </w:rPr>
              <w:t>c</w:t>
            </w:r>
          </w:p>
        </w:tc>
        <w:tc>
          <w:tcPr>
            <w:tcW w:w="1040" w:type="dxa"/>
            <w:tcBorders>
              <w:top w:val="nil"/>
              <w:left w:val="nil"/>
              <w:bottom w:val="single" w:sz="4" w:space="0" w:color="auto"/>
              <w:right w:val="single" w:sz="4" w:space="0" w:color="auto"/>
            </w:tcBorders>
            <w:vAlign w:val="center"/>
            <w:hideMark/>
          </w:tcPr>
          <w:p w:rsidR="00700A9A" w:rsidRPr="00700A9A" w:rsidP="00700A9A" w14:paraId="3728D963"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35287DE9"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6D733067"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60" w:type="dxa"/>
            <w:tcBorders>
              <w:top w:val="nil"/>
              <w:left w:val="nil"/>
              <w:bottom w:val="single" w:sz="4" w:space="0" w:color="auto"/>
              <w:right w:val="single" w:sz="4" w:space="0" w:color="auto"/>
            </w:tcBorders>
            <w:noWrap/>
            <w:vAlign w:val="center"/>
            <w:hideMark/>
          </w:tcPr>
          <w:p w:rsidR="00700A9A" w:rsidRPr="00700A9A" w:rsidP="00700A9A" w14:paraId="7714DAAC"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7615F10B"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42CD16E0" w14:textId="77777777">
            <w:pPr>
              <w:spacing w:after="0" w:line="240" w:lineRule="auto"/>
              <w:jc w:val="center"/>
              <w:rPr>
                <w:rFonts w:eastAsia="Times New Roman" w:cstheme="minorHAnsi"/>
                <w:sz w:val="20"/>
                <w:szCs w:val="20"/>
              </w:rPr>
            </w:pPr>
            <w:r w:rsidRPr="00700A9A">
              <w:rPr>
                <w:rFonts w:eastAsia="Times New Roman" w:cstheme="minorHAnsi"/>
                <w:sz w:val="20"/>
                <w:szCs w:val="20"/>
              </w:rPr>
              <w:t>0.10</w:t>
            </w:r>
          </w:p>
        </w:tc>
        <w:tc>
          <w:tcPr>
            <w:tcW w:w="980" w:type="dxa"/>
            <w:tcBorders>
              <w:top w:val="nil"/>
              <w:left w:val="nil"/>
              <w:bottom w:val="single" w:sz="4" w:space="0" w:color="auto"/>
              <w:right w:val="single" w:sz="4" w:space="0" w:color="auto"/>
            </w:tcBorders>
            <w:vAlign w:val="center"/>
            <w:hideMark/>
          </w:tcPr>
          <w:p w:rsidR="00700A9A" w:rsidRPr="00700A9A" w:rsidP="00700A9A" w14:paraId="50F36E29" w14:textId="77777777">
            <w:pPr>
              <w:spacing w:after="0" w:line="240" w:lineRule="auto"/>
              <w:jc w:val="center"/>
              <w:rPr>
                <w:rFonts w:eastAsia="Times New Roman" w:cstheme="minorHAnsi"/>
                <w:sz w:val="20"/>
                <w:szCs w:val="20"/>
              </w:rPr>
            </w:pPr>
            <w:r w:rsidRPr="00700A9A">
              <w:rPr>
                <w:rFonts w:eastAsia="Times New Roman" w:cstheme="minorHAnsi"/>
                <w:sz w:val="20"/>
                <w:szCs w:val="20"/>
              </w:rPr>
              <w:t>0.20</w:t>
            </w:r>
          </w:p>
        </w:tc>
        <w:tc>
          <w:tcPr>
            <w:tcW w:w="1460" w:type="dxa"/>
            <w:tcBorders>
              <w:top w:val="nil"/>
              <w:left w:val="nil"/>
              <w:bottom w:val="single" w:sz="4" w:space="0" w:color="auto"/>
              <w:right w:val="single" w:sz="4" w:space="0" w:color="auto"/>
            </w:tcBorders>
            <w:vAlign w:val="center"/>
            <w:hideMark/>
          </w:tcPr>
          <w:p w:rsidR="00700A9A" w:rsidRPr="00700A9A" w:rsidP="00700A9A" w14:paraId="25D5EC1E" w14:textId="77777777">
            <w:pPr>
              <w:spacing w:after="0" w:line="240" w:lineRule="auto"/>
              <w:jc w:val="right"/>
              <w:rPr>
                <w:rFonts w:eastAsia="Times New Roman" w:cstheme="minorHAnsi"/>
                <w:sz w:val="20"/>
                <w:szCs w:val="20"/>
              </w:rPr>
            </w:pPr>
            <w:r w:rsidRPr="00700A9A">
              <w:rPr>
                <w:rFonts w:eastAsia="Times New Roman" w:cstheme="minorHAnsi"/>
                <w:sz w:val="20"/>
                <w:szCs w:val="20"/>
              </w:rPr>
              <w:t xml:space="preserve">$315.01 </w:t>
            </w:r>
          </w:p>
        </w:tc>
      </w:tr>
      <w:tr w14:paraId="54751F0A" w14:textId="77777777" w:rsidTr="00700A9A">
        <w:tblPrEx>
          <w:tblW w:w="13060" w:type="dxa"/>
          <w:tblInd w:w="113" w:type="dxa"/>
          <w:tblLook w:val="04A0"/>
        </w:tblPrEx>
        <w:trPr>
          <w:trHeight w:val="510"/>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3B22EF0F" w14:textId="0A8D650D">
            <w:pPr>
              <w:spacing w:after="0" w:line="240" w:lineRule="auto"/>
              <w:ind w:left="432"/>
              <w:rPr>
                <w:rFonts w:eastAsia="Times New Roman" w:cstheme="minorHAnsi"/>
                <w:sz w:val="20"/>
                <w:szCs w:val="20"/>
              </w:rPr>
            </w:pPr>
            <w:r w:rsidRPr="00700A9A">
              <w:rPr>
                <w:rFonts w:eastAsia="Times New Roman" w:cstheme="minorHAnsi"/>
                <w:sz w:val="20"/>
                <w:szCs w:val="20"/>
              </w:rPr>
              <w:t>iii. Notification of construction/reconstruction</w:t>
            </w:r>
          </w:p>
        </w:tc>
        <w:tc>
          <w:tcPr>
            <w:tcW w:w="1040" w:type="dxa"/>
            <w:tcBorders>
              <w:top w:val="nil"/>
              <w:left w:val="nil"/>
              <w:bottom w:val="single" w:sz="4" w:space="0" w:color="auto"/>
              <w:right w:val="single" w:sz="4" w:space="0" w:color="auto"/>
            </w:tcBorders>
            <w:vAlign w:val="center"/>
            <w:hideMark/>
          </w:tcPr>
          <w:p w:rsidR="00700A9A" w:rsidRPr="00700A9A" w:rsidP="00700A9A" w14:paraId="4639DBF4"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34B800C0"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120188D0"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60" w:type="dxa"/>
            <w:tcBorders>
              <w:top w:val="nil"/>
              <w:left w:val="nil"/>
              <w:bottom w:val="single" w:sz="4" w:space="0" w:color="auto"/>
              <w:right w:val="single" w:sz="4" w:space="0" w:color="auto"/>
            </w:tcBorders>
            <w:noWrap/>
            <w:vAlign w:val="center"/>
            <w:hideMark/>
          </w:tcPr>
          <w:p w:rsidR="00700A9A" w:rsidRPr="00700A9A" w:rsidP="00700A9A" w14:paraId="5FEA5CD7"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3CF896AC"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1120" w:type="dxa"/>
            <w:tcBorders>
              <w:top w:val="nil"/>
              <w:left w:val="nil"/>
              <w:bottom w:val="single" w:sz="4" w:space="0" w:color="auto"/>
              <w:right w:val="single" w:sz="4" w:space="0" w:color="auto"/>
            </w:tcBorders>
            <w:vAlign w:val="center"/>
            <w:hideMark/>
          </w:tcPr>
          <w:p w:rsidR="00700A9A" w:rsidRPr="00700A9A" w:rsidP="00700A9A" w14:paraId="27B913E9"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023D99CE"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1460" w:type="dxa"/>
            <w:tcBorders>
              <w:top w:val="nil"/>
              <w:left w:val="nil"/>
              <w:bottom w:val="single" w:sz="4" w:space="0" w:color="auto"/>
              <w:right w:val="single" w:sz="4" w:space="0" w:color="auto"/>
            </w:tcBorders>
            <w:vAlign w:val="center"/>
            <w:hideMark/>
          </w:tcPr>
          <w:p w:rsidR="00700A9A" w:rsidRPr="00700A9A" w:rsidP="00700A9A" w14:paraId="1042243E" w14:textId="77777777">
            <w:pPr>
              <w:spacing w:after="0" w:line="240" w:lineRule="auto"/>
              <w:jc w:val="right"/>
              <w:rPr>
                <w:rFonts w:eastAsia="Times New Roman" w:cstheme="minorHAnsi"/>
                <w:sz w:val="20"/>
                <w:szCs w:val="20"/>
              </w:rPr>
            </w:pPr>
            <w:r w:rsidRPr="00700A9A">
              <w:rPr>
                <w:rFonts w:eastAsia="Times New Roman" w:cstheme="minorHAnsi"/>
                <w:sz w:val="20"/>
                <w:szCs w:val="20"/>
              </w:rPr>
              <w:t xml:space="preserve">$0 </w:t>
            </w:r>
          </w:p>
        </w:tc>
      </w:tr>
      <w:tr w14:paraId="749B7236"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2C349C2C" w14:textId="6D6A5A31">
            <w:pPr>
              <w:spacing w:after="0" w:line="240" w:lineRule="auto"/>
              <w:ind w:left="432"/>
              <w:rPr>
                <w:rFonts w:eastAsia="Times New Roman" w:cstheme="minorHAnsi"/>
                <w:sz w:val="20"/>
                <w:szCs w:val="20"/>
              </w:rPr>
            </w:pPr>
            <w:r w:rsidRPr="00700A9A">
              <w:rPr>
                <w:rFonts w:eastAsia="Times New Roman" w:cstheme="minorHAnsi"/>
                <w:sz w:val="20"/>
                <w:szCs w:val="20"/>
              </w:rPr>
              <w:t>iv. Notification of actual startup</w:t>
            </w:r>
          </w:p>
        </w:tc>
        <w:tc>
          <w:tcPr>
            <w:tcW w:w="1040" w:type="dxa"/>
            <w:tcBorders>
              <w:top w:val="nil"/>
              <w:left w:val="nil"/>
              <w:bottom w:val="single" w:sz="4" w:space="0" w:color="auto"/>
              <w:right w:val="single" w:sz="4" w:space="0" w:color="auto"/>
            </w:tcBorders>
            <w:vAlign w:val="center"/>
            <w:hideMark/>
          </w:tcPr>
          <w:p w:rsidR="00700A9A" w:rsidRPr="00700A9A" w:rsidP="00700A9A" w14:paraId="79582025"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44D61551"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63FC913A"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60" w:type="dxa"/>
            <w:tcBorders>
              <w:top w:val="nil"/>
              <w:left w:val="nil"/>
              <w:bottom w:val="single" w:sz="4" w:space="0" w:color="auto"/>
              <w:right w:val="single" w:sz="4" w:space="0" w:color="auto"/>
            </w:tcBorders>
            <w:vAlign w:val="center"/>
            <w:hideMark/>
          </w:tcPr>
          <w:p w:rsidR="00700A9A" w:rsidRPr="00700A9A" w:rsidP="00700A9A" w14:paraId="6B5C3EE0"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4CE50B4A"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1120" w:type="dxa"/>
            <w:tcBorders>
              <w:top w:val="nil"/>
              <w:left w:val="nil"/>
              <w:bottom w:val="single" w:sz="4" w:space="0" w:color="auto"/>
              <w:right w:val="single" w:sz="4" w:space="0" w:color="auto"/>
            </w:tcBorders>
            <w:vAlign w:val="center"/>
            <w:hideMark/>
          </w:tcPr>
          <w:p w:rsidR="00700A9A" w:rsidRPr="00700A9A" w:rsidP="00700A9A" w14:paraId="09EEEFBA"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980" w:type="dxa"/>
            <w:tcBorders>
              <w:top w:val="nil"/>
              <w:left w:val="nil"/>
              <w:bottom w:val="single" w:sz="4" w:space="0" w:color="auto"/>
              <w:right w:val="single" w:sz="4" w:space="0" w:color="auto"/>
            </w:tcBorders>
            <w:vAlign w:val="center"/>
            <w:hideMark/>
          </w:tcPr>
          <w:p w:rsidR="00700A9A" w:rsidRPr="00700A9A" w:rsidP="00700A9A" w14:paraId="2E6F5DE1" w14:textId="77777777">
            <w:pPr>
              <w:spacing w:after="0" w:line="240" w:lineRule="auto"/>
              <w:jc w:val="center"/>
              <w:rPr>
                <w:rFonts w:eastAsia="Times New Roman" w:cstheme="minorHAnsi"/>
                <w:sz w:val="20"/>
                <w:szCs w:val="20"/>
              </w:rPr>
            </w:pPr>
            <w:r w:rsidRPr="00700A9A">
              <w:rPr>
                <w:rFonts w:eastAsia="Times New Roman" w:cstheme="minorHAnsi"/>
                <w:sz w:val="20"/>
                <w:szCs w:val="20"/>
              </w:rPr>
              <w:t>0</w:t>
            </w:r>
          </w:p>
        </w:tc>
        <w:tc>
          <w:tcPr>
            <w:tcW w:w="1460" w:type="dxa"/>
            <w:tcBorders>
              <w:top w:val="nil"/>
              <w:left w:val="nil"/>
              <w:bottom w:val="single" w:sz="4" w:space="0" w:color="auto"/>
              <w:right w:val="single" w:sz="4" w:space="0" w:color="auto"/>
            </w:tcBorders>
            <w:vAlign w:val="center"/>
            <w:hideMark/>
          </w:tcPr>
          <w:p w:rsidR="00700A9A" w:rsidRPr="00700A9A" w:rsidP="00700A9A" w14:paraId="01715A22" w14:textId="77777777">
            <w:pPr>
              <w:spacing w:after="0" w:line="240" w:lineRule="auto"/>
              <w:jc w:val="right"/>
              <w:rPr>
                <w:rFonts w:eastAsia="Times New Roman" w:cstheme="minorHAnsi"/>
                <w:sz w:val="20"/>
                <w:szCs w:val="20"/>
              </w:rPr>
            </w:pPr>
            <w:r w:rsidRPr="00700A9A">
              <w:rPr>
                <w:rFonts w:eastAsia="Times New Roman" w:cstheme="minorHAnsi"/>
                <w:sz w:val="20"/>
                <w:szCs w:val="20"/>
              </w:rPr>
              <w:t xml:space="preserve">$0 </w:t>
            </w:r>
          </w:p>
        </w:tc>
      </w:tr>
      <w:tr w14:paraId="0EE26181"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0A7973BD" w14:textId="24130C07">
            <w:pPr>
              <w:spacing w:after="0" w:line="240" w:lineRule="auto"/>
              <w:ind w:left="432"/>
              <w:rPr>
                <w:rFonts w:eastAsia="Times New Roman" w:cstheme="minorHAnsi"/>
                <w:sz w:val="20"/>
                <w:szCs w:val="20"/>
              </w:rPr>
            </w:pPr>
            <w:r w:rsidRPr="00700A9A">
              <w:rPr>
                <w:rFonts w:eastAsia="Times New Roman" w:cstheme="minorHAnsi"/>
                <w:sz w:val="20"/>
                <w:szCs w:val="20"/>
              </w:rPr>
              <w:t xml:space="preserve">v. Notification of performance test </w:t>
            </w:r>
            <w:r w:rsidRPr="00700A9A">
              <w:rPr>
                <w:rFonts w:eastAsia="Times New Roman" w:cstheme="minorHAnsi"/>
                <w:sz w:val="20"/>
                <w:szCs w:val="20"/>
                <w:vertAlign w:val="superscript"/>
              </w:rPr>
              <w:t>c</w:t>
            </w:r>
          </w:p>
        </w:tc>
        <w:tc>
          <w:tcPr>
            <w:tcW w:w="1040" w:type="dxa"/>
            <w:tcBorders>
              <w:top w:val="nil"/>
              <w:left w:val="nil"/>
              <w:bottom w:val="single" w:sz="4" w:space="0" w:color="auto"/>
              <w:right w:val="single" w:sz="4" w:space="0" w:color="auto"/>
            </w:tcBorders>
            <w:vAlign w:val="center"/>
            <w:hideMark/>
          </w:tcPr>
          <w:p w:rsidR="00700A9A" w:rsidRPr="00700A9A" w:rsidP="00700A9A" w14:paraId="7059CAE3"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120" w:type="dxa"/>
            <w:tcBorders>
              <w:top w:val="nil"/>
              <w:left w:val="nil"/>
              <w:bottom w:val="single" w:sz="4" w:space="0" w:color="auto"/>
              <w:right w:val="single" w:sz="4" w:space="0" w:color="auto"/>
            </w:tcBorders>
            <w:vAlign w:val="center"/>
            <w:hideMark/>
          </w:tcPr>
          <w:p w:rsidR="00700A9A" w:rsidRPr="00700A9A" w:rsidP="00700A9A" w14:paraId="3FC94D44"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080" w:type="dxa"/>
            <w:tcBorders>
              <w:top w:val="nil"/>
              <w:left w:val="nil"/>
              <w:bottom w:val="single" w:sz="4" w:space="0" w:color="auto"/>
              <w:right w:val="single" w:sz="4" w:space="0" w:color="auto"/>
            </w:tcBorders>
            <w:vAlign w:val="center"/>
            <w:hideMark/>
          </w:tcPr>
          <w:p w:rsidR="00700A9A" w:rsidRPr="00700A9A" w:rsidP="00700A9A" w14:paraId="28A60BA3" w14:textId="77777777">
            <w:pPr>
              <w:spacing w:after="0" w:line="240" w:lineRule="auto"/>
              <w:jc w:val="center"/>
              <w:rPr>
                <w:rFonts w:eastAsia="Times New Roman" w:cstheme="minorHAnsi"/>
                <w:sz w:val="20"/>
                <w:szCs w:val="20"/>
              </w:rPr>
            </w:pPr>
            <w:r w:rsidRPr="00700A9A">
              <w:rPr>
                <w:rFonts w:eastAsia="Times New Roman" w:cstheme="minorHAnsi"/>
                <w:sz w:val="20"/>
                <w:szCs w:val="20"/>
              </w:rPr>
              <w:t>4</w:t>
            </w:r>
          </w:p>
        </w:tc>
        <w:tc>
          <w:tcPr>
            <w:tcW w:w="1160" w:type="dxa"/>
            <w:tcBorders>
              <w:top w:val="nil"/>
              <w:left w:val="nil"/>
              <w:bottom w:val="single" w:sz="4" w:space="0" w:color="auto"/>
              <w:right w:val="single" w:sz="4" w:space="0" w:color="auto"/>
            </w:tcBorders>
            <w:vAlign w:val="center"/>
            <w:hideMark/>
          </w:tcPr>
          <w:p w:rsidR="00700A9A" w:rsidRPr="00700A9A" w:rsidP="00700A9A" w14:paraId="05192F34"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3234A034" w14:textId="77777777">
            <w:pPr>
              <w:spacing w:after="0" w:line="240" w:lineRule="auto"/>
              <w:jc w:val="center"/>
              <w:rPr>
                <w:rFonts w:eastAsia="Times New Roman" w:cstheme="minorHAnsi"/>
                <w:sz w:val="20"/>
                <w:szCs w:val="20"/>
              </w:rPr>
            </w:pPr>
            <w:r w:rsidRPr="00700A9A">
              <w:rPr>
                <w:rFonts w:eastAsia="Times New Roman" w:cstheme="minorHAnsi"/>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27F2BB37" w14:textId="77777777">
            <w:pPr>
              <w:spacing w:after="0" w:line="240" w:lineRule="auto"/>
              <w:jc w:val="center"/>
              <w:rPr>
                <w:rFonts w:eastAsia="Times New Roman" w:cstheme="minorHAnsi"/>
                <w:sz w:val="20"/>
                <w:szCs w:val="20"/>
              </w:rPr>
            </w:pPr>
            <w:r w:rsidRPr="00700A9A">
              <w:rPr>
                <w:rFonts w:eastAsia="Times New Roman" w:cstheme="minorHAnsi"/>
                <w:sz w:val="20"/>
                <w:szCs w:val="20"/>
              </w:rPr>
              <w:t>0.20</w:t>
            </w:r>
          </w:p>
        </w:tc>
        <w:tc>
          <w:tcPr>
            <w:tcW w:w="980" w:type="dxa"/>
            <w:tcBorders>
              <w:top w:val="nil"/>
              <w:left w:val="nil"/>
              <w:bottom w:val="single" w:sz="4" w:space="0" w:color="auto"/>
              <w:right w:val="single" w:sz="4" w:space="0" w:color="auto"/>
            </w:tcBorders>
            <w:vAlign w:val="center"/>
            <w:hideMark/>
          </w:tcPr>
          <w:p w:rsidR="00700A9A" w:rsidRPr="00700A9A" w:rsidP="00700A9A" w14:paraId="2604FC08" w14:textId="77777777">
            <w:pPr>
              <w:spacing w:after="0" w:line="240" w:lineRule="auto"/>
              <w:jc w:val="center"/>
              <w:rPr>
                <w:rFonts w:eastAsia="Times New Roman" w:cstheme="minorHAnsi"/>
                <w:sz w:val="20"/>
                <w:szCs w:val="20"/>
              </w:rPr>
            </w:pPr>
            <w:r w:rsidRPr="00700A9A">
              <w:rPr>
                <w:rFonts w:eastAsia="Times New Roman" w:cstheme="minorHAnsi"/>
                <w:sz w:val="20"/>
                <w:szCs w:val="20"/>
              </w:rPr>
              <w:t>0.40</w:t>
            </w:r>
          </w:p>
        </w:tc>
        <w:tc>
          <w:tcPr>
            <w:tcW w:w="1460" w:type="dxa"/>
            <w:tcBorders>
              <w:top w:val="nil"/>
              <w:left w:val="nil"/>
              <w:bottom w:val="single" w:sz="4" w:space="0" w:color="auto"/>
              <w:right w:val="single" w:sz="4" w:space="0" w:color="auto"/>
            </w:tcBorders>
            <w:vAlign w:val="center"/>
            <w:hideMark/>
          </w:tcPr>
          <w:p w:rsidR="00700A9A" w:rsidRPr="00700A9A" w:rsidP="00700A9A" w14:paraId="28458A96" w14:textId="77777777">
            <w:pPr>
              <w:spacing w:after="0" w:line="240" w:lineRule="auto"/>
              <w:jc w:val="right"/>
              <w:rPr>
                <w:rFonts w:eastAsia="Times New Roman" w:cstheme="minorHAnsi"/>
                <w:sz w:val="20"/>
                <w:szCs w:val="20"/>
              </w:rPr>
            </w:pPr>
            <w:r w:rsidRPr="00700A9A">
              <w:rPr>
                <w:rFonts w:eastAsia="Times New Roman" w:cstheme="minorHAnsi"/>
                <w:sz w:val="20"/>
                <w:szCs w:val="20"/>
              </w:rPr>
              <w:t xml:space="preserve">$630.03 </w:t>
            </w:r>
          </w:p>
        </w:tc>
      </w:tr>
      <w:tr w14:paraId="29F41DE7"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1DC35081" w14:textId="09C136B2">
            <w:pPr>
              <w:spacing w:after="0" w:line="240" w:lineRule="auto"/>
              <w:ind w:left="432"/>
              <w:rPr>
                <w:rFonts w:eastAsia="Times New Roman" w:cstheme="minorHAnsi"/>
                <w:sz w:val="20"/>
                <w:szCs w:val="20"/>
              </w:rPr>
            </w:pPr>
            <w:r w:rsidRPr="00700A9A">
              <w:rPr>
                <w:rFonts w:eastAsia="Times New Roman" w:cstheme="minorHAnsi"/>
                <w:sz w:val="20"/>
                <w:szCs w:val="20"/>
              </w:rPr>
              <w:t>vi. Report of performance test</w:t>
            </w:r>
            <w:r w:rsidRPr="00700A9A">
              <w:rPr>
                <w:rFonts w:eastAsia="Times New Roman" w:cstheme="minorHAnsi"/>
                <w:sz w:val="20"/>
                <w:szCs w:val="20"/>
                <w:vertAlign w:val="superscript"/>
              </w:rPr>
              <w:t xml:space="preserve"> c, d</w:t>
            </w:r>
          </w:p>
        </w:tc>
        <w:tc>
          <w:tcPr>
            <w:tcW w:w="1040" w:type="dxa"/>
            <w:tcBorders>
              <w:top w:val="nil"/>
              <w:left w:val="nil"/>
              <w:bottom w:val="single" w:sz="4" w:space="0" w:color="auto"/>
              <w:right w:val="single" w:sz="4" w:space="0" w:color="auto"/>
            </w:tcBorders>
            <w:noWrap/>
            <w:vAlign w:val="center"/>
            <w:hideMark/>
          </w:tcPr>
          <w:p w:rsidR="00700A9A" w:rsidRPr="00700A9A" w:rsidP="00700A9A" w14:paraId="68F43901" w14:textId="77777777">
            <w:pPr>
              <w:spacing w:after="0" w:line="240" w:lineRule="auto"/>
              <w:jc w:val="center"/>
              <w:rPr>
                <w:rFonts w:eastAsia="Times New Roman" w:cstheme="minorHAnsi"/>
                <w:sz w:val="20"/>
                <w:szCs w:val="20"/>
              </w:rPr>
            </w:pPr>
            <w:r w:rsidRPr="00700A9A">
              <w:rPr>
                <w:rFonts w:eastAsia="Times New Roman" w:cstheme="minorHAnsi"/>
                <w:sz w:val="20"/>
                <w:szCs w:val="20"/>
              </w:rPr>
              <w:t>180</w:t>
            </w:r>
          </w:p>
        </w:tc>
        <w:tc>
          <w:tcPr>
            <w:tcW w:w="1120" w:type="dxa"/>
            <w:tcBorders>
              <w:top w:val="nil"/>
              <w:left w:val="nil"/>
              <w:bottom w:val="single" w:sz="4" w:space="0" w:color="auto"/>
              <w:right w:val="single" w:sz="4" w:space="0" w:color="auto"/>
            </w:tcBorders>
            <w:vAlign w:val="center"/>
            <w:hideMark/>
          </w:tcPr>
          <w:p w:rsidR="00700A9A" w:rsidRPr="00700A9A" w:rsidP="00700A9A" w14:paraId="7C3BDAE3" w14:textId="77777777">
            <w:pPr>
              <w:spacing w:after="0" w:line="240" w:lineRule="auto"/>
              <w:jc w:val="center"/>
              <w:rPr>
                <w:rFonts w:eastAsia="Times New Roman" w:cstheme="minorHAnsi"/>
                <w:sz w:val="20"/>
                <w:szCs w:val="20"/>
              </w:rPr>
            </w:pPr>
            <w:r w:rsidRPr="00700A9A">
              <w:rPr>
                <w:rFonts w:eastAsia="Times New Roman" w:cstheme="minorHAnsi"/>
                <w:sz w:val="20"/>
                <w:szCs w:val="20"/>
              </w:rPr>
              <w:t>2</w:t>
            </w:r>
          </w:p>
        </w:tc>
        <w:tc>
          <w:tcPr>
            <w:tcW w:w="1080" w:type="dxa"/>
            <w:tcBorders>
              <w:top w:val="nil"/>
              <w:left w:val="nil"/>
              <w:bottom w:val="single" w:sz="4" w:space="0" w:color="auto"/>
              <w:right w:val="single" w:sz="4" w:space="0" w:color="auto"/>
            </w:tcBorders>
            <w:vAlign w:val="center"/>
            <w:hideMark/>
          </w:tcPr>
          <w:p w:rsidR="00700A9A" w:rsidRPr="00700A9A" w:rsidP="00700A9A" w14:paraId="1F493C84" w14:textId="77777777">
            <w:pPr>
              <w:spacing w:after="0" w:line="240" w:lineRule="auto"/>
              <w:jc w:val="center"/>
              <w:rPr>
                <w:rFonts w:eastAsia="Times New Roman" w:cstheme="minorHAnsi"/>
                <w:sz w:val="20"/>
                <w:szCs w:val="20"/>
              </w:rPr>
            </w:pPr>
            <w:r w:rsidRPr="00700A9A">
              <w:rPr>
                <w:rFonts w:eastAsia="Times New Roman" w:cstheme="minorHAnsi"/>
                <w:sz w:val="20"/>
                <w:szCs w:val="20"/>
              </w:rPr>
              <w:t>360</w:t>
            </w:r>
          </w:p>
        </w:tc>
        <w:tc>
          <w:tcPr>
            <w:tcW w:w="1160" w:type="dxa"/>
            <w:tcBorders>
              <w:top w:val="nil"/>
              <w:left w:val="nil"/>
              <w:bottom w:val="single" w:sz="4" w:space="0" w:color="auto"/>
              <w:right w:val="single" w:sz="4" w:space="0" w:color="auto"/>
            </w:tcBorders>
            <w:vAlign w:val="center"/>
            <w:hideMark/>
          </w:tcPr>
          <w:p w:rsidR="00700A9A" w:rsidRPr="00700A9A" w:rsidP="00700A9A" w14:paraId="57A345C8" w14:textId="77777777">
            <w:pPr>
              <w:spacing w:after="0" w:line="240" w:lineRule="auto"/>
              <w:jc w:val="center"/>
              <w:rPr>
                <w:rFonts w:eastAsia="Times New Roman" w:cstheme="minorHAnsi"/>
                <w:sz w:val="20"/>
                <w:szCs w:val="20"/>
              </w:rPr>
            </w:pPr>
            <w:r w:rsidRPr="00700A9A">
              <w:rPr>
                <w:rFonts w:eastAsia="Times New Roman" w:cstheme="minorHAnsi"/>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2DB8DB7B" w14:textId="77777777">
            <w:pPr>
              <w:spacing w:after="0" w:line="240" w:lineRule="auto"/>
              <w:jc w:val="center"/>
              <w:rPr>
                <w:rFonts w:eastAsia="Times New Roman" w:cstheme="minorHAnsi"/>
                <w:sz w:val="20"/>
                <w:szCs w:val="20"/>
              </w:rPr>
            </w:pPr>
            <w:r w:rsidRPr="00700A9A">
              <w:rPr>
                <w:rFonts w:eastAsia="Times New Roman" w:cstheme="minorHAnsi"/>
                <w:sz w:val="20"/>
                <w:szCs w:val="20"/>
              </w:rPr>
              <w:t>360</w:t>
            </w:r>
          </w:p>
        </w:tc>
        <w:tc>
          <w:tcPr>
            <w:tcW w:w="1120" w:type="dxa"/>
            <w:tcBorders>
              <w:top w:val="nil"/>
              <w:left w:val="nil"/>
              <w:bottom w:val="single" w:sz="4" w:space="0" w:color="auto"/>
              <w:right w:val="single" w:sz="4" w:space="0" w:color="auto"/>
            </w:tcBorders>
            <w:vAlign w:val="center"/>
            <w:hideMark/>
          </w:tcPr>
          <w:p w:rsidR="00700A9A" w:rsidRPr="00700A9A" w:rsidP="00700A9A" w14:paraId="27C8BEA6" w14:textId="77777777">
            <w:pPr>
              <w:spacing w:after="0" w:line="240" w:lineRule="auto"/>
              <w:jc w:val="center"/>
              <w:rPr>
                <w:rFonts w:eastAsia="Times New Roman" w:cstheme="minorHAnsi"/>
                <w:sz w:val="20"/>
                <w:szCs w:val="20"/>
              </w:rPr>
            </w:pPr>
            <w:r w:rsidRPr="00700A9A">
              <w:rPr>
                <w:rFonts w:eastAsia="Times New Roman" w:cstheme="minorHAnsi"/>
                <w:sz w:val="20"/>
                <w:szCs w:val="20"/>
              </w:rPr>
              <w:t>18</w:t>
            </w:r>
          </w:p>
        </w:tc>
        <w:tc>
          <w:tcPr>
            <w:tcW w:w="980" w:type="dxa"/>
            <w:tcBorders>
              <w:top w:val="nil"/>
              <w:left w:val="nil"/>
              <w:bottom w:val="single" w:sz="4" w:space="0" w:color="auto"/>
              <w:right w:val="single" w:sz="4" w:space="0" w:color="auto"/>
            </w:tcBorders>
            <w:vAlign w:val="center"/>
            <w:hideMark/>
          </w:tcPr>
          <w:p w:rsidR="00700A9A" w:rsidRPr="00700A9A" w:rsidP="00700A9A" w14:paraId="5B46AC49" w14:textId="77777777">
            <w:pPr>
              <w:spacing w:after="0" w:line="240" w:lineRule="auto"/>
              <w:jc w:val="center"/>
              <w:rPr>
                <w:rFonts w:eastAsia="Times New Roman" w:cstheme="minorHAnsi"/>
                <w:sz w:val="20"/>
                <w:szCs w:val="20"/>
              </w:rPr>
            </w:pPr>
            <w:r w:rsidRPr="00700A9A">
              <w:rPr>
                <w:rFonts w:eastAsia="Times New Roman" w:cstheme="minorHAnsi"/>
                <w:sz w:val="20"/>
                <w:szCs w:val="20"/>
              </w:rPr>
              <w:t>36</w:t>
            </w:r>
          </w:p>
        </w:tc>
        <w:tc>
          <w:tcPr>
            <w:tcW w:w="1460" w:type="dxa"/>
            <w:tcBorders>
              <w:top w:val="nil"/>
              <w:left w:val="nil"/>
              <w:bottom w:val="single" w:sz="4" w:space="0" w:color="auto"/>
              <w:right w:val="single" w:sz="4" w:space="0" w:color="auto"/>
            </w:tcBorders>
            <w:vAlign w:val="center"/>
            <w:hideMark/>
          </w:tcPr>
          <w:p w:rsidR="00700A9A" w:rsidRPr="00700A9A" w:rsidP="00700A9A" w14:paraId="414C5F63" w14:textId="77777777">
            <w:pPr>
              <w:spacing w:after="0" w:line="240" w:lineRule="auto"/>
              <w:jc w:val="right"/>
              <w:rPr>
                <w:rFonts w:eastAsia="Times New Roman" w:cstheme="minorHAnsi"/>
                <w:sz w:val="20"/>
                <w:szCs w:val="20"/>
              </w:rPr>
            </w:pPr>
            <w:r w:rsidRPr="00700A9A">
              <w:rPr>
                <w:rFonts w:eastAsia="Times New Roman" w:cstheme="minorHAnsi"/>
                <w:sz w:val="20"/>
                <w:szCs w:val="20"/>
              </w:rPr>
              <w:t xml:space="preserve">$56,702.34 </w:t>
            </w:r>
          </w:p>
        </w:tc>
      </w:tr>
      <w:tr w14:paraId="1B4CD231"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152BDE98" w14:textId="545C0F73">
            <w:pPr>
              <w:spacing w:after="0" w:line="240" w:lineRule="auto"/>
              <w:ind w:left="432"/>
              <w:rPr>
                <w:rFonts w:eastAsia="Times New Roman" w:cstheme="minorHAnsi"/>
                <w:color w:val="000000"/>
                <w:sz w:val="20"/>
                <w:szCs w:val="20"/>
              </w:rPr>
            </w:pPr>
            <w:r w:rsidRPr="00700A9A">
              <w:rPr>
                <w:rFonts w:eastAsia="Times New Roman" w:cstheme="minorHAnsi"/>
                <w:color w:val="000000"/>
                <w:sz w:val="20"/>
                <w:szCs w:val="20"/>
              </w:rPr>
              <w:t xml:space="preserve">vii. Semiannual report </w:t>
            </w:r>
            <w:r w:rsidRPr="00700A9A">
              <w:rPr>
                <w:rFonts w:eastAsia="Times New Roman" w:cstheme="minorHAnsi"/>
                <w:color w:val="000000"/>
                <w:sz w:val="20"/>
                <w:szCs w:val="20"/>
                <w:vertAlign w:val="superscript"/>
              </w:rPr>
              <w:t>e</w:t>
            </w:r>
          </w:p>
        </w:tc>
        <w:tc>
          <w:tcPr>
            <w:tcW w:w="1040" w:type="dxa"/>
            <w:tcBorders>
              <w:top w:val="nil"/>
              <w:left w:val="nil"/>
              <w:bottom w:val="single" w:sz="4" w:space="0" w:color="auto"/>
              <w:right w:val="single" w:sz="4" w:space="0" w:color="auto"/>
            </w:tcBorders>
            <w:vAlign w:val="center"/>
            <w:hideMark/>
          </w:tcPr>
          <w:p w:rsidR="00700A9A" w:rsidRPr="00700A9A" w:rsidP="00700A9A" w14:paraId="4F071F1F"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20</w:t>
            </w:r>
          </w:p>
        </w:tc>
        <w:tc>
          <w:tcPr>
            <w:tcW w:w="1120" w:type="dxa"/>
            <w:tcBorders>
              <w:top w:val="nil"/>
              <w:left w:val="nil"/>
              <w:bottom w:val="single" w:sz="4" w:space="0" w:color="auto"/>
              <w:right w:val="single" w:sz="4" w:space="0" w:color="auto"/>
            </w:tcBorders>
            <w:vAlign w:val="center"/>
            <w:hideMark/>
          </w:tcPr>
          <w:p w:rsidR="00700A9A" w:rsidRPr="00700A9A" w:rsidP="00700A9A" w14:paraId="5F41C10D"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2</w:t>
            </w:r>
          </w:p>
        </w:tc>
        <w:tc>
          <w:tcPr>
            <w:tcW w:w="1080" w:type="dxa"/>
            <w:tcBorders>
              <w:top w:val="nil"/>
              <w:left w:val="nil"/>
              <w:bottom w:val="single" w:sz="4" w:space="0" w:color="auto"/>
              <w:right w:val="single" w:sz="4" w:space="0" w:color="auto"/>
            </w:tcBorders>
            <w:vAlign w:val="center"/>
            <w:hideMark/>
          </w:tcPr>
          <w:p w:rsidR="00700A9A" w:rsidRPr="00700A9A" w:rsidP="00700A9A" w14:paraId="7897F2ED"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40</w:t>
            </w:r>
          </w:p>
        </w:tc>
        <w:tc>
          <w:tcPr>
            <w:tcW w:w="1160" w:type="dxa"/>
            <w:tcBorders>
              <w:top w:val="nil"/>
              <w:left w:val="nil"/>
              <w:bottom w:val="single" w:sz="4" w:space="0" w:color="auto"/>
              <w:right w:val="single" w:sz="4" w:space="0" w:color="auto"/>
            </w:tcBorders>
            <w:vAlign w:val="center"/>
            <w:hideMark/>
          </w:tcPr>
          <w:p w:rsidR="00700A9A" w:rsidRPr="00700A9A" w:rsidP="00700A9A" w14:paraId="784F5AD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175BF35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40</w:t>
            </w:r>
          </w:p>
        </w:tc>
        <w:tc>
          <w:tcPr>
            <w:tcW w:w="1120" w:type="dxa"/>
            <w:tcBorders>
              <w:top w:val="nil"/>
              <w:left w:val="nil"/>
              <w:bottom w:val="single" w:sz="4" w:space="0" w:color="auto"/>
              <w:right w:val="single" w:sz="4" w:space="0" w:color="auto"/>
            </w:tcBorders>
            <w:vAlign w:val="center"/>
            <w:hideMark/>
          </w:tcPr>
          <w:p w:rsidR="00700A9A" w:rsidRPr="00700A9A" w:rsidP="00700A9A" w14:paraId="3D9354B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2</w:t>
            </w:r>
          </w:p>
        </w:tc>
        <w:tc>
          <w:tcPr>
            <w:tcW w:w="980" w:type="dxa"/>
            <w:tcBorders>
              <w:top w:val="nil"/>
              <w:left w:val="nil"/>
              <w:bottom w:val="single" w:sz="4" w:space="0" w:color="auto"/>
              <w:right w:val="single" w:sz="4" w:space="0" w:color="auto"/>
            </w:tcBorders>
            <w:vAlign w:val="center"/>
            <w:hideMark/>
          </w:tcPr>
          <w:p w:rsidR="00700A9A" w:rsidRPr="00700A9A" w:rsidP="00700A9A" w14:paraId="58256025"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460" w:type="dxa"/>
            <w:tcBorders>
              <w:top w:val="nil"/>
              <w:left w:val="nil"/>
              <w:bottom w:val="single" w:sz="4" w:space="0" w:color="auto"/>
              <w:right w:val="single" w:sz="4" w:space="0" w:color="auto"/>
            </w:tcBorders>
            <w:vAlign w:val="center"/>
            <w:hideMark/>
          </w:tcPr>
          <w:p w:rsidR="00700A9A" w:rsidRPr="00700A9A" w:rsidP="00700A9A" w14:paraId="2CE654B8"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$6,300.26 </w:t>
            </w:r>
          </w:p>
        </w:tc>
      </w:tr>
      <w:tr w14:paraId="5C12B7B3"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BB045A" w14:paraId="6D284FE1" w14:textId="6AC97EE0">
            <w:pPr>
              <w:spacing w:after="0" w:line="240" w:lineRule="auto"/>
              <w:ind w:left="432"/>
              <w:rPr>
                <w:rFonts w:eastAsia="Times New Roman" w:cstheme="minorHAnsi"/>
                <w:color w:val="000000"/>
                <w:sz w:val="20"/>
                <w:szCs w:val="20"/>
              </w:rPr>
            </w:pPr>
            <w:r w:rsidRPr="00700A9A">
              <w:rPr>
                <w:rFonts w:eastAsia="Times New Roman" w:cstheme="minorHAnsi"/>
                <w:color w:val="000000"/>
                <w:sz w:val="20"/>
                <w:szCs w:val="20"/>
              </w:rPr>
              <w:t>viii. Startup, shutdown, malfunction report</w:t>
            </w:r>
          </w:p>
        </w:tc>
        <w:tc>
          <w:tcPr>
            <w:tcW w:w="1040" w:type="dxa"/>
            <w:tcBorders>
              <w:top w:val="nil"/>
              <w:left w:val="nil"/>
              <w:bottom w:val="single" w:sz="4" w:space="0" w:color="auto"/>
              <w:right w:val="single" w:sz="4" w:space="0" w:color="auto"/>
            </w:tcBorders>
            <w:vAlign w:val="center"/>
            <w:hideMark/>
          </w:tcPr>
          <w:p w:rsidR="00700A9A" w:rsidRPr="00700A9A" w:rsidP="00700A9A" w14:paraId="3E8D5FC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50A024A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2AAA8F2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vAlign w:val="center"/>
            <w:hideMark/>
          </w:tcPr>
          <w:p w:rsidR="00700A9A" w:rsidRPr="00700A9A" w:rsidP="00700A9A" w14:paraId="6C41BFE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316ADAE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6B5BAFC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0.2</w:t>
            </w:r>
          </w:p>
        </w:tc>
        <w:tc>
          <w:tcPr>
            <w:tcW w:w="980" w:type="dxa"/>
            <w:tcBorders>
              <w:top w:val="nil"/>
              <w:left w:val="nil"/>
              <w:bottom w:val="single" w:sz="4" w:space="0" w:color="auto"/>
              <w:right w:val="single" w:sz="4" w:space="0" w:color="auto"/>
            </w:tcBorders>
            <w:vAlign w:val="center"/>
            <w:hideMark/>
          </w:tcPr>
          <w:p w:rsidR="00700A9A" w:rsidRPr="00700A9A" w:rsidP="00700A9A" w14:paraId="3773F895"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0.4</w:t>
            </w:r>
          </w:p>
        </w:tc>
        <w:tc>
          <w:tcPr>
            <w:tcW w:w="1460" w:type="dxa"/>
            <w:tcBorders>
              <w:top w:val="nil"/>
              <w:left w:val="nil"/>
              <w:bottom w:val="single" w:sz="4" w:space="0" w:color="auto"/>
              <w:right w:val="single" w:sz="4" w:space="0" w:color="auto"/>
            </w:tcBorders>
            <w:vAlign w:val="center"/>
            <w:hideMark/>
          </w:tcPr>
          <w:p w:rsidR="00700A9A" w:rsidRPr="00700A9A" w:rsidP="00700A9A" w14:paraId="77142D17"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$630.03 </w:t>
            </w:r>
          </w:p>
        </w:tc>
      </w:tr>
      <w:tr w14:paraId="2549EAC8"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551E410B" w14:textId="77777777">
            <w:pPr>
              <w:spacing w:after="0" w:line="240" w:lineRule="auto"/>
              <w:rPr>
                <w:rFonts w:eastAsia="Times New Roman" w:cstheme="minorHAnsi"/>
                <w:b/>
                <w:bCs/>
                <w:i/>
                <w:iCs/>
                <w:color w:val="000000"/>
                <w:sz w:val="20"/>
                <w:szCs w:val="20"/>
              </w:rPr>
            </w:pPr>
            <w:r w:rsidRPr="00700A9A">
              <w:rPr>
                <w:rFonts w:eastAsia="Times New Roman" w:cstheme="minorHAnsi"/>
                <w:b/>
                <w:bCs/>
                <w:i/>
                <w:iCs/>
                <w:color w:val="000000"/>
                <w:sz w:val="20"/>
                <w:szCs w:val="20"/>
              </w:rPr>
              <w:t>Subtotal for Reporting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04B215DF" w14:textId="77777777">
            <w:pPr>
              <w:spacing w:after="0" w:line="240" w:lineRule="auto"/>
              <w:jc w:val="center"/>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3EFDBB71" w14:textId="77777777">
            <w:pPr>
              <w:spacing w:after="0" w:line="240" w:lineRule="auto"/>
              <w:jc w:val="center"/>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270CB711" w14:textId="77777777">
            <w:pPr>
              <w:spacing w:after="0" w:line="240" w:lineRule="auto"/>
              <w:jc w:val="center"/>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2DD7D8ED" w14:textId="77777777">
            <w:pPr>
              <w:spacing w:after="0" w:line="240" w:lineRule="auto"/>
              <w:jc w:val="center"/>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3080" w:type="dxa"/>
            <w:gridSpan w:val="3"/>
            <w:tcBorders>
              <w:top w:val="single" w:sz="4" w:space="0" w:color="auto"/>
              <w:left w:val="nil"/>
              <w:bottom w:val="single" w:sz="4" w:space="0" w:color="auto"/>
              <w:right w:val="single" w:sz="4" w:space="0" w:color="auto"/>
            </w:tcBorders>
            <w:vAlign w:val="center"/>
            <w:hideMark/>
          </w:tcPr>
          <w:p w:rsidR="00700A9A" w:rsidRPr="00700A9A" w:rsidP="00700A9A" w14:paraId="4CA9B617" w14:textId="77777777">
            <w:pPr>
              <w:spacing w:after="0" w:line="240" w:lineRule="auto"/>
              <w:jc w:val="center"/>
              <w:rPr>
                <w:rFonts w:eastAsia="Times New Roman" w:cstheme="minorHAnsi"/>
                <w:b/>
                <w:bCs/>
                <w:i/>
                <w:iCs/>
                <w:color w:val="000000"/>
                <w:sz w:val="20"/>
                <w:szCs w:val="20"/>
              </w:rPr>
            </w:pPr>
            <w:r w:rsidRPr="00700A9A">
              <w:rPr>
                <w:rFonts w:eastAsia="Times New Roman" w:cstheme="minorHAnsi"/>
                <w:b/>
                <w:bCs/>
                <w:i/>
                <w:iCs/>
                <w:color w:val="000000"/>
                <w:sz w:val="20"/>
                <w:szCs w:val="20"/>
              </w:rPr>
              <w:t>495</w:t>
            </w:r>
          </w:p>
        </w:tc>
        <w:tc>
          <w:tcPr>
            <w:tcW w:w="1460" w:type="dxa"/>
            <w:tcBorders>
              <w:top w:val="nil"/>
              <w:left w:val="nil"/>
              <w:bottom w:val="single" w:sz="4" w:space="0" w:color="auto"/>
              <w:right w:val="single" w:sz="4" w:space="0" w:color="auto"/>
            </w:tcBorders>
            <w:vAlign w:val="center"/>
            <w:hideMark/>
          </w:tcPr>
          <w:p w:rsidR="00700A9A" w:rsidRPr="00700A9A" w:rsidP="00700A9A" w14:paraId="25BB80D3" w14:textId="77777777">
            <w:pPr>
              <w:spacing w:after="0" w:line="240" w:lineRule="auto"/>
              <w:jc w:val="right"/>
              <w:rPr>
                <w:rFonts w:eastAsia="Times New Roman" w:cstheme="minorHAnsi"/>
                <w:b/>
                <w:bCs/>
                <w:i/>
                <w:iCs/>
                <w:color w:val="000000"/>
                <w:sz w:val="20"/>
                <w:szCs w:val="20"/>
              </w:rPr>
            </w:pPr>
            <w:r w:rsidRPr="00700A9A">
              <w:rPr>
                <w:rFonts w:eastAsia="Times New Roman" w:cstheme="minorHAnsi"/>
                <w:b/>
                <w:bCs/>
                <w:i/>
                <w:iCs/>
                <w:color w:val="000000"/>
                <w:sz w:val="20"/>
                <w:szCs w:val="20"/>
              </w:rPr>
              <w:t xml:space="preserve">$67,728 </w:t>
            </w:r>
          </w:p>
        </w:tc>
      </w:tr>
      <w:tr w14:paraId="643BA5C7"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1FC0C31D"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2. Recordkeeping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4109FBD0"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370E30F5"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3678EB0A"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57DDB5C6"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6F935048"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017BD4D1"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06A016BE"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460" w:type="dxa"/>
            <w:tcBorders>
              <w:top w:val="nil"/>
              <w:left w:val="nil"/>
              <w:bottom w:val="single" w:sz="4" w:space="0" w:color="auto"/>
              <w:right w:val="single" w:sz="4" w:space="0" w:color="auto"/>
            </w:tcBorders>
            <w:vAlign w:val="center"/>
            <w:hideMark/>
          </w:tcPr>
          <w:p w:rsidR="00700A9A" w:rsidRPr="00700A9A" w:rsidP="00700A9A" w14:paraId="46952F12"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r>
      <w:tr w14:paraId="726070FB"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5F53B4E2"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a. Familiarize with regulatory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294F2A0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5D0C25E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36172D8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60" w:type="dxa"/>
            <w:tcBorders>
              <w:top w:val="nil"/>
              <w:left w:val="nil"/>
              <w:bottom w:val="single" w:sz="4" w:space="0" w:color="auto"/>
              <w:right w:val="single" w:sz="4" w:space="0" w:color="auto"/>
            </w:tcBorders>
            <w:vAlign w:val="center"/>
            <w:hideMark/>
          </w:tcPr>
          <w:p w:rsidR="00700A9A" w:rsidRPr="00700A9A" w:rsidP="00700A9A" w14:paraId="323AF56E"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1AE63ED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4</w:t>
            </w:r>
          </w:p>
        </w:tc>
        <w:tc>
          <w:tcPr>
            <w:tcW w:w="1120" w:type="dxa"/>
            <w:tcBorders>
              <w:top w:val="nil"/>
              <w:left w:val="nil"/>
              <w:bottom w:val="single" w:sz="4" w:space="0" w:color="auto"/>
              <w:right w:val="single" w:sz="4" w:space="0" w:color="auto"/>
            </w:tcBorders>
            <w:vAlign w:val="center"/>
            <w:hideMark/>
          </w:tcPr>
          <w:p w:rsidR="00700A9A" w:rsidRPr="00700A9A" w:rsidP="00700A9A" w14:paraId="0E04F18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0.2</w:t>
            </w:r>
          </w:p>
        </w:tc>
        <w:tc>
          <w:tcPr>
            <w:tcW w:w="980" w:type="dxa"/>
            <w:tcBorders>
              <w:top w:val="nil"/>
              <w:left w:val="nil"/>
              <w:bottom w:val="single" w:sz="4" w:space="0" w:color="auto"/>
              <w:right w:val="single" w:sz="4" w:space="0" w:color="auto"/>
            </w:tcBorders>
            <w:vAlign w:val="center"/>
            <w:hideMark/>
          </w:tcPr>
          <w:p w:rsidR="00700A9A" w:rsidRPr="00700A9A" w:rsidP="00700A9A" w14:paraId="6EB2AFD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0.4</w:t>
            </w:r>
          </w:p>
        </w:tc>
        <w:tc>
          <w:tcPr>
            <w:tcW w:w="1460" w:type="dxa"/>
            <w:tcBorders>
              <w:top w:val="nil"/>
              <w:left w:val="nil"/>
              <w:bottom w:val="single" w:sz="4" w:space="0" w:color="auto"/>
              <w:right w:val="single" w:sz="4" w:space="0" w:color="auto"/>
            </w:tcBorders>
            <w:vAlign w:val="center"/>
            <w:hideMark/>
          </w:tcPr>
          <w:p w:rsidR="00700A9A" w:rsidRPr="00700A9A" w:rsidP="00700A9A" w14:paraId="580FD4B8"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$630.03 </w:t>
            </w:r>
          </w:p>
        </w:tc>
      </w:tr>
      <w:tr w14:paraId="6AA67C28"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78DB3ABA"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b. Plan activities</w:t>
            </w:r>
          </w:p>
        </w:tc>
        <w:tc>
          <w:tcPr>
            <w:tcW w:w="1040" w:type="dxa"/>
            <w:tcBorders>
              <w:top w:val="nil"/>
              <w:left w:val="nil"/>
              <w:bottom w:val="single" w:sz="4" w:space="0" w:color="auto"/>
              <w:right w:val="single" w:sz="4" w:space="0" w:color="auto"/>
            </w:tcBorders>
            <w:vAlign w:val="center"/>
            <w:hideMark/>
          </w:tcPr>
          <w:p w:rsidR="00700A9A" w:rsidRPr="00700A9A" w:rsidP="00700A9A" w14:paraId="0D68E0FE"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20" w:type="dxa"/>
            <w:tcBorders>
              <w:top w:val="nil"/>
              <w:left w:val="nil"/>
              <w:bottom w:val="single" w:sz="4" w:space="0" w:color="auto"/>
              <w:right w:val="single" w:sz="4" w:space="0" w:color="auto"/>
            </w:tcBorders>
            <w:vAlign w:val="center"/>
            <w:hideMark/>
          </w:tcPr>
          <w:p w:rsidR="00700A9A" w:rsidRPr="00700A9A" w:rsidP="00700A9A" w14:paraId="0B8C27A6"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1AD9C7B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60" w:type="dxa"/>
            <w:tcBorders>
              <w:top w:val="nil"/>
              <w:left w:val="nil"/>
              <w:bottom w:val="single" w:sz="4" w:space="0" w:color="auto"/>
              <w:right w:val="single" w:sz="4" w:space="0" w:color="auto"/>
            </w:tcBorders>
            <w:vAlign w:val="center"/>
            <w:hideMark/>
          </w:tcPr>
          <w:p w:rsidR="00700A9A" w:rsidRPr="00700A9A" w:rsidP="00700A9A" w14:paraId="2FCEE0F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2E9838E5"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20" w:type="dxa"/>
            <w:tcBorders>
              <w:top w:val="nil"/>
              <w:left w:val="nil"/>
              <w:bottom w:val="single" w:sz="4" w:space="0" w:color="auto"/>
              <w:right w:val="single" w:sz="4" w:space="0" w:color="auto"/>
            </w:tcBorders>
            <w:vAlign w:val="center"/>
            <w:hideMark/>
          </w:tcPr>
          <w:p w:rsidR="00700A9A" w:rsidRPr="00700A9A" w:rsidP="00700A9A" w14:paraId="20CB7DA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0.6</w:t>
            </w:r>
          </w:p>
        </w:tc>
        <w:tc>
          <w:tcPr>
            <w:tcW w:w="980" w:type="dxa"/>
            <w:tcBorders>
              <w:top w:val="nil"/>
              <w:left w:val="nil"/>
              <w:bottom w:val="single" w:sz="4" w:space="0" w:color="auto"/>
              <w:right w:val="single" w:sz="4" w:space="0" w:color="auto"/>
            </w:tcBorders>
            <w:vAlign w:val="center"/>
            <w:hideMark/>
          </w:tcPr>
          <w:p w:rsidR="00700A9A" w:rsidRPr="00700A9A" w:rsidP="00700A9A" w14:paraId="399FA4E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460" w:type="dxa"/>
            <w:tcBorders>
              <w:top w:val="nil"/>
              <w:left w:val="nil"/>
              <w:bottom w:val="single" w:sz="4" w:space="0" w:color="auto"/>
              <w:right w:val="single" w:sz="4" w:space="0" w:color="auto"/>
            </w:tcBorders>
            <w:vAlign w:val="center"/>
            <w:hideMark/>
          </w:tcPr>
          <w:p w:rsidR="00700A9A" w:rsidRPr="00700A9A" w:rsidP="00700A9A" w14:paraId="3C858E07"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$1,890.08 </w:t>
            </w:r>
          </w:p>
        </w:tc>
      </w:tr>
      <w:tr w14:paraId="1C31AA2A"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0FF5EDAA"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c. Implement activities</w:t>
            </w:r>
          </w:p>
        </w:tc>
        <w:tc>
          <w:tcPr>
            <w:tcW w:w="1040" w:type="dxa"/>
            <w:tcBorders>
              <w:top w:val="nil"/>
              <w:left w:val="nil"/>
              <w:bottom w:val="single" w:sz="4" w:space="0" w:color="auto"/>
              <w:right w:val="single" w:sz="4" w:space="0" w:color="auto"/>
            </w:tcBorders>
            <w:vAlign w:val="center"/>
            <w:hideMark/>
          </w:tcPr>
          <w:p w:rsidR="00700A9A" w:rsidRPr="00700A9A" w:rsidP="00700A9A" w14:paraId="68AB5225"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20" w:type="dxa"/>
            <w:tcBorders>
              <w:top w:val="nil"/>
              <w:left w:val="nil"/>
              <w:bottom w:val="single" w:sz="4" w:space="0" w:color="auto"/>
              <w:right w:val="single" w:sz="4" w:space="0" w:color="auto"/>
            </w:tcBorders>
            <w:vAlign w:val="center"/>
            <w:hideMark/>
          </w:tcPr>
          <w:p w:rsidR="00700A9A" w:rsidRPr="00700A9A" w:rsidP="00700A9A" w14:paraId="0F7B48E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07A8C29A"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60" w:type="dxa"/>
            <w:tcBorders>
              <w:top w:val="nil"/>
              <w:left w:val="nil"/>
              <w:bottom w:val="single" w:sz="4" w:space="0" w:color="auto"/>
              <w:right w:val="single" w:sz="4" w:space="0" w:color="auto"/>
            </w:tcBorders>
            <w:vAlign w:val="center"/>
            <w:hideMark/>
          </w:tcPr>
          <w:p w:rsidR="00700A9A" w:rsidRPr="00700A9A" w:rsidP="00700A9A" w14:paraId="703E4B02"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20D08D5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20" w:type="dxa"/>
            <w:tcBorders>
              <w:top w:val="nil"/>
              <w:left w:val="nil"/>
              <w:bottom w:val="single" w:sz="4" w:space="0" w:color="auto"/>
              <w:right w:val="single" w:sz="4" w:space="0" w:color="auto"/>
            </w:tcBorders>
            <w:vAlign w:val="center"/>
            <w:hideMark/>
          </w:tcPr>
          <w:p w:rsidR="00700A9A" w:rsidRPr="00700A9A" w:rsidP="00700A9A" w14:paraId="7BCB98D2"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0.6</w:t>
            </w:r>
          </w:p>
        </w:tc>
        <w:tc>
          <w:tcPr>
            <w:tcW w:w="980" w:type="dxa"/>
            <w:tcBorders>
              <w:top w:val="nil"/>
              <w:left w:val="nil"/>
              <w:bottom w:val="single" w:sz="4" w:space="0" w:color="auto"/>
              <w:right w:val="single" w:sz="4" w:space="0" w:color="auto"/>
            </w:tcBorders>
            <w:vAlign w:val="center"/>
            <w:hideMark/>
          </w:tcPr>
          <w:p w:rsidR="00700A9A" w:rsidRPr="00700A9A" w:rsidP="00700A9A" w14:paraId="4CB2BC6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460" w:type="dxa"/>
            <w:tcBorders>
              <w:top w:val="nil"/>
              <w:left w:val="nil"/>
              <w:bottom w:val="single" w:sz="4" w:space="0" w:color="auto"/>
              <w:right w:val="single" w:sz="4" w:space="0" w:color="auto"/>
            </w:tcBorders>
            <w:vAlign w:val="center"/>
            <w:hideMark/>
          </w:tcPr>
          <w:p w:rsidR="00700A9A" w:rsidRPr="00700A9A" w:rsidP="00700A9A" w14:paraId="7FF2AF07"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$1,890.08 </w:t>
            </w:r>
          </w:p>
        </w:tc>
      </w:tr>
      <w:tr w14:paraId="0141E15B"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3859C23C"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d. Time to train personnel</w:t>
            </w:r>
          </w:p>
        </w:tc>
        <w:tc>
          <w:tcPr>
            <w:tcW w:w="1040" w:type="dxa"/>
            <w:tcBorders>
              <w:top w:val="nil"/>
              <w:left w:val="nil"/>
              <w:bottom w:val="single" w:sz="4" w:space="0" w:color="auto"/>
              <w:right w:val="single" w:sz="4" w:space="0" w:color="auto"/>
            </w:tcBorders>
            <w:vAlign w:val="center"/>
            <w:hideMark/>
          </w:tcPr>
          <w:p w:rsidR="00700A9A" w:rsidRPr="00700A9A" w:rsidP="00700A9A" w14:paraId="667D3B6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10</w:t>
            </w:r>
          </w:p>
        </w:tc>
        <w:tc>
          <w:tcPr>
            <w:tcW w:w="1120" w:type="dxa"/>
            <w:tcBorders>
              <w:top w:val="nil"/>
              <w:left w:val="nil"/>
              <w:bottom w:val="single" w:sz="4" w:space="0" w:color="auto"/>
              <w:right w:val="single" w:sz="4" w:space="0" w:color="auto"/>
            </w:tcBorders>
            <w:vAlign w:val="center"/>
            <w:hideMark/>
          </w:tcPr>
          <w:p w:rsidR="00700A9A" w:rsidRPr="00700A9A" w:rsidP="00700A9A" w14:paraId="6D5BF24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700A9A" w:rsidRPr="00700A9A" w:rsidP="00700A9A" w14:paraId="7B6B235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10</w:t>
            </w:r>
          </w:p>
        </w:tc>
        <w:tc>
          <w:tcPr>
            <w:tcW w:w="1160" w:type="dxa"/>
            <w:tcBorders>
              <w:top w:val="nil"/>
              <w:left w:val="nil"/>
              <w:bottom w:val="single" w:sz="4" w:space="0" w:color="auto"/>
              <w:right w:val="single" w:sz="4" w:space="0" w:color="auto"/>
            </w:tcBorders>
            <w:vAlign w:val="center"/>
            <w:hideMark/>
          </w:tcPr>
          <w:p w:rsidR="00700A9A" w:rsidRPr="00700A9A" w:rsidP="00700A9A" w14:paraId="58371F9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55C2AD4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10</w:t>
            </w:r>
          </w:p>
        </w:tc>
        <w:tc>
          <w:tcPr>
            <w:tcW w:w="1120" w:type="dxa"/>
            <w:tcBorders>
              <w:top w:val="nil"/>
              <w:left w:val="nil"/>
              <w:bottom w:val="single" w:sz="4" w:space="0" w:color="auto"/>
              <w:right w:val="single" w:sz="4" w:space="0" w:color="auto"/>
            </w:tcBorders>
            <w:vAlign w:val="center"/>
            <w:hideMark/>
          </w:tcPr>
          <w:p w:rsidR="00700A9A" w:rsidRPr="00700A9A" w:rsidP="00700A9A" w14:paraId="287D7D91"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0.5</w:t>
            </w:r>
          </w:p>
        </w:tc>
        <w:tc>
          <w:tcPr>
            <w:tcW w:w="980" w:type="dxa"/>
            <w:tcBorders>
              <w:top w:val="nil"/>
              <w:left w:val="nil"/>
              <w:bottom w:val="single" w:sz="4" w:space="0" w:color="auto"/>
              <w:right w:val="single" w:sz="4" w:space="0" w:color="auto"/>
            </w:tcBorders>
            <w:vAlign w:val="center"/>
            <w:hideMark/>
          </w:tcPr>
          <w:p w:rsidR="00700A9A" w:rsidRPr="00700A9A" w:rsidP="00700A9A" w14:paraId="7146ED2E"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460" w:type="dxa"/>
            <w:tcBorders>
              <w:top w:val="nil"/>
              <w:left w:val="nil"/>
              <w:bottom w:val="single" w:sz="4" w:space="0" w:color="auto"/>
              <w:right w:val="single" w:sz="4" w:space="0" w:color="auto"/>
            </w:tcBorders>
            <w:vAlign w:val="center"/>
            <w:hideMark/>
          </w:tcPr>
          <w:p w:rsidR="00700A9A" w:rsidRPr="00700A9A" w:rsidP="00700A9A" w14:paraId="4905DED1"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$1,575.07 </w:t>
            </w:r>
          </w:p>
        </w:tc>
      </w:tr>
      <w:tr w14:paraId="352409C8"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576F02F9"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e. Time to enter information</w:t>
            </w:r>
          </w:p>
        </w:tc>
        <w:tc>
          <w:tcPr>
            <w:tcW w:w="1040" w:type="dxa"/>
            <w:tcBorders>
              <w:top w:val="nil"/>
              <w:left w:val="nil"/>
              <w:bottom w:val="single" w:sz="4" w:space="0" w:color="auto"/>
              <w:right w:val="single" w:sz="4" w:space="0" w:color="auto"/>
            </w:tcBorders>
            <w:vAlign w:val="center"/>
            <w:hideMark/>
          </w:tcPr>
          <w:p w:rsidR="00700A9A" w:rsidRPr="00700A9A" w:rsidP="00700A9A" w14:paraId="58D1FD06"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1120" w:type="dxa"/>
            <w:tcBorders>
              <w:top w:val="nil"/>
              <w:left w:val="nil"/>
              <w:bottom w:val="single" w:sz="4" w:space="0" w:color="auto"/>
              <w:right w:val="single" w:sz="4" w:space="0" w:color="auto"/>
            </w:tcBorders>
            <w:vAlign w:val="center"/>
            <w:hideMark/>
          </w:tcPr>
          <w:p w:rsidR="00700A9A" w:rsidRPr="00700A9A" w:rsidP="00700A9A" w14:paraId="0AE4AA12"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1080" w:type="dxa"/>
            <w:tcBorders>
              <w:top w:val="nil"/>
              <w:left w:val="nil"/>
              <w:bottom w:val="single" w:sz="4" w:space="0" w:color="auto"/>
              <w:right w:val="single" w:sz="4" w:space="0" w:color="auto"/>
            </w:tcBorders>
            <w:vAlign w:val="center"/>
            <w:hideMark/>
          </w:tcPr>
          <w:p w:rsidR="00700A9A" w:rsidRPr="00700A9A" w:rsidP="00700A9A" w14:paraId="015D34AF"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1160" w:type="dxa"/>
            <w:tcBorders>
              <w:top w:val="nil"/>
              <w:left w:val="nil"/>
              <w:bottom w:val="single" w:sz="4" w:space="0" w:color="auto"/>
              <w:right w:val="single" w:sz="4" w:space="0" w:color="auto"/>
            </w:tcBorders>
            <w:vAlign w:val="center"/>
            <w:hideMark/>
          </w:tcPr>
          <w:p w:rsidR="00700A9A" w:rsidRPr="00700A9A" w:rsidP="00700A9A" w14:paraId="6FBABD4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980" w:type="dxa"/>
            <w:tcBorders>
              <w:top w:val="nil"/>
              <w:left w:val="nil"/>
              <w:bottom w:val="single" w:sz="4" w:space="0" w:color="auto"/>
              <w:right w:val="single" w:sz="4" w:space="0" w:color="auto"/>
            </w:tcBorders>
            <w:vAlign w:val="center"/>
            <w:hideMark/>
          </w:tcPr>
          <w:p w:rsidR="00700A9A" w:rsidRPr="00700A9A" w:rsidP="00700A9A" w14:paraId="69FBD38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1120" w:type="dxa"/>
            <w:tcBorders>
              <w:top w:val="nil"/>
              <w:left w:val="nil"/>
              <w:bottom w:val="single" w:sz="4" w:space="0" w:color="auto"/>
              <w:right w:val="single" w:sz="4" w:space="0" w:color="auto"/>
            </w:tcBorders>
            <w:vAlign w:val="center"/>
            <w:hideMark/>
          </w:tcPr>
          <w:p w:rsidR="00700A9A" w:rsidRPr="00700A9A" w:rsidP="00700A9A" w14:paraId="7CEF217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980" w:type="dxa"/>
            <w:tcBorders>
              <w:top w:val="nil"/>
              <w:left w:val="nil"/>
              <w:bottom w:val="single" w:sz="4" w:space="0" w:color="auto"/>
              <w:right w:val="single" w:sz="4" w:space="0" w:color="auto"/>
            </w:tcBorders>
            <w:vAlign w:val="center"/>
            <w:hideMark/>
          </w:tcPr>
          <w:p w:rsidR="00700A9A" w:rsidRPr="00700A9A" w:rsidP="00700A9A" w14:paraId="7CE46F6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w:t>
            </w:r>
          </w:p>
        </w:tc>
        <w:tc>
          <w:tcPr>
            <w:tcW w:w="1460" w:type="dxa"/>
            <w:tcBorders>
              <w:top w:val="nil"/>
              <w:left w:val="nil"/>
              <w:bottom w:val="single" w:sz="4" w:space="0" w:color="auto"/>
              <w:right w:val="single" w:sz="4" w:space="0" w:color="auto"/>
            </w:tcBorders>
            <w:vAlign w:val="center"/>
            <w:hideMark/>
          </w:tcPr>
          <w:p w:rsidR="00700A9A" w:rsidRPr="00700A9A" w:rsidP="00700A9A" w14:paraId="6292CF35"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w:t>
            </w:r>
          </w:p>
        </w:tc>
      </w:tr>
      <w:tr w14:paraId="3C246782"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noWrap/>
            <w:vAlign w:val="center"/>
            <w:hideMark/>
          </w:tcPr>
          <w:p w:rsidR="00700A9A" w:rsidRPr="00700A9A" w:rsidP="00700A9A" w14:paraId="42981C37" w14:textId="3BAFE60A">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f.</w:t>
            </w:r>
            <w:r w:rsidR="00BB045A">
              <w:rPr>
                <w:rFonts w:eastAsia="Times New Roman" w:cstheme="minorHAnsi"/>
                <w:color w:val="000000"/>
                <w:sz w:val="20"/>
                <w:szCs w:val="20"/>
              </w:rPr>
              <w:t xml:space="preserve"> </w:t>
            </w:r>
            <w:r w:rsidRPr="00700A9A">
              <w:rPr>
                <w:rFonts w:eastAsia="Times New Roman" w:cstheme="minorHAnsi"/>
                <w:color w:val="000000"/>
                <w:sz w:val="20"/>
                <w:szCs w:val="20"/>
              </w:rPr>
              <w:t xml:space="preserve">Store, file, and maintain records </w:t>
            </w:r>
            <w:r w:rsidRPr="00700A9A">
              <w:rPr>
                <w:rFonts w:eastAsia="Times New Roman" w:cstheme="minorHAnsi"/>
                <w:color w:val="000000"/>
                <w:sz w:val="20"/>
                <w:szCs w:val="20"/>
                <w:vertAlign w:val="superscript"/>
              </w:rPr>
              <w:t>f</w:t>
            </w:r>
          </w:p>
        </w:tc>
        <w:tc>
          <w:tcPr>
            <w:tcW w:w="1040" w:type="dxa"/>
            <w:tcBorders>
              <w:top w:val="nil"/>
              <w:left w:val="nil"/>
              <w:bottom w:val="single" w:sz="4" w:space="0" w:color="auto"/>
              <w:right w:val="single" w:sz="4" w:space="0" w:color="auto"/>
            </w:tcBorders>
            <w:vAlign w:val="center"/>
            <w:hideMark/>
          </w:tcPr>
          <w:p w:rsidR="00700A9A" w:rsidRPr="00700A9A" w:rsidP="00700A9A" w14:paraId="607F4CA9"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120" w:type="dxa"/>
            <w:tcBorders>
              <w:top w:val="nil"/>
              <w:left w:val="nil"/>
              <w:bottom w:val="single" w:sz="4" w:space="0" w:color="auto"/>
              <w:right w:val="single" w:sz="4" w:space="0" w:color="auto"/>
            </w:tcBorders>
            <w:vAlign w:val="center"/>
            <w:hideMark/>
          </w:tcPr>
          <w:p w:rsidR="00700A9A" w:rsidRPr="00700A9A" w:rsidP="00700A9A" w14:paraId="0EACD1B4"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365</w:t>
            </w:r>
          </w:p>
        </w:tc>
        <w:tc>
          <w:tcPr>
            <w:tcW w:w="1080" w:type="dxa"/>
            <w:tcBorders>
              <w:top w:val="nil"/>
              <w:left w:val="nil"/>
              <w:bottom w:val="single" w:sz="4" w:space="0" w:color="auto"/>
              <w:right w:val="single" w:sz="4" w:space="0" w:color="auto"/>
            </w:tcBorders>
            <w:vAlign w:val="center"/>
            <w:hideMark/>
          </w:tcPr>
          <w:p w:rsidR="00700A9A" w:rsidRPr="00700A9A" w:rsidP="00700A9A" w14:paraId="16F5A5DC"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365</w:t>
            </w:r>
          </w:p>
        </w:tc>
        <w:tc>
          <w:tcPr>
            <w:tcW w:w="1160" w:type="dxa"/>
            <w:tcBorders>
              <w:top w:val="nil"/>
              <w:left w:val="nil"/>
              <w:bottom w:val="single" w:sz="4" w:space="0" w:color="auto"/>
              <w:right w:val="single" w:sz="4" w:space="0" w:color="auto"/>
            </w:tcBorders>
            <w:vAlign w:val="center"/>
            <w:hideMark/>
          </w:tcPr>
          <w:p w:rsidR="00700A9A" w:rsidRPr="00700A9A" w:rsidP="00700A9A" w14:paraId="68E896A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3DE770AF"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365</w:t>
            </w:r>
          </w:p>
        </w:tc>
        <w:tc>
          <w:tcPr>
            <w:tcW w:w="1120" w:type="dxa"/>
            <w:tcBorders>
              <w:top w:val="nil"/>
              <w:left w:val="nil"/>
              <w:bottom w:val="single" w:sz="4" w:space="0" w:color="auto"/>
              <w:right w:val="single" w:sz="4" w:space="0" w:color="auto"/>
            </w:tcBorders>
            <w:vAlign w:val="center"/>
            <w:hideMark/>
          </w:tcPr>
          <w:p w:rsidR="00700A9A" w:rsidRPr="00700A9A" w:rsidP="00700A9A" w14:paraId="72DACD60"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18.25</w:t>
            </w:r>
          </w:p>
        </w:tc>
        <w:tc>
          <w:tcPr>
            <w:tcW w:w="980" w:type="dxa"/>
            <w:tcBorders>
              <w:top w:val="nil"/>
              <w:left w:val="nil"/>
              <w:bottom w:val="single" w:sz="4" w:space="0" w:color="auto"/>
              <w:right w:val="single" w:sz="4" w:space="0" w:color="auto"/>
            </w:tcBorders>
            <w:vAlign w:val="center"/>
            <w:hideMark/>
          </w:tcPr>
          <w:p w:rsidR="00700A9A" w:rsidRPr="00700A9A" w:rsidP="00700A9A" w14:paraId="4F05D9F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36.5</w:t>
            </w:r>
          </w:p>
        </w:tc>
        <w:tc>
          <w:tcPr>
            <w:tcW w:w="1460" w:type="dxa"/>
            <w:tcBorders>
              <w:top w:val="nil"/>
              <w:left w:val="nil"/>
              <w:bottom w:val="single" w:sz="4" w:space="0" w:color="auto"/>
              <w:right w:val="single" w:sz="4" w:space="0" w:color="auto"/>
            </w:tcBorders>
            <w:vAlign w:val="center"/>
            <w:hideMark/>
          </w:tcPr>
          <w:p w:rsidR="00700A9A" w:rsidRPr="00700A9A" w:rsidP="00700A9A" w14:paraId="2E8840A3"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$57,489.87 </w:t>
            </w:r>
          </w:p>
        </w:tc>
      </w:tr>
      <w:tr w14:paraId="6EAF99FE"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5BA3CC34" w14:textId="77777777">
            <w:pPr>
              <w:spacing w:after="0" w:line="240" w:lineRule="auto"/>
              <w:ind w:firstLine="200" w:firstLineChars="100"/>
              <w:rPr>
                <w:rFonts w:eastAsia="Times New Roman" w:cstheme="minorHAnsi"/>
                <w:color w:val="000000"/>
                <w:sz w:val="20"/>
                <w:szCs w:val="20"/>
              </w:rPr>
            </w:pPr>
            <w:r w:rsidRPr="00700A9A">
              <w:rPr>
                <w:rFonts w:eastAsia="Times New Roman" w:cstheme="minorHAnsi"/>
                <w:color w:val="000000"/>
                <w:sz w:val="20"/>
                <w:szCs w:val="20"/>
              </w:rPr>
              <w:t xml:space="preserve">g. Retrieve records/reports </w:t>
            </w:r>
            <w:r w:rsidRPr="00700A9A">
              <w:rPr>
                <w:rFonts w:eastAsia="Times New Roman" w:cstheme="minorHAnsi"/>
                <w:color w:val="000000"/>
                <w:sz w:val="20"/>
                <w:szCs w:val="20"/>
                <w:vertAlign w:val="superscript"/>
              </w:rPr>
              <w:t>g</w:t>
            </w:r>
          </w:p>
        </w:tc>
        <w:tc>
          <w:tcPr>
            <w:tcW w:w="1040" w:type="dxa"/>
            <w:tcBorders>
              <w:top w:val="nil"/>
              <w:left w:val="nil"/>
              <w:bottom w:val="single" w:sz="4" w:space="0" w:color="auto"/>
              <w:right w:val="single" w:sz="4" w:space="0" w:color="auto"/>
            </w:tcBorders>
            <w:vAlign w:val="center"/>
            <w:hideMark/>
          </w:tcPr>
          <w:p w:rsidR="00700A9A" w:rsidRPr="00700A9A" w:rsidP="00700A9A" w14:paraId="35DDC8E6"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1120" w:type="dxa"/>
            <w:tcBorders>
              <w:top w:val="nil"/>
              <w:left w:val="nil"/>
              <w:bottom w:val="single" w:sz="4" w:space="0" w:color="auto"/>
              <w:right w:val="single" w:sz="4" w:space="0" w:color="auto"/>
            </w:tcBorders>
            <w:vAlign w:val="center"/>
            <w:hideMark/>
          </w:tcPr>
          <w:p w:rsidR="00700A9A" w:rsidRPr="00700A9A" w:rsidP="00700A9A" w14:paraId="1870E983"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080" w:type="dxa"/>
            <w:tcBorders>
              <w:top w:val="nil"/>
              <w:left w:val="nil"/>
              <w:bottom w:val="single" w:sz="4" w:space="0" w:color="auto"/>
              <w:right w:val="single" w:sz="4" w:space="0" w:color="auto"/>
            </w:tcBorders>
            <w:vAlign w:val="center"/>
            <w:hideMark/>
          </w:tcPr>
          <w:p w:rsidR="00700A9A" w:rsidRPr="00700A9A" w:rsidP="00700A9A" w14:paraId="3EBB04C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60" w:type="dxa"/>
            <w:tcBorders>
              <w:top w:val="nil"/>
              <w:left w:val="nil"/>
              <w:bottom w:val="single" w:sz="4" w:space="0" w:color="auto"/>
              <w:right w:val="single" w:sz="4" w:space="0" w:color="auto"/>
            </w:tcBorders>
            <w:vAlign w:val="center"/>
            <w:hideMark/>
          </w:tcPr>
          <w:p w:rsidR="00700A9A" w:rsidRPr="00700A9A" w:rsidP="00700A9A" w14:paraId="27B33D5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700A9A" w:rsidRPr="00700A9A" w:rsidP="00700A9A" w14:paraId="22459797"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120" w:type="dxa"/>
            <w:tcBorders>
              <w:top w:val="nil"/>
              <w:left w:val="nil"/>
              <w:bottom w:val="single" w:sz="4" w:space="0" w:color="auto"/>
              <w:right w:val="single" w:sz="4" w:space="0" w:color="auto"/>
            </w:tcBorders>
            <w:vAlign w:val="center"/>
            <w:hideMark/>
          </w:tcPr>
          <w:p w:rsidR="00700A9A" w:rsidRPr="00700A9A" w:rsidP="00700A9A" w14:paraId="62D532ED"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0.6</w:t>
            </w:r>
          </w:p>
        </w:tc>
        <w:tc>
          <w:tcPr>
            <w:tcW w:w="980" w:type="dxa"/>
            <w:tcBorders>
              <w:top w:val="nil"/>
              <w:left w:val="nil"/>
              <w:bottom w:val="single" w:sz="4" w:space="0" w:color="auto"/>
              <w:right w:val="single" w:sz="4" w:space="0" w:color="auto"/>
            </w:tcBorders>
            <w:vAlign w:val="center"/>
            <w:hideMark/>
          </w:tcPr>
          <w:p w:rsidR="00700A9A" w:rsidRPr="00700A9A" w:rsidP="00700A9A" w14:paraId="280F9B58"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1.2</w:t>
            </w:r>
          </w:p>
        </w:tc>
        <w:tc>
          <w:tcPr>
            <w:tcW w:w="1460" w:type="dxa"/>
            <w:tcBorders>
              <w:top w:val="nil"/>
              <w:left w:val="nil"/>
              <w:bottom w:val="single" w:sz="4" w:space="0" w:color="auto"/>
              <w:right w:val="single" w:sz="4" w:space="0" w:color="auto"/>
            </w:tcBorders>
            <w:vAlign w:val="center"/>
            <w:hideMark/>
          </w:tcPr>
          <w:p w:rsidR="00700A9A" w:rsidRPr="00700A9A" w:rsidP="00700A9A" w14:paraId="79C7525C" w14:textId="77777777">
            <w:pPr>
              <w:spacing w:after="0" w:line="240" w:lineRule="auto"/>
              <w:jc w:val="right"/>
              <w:rPr>
                <w:rFonts w:eastAsia="Times New Roman" w:cstheme="minorHAnsi"/>
                <w:color w:val="000000"/>
                <w:sz w:val="20"/>
                <w:szCs w:val="20"/>
              </w:rPr>
            </w:pPr>
            <w:r w:rsidRPr="00700A9A">
              <w:rPr>
                <w:rFonts w:eastAsia="Times New Roman" w:cstheme="minorHAnsi"/>
                <w:color w:val="000000"/>
                <w:sz w:val="20"/>
                <w:szCs w:val="20"/>
              </w:rPr>
              <w:t xml:space="preserve">$1,890.08 </w:t>
            </w:r>
          </w:p>
        </w:tc>
      </w:tr>
      <w:tr w14:paraId="76DEF938" w14:textId="77777777" w:rsidTr="00700A9A">
        <w:tblPrEx>
          <w:tblW w:w="13060" w:type="dxa"/>
          <w:tblInd w:w="113" w:type="dxa"/>
          <w:tblLook w:val="04A0"/>
        </w:tblPrEx>
        <w:trPr>
          <w:trHeight w:val="300"/>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61B387CD" w14:textId="77777777">
            <w:pPr>
              <w:spacing w:after="0" w:line="240" w:lineRule="auto"/>
              <w:rPr>
                <w:rFonts w:eastAsia="Times New Roman" w:cstheme="minorHAnsi"/>
                <w:b/>
                <w:bCs/>
                <w:i/>
                <w:iCs/>
                <w:color w:val="000000"/>
                <w:sz w:val="20"/>
                <w:szCs w:val="20"/>
              </w:rPr>
            </w:pPr>
            <w:r w:rsidRPr="00700A9A">
              <w:rPr>
                <w:rFonts w:eastAsia="Times New Roman" w:cstheme="minorHAnsi"/>
                <w:b/>
                <w:bCs/>
                <w:i/>
                <w:iCs/>
                <w:color w:val="000000"/>
                <w:sz w:val="20"/>
                <w:szCs w:val="20"/>
              </w:rPr>
              <w:t>Subtotal for Recordkeeping Requirements</w:t>
            </w:r>
          </w:p>
        </w:tc>
        <w:tc>
          <w:tcPr>
            <w:tcW w:w="1040" w:type="dxa"/>
            <w:tcBorders>
              <w:top w:val="nil"/>
              <w:left w:val="nil"/>
              <w:bottom w:val="single" w:sz="4" w:space="0" w:color="auto"/>
              <w:right w:val="single" w:sz="4" w:space="0" w:color="auto"/>
            </w:tcBorders>
            <w:vAlign w:val="center"/>
            <w:hideMark/>
          </w:tcPr>
          <w:p w:rsidR="00700A9A" w:rsidRPr="00700A9A" w:rsidP="00700A9A" w14:paraId="3F6DBE48" w14:textId="77777777">
            <w:pPr>
              <w:spacing w:after="0" w:line="240" w:lineRule="auto"/>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70299ED4" w14:textId="77777777">
            <w:pPr>
              <w:spacing w:after="0" w:line="240" w:lineRule="auto"/>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07BF2095" w14:textId="77777777">
            <w:pPr>
              <w:spacing w:after="0" w:line="240" w:lineRule="auto"/>
              <w:jc w:val="center"/>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4A51A774" w14:textId="77777777">
            <w:pPr>
              <w:spacing w:after="0" w:line="240" w:lineRule="auto"/>
              <w:rPr>
                <w:rFonts w:eastAsia="Times New Roman" w:cstheme="minorHAnsi"/>
                <w:i/>
                <w:iCs/>
                <w:color w:val="000000"/>
                <w:sz w:val="20"/>
                <w:szCs w:val="20"/>
              </w:rPr>
            </w:pPr>
            <w:r w:rsidRPr="00700A9A">
              <w:rPr>
                <w:rFonts w:eastAsia="Times New Roman" w:cstheme="minorHAnsi"/>
                <w:i/>
                <w:iCs/>
                <w:color w:val="000000"/>
                <w:sz w:val="20"/>
                <w:szCs w:val="20"/>
              </w:rPr>
              <w:t> </w:t>
            </w:r>
          </w:p>
        </w:tc>
        <w:tc>
          <w:tcPr>
            <w:tcW w:w="3080" w:type="dxa"/>
            <w:gridSpan w:val="3"/>
            <w:tcBorders>
              <w:top w:val="single" w:sz="4" w:space="0" w:color="auto"/>
              <w:left w:val="nil"/>
              <w:bottom w:val="single" w:sz="4" w:space="0" w:color="auto"/>
              <w:right w:val="single" w:sz="4" w:space="0" w:color="auto"/>
            </w:tcBorders>
            <w:vAlign w:val="center"/>
            <w:hideMark/>
          </w:tcPr>
          <w:p w:rsidR="00700A9A" w:rsidRPr="00700A9A" w:rsidP="00700A9A" w14:paraId="3991F73D" w14:textId="77777777">
            <w:pPr>
              <w:spacing w:after="0" w:line="240" w:lineRule="auto"/>
              <w:jc w:val="center"/>
              <w:rPr>
                <w:rFonts w:eastAsia="Times New Roman" w:cstheme="minorHAnsi"/>
                <w:b/>
                <w:bCs/>
                <w:i/>
                <w:iCs/>
                <w:color w:val="000000"/>
                <w:sz w:val="20"/>
                <w:szCs w:val="20"/>
              </w:rPr>
            </w:pPr>
            <w:r w:rsidRPr="00700A9A">
              <w:rPr>
                <w:rFonts w:eastAsia="Times New Roman" w:cstheme="minorHAnsi"/>
                <w:b/>
                <w:bCs/>
                <w:i/>
                <w:iCs/>
                <w:color w:val="000000"/>
                <w:sz w:val="20"/>
                <w:szCs w:val="20"/>
              </w:rPr>
              <w:t>477</w:t>
            </w:r>
          </w:p>
        </w:tc>
        <w:tc>
          <w:tcPr>
            <w:tcW w:w="1460" w:type="dxa"/>
            <w:tcBorders>
              <w:top w:val="nil"/>
              <w:left w:val="nil"/>
              <w:bottom w:val="single" w:sz="4" w:space="0" w:color="auto"/>
              <w:right w:val="single" w:sz="4" w:space="0" w:color="auto"/>
            </w:tcBorders>
            <w:vAlign w:val="center"/>
            <w:hideMark/>
          </w:tcPr>
          <w:p w:rsidR="00700A9A" w:rsidRPr="00700A9A" w:rsidP="00700A9A" w14:paraId="2FC6C0CB" w14:textId="77777777">
            <w:pPr>
              <w:spacing w:after="0" w:line="240" w:lineRule="auto"/>
              <w:jc w:val="right"/>
              <w:rPr>
                <w:rFonts w:eastAsia="Times New Roman" w:cstheme="minorHAnsi"/>
                <w:b/>
                <w:bCs/>
                <w:i/>
                <w:iCs/>
                <w:color w:val="000000"/>
                <w:sz w:val="20"/>
                <w:szCs w:val="20"/>
              </w:rPr>
            </w:pPr>
            <w:r w:rsidRPr="00700A9A">
              <w:rPr>
                <w:rFonts w:eastAsia="Times New Roman" w:cstheme="minorHAnsi"/>
                <w:b/>
                <w:bCs/>
                <w:i/>
                <w:iCs/>
                <w:color w:val="000000"/>
                <w:sz w:val="20"/>
                <w:szCs w:val="20"/>
              </w:rPr>
              <w:t xml:space="preserve">$65,365 </w:t>
            </w:r>
          </w:p>
        </w:tc>
      </w:tr>
      <w:tr w14:paraId="3F615B25"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630BD280" w14:textId="77777777">
            <w:pPr>
              <w:spacing w:after="0" w:line="240" w:lineRule="auto"/>
              <w:rPr>
                <w:rFonts w:eastAsia="Times New Roman" w:cstheme="minorHAnsi"/>
                <w:b/>
                <w:bCs/>
                <w:color w:val="000000"/>
                <w:sz w:val="20"/>
                <w:szCs w:val="20"/>
              </w:rPr>
            </w:pPr>
            <w:r w:rsidRPr="00700A9A">
              <w:rPr>
                <w:rFonts w:eastAsia="Times New Roman" w:cstheme="minorHAnsi"/>
                <w:b/>
                <w:bCs/>
                <w:color w:val="000000"/>
                <w:sz w:val="20"/>
                <w:szCs w:val="20"/>
              </w:rPr>
              <w:t xml:space="preserve">Total Labor Burden and Costs (rounded) </w:t>
            </w:r>
            <w:r w:rsidRPr="00700A9A">
              <w:rPr>
                <w:rFonts w:eastAsia="Times New Roman" w:cstheme="minorHAnsi"/>
                <w:b/>
                <w:bCs/>
                <w:color w:val="000000"/>
                <w:sz w:val="20"/>
                <w:szCs w:val="20"/>
                <w:vertAlign w:val="superscript"/>
              </w:rPr>
              <w:t>h</w:t>
            </w:r>
          </w:p>
        </w:tc>
        <w:tc>
          <w:tcPr>
            <w:tcW w:w="1040" w:type="dxa"/>
            <w:tcBorders>
              <w:top w:val="nil"/>
              <w:left w:val="nil"/>
              <w:bottom w:val="single" w:sz="4" w:space="0" w:color="auto"/>
              <w:right w:val="single" w:sz="4" w:space="0" w:color="auto"/>
            </w:tcBorders>
            <w:vAlign w:val="center"/>
            <w:hideMark/>
          </w:tcPr>
          <w:p w:rsidR="00700A9A" w:rsidRPr="00700A9A" w:rsidP="00700A9A" w14:paraId="57976DC3"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675AB5F1"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1E02D22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6D457982"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3080" w:type="dxa"/>
            <w:gridSpan w:val="3"/>
            <w:tcBorders>
              <w:top w:val="single" w:sz="4" w:space="0" w:color="auto"/>
              <w:left w:val="nil"/>
              <w:bottom w:val="single" w:sz="4" w:space="0" w:color="auto"/>
              <w:right w:val="single" w:sz="4" w:space="0" w:color="auto"/>
            </w:tcBorders>
            <w:vAlign w:val="center"/>
            <w:hideMark/>
          </w:tcPr>
          <w:p w:rsidR="00700A9A" w:rsidRPr="00700A9A" w:rsidP="00700A9A" w14:paraId="1D5371C8"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972</w:t>
            </w:r>
          </w:p>
        </w:tc>
        <w:tc>
          <w:tcPr>
            <w:tcW w:w="1460" w:type="dxa"/>
            <w:tcBorders>
              <w:top w:val="nil"/>
              <w:left w:val="nil"/>
              <w:bottom w:val="single" w:sz="4" w:space="0" w:color="auto"/>
              <w:right w:val="single" w:sz="4" w:space="0" w:color="auto"/>
            </w:tcBorders>
            <w:vAlign w:val="center"/>
            <w:hideMark/>
          </w:tcPr>
          <w:p w:rsidR="00700A9A" w:rsidRPr="00700A9A" w:rsidP="00700A9A" w14:paraId="2540BB62" w14:textId="77777777">
            <w:pPr>
              <w:spacing w:after="0" w:line="240" w:lineRule="auto"/>
              <w:jc w:val="right"/>
              <w:rPr>
                <w:rFonts w:eastAsia="Times New Roman" w:cstheme="minorHAnsi"/>
                <w:b/>
                <w:bCs/>
                <w:color w:val="000000"/>
                <w:sz w:val="20"/>
                <w:szCs w:val="20"/>
              </w:rPr>
            </w:pPr>
            <w:r w:rsidRPr="00700A9A">
              <w:rPr>
                <w:rFonts w:eastAsia="Times New Roman" w:cstheme="minorHAnsi"/>
                <w:b/>
                <w:bCs/>
                <w:color w:val="000000"/>
                <w:sz w:val="20"/>
                <w:szCs w:val="20"/>
              </w:rPr>
              <w:t xml:space="preserve">$133,000 </w:t>
            </w:r>
          </w:p>
        </w:tc>
      </w:tr>
      <w:tr w14:paraId="4B9C02C8"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14F26B4B" w14:textId="77777777">
            <w:pPr>
              <w:spacing w:after="0" w:line="240" w:lineRule="auto"/>
              <w:rPr>
                <w:rFonts w:eastAsia="Times New Roman" w:cstheme="minorHAnsi"/>
                <w:b/>
                <w:bCs/>
                <w:color w:val="000000"/>
                <w:sz w:val="20"/>
                <w:szCs w:val="20"/>
              </w:rPr>
            </w:pPr>
            <w:r w:rsidRPr="00700A9A">
              <w:rPr>
                <w:rFonts w:eastAsia="Times New Roman" w:cstheme="minorHAnsi"/>
                <w:b/>
                <w:bCs/>
                <w:color w:val="000000"/>
                <w:sz w:val="20"/>
                <w:szCs w:val="20"/>
              </w:rPr>
              <w:t xml:space="preserve">Total Capital and O&amp;M Costs (rounded) </w:t>
            </w:r>
            <w:r w:rsidRPr="00700A9A">
              <w:rPr>
                <w:rFonts w:eastAsia="Times New Roman" w:cstheme="minorHAnsi"/>
                <w:b/>
                <w:bCs/>
                <w:color w:val="000000"/>
                <w:sz w:val="20"/>
                <w:szCs w:val="20"/>
                <w:vertAlign w:val="superscript"/>
              </w:rPr>
              <w:t>h</w:t>
            </w:r>
          </w:p>
        </w:tc>
        <w:tc>
          <w:tcPr>
            <w:tcW w:w="1040" w:type="dxa"/>
            <w:tcBorders>
              <w:top w:val="nil"/>
              <w:left w:val="nil"/>
              <w:bottom w:val="single" w:sz="4" w:space="0" w:color="auto"/>
              <w:right w:val="single" w:sz="4" w:space="0" w:color="auto"/>
            </w:tcBorders>
            <w:vAlign w:val="center"/>
            <w:hideMark/>
          </w:tcPr>
          <w:p w:rsidR="00700A9A" w:rsidRPr="00700A9A" w:rsidP="00700A9A" w14:paraId="330ACF59"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40C15E87"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555428AC"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18A94134"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30371EE4"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4DA8D0BE"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605CE08A"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1460" w:type="dxa"/>
            <w:tcBorders>
              <w:top w:val="nil"/>
              <w:left w:val="nil"/>
              <w:bottom w:val="single" w:sz="4" w:space="0" w:color="auto"/>
              <w:right w:val="single" w:sz="4" w:space="0" w:color="auto"/>
            </w:tcBorders>
            <w:vAlign w:val="center"/>
            <w:hideMark/>
          </w:tcPr>
          <w:p w:rsidR="00700A9A" w:rsidRPr="00700A9A" w:rsidP="00700A9A" w14:paraId="661EEDF7" w14:textId="77777777">
            <w:pPr>
              <w:spacing w:after="0" w:line="240" w:lineRule="auto"/>
              <w:jc w:val="right"/>
              <w:rPr>
                <w:rFonts w:eastAsia="Times New Roman" w:cstheme="minorHAnsi"/>
                <w:b/>
                <w:bCs/>
                <w:color w:val="000000"/>
                <w:sz w:val="20"/>
                <w:szCs w:val="20"/>
              </w:rPr>
            </w:pPr>
            <w:r w:rsidRPr="00700A9A">
              <w:rPr>
                <w:rFonts w:eastAsia="Times New Roman" w:cstheme="minorHAnsi"/>
                <w:b/>
                <w:bCs/>
                <w:color w:val="000000"/>
                <w:sz w:val="20"/>
                <w:szCs w:val="20"/>
              </w:rPr>
              <w:t xml:space="preserve">$1,820 </w:t>
            </w:r>
          </w:p>
        </w:tc>
      </w:tr>
      <w:tr w14:paraId="2509AECC" w14:textId="77777777" w:rsidTr="00700A9A">
        <w:tblPrEx>
          <w:tblW w:w="13060" w:type="dxa"/>
          <w:tblInd w:w="113" w:type="dxa"/>
          <w:tblLook w:val="04A0"/>
        </w:tblPrEx>
        <w:trPr>
          <w:trHeight w:val="315"/>
        </w:trPr>
        <w:tc>
          <w:tcPr>
            <w:tcW w:w="4120" w:type="dxa"/>
            <w:tcBorders>
              <w:top w:val="nil"/>
              <w:left w:val="single" w:sz="4" w:space="0" w:color="auto"/>
              <w:bottom w:val="single" w:sz="4" w:space="0" w:color="auto"/>
              <w:right w:val="single" w:sz="4" w:space="0" w:color="auto"/>
            </w:tcBorders>
            <w:vAlign w:val="center"/>
            <w:hideMark/>
          </w:tcPr>
          <w:p w:rsidR="00700A9A" w:rsidRPr="00700A9A" w:rsidP="00700A9A" w14:paraId="3B239BA2" w14:textId="77777777">
            <w:pPr>
              <w:spacing w:after="0" w:line="240" w:lineRule="auto"/>
              <w:rPr>
                <w:rFonts w:eastAsia="Times New Roman" w:cstheme="minorHAnsi"/>
                <w:b/>
                <w:bCs/>
                <w:color w:val="000000"/>
                <w:sz w:val="20"/>
                <w:szCs w:val="20"/>
              </w:rPr>
            </w:pPr>
            <w:r w:rsidRPr="00700A9A">
              <w:rPr>
                <w:rFonts w:eastAsia="Times New Roman" w:cstheme="minorHAnsi"/>
                <w:b/>
                <w:bCs/>
                <w:color w:val="000000"/>
                <w:sz w:val="20"/>
                <w:szCs w:val="20"/>
              </w:rPr>
              <w:t xml:space="preserve">Grand Total (rounded) </w:t>
            </w:r>
            <w:r w:rsidRPr="00700A9A">
              <w:rPr>
                <w:rFonts w:eastAsia="Times New Roman" w:cstheme="minorHAnsi"/>
                <w:b/>
                <w:bCs/>
                <w:color w:val="000000"/>
                <w:sz w:val="20"/>
                <w:szCs w:val="20"/>
                <w:vertAlign w:val="superscript"/>
              </w:rPr>
              <w:t>h</w:t>
            </w:r>
          </w:p>
        </w:tc>
        <w:tc>
          <w:tcPr>
            <w:tcW w:w="1040" w:type="dxa"/>
            <w:tcBorders>
              <w:top w:val="nil"/>
              <w:left w:val="nil"/>
              <w:bottom w:val="single" w:sz="4" w:space="0" w:color="auto"/>
              <w:right w:val="single" w:sz="4" w:space="0" w:color="auto"/>
            </w:tcBorders>
            <w:vAlign w:val="center"/>
            <w:hideMark/>
          </w:tcPr>
          <w:p w:rsidR="00700A9A" w:rsidRPr="00700A9A" w:rsidP="00700A9A" w14:paraId="60165BAF"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54C82D80"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700A9A" w:rsidRPr="00700A9A" w:rsidP="00700A9A" w14:paraId="1E867B0B" w14:textId="77777777">
            <w:pPr>
              <w:spacing w:after="0" w:line="240" w:lineRule="auto"/>
              <w:jc w:val="center"/>
              <w:rPr>
                <w:rFonts w:eastAsia="Times New Roman" w:cstheme="minorHAnsi"/>
                <w:color w:val="000000"/>
                <w:sz w:val="20"/>
                <w:szCs w:val="20"/>
              </w:rPr>
            </w:pPr>
            <w:r w:rsidRPr="00700A9A">
              <w:rPr>
                <w:rFonts w:eastAsia="Times New Roman" w:cstheme="minorHAnsi"/>
                <w:color w:val="000000"/>
                <w:sz w:val="20"/>
                <w:szCs w:val="20"/>
              </w:rPr>
              <w:t> </w:t>
            </w:r>
          </w:p>
        </w:tc>
        <w:tc>
          <w:tcPr>
            <w:tcW w:w="1160" w:type="dxa"/>
            <w:tcBorders>
              <w:top w:val="nil"/>
              <w:left w:val="nil"/>
              <w:bottom w:val="single" w:sz="4" w:space="0" w:color="auto"/>
              <w:right w:val="single" w:sz="4" w:space="0" w:color="auto"/>
            </w:tcBorders>
            <w:vAlign w:val="center"/>
            <w:hideMark/>
          </w:tcPr>
          <w:p w:rsidR="00700A9A" w:rsidRPr="00700A9A" w:rsidP="00700A9A" w14:paraId="282B0BEC" w14:textId="77777777">
            <w:pPr>
              <w:spacing w:after="0" w:line="240" w:lineRule="auto"/>
              <w:rPr>
                <w:rFonts w:eastAsia="Times New Roman" w:cstheme="minorHAnsi"/>
                <w:color w:val="000000"/>
                <w:sz w:val="20"/>
                <w:szCs w:val="20"/>
              </w:rPr>
            </w:pPr>
            <w:r w:rsidRPr="00700A9A">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167515AF"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1120" w:type="dxa"/>
            <w:tcBorders>
              <w:top w:val="nil"/>
              <w:left w:val="nil"/>
              <w:bottom w:val="single" w:sz="4" w:space="0" w:color="auto"/>
              <w:right w:val="single" w:sz="4" w:space="0" w:color="auto"/>
            </w:tcBorders>
            <w:vAlign w:val="center"/>
            <w:hideMark/>
          </w:tcPr>
          <w:p w:rsidR="00700A9A" w:rsidRPr="00700A9A" w:rsidP="00700A9A" w14:paraId="24CD8FDA"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980" w:type="dxa"/>
            <w:tcBorders>
              <w:top w:val="nil"/>
              <w:left w:val="nil"/>
              <w:bottom w:val="single" w:sz="4" w:space="0" w:color="auto"/>
              <w:right w:val="single" w:sz="4" w:space="0" w:color="auto"/>
            </w:tcBorders>
            <w:vAlign w:val="center"/>
            <w:hideMark/>
          </w:tcPr>
          <w:p w:rsidR="00700A9A" w:rsidRPr="00700A9A" w:rsidP="00700A9A" w14:paraId="7D14574A" w14:textId="77777777">
            <w:pPr>
              <w:spacing w:after="0" w:line="240" w:lineRule="auto"/>
              <w:jc w:val="center"/>
              <w:rPr>
                <w:rFonts w:eastAsia="Times New Roman" w:cstheme="minorHAnsi"/>
                <w:b/>
                <w:bCs/>
                <w:color w:val="000000"/>
                <w:sz w:val="20"/>
                <w:szCs w:val="20"/>
              </w:rPr>
            </w:pPr>
            <w:r w:rsidRPr="00700A9A">
              <w:rPr>
                <w:rFonts w:eastAsia="Times New Roman" w:cstheme="minorHAnsi"/>
                <w:b/>
                <w:bCs/>
                <w:color w:val="000000"/>
                <w:sz w:val="20"/>
                <w:szCs w:val="20"/>
              </w:rPr>
              <w:t> </w:t>
            </w:r>
          </w:p>
        </w:tc>
        <w:tc>
          <w:tcPr>
            <w:tcW w:w="1460" w:type="dxa"/>
            <w:tcBorders>
              <w:top w:val="nil"/>
              <w:left w:val="nil"/>
              <w:bottom w:val="single" w:sz="4" w:space="0" w:color="auto"/>
              <w:right w:val="single" w:sz="4" w:space="0" w:color="auto"/>
            </w:tcBorders>
            <w:vAlign w:val="center"/>
            <w:hideMark/>
          </w:tcPr>
          <w:p w:rsidR="00700A9A" w:rsidRPr="00700A9A" w:rsidP="00700A9A" w14:paraId="10659B76" w14:textId="77777777">
            <w:pPr>
              <w:spacing w:after="0" w:line="240" w:lineRule="auto"/>
              <w:jc w:val="right"/>
              <w:rPr>
                <w:rFonts w:eastAsia="Times New Roman" w:cstheme="minorHAnsi"/>
                <w:b/>
                <w:bCs/>
                <w:color w:val="000000"/>
                <w:sz w:val="20"/>
                <w:szCs w:val="20"/>
              </w:rPr>
            </w:pPr>
            <w:r w:rsidRPr="00700A9A">
              <w:rPr>
                <w:rFonts w:eastAsia="Times New Roman" w:cstheme="minorHAnsi"/>
                <w:b/>
                <w:bCs/>
                <w:color w:val="000000"/>
                <w:sz w:val="20"/>
                <w:szCs w:val="20"/>
              </w:rPr>
              <w:t xml:space="preserve">$135,000 </w:t>
            </w:r>
          </w:p>
        </w:tc>
      </w:tr>
      <w:tr w14:paraId="58D99547" w14:textId="77777777" w:rsidTr="00700A9A">
        <w:tblPrEx>
          <w:tblW w:w="13060" w:type="dxa"/>
          <w:tblInd w:w="113" w:type="dxa"/>
          <w:tblLook w:val="04A0"/>
        </w:tblPrEx>
        <w:trPr>
          <w:trHeight w:val="300"/>
        </w:trPr>
        <w:tc>
          <w:tcPr>
            <w:tcW w:w="4120" w:type="dxa"/>
            <w:tcBorders>
              <w:top w:val="nil"/>
              <w:left w:val="nil"/>
              <w:bottom w:val="nil"/>
              <w:right w:val="nil"/>
            </w:tcBorders>
            <w:noWrap/>
            <w:vAlign w:val="bottom"/>
            <w:hideMark/>
          </w:tcPr>
          <w:p w:rsidR="00700A9A" w:rsidRPr="00700A9A" w:rsidP="00700A9A" w14:paraId="7F839309" w14:textId="77777777">
            <w:pPr>
              <w:spacing w:after="0" w:line="240" w:lineRule="auto"/>
              <w:jc w:val="right"/>
              <w:rPr>
                <w:rFonts w:eastAsia="Times New Roman" w:cstheme="minorHAnsi"/>
                <w:b/>
                <w:bCs/>
                <w:color w:val="000000"/>
                <w:sz w:val="20"/>
                <w:szCs w:val="20"/>
              </w:rPr>
            </w:pPr>
          </w:p>
        </w:tc>
        <w:tc>
          <w:tcPr>
            <w:tcW w:w="1040" w:type="dxa"/>
            <w:tcBorders>
              <w:top w:val="nil"/>
              <w:left w:val="nil"/>
              <w:bottom w:val="nil"/>
              <w:right w:val="nil"/>
            </w:tcBorders>
            <w:noWrap/>
            <w:vAlign w:val="bottom"/>
            <w:hideMark/>
          </w:tcPr>
          <w:p w:rsidR="00700A9A" w:rsidRPr="00700A9A" w:rsidP="00700A9A" w14:paraId="75ACB2AF" w14:textId="77777777">
            <w:pPr>
              <w:spacing w:after="0" w:line="240" w:lineRule="auto"/>
              <w:rPr>
                <w:rFonts w:eastAsia="Times New Roman" w:cstheme="minorHAnsi"/>
                <w:sz w:val="20"/>
                <w:szCs w:val="20"/>
              </w:rPr>
            </w:pPr>
          </w:p>
        </w:tc>
        <w:tc>
          <w:tcPr>
            <w:tcW w:w="1120" w:type="dxa"/>
            <w:tcBorders>
              <w:top w:val="nil"/>
              <w:left w:val="nil"/>
              <w:bottom w:val="nil"/>
              <w:right w:val="nil"/>
            </w:tcBorders>
            <w:noWrap/>
            <w:vAlign w:val="bottom"/>
            <w:hideMark/>
          </w:tcPr>
          <w:p w:rsidR="00700A9A" w:rsidRPr="00700A9A" w:rsidP="00700A9A" w14:paraId="7D4FCB7F" w14:textId="77777777">
            <w:pPr>
              <w:spacing w:after="0" w:line="240" w:lineRule="auto"/>
              <w:rPr>
                <w:rFonts w:eastAsia="Times New Roman" w:cstheme="minorHAnsi"/>
                <w:sz w:val="20"/>
                <w:szCs w:val="20"/>
              </w:rPr>
            </w:pPr>
          </w:p>
        </w:tc>
        <w:tc>
          <w:tcPr>
            <w:tcW w:w="1080" w:type="dxa"/>
            <w:tcBorders>
              <w:top w:val="nil"/>
              <w:left w:val="nil"/>
              <w:bottom w:val="nil"/>
              <w:right w:val="nil"/>
            </w:tcBorders>
            <w:noWrap/>
            <w:vAlign w:val="bottom"/>
            <w:hideMark/>
          </w:tcPr>
          <w:p w:rsidR="00700A9A" w:rsidRPr="00700A9A" w:rsidP="00700A9A" w14:paraId="793EC4F0"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700A9A" w:rsidRPr="00700A9A" w:rsidP="00700A9A" w14:paraId="78162A7D"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700A9A" w:rsidRPr="00700A9A" w:rsidP="00700A9A" w14:paraId="0568EEA1" w14:textId="77777777">
            <w:pPr>
              <w:spacing w:after="0" w:line="240" w:lineRule="auto"/>
              <w:rPr>
                <w:rFonts w:eastAsia="Times New Roman" w:cstheme="minorHAnsi"/>
                <w:sz w:val="20"/>
                <w:szCs w:val="20"/>
              </w:rPr>
            </w:pPr>
          </w:p>
        </w:tc>
        <w:tc>
          <w:tcPr>
            <w:tcW w:w="1120" w:type="dxa"/>
            <w:tcBorders>
              <w:top w:val="nil"/>
              <w:left w:val="nil"/>
              <w:bottom w:val="nil"/>
              <w:right w:val="nil"/>
            </w:tcBorders>
            <w:noWrap/>
            <w:vAlign w:val="bottom"/>
            <w:hideMark/>
          </w:tcPr>
          <w:p w:rsidR="00700A9A" w:rsidRPr="00700A9A" w:rsidP="00700A9A" w14:paraId="25975BA6"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700A9A" w:rsidRPr="00700A9A" w:rsidP="00700A9A" w14:paraId="3AA3BBE2" w14:textId="77777777">
            <w:pPr>
              <w:spacing w:after="0" w:line="240" w:lineRule="auto"/>
              <w:rPr>
                <w:rFonts w:eastAsia="Times New Roman" w:cstheme="minorHAnsi"/>
                <w:sz w:val="20"/>
                <w:szCs w:val="20"/>
              </w:rPr>
            </w:pPr>
          </w:p>
        </w:tc>
        <w:tc>
          <w:tcPr>
            <w:tcW w:w="1460" w:type="dxa"/>
            <w:tcBorders>
              <w:top w:val="nil"/>
              <w:left w:val="nil"/>
              <w:bottom w:val="nil"/>
              <w:right w:val="nil"/>
            </w:tcBorders>
            <w:noWrap/>
            <w:vAlign w:val="bottom"/>
            <w:hideMark/>
          </w:tcPr>
          <w:p w:rsidR="00700A9A" w:rsidRPr="00700A9A" w:rsidP="00700A9A" w14:paraId="366B9901" w14:textId="77777777">
            <w:pPr>
              <w:spacing w:after="0" w:line="240" w:lineRule="auto"/>
              <w:rPr>
                <w:rFonts w:eastAsia="Times New Roman" w:cstheme="minorHAnsi"/>
                <w:sz w:val="20"/>
                <w:szCs w:val="20"/>
              </w:rPr>
            </w:pPr>
          </w:p>
        </w:tc>
      </w:tr>
      <w:tr w14:paraId="72597EFE" w14:textId="77777777" w:rsidTr="00700A9A">
        <w:tblPrEx>
          <w:tblW w:w="13060" w:type="dxa"/>
          <w:tblInd w:w="113" w:type="dxa"/>
          <w:tblLook w:val="04A0"/>
        </w:tblPrEx>
        <w:trPr>
          <w:trHeight w:val="300"/>
        </w:trPr>
        <w:tc>
          <w:tcPr>
            <w:tcW w:w="4120" w:type="dxa"/>
            <w:tcBorders>
              <w:top w:val="nil"/>
              <w:left w:val="nil"/>
              <w:bottom w:val="nil"/>
              <w:right w:val="nil"/>
            </w:tcBorders>
            <w:noWrap/>
            <w:vAlign w:val="center"/>
            <w:hideMark/>
          </w:tcPr>
          <w:p w:rsidR="00700A9A" w:rsidRPr="00700A9A" w:rsidP="00700A9A" w14:paraId="2E409D6F" w14:textId="77777777">
            <w:pPr>
              <w:spacing w:after="0" w:line="240" w:lineRule="auto"/>
              <w:rPr>
                <w:rFonts w:eastAsia="Times New Roman" w:cstheme="minorHAnsi"/>
                <w:b/>
                <w:bCs/>
                <w:color w:val="000000"/>
                <w:sz w:val="20"/>
                <w:szCs w:val="20"/>
              </w:rPr>
            </w:pPr>
            <w:r w:rsidRPr="00700A9A">
              <w:rPr>
                <w:rFonts w:eastAsia="Times New Roman" w:cstheme="minorHAnsi"/>
                <w:b/>
                <w:bCs/>
                <w:color w:val="000000"/>
                <w:sz w:val="20"/>
                <w:szCs w:val="20"/>
              </w:rPr>
              <w:t>Assumptions:</w:t>
            </w:r>
          </w:p>
        </w:tc>
        <w:tc>
          <w:tcPr>
            <w:tcW w:w="1040" w:type="dxa"/>
            <w:tcBorders>
              <w:top w:val="nil"/>
              <w:left w:val="nil"/>
              <w:bottom w:val="nil"/>
              <w:right w:val="nil"/>
            </w:tcBorders>
            <w:noWrap/>
            <w:vAlign w:val="bottom"/>
            <w:hideMark/>
          </w:tcPr>
          <w:p w:rsidR="00700A9A" w:rsidRPr="00700A9A" w:rsidP="00700A9A" w14:paraId="7FE48097" w14:textId="77777777">
            <w:pPr>
              <w:spacing w:after="0" w:line="240" w:lineRule="auto"/>
              <w:rPr>
                <w:rFonts w:eastAsia="Times New Roman" w:cstheme="minorHAnsi"/>
                <w:b/>
                <w:bCs/>
                <w:color w:val="000000"/>
                <w:sz w:val="20"/>
                <w:szCs w:val="20"/>
              </w:rPr>
            </w:pPr>
          </w:p>
        </w:tc>
        <w:tc>
          <w:tcPr>
            <w:tcW w:w="1120" w:type="dxa"/>
            <w:tcBorders>
              <w:top w:val="nil"/>
              <w:left w:val="nil"/>
              <w:bottom w:val="nil"/>
              <w:right w:val="nil"/>
            </w:tcBorders>
            <w:noWrap/>
            <w:vAlign w:val="bottom"/>
            <w:hideMark/>
          </w:tcPr>
          <w:p w:rsidR="00700A9A" w:rsidRPr="00700A9A" w:rsidP="00700A9A" w14:paraId="7C2615D1" w14:textId="77777777">
            <w:pPr>
              <w:spacing w:after="0" w:line="240" w:lineRule="auto"/>
              <w:rPr>
                <w:rFonts w:eastAsia="Times New Roman" w:cstheme="minorHAnsi"/>
                <w:sz w:val="20"/>
                <w:szCs w:val="20"/>
              </w:rPr>
            </w:pPr>
          </w:p>
        </w:tc>
        <w:tc>
          <w:tcPr>
            <w:tcW w:w="1080" w:type="dxa"/>
            <w:tcBorders>
              <w:top w:val="nil"/>
              <w:left w:val="nil"/>
              <w:bottom w:val="nil"/>
              <w:right w:val="nil"/>
            </w:tcBorders>
            <w:noWrap/>
            <w:vAlign w:val="bottom"/>
            <w:hideMark/>
          </w:tcPr>
          <w:p w:rsidR="00700A9A" w:rsidRPr="00700A9A" w:rsidP="00700A9A" w14:paraId="5C1FE198" w14:textId="77777777">
            <w:pPr>
              <w:spacing w:after="0" w:line="240" w:lineRule="auto"/>
              <w:rPr>
                <w:rFonts w:eastAsia="Times New Roman" w:cstheme="minorHAnsi"/>
                <w:sz w:val="20"/>
                <w:szCs w:val="20"/>
              </w:rPr>
            </w:pPr>
          </w:p>
        </w:tc>
        <w:tc>
          <w:tcPr>
            <w:tcW w:w="1160" w:type="dxa"/>
            <w:tcBorders>
              <w:top w:val="nil"/>
              <w:left w:val="nil"/>
              <w:bottom w:val="nil"/>
              <w:right w:val="nil"/>
            </w:tcBorders>
            <w:noWrap/>
            <w:vAlign w:val="bottom"/>
            <w:hideMark/>
          </w:tcPr>
          <w:p w:rsidR="00700A9A" w:rsidRPr="00700A9A" w:rsidP="00700A9A" w14:paraId="4E1E68FF"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700A9A" w:rsidRPr="00700A9A" w:rsidP="00700A9A" w14:paraId="7FAEE43C" w14:textId="77777777">
            <w:pPr>
              <w:spacing w:after="0" w:line="240" w:lineRule="auto"/>
              <w:rPr>
                <w:rFonts w:eastAsia="Times New Roman" w:cstheme="minorHAnsi"/>
                <w:sz w:val="20"/>
                <w:szCs w:val="20"/>
              </w:rPr>
            </w:pPr>
          </w:p>
        </w:tc>
        <w:tc>
          <w:tcPr>
            <w:tcW w:w="1120" w:type="dxa"/>
            <w:tcBorders>
              <w:top w:val="nil"/>
              <w:left w:val="nil"/>
              <w:bottom w:val="nil"/>
              <w:right w:val="nil"/>
            </w:tcBorders>
            <w:noWrap/>
            <w:vAlign w:val="bottom"/>
            <w:hideMark/>
          </w:tcPr>
          <w:p w:rsidR="00700A9A" w:rsidRPr="00700A9A" w:rsidP="00700A9A" w14:paraId="7376DDAF"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700A9A" w:rsidRPr="00700A9A" w:rsidP="00700A9A" w14:paraId="32238793" w14:textId="77777777">
            <w:pPr>
              <w:spacing w:after="0" w:line="240" w:lineRule="auto"/>
              <w:rPr>
                <w:rFonts w:eastAsia="Times New Roman" w:cstheme="minorHAnsi"/>
                <w:sz w:val="20"/>
                <w:szCs w:val="20"/>
              </w:rPr>
            </w:pPr>
          </w:p>
        </w:tc>
        <w:tc>
          <w:tcPr>
            <w:tcW w:w="1460" w:type="dxa"/>
            <w:tcBorders>
              <w:top w:val="nil"/>
              <w:left w:val="nil"/>
              <w:bottom w:val="nil"/>
              <w:right w:val="nil"/>
            </w:tcBorders>
            <w:noWrap/>
            <w:vAlign w:val="bottom"/>
            <w:hideMark/>
          </w:tcPr>
          <w:p w:rsidR="00700A9A" w:rsidRPr="00700A9A" w:rsidP="00700A9A" w14:paraId="1814D5C4" w14:textId="77777777">
            <w:pPr>
              <w:spacing w:after="0" w:line="240" w:lineRule="auto"/>
              <w:rPr>
                <w:rFonts w:eastAsia="Times New Roman" w:cstheme="minorHAnsi"/>
                <w:sz w:val="20"/>
                <w:szCs w:val="20"/>
              </w:rPr>
            </w:pPr>
          </w:p>
        </w:tc>
      </w:tr>
      <w:tr w14:paraId="68D24C0E" w14:textId="77777777" w:rsidTr="00700A9A">
        <w:tblPrEx>
          <w:tblW w:w="13060" w:type="dxa"/>
          <w:tblInd w:w="113" w:type="dxa"/>
          <w:tblLook w:val="04A0"/>
        </w:tblPrEx>
        <w:trPr>
          <w:trHeight w:val="312"/>
        </w:trPr>
        <w:tc>
          <w:tcPr>
            <w:tcW w:w="13060" w:type="dxa"/>
            <w:gridSpan w:val="9"/>
            <w:tcBorders>
              <w:top w:val="nil"/>
              <w:left w:val="nil"/>
              <w:bottom w:val="nil"/>
              <w:right w:val="nil"/>
            </w:tcBorders>
            <w:hideMark/>
          </w:tcPr>
          <w:p w:rsidR="00700A9A" w:rsidRPr="00700A9A" w:rsidP="00700A9A" w14:paraId="6E69B85A" w14:textId="64833DFB">
            <w:pPr>
              <w:spacing w:after="0" w:line="240" w:lineRule="auto"/>
              <w:rPr>
                <w:rFonts w:eastAsia="Times New Roman" w:cstheme="minorHAnsi"/>
                <w:color w:val="000000"/>
                <w:sz w:val="20"/>
                <w:szCs w:val="20"/>
              </w:rPr>
            </w:pPr>
            <w:r w:rsidRPr="00700A9A">
              <w:rPr>
                <w:rFonts w:eastAsia="Times New Roman" w:cstheme="minorHAnsi"/>
                <w:color w:val="000000"/>
                <w:sz w:val="20"/>
                <w:szCs w:val="20"/>
                <w:vertAlign w:val="superscript"/>
              </w:rPr>
              <w:t>a</w:t>
            </w:r>
            <w:r w:rsidR="00BB045A">
              <w:rPr>
                <w:rFonts w:eastAsia="Times New Roman" w:cstheme="minorHAnsi"/>
                <w:color w:val="000000"/>
                <w:sz w:val="20"/>
                <w:szCs w:val="20"/>
              </w:rPr>
              <w:t xml:space="preserve"> </w:t>
            </w:r>
            <w:r w:rsidRPr="00700A9A">
              <w:rPr>
                <w:rFonts w:eastAsia="Times New Roman" w:cstheme="minorHAnsi"/>
                <w:color w:val="000000"/>
                <w:sz w:val="20"/>
                <w:szCs w:val="20"/>
              </w:rPr>
              <w:t>There is one respondent subject to the rule, with no new sources expected over the next three years of this ICR.</w:t>
            </w:r>
          </w:p>
        </w:tc>
      </w:tr>
      <w:tr w14:paraId="6CCF143B" w14:textId="77777777" w:rsidTr="00700A9A">
        <w:tblPrEx>
          <w:tblW w:w="13060" w:type="dxa"/>
          <w:tblInd w:w="113" w:type="dxa"/>
          <w:tblLook w:val="04A0"/>
        </w:tblPrEx>
        <w:trPr>
          <w:trHeight w:val="1575"/>
        </w:trPr>
        <w:tc>
          <w:tcPr>
            <w:tcW w:w="13060" w:type="dxa"/>
            <w:gridSpan w:val="9"/>
            <w:tcBorders>
              <w:top w:val="nil"/>
              <w:left w:val="nil"/>
              <w:bottom w:val="nil"/>
              <w:right w:val="nil"/>
            </w:tcBorders>
            <w:hideMark/>
          </w:tcPr>
          <w:p w:rsidR="00700A9A" w:rsidRPr="00700A9A" w:rsidP="00700A9A" w14:paraId="66BC9C8F" w14:textId="4EB8D9FA">
            <w:pPr>
              <w:spacing w:after="0" w:line="240" w:lineRule="auto"/>
              <w:rPr>
                <w:rFonts w:eastAsia="Times New Roman" w:cstheme="minorHAnsi"/>
                <w:color w:val="000000"/>
                <w:sz w:val="20"/>
                <w:szCs w:val="20"/>
              </w:rPr>
            </w:pPr>
            <w:r w:rsidRPr="00700A9A">
              <w:rPr>
                <w:rFonts w:eastAsia="Times New Roman" w:cstheme="minorHAnsi"/>
                <w:color w:val="000000"/>
                <w:sz w:val="20"/>
                <w:szCs w:val="20"/>
                <w:vertAlign w:val="superscript"/>
              </w:rPr>
              <w:t>b</w:t>
            </w:r>
            <w:r w:rsidR="00BB045A">
              <w:rPr>
                <w:rFonts w:eastAsia="Times New Roman" w:cstheme="minorHAnsi"/>
                <w:color w:val="000000"/>
                <w:sz w:val="20"/>
                <w:szCs w:val="20"/>
                <w:vertAlign w:val="superscript"/>
              </w:rPr>
              <w:t xml:space="preserve"> </w:t>
            </w:r>
            <w:r w:rsidRPr="00700A9A">
              <w:rPr>
                <w:rFonts w:eastAsia="Times New Roman" w:cstheme="minorHAnsi"/>
                <w:color w:val="000000"/>
                <w:sz w:val="20"/>
                <w:szCs w:val="20"/>
              </w:rPr>
              <w:t>This ICR uses the following labor rates: Managerial $172.41 ($82.10+ 110%); Technical $141.75 ($67.50 + 110%); and Clerical $71.36 ($33.98 + 110%). 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 This ICR assumes that Managerial hours are 5 percent of Technical hours, and Clerical hours are 10 percent of Technical hours.</w:t>
            </w:r>
          </w:p>
        </w:tc>
      </w:tr>
      <w:tr w14:paraId="691D3335" w14:textId="77777777" w:rsidTr="00700A9A">
        <w:tblPrEx>
          <w:tblW w:w="13060" w:type="dxa"/>
          <w:tblInd w:w="113" w:type="dxa"/>
          <w:tblLook w:val="04A0"/>
        </w:tblPrEx>
        <w:trPr>
          <w:trHeight w:val="1425"/>
        </w:trPr>
        <w:tc>
          <w:tcPr>
            <w:tcW w:w="13060" w:type="dxa"/>
            <w:gridSpan w:val="9"/>
            <w:tcBorders>
              <w:top w:val="nil"/>
              <w:left w:val="nil"/>
              <w:bottom w:val="nil"/>
              <w:right w:val="nil"/>
            </w:tcBorders>
            <w:hideMark/>
          </w:tcPr>
          <w:p w:rsidR="00700A9A" w:rsidRPr="00700A9A" w:rsidP="00700A9A" w14:paraId="5F48060E" w14:textId="7E37E1F2">
            <w:pPr>
              <w:spacing w:after="0" w:line="240" w:lineRule="auto"/>
              <w:rPr>
                <w:rFonts w:eastAsia="Times New Roman" w:cstheme="minorHAnsi"/>
                <w:sz w:val="20"/>
                <w:szCs w:val="20"/>
              </w:rPr>
            </w:pPr>
            <w:r w:rsidRPr="00700A9A">
              <w:rPr>
                <w:rFonts w:eastAsia="Times New Roman" w:cstheme="minorHAnsi"/>
                <w:sz w:val="20"/>
                <w:szCs w:val="20"/>
                <w:vertAlign w:val="superscript"/>
              </w:rPr>
              <w:t>c</w:t>
            </w:r>
            <w:r w:rsidR="00BB045A">
              <w:rPr>
                <w:rFonts w:eastAsia="Times New Roman" w:cstheme="minorHAnsi"/>
                <w:sz w:val="20"/>
                <w:szCs w:val="20"/>
              </w:rPr>
              <w:t xml:space="preserve"> </w:t>
            </w:r>
            <w:r w:rsidRPr="00700A9A">
              <w:rPr>
                <w:rFonts w:eastAsia="Times New Roman" w:cstheme="minorHAnsi"/>
                <w:sz w:val="20"/>
                <w:szCs w:val="20"/>
              </w:rPr>
              <w:t>40 CFR 63.9912 requires performance testing no less frequently than twice (at mid-term and renewal) of each term of the Title V permit, or every 2.5 years, for each emission point. For the U.S. Magnesium facility subject to this rule, we have assumed that 4 emission units must be tested twice during the permit term, and that performance tests are conducted for approximately two emission units in each year in the three year period of this ICR. We assume that 20% of tests will need to be repeated.</w:t>
            </w:r>
            <w:r w:rsidR="00BB045A">
              <w:rPr>
                <w:rFonts w:eastAsia="Times New Roman" w:cstheme="minorHAnsi"/>
                <w:sz w:val="20"/>
                <w:szCs w:val="20"/>
              </w:rPr>
              <w:t xml:space="preserve"> </w:t>
            </w:r>
            <w:r w:rsidRPr="00700A9A">
              <w:rPr>
                <w:rFonts w:eastAsia="Times New Roman" w:cstheme="minorHAnsi"/>
                <w:sz w:val="20"/>
                <w:szCs w:val="20"/>
              </w:rPr>
              <w:t>(4 units x 2 tests / 5 years = 1.6 units per year, 1.6 units x 0.20 = 0.32 units with repeat testing, 1.6 + 0.32 = 1.92 or 2 units per year.) This estimate is consistent with an estimate of $49,000 provided by the U.S. Magnesium facility.</w:t>
            </w:r>
          </w:p>
        </w:tc>
      </w:tr>
      <w:tr w14:paraId="2BF24D47" w14:textId="77777777" w:rsidTr="00700A9A">
        <w:tblPrEx>
          <w:tblW w:w="13060" w:type="dxa"/>
          <w:tblInd w:w="113" w:type="dxa"/>
          <w:tblLook w:val="04A0"/>
        </w:tblPrEx>
        <w:trPr>
          <w:trHeight w:val="312"/>
        </w:trPr>
        <w:tc>
          <w:tcPr>
            <w:tcW w:w="13060" w:type="dxa"/>
            <w:gridSpan w:val="9"/>
            <w:tcBorders>
              <w:top w:val="nil"/>
              <w:left w:val="nil"/>
              <w:bottom w:val="nil"/>
              <w:right w:val="nil"/>
            </w:tcBorders>
            <w:hideMark/>
          </w:tcPr>
          <w:p w:rsidR="00700A9A" w:rsidRPr="00700A9A" w:rsidP="00700A9A" w14:paraId="20425637" w14:textId="02F81116">
            <w:pPr>
              <w:spacing w:after="0" w:line="240" w:lineRule="auto"/>
              <w:rPr>
                <w:rFonts w:eastAsia="Times New Roman" w:cstheme="minorHAnsi"/>
                <w:sz w:val="20"/>
                <w:szCs w:val="20"/>
              </w:rPr>
            </w:pPr>
            <w:r w:rsidRPr="00700A9A">
              <w:rPr>
                <w:rFonts w:eastAsia="Times New Roman" w:cstheme="minorHAnsi"/>
                <w:sz w:val="20"/>
                <w:szCs w:val="20"/>
                <w:vertAlign w:val="superscript"/>
              </w:rPr>
              <w:t>d</w:t>
            </w:r>
            <w:r w:rsidR="00BB045A">
              <w:rPr>
                <w:rFonts w:eastAsia="Times New Roman" w:cstheme="minorHAnsi"/>
                <w:sz w:val="20"/>
                <w:szCs w:val="20"/>
              </w:rPr>
              <w:t xml:space="preserve"> </w:t>
            </w:r>
            <w:r w:rsidRPr="00700A9A">
              <w:rPr>
                <w:rFonts w:eastAsia="Times New Roman" w:cstheme="minorHAnsi"/>
                <w:sz w:val="20"/>
                <w:szCs w:val="20"/>
              </w:rPr>
              <w:t>We assume that this includes Method 23 test.</w:t>
            </w:r>
          </w:p>
        </w:tc>
      </w:tr>
      <w:tr w14:paraId="46C8D139" w14:textId="77777777" w:rsidTr="00700A9A">
        <w:tblPrEx>
          <w:tblW w:w="13060" w:type="dxa"/>
          <w:tblInd w:w="113" w:type="dxa"/>
          <w:tblLook w:val="04A0"/>
        </w:tblPrEx>
        <w:trPr>
          <w:trHeight w:val="312"/>
        </w:trPr>
        <w:tc>
          <w:tcPr>
            <w:tcW w:w="13060" w:type="dxa"/>
            <w:gridSpan w:val="9"/>
            <w:tcBorders>
              <w:top w:val="nil"/>
              <w:left w:val="nil"/>
              <w:bottom w:val="nil"/>
              <w:right w:val="nil"/>
            </w:tcBorders>
            <w:hideMark/>
          </w:tcPr>
          <w:p w:rsidR="00700A9A" w:rsidRPr="00700A9A" w:rsidP="00700A9A" w14:paraId="098B79B5" w14:textId="75D34385">
            <w:pPr>
              <w:spacing w:after="0" w:line="240" w:lineRule="auto"/>
              <w:rPr>
                <w:rFonts w:eastAsia="Times New Roman" w:cstheme="minorHAnsi"/>
                <w:sz w:val="20"/>
                <w:szCs w:val="20"/>
              </w:rPr>
            </w:pPr>
            <w:r w:rsidRPr="00700A9A">
              <w:rPr>
                <w:rFonts w:eastAsia="Times New Roman" w:cstheme="minorHAnsi"/>
                <w:sz w:val="20"/>
                <w:szCs w:val="20"/>
                <w:vertAlign w:val="superscript"/>
              </w:rPr>
              <w:t>e</w:t>
            </w:r>
            <w:r w:rsidR="00BB045A">
              <w:rPr>
                <w:rFonts w:eastAsia="Times New Roman" w:cstheme="minorHAnsi"/>
                <w:sz w:val="20"/>
                <w:szCs w:val="20"/>
              </w:rPr>
              <w:t xml:space="preserve"> </w:t>
            </w:r>
            <w:r w:rsidRPr="00700A9A">
              <w:rPr>
                <w:rFonts w:eastAsia="Times New Roman" w:cstheme="minorHAnsi"/>
                <w:sz w:val="20"/>
                <w:szCs w:val="20"/>
              </w:rPr>
              <w:t>We assumed that it will take the respondent 20 hours two times per year to complete semiannual reports.</w:t>
            </w:r>
          </w:p>
        </w:tc>
      </w:tr>
      <w:tr w14:paraId="6153F513" w14:textId="77777777" w:rsidTr="00700A9A">
        <w:tblPrEx>
          <w:tblW w:w="13060" w:type="dxa"/>
          <w:tblInd w:w="113" w:type="dxa"/>
          <w:tblLook w:val="04A0"/>
        </w:tblPrEx>
        <w:trPr>
          <w:trHeight w:val="312"/>
        </w:trPr>
        <w:tc>
          <w:tcPr>
            <w:tcW w:w="13060" w:type="dxa"/>
            <w:gridSpan w:val="9"/>
            <w:tcBorders>
              <w:top w:val="nil"/>
              <w:left w:val="nil"/>
              <w:bottom w:val="nil"/>
              <w:right w:val="nil"/>
            </w:tcBorders>
            <w:hideMark/>
          </w:tcPr>
          <w:p w:rsidR="00700A9A" w:rsidRPr="00700A9A" w:rsidP="00700A9A" w14:paraId="210F4197" w14:textId="4E468B26">
            <w:pPr>
              <w:spacing w:after="0" w:line="240" w:lineRule="auto"/>
              <w:rPr>
                <w:rFonts w:eastAsia="Times New Roman" w:cstheme="minorHAnsi"/>
                <w:sz w:val="20"/>
                <w:szCs w:val="20"/>
              </w:rPr>
            </w:pPr>
            <w:r w:rsidRPr="00700A9A">
              <w:rPr>
                <w:rFonts w:eastAsia="Times New Roman" w:cstheme="minorHAnsi"/>
                <w:sz w:val="20"/>
                <w:szCs w:val="20"/>
                <w:vertAlign w:val="superscript"/>
              </w:rPr>
              <w:t>f</w:t>
            </w:r>
            <w:r w:rsidR="00BB045A">
              <w:rPr>
                <w:rFonts w:eastAsia="Times New Roman" w:cstheme="minorHAnsi"/>
                <w:sz w:val="20"/>
                <w:szCs w:val="20"/>
              </w:rPr>
              <w:t xml:space="preserve"> </w:t>
            </w:r>
            <w:r w:rsidRPr="00700A9A">
              <w:rPr>
                <w:rFonts w:eastAsia="Times New Roman" w:cstheme="minorHAnsi"/>
                <w:sz w:val="20"/>
                <w:szCs w:val="20"/>
              </w:rPr>
              <w:t>This includes inspection of unpaved areas.</w:t>
            </w:r>
          </w:p>
        </w:tc>
      </w:tr>
      <w:tr w14:paraId="7B147824" w14:textId="77777777" w:rsidTr="00700A9A">
        <w:tblPrEx>
          <w:tblW w:w="13060" w:type="dxa"/>
          <w:tblInd w:w="113" w:type="dxa"/>
          <w:tblLook w:val="04A0"/>
        </w:tblPrEx>
        <w:trPr>
          <w:trHeight w:val="312"/>
        </w:trPr>
        <w:tc>
          <w:tcPr>
            <w:tcW w:w="13060" w:type="dxa"/>
            <w:gridSpan w:val="9"/>
            <w:tcBorders>
              <w:top w:val="nil"/>
              <w:left w:val="nil"/>
              <w:bottom w:val="nil"/>
              <w:right w:val="nil"/>
            </w:tcBorders>
            <w:hideMark/>
          </w:tcPr>
          <w:p w:rsidR="00700A9A" w:rsidRPr="00700A9A" w:rsidP="00700A9A" w14:paraId="6CEDD515" w14:textId="7032D15C">
            <w:pPr>
              <w:spacing w:after="0" w:line="240" w:lineRule="auto"/>
              <w:rPr>
                <w:rFonts w:eastAsia="Times New Roman" w:cstheme="minorHAnsi"/>
                <w:sz w:val="20"/>
                <w:szCs w:val="20"/>
              </w:rPr>
            </w:pPr>
            <w:r w:rsidRPr="00700A9A">
              <w:rPr>
                <w:rFonts w:eastAsia="Times New Roman" w:cstheme="minorHAnsi"/>
                <w:sz w:val="20"/>
                <w:szCs w:val="20"/>
                <w:vertAlign w:val="superscript"/>
              </w:rPr>
              <w:t>g</w:t>
            </w:r>
            <w:r w:rsidR="00BB045A">
              <w:rPr>
                <w:rFonts w:eastAsia="Times New Roman" w:cstheme="minorHAnsi"/>
                <w:sz w:val="20"/>
                <w:szCs w:val="20"/>
              </w:rPr>
              <w:t xml:space="preserve"> </w:t>
            </w:r>
            <w:r w:rsidRPr="00700A9A">
              <w:rPr>
                <w:rFonts w:eastAsia="Times New Roman" w:cstheme="minorHAnsi"/>
                <w:sz w:val="20"/>
                <w:szCs w:val="20"/>
              </w:rPr>
              <w:t>We assume that it will take 1 hour once per month to retrieve records/reports.</w:t>
            </w:r>
          </w:p>
        </w:tc>
      </w:tr>
      <w:tr w14:paraId="7482787C" w14:textId="77777777" w:rsidTr="00700A9A">
        <w:tblPrEx>
          <w:tblW w:w="13060" w:type="dxa"/>
          <w:tblInd w:w="113" w:type="dxa"/>
          <w:tblLook w:val="04A0"/>
        </w:tblPrEx>
        <w:trPr>
          <w:trHeight w:val="405"/>
        </w:trPr>
        <w:tc>
          <w:tcPr>
            <w:tcW w:w="13060" w:type="dxa"/>
            <w:gridSpan w:val="9"/>
            <w:tcBorders>
              <w:top w:val="nil"/>
              <w:left w:val="nil"/>
              <w:bottom w:val="nil"/>
              <w:right w:val="nil"/>
            </w:tcBorders>
            <w:hideMark/>
          </w:tcPr>
          <w:p w:rsidR="00700A9A" w:rsidRPr="00700A9A" w:rsidP="00700A9A" w14:paraId="5B520479" w14:textId="79815A04">
            <w:pPr>
              <w:spacing w:after="0" w:line="240" w:lineRule="auto"/>
              <w:rPr>
                <w:rFonts w:eastAsia="Times New Roman" w:cstheme="minorHAnsi"/>
                <w:sz w:val="20"/>
                <w:szCs w:val="20"/>
              </w:rPr>
            </w:pPr>
            <w:r w:rsidRPr="00700A9A">
              <w:rPr>
                <w:rFonts w:eastAsia="Times New Roman" w:cstheme="minorHAnsi"/>
                <w:sz w:val="20"/>
                <w:szCs w:val="20"/>
                <w:vertAlign w:val="superscript"/>
              </w:rPr>
              <w:t>h</w:t>
            </w:r>
            <w:r w:rsidR="00BB045A">
              <w:rPr>
                <w:rFonts w:eastAsia="Times New Roman" w:cstheme="minorHAnsi"/>
                <w:sz w:val="20"/>
                <w:szCs w:val="20"/>
                <w:vertAlign w:val="superscript"/>
              </w:rPr>
              <w:t xml:space="preserve"> </w:t>
            </w:r>
            <w:r w:rsidRPr="00700A9A">
              <w:rPr>
                <w:rFonts w:eastAsia="Times New Roman" w:cstheme="minorHAnsi"/>
                <w:sz w:val="20"/>
                <w:szCs w:val="20"/>
              </w:rPr>
              <w:t>Totals have been rounded to 3 significant figures. Figures may not add exactly due to rounding.</w:t>
            </w:r>
          </w:p>
        </w:tc>
      </w:tr>
    </w:tbl>
    <w:p w:rsidR="00381333" w:rsidRPr="007F5384" w:rsidP="001641AA" w14:paraId="29FEBAD1" w14:textId="77777777">
      <w:pPr>
        <w:spacing w:before="240"/>
        <w:rPr>
          <w:rFonts w:cstheme="minorHAnsi"/>
          <w:b/>
          <w:bCs/>
          <w:sz w:val="24"/>
          <w:szCs w:val="24"/>
        </w:rPr>
      </w:pPr>
    </w:p>
    <w:p w:rsidR="00700A9A" w14:paraId="709D730A" w14:textId="77777777">
      <w:pPr>
        <w:rPr>
          <w:rFonts w:cstheme="minorHAnsi"/>
          <w:b/>
          <w:bCs/>
          <w:sz w:val="24"/>
          <w:szCs w:val="24"/>
        </w:rPr>
      </w:pPr>
      <w:r>
        <w:rPr>
          <w:rFonts w:cstheme="minorHAnsi"/>
          <w:b/>
          <w:bCs/>
          <w:sz w:val="24"/>
          <w:szCs w:val="24"/>
        </w:rPr>
        <w:br w:type="page"/>
      </w:r>
    </w:p>
    <w:p w:rsidR="000D69F1" w:rsidP="001641AA" w14:paraId="63DBE6A8" w14:textId="1334EE0F">
      <w:pPr>
        <w:spacing w:before="240"/>
        <w:rPr>
          <w:rFonts w:cstheme="minorHAnsi"/>
          <w:b/>
          <w:bCs/>
          <w:noProof/>
          <w:sz w:val="24"/>
          <w:szCs w:val="24"/>
        </w:rPr>
      </w:pPr>
      <w:r w:rsidRPr="00F0667A">
        <w:rPr>
          <w:rFonts w:cstheme="minorHAnsi"/>
          <w:b/>
          <w:bCs/>
          <w:sz w:val="24"/>
          <w:szCs w:val="24"/>
        </w:rPr>
        <w:t>Table 2: Average Annual EPA Burde</w:t>
      </w:r>
      <w:r w:rsidRPr="00700A9A">
        <w:rPr>
          <w:rFonts w:cstheme="minorHAnsi"/>
          <w:b/>
          <w:bCs/>
          <w:sz w:val="24"/>
          <w:szCs w:val="24"/>
        </w:rPr>
        <w:t xml:space="preserve">n and Cost – </w:t>
      </w:r>
      <w:r w:rsidRPr="00700A9A">
        <w:rPr>
          <w:rFonts w:cstheme="minorHAnsi"/>
          <w:b/>
          <w:bCs/>
          <w:noProof/>
          <w:sz w:val="24"/>
          <w:szCs w:val="24"/>
        </w:rPr>
        <w:t xml:space="preserve">NESHAP for Primary Magnesium Refining (40 CFR </w:t>
      </w:r>
      <w:r w:rsidRPr="00700A9A" w:rsidR="00080D11">
        <w:rPr>
          <w:rFonts w:cstheme="minorHAnsi"/>
          <w:b/>
          <w:bCs/>
          <w:noProof/>
          <w:sz w:val="24"/>
          <w:szCs w:val="24"/>
        </w:rPr>
        <w:t>Part 63</w:t>
      </w:r>
      <w:r w:rsidRPr="00700A9A">
        <w:rPr>
          <w:rFonts w:cstheme="minorHAnsi"/>
          <w:b/>
          <w:bCs/>
          <w:noProof/>
          <w:sz w:val="24"/>
          <w:szCs w:val="24"/>
        </w:rPr>
        <w:t>, Subpart TTTTT) (Renewal)</w:t>
      </w:r>
    </w:p>
    <w:tbl>
      <w:tblPr>
        <w:tblW w:w="12700" w:type="dxa"/>
        <w:tblInd w:w="113" w:type="dxa"/>
        <w:tblLook w:val="04A0"/>
      </w:tblPr>
      <w:tblGrid>
        <w:gridCol w:w="3860"/>
        <w:gridCol w:w="1100"/>
        <w:gridCol w:w="1177"/>
        <w:gridCol w:w="1131"/>
        <w:gridCol w:w="1245"/>
        <w:gridCol w:w="960"/>
        <w:gridCol w:w="1280"/>
        <w:gridCol w:w="980"/>
        <w:gridCol w:w="1330"/>
      </w:tblGrid>
      <w:tr w14:paraId="27F64D0B" w14:textId="77777777" w:rsidTr="00CD0C06">
        <w:tblPrEx>
          <w:tblW w:w="12700" w:type="dxa"/>
          <w:tblInd w:w="113" w:type="dxa"/>
          <w:tblLook w:val="04A0"/>
        </w:tblPrEx>
        <w:trPr>
          <w:trHeight w:val="1545"/>
        </w:trPr>
        <w:tc>
          <w:tcPr>
            <w:tcW w:w="3960" w:type="dxa"/>
            <w:tcBorders>
              <w:top w:val="single" w:sz="4" w:space="0" w:color="auto"/>
              <w:left w:val="single" w:sz="4" w:space="0" w:color="auto"/>
              <w:bottom w:val="single" w:sz="4" w:space="0" w:color="auto"/>
              <w:right w:val="single" w:sz="4" w:space="0" w:color="auto"/>
            </w:tcBorders>
            <w:vAlign w:val="center"/>
            <w:hideMark/>
          </w:tcPr>
          <w:p w:rsidR="00CD0C06" w:rsidRPr="00CD0C06" w:rsidP="00CD0C06" w14:paraId="68A4EF8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Burden Item</w:t>
            </w:r>
          </w:p>
        </w:tc>
        <w:tc>
          <w:tcPr>
            <w:tcW w:w="980" w:type="dxa"/>
            <w:tcBorders>
              <w:top w:val="single" w:sz="4" w:space="0" w:color="auto"/>
              <w:left w:val="nil"/>
              <w:bottom w:val="single" w:sz="4" w:space="0" w:color="auto"/>
              <w:right w:val="single" w:sz="4" w:space="0" w:color="auto"/>
            </w:tcBorders>
            <w:vAlign w:val="center"/>
            <w:hideMark/>
          </w:tcPr>
          <w:p w:rsidR="00CD0C06" w:rsidRPr="00CD0C06" w:rsidP="00CD0C06" w14:paraId="1A86DD9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(A)</w:t>
            </w:r>
            <w:r w:rsidRPr="00CD0C06">
              <w:rPr>
                <w:rFonts w:eastAsia="Times New Roman" w:cstheme="minorHAnsi"/>
                <w:color w:val="000000"/>
                <w:sz w:val="20"/>
                <w:szCs w:val="20"/>
              </w:rPr>
              <w:br/>
              <w:t>Person hours per occurrence</w:t>
            </w:r>
          </w:p>
        </w:tc>
        <w:tc>
          <w:tcPr>
            <w:tcW w:w="1060" w:type="dxa"/>
            <w:tcBorders>
              <w:top w:val="single" w:sz="4" w:space="0" w:color="auto"/>
              <w:left w:val="nil"/>
              <w:bottom w:val="single" w:sz="4" w:space="0" w:color="auto"/>
              <w:right w:val="single" w:sz="4" w:space="0" w:color="auto"/>
            </w:tcBorders>
            <w:vAlign w:val="center"/>
            <w:hideMark/>
          </w:tcPr>
          <w:p w:rsidR="00CD0C06" w:rsidRPr="00CD0C06" w:rsidP="00CD0C06" w14:paraId="42EF12B7"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(B)</w:t>
            </w:r>
            <w:r w:rsidRPr="00CD0C06">
              <w:rPr>
                <w:rFonts w:eastAsia="Times New Roman" w:cstheme="minorHAnsi"/>
                <w:color w:val="000000"/>
                <w:sz w:val="20"/>
                <w:szCs w:val="20"/>
              </w:rPr>
              <w:br/>
              <w:t>Number of occurrences per year</w:t>
            </w:r>
          </w:p>
        </w:tc>
        <w:tc>
          <w:tcPr>
            <w:tcW w:w="1080" w:type="dxa"/>
            <w:tcBorders>
              <w:top w:val="single" w:sz="4" w:space="0" w:color="auto"/>
              <w:left w:val="nil"/>
              <w:bottom w:val="single" w:sz="4" w:space="0" w:color="auto"/>
              <w:right w:val="single" w:sz="4" w:space="0" w:color="auto"/>
            </w:tcBorders>
            <w:vAlign w:val="center"/>
            <w:hideMark/>
          </w:tcPr>
          <w:p w:rsidR="00CD0C06" w:rsidRPr="00CD0C06" w:rsidP="00CD0C06" w14:paraId="68ADC6C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(C)</w:t>
            </w:r>
            <w:r w:rsidRPr="00CD0C06">
              <w:rPr>
                <w:rFonts w:eastAsia="Times New Roman" w:cstheme="minorHAnsi"/>
                <w:color w:val="000000"/>
                <w:sz w:val="20"/>
                <w:szCs w:val="20"/>
              </w:rPr>
              <w:br/>
              <w:t xml:space="preserve">Person hours per respondent per year </w:t>
            </w:r>
            <w:r w:rsidRPr="00CD0C06">
              <w:rPr>
                <w:rFonts w:eastAsia="Times New Roman" w:cstheme="minorHAnsi"/>
                <w:color w:val="000000"/>
                <w:sz w:val="20"/>
                <w:szCs w:val="20"/>
              </w:rPr>
              <w:br/>
              <w:t>(C=AxB)</w:t>
            </w:r>
          </w:p>
        </w:tc>
        <w:tc>
          <w:tcPr>
            <w:tcW w:w="1180" w:type="dxa"/>
            <w:tcBorders>
              <w:top w:val="single" w:sz="4" w:space="0" w:color="auto"/>
              <w:left w:val="nil"/>
              <w:bottom w:val="single" w:sz="4" w:space="0" w:color="auto"/>
              <w:right w:val="single" w:sz="4" w:space="0" w:color="auto"/>
            </w:tcBorders>
            <w:vAlign w:val="center"/>
            <w:hideMark/>
          </w:tcPr>
          <w:p w:rsidR="00CD0C06" w:rsidRPr="00CD0C06" w:rsidP="00CD0C06" w14:paraId="6DB09BE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(D)</w:t>
            </w:r>
            <w:r w:rsidRPr="00CD0C06">
              <w:rPr>
                <w:rFonts w:eastAsia="Times New Roman" w:cstheme="minorHAnsi"/>
                <w:color w:val="000000"/>
                <w:sz w:val="20"/>
                <w:szCs w:val="20"/>
              </w:rPr>
              <w:br/>
              <w:t xml:space="preserve">Respondents per Year </w:t>
            </w:r>
            <w:r w:rsidRPr="00CD0C06">
              <w:rPr>
                <w:rFonts w:eastAsia="Times New Roman" w:cstheme="minorHAnsi"/>
                <w:color w:val="000000"/>
                <w:sz w:val="20"/>
                <w:szCs w:val="20"/>
                <w:vertAlign w:val="superscript"/>
              </w:rPr>
              <w:t>a</w:t>
            </w:r>
          </w:p>
        </w:tc>
        <w:tc>
          <w:tcPr>
            <w:tcW w:w="980" w:type="dxa"/>
            <w:tcBorders>
              <w:top w:val="single" w:sz="4" w:space="0" w:color="auto"/>
              <w:left w:val="nil"/>
              <w:bottom w:val="single" w:sz="4" w:space="0" w:color="auto"/>
              <w:right w:val="single" w:sz="4" w:space="0" w:color="auto"/>
            </w:tcBorders>
            <w:vAlign w:val="center"/>
            <w:hideMark/>
          </w:tcPr>
          <w:p w:rsidR="00CD0C06" w:rsidRPr="00CD0C06" w:rsidP="00CD0C06" w14:paraId="2B591F2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(E)</w:t>
            </w:r>
            <w:r w:rsidRPr="00CD0C06">
              <w:rPr>
                <w:rFonts w:eastAsia="Times New Roman" w:cstheme="minorHAnsi"/>
                <w:color w:val="000000"/>
                <w:sz w:val="20"/>
                <w:szCs w:val="20"/>
              </w:rPr>
              <w:br/>
              <w:t>Technical person hours per year</w:t>
            </w:r>
            <w:r w:rsidRPr="00CD0C06">
              <w:rPr>
                <w:rFonts w:eastAsia="Times New Roman" w:cstheme="minorHAnsi"/>
                <w:color w:val="000000"/>
                <w:sz w:val="20"/>
                <w:szCs w:val="20"/>
              </w:rPr>
              <w:br/>
              <w:t>(E=CxD)</w:t>
            </w:r>
          </w:p>
        </w:tc>
        <w:tc>
          <w:tcPr>
            <w:tcW w:w="1120" w:type="dxa"/>
            <w:tcBorders>
              <w:top w:val="single" w:sz="4" w:space="0" w:color="auto"/>
              <w:left w:val="nil"/>
              <w:bottom w:val="single" w:sz="4" w:space="0" w:color="auto"/>
              <w:right w:val="single" w:sz="4" w:space="0" w:color="auto"/>
            </w:tcBorders>
            <w:vAlign w:val="center"/>
            <w:hideMark/>
          </w:tcPr>
          <w:p w:rsidR="00CD0C06" w:rsidRPr="00CD0C06" w:rsidP="00CD0C06" w14:paraId="150C939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(F)</w:t>
            </w:r>
            <w:r w:rsidRPr="00CD0C06">
              <w:rPr>
                <w:rFonts w:eastAsia="Times New Roman" w:cstheme="minorHAnsi"/>
                <w:color w:val="000000"/>
                <w:sz w:val="20"/>
                <w:szCs w:val="20"/>
              </w:rPr>
              <w:br/>
              <w:t>Management person hours per year</w:t>
            </w:r>
            <w:r w:rsidRPr="00CD0C06">
              <w:rPr>
                <w:rFonts w:eastAsia="Times New Roman" w:cstheme="minorHAnsi"/>
                <w:color w:val="000000"/>
                <w:sz w:val="20"/>
                <w:szCs w:val="20"/>
              </w:rPr>
              <w:br/>
              <w:t>(F=Ex0.05)</w:t>
            </w:r>
          </w:p>
        </w:tc>
        <w:tc>
          <w:tcPr>
            <w:tcW w:w="980" w:type="dxa"/>
            <w:tcBorders>
              <w:top w:val="single" w:sz="4" w:space="0" w:color="auto"/>
              <w:left w:val="nil"/>
              <w:bottom w:val="single" w:sz="4" w:space="0" w:color="auto"/>
              <w:right w:val="single" w:sz="4" w:space="0" w:color="auto"/>
            </w:tcBorders>
            <w:vAlign w:val="center"/>
            <w:hideMark/>
          </w:tcPr>
          <w:p w:rsidR="00CD0C06" w:rsidRPr="00CD0C06" w:rsidP="00CD0C06" w14:paraId="1E87478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(G)</w:t>
            </w:r>
            <w:r w:rsidRPr="00CD0C06">
              <w:rPr>
                <w:rFonts w:eastAsia="Times New Roman" w:cstheme="minorHAnsi"/>
                <w:color w:val="000000"/>
                <w:sz w:val="20"/>
                <w:szCs w:val="20"/>
              </w:rPr>
              <w:br/>
              <w:t>Clerical person hours per year</w:t>
            </w:r>
            <w:r w:rsidRPr="00CD0C06">
              <w:rPr>
                <w:rFonts w:eastAsia="Times New Roman" w:cstheme="minorHAnsi"/>
                <w:color w:val="000000"/>
                <w:sz w:val="20"/>
                <w:szCs w:val="20"/>
              </w:rPr>
              <w:br/>
              <w:t>(G=Ex0.1)</w:t>
            </w:r>
          </w:p>
        </w:tc>
        <w:tc>
          <w:tcPr>
            <w:tcW w:w="1360" w:type="dxa"/>
            <w:tcBorders>
              <w:top w:val="single" w:sz="4" w:space="0" w:color="auto"/>
              <w:left w:val="nil"/>
              <w:bottom w:val="single" w:sz="4" w:space="0" w:color="auto"/>
              <w:right w:val="single" w:sz="4" w:space="0" w:color="auto"/>
            </w:tcBorders>
            <w:vAlign w:val="center"/>
            <w:hideMark/>
          </w:tcPr>
          <w:p w:rsidR="00CD0C06" w:rsidRPr="00CD0C06" w:rsidP="00CD0C06" w14:paraId="46CFAB9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(H)</w:t>
            </w:r>
            <w:r w:rsidRPr="00CD0C06">
              <w:rPr>
                <w:rFonts w:eastAsia="Times New Roman" w:cstheme="minorHAnsi"/>
                <w:color w:val="000000"/>
                <w:sz w:val="20"/>
                <w:szCs w:val="20"/>
              </w:rPr>
              <w:br/>
              <w:t xml:space="preserve">Annual costs ($) </w:t>
            </w:r>
            <w:r w:rsidRPr="00CD0C06">
              <w:rPr>
                <w:rFonts w:eastAsia="Times New Roman" w:cstheme="minorHAnsi"/>
                <w:color w:val="000000"/>
                <w:sz w:val="20"/>
                <w:szCs w:val="20"/>
                <w:vertAlign w:val="superscript"/>
              </w:rPr>
              <w:t>b</w:t>
            </w:r>
          </w:p>
        </w:tc>
      </w:tr>
      <w:tr w14:paraId="2E2B9D90" w14:textId="77777777" w:rsidTr="00CD0C06">
        <w:tblPrEx>
          <w:tblW w:w="12700" w:type="dxa"/>
          <w:tblInd w:w="113" w:type="dxa"/>
          <w:tblLook w:val="04A0"/>
        </w:tblPrEx>
        <w:trPr>
          <w:trHeight w:val="312"/>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2EF677A3"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xml:space="preserve">1. Initial performance test </w:t>
            </w:r>
            <w:r w:rsidRPr="00CD0C06">
              <w:rPr>
                <w:rFonts w:eastAsia="Times New Roman" w:cstheme="minorHAnsi"/>
                <w:color w:val="000000"/>
                <w:sz w:val="20"/>
                <w:szCs w:val="20"/>
                <w:vertAlign w:val="superscript"/>
              </w:rPr>
              <w:t>c</w:t>
            </w:r>
          </w:p>
        </w:tc>
        <w:tc>
          <w:tcPr>
            <w:tcW w:w="980" w:type="dxa"/>
            <w:tcBorders>
              <w:top w:val="nil"/>
              <w:left w:val="nil"/>
              <w:bottom w:val="single" w:sz="4" w:space="0" w:color="auto"/>
              <w:right w:val="single" w:sz="4" w:space="0" w:color="auto"/>
            </w:tcBorders>
            <w:vAlign w:val="center"/>
            <w:hideMark/>
          </w:tcPr>
          <w:p w:rsidR="00CD0C06" w:rsidRPr="00CD0C06" w:rsidP="00CD0C06" w14:paraId="40587D7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24</w:t>
            </w:r>
          </w:p>
        </w:tc>
        <w:tc>
          <w:tcPr>
            <w:tcW w:w="1060" w:type="dxa"/>
            <w:tcBorders>
              <w:top w:val="nil"/>
              <w:left w:val="nil"/>
              <w:bottom w:val="single" w:sz="4" w:space="0" w:color="auto"/>
              <w:right w:val="single" w:sz="4" w:space="0" w:color="auto"/>
            </w:tcBorders>
            <w:vAlign w:val="center"/>
            <w:hideMark/>
          </w:tcPr>
          <w:p w:rsidR="00CD0C06" w:rsidRPr="00CD0C06" w:rsidP="00CD0C06" w14:paraId="1DD2CCA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080" w:type="dxa"/>
            <w:tcBorders>
              <w:top w:val="nil"/>
              <w:left w:val="nil"/>
              <w:bottom w:val="single" w:sz="4" w:space="0" w:color="auto"/>
              <w:right w:val="single" w:sz="4" w:space="0" w:color="auto"/>
            </w:tcBorders>
            <w:vAlign w:val="center"/>
            <w:hideMark/>
          </w:tcPr>
          <w:p w:rsidR="00CD0C06" w:rsidRPr="00CD0C06" w:rsidP="00CD0C06" w14:paraId="3B01C48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38.4</w:t>
            </w:r>
          </w:p>
        </w:tc>
        <w:tc>
          <w:tcPr>
            <w:tcW w:w="1180" w:type="dxa"/>
            <w:tcBorders>
              <w:top w:val="nil"/>
              <w:left w:val="nil"/>
              <w:bottom w:val="single" w:sz="4" w:space="0" w:color="auto"/>
              <w:right w:val="single" w:sz="4" w:space="0" w:color="auto"/>
            </w:tcBorders>
            <w:vAlign w:val="center"/>
            <w:hideMark/>
          </w:tcPr>
          <w:p w:rsidR="00CD0C06" w:rsidRPr="00CD0C06" w:rsidP="00CD0C06" w14:paraId="4DDD998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4956CC9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21F4B2A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4377523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5398F63E"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1B2E66C9" w14:textId="77777777" w:rsidTr="00CD0C06">
        <w:tblPrEx>
          <w:tblW w:w="12700" w:type="dxa"/>
          <w:tblInd w:w="113" w:type="dxa"/>
          <w:tblLook w:val="04A0"/>
        </w:tblPrEx>
        <w:trPr>
          <w:trHeight w:val="312"/>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5A486C83"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xml:space="preserve">2. Repeat performance test </w:t>
            </w:r>
            <w:r w:rsidRPr="00CD0C06">
              <w:rPr>
                <w:rFonts w:eastAsia="Times New Roman" w:cstheme="minorHAnsi"/>
                <w:color w:val="000000"/>
                <w:sz w:val="20"/>
                <w:szCs w:val="20"/>
                <w:vertAlign w:val="superscript"/>
              </w:rPr>
              <w:t>c</w:t>
            </w:r>
          </w:p>
        </w:tc>
        <w:tc>
          <w:tcPr>
            <w:tcW w:w="980" w:type="dxa"/>
            <w:tcBorders>
              <w:top w:val="nil"/>
              <w:left w:val="nil"/>
              <w:bottom w:val="single" w:sz="4" w:space="0" w:color="auto"/>
              <w:right w:val="single" w:sz="4" w:space="0" w:color="auto"/>
            </w:tcBorders>
            <w:vAlign w:val="center"/>
            <w:hideMark/>
          </w:tcPr>
          <w:p w:rsidR="00CD0C06" w:rsidRPr="00CD0C06" w:rsidP="00CD0C06" w14:paraId="2777B73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24</w:t>
            </w:r>
          </w:p>
        </w:tc>
        <w:tc>
          <w:tcPr>
            <w:tcW w:w="1060" w:type="dxa"/>
            <w:tcBorders>
              <w:top w:val="nil"/>
              <w:left w:val="nil"/>
              <w:bottom w:val="single" w:sz="4" w:space="0" w:color="auto"/>
              <w:right w:val="single" w:sz="4" w:space="0" w:color="auto"/>
            </w:tcBorders>
            <w:vAlign w:val="center"/>
            <w:hideMark/>
          </w:tcPr>
          <w:p w:rsidR="00CD0C06" w:rsidRPr="00CD0C06" w:rsidP="00CD0C06" w14:paraId="36BC290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0.32</w:t>
            </w:r>
          </w:p>
        </w:tc>
        <w:tc>
          <w:tcPr>
            <w:tcW w:w="1080" w:type="dxa"/>
            <w:tcBorders>
              <w:top w:val="nil"/>
              <w:left w:val="nil"/>
              <w:bottom w:val="single" w:sz="4" w:space="0" w:color="auto"/>
              <w:right w:val="single" w:sz="4" w:space="0" w:color="auto"/>
            </w:tcBorders>
            <w:vAlign w:val="center"/>
            <w:hideMark/>
          </w:tcPr>
          <w:p w:rsidR="00CD0C06" w:rsidRPr="00CD0C06" w:rsidP="00CD0C06" w14:paraId="6B7E8A9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7.68</w:t>
            </w:r>
          </w:p>
        </w:tc>
        <w:tc>
          <w:tcPr>
            <w:tcW w:w="1180" w:type="dxa"/>
            <w:tcBorders>
              <w:top w:val="nil"/>
              <w:left w:val="nil"/>
              <w:bottom w:val="single" w:sz="4" w:space="0" w:color="auto"/>
              <w:right w:val="single" w:sz="4" w:space="0" w:color="auto"/>
            </w:tcBorders>
            <w:vAlign w:val="center"/>
            <w:hideMark/>
          </w:tcPr>
          <w:p w:rsidR="00CD0C06" w:rsidRPr="00CD0C06" w:rsidP="00CD0C06" w14:paraId="7096D02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64BBCB78"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1379A51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3CBE5B4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6DC0DEC0"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43C5D3BD" w14:textId="77777777" w:rsidTr="00CD0C06">
        <w:tblPrEx>
          <w:tblW w:w="12700" w:type="dxa"/>
          <w:tblInd w:w="113" w:type="dxa"/>
          <w:tblLook w:val="04A0"/>
        </w:tblPrEx>
        <w:trPr>
          <w:trHeight w:val="278"/>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5E29EA62"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xml:space="preserve">3. Report review </w:t>
            </w:r>
          </w:p>
        </w:tc>
        <w:tc>
          <w:tcPr>
            <w:tcW w:w="980" w:type="dxa"/>
            <w:tcBorders>
              <w:top w:val="nil"/>
              <w:left w:val="nil"/>
              <w:bottom w:val="single" w:sz="4" w:space="0" w:color="auto"/>
              <w:right w:val="single" w:sz="4" w:space="0" w:color="auto"/>
            </w:tcBorders>
            <w:vAlign w:val="center"/>
            <w:hideMark/>
          </w:tcPr>
          <w:p w:rsidR="00CD0C06" w:rsidRPr="00CD0C06" w:rsidP="00CD0C06" w14:paraId="0911A8B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 </w:t>
            </w:r>
          </w:p>
        </w:tc>
        <w:tc>
          <w:tcPr>
            <w:tcW w:w="1060" w:type="dxa"/>
            <w:tcBorders>
              <w:top w:val="nil"/>
              <w:left w:val="nil"/>
              <w:bottom w:val="single" w:sz="4" w:space="0" w:color="auto"/>
              <w:right w:val="single" w:sz="4" w:space="0" w:color="auto"/>
            </w:tcBorders>
            <w:vAlign w:val="center"/>
            <w:hideMark/>
          </w:tcPr>
          <w:p w:rsidR="00CD0C06" w:rsidRPr="00CD0C06" w:rsidP="00CD0C06" w14:paraId="05832D2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 </w:t>
            </w:r>
          </w:p>
        </w:tc>
        <w:tc>
          <w:tcPr>
            <w:tcW w:w="1080" w:type="dxa"/>
            <w:tcBorders>
              <w:top w:val="nil"/>
              <w:left w:val="nil"/>
              <w:bottom w:val="single" w:sz="4" w:space="0" w:color="auto"/>
              <w:right w:val="single" w:sz="4" w:space="0" w:color="auto"/>
            </w:tcBorders>
            <w:vAlign w:val="center"/>
            <w:hideMark/>
          </w:tcPr>
          <w:p w:rsidR="00CD0C06" w:rsidRPr="00CD0C06" w:rsidP="00CD0C06" w14:paraId="146830D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 </w:t>
            </w:r>
          </w:p>
        </w:tc>
        <w:tc>
          <w:tcPr>
            <w:tcW w:w="1180" w:type="dxa"/>
            <w:tcBorders>
              <w:top w:val="nil"/>
              <w:left w:val="nil"/>
              <w:bottom w:val="single" w:sz="4" w:space="0" w:color="auto"/>
              <w:right w:val="single" w:sz="4" w:space="0" w:color="auto"/>
            </w:tcBorders>
            <w:vAlign w:val="center"/>
            <w:hideMark/>
          </w:tcPr>
          <w:p w:rsidR="00CD0C06" w:rsidRPr="00CD0C06" w:rsidP="00CD0C06" w14:paraId="7C26BC1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 </w:t>
            </w:r>
          </w:p>
        </w:tc>
        <w:tc>
          <w:tcPr>
            <w:tcW w:w="980" w:type="dxa"/>
            <w:tcBorders>
              <w:top w:val="nil"/>
              <w:left w:val="nil"/>
              <w:bottom w:val="single" w:sz="4" w:space="0" w:color="auto"/>
              <w:right w:val="single" w:sz="4" w:space="0" w:color="auto"/>
            </w:tcBorders>
            <w:vAlign w:val="center"/>
            <w:hideMark/>
          </w:tcPr>
          <w:p w:rsidR="00CD0C06" w:rsidRPr="00CD0C06" w:rsidP="00CD0C06" w14:paraId="750A8E3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30FF3930"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4A41B27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55694D43"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63CABDE0" w14:textId="77777777" w:rsidTr="00CD0C06">
        <w:tblPrEx>
          <w:tblW w:w="12700" w:type="dxa"/>
          <w:tblInd w:w="113" w:type="dxa"/>
          <w:tblLook w:val="04A0"/>
        </w:tblPrEx>
        <w:trPr>
          <w:trHeight w:val="300"/>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1758CFAE" w14:textId="012FCDF3">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a. Initial notification</w:t>
            </w:r>
          </w:p>
        </w:tc>
        <w:tc>
          <w:tcPr>
            <w:tcW w:w="980" w:type="dxa"/>
            <w:tcBorders>
              <w:top w:val="nil"/>
              <w:left w:val="nil"/>
              <w:bottom w:val="single" w:sz="4" w:space="0" w:color="auto"/>
              <w:right w:val="single" w:sz="4" w:space="0" w:color="auto"/>
            </w:tcBorders>
            <w:vAlign w:val="center"/>
            <w:hideMark/>
          </w:tcPr>
          <w:p w:rsidR="00CD0C06" w:rsidRPr="00CD0C06" w:rsidP="00CD0C06" w14:paraId="45240DC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133103F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CD0C06" w:rsidRPr="00CD0C06" w:rsidP="00CD0C06" w14:paraId="5A7162C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80" w:type="dxa"/>
            <w:tcBorders>
              <w:top w:val="nil"/>
              <w:left w:val="nil"/>
              <w:bottom w:val="single" w:sz="4" w:space="0" w:color="auto"/>
              <w:right w:val="single" w:sz="4" w:space="0" w:color="auto"/>
            </w:tcBorders>
            <w:vAlign w:val="center"/>
            <w:hideMark/>
          </w:tcPr>
          <w:p w:rsidR="00CD0C06" w:rsidRPr="00CD0C06" w:rsidP="00CD0C06" w14:paraId="4AE6926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0A8A6E48"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7BB567D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795E93D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3C5A004F"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350C4175" w14:textId="77777777" w:rsidTr="00CD0C06">
        <w:tblPrEx>
          <w:tblW w:w="12700" w:type="dxa"/>
          <w:tblInd w:w="113" w:type="dxa"/>
          <w:tblLook w:val="04A0"/>
        </w:tblPrEx>
        <w:trPr>
          <w:trHeight w:val="278"/>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73E318C8" w14:textId="72FF3279">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 xml:space="preserve">b. Notification of performance test </w:t>
            </w:r>
            <w:r w:rsidRPr="00CD0C06">
              <w:rPr>
                <w:rFonts w:eastAsia="Times New Roman" w:cstheme="minorHAnsi"/>
                <w:color w:val="000000"/>
                <w:sz w:val="20"/>
                <w:szCs w:val="20"/>
                <w:vertAlign w:val="superscript"/>
              </w:rPr>
              <w:t>c</w:t>
            </w:r>
          </w:p>
        </w:tc>
        <w:tc>
          <w:tcPr>
            <w:tcW w:w="980" w:type="dxa"/>
            <w:tcBorders>
              <w:top w:val="nil"/>
              <w:left w:val="nil"/>
              <w:bottom w:val="single" w:sz="4" w:space="0" w:color="auto"/>
              <w:right w:val="single" w:sz="4" w:space="0" w:color="auto"/>
            </w:tcBorders>
            <w:vAlign w:val="center"/>
            <w:hideMark/>
          </w:tcPr>
          <w:p w:rsidR="00CD0C06" w:rsidRPr="00CD0C06" w:rsidP="00CD0C06" w14:paraId="6A3AABC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67DC427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w:t>
            </w:r>
          </w:p>
        </w:tc>
        <w:tc>
          <w:tcPr>
            <w:tcW w:w="1080" w:type="dxa"/>
            <w:tcBorders>
              <w:top w:val="nil"/>
              <w:left w:val="nil"/>
              <w:bottom w:val="single" w:sz="4" w:space="0" w:color="auto"/>
              <w:right w:val="single" w:sz="4" w:space="0" w:color="auto"/>
            </w:tcBorders>
            <w:vAlign w:val="center"/>
            <w:hideMark/>
          </w:tcPr>
          <w:p w:rsidR="00CD0C06" w:rsidRPr="00CD0C06" w:rsidP="00CD0C06" w14:paraId="07EE94EB"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180" w:type="dxa"/>
            <w:tcBorders>
              <w:top w:val="nil"/>
              <w:left w:val="nil"/>
              <w:bottom w:val="single" w:sz="4" w:space="0" w:color="auto"/>
              <w:right w:val="single" w:sz="4" w:space="0" w:color="auto"/>
            </w:tcBorders>
            <w:vAlign w:val="center"/>
            <w:hideMark/>
          </w:tcPr>
          <w:p w:rsidR="00CD0C06" w:rsidRPr="00CD0C06" w:rsidP="00CD0C06" w14:paraId="66D3ABFF"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CD0C06" w:rsidRPr="00CD0C06" w:rsidP="00CD0C06" w14:paraId="617A516B"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120" w:type="dxa"/>
            <w:tcBorders>
              <w:top w:val="nil"/>
              <w:left w:val="nil"/>
              <w:bottom w:val="single" w:sz="4" w:space="0" w:color="auto"/>
              <w:right w:val="single" w:sz="4" w:space="0" w:color="auto"/>
            </w:tcBorders>
            <w:vAlign w:val="center"/>
            <w:hideMark/>
          </w:tcPr>
          <w:p w:rsidR="00CD0C06" w:rsidRPr="00CD0C06" w:rsidP="00CD0C06" w14:paraId="2C92526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0.80</w:t>
            </w:r>
          </w:p>
        </w:tc>
        <w:tc>
          <w:tcPr>
            <w:tcW w:w="980" w:type="dxa"/>
            <w:tcBorders>
              <w:top w:val="nil"/>
              <w:left w:val="nil"/>
              <w:bottom w:val="single" w:sz="4" w:space="0" w:color="auto"/>
              <w:right w:val="single" w:sz="4" w:space="0" w:color="auto"/>
            </w:tcBorders>
            <w:vAlign w:val="center"/>
            <w:hideMark/>
          </w:tcPr>
          <w:p w:rsidR="00CD0C06" w:rsidRPr="00CD0C06" w:rsidP="00CD0C06" w14:paraId="0470462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1.60</w:t>
            </w:r>
          </w:p>
        </w:tc>
        <w:tc>
          <w:tcPr>
            <w:tcW w:w="1360" w:type="dxa"/>
            <w:tcBorders>
              <w:top w:val="nil"/>
              <w:left w:val="nil"/>
              <w:bottom w:val="single" w:sz="4" w:space="0" w:color="auto"/>
              <w:right w:val="single" w:sz="4" w:space="0" w:color="auto"/>
            </w:tcBorders>
            <w:vAlign w:val="center"/>
            <w:hideMark/>
          </w:tcPr>
          <w:p w:rsidR="00CD0C06" w:rsidRPr="00CD0C06" w:rsidP="00CD0C06" w14:paraId="623F64D6"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$1,024.09 </w:t>
            </w:r>
          </w:p>
        </w:tc>
      </w:tr>
      <w:tr w14:paraId="567F7F1A" w14:textId="77777777" w:rsidTr="00CD0C06">
        <w:tblPrEx>
          <w:tblW w:w="12700" w:type="dxa"/>
          <w:tblInd w:w="113" w:type="dxa"/>
          <w:tblLook w:val="04A0"/>
        </w:tblPrEx>
        <w:trPr>
          <w:trHeight w:val="278"/>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3237E592" w14:textId="1225C03C">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 xml:space="preserve">c. Notification of compliance status </w:t>
            </w:r>
            <w:r w:rsidRPr="00CD0C06">
              <w:rPr>
                <w:rFonts w:eastAsia="Times New Roman" w:cstheme="minorHAnsi"/>
                <w:color w:val="000000"/>
                <w:sz w:val="20"/>
                <w:szCs w:val="20"/>
                <w:vertAlign w:val="superscript"/>
              </w:rPr>
              <w:t>c</w:t>
            </w:r>
          </w:p>
        </w:tc>
        <w:tc>
          <w:tcPr>
            <w:tcW w:w="980" w:type="dxa"/>
            <w:tcBorders>
              <w:top w:val="nil"/>
              <w:left w:val="nil"/>
              <w:bottom w:val="single" w:sz="4" w:space="0" w:color="auto"/>
              <w:right w:val="single" w:sz="4" w:space="0" w:color="auto"/>
            </w:tcBorders>
            <w:vAlign w:val="center"/>
            <w:hideMark/>
          </w:tcPr>
          <w:p w:rsidR="00CD0C06" w:rsidRPr="00CD0C06" w:rsidP="00CD0C06" w14:paraId="256ED12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2759B69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CD0C06" w:rsidRPr="00CD0C06" w:rsidP="00CD0C06" w14:paraId="37BE329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80" w:type="dxa"/>
            <w:tcBorders>
              <w:top w:val="nil"/>
              <w:left w:val="nil"/>
              <w:bottom w:val="single" w:sz="4" w:space="0" w:color="auto"/>
              <w:right w:val="single" w:sz="4" w:space="0" w:color="auto"/>
            </w:tcBorders>
            <w:vAlign w:val="center"/>
            <w:hideMark/>
          </w:tcPr>
          <w:p w:rsidR="00CD0C06" w:rsidRPr="00CD0C06" w:rsidP="00CD0C06" w14:paraId="16A6C69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CD0C06" w:rsidRPr="00CD0C06" w:rsidP="00CD0C06" w14:paraId="171E11A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20" w:type="dxa"/>
            <w:tcBorders>
              <w:top w:val="nil"/>
              <w:left w:val="nil"/>
              <w:bottom w:val="single" w:sz="4" w:space="0" w:color="auto"/>
              <w:right w:val="single" w:sz="4" w:space="0" w:color="auto"/>
            </w:tcBorders>
            <w:vAlign w:val="center"/>
            <w:hideMark/>
          </w:tcPr>
          <w:p w:rsidR="00CD0C06" w:rsidRPr="00CD0C06" w:rsidP="00CD0C06" w14:paraId="779842B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0.40</w:t>
            </w:r>
          </w:p>
        </w:tc>
        <w:tc>
          <w:tcPr>
            <w:tcW w:w="980" w:type="dxa"/>
            <w:tcBorders>
              <w:top w:val="nil"/>
              <w:left w:val="nil"/>
              <w:bottom w:val="single" w:sz="4" w:space="0" w:color="auto"/>
              <w:right w:val="single" w:sz="4" w:space="0" w:color="auto"/>
            </w:tcBorders>
            <w:vAlign w:val="center"/>
            <w:hideMark/>
          </w:tcPr>
          <w:p w:rsidR="00CD0C06" w:rsidRPr="00CD0C06" w:rsidP="00CD0C06" w14:paraId="2743EA1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0.80</w:t>
            </w:r>
          </w:p>
        </w:tc>
        <w:tc>
          <w:tcPr>
            <w:tcW w:w="1360" w:type="dxa"/>
            <w:tcBorders>
              <w:top w:val="nil"/>
              <w:left w:val="nil"/>
              <w:bottom w:val="single" w:sz="4" w:space="0" w:color="auto"/>
              <w:right w:val="single" w:sz="4" w:space="0" w:color="auto"/>
            </w:tcBorders>
            <w:vAlign w:val="center"/>
            <w:hideMark/>
          </w:tcPr>
          <w:p w:rsidR="00CD0C06" w:rsidRPr="00CD0C06" w:rsidP="00CD0C06" w14:paraId="7377D050"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$512.04 </w:t>
            </w:r>
          </w:p>
        </w:tc>
      </w:tr>
      <w:tr w14:paraId="535FC42E" w14:textId="77777777" w:rsidTr="00CD0C06">
        <w:tblPrEx>
          <w:tblW w:w="12700" w:type="dxa"/>
          <w:tblInd w:w="113" w:type="dxa"/>
          <w:tblLook w:val="04A0"/>
        </w:tblPrEx>
        <w:trPr>
          <w:trHeight w:val="278"/>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743BF3F7" w14:textId="0785C8E9">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d. Notification of construction/reconstruction</w:t>
            </w:r>
          </w:p>
        </w:tc>
        <w:tc>
          <w:tcPr>
            <w:tcW w:w="980" w:type="dxa"/>
            <w:tcBorders>
              <w:top w:val="nil"/>
              <w:left w:val="nil"/>
              <w:bottom w:val="single" w:sz="4" w:space="0" w:color="auto"/>
              <w:right w:val="single" w:sz="4" w:space="0" w:color="auto"/>
            </w:tcBorders>
            <w:vAlign w:val="center"/>
            <w:hideMark/>
          </w:tcPr>
          <w:p w:rsidR="00CD0C06" w:rsidRPr="00CD0C06" w:rsidP="00CD0C06" w14:paraId="3B0B3DA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3949BB8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CD0C06" w:rsidRPr="00CD0C06" w:rsidP="00CD0C06" w14:paraId="5CAC5E9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80" w:type="dxa"/>
            <w:tcBorders>
              <w:top w:val="nil"/>
              <w:left w:val="nil"/>
              <w:bottom w:val="single" w:sz="4" w:space="0" w:color="auto"/>
              <w:right w:val="single" w:sz="4" w:space="0" w:color="auto"/>
            </w:tcBorders>
            <w:vAlign w:val="center"/>
            <w:hideMark/>
          </w:tcPr>
          <w:p w:rsidR="00CD0C06" w:rsidRPr="00CD0C06" w:rsidP="00CD0C06" w14:paraId="5BB6CA2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0E765CE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6DD74490"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766E340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7CD00514"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18087B87" w14:textId="77777777" w:rsidTr="00CD0C06">
        <w:tblPrEx>
          <w:tblW w:w="12700" w:type="dxa"/>
          <w:tblInd w:w="113" w:type="dxa"/>
          <w:tblLook w:val="04A0"/>
        </w:tblPrEx>
        <w:trPr>
          <w:trHeight w:val="278"/>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1BF5F28D" w14:textId="6F591DE4">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e. Notification of actual startup</w:t>
            </w:r>
          </w:p>
        </w:tc>
        <w:tc>
          <w:tcPr>
            <w:tcW w:w="980" w:type="dxa"/>
            <w:tcBorders>
              <w:top w:val="nil"/>
              <w:left w:val="nil"/>
              <w:bottom w:val="single" w:sz="4" w:space="0" w:color="auto"/>
              <w:right w:val="single" w:sz="4" w:space="0" w:color="auto"/>
            </w:tcBorders>
            <w:vAlign w:val="center"/>
            <w:hideMark/>
          </w:tcPr>
          <w:p w:rsidR="00CD0C06" w:rsidRPr="00CD0C06" w:rsidP="00CD0C06" w14:paraId="4566DCE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1635169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CD0C06" w:rsidRPr="00CD0C06" w:rsidP="00CD0C06" w14:paraId="0DB0205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80" w:type="dxa"/>
            <w:tcBorders>
              <w:top w:val="nil"/>
              <w:left w:val="nil"/>
              <w:bottom w:val="single" w:sz="4" w:space="0" w:color="auto"/>
              <w:right w:val="single" w:sz="4" w:space="0" w:color="auto"/>
            </w:tcBorders>
            <w:vAlign w:val="center"/>
            <w:hideMark/>
          </w:tcPr>
          <w:p w:rsidR="00CD0C06" w:rsidRPr="00CD0C06" w:rsidP="00CD0C06" w14:paraId="38D60ED0"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07030D8B"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120" w:type="dxa"/>
            <w:tcBorders>
              <w:top w:val="nil"/>
              <w:left w:val="nil"/>
              <w:bottom w:val="single" w:sz="4" w:space="0" w:color="auto"/>
              <w:right w:val="single" w:sz="4" w:space="0" w:color="auto"/>
            </w:tcBorders>
            <w:vAlign w:val="center"/>
            <w:hideMark/>
          </w:tcPr>
          <w:p w:rsidR="00CD0C06" w:rsidRPr="00CD0C06" w:rsidP="00CD0C06" w14:paraId="1B2B480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980" w:type="dxa"/>
            <w:tcBorders>
              <w:top w:val="nil"/>
              <w:left w:val="nil"/>
              <w:bottom w:val="single" w:sz="4" w:space="0" w:color="auto"/>
              <w:right w:val="single" w:sz="4" w:space="0" w:color="auto"/>
            </w:tcBorders>
            <w:vAlign w:val="center"/>
            <w:hideMark/>
          </w:tcPr>
          <w:p w:rsidR="00CD0C06" w:rsidRPr="00CD0C06" w:rsidP="00CD0C06" w14:paraId="667695F8"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360" w:type="dxa"/>
            <w:tcBorders>
              <w:top w:val="nil"/>
              <w:left w:val="nil"/>
              <w:bottom w:val="single" w:sz="4" w:space="0" w:color="auto"/>
              <w:right w:val="single" w:sz="4" w:space="0" w:color="auto"/>
            </w:tcBorders>
            <w:vAlign w:val="center"/>
            <w:hideMark/>
          </w:tcPr>
          <w:p w:rsidR="00CD0C06" w:rsidRPr="00CD0C06" w:rsidP="00CD0C06" w14:paraId="6E644719"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$0 </w:t>
            </w:r>
          </w:p>
        </w:tc>
      </w:tr>
      <w:tr w14:paraId="3AF36885" w14:textId="77777777" w:rsidTr="00CD0C06">
        <w:tblPrEx>
          <w:tblW w:w="12700" w:type="dxa"/>
          <w:tblInd w:w="113" w:type="dxa"/>
          <w:tblLook w:val="04A0"/>
        </w:tblPrEx>
        <w:trPr>
          <w:trHeight w:val="315"/>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18779DD2" w14:textId="54585B12">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 xml:space="preserve">f. Report of performance test </w:t>
            </w:r>
            <w:r w:rsidRPr="00CD0C06">
              <w:rPr>
                <w:rFonts w:eastAsia="Times New Roman" w:cstheme="minorHAnsi"/>
                <w:color w:val="000000"/>
                <w:sz w:val="20"/>
                <w:szCs w:val="20"/>
                <w:vertAlign w:val="superscript"/>
              </w:rPr>
              <w:t>c</w:t>
            </w:r>
          </w:p>
        </w:tc>
        <w:tc>
          <w:tcPr>
            <w:tcW w:w="980" w:type="dxa"/>
            <w:tcBorders>
              <w:top w:val="nil"/>
              <w:left w:val="nil"/>
              <w:bottom w:val="single" w:sz="4" w:space="0" w:color="auto"/>
              <w:right w:val="single" w:sz="4" w:space="0" w:color="auto"/>
            </w:tcBorders>
            <w:vAlign w:val="center"/>
            <w:hideMark/>
          </w:tcPr>
          <w:p w:rsidR="00CD0C06" w:rsidRPr="00CD0C06" w:rsidP="00CD0C06" w14:paraId="3FEE487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335F12D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w:t>
            </w:r>
          </w:p>
        </w:tc>
        <w:tc>
          <w:tcPr>
            <w:tcW w:w="1080" w:type="dxa"/>
            <w:tcBorders>
              <w:top w:val="nil"/>
              <w:left w:val="nil"/>
              <w:bottom w:val="single" w:sz="4" w:space="0" w:color="auto"/>
              <w:right w:val="single" w:sz="4" w:space="0" w:color="auto"/>
            </w:tcBorders>
            <w:vAlign w:val="center"/>
            <w:hideMark/>
          </w:tcPr>
          <w:p w:rsidR="00CD0C06" w:rsidRPr="00CD0C06" w:rsidP="00CD0C06" w14:paraId="6163780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180" w:type="dxa"/>
            <w:tcBorders>
              <w:top w:val="nil"/>
              <w:left w:val="nil"/>
              <w:bottom w:val="single" w:sz="4" w:space="0" w:color="auto"/>
              <w:right w:val="single" w:sz="4" w:space="0" w:color="auto"/>
            </w:tcBorders>
            <w:vAlign w:val="center"/>
            <w:hideMark/>
          </w:tcPr>
          <w:p w:rsidR="00CD0C06" w:rsidRPr="00CD0C06" w:rsidP="00CD0C06" w14:paraId="3FFFC8C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CD0C06" w:rsidRPr="00CD0C06" w:rsidP="00CD0C06" w14:paraId="52C580C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120" w:type="dxa"/>
            <w:tcBorders>
              <w:top w:val="nil"/>
              <w:left w:val="nil"/>
              <w:bottom w:val="single" w:sz="4" w:space="0" w:color="auto"/>
              <w:right w:val="single" w:sz="4" w:space="0" w:color="auto"/>
            </w:tcBorders>
            <w:vAlign w:val="center"/>
            <w:hideMark/>
          </w:tcPr>
          <w:p w:rsidR="00CD0C06" w:rsidRPr="00CD0C06" w:rsidP="00CD0C06" w14:paraId="7DE97AD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0.80</w:t>
            </w:r>
          </w:p>
        </w:tc>
        <w:tc>
          <w:tcPr>
            <w:tcW w:w="980" w:type="dxa"/>
            <w:tcBorders>
              <w:top w:val="nil"/>
              <w:left w:val="nil"/>
              <w:bottom w:val="single" w:sz="4" w:space="0" w:color="auto"/>
              <w:right w:val="single" w:sz="4" w:space="0" w:color="auto"/>
            </w:tcBorders>
            <w:vAlign w:val="center"/>
            <w:hideMark/>
          </w:tcPr>
          <w:p w:rsidR="00CD0C06" w:rsidRPr="00CD0C06" w:rsidP="00CD0C06" w14:paraId="011AD80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1.60</w:t>
            </w:r>
          </w:p>
        </w:tc>
        <w:tc>
          <w:tcPr>
            <w:tcW w:w="1360" w:type="dxa"/>
            <w:tcBorders>
              <w:top w:val="nil"/>
              <w:left w:val="nil"/>
              <w:bottom w:val="single" w:sz="4" w:space="0" w:color="auto"/>
              <w:right w:val="single" w:sz="4" w:space="0" w:color="auto"/>
            </w:tcBorders>
            <w:vAlign w:val="center"/>
            <w:hideMark/>
          </w:tcPr>
          <w:p w:rsidR="00CD0C06" w:rsidRPr="00CD0C06" w:rsidP="00CD0C06" w14:paraId="7DDDA442"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$1,024.09 </w:t>
            </w:r>
          </w:p>
        </w:tc>
      </w:tr>
      <w:tr w14:paraId="7AC93709" w14:textId="77777777" w:rsidTr="00CD0C06">
        <w:tblPrEx>
          <w:tblW w:w="12700" w:type="dxa"/>
          <w:tblInd w:w="113" w:type="dxa"/>
          <w:tblLook w:val="04A0"/>
        </w:tblPrEx>
        <w:trPr>
          <w:trHeight w:val="315"/>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26FD94F4" w14:textId="1A1A32C3">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g. Semiannual report</w:t>
            </w:r>
            <w:r w:rsidRPr="00CD0C06">
              <w:rPr>
                <w:rFonts w:eastAsia="Times New Roman" w:cstheme="minorHAnsi"/>
                <w:color w:val="000000"/>
                <w:sz w:val="20"/>
                <w:szCs w:val="20"/>
                <w:vertAlign w:val="superscript"/>
              </w:rPr>
              <w:t xml:space="preserve"> d</w:t>
            </w:r>
          </w:p>
        </w:tc>
        <w:tc>
          <w:tcPr>
            <w:tcW w:w="980" w:type="dxa"/>
            <w:tcBorders>
              <w:top w:val="nil"/>
              <w:left w:val="nil"/>
              <w:bottom w:val="single" w:sz="4" w:space="0" w:color="auto"/>
              <w:right w:val="single" w:sz="4" w:space="0" w:color="auto"/>
            </w:tcBorders>
            <w:vAlign w:val="center"/>
            <w:hideMark/>
          </w:tcPr>
          <w:p w:rsidR="00CD0C06" w:rsidRPr="00CD0C06" w:rsidP="00CD0C06" w14:paraId="694817E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1060" w:type="dxa"/>
            <w:tcBorders>
              <w:top w:val="nil"/>
              <w:left w:val="nil"/>
              <w:bottom w:val="single" w:sz="4" w:space="0" w:color="auto"/>
              <w:right w:val="single" w:sz="4" w:space="0" w:color="auto"/>
            </w:tcBorders>
            <w:vAlign w:val="center"/>
            <w:hideMark/>
          </w:tcPr>
          <w:p w:rsidR="00CD0C06" w:rsidRPr="00CD0C06" w:rsidP="00CD0C06" w14:paraId="0DCABD49"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w:t>
            </w:r>
          </w:p>
        </w:tc>
        <w:tc>
          <w:tcPr>
            <w:tcW w:w="1080" w:type="dxa"/>
            <w:tcBorders>
              <w:top w:val="nil"/>
              <w:left w:val="nil"/>
              <w:bottom w:val="single" w:sz="4" w:space="0" w:color="auto"/>
              <w:right w:val="single" w:sz="4" w:space="0" w:color="auto"/>
            </w:tcBorders>
            <w:vAlign w:val="center"/>
            <w:hideMark/>
          </w:tcPr>
          <w:p w:rsidR="00CD0C06" w:rsidRPr="00CD0C06" w:rsidP="00CD0C06" w14:paraId="35CC595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32</w:t>
            </w:r>
          </w:p>
        </w:tc>
        <w:tc>
          <w:tcPr>
            <w:tcW w:w="1180" w:type="dxa"/>
            <w:tcBorders>
              <w:top w:val="nil"/>
              <w:left w:val="nil"/>
              <w:bottom w:val="single" w:sz="4" w:space="0" w:color="auto"/>
              <w:right w:val="single" w:sz="4" w:space="0" w:color="auto"/>
            </w:tcBorders>
            <w:vAlign w:val="center"/>
            <w:hideMark/>
          </w:tcPr>
          <w:p w:rsidR="00CD0C06" w:rsidRPr="00CD0C06" w:rsidP="00CD0C06" w14:paraId="7B8CEEF7"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CD0C06" w:rsidRPr="00CD0C06" w:rsidP="00CD0C06" w14:paraId="68B8840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32</w:t>
            </w:r>
          </w:p>
        </w:tc>
        <w:tc>
          <w:tcPr>
            <w:tcW w:w="1120" w:type="dxa"/>
            <w:tcBorders>
              <w:top w:val="nil"/>
              <w:left w:val="nil"/>
              <w:bottom w:val="single" w:sz="4" w:space="0" w:color="auto"/>
              <w:right w:val="single" w:sz="4" w:space="0" w:color="auto"/>
            </w:tcBorders>
            <w:vAlign w:val="center"/>
            <w:hideMark/>
          </w:tcPr>
          <w:p w:rsidR="00CD0C06" w:rsidRPr="00CD0C06" w:rsidP="00CD0C06" w14:paraId="09AEA63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1.6</w:t>
            </w:r>
          </w:p>
        </w:tc>
        <w:tc>
          <w:tcPr>
            <w:tcW w:w="980" w:type="dxa"/>
            <w:tcBorders>
              <w:top w:val="nil"/>
              <w:left w:val="nil"/>
              <w:bottom w:val="single" w:sz="4" w:space="0" w:color="auto"/>
              <w:right w:val="single" w:sz="4" w:space="0" w:color="auto"/>
            </w:tcBorders>
            <w:vAlign w:val="center"/>
            <w:hideMark/>
          </w:tcPr>
          <w:p w:rsidR="00CD0C06" w:rsidRPr="00CD0C06" w:rsidP="00CD0C06" w14:paraId="0C2A538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3.2</w:t>
            </w:r>
          </w:p>
        </w:tc>
        <w:tc>
          <w:tcPr>
            <w:tcW w:w="1360" w:type="dxa"/>
            <w:tcBorders>
              <w:top w:val="nil"/>
              <w:left w:val="nil"/>
              <w:bottom w:val="single" w:sz="4" w:space="0" w:color="auto"/>
              <w:right w:val="single" w:sz="4" w:space="0" w:color="auto"/>
            </w:tcBorders>
            <w:vAlign w:val="center"/>
            <w:hideMark/>
          </w:tcPr>
          <w:p w:rsidR="00CD0C06" w:rsidRPr="00CD0C06" w:rsidP="00CD0C06" w14:paraId="4ED2746C"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$2,048.18 </w:t>
            </w:r>
          </w:p>
        </w:tc>
      </w:tr>
      <w:tr w14:paraId="7D41F43E" w14:textId="77777777" w:rsidTr="00CD0C06">
        <w:tblPrEx>
          <w:tblW w:w="12700" w:type="dxa"/>
          <w:tblInd w:w="113" w:type="dxa"/>
          <w:tblLook w:val="04A0"/>
        </w:tblPrEx>
        <w:trPr>
          <w:trHeight w:val="315"/>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14515260" w14:textId="5A3520CA">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 </w:t>
            </w:r>
            <w:r w:rsidRPr="00CD0C06">
              <w:rPr>
                <w:rFonts w:eastAsia="Times New Roman" w:cstheme="minorHAnsi"/>
                <w:color w:val="000000"/>
                <w:sz w:val="20"/>
                <w:szCs w:val="20"/>
              </w:rPr>
              <w:t xml:space="preserve">h. Startup, shutdown, malfunction report </w:t>
            </w:r>
            <w:r w:rsidRPr="00CD0C06">
              <w:rPr>
                <w:rFonts w:eastAsia="Times New Roman" w:cstheme="minorHAnsi"/>
                <w:color w:val="000000"/>
                <w:sz w:val="20"/>
                <w:szCs w:val="20"/>
                <w:vertAlign w:val="superscript"/>
              </w:rPr>
              <w:t>e</w:t>
            </w:r>
          </w:p>
        </w:tc>
        <w:tc>
          <w:tcPr>
            <w:tcW w:w="980" w:type="dxa"/>
            <w:tcBorders>
              <w:top w:val="nil"/>
              <w:left w:val="nil"/>
              <w:bottom w:val="single" w:sz="4" w:space="0" w:color="auto"/>
              <w:right w:val="single" w:sz="4" w:space="0" w:color="auto"/>
            </w:tcBorders>
            <w:vAlign w:val="center"/>
            <w:hideMark/>
          </w:tcPr>
          <w:p w:rsidR="00CD0C06" w:rsidRPr="00CD0C06" w:rsidP="00CD0C06" w14:paraId="0ED1FB5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060" w:type="dxa"/>
            <w:tcBorders>
              <w:top w:val="nil"/>
              <w:left w:val="nil"/>
              <w:bottom w:val="single" w:sz="4" w:space="0" w:color="auto"/>
              <w:right w:val="single" w:sz="4" w:space="0" w:color="auto"/>
            </w:tcBorders>
            <w:vAlign w:val="center"/>
            <w:hideMark/>
          </w:tcPr>
          <w:p w:rsidR="00CD0C06" w:rsidRPr="00CD0C06" w:rsidP="00CD0C06" w14:paraId="28A37FD0"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1080" w:type="dxa"/>
            <w:tcBorders>
              <w:top w:val="nil"/>
              <w:left w:val="nil"/>
              <w:bottom w:val="single" w:sz="4" w:space="0" w:color="auto"/>
              <w:right w:val="single" w:sz="4" w:space="0" w:color="auto"/>
            </w:tcBorders>
            <w:vAlign w:val="center"/>
            <w:hideMark/>
          </w:tcPr>
          <w:p w:rsidR="00CD0C06" w:rsidRPr="00CD0C06" w:rsidP="00CD0C06" w14:paraId="236B0E2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80" w:type="dxa"/>
            <w:tcBorders>
              <w:top w:val="nil"/>
              <w:left w:val="nil"/>
              <w:bottom w:val="single" w:sz="4" w:space="0" w:color="auto"/>
              <w:right w:val="single" w:sz="4" w:space="0" w:color="auto"/>
            </w:tcBorders>
            <w:vAlign w:val="center"/>
            <w:hideMark/>
          </w:tcPr>
          <w:p w:rsidR="00CD0C06" w:rsidRPr="00CD0C06" w:rsidP="00CD0C06" w14:paraId="5D0BB65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980" w:type="dxa"/>
            <w:tcBorders>
              <w:top w:val="nil"/>
              <w:left w:val="nil"/>
              <w:bottom w:val="single" w:sz="4" w:space="0" w:color="auto"/>
              <w:right w:val="single" w:sz="4" w:space="0" w:color="auto"/>
            </w:tcBorders>
            <w:vAlign w:val="center"/>
            <w:hideMark/>
          </w:tcPr>
          <w:p w:rsidR="00CD0C06" w:rsidRPr="00CD0C06" w:rsidP="00CD0C06" w14:paraId="255F8B0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8</w:t>
            </w:r>
          </w:p>
        </w:tc>
        <w:tc>
          <w:tcPr>
            <w:tcW w:w="1120" w:type="dxa"/>
            <w:tcBorders>
              <w:top w:val="nil"/>
              <w:left w:val="nil"/>
              <w:bottom w:val="single" w:sz="4" w:space="0" w:color="auto"/>
              <w:right w:val="single" w:sz="4" w:space="0" w:color="auto"/>
            </w:tcBorders>
            <w:vAlign w:val="center"/>
            <w:hideMark/>
          </w:tcPr>
          <w:p w:rsidR="00CD0C06" w:rsidRPr="00CD0C06" w:rsidP="00CD0C06" w14:paraId="5D64D6A4"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0.4</w:t>
            </w:r>
          </w:p>
        </w:tc>
        <w:tc>
          <w:tcPr>
            <w:tcW w:w="980" w:type="dxa"/>
            <w:tcBorders>
              <w:top w:val="nil"/>
              <w:left w:val="nil"/>
              <w:bottom w:val="single" w:sz="4" w:space="0" w:color="auto"/>
              <w:right w:val="single" w:sz="4" w:space="0" w:color="auto"/>
            </w:tcBorders>
            <w:vAlign w:val="center"/>
            <w:hideMark/>
          </w:tcPr>
          <w:p w:rsidR="00CD0C06" w:rsidRPr="00CD0C06" w:rsidP="00CD0C06" w14:paraId="008B48A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0.8</w:t>
            </w:r>
          </w:p>
        </w:tc>
        <w:tc>
          <w:tcPr>
            <w:tcW w:w="1360" w:type="dxa"/>
            <w:tcBorders>
              <w:top w:val="nil"/>
              <w:left w:val="nil"/>
              <w:bottom w:val="single" w:sz="4" w:space="0" w:color="auto"/>
              <w:right w:val="single" w:sz="4" w:space="0" w:color="auto"/>
            </w:tcBorders>
            <w:vAlign w:val="center"/>
            <w:hideMark/>
          </w:tcPr>
          <w:p w:rsidR="00CD0C06" w:rsidRPr="00CD0C06" w:rsidP="00CD0C06" w14:paraId="7A6E871A" w14:textId="77777777">
            <w:pPr>
              <w:spacing w:after="0" w:line="240" w:lineRule="auto"/>
              <w:jc w:val="right"/>
              <w:rPr>
                <w:rFonts w:eastAsia="Times New Roman" w:cstheme="minorHAnsi"/>
                <w:color w:val="000000"/>
                <w:sz w:val="20"/>
                <w:szCs w:val="20"/>
              </w:rPr>
            </w:pPr>
            <w:r w:rsidRPr="00CD0C06">
              <w:rPr>
                <w:rFonts w:eastAsia="Times New Roman" w:cstheme="minorHAnsi"/>
                <w:color w:val="000000"/>
                <w:sz w:val="20"/>
                <w:szCs w:val="20"/>
              </w:rPr>
              <w:t xml:space="preserve">$512.04 </w:t>
            </w:r>
          </w:p>
        </w:tc>
      </w:tr>
      <w:tr w14:paraId="1A42B65B" w14:textId="77777777" w:rsidTr="00CD0C06">
        <w:tblPrEx>
          <w:tblW w:w="12700" w:type="dxa"/>
          <w:tblInd w:w="113" w:type="dxa"/>
          <w:tblLook w:val="04A0"/>
        </w:tblPrEx>
        <w:trPr>
          <w:trHeight w:val="315"/>
        </w:trPr>
        <w:tc>
          <w:tcPr>
            <w:tcW w:w="3960" w:type="dxa"/>
            <w:tcBorders>
              <w:top w:val="nil"/>
              <w:left w:val="single" w:sz="4" w:space="0" w:color="auto"/>
              <w:bottom w:val="single" w:sz="4" w:space="0" w:color="auto"/>
              <w:right w:val="single" w:sz="4" w:space="0" w:color="auto"/>
            </w:tcBorders>
            <w:vAlign w:val="center"/>
            <w:hideMark/>
          </w:tcPr>
          <w:p w:rsidR="00CD0C06" w:rsidRPr="00CD0C06" w:rsidP="00CD0C06" w14:paraId="6643E761" w14:textId="77777777">
            <w:pPr>
              <w:spacing w:after="0" w:line="240" w:lineRule="auto"/>
              <w:rPr>
                <w:rFonts w:eastAsia="Times New Roman" w:cstheme="minorHAnsi"/>
                <w:b/>
                <w:bCs/>
                <w:color w:val="000000"/>
                <w:sz w:val="20"/>
                <w:szCs w:val="20"/>
              </w:rPr>
            </w:pPr>
            <w:r w:rsidRPr="00CD0C06">
              <w:rPr>
                <w:rFonts w:eastAsia="Times New Roman" w:cstheme="minorHAnsi"/>
                <w:b/>
                <w:bCs/>
                <w:color w:val="000000"/>
                <w:sz w:val="20"/>
                <w:szCs w:val="20"/>
              </w:rPr>
              <w:t xml:space="preserve">Total (rounded) </w:t>
            </w:r>
            <w:r w:rsidRPr="00CD0C06">
              <w:rPr>
                <w:rFonts w:eastAsia="Times New Roman" w:cstheme="minorHAnsi"/>
                <w:b/>
                <w:bCs/>
                <w:color w:val="000000"/>
                <w:sz w:val="20"/>
                <w:szCs w:val="20"/>
                <w:vertAlign w:val="superscript"/>
              </w:rPr>
              <w:t>f</w:t>
            </w:r>
          </w:p>
        </w:tc>
        <w:tc>
          <w:tcPr>
            <w:tcW w:w="980" w:type="dxa"/>
            <w:tcBorders>
              <w:top w:val="nil"/>
              <w:left w:val="nil"/>
              <w:bottom w:val="single" w:sz="4" w:space="0" w:color="auto"/>
              <w:right w:val="single" w:sz="4" w:space="0" w:color="auto"/>
            </w:tcBorders>
            <w:vAlign w:val="center"/>
            <w:hideMark/>
          </w:tcPr>
          <w:p w:rsidR="00CD0C06" w:rsidRPr="00CD0C06" w:rsidP="00CD0C06" w14:paraId="561073FD" w14:textId="77777777">
            <w:pPr>
              <w:spacing w:after="0" w:line="240" w:lineRule="auto"/>
              <w:jc w:val="center"/>
              <w:rPr>
                <w:rFonts w:eastAsia="Times New Roman" w:cstheme="minorHAnsi"/>
                <w:b/>
                <w:bCs/>
                <w:color w:val="000000"/>
                <w:sz w:val="20"/>
                <w:szCs w:val="20"/>
              </w:rPr>
            </w:pPr>
            <w:r w:rsidRPr="00CD0C06">
              <w:rPr>
                <w:rFonts w:eastAsia="Times New Roman" w:cstheme="minorHAnsi"/>
                <w:b/>
                <w:bCs/>
                <w:color w:val="000000"/>
                <w:sz w:val="20"/>
                <w:szCs w:val="20"/>
              </w:rPr>
              <w:t> </w:t>
            </w:r>
          </w:p>
        </w:tc>
        <w:tc>
          <w:tcPr>
            <w:tcW w:w="1060" w:type="dxa"/>
            <w:tcBorders>
              <w:top w:val="nil"/>
              <w:left w:val="nil"/>
              <w:bottom w:val="single" w:sz="4" w:space="0" w:color="auto"/>
              <w:right w:val="single" w:sz="4" w:space="0" w:color="auto"/>
            </w:tcBorders>
            <w:vAlign w:val="center"/>
            <w:hideMark/>
          </w:tcPr>
          <w:p w:rsidR="00CD0C06" w:rsidRPr="00CD0C06" w:rsidP="00CD0C06" w14:paraId="503EA57F" w14:textId="77777777">
            <w:pPr>
              <w:spacing w:after="0" w:line="240" w:lineRule="auto"/>
              <w:jc w:val="center"/>
              <w:rPr>
                <w:rFonts w:eastAsia="Times New Roman" w:cstheme="minorHAnsi"/>
                <w:b/>
                <w:bCs/>
                <w:color w:val="000000"/>
                <w:sz w:val="20"/>
                <w:szCs w:val="20"/>
              </w:rPr>
            </w:pPr>
            <w:r w:rsidRPr="00CD0C06">
              <w:rPr>
                <w:rFonts w:eastAsia="Times New Roman" w:cstheme="minorHAnsi"/>
                <w:b/>
                <w:bCs/>
                <w:color w:val="000000"/>
                <w:sz w:val="20"/>
                <w:szCs w:val="20"/>
              </w:rPr>
              <w:t> </w:t>
            </w:r>
          </w:p>
        </w:tc>
        <w:tc>
          <w:tcPr>
            <w:tcW w:w="1080" w:type="dxa"/>
            <w:tcBorders>
              <w:top w:val="nil"/>
              <w:left w:val="nil"/>
              <w:bottom w:val="single" w:sz="4" w:space="0" w:color="auto"/>
              <w:right w:val="single" w:sz="4" w:space="0" w:color="auto"/>
            </w:tcBorders>
            <w:vAlign w:val="center"/>
            <w:hideMark/>
          </w:tcPr>
          <w:p w:rsidR="00CD0C06" w:rsidRPr="00CD0C06" w:rsidP="00CD0C06" w14:paraId="0E5FEB42" w14:textId="77777777">
            <w:pPr>
              <w:spacing w:after="0" w:line="240" w:lineRule="auto"/>
              <w:jc w:val="center"/>
              <w:rPr>
                <w:rFonts w:eastAsia="Times New Roman" w:cstheme="minorHAnsi"/>
                <w:b/>
                <w:bCs/>
                <w:color w:val="000000"/>
                <w:sz w:val="20"/>
                <w:szCs w:val="20"/>
              </w:rPr>
            </w:pPr>
            <w:r w:rsidRPr="00CD0C06">
              <w:rPr>
                <w:rFonts w:eastAsia="Times New Roman" w:cstheme="minorHAnsi"/>
                <w:b/>
                <w:bCs/>
                <w:color w:val="000000"/>
                <w:sz w:val="20"/>
                <w:szCs w:val="20"/>
              </w:rPr>
              <w:t> </w:t>
            </w:r>
          </w:p>
        </w:tc>
        <w:tc>
          <w:tcPr>
            <w:tcW w:w="1180" w:type="dxa"/>
            <w:tcBorders>
              <w:top w:val="nil"/>
              <w:left w:val="nil"/>
              <w:bottom w:val="single" w:sz="4" w:space="0" w:color="auto"/>
              <w:right w:val="single" w:sz="4" w:space="0" w:color="auto"/>
            </w:tcBorders>
            <w:vAlign w:val="center"/>
            <w:hideMark/>
          </w:tcPr>
          <w:p w:rsidR="00CD0C06" w:rsidRPr="00CD0C06" w:rsidP="00CD0C06" w14:paraId="10D0E898" w14:textId="77777777">
            <w:pPr>
              <w:spacing w:after="0" w:line="240" w:lineRule="auto"/>
              <w:jc w:val="center"/>
              <w:rPr>
                <w:rFonts w:eastAsia="Times New Roman" w:cstheme="minorHAnsi"/>
                <w:b/>
                <w:bCs/>
                <w:color w:val="000000"/>
                <w:sz w:val="20"/>
                <w:szCs w:val="20"/>
              </w:rPr>
            </w:pPr>
            <w:r w:rsidRPr="00CD0C06">
              <w:rPr>
                <w:rFonts w:eastAsia="Times New Roman" w:cstheme="minorHAnsi"/>
                <w:b/>
                <w:bCs/>
                <w:color w:val="000000"/>
                <w:sz w:val="20"/>
                <w:szCs w:val="20"/>
              </w:rPr>
              <w:t> </w:t>
            </w:r>
          </w:p>
        </w:tc>
        <w:tc>
          <w:tcPr>
            <w:tcW w:w="3080" w:type="dxa"/>
            <w:gridSpan w:val="3"/>
            <w:tcBorders>
              <w:top w:val="single" w:sz="4" w:space="0" w:color="auto"/>
              <w:left w:val="nil"/>
              <w:bottom w:val="single" w:sz="4" w:space="0" w:color="auto"/>
              <w:right w:val="single" w:sz="4" w:space="0" w:color="auto"/>
            </w:tcBorders>
            <w:vAlign w:val="center"/>
            <w:hideMark/>
          </w:tcPr>
          <w:p w:rsidR="00CD0C06" w:rsidRPr="00CD0C06" w:rsidP="00CD0C06" w14:paraId="3977C9BD" w14:textId="77777777">
            <w:pPr>
              <w:spacing w:after="0" w:line="240" w:lineRule="auto"/>
              <w:jc w:val="center"/>
              <w:rPr>
                <w:rFonts w:eastAsia="Times New Roman" w:cstheme="minorHAnsi"/>
                <w:b/>
                <w:bCs/>
                <w:color w:val="000000"/>
                <w:sz w:val="20"/>
                <w:szCs w:val="20"/>
              </w:rPr>
            </w:pPr>
            <w:r w:rsidRPr="00CD0C06">
              <w:rPr>
                <w:rFonts w:eastAsia="Times New Roman" w:cstheme="minorHAnsi"/>
                <w:b/>
                <w:bCs/>
                <w:color w:val="000000"/>
                <w:sz w:val="20"/>
                <w:szCs w:val="20"/>
              </w:rPr>
              <w:t>92</w:t>
            </w:r>
          </w:p>
        </w:tc>
        <w:tc>
          <w:tcPr>
            <w:tcW w:w="1360" w:type="dxa"/>
            <w:tcBorders>
              <w:top w:val="nil"/>
              <w:left w:val="nil"/>
              <w:bottom w:val="single" w:sz="4" w:space="0" w:color="auto"/>
              <w:right w:val="single" w:sz="4" w:space="0" w:color="auto"/>
            </w:tcBorders>
            <w:vAlign w:val="center"/>
            <w:hideMark/>
          </w:tcPr>
          <w:p w:rsidR="00CD0C06" w:rsidRPr="00CD0C06" w:rsidP="00CD0C06" w14:paraId="43832C2E" w14:textId="77777777">
            <w:pPr>
              <w:spacing w:after="0" w:line="240" w:lineRule="auto"/>
              <w:jc w:val="right"/>
              <w:rPr>
                <w:rFonts w:eastAsia="Times New Roman" w:cstheme="minorHAnsi"/>
                <w:b/>
                <w:bCs/>
                <w:color w:val="000000"/>
                <w:sz w:val="20"/>
                <w:szCs w:val="20"/>
              </w:rPr>
            </w:pPr>
            <w:r w:rsidRPr="00CD0C06">
              <w:rPr>
                <w:rFonts w:eastAsia="Times New Roman" w:cstheme="minorHAnsi"/>
                <w:b/>
                <w:bCs/>
                <w:color w:val="000000"/>
                <w:sz w:val="20"/>
                <w:szCs w:val="20"/>
              </w:rPr>
              <w:t xml:space="preserve">$5,120 </w:t>
            </w:r>
          </w:p>
        </w:tc>
      </w:tr>
      <w:tr w14:paraId="77DE7D86" w14:textId="77777777" w:rsidTr="00CD0C06">
        <w:tblPrEx>
          <w:tblW w:w="12700" w:type="dxa"/>
          <w:tblInd w:w="113" w:type="dxa"/>
          <w:tblLook w:val="04A0"/>
        </w:tblPrEx>
        <w:trPr>
          <w:trHeight w:val="300"/>
        </w:trPr>
        <w:tc>
          <w:tcPr>
            <w:tcW w:w="3960" w:type="dxa"/>
            <w:tcBorders>
              <w:top w:val="nil"/>
              <w:left w:val="nil"/>
              <w:bottom w:val="nil"/>
              <w:right w:val="nil"/>
            </w:tcBorders>
            <w:noWrap/>
            <w:vAlign w:val="bottom"/>
            <w:hideMark/>
          </w:tcPr>
          <w:p w:rsidR="00CD0C06" w:rsidRPr="00CD0C06" w:rsidP="00CD0C06" w14:paraId="0C5A8C24" w14:textId="77777777">
            <w:pPr>
              <w:spacing w:after="0" w:line="240" w:lineRule="auto"/>
              <w:jc w:val="right"/>
              <w:rPr>
                <w:rFonts w:eastAsia="Times New Roman" w:cstheme="minorHAnsi"/>
                <w:b/>
                <w:bCs/>
                <w:color w:val="000000"/>
                <w:sz w:val="20"/>
                <w:szCs w:val="20"/>
              </w:rPr>
            </w:pPr>
          </w:p>
        </w:tc>
        <w:tc>
          <w:tcPr>
            <w:tcW w:w="980" w:type="dxa"/>
            <w:tcBorders>
              <w:top w:val="nil"/>
              <w:left w:val="nil"/>
              <w:bottom w:val="nil"/>
              <w:right w:val="nil"/>
            </w:tcBorders>
            <w:noWrap/>
            <w:vAlign w:val="bottom"/>
            <w:hideMark/>
          </w:tcPr>
          <w:p w:rsidR="00CD0C06" w:rsidRPr="00CD0C06" w:rsidP="00CD0C06" w14:paraId="08BEF4B5" w14:textId="77777777">
            <w:pPr>
              <w:spacing w:after="0" w:line="240" w:lineRule="auto"/>
              <w:rPr>
                <w:rFonts w:eastAsia="Times New Roman" w:cstheme="minorHAnsi"/>
                <w:sz w:val="20"/>
                <w:szCs w:val="20"/>
              </w:rPr>
            </w:pPr>
          </w:p>
        </w:tc>
        <w:tc>
          <w:tcPr>
            <w:tcW w:w="1060" w:type="dxa"/>
            <w:tcBorders>
              <w:top w:val="nil"/>
              <w:left w:val="nil"/>
              <w:bottom w:val="nil"/>
              <w:right w:val="nil"/>
            </w:tcBorders>
            <w:noWrap/>
            <w:vAlign w:val="bottom"/>
            <w:hideMark/>
          </w:tcPr>
          <w:p w:rsidR="00CD0C06" w:rsidRPr="00CD0C06" w:rsidP="00CD0C06" w14:paraId="20BE7D00" w14:textId="77777777">
            <w:pPr>
              <w:spacing w:after="0" w:line="240" w:lineRule="auto"/>
              <w:rPr>
                <w:rFonts w:eastAsia="Times New Roman" w:cstheme="minorHAnsi"/>
                <w:sz w:val="20"/>
                <w:szCs w:val="20"/>
              </w:rPr>
            </w:pPr>
          </w:p>
        </w:tc>
        <w:tc>
          <w:tcPr>
            <w:tcW w:w="1080" w:type="dxa"/>
            <w:tcBorders>
              <w:top w:val="nil"/>
              <w:left w:val="nil"/>
              <w:bottom w:val="nil"/>
              <w:right w:val="nil"/>
            </w:tcBorders>
            <w:noWrap/>
            <w:vAlign w:val="bottom"/>
            <w:hideMark/>
          </w:tcPr>
          <w:p w:rsidR="00CD0C06" w:rsidRPr="00CD0C06" w:rsidP="00CD0C06" w14:paraId="46CE3A26" w14:textId="77777777">
            <w:pPr>
              <w:spacing w:after="0" w:line="240" w:lineRule="auto"/>
              <w:rPr>
                <w:rFonts w:eastAsia="Times New Roman" w:cstheme="minorHAnsi"/>
                <w:sz w:val="20"/>
                <w:szCs w:val="20"/>
              </w:rPr>
            </w:pPr>
          </w:p>
        </w:tc>
        <w:tc>
          <w:tcPr>
            <w:tcW w:w="1180" w:type="dxa"/>
            <w:tcBorders>
              <w:top w:val="nil"/>
              <w:left w:val="nil"/>
              <w:bottom w:val="nil"/>
              <w:right w:val="nil"/>
            </w:tcBorders>
            <w:noWrap/>
            <w:vAlign w:val="bottom"/>
            <w:hideMark/>
          </w:tcPr>
          <w:p w:rsidR="00CD0C06" w:rsidRPr="00CD0C06" w:rsidP="00CD0C06" w14:paraId="709992C7"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CD0C06" w:rsidRPr="00CD0C06" w:rsidP="00CD0C06" w14:paraId="4EA0C75D" w14:textId="77777777">
            <w:pPr>
              <w:spacing w:after="0" w:line="240" w:lineRule="auto"/>
              <w:rPr>
                <w:rFonts w:eastAsia="Times New Roman" w:cstheme="minorHAnsi"/>
                <w:sz w:val="20"/>
                <w:szCs w:val="20"/>
              </w:rPr>
            </w:pPr>
          </w:p>
        </w:tc>
        <w:tc>
          <w:tcPr>
            <w:tcW w:w="1120" w:type="dxa"/>
            <w:tcBorders>
              <w:top w:val="nil"/>
              <w:left w:val="nil"/>
              <w:bottom w:val="nil"/>
              <w:right w:val="nil"/>
            </w:tcBorders>
            <w:noWrap/>
            <w:vAlign w:val="bottom"/>
            <w:hideMark/>
          </w:tcPr>
          <w:p w:rsidR="00CD0C06" w:rsidRPr="00CD0C06" w:rsidP="00CD0C06" w14:paraId="090D2A5B"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CD0C06" w:rsidRPr="00CD0C06" w:rsidP="00CD0C06" w14:paraId="591EAA4B" w14:textId="77777777">
            <w:pPr>
              <w:spacing w:after="0" w:line="240" w:lineRule="auto"/>
              <w:rPr>
                <w:rFonts w:eastAsia="Times New Roman" w:cstheme="minorHAnsi"/>
                <w:sz w:val="20"/>
                <w:szCs w:val="20"/>
              </w:rPr>
            </w:pPr>
          </w:p>
        </w:tc>
        <w:tc>
          <w:tcPr>
            <w:tcW w:w="1360" w:type="dxa"/>
            <w:tcBorders>
              <w:top w:val="nil"/>
              <w:left w:val="nil"/>
              <w:bottom w:val="nil"/>
              <w:right w:val="nil"/>
            </w:tcBorders>
            <w:noWrap/>
            <w:vAlign w:val="bottom"/>
            <w:hideMark/>
          </w:tcPr>
          <w:p w:rsidR="00CD0C06" w:rsidRPr="00CD0C06" w:rsidP="00CD0C06" w14:paraId="0877D2CB" w14:textId="77777777">
            <w:pPr>
              <w:spacing w:after="0" w:line="240" w:lineRule="auto"/>
              <w:rPr>
                <w:rFonts w:eastAsia="Times New Roman" w:cstheme="minorHAnsi"/>
                <w:sz w:val="20"/>
                <w:szCs w:val="20"/>
              </w:rPr>
            </w:pPr>
          </w:p>
        </w:tc>
      </w:tr>
      <w:tr w14:paraId="4B620547" w14:textId="77777777" w:rsidTr="00CD0C06">
        <w:tblPrEx>
          <w:tblW w:w="12700" w:type="dxa"/>
          <w:tblInd w:w="113" w:type="dxa"/>
          <w:tblLook w:val="04A0"/>
        </w:tblPrEx>
        <w:trPr>
          <w:trHeight w:val="300"/>
        </w:trPr>
        <w:tc>
          <w:tcPr>
            <w:tcW w:w="3960" w:type="dxa"/>
            <w:tcBorders>
              <w:top w:val="nil"/>
              <w:left w:val="nil"/>
              <w:bottom w:val="nil"/>
              <w:right w:val="nil"/>
            </w:tcBorders>
            <w:noWrap/>
            <w:vAlign w:val="center"/>
            <w:hideMark/>
          </w:tcPr>
          <w:p w:rsidR="00CD0C06" w:rsidRPr="00CD0C06" w:rsidP="00CD0C06" w14:paraId="2D827E55" w14:textId="77777777">
            <w:pPr>
              <w:spacing w:after="0" w:line="240" w:lineRule="auto"/>
              <w:rPr>
                <w:rFonts w:eastAsia="Times New Roman" w:cstheme="minorHAnsi"/>
                <w:b/>
                <w:bCs/>
                <w:color w:val="000000"/>
                <w:sz w:val="20"/>
                <w:szCs w:val="20"/>
              </w:rPr>
            </w:pPr>
            <w:r w:rsidRPr="00CD0C06">
              <w:rPr>
                <w:rFonts w:eastAsia="Times New Roman" w:cstheme="minorHAnsi"/>
                <w:b/>
                <w:bCs/>
                <w:color w:val="000000"/>
                <w:sz w:val="20"/>
                <w:szCs w:val="20"/>
              </w:rPr>
              <w:t>Assumptions:</w:t>
            </w:r>
          </w:p>
        </w:tc>
        <w:tc>
          <w:tcPr>
            <w:tcW w:w="980" w:type="dxa"/>
            <w:tcBorders>
              <w:top w:val="nil"/>
              <w:left w:val="nil"/>
              <w:bottom w:val="nil"/>
              <w:right w:val="nil"/>
            </w:tcBorders>
            <w:noWrap/>
            <w:vAlign w:val="bottom"/>
            <w:hideMark/>
          </w:tcPr>
          <w:p w:rsidR="00CD0C06" w:rsidRPr="00CD0C06" w:rsidP="00CD0C06" w14:paraId="02355814" w14:textId="77777777">
            <w:pPr>
              <w:spacing w:after="0" w:line="240" w:lineRule="auto"/>
              <w:rPr>
                <w:rFonts w:eastAsia="Times New Roman" w:cstheme="minorHAnsi"/>
                <w:b/>
                <w:bCs/>
                <w:color w:val="000000"/>
                <w:sz w:val="20"/>
                <w:szCs w:val="20"/>
              </w:rPr>
            </w:pPr>
          </w:p>
        </w:tc>
        <w:tc>
          <w:tcPr>
            <w:tcW w:w="1060" w:type="dxa"/>
            <w:tcBorders>
              <w:top w:val="nil"/>
              <w:left w:val="nil"/>
              <w:bottom w:val="nil"/>
              <w:right w:val="nil"/>
            </w:tcBorders>
            <w:noWrap/>
            <w:vAlign w:val="bottom"/>
            <w:hideMark/>
          </w:tcPr>
          <w:p w:rsidR="00CD0C06" w:rsidRPr="00CD0C06" w:rsidP="00CD0C06" w14:paraId="53809888" w14:textId="77777777">
            <w:pPr>
              <w:spacing w:after="0" w:line="240" w:lineRule="auto"/>
              <w:rPr>
                <w:rFonts w:eastAsia="Times New Roman" w:cstheme="minorHAnsi"/>
                <w:sz w:val="20"/>
                <w:szCs w:val="20"/>
              </w:rPr>
            </w:pPr>
          </w:p>
        </w:tc>
        <w:tc>
          <w:tcPr>
            <w:tcW w:w="1080" w:type="dxa"/>
            <w:tcBorders>
              <w:top w:val="nil"/>
              <w:left w:val="nil"/>
              <w:bottom w:val="nil"/>
              <w:right w:val="nil"/>
            </w:tcBorders>
            <w:noWrap/>
            <w:vAlign w:val="bottom"/>
            <w:hideMark/>
          </w:tcPr>
          <w:p w:rsidR="00CD0C06" w:rsidRPr="00CD0C06" w:rsidP="00CD0C06" w14:paraId="07688C21" w14:textId="77777777">
            <w:pPr>
              <w:spacing w:after="0" w:line="240" w:lineRule="auto"/>
              <w:rPr>
                <w:rFonts w:eastAsia="Times New Roman" w:cstheme="minorHAnsi"/>
                <w:sz w:val="20"/>
                <w:szCs w:val="20"/>
              </w:rPr>
            </w:pPr>
          </w:p>
        </w:tc>
        <w:tc>
          <w:tcPr>
            <w:tcW w:w="1180" w:type="dxa"/>
            <w:tcBorders>
              <w:top w:val="nil"/>
              <w:left w:val="nil"/>
              <w:bottom w:val="nil"/>
              <w:right w:val="nil"/>
            </w:tcBorders>
            <w:noWrap/>
            <w:vAlign w:val="bottom"/>
            <w:hideMark/>
          </w:tcPr>
          <w:p w:rsidR="00CD0C06" w:rsidRPr="00CD0C06" w:rsidP="00CD0C06" w14:paraId="50D475A0"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CD0C06" w:rsidRPr="00CD0C06" w:rsidP="00CD0C06" w14:paraId="01B15857" w14:textId="77777777">
            <w:pPr>
              <w:spacing w:after="0" w:line="240" w:lineRule="auto"/>
              <w:rPr>
                <w:rFonts w:eastAsia="Times New Roman" w:cstheme="minorHAnsi"/>
                <w:sz w:val="20"/>
                <w:szCs w:val="20"/>
              </w:rPr>
            </w:pPr>
          </w:p>
        </w:tc>
        <w:tc>
          <w:tcPr>
            <w:tcW w:w="1120" w:type="dxa"/>
            <w:tcBorders>
              <w:top w:val="nil"/>
              <w:left w:val="nil"/>
              <w:bottom w:val="nil"/>
              <w:right w:val="nil"/>
            </w:tcBorders>
            <w:noWrap/>
            <w:vAlign w:val="bottom"/>
            <w:hideMark/>
          </w:tcPr>
          <w:p w:rsidR="00CD0C06" w:rsidRPr="00CD0C06" w:rsidP="00CD0C06" w14:paraId="0B96B396" w14:textId="77777777">
            <w:pPr>
              <w:spacing w:after="0" w:line="240" w:lineRule="auto"/>
              <w:rPr>
                <w:rFonts w:eastAsia="Times New Roman" w:cstheme="minorHAnsi"/>
                <w:sz w:val="20"/>
                <w:szCs w:val="20"/>
              </w:rPr>
            </w:pPr>
          </w:p>
        </w:tc>
        <w:tc>
          <w:tcPr>
            <w:tcW w:w="980" w:type="dxa"/>
            <w:tcBorders>
              <w:top w:val="nil"/>
              <w:left w:val="nil"/>
              <w:bottom w:val="nil"/>
              <w:right w:val="nil"/>
            </w:tcBorders>
            <w:noWrap/>
            <w:vAlign w:val="bottom"/>
            <w:hideMark/>
          </w:tcPr>
          <w:p w:rsidR="00CD0C06" w:rsidRPr="00CD0C06" w:rsidP="00CD0C06" w14:paraId="2F743AE4" w14:textId="77777777">
            <w:pPr>
              <w:spacing w:after="0" w:line="240" w:lineRule="auto"/>
              <w:rPr>
                <w:rFonts w:eastAsia="Times New Roman" w:cstheme="minorHAnsi"/>
                <w:sz w:val="20"/>
                <w:szCs w:val="20"/>
              </w:rPr>
            </w:pPr>
          </w:p>
        </w:tc>
        <w:tc>
          <w:tcPr>
            <w:tcW w:w="1360" w:type="dxa"/>
            <w:tcBorders>
              <w:top w:val="nil"/>
              <w:left w:val="nil"/>
              <w:bottom w:val="nil"/>
              <w:right w:val="nil"/>
            </w:tcBorders>
            <w:noWrap/>
            <w:vAlign w:val="bottom"/>
            <w:hideMark/>
          </w:tcPr>
          <w:p w:rsidR="00CD0C06" w:rsidRPr="00CD0C06" w:rsidP="00CD0C06" w14:paraId="19040C8C" w14:textId="77777777">
            <w:pPr>
              <w:spacing w:after="0" w:line="240" w:lineRule="auto"/>
              <w:rPr>
                <w:rFonts w:eastAsia="Times New Roman" w:cstheme="minorHAnsi"/>
                <w:sz w:val="20"/>
                <w:szCs w:val="20"/>
              </w:rPr>
            </w:pPr>
          </w:p>
        </w:tc>
      </w:tr>
      <w:tr w14:paraId="38093CD1" w14:textId="77777777" w:rsidTr="00CD0C06">
        <w:tblPrEx>
          <w:tblW w:w="12700" w:type="dxa"/>
          <w:tblInd w:w="113" w:type="dxa"/>
          <w:tblLook w:val="04A0"/>
        </w:tblPrEx>
        <w:trPr>
          <w:trHeight w:val="345"/>
        </w:trPr>
        <w:tc>
          <w:tcPr>
            <w:tcW w:w="12700" w:type="dxa"/>
            <w:gridSpan w:val="9"/>
            <w:tcBorders>
              <w:top w:val="nil"/>
              <w:left w:val="nil"/>
              <w:bottom w:val="nil"/>
              <w:right w:val="nil"/>
            </w:tcBorders>
            <w:hideMark/>
          </w:tcPr>
          <w:p w:rsidR="00CD0C06" w:rsidRPr="00CD0C06" w:rsidP="00CD0C06" w14:paraId="0A714FA6" w14:textId="52A414CD">
            <w:pPr>
              <w:spacing w:after="0" w:line="240" w:lineRule="auto"/>
              <w:rPr>
                <w:rFonts w:eastAsia="Times New Roman" w:cstheme="minorHAnsi"/>
                <w:sz w:val="20"/>
                <w:szCs w:val="20"/>
              </w:rPr>
            </w:pPr>
            <w:r w:rsidRPr="00CD0C06">
              <w:rPr>
                <w:rFonts w:eastAsia="Times New Roman" w:cstheme="minorHAnsi"/>
                <w:sz w:val="20"/>
                <w:szCs w:val="20"/>
                <w:vertAlign w:val="superscript"/>
              </w:rPr>
              <w:t>a</w:t>
            </w:r>
            <w:r w:rsidR="00BB045A">
              <w:rPr>
                <w:rFonts w:eastAsia="Times New Roman" w:cstheme="minorHAnsi"/>
                <w:sz w:val="20"/>
                <w:szCs w:val="20"/>
              </w:rPr>
              <w:t xml:space="preserve"> </w:t>
            </w:r>
            <w:r w:rsidRPr="00CD0C06">
              <w:rPr>
                <w:rFonts w:eastAsia="Times New Roman" w:cstheme="minorHAnsi"/>
                <w:sz w:val="20"/>
                <w:szCs w:val="20"/>
              </w:rPr>
              <w:t>There is one respondent subject to this rule, with no new sources expected over the next three years of this ICR.</w:t>
            </w:r>
            <w:r w:rsidR="00BB045A">
              <w:rPr>
                <w:rFonts w:eastAsia="Times New Roman" w:cstheme="minorHAnsi"/>
                <w:sz w:val="20"/>
                <w:szCs w:val="20"/>
              </w:rPr>
              <w:t xml:space="preserve"> </w:t>
            </w:r>
          </w:p>
        </w:tc>
      </w:tr>
      <w:tr w14:paraId="1B01C473" w14:textId="77777777" w:rsidTr="00CD0C06">
        <w:tblPrEx>
          <w:tblW w:w="12700" w:type="dxa"/>
          <w:tblInd w:w="113" w:type="dxa"/>
          <w:tblLook w:val="04A0"/>
        </w:tblPrEx>
        <w:trPr>
          <w:trHeight w:val="1275"/>
        </w:trPr>
        <w:tc>
          <w:tcPr>
            <w:tcW w:w="12700" w:type="dxa"/>
            <w:gridSpan w:val="9"/>
            <w:tcBorders>
              <w:top w:val="nil"/>
              <w:left w:val="nil"/>
              <w:bottom w:val="nil"/>
              <w:right w:val="nil"/>
            </w:tcBorders>
            <w:hideMark/>
          </w:tcPr>
          <w:p w:rsidR="00CD0C06" w:rsidRPr="00CD0C06" w:rsidP="00CD0C06" w14:paraId="556EE987" w14:textId="77777777">
            <w:pPr>
              <w:spacing w:after="0" w:line="240" w:lineRule="auto"/>
              <w:rPr>
                <w:rFonts w:eastAsia="Times New Roman" w:cstheme="minorHAnsi"/>
                <w:sz w:val="20"/>
                <w:szCs w:val="20"/>
              </w:rPr>
            </w:pPr>
            <w:r w:rsidRPr="00CD0C06">
              <w:rPr>
                <w:rFonts w:eastAsia="Times New Roman" w:cstheme="minorHAnsi"/>
                <w:sz w:val="20"/>
                <w:szCs w:val="20"/>
                <w:vertAlign w:val="superscript"/>
              </w:rPr>
              <w:t>b</w:t>
            </w:r>
            <w:r w:rsidRPr="00CD0C06">
              <w:rPr>
                <w:rFonts w:eastAsia="Times New Roman" w:cstheme="minorHAnsi"/>
                <w:sz w:val="20"/>
                <w:szCs w:val="20"/>
              </w:rPr>
              <w:t xml:space="preserve"> This cost is based on the average hourly labor rate as follows: Managerial $76.91 (GS-13, Step 5, $48.07 + 60%); Technical $57.07 (GS-12, Step 1, $35.67 + 60%); and Clerical $30.88 (GS-6, Step 3, $19.30+ 60%). This ICR assumes that Managerial hours are 5 percent of Technical hours, and Clerical hours are 10 percent of Technical hours. These rates are from the Office of Personnel Management (OPM), 2024 General Schedule, which excludes locality, rates of pay. The rates have been increased by 60 percent to account for the benefit packages available to government employees.</w:t>
            </w:r>
          </w:p>
        </w:tc>
      </w:tr>
      <w:tr w14:paraId="26D1ABE8" w14:textId="77777777" w:rsidTr="00CD0C06">
        <w:tblPrEx>
          <w:tblW w:w="12700" w:type="dxa"/>
          <w:tblInd w:w="113" w:type="dxa"/>
          <w:tblLook w:val="04A0"/>
        </w:tblPrEx>
        <w:trPr>
          <w:trHeight w:val="1500"/>
        </w:trPr>
        <w:tc>
          <w:tcPr>
            <w:tcW w:w="12700" w:type="dxa"/>
            <w:gridSpan w:val="9"/>
            <w:tcBorders>
              <w:top w:val="nil"/>
              <w:left w:val="nil"/>
              <w:bottom w:val="nil"/>
              <w:right w:val="nil"/>
            </w:tcBorders>
            <w:hideMark/>
          </w:tcPr>
          <w:p w:rsidR="00CD0C06" w:rsidRPr="00CD0C06" w:rsidP="00CD0C06" w14:paraId="2DDA328A" w14:textId="4D6973D3">
            <w:pPr>
              <w:spacing w:after="0" w:line="240" w:lineRule="auto"/>
              <w:rPr>
                <w:rFonts w:eastAsia="Times New Roman" w:cstheme="minorHAnsi"/>
                <w:sz w:val="20"/>
                <w:szCs w:val="20"/>
              </w:rPr>
            </w:pPr>
            <w:r w:rsidRPr="00CD0C06">
              <w:rPr>
                <w:rFonts w:eastAsia="Times New Roman" w:cstheme="minorHAnsi"/>
                <w:sz w:val="20"/>
                <w:szCs w:val="20"/>
                <w:vertAlign w:val="superscript"/>
              </w:rPr>
              <w:t>c</w:t>
            </w:r>
            <w:r w:rsidR="00BB045A">
              <w:rPr>
                <w:rFonts w:eastAsia="Times New Roman" w:cstheme="minorHAnsi"/>
                <w:sz w:val="20"/>
                <w:szCs w:val="20"/>
              </w:rPr>
              <w:t xml:space="preserve"> </w:t>
            </w:r>
            <w:r w:rsidRPr="00CD0C06">
              <w:rPr>
                <w:rFonts w:eastAsia="Times New Roman" w:cstheme="minorHAnsi"/>
                <w:sz w:val="20"/>
                <w:szCs w:val="20"/>
              </w:rPr>
              <w:t>40 CFR 63.9912 requires a performance testing no less frequently than twice (at mid-term and renewal) of each term of the Title V permit, or every 2.5 years, for each emission point. For the U.S. Magnesium facility subject to this rule, we have assumed that 4 emission units must be tested twice during the permit term, and that performance tests are conducted for approximately two emission units in each year in the three year period of this ICR. We assume that 20% of tests will need to be repeated.</w:t>
            </w:r>
            <w:r w:rsidR="00BB045A">
              <w:rPr>
                <w:rFonts w:eastAsia="Times New Roman" w:cstheme="minorHAnsi"/>
                <w:sz w:val="20"/>
                <w:szCs w:val="20"/>
              </w:rPr>
              <w:t xml:space="preserve"> </w:t>
            </w:r>
            <w:r w:rsidRPr="00CD0C06">
              <w:rPr>
                <w:rFonts w:eastAsia="Times New Roman" w:cstheme="minorHAnsi"/>
                <w:sz w:val="20"/>
                <w:szCs w:val="20"/>
              </w:rPr>
              <w:t>(4 units x 2 tests / 5 years = 1.6 units per year, 1.6 units x 0.20 = 0.32 units with repeat testing, 1.6 + 0.32 = 1.92 or 2 units per year.) We assume that Agency personnel only attend initial and repeat of initial performance tests.</w:t>
            </w:r>
          </w:p>
        </w:tc>
      </w:tr>
      <w:tr w14:paraId="625D9D3B" w14:textId="77777777" w:rsidTr="00CD0C06">
        <w:tblPrEx>
          <w:tblW w:w="12700" w:type="dxa"/>
          <w:tblInd w:w="113" w:type="dxa"/>
          <w:tblLook w:val="04A0"/>
        </w:tblPrEx>
        <w:trPr>
          <w:trHeight w:val="315"/>
        </w:trPr>
        <w:tc>
          <w:tcPr>
            <w:tcW w:w="12700" w:type="dxa"/>
            <w:gridSpan w:val="9"/>
            <w:tcBorders>
              <w:top w:val="nil"/>
              <w:left w:val="nil"/>
              <w:bottom w:val="nil"/>
              <w:right w:val="nil"/>
            </w:tcBorders>
            <w:hideMark/>
          </w:tcPr>
          <w:p w:rsidR="00CD0C06" w:rsidRPr="00CD0C06" w:rsidP="00CD0C06" w14:paraId="54BC999A" w14:textId="77777777">
            <w:pPr>
              <w:spacing w:after="0" w:line="240" w:lineRule="auto"/>
              <w:rPr>
                <w:rFonts w:eastAsia="Times New Roman" w:cstheme="minorHAnsi"/>
                <w:sz w:val="20"/>
                <w:szCs w:val="20"/>
              </w:rPr>
            </w:pPr>
            <w:r w:rsidRPr="00CD0C06">
              <w:rPr>
                <w:rFonts w:eastAsia="Times New Roman" w:cstheme="minorHAnsi"/>
                <w:sz w:val="20"/>
                <w:szCs w:val="20"/>
                <w:vertAlign w:val="superscript"/>
              </w:rPr>
              <w:t>d</w:t>
            </w:r>
            <w:r w:rsidRPr="00CD0C06">
              <w:rPr>
                <w:rFonts w:eastAsia="Times New Roman" w:cstheme="minorHAnsi"/>
                <w:sz w:val="20"/>
                <w:szCs w:val="20"/>
              </w:rPr>
              <w:t xml:space="preserve"> We have assumed that it would take 16 hours two times per year to review semiannual reports.</w:t>
            </w:r>
          </w:p>
        </w:tc>
      </w:tr>
      <w:tr w14:paraId="2ADDA519" w14:textId="77777777" w:rsidTr="00CD0C06">
        <w:tblPrEx>
          <w:tblW w:w="12700" w:type="dxa"/>
          <w:tblInd w:w="113" w:type="dxa"/>
          <w:tblLook w:val="04A0"/>
        </w:tblPrEx>
        <w:trPr>
          <w:trHeight w:val="315"/>
        </w:trPr>
        <w:tc>
          <w:tcPr>
            <w:tcW w:w="12700" w:type="dxa"/>
            <w:gridSpan w:val="9"/>
            <w:tcBorders>
              <w:top w:val="nil"/>
              <w:left w:val="nil"/>
              <w:bottom w:val="nil"/>
              <w:right w:val="nil"/>
            </w:tcBorders>
            <w:hideMark/>
          </w:tcPr>
          <w:p w:rsidR="00CD0C06" w:rsidRPr="00CD0C06" w:rsidP="00CD0C06" w14:paraId="3C65DD0A" w14:textId="77777777">
            <w:pPr>
              <w:spacing w:after="0" w:line="240" w:lineRule="auto"/>
              <w:rPr>
                <w:rFonts w:eastAsia="Times New Roman" w:cstheme="minorHAnsi"/>
                <w:sz w:val="20"/>
                <w:szCs w:val="20"/>
              </w:rPr>
            </w:pPr>
            <w:r w:rsidRPr="00CD0C06">
              <w:rPr>
                <w:rFonts w:eastAsia="Times New Roman" w:cstheme="minorHAnsi"/>
                <w:sz w:val="20"/>
                <w:szCs w:val="20"/>
                <w:vertAlign w:val="superscript"/>
              </w:rPr>
              <w:t>e</w:t>
            </w:r>
            <w:r w:rsidRPr="00CD0C06">
              <w:rPr>
                <w:rFonts w:eastAsia="Times New Roman" w:cstheme="minorHAnsi"/>
                <w:sz w:val="20"/>
                <w:szCs w:val="20"/>
              </w:rPr>
              <w:t xml:space="preserve"> We have assumed that it will take eight hours once per year to review the startup, shutdown, malfunction report.</w:t>
            </w:r>
          </w:p>
        </w:tc>
      </w:tr>
      <w:tr w14:paraId="47B3ED0D" w14:textId="77777777" w:rsidTr="00CD0C06">
        <w:tblPrEx>
          <w:tblW w:w="12700" w:type="dxa"/>
          <w:tblInd w:w="113" w:type="dxa"/>
          <w:tblLook w:val="04A0"/>
        </w:tblPrEx>
        <w:trPr>
          <w:trHeight w:val="360"/>
        </w:trPr>
        <w:tc>
          <w:tcPr>
            <w:tcW w:w="12700" w:type="dxa"/>
            <w:gridSpan w:val="9"/>
            <w:tcBorders>
              <w:top w:val="nil"/>
              <w:left w:val="nil"/>
              <w:bottom w:val="nil"/>
              <w:right w:val="nil"/>
            </w:tcBorders>
            <w:hideMark/>
          </w:tcPr>
          <w:p w:rsidR="00CD0C06" w:rsidRPr="00CD0C06" w:rsidP="00CD0C06" w14:paraId="1413691B" w14:textId="04F73D5C">
            <w:pPr>
              <w:spacing w:after="0" w:line="240" w:lineRule="auto"/>
              <w:rPr>
                <w:rFonts w:eastAsia="Times New Roman" w:cstheme="minorHAnsi"/>
                <w:sz w:val="20"/>
                <w:szCs w:val="20"/>
              </w:rPr>
            </w:pPr>
            <w:r w:rsidRPr="00CD0C06">
              <w:rPr>
                <w:rFonts w:eastAsia="Times New Roman" w:cstheme="minorHAnsi"/>
                <w:sz w:val="20"/>
                <w:szCs w:val="20"/>
                <w:vertAlign w:val="superscript"/>
              </w:rPr>
              <w:t>f</w:t>
            </w:r>
            <w:r w:rsidR="00BB045A">
              <w:rPr>
                <w:rFonts w:eastAsia="Times New Roman" w:cstheme="minorHAnsi"/>
                <w:sz w:val="20"/>
                <w:szCs w:val="20"/>
              </w:rPr>
              <w:t xml:space="preserve"> </w:t>
            </w:r>
            <w:r w:rsidRPr="00CD0C06">
              <w:rPr>
                <w:rFonts w:eastAsia="Times New Roman" w:cstheme="minorHAnsi"/>
                <w:sz w:val="20"/>
                <w:szCs w:val="20"/>
              </w:rPr>
              <w:t>Totals have been rounded to 3 significant figures. Figures may not add exactly due to rounding.</w:t>
            </w:r>
          </w:p>
        </w:tc>
      </w:tr>
    </w:tbl>
    <w:p w:rsidR="00700A9A" w:rsidRPr="007F5384" w:rsidP="001641AA" w14:paraId="08D7BF46" w14:textId="77777777">
      <w:pPr>
        <w:spacing w:before="240"/>
        <w:rPr>
          <w:rFonts w:cstheme="minorHAnsi"/>
          <w:b/>
          <w:bCs/>
          <w:sz w:val="24"/>
          <w:szCs w:val="24"/>
        </w:rPr>
      </w:pPr>
    </w:p>
    <w:p w:rsidR="00CD0C06" w14:paraId="65EE0C4D" w14:textId="77777777">
      <w:pPr>
        <w:rPr>
          <w:rFonts w:cstheme="minorHAnsi"/>
          <w:b/>
          <w:bCs/>
          <w:sz w:val="24"/>
          <w:szCs w:val="24"/>
        </w:rPr>
      </w:pPr>
      <w:r>
        <w:rPr>
          <w:rFonts w:cstheme="minorHAnsi"/>
          <w:b/>
          <w:bCs/>
          <w:sz w:val="24"/>
          <w:szCs w:val="24"/>
        </w:rPr>
        <w:br w:type="page"/>
      </w:r>
    </w:p>
    <w:tbl>
      <w:tblPr>
        <w:tblW w:w="12960" w:type="dxa"/>
        <w:tblInd w:w="113" w:type="dxa"/>
        <w:tblLook w:val="04A0"/>
      </w:tblPr>
      <w:tblGrid>
        <w:gridCol w:w="2160"/>
        <w:gridCol w:w="2160"/>
        <w:gridCol w:w="1795"/>
        <w:gridCol w:w="2700"/>
        <w:gridCol w:w="2430"/>
        <w:gridCol w:w="1715"/>
      </w:tblGrid>
      <w:tr w14:paraId="26FE573A" w14:textId="77777777" w:rsidTr="003821F2">
        <w:tblPrEx>
          <w:tblW w:w="12960" w:type="dxa"/>
          <w:tblInd w:w="113" w:type="dxa"/>
          <w:tblLook w:val="04A0"/>
        </w:tblPrEx>
        <w:trPr>
          <w:trHeight w:val="315"/>
        </w:trPr>
        <w:tc>
          <w:tcPr>
            <w:tcW w:w="12960" w:type="dxa"/>
            <w:gridSpan w:val="6"/>
            <w:tcBorders>
              <w:top w:val="single" w:sz="4" w:space="0" w:color="auto"/>
              <w:left w:val="single" w:sz="4" w:space="0" w:color="auto"/>
              <w:bottom w:val="single" w:sz="4" w:space="0" w:color="auto"/>
              <w:right w:val="single" w:sz="4" w:space="0" w:color="000000"/>
            </w:tcBorders>
            <w:vAlign w:val="center"/>
            <w:hideMark/>
          </w:tcPr>
          <w:p w:rsidR="00CD0C06" w:rsidRPr="00CD0C06" w:rsidP="00CD0C06" w14:paraId="3FF14C06" w14:textId="77777777">
            <w:pPr>
              <w:spacing w:after="0" w:line="240" w:lineRule="auto"/>
              <w:jc w:val="center"/>
              <w:rPr>
                <w:rFonts w:eastAsia="Times New Roman" w:cstheme="minorHAnsi"/>
                <w:b/>
                <w:bCs/>
                <w:color w:val="000000"/>
                <w:sz w:val="24"/>
                <w:szCs w:val="24"/>
              </w:rPr>
            </w:pPr>
            <w:r w:rsidRPr="00CD0C06">
              <w:rPr>
                <w:rFonts w:eastAsia="Times New Roman" w:cstheme="minorHAnsi"/>
                <w:b/>
                <w:bCs/>
                <w:color w:val="000000"/>
                <w:sz w:val="24"/>
                <w:szCs w:val="24"/>
              </w:rPr>
              <w:t>Number of Respondents</w:t>
            </w:r>
          </w:p>
        </w:tc>
      </w:tr>
      <w:tr w14:paraId="2AD70ADA" w14:textId="77777777" w:rsidTr="00CC2C0B">
        <w:tblPrEx>
          <w:tblW w:w="12960" w:type="dxa"/>
          <w:tblInd w:w="113" w:type="dxa"/>
          <w:tblLook w:val="04A0"/>
        </w:tblPrEx>
        <w:trPr>
          <w:trHeight w:val="765"/>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066505C5" w14:textId="77777777">
            <w:pPr>
              <w:spacing w:after="0" w:line="240" w:lineRule="auto"/>
              <w:rPr>
                <w:rFonts w:eastAsia="Times New Roman" w:cstheme="minorHAnsi"/>
                <w:b/>
                <w:bCs/>
                <w:color w:val="000000"/>
                <w:sz w:val="20"/>
                <w:szCs w:val="20"/>
              </w:rPr>
            </w:pPr>
            <w:r w:rsidRPr="00CD0C06">
              <w:rPr>
                <w:rFonts w:eastAsia="Times New Roman" w:cstheme="minorHAnsi"/>
                <w:b/>
                <w:bCs/>
                <w:color w:val="000000"/>
                <w:sz w:val="20"/>
                <w:szCs w:val="20"/>
              </w:rPr>
              <w:t> </w:t>
            </w:r>
          </w:p>
        </w:tc>
        <w:tc>
          <w:tcPr>
            <w:tcW w:w="3955" w:type="dxa"/>
            <w:gridSpan w:val="2"/>
            <w:tcBorders>
              <w:top w:val="single" w:sz="4" w:space="0" w:color="auto"/>
              <w:left w:val="nil"/>
              <w:bottom w:val="single" w:sz="4" w:space="0" w:color="auto"/>
              <w:right w:val="single" w:sz="4" w:space="0" w:color="000000"/>
            </w:tcBorders>
            <w:vAlign w:val="center"/>
            <w:hideMark/>
          </w:tcPr>
          <w:p w:rsidR="00CD0C06" w:rsidRPr="00CD0C06" w:rsidP="00CD0C06" w14:paraId="6C9B04CB"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Respondents That Submit Reports</w:t>
            </w:r>
          </w:p>
        </w:tc>
        <w:tc>
          <w:tcPr>
            <w:tcW w:w="2700" w:type="dxa"/>
            <w:tcBorders>
              <w:top w:val="nil"/>
              <w:left w:val="nil"/>
              <w:bottom w:val="single" w:sz="4" w:space="0" w:color="auto"/>
              <w:right w:val="single" w:sz="4" w:space="0" w:color="auto"/>
            </w:tcBorders>
            <w:vAlign w:val="center"/>
            <w:hideMark/>
          </w:tcPr>
          <w:p w:rsidR="00CD0C06" w:rsidRPr="00CD0C06" w:rsidP="00CD0C06" w14:paraId="1213E2B9"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Respondents That Do Not Submit Any Reports</w:t>
            </w:r>
          </w:p>
        </w:tc>
        <w:tc>
          <w:tcPr>
            <w:tcW w:w="2430" w:type="dxa"/>
            <w:tcBorders>
              <w:top w:val="nil"/>
              <w:left w:val="nil"/>
              <w:bottom w:val="single" w:sz="4" w:space="0" w:color="auto"/>
              <w:right w:val="single" w:sz="4" w:space="0" w:color="auto"/>
            </w:tcBorders>
            <w:vAlign w:val="center"/>
            <w:hideMark/>
          </w:tcPr>
          <w:p w:rsidR="00CD0C06" w:rsidRPr="00CD0C06" w:rsidP="00CD0C06" w14:paraId="1FED9A2B"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w:t>
            </w:r>
          </w:p>
        </w:tc>
        <w:tc>
          <w:tcPr>
            <w:tcW w:w="1715" w:type="dxa"/>
            <w:tcBorders>
              <w:top w:val="nil"/>
              <w:left w:val="nil"/>
              <w:bottom w:val="single" w:sz="4" w:space="0" w:color="auto"/>
              <w:right w:val="single" w:sz="4" w:space="0" w:color="auto"/>
            </w:tcBorders>
            <w:vAlign w:val="center"/>
            <w:hideMark/>
          </w:tcPr>
          <w:p w:rsidR="00CD0C06" w:rsidRPr="00CD0C06" w:rsidP="00CD0C06" w14:paraId="7940179E"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w:t>
            </w:r>
          </w:p>
        </w:tc>
      </w:tr>
      <w:tr w14:paraId="77266BE2" w14:textId="77777777" w:rsidTr="00CC2C0B">
        <w:tblPrEx>
          <w:tblW w:w="12960" w:type="dxa"/>
          <w:tblInd w:w="113" w:type="dxa"/>
          <w:tblLook w:val="04A0"/>
        </w:tblPrEx>
        <w:trPr>
          <w:trHeight w:val="300"/>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16C809D1"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w:t>
            </w:r>
          </w:p>
        </w:tc>
        <w:tc>
          <w:tcPr>
            <w:tcW w:w="2160" w:type="dxa"/>
            <w:tcBorders>
              <w:top w:val="nil"/>
              <w:left w:val="nil"/>
              <w:bottom w:val="single" w:sz="4" w:space="0" w:color="auto"/>
              <w:right w:val="single" w:sz="4" w:space="0" w:color="auto"/>
            </w:tcBorders>
            <w:vAlign w:val="center"/>
            <w:hideMark/>
          </w:tcPr>
          <w:p w:rsidR="00CD0C06" w:rsidRPr="00CD0C06" w:rsidP="00CD0C06" w14:paraId="132D486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(A)</w:t>
            </w:r>
          </w:p>
        </w:tc>
        <w:tc>
          <w:tcPr>
            <w:tcW w:w="1795" w:type="dxa"/>
            <w:tcBorders>
              <w:top w:val="nil"/>
              <w:left w:val="nil"/>
              <w:bottom w:val="single" w:sz="4" w:space="0" w:color="auto"/>
              <w:right w:val="single" w:sz="4" w:space="0" w:color="auto"/>
            </w:tcBorders>
            <w:vAlign w:val="center"/>
            <w:hideMark/>
          </w:tcPr>
          <w:p w:rsidR="00CD0C06" w:rsidRPr="00CD0C06" w:rsidP="00CD0C06" w14:paraId="4B3E869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(B)</w:t>
            </w:r>
          </w:p>
        </w:tc>
        <w:tc>
          <w:tcPr>
            <w:tcW w:w="2700" w:type="dxa"/>
            <w:tcBorders>
              <w:top w:val="nil"/>
              <w:left w:val="nil"/>
              <w:bottom w:val="single" w:sz="4" w:space="0" w:color="auto"/>
              <w:right w:val="single" w:sz="4" w:space="0" w:color="auto"/>
            </w:tcBorders>
            <w:vAlign w:val="center"/>
            <w:hideMark/>
          </w:tcPr>
          <w:p w:rsidR="00CD0C06" w:rsidRPr="00CD0C06" w:rsidP="00CD0C06" w14:paraId="38BDD7B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(C)</w:t>
            </w:r>
          </w:p>
        </w:tc>
        <w:tc>
          <w:tcPr>
            <w:tcW w:w="2430" w:type="dxa"/>
            <w:tcBorders>
              <w:top w:val="nil"/>
              <w:left w:val="nil"/>
              <w:bottom w:val="single" w:sz="4" w:space="0" w:color="auto"/>
              <w:right w:val="single" w:sz="4" w:space="0" w:color="auto"/>
            </w:tcBorders>
            <w:vAlign w:val="center"/>
            <w:hideMark/>
          </w:tcPr>
          <w:p w:rsidR="00CD0C06" w:rsidRPr="00CD0C06" w:rsidP="00CD0C06" w14:paraId="6608B22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(D)</w:t>
            </w:r>
          </w:p>
        </w:tc>
        <w:tc>
          <w:tcPr>
            <w:tcW w:w="1715" w:type="dxa"/>
            <w:tcBorders>
              <w:top w:val="nil"/>
              <w:left w:val="nil"/>
              <w:bottom w:val="single" w:sz="4" w:space="0" w:color="auto"/>
              <w:right w:val="single" w:sz="4" w:space="0" w:color="auto"/>
            </w:tcBorders>
            <w:vAlign w:val="center"/>
            <w:hideMark/>
          </w:tcPr>
          <w:p w:rsidR="00CD0C06" w:rsidRPr="00CD0C06" w:rsidP="00CD0C06" w14:paraId="76A6C6D2"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(E)</w:t>
            </w:r>
          </w:p>
        </w:tc>
      </w:tr>
      <w:tr w14:paraId="469B1D57" w14:textId="77777777" w:rsidTr="00CC2C0B">
        <w:tblPrEx>
          <w:tblW w:w="12960" w:type="dxa"/>
          <w:tblInd w:w="113" w:type="dxa"/>
          <w:tblLook w:val="04A0"/>
        </w:tblPrEx>
        <w:trPr>
          <w:trHeight w:val="1020"/>
        </w:trPr>
        <w:tc>
          <w:tcPr>
            <w:tcW w:w="2160" w:type="dxa"/>
            <w:vMerge w:val="restart"/>
            <w:tcBorders>
              <w:top w:val="nil"/>
              <w:left w:val="single" w:sz="4" w:space="0" w:color="auto"/>
              <w:bottom w:val="single" w:sz="4" w:space="0" w:color="000000"/>
              <w:right w:val="single" w:sz="4" w:space="0" w:color="auto"/>
            </w:tcBorders>
            <w:vAlign w:val="center"/>
            <w:hideMark/>
          </w:tcPr>
          <w:p w:rsidR="00CD0C06" w:rsidRPr="00CD0C06" w:rsidP="00CD0C06" w14:paraId="1805B83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Year</w:t>
            </w:r>
          </w:p>
        </w:tc>
        <w:tc>
          <w:tcPr>
            <w:tcW w:w="2160" w:type="dxa"/>
            <w:vMerge w:val="restart"/>
            <w:tcBorders>
              <w:top w:val="nil"/>
              <w:left w:val="single" w:sz="4" w:space="0" w:color="auto"/>
              <w:bottom w:val="single" w:sz="4" w:space="0" w:color="000000"/>
              <w:right w:val="single" w:sz="4" w:space="0" w:color="auto"/>
            </w:tcBorders>
            <w:vAlign w:val="center"/>
            <w:hideMark/>
          </w:tcPr>
          <w:p w:rsidR="00CD0C06" w:rsidRPr="00CD0C06" w:rsidP="00CD0C06" w14:paraId="2E78B3E1"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 xml:space="preserve">Number of New Respondents </w:t>
            </w:r>
            <w:r w:rsidRPr="00CD0C06">
              <w:rPr>
                <w:rFonts w:eastAsia="Times New Roman" w:cstheme="minorHAnsi"/>
                <w:color w:val="000000"/>
                <w:sz w:val="20"/>
                <w:szCs w:val="20"/>
                <w:vertAlign w:val="superscript"/>
              </w:rPr>
              <w:t>1</w:t>
            </w:r>
          </w:p>
        </w:tc>
        <w:tc>
          <w:tcPr>
            <w:tcW w:w="1795" w:type="dxa"/>
            <w:vMerge w:val="restart"/>
            <w:tcBorders>
              <w:top w:val="nil"/>
              <w:left w:val="single" w:sz="4" w:space="0" w:color="auto"/>
              <w:bottom w:val="single" w:sz="4" w:space="0" w:color="000000"/>
              <w:right w:val="single" w:sz="4" w:space="0" w:color="auto"/>
            </w:tcBorders>
            <w:vAlign w:val="center"/>
            <w:hideMark/>
          </w:tcPr>
          <w:p w:rsidR="00CD0C06" w:rsidRPr="00CD0C06" w:rsidP="00CD0C06" w14:paraId="6799846B"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Number of Existing Respondents</w:t>
            </w:r>
          </w:p>
        </w:tc>
        <w:tc>
          <w:tcPr>
            <w:tcW w:w="2700" w:type="dxa"/>
            <w:vMerge w:val="restart"/>
            <w:tcBorders>
              <w:top w:val="nil"/>
              <w:left w:val="single" w:sz="4" w:space="0" w:color="auto"/>
              <w:bottom w:val="single" w:sz="4" w:space="0" w:color="000000"/>
              <w:right w:val="single" w:sz="4" w:space="0" w:color="auto"/>
            </w:tcBorders>
            <w:vAlign w:val="center"/>
            <w:hideMark/>
          </w:tcPr>
          <w:p w:rsidR="00CD0C06" w:rsidRPr="00CD0C06" w:rsidP="00CD0C06" w14:paraId="0779FA3B"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Number of Existing Respondents that keep records but do not submit reports</w:t>
            </w:r>
          </w:p>
        </w:tc>
        <w:tc>
          <w:tcPr>
            <w:tcW w:w="2430" w:type="dxa"/>
            <w:vMerge w:val="restart"/>
            <w:tcBorders>
              <w:top w:val="nil"/>
              <w:left w:val="single" w:sz="4" w:space="0" w:color="auto"/>
              <w:bottom w:val="single" w:sz="4" w:space="0" w:color="000000"/>
              <w:right w:val="single" w:sz="4" w:space="0" w:color="auto"/>
            </w:tcBorders>
            <w:vAlign w:val="center"/>
            <w:hideMark/>
          </w:tcPr>
          <w:p w:rsidR="00CD0C06" w:rsidRPr="00CD0C06" w:rsidP="00CD0C06" w14:paraId="6D81587C"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Number of Existing Respondents That Are Also New Respondents</w:t>
            </w:r>
          </w:p>
        </w:tc>
        <w:tc>
          <w:tcPr>
            <w:tcW w:w="1715" w:type="dxa"/>
            <w:tcBorders>
              <w:top w:val="nil"/>
              <w:left w:val="nil"/>
              <w:bottom w:val="nil"/>
              <w:right w:val="single" w:sz="4" w:space="0" w:color="auto"/>
            </w:tcBorders>
            <w:vAlign w:val="center"/>
            <w:hideMark/>
          </w:tcPr>
          <w:p w:rsidR="00CD0C06" w:rsidRPr="00CC2C0B" w:rsidP="00CD0C06" w14:paraId="180030F8"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Number of Respondents</w:t>
            </w:r>
          </w:p>
          <w:p w:rsidR="003821F2" w:rsidRPr="00CD0C06" w:rsidP="00CD0C06" w14:paraId="162C8FF3" w14:textId="076BA8F0">
            <w:pPr>
              <w:spacing w:after="0" w:line="240" w:lineRule="auto"/>
              <w:rPr>
                <w:rFonts w:eastAsia="Times New Roman" w:cstheme="minorHAnsi"/>
                <w:color w:val="000000"/>
                <w:sz w:val="20"/>
                <w:szCs w:val="20"/>
              </w:rPr>
            </w:pPr>
            <w:r w:rsidRPr="00CC2C0B">
              <w:rPr>
                <w:rFonts w:eastAsia="Times New Roman" w:cstheme="minorHAnsi"/>
                <w:color w:val="000000"/>
                <w:sz w:val="20"/>
                <w:szCs w:val="20"/>
              </w:rPr>
              <w:t>(E=A+B+C-D)</w:t>
            </w:r>
          </w:p>
        </w:tc>
      </w:tr>
      <w:tr w14:paraId="0A9D9753" w14:textId="77777777" w:rsidTr="00CC2C0B">
        <w:tblPrEx>
          <w:tblW w:w="12960" w:type="dxa"/>
          <w:tblInd w:w="113" w:type="dxa"/>
          <w:tblLook w:val="04A0"/>
        </w:tblPrEx>
        <w:trPr>
          <w:trHeight w:val="58"/>
        </w:trPr>
        <w:tc>
          <w:tcPr>
            <w:tcW w:w="2160" w:type="dxa"/>
            <w:vMerge/>
            <w:tcBorders>
              <w:top w:val="nil"/>
              <w:left w:val="single" w:sz="4" w:space="0" w:color="auto"/>
              <w:bottom w:val="single" w:sz="4" w:space="0" w:color="000000"/>
              <w:right w:val="single" w:sz="4" w:space="0" w:color="auto"/>
            </w:tcBorders>
            <w:vAlign w:val="center"/>
            <w:hideMark/>
          </w:tcPr>
          <w:p w:rsidR="00CD0C06" w:rsidRPr="00CD0C06" w:rsidP="00CD0C06" w14:paraId="47C1780F" w14:textId="77777777">
            <w:pPr>
              <w:spacing w:after="0" w:line="240" w:lineRule="auto"/>
              <w:rPr>
                <w:rFonts w:eastAsia="Times New Roman" w:cstheme="minorHAnsi"/>
                <w:color w:val="000000"/>
                <w:sz w:val="20"/>
                <w:szCs w:val="20"/>
              </w:rPr>
            </w:pPr>
          </w:p>
        </w:tc>
        <w:tc>
          <w:tcPr>
            <w:tcW w:w="2160" w:type="dxa"/>
            <w:vMerge/>
            <w:tcBorders>
              <w:top w:val="nil"/>
              <w:left w:val="single" w:sz="4" w:space="0" w:color="auto"/>
              <w:bottom w:val="single" w:sz="4" w:space="0" w:color="000000"/>
              <w:right w:val="single" w:sz="4" w:space="0" w:color="auto"/>
            </w:tcBorders>
            <w:vAlign w:val="center"/>
            <w:hideMark/>
          </w:tcPr>
          <w:p w:rsidR="00CD0C06" w:rsidRPr="00CD0C06" w:rsidP="00CD0C06" w14:paraId="6427AF0A" w14:textId="77777777">
            <w:pPr>
              <w:spacing w:after="0" w:line="240" w:lineRule="auto"/>
              <w:rPr>
                <w:rFonts w:eastAsia="Times New Roman" w:cstheme="minorHAnsi"/>
                <w:color w:val="000000"/>
                <w:sz w:val="20"/>
                <w:szCs w:val="20"/>
              </w:rPr>
            </w:pPr>
          </w:p>
        </w:tc>
        <w:tc>
          <w:tcPr>
            <w:tcW w:w="1795" w:type="dxa"/>
            <w:vMerge/>
            <w:tcBorders>
              <w:top w:val="nil"/>
              <w:left w:val="single" w:sz="4" w:space="0" w:color="auto"/>
              <w:bottom w:val="single" w:sz="4" w:space="0" w:color="000000"/>
              <w:right w:val="single" w:sz="4" w:space="0" w:color="auto"/>
            </w:tcBorders>
            <w:vAlign w:val="center"/>
            <w:hideMark/>
          </w:tcPr>
          <w:p w:rsidR="00CD0C06" w:rsidRPr="00CD0C06" w:rsidP="00CD0C06" w14:paraId="6172F96F" w14:textId="77777777">
            <w:pPr>
              <w:spacing w:after="0" w:line="240" w:lineRule="auto"/>
              <w:rPr>
                <w:rFonts w:eastAsia="Times New Roman" w:cstheme="minorHAnsi"/>
                <w:color w:val="000000"/>
                <w:sz w:val="20"/>
                <w:szCs w:val="20"/>
              </w:rPr>
            </w:pPr>
          </w:p>
        </w:tc>
        <w:tc>
          <w:tcPr>
            <w:tcW w:w="2700" w:type="dxa"/>
            <w:vMerge/>
            <w:tcBorders>
              <w:top w:val="nil"/>
              <w:left w:val="single" w:sz="4" w:space="0" w:color="auto"/>
              <w:bottom w:val="single" w:sz="4" w:space="0" w:color="000000"/>
              <w:right w:val="single" w:sz="4" w:space="0" w:color="auto"/>
            </w:tcBorders>
            <w:vAlign w:val="center"/>
            <w:hideMark/>
          </w:tcPr>
          <w:p w:rsidR="00CD0C06" w:rsidRPr="00CD0C06" w:rsidP="00CD0C06" w14:paraId="12D7F942" w14:textId="77777777">
            <w:pPr>
              <w:spacing w:after="0" w:line="240" w:lineRule="auto"/>
              <w:rPr>
                <w:rFonts w:eastAsia="Times New Roman" w:cstheme="minorHAnsi"/>
                <w:color w:val="000000"/>
                <w:sz w:val="20"/>
                <w:szCs w:val="20"/>
              </w:rPr>
            </w:pPr>
          </w:p>
        </w:tc>
        <w:tc>
          <w:tcPr>
            <w:tcW w:w="2430" w:type="dxa"/>
            <w:vMerge/>
            <w:tcBorders>
              <w:top w:val="nil"/>
              <w:left w:val="single" w:sz="4" w:space="0" w:color="auto"/>
              <w:bottom w:val="single" w:sz="4" w:space="0" w:color="000000"/>
              <w:right w:val="single" w:sz="4" w:space="0" w:color="auto"/>
            </w:tcBorders>
            <w:vAlign w:val="center"/>
            <w:hideMark/>
          </w:tcPr>
          <w:p w:rsidR="00CD0C06" w:rsidRPr="00CD0C06" w:rsidP="00CD0C06" w14:paraId="02821BF7" w14:textId="77777777">
            <w:pPr>
              <w:spacing w:after="0" w:line="240" w:lineRule="auto"/>
              <w:rPr>
                <w:rFonts w:eastAsia="Times New Roman" w:cstheme="minorHAnsi"/>
                <w:color w:val="000000"/>
                <w:sz w:val="20"/>
                <w:szCs w:val="20"/>
              </w:rPr>
            </w:pPr>
          </w:p>
        </w:tc>
        <w:tc>
          <w:tcPr>
            <w:tcW w:w="1715" w:type="dxa"/>
            <w:tcBorders>
              <w:top w:val="nil"/>
              <w:left w:val="nil"/>
              <w:bottom w:val="single" w:sz="4" w:space="0" w:color="auto"/>
              <w:right w:val="single" w:sz="4" w:space="0" w:color="auto"/>
            </w:tcBorders>
            <w:vAlign w:val="center"/>
          </w:tcPr>
          <w:p w:rsidR="00CD0C06" w:rsidRPr="00CD0C06" w:rsidP="00CD0C06" w14:paraId="5477950B" w14:textId="32474708">
            <w:pPr>
              <w:spacing w:after="0" w:line="240" w:lineRule="auto"/>
              <w:rPr>
                <w:rFonts w:eastAsia="Times New Roman" w:cstheme="minorHAnsi"/>
                <w:color w:val="000000"/>
                <w:sz w:val="20"/>
                <w:szCs w:val="20"/>
              </w:rPr>
            </w:pPr>
          </w:p>
        </w:tc>
      </w:tr>
      <w:tr w14:paraId="6BA1CEE2" w14:textId="77777777" w:rsidTr="00CC2C0B">
        <w:tblPrEx>
          <w:tblW w:w="12960" w:type="dxa"/>
          <w:tblInd w:w="113" w:type="dxa"/>
          <w:tblLook w:val="04A0"/>
        </w:tblPrEx>
        <w:trPr>
          <w:trHeight w:val="300"/>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5AC30AD7"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2160" w:type="dxa"/>
            <w:tcBorders>
              <w:top w:val="nil"/>
              <w:left w:val="nil"/>
              <w:bottom w:val="single" w:sz="4" w:space="0" w:color="auto"/>
              <w:right w:val="single" w:sz="4" w:space="0" w:color="auto"/>
            </w:tcBorders>
            <w:vAlign w:val="center"/>
            <w:hideMark/>
          </w:tcPr>
          <w:p w:rsidR="00CD0C06" w:rsidRPr="00CD0C06" w:rsidP="00CD0C06" w14:paraId="0783C31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95" w:type="dxa"/>
            <w:tcBorders>
              <w:top w:val="nil"/>
              <w:left w:val="nil"/>
              <w:bottom w:val="single" w:sz="4" w:space="0" w:color="auto"/>
              <w:right w:val="single" w:sz="4" w:space="0" w:color="auto"/>
            </w:tcBorders>
            <w:vAlign w:val="center"/>
            <w:hideMark/>
          </w:tcPr>
          <w:p w:rsidR="00CD0C06" w:rsidRPr="00CD0C06" w:rsidP="00CD0C06" w14:paraId="64DFC27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2700" w:type="dxa"/>
            <w:tcBorders>
              <w:top w:val="nil"/>
              <w:left w:val="nil"/>
              <w:bottom w:val="single" w:sz="4" w:space="0" w:color="auto"/>
              <w:right w:val="single" w:sz="4" w:space="0" w:color="auto"/>
            </w:tcBorders>
            <w:vAlign w:val="center"/>
            <w:hideMark/>
          </w:tcPr>
          <w:p w:rsidR="00CD0C06" w:rsidRPr="00CD0C06" w:rsidP="00CD0C06" w14:paraId="77340DCB"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2430" w:type="dxa"/>
            <w:tcBorders>
              <w:top w:val="nil"/>
              <w:left w:val="nil"/>
              <w:bottom w:val="single" w:sz="4" w:space="0" w:color="auto"/>
              <w:right w:val="single" w:sz="4" w:space="0" w:color="auto"/>
            </w:tcBorders>
            <w:vAlign w:val="center"/>
            <w:hideMark/>
          </w:tcPr>
          <w:p w:rsidR="00CD0C06" w:rsidRPr="00CD0C06" w:rsidP="00CD0C06" w14:paraId="2302184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15" w:type="dxa"/>
            <w:tcBorders>
              <w:top w:val="nil"/>
              <w:left w:val="nil"/>
              <w:bottom w:val="single" w:sz="4" w:space="0" w:color="auto"/>
              <w:right w:val="single" w:sz="4" w:space="0" w:color="auto"/>
            </w:tcBorders>
            <w:vAlign w:val="center"/>
            <w:hideMark/>
          </w:tcPr>
          <w:p w:rsidR="00CD0C06" w:rsidRPr="00CD0C06" w:rsidP="00CD0C06" w14:paraId="226A85F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r>
      <w:tr w14:paraId="2F182361" w14:textId="77777777" w:rsidTr="00CC2C0B">
        <w:tblPrEx>
          <w:tblW w:w="12960" w:type="dxa"/>
          <w:tblInd w:w="113" w:type="dxa"/>
          <w:tblLook w:val="04A0"/>
        </w:tblPrEx>
        <w:trPr>
          <w:trHeight w:val="300"/>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398AADD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2</w:t>
            </w:r>
          </w:p>
        </w:tc>
        <w:tc>
          <w:tcPr>
            <w:tcW w:w="2160" w:type="dxa"/>
            <w:tcBorders>
              <w:top w:val="nil"/>
              <w:left w:val="nil"/>
              <w:bottom w:val="single" w:sz="4" w:space="0" w:color="auto"/>
              <w:right w:val="single" w:sz="4" w:space="0" w:color="auto"/>
            </w:tcBorders>
            <w:vAlign w:val="center"/>
            <w:hideMark/>
          </w:tcPr>
          <w:p w:rsidR="00CD0C06" w:rsidRPr="00CD0C06" w:rsidP="00CD0C06" w14:paraId="183CB13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95" w:type="dxa"/>
            <w:tcBorders>
              <w:top w:val="nil"/>
              <w:left w:val="nil"/>
              <w:bottom w:val="single" w:sz="4" w:space="0" w:color="auto"/>
              <w:right w:val="single" w:sz="4" w:space="0" w:color="auto"/>
            </w:tcBorders>
            <w:vAlign w:val="center"/>
            <w:hideMark/>
          </w:tcPr>
          <w:p w:rsidR="00CD0C06" w:rsidRPr="00CD0C06" w:rsidP="00CD0C06" w14:paraId="6B67016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2700" w:type="dxa"/>
            <w:tcBorders>
              <w:top w:val="nil"/>
              <w:left w:val="nil"/>
              <w:bottom w:val="single" w:sz="4" w:space="0" w:color="auto"/>
              <w:right w:val="single" w:sz="4" w:space="0" w:color="auto"/>
            </w:tcBorders>
            <w:vAlign w:val="center"/>
            <w:hideMark/>
          </w:tcPr>
          <w:p w:rsidR="00CD0C06" w:rsidRPr="00CD0C06" w:rsidP="00CD0C06" w14:paraId="69AD2993"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2430" w:type="dxa"/>
            <w:tcBorders>
              <w:top w:val="nil"/>
              <w:left w:val="nil"/>
              <w:bottom w:val="single" w:sz="4" w:space="0" w:color="auto"/>
              <w:right w:val="single" w:sz="4" w:space="0" w:color="auto"/>
            </w:tcBorders>
            <w:vAlign w:val="center"/>
            <w:hideMark/>
          </w:tcPr>
          <w:p w:rsidR="00CD0C06" w:rsidRPr="00CD0C06" w:rsidP="00CD0C06" w14:paraId="3320DAE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15" w:type="dxa"/>
            <w:tcBorders>
              <w:top w:val="nil"/>
              <w:left w:val="nil"/>
              <w:bottom w:val="single" w:sz="4" w:space="0" w:color="auto"/>
              <w:right w:val="single" w:sz="4" w:space="0" w:color="auto"/>
            </w:tcBorders>
            <w:vAlign w:val="center"/>
            <w:hideMark/>
          </w:tcPr>
          <w:p w:rsidR="00CD0C06" w:rsidRPr="00CD0C06" w:rsidP="00CD0C06" w14:paraId="0E7B6681"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r>
      <w:tr w14:paraId="44F6642A" w14:textId="77777777" w:rsidTr="00CC2C0B">
        <w:tblPrEx>
          <w:tblW w:w="12960" w:type="dxa"/>
          <w:tblInd w:w="113" w:type="dxa"/>
          <w:tblLook w:val="04A0"/>
        </w:tblPrEx>
        <w:trPr>
          <w:trHeight w:val="300"/>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4C1202C6"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3</w:t>
            </w:r>
          </w:p>
        </w:tc>
        <w:tc>
          <w:tcPr>
            <w:tcW w:w="2160" w:type="dxa"/>
            <w:tcBorders>
              <w:top w:val="nil"/>
              <w:left w:val="nil"/>
              <w:bottom w:val="single" w:sz="4" w:space="0" w:color="auto"/>
              <w:right w:val="single" w:sz="4" w:space="0" w:color="auto"/>
            </w:tcBorders>
            <w:vAlign w:val="center"/>
            <w:hideMark/>
          </w:tcPr>
          <w:p w:rsidR="00CD0C06" w:rsidRPr="00CD0C06" w:rsidP="00CD0C06" w14:paraId="6A014B28"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95" w:type="dxa"/>
            <w:tcBorders>
              <w:top w:val="nil"/>
              <w:left w:val="nil"/>
              <w:bottom w:val="single" w:sz="4" w:space="0" w:color="auto"/>
              <w:right w:val="single" w:sz="4" w:space="0" w:color="auto"/>
            </w:tcBorders>
            <w:vAlign w:val="center"/>
            <w:hideMark/>
          </w:tcPr>
          <w:p w:rsidR="00CD0C06" w:rsidRPr="00CD0C06" w:rsidP="00CD0C06" w14:paraId="4EAD269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2700" w:type="dxa"/>
            <w:tcBorders>
              <w:top w:val="nil"/>
              <w:left w:val="nil"/>
              <w:bottom w:val="single" w:sz="4" w:space="0" w:color="auto"/>
              <w:right w:val="single" w:sz="4" w:space="0" w:color="auto"/>
            </w:tcBorders>
            <w:vAlign w:val="center"/>
            <w:hideMark/>
          </w:tcPr>
          <w:p w:rsidR="00CD0C06" w:rsidRPr="00CD0C06" w:rsidP="00CD0C06" w14:paraId="63ADEEE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2430" w:type="dxa"/>
            <w:tcBorders>
              <w:top w:val="nil"/>
              <w:left w:val="nil"/>
              <w:bottom w:val="single" w:sz="4" w:space="0" w:color="auto"/>
              <w:right w:val="single" w:sz="4" w:space="0" w:color="auto"/>
            </w:tcBorders>
            <w:vAlign w:val="center"/>
            <w:hideMark/>
          </w:tcPr>
          <w:p w:rsidR="00CD0C06" w:rsidRPr="00CD0C06" w:rsidP="00CD0C06" w14:paraId="22B40145"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15" w:type="dxa"/>
            <w:tcBorders>
              <w:top w:val="nil"/>
              <w:left w:val="nil"/>
              <w:bottom w:val="single" w:sz="4" w:space="0" w:color="auto"/>
              <w:right w:val="single" w:sz="4" w:space="0" w:color="auto"/>
            </w:tcBorders>
            <w:vAlign w:val="center"/>
            <w:hideMark/>
          </w:tcPr>
          <w:p w:rsidR="00CD0C06" w:rsidRPr="00CD0C06" w:rsidP="00CD0C06" w14:paraId="6EA1819D"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r>
      <w:tr w14:paraId="1EB60916" w14:textId="77777777" w:rsidTr="00CC2C0B">
        <w:tblPrEx>
          <w:tblW w:w="12960" w:type="dxa"/>
          <w:tblInd w:w="113" w:type="dxa"/>
          <w:tblLook w:val="04A0"/>
        </w:tblPrEx>
        <w:trPr>
          <w:trHeight w:val="300"/>
        </w:trPr>
        <w:tc>
          <w:tcPr>
            <w:tcW w:w="2160" w:type="dxa"/>
            <w:tcBorders>
              <w:top w:val="nil"/>
              <w:left w:val="single" w:sz="4" w:space="0" w:color="auto"/>
              <w:bottom w:val="single" w:sz="4" w:space="0" w:color="auto"/>
              <w:right w:val="single" w:sz="4" w:space="0" w:color="auto"/>
            </w:tcBorders>
            <w:vAlign w:val="center"/>
            <w:hideMark/>
          </w:tcPr>
          <w:p w:rsidR="00CD0C06" w:rsidRPr="00CD0C06" w:rsidP="00CD0C06" w14:paraId="3B6D6A1D"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rPr>
              <w:t>Average</w:t>
            </w:r>
          </w:p>
        </w:tc>
        <w:tc>
          <w:tcPr>
            <w:tcW w:w="2160" w:type="dxa"/>
            <w:tcBorders>
              <w:top w:val="nil"/>
              <w:left w:val="nil"/>
              <w:bottom w:val="single" w:sz="4" w:space="0" w:color="auto"/>
              <w:right w:val="single" w:sz="4" w:space="0" w:color="auto"/>
            </w:tcBorders>
            <w:vAlign w:val="center"/>
            <w:hideMark/>
          </w:tcPr>
          <w:p w:rsidR="00CD0C06" w:rsidRPr="00CD0C06" w:rsidP="00CD0C06" w14:paraId="6F8C9F9E"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95" w:type="dxa"/>
            <w:tcBorders>
              <w:top w:val="nil"/>
              <w:left w:val="nil"/>
              <w:bottom w:val="single" w:sz="4" w:space="0" w:color="auto"/>
              <w:right w:val="single" w:sz="4" w:space="0" w:color="auto"/>
            </w:tcBorders>
            <w:vAlign w:val="center"/>
            <w:hideMark/>
          </w:tcPr>
          <w:p w:rsidR="00CD0C06" w:rsidRPr="00CD0C06" w:rsidP="00CD0C06" w14:paraId="00D45C60"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c>
          <w:tcPr>
            <w:tcW w:w="2700" w:type="dxa"/>
            <w:tcBorders>
              <w:top w:val="nil"/>
              <w:left w:val="nil"/>
              <w:bottom w:val="single" w:sz="4" w:space="0" w:color="auto"/>
              <w:right w:val="single" w:sz="4" w:space="0" w:color="auto"/>
            </w:tcBorders>
            <w:vAlign w:val="center"/>
            <w:hideMark/>
          </w:tcPr>
          <w:p w:rsidR="00CD0C06" w:rsidRPr="00CD0C06" w:rsidP="00CD0C06" w14:paraId="6DE8789C"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2430" w:type="dxa"/>
            <w:tcBorders>
              <w:top w:val="nil"/>
              <w:left w:val="nil"/>
              <w:bottom w:val="single" w:sz="4" w:space="0" w:color="auto"/>
              <w:right w:val="single" w:sz="4" w:space="0" w:color="auto"/>
            </w:tcBorders>
            <w:vAlign w:val="center"/>
            <w:hideMark/>
          </w:tcPr>
          <w:p w:rsidR="00CD0C06" w:rsidRPr="00CD0C06" w:rsidP="00CD0C06" w14:paraId="0A67D92F"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0</w:t>
            </w:r>
          </w:p>
        </w:tc>
        <w:tc>
          <w:tcPr>
            <w:tcW w:w="1715" w:type="dxa"/>
            <w:tcBorders>
              <w:top w:val="nil"/>
              <w:left w:val="nil"/>
              <w:bottom w:val="single" w:sz="4" w:space="0" w:color="auto"/>
              <w:right w:val="single" w:sz="4" w:space="0" w:color="auto"/>
            </w:tcBorders>
            <w:vAlign w:val="center"/>
            <w:hideMark/>
          </w:tcPr>
          <w:p w:rsidR="00CD0C06" w:rsidRPr="00CD0C06" w:rsidP="00CD0C06" w14:paraId="4D039D4A" w14:textId="77777777">
            <w:pPr>
              <w:spacing w:after="0" w:line="240" w:lineRule="auto"/>
              <w:jc w:val="center"/>
              <w:rPr>
                <w:rFonts w:eastAsia="Times New Roman" w:cstheme="minorHAnsi"/>
                <w:color w:val="000000"/>
                <w:sz w:val="20"/>
                <w:szCs w:val="20"/>
              </w:rPr>
            </w:pPr>
            <w:r w:rsidRPr="00CD0C06">
              <w:rPr>
                <w:rFonts w:eastAsia="Times New Roman" w:cstheme="minorHAnsi"/>
                <w:color w:val="000000"/>
                <w:sz w:val="20"/>
                <w:szCs w:val="20"/>
              </w:rPr>
              <w:t>1</w:t>
            </w:r>
          </w:p>
        </w:tc>
      </w:tr>
      <w:tr w14:paraId="087CFFB8" w14:textId="77777777" w:rsidTr="003821F2">
        <w:tblPrEx>
          <w:tblW w:w="12960" w:type="dxa"/>
          <w:tblInd w:w="113" w:type="dxa"/>
          <w:tblLook w:val="04A0"/>
        </w:tblPrEx>
        <w:trPr>
          <w:trHeight w:val="480"/>
        </w:trPr>
        <w:tc>
          <w:tcPr>
            <w:tcW w:w="12960" w:type="dxa"/>
            <w:gridSpan w:val="6"/>
            <w:tcBorders>
              <w:top w:val="single" w:sz="4" w:space="0" w:color="auto"/>
              <w:left w:val="nil"/>
              <w:bottom w:val="nil"/>
              <w:right w:val="nil"/>
            </w:tcBorders>
            <w:hideMark/>
          </w:tcPr>
          <w:p w:rsidR="00CD0C06" w:rsidRPr="00CD0C06" w:rsidP="00CD0C06" w14:paraId="4887455E" w14:textId="77777777">
            <w:pPr>
              <w:spacing w:after="0" w:line="240" w:lineRule="auto"/>
              <w:rPr>
                <w:rFonts w:eastAsia="Times New Roman" w:cstheme="minorHAnsi"/>
                <w:color w:val="000000"/>
                <w:sz w:val="20"/>
                <w:szCs w:val="20"/>
              </w:rPr>
            </w:pPr>
            <w:r w:rsidRPr="00CD0C06">
              <w:rPr>
                <w:rFonts w:eastAsia="Times New Roman" w:cstheme="minorHAnsi"/>
                <w:color w:val="000000"/>
                <w:sz w:val="20"/>
                <w:szCs w:val="20"/>
                <w:vertAlign w:val="superscript"/>
              </w:rPr>
              <w:t>1</w:t>
            </w:r>
            <w:r w:rsidRPr="00CD0C06">
              <w:rPr>
                <w:rFonts w:eastAsia="Times New Roman" w:cstheme="minorHAnsi"/>
                <w:color w:val="000000"/>
                <w:sz w:val="20"/>
                <w:szCs w:val="20"/>
              </w:rPr>
              <w:t xml:space="preserve"> New respondents include sources with constructed, reconstructed and modified affected facilities. </w:t>
            </w:r>
          </w:p>
        </w:tc>
      </w:tr>
    </w:tbl>
    <w:p w:rsidR="00CC2C0B" w:rsidP="00BB3410" w14:paraId="7BEFABC9" w14:textId="27A6B27D">
      <w:pPr>
        <w:pStyle w:val="ListParagraph"/>
        <w:spacing w:before="240"/>
        <w:ind w:left="0"/>
        <w:rPr>
          <w:rFonts w:cstheme="minorHAnsi"/>
          <w:b/>
          <w:bCs/>
          <w:sz w:val="24"/>
          <w:szCs w:val="24"/>
        </w:rPr>
      </w:pPr>
    </w:p>
    <w:p w:rsidR="00CC2C0B" w14:paraId="411A306A" w14:textId="77777777">
      <w:pPr>
        <w:rPr>
          <w:rFonts w:cstheme="minorHAnsi"/>
          <w:b/>
          <w:bCs/>
          <w:sz w:val="24"/>
          <w:szCs w:val="24"/>
        </w:rPr>
      </w:pPr>
      <w:r>
        <w:rPr>
          <w:rFonts w:cstheme="minorHAnsi"/>
          <w:b/>
          <w:bCs/>
          <w:sz w:val="24"/>
          <w:szCs w:val="24"/>
        </w:rPr>
        <w:br w:type="page"/>
      </w:r>
    </w:p>
    <w:p w:rsidR="000D69F1" w:rsidP="00BB3410" w14:paraId="6194E1C8" w14:textId="77777777">
      <w:pPr>
        <w:pStyle w:val="ListParagraph"/>
        <w:spacing w:before="240"/>
        <w:ind w:left="0"/>
        <w:rPr>
          <w:rFonts w:cstheme="minorHAnsi"/>
          <w:b/>
          <w:bCs/>
          <w:sz w:val="24"/>
          <w:szCs w:val="24"/>
        </w:rPr>
      </w:pPr>
    </w:p>
    <w:tbl>
      <w:tblPr>
        <w:tblW w:w="12960" w:type="dxa"/>
        <w:tblInd w:w="113" w:type="dxa"/>
        <w:tblLook w:val="04A0"/>
      </w:tblPr>
      <w:tblGrid>
        <w:gridCol w:w="2592"/>
        <w:gridCol w:w="2592"/>
        <w:gridCol w:w="2592"/>
        <w:gridCol w:w="2592"/>
        <w:gridCol w:w="2592"/>
      </w:tblGrid>
      <w:tr w14:paraId="6A6C0DB1" w14:textId="77777777" w:rsidTr="001E46DC">
        <w:tblPrEx>
          <w:tblW w:w="12960" w:type="dxa"/>
          <w:tblInd w:w="113" w:type="dxa"/>
          <w:tblLook w:val="04A0"/>
        </w:tblPrEx>
        <w:trPr>
          <w:trHeight w:val="792"/>
        </w:trPr>
        <w:tc>
          <w:tcPr>
            <w:tcW w:w="9500" w:type="dxa"/>
            <w:gridSpan w:val="5"/>
            <w:tcBorders>
              <w:top w:val="single" w:sz="4" w:space="0" w:color="auto"/>
              <w:left w:val="single" w:sz="4" w:space="0" w:color="auto"/>
              <w:bottom w:val="single" w:sz="4" w:space="0" w:color="auto"/>
              <w:right w:val="single" w:sz="4" w:space="0" w:color="000000"/>
            </w:tcBorders>
            <w:vAlign w:val="center"/>
            <w:hideMark/>
          </w:tcPr>
          <w:p w:rsidR="001E46DC" w:rsidRPr="001E46DC" w:rsidP="001E46DC" w14:paraId="2C70474D" w14:textId="77777777">
            <w:pPr>
              <w:spacing w:after="0" w:line="240" w:lineRule="auto"/>
              <w:jc w:val="center"/>
              <w:rPr>
                <w:rFonts w:eastAsia="Times New Roman" w:cstheme="minorHAnsi"/>
                <w:b/>
                <w:bCs/>
                <w:color w:val="000000"/>
                <w:sz w:val="24"/>
                <w:szCs w:val="24"/>
              </w:rPr>
            </w:pPr>
            <w:r w:rsidRPr="001E46DC">
              <w:rPr>
                <w:rFonts w:eastAsia="Times New Roman" w:cstheme="minorHAnsi"/>
                <w:b/>
                <w:bCs/>
                <w:color w:val="000000"/>
                <w:sz w:val="24"/>
                <w:szCs w:val="24"/>
              </w:rPr>
              <w:t>Total Annual Responses</w:t>
            </w:r>
          </w:p>
        </w:tc>
      </w:tr>
      <w:tr w14:paraId="06A8D64B" w14:textId="77777777" w:rsidTr="001E46DC">
        <w:tblPrEx>
          <w:tblW w:w="12960" w:type="dxa"/>
          <w:tblInd w:w="113" w:type="dxa"/>
          <w:tblLook w:val="04A0"/>
        </w:tblPrEx>
        <w:trPr>
          <w:trHeight w:val="300"/>
        </w:trPr>
        <w:tc>
          <w:tcPr>
            <w:tcW w:w="1900" w:type="dxa"/>
            <w:tcBorders>
              <w:top w:val="nil"/>
              <w:left w:val="single" w:sz="4" w:space="0" w:color="auto"/>
              <w:bottom w:val="nil"/>
              <w:right w:val="single" w:sz="4" w:space="0" w:color="auto"/>
            </w:tcBorders>
            <w:vAlign w:val="center"/>
            <w:hideMark/>
          </w:tcPr>
          <w:p w:rsidR="001E46DC" w:rsidRPr="001E46DC" w:rsidP="001E46DC" w14:paraId="4E562C65"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(A)</w:t>
            </w:r>
          </w:p>
        </w:tc>
        <w:tc>
          <w:tcPr>
            <w:tcW w:w="1900" w:type="dxa"/>
            <w:tcBorders>
              <w:top w:val="nil"/>
              <w:left w:val="nil"/>
              <w:bottom w:val="nil"/>
              <w:right w:val="single" w:sz="4" w:space="0" w:color="auto"/>
            </w:tcBorders>
            <w:vAlign w:val="center"/>
            <w:hideMark/>
          </w:tcPr>
          <w:p w:rsidR="001E46DC" w:rsidRPr="001E46DC" w:rsidP="001E46DC" w14:paraId="5AF20A83"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(B)</w:t>
            </w:r>
          </w:p>
        </w:tc>
        <w:tc>
          <w:tcPr>
            <w:tcW w:w="1900" w:type="dxa"/>
            <w:tcBorders>
              <w:top w:val="nil"/>
              <w:left w:val="nil"/>
              <w:bottom w:val="nil"/>
              <w:right w:val="single" w:sz="4" w:space="0" w:color="auto"/>
            </w:tcBorders>
            <w:vAlign w:val="center"/>
            <w:hideMark/>
          </w:tcPr>
          <w:p w:rsidR="001E46DC" w:rsidRPr="001E46DC" w:rsidP="001E46DC" w14:paraId="128A2C0B"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(C)</w:t>
            </w:r>
          </w:p>
        </w:tc>
        <w:tc>
          <w:tcPr>
            <w:tcW w:w="1900" w:type="dxa"/>
            <w:tcBorders>
              <w:top w:val="nil"/>
              <w:left w:val="nil"/>
              <w:bottom w:val="nil"/>
              <w:right w:val="single" w:sz="4" w:space="0" w:color="auto"/>
            </w:tcBorders>
            <w:vAlign w:val="center"/>
            <w:hideMark/>
          </w:tcPr>
          <w:p w:rsidR="001E46DC" w:rsidRPr="001E46DC" w:rsidP="001E46DC" w14:paraId="59C85D6A"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(D)</w:t>
            </w:r>
          </w:p>
        </w:tc>
        <w:tc>
          <w:tcPr>
            <w:tcW w:w="1900" w:type="dxa"/>
            <w:tcBorders>
              <w:top w:val="nil"/>
              <w:left w:val="nil"/>
              <w:bottom w:val="nil"/>
              <w:right w:val="single" w:sz="4" w:space="0" w:color="auto"/>
            </w:tcBorders>
            <w:vAlign w:val="center"/>
            <w:hideMark/>
          </w:tcPr>
          <w:p w:rsidR="001E46DC" w:rsidRPr="001E46DC" w:rsidP="001E46DC" w14:paraId="76B486EB"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(E)</w:t>
            </w:r>
          </w:p>
        </w:tc>
      </w:tr>
      <w:tr w14:paraId="2A150700" w14:textId="77777777" w:rsidTr="001E46DC">
        <w:tblPrEx>
          <w:tblW w:w="12960" w:type="dxa"/>
          <w:tblInd w:w="113" w:type="dxa"/>
          <w:tblLook w:val="04A0"/>
        </w:tblPrEx>
        <w:trPr>
          <w:trHeight w:val="96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1631A489"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Information Collection Activity</w:t>
            </w:r>
          </w:p>
        </w:tc>
        <w:tc>
          <w:tcPr>
            <w:tcW w:w="1900" w:type="dxa"/>
            <w:tcBorders>
              <w:top w:val="nil"/>
              <w:left w:val="nil"/>
              <w:bottom w:val="single" w:sz="4" w:space="0" w:color="auto"/>
              <w:right w:val="single" w:sz="4" w:space="0" w:color="auto"/>
            </w:tcBorders>
            <w:vAlign w:val="center"/>
            <w:hideMark/>
          </w:tcPr>
          <w:p w:rsidR="001E46DC" w:rsidRPr="001E46DC" w:rsidP="001E46DC" w14:paraId="0981D279"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Number of Respondents</w:t>
            </w:r>
          </w:p>
        </w:tc>
        <w:tc>
          <w:tcPr>
            <w:tcW w:w="1900" w:type="dxa"/>
            <w:tcBorders>
              <w:top w:val="nil"/>
              <w:left w:val="nil"/>
              <w:bottom w:val="single" w:sz="4" w:space="0" w:color="auto"/>
              <w:right w:val="single" w:sz="4" w:space="0" w:color="auto"/>
            </w:tcBorders>
            <w:vAlign w:val="center"/>
            <w:hideMark/>
          </w:tcPr>
          <w:p w:rsidR="001E46DC" w:rsidRPr="001E46DC" w:rsidP="001E46DC" w14:paraId="54740FFF"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Number of Responses</w:t>
            </w:r>
          </w:p>
        </w:tc>
        <w:tc>
          <w:tcPr>
            <w:tcW w:w="1900" w:type="dxa"/>
            <w:tcBorders>
              <w:top w:val="nil"/>
              <w:left w:val="nil"/>
              <w:bottom w:val="single" w:sz="4" w:space="0" w:color="auto"/>
              <w:right w:val="single" w:sz="4" w:space="0" w:color="auto"/>
            </w:tcBorders>
            <w:vAlign w:val="center"/>
            <w:hideMark/>
          </w:tcPr>
          <w:p w:rsidR="001E46DC" w:rsidRPr="001E46DC" w:rsidP="001E46DC" w14:paraId="039691A4"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Number of Existing Respondents That Keep Records But Do Not Submit Reports</w:t>
            </w:r>
          </w:p>
        </w:tc>
        <w:tc>
          <w:tcPr>
            <w:tcW w:w="1900" w:type="dxa"/>
            <w:tcBorders>
              <w:top w:val="nil"/>
              <w:left w:val="nil"/>
              <w:bottom w:val="single" w:sz="4" w:space="0" w:color="auto"/>
              <w:right w:val="single" w:sz="4" w:space="0" w:color="auto"/>
            </w:tcBorders>
            <w:vAlign w:val="center"/>
            <w:hideMark/>
          </w:tcPr>
          <w:p w:rsidR="001E46DC" w:rsidRPr="001E46DC" w:rsidP="001E46DC" w14:paraId="425DF88D"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Total Annual Responses</w:t>
            </w:r>
            <w:r w:rsidRPr="001E46DC">
              <w:rPr>
                <w:rFonts w:eastAsia="Times New Roman" w:cstheme="minorHAnsi"/>
                <w:color w:val="000000"/>
                <w:sz w:val="18"/>
                <w:szCs w:val="18"/>
              </w:rPr>
              <w:br/>
              <w:t>E=(BxC)+D</w:t>
            </w:r>
          </w:p>
        </w:tc>
      </w:tr>
      <w:tr w14:paraId="26A222F2" w14:textId="77777777" w:rsidTr="001E46DC">
        <w:tblPrEx>
          <w:tblW w:w="12960" w:type="dxa"/>
          <w:tblInd w:w="113" w:type="dxa"/>
          <w:tblLook w:val="04A0"/>
        </w:tblPrEx>
        <w:trPr>
          <w:trHeight w:val="30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03BA534F"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Initial notification</w:t>
            </w:r>
          </w:p>
        </w:tc>
        <w:tc>
          <w:tcPr>
            <w:tcW w:w="1900" w:type="dxa"/>
            <w:tcBorders>
              <w:top w:val="nil"/>
              <w:left w:val="nil"/>
              <w:bottom w:val="single" w:sz="4" w:space="0" w:color="auto"/>
              <w:right w:val="single" w:sz="4" w:space="0" w:color="auto"/>
            </w:tcBorders>
            <w:vAlign w:val="center"/>
            <w:hideMark/>
          </w:tcPr>
          <w:p w:rsidR="001E46DC" w:rsidRPr="001E46DC" w:rsidP="001E46DC" w14:paraId="1E1ABC0B"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02ACAA45"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350CDC5A"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496E46E2"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r>
      <w:tr w14:paraId="3773869A" w14:textId="77777777" w:rsidTr="001E46DC">
        <w:tblPrEx>
          <w:tblW w:w="12960" w:type="dxa"/>
          <w:tblInd w:w="113" w:type="dxa"/>
          <w:tblLook w:val="04A0"/>
        </w:tblPrEx>
        <w:trPr>
          <w:trHeight w:val="51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35236566"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Notification of compliance status</w:t>
            </w:r>
          </w:p>
        </w:tc>
        <w:tc>
          <w:tcPr>
            <w:tcW w:w="1900" w:type="dxa"/>
            <w:tcBorders>
              <w:top w:val="nil"/>
              <w:left w:val="nil"/>
              <w:bottom w:val="single" w:sz="4" w:space="0" w:color="auto"/>
              <w:right w:val="single" w:sz="4" w:space="0" w:color="auto"/>
            </w:tcBorders>
            <w:vAlign w:val="center"/>
            <w:hideMark/>
          </w:tcPr>
          <w:p w:rsidR="001E46DC" w:rsidRPr="001E46DC" w:rsidP="001E46DC" w14:paraId="29F5B879"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52B2B932"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2D7798B1"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60299CDC"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r>
      <w:tr w14:paraId="622B3262" w14:textId="77777777" w:rsidTr="001E46DC">
        <w:tblPrEx>
          <w:tblW w:w="12960" w:type="dxa"/>
          <w:tblInd w:w="113" w:type="dxa"/>
          <w:tblLook w:val="04A0"/>
        </w:tblPrEx>
        <w:trPr>
          <w:trHeight w:val="765"/>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65FFA440"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Notification of construction/ reconstruction</w:t>
            </w:r>
          </w:p>
        </w:tc>
        <w:tc>
          <w:tcPr>
            <w:tcW w:w="1900" w:type="dxa"/>
            <w:tcBorders>
              <w:top w:val="nil"/>
              <w:left w:val="nil"/>
              <w:bottom w:val="single" w:sz="4" w:space="0" w:color="auto"/>
              <w:right w:val="single" w:sz="4" w:space="0" w:color="auto"/>
            </w:tcBorders>
            <w:vAlign w:val="center"/>
            <w:hideMark/>
          </w:tcPr>
          <w:p w:rsidR="001E46DC" w:rsidRPr="001E46DC" w:rsidP="001E46DC" w14:paraId="1B4D1115"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76950055"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4D3AB570"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604F6D91"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r>
      <w:tr w14:paraId="6CDE842C" w14:textId="77777777" w:rsidTr="001E46DC">
        <w:tblPrEx>
          <w:tblW w:w="12960" w:type="dxa"/>
          <w:tblInd w:w="113" w:type="dxa"/>
          <w:tblLook w:val="04A0"/>
        </w:tblPrEx>
        <w:trPr>
          <w:trHeight w:val="51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2E38CA38"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 xml:space="preserve">Notification of actual startup </w:t>
            </w:r>
          </w:p>
        </w:tc>
        <w:tc>
          <w:tcPr>
            <w:tcW w:w="1900" w:type="dxa"/>
            <w:tcBorders>
              <w:top w:val="nil"/>
              <w:left w:val="nil"/>
              <w:bottom w:val="single" w:sz="4" w:space="0" w:color="auto"/>
              <w:right w:val="single" w:sz="4" w:space="0" w:color="auto"/>
            </w:tcBorders>
            <w:vAlign w:val="center"/>
            <w:hideMark/>
          </w:tcPr>
          <w:p w:rsidR="001E46DC" w:rsidRPr="001E46DC" w:rsidP="001E46DC" w14:paraId="53B2A068"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06C09C5D"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263B4273"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4A710520"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r>
      <w:tr w14:paraId="70167D80" w14:textId="77777777" w:rsidTr="001E46DC">
        <w:tblPrEx>
          <w:tblW w:w="12960" w:type="dxa"/>
          <w:tblInd w:w="113" w:type="dxa"/>
          <w:tblLook w:val="04A0"/>
        </w:tblPrEx>
        <w:trPr>
          <w:trHeight w:val="57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2F818D3D"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 xml:space="preserve">Notification of performance test </w:t>
            </w:r>
            <w:r w:rsidRPr="001E46DC">
              <w:rPr>
                <w:rFonts w:eastAsia="Times New Roman" w:cstheme="minorHAnsi"/>
                <w:color w:val="000000"/>
                <w:sz w:val="20"/>
                <w:szCs w:val="20"/>
                <w:vertAlign w:val="superscript"/>
              </w:rPr>
              <w:t>a</w:t>
            </w:r>
            <w:r w:rsidRPr="001E46DC">
              <w:rPr>
                <w:rFonts w:eastAsia="Times New Roman" w:cstheme="minorHAnsi"/>
                <w:color w:val="000000"/>
                <w:sz w:val="20"/>
                <w:szCs w:val="20"/>
              </w:rPr>
              <w:t xml:space="preserve"> </w:t>
            </w:r>
          </w:p>
        </w:tc>
        <w:tc>
          <w:tcPr>
            <w:tcW w:w="1900" w:type="dxa"/>
            <w:tcBorders>
              <w:top w:val="nil"/>
              <w:left w:val="nil"/>
              <w:bottom w:val="single" w:sz="4" w:space="0" w:color="auto"/>
              <w:right w:val="single" w:sz="4" w:space="0" w:color="auto"/>
            </w:tcBorders>
            <w:vAlign w:val="center"/>
            <w:hideMark/>
          </w:tcPr>
          <w:p w:rsidR="001E46DC" w:rsidRPr="001E46DC" w:rsidP="001E46DC" w14:paraId="18141D60"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56B7B8E6"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c>
          <w:tcPr>
            <w:tcW w:w="1900" w:type="dxa"/>
            <w:tcBorders>
              <w:top w:val="nil"/>
              <w:left w:val="nil"/>
              <w:bottom w:val="single" w:sz="4" w:space="0" w:color="auto"/>
              <w:right w:val="single" w:sz="4" w:space="0" w:color="auto"/>
            </w:tcBorders>
            <w:vAlign w:val="center"/>
            <w:hideMark/>
          </w:tcPr>
          <w:p w:rsidR="001E46DC" w:rsidRPr="001E46DC" w:rsidP="001E46DC" w14:paraId="613D4544"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06972942"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r>
      <w:tr w14:paraId="3689F1BD" w14:textId="77777777" w:rsidTr="001E46DC">
        <w:tblPrEx>
          <w:tblW w:w="12960" w:type="dxa"/>
          <w:tblInd w:w="113" w:type="dxa"/>
          <w:tblLook w:val="04A0"/>
        </w:tblPrEx>
        <w:trPr>
          <w:trHeight w:val="57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29D97E01"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 xml:space="preserve">Report of performance test </w:t>
            </w:r>
            <w:r w:rsidRPr="001E46DC">
              <w:rPr>
                <w:rFonts w:eastAsia="Times New Roman" w:cstheme="minorHAnsi"/>
                <w:color w:val="000000"/>
                <w:sz w:val="20"/>
                <w:szCs w:val="20"/>
                <w:vertAlign w:val="superscript"/>
              </w:rPr>
              <w:t>a</w:t>
            </w:r>
          </w:p>
        </w:tc>
        <w:tc>
          <w:tcPr>
            <w:tcW w:w="1900" w:type="dxa"/>
            <w:tcBorders>
              <w:top w:val="nil"/>
              <w:left w:val="nil"/>
              <w:bottom w:val="single" w:sz="4" w:space="0" w:color="auto"/>
              <w:right w:val="single" w:sz="4" w:space="0" w:color="auto"/>
            </w:tcBorders>
            <w:vAlign w:val="center"/>
            <w:hideMark/>
          </w:tcPr>
          <w:p w:rsidR="001E46DC" w:rsidRPr="001E46DC" w:rsidP="001E46DC" w14:paraId="17C3B26D"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49A0ACB4"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c>
          <w:tcPr>
            <w:tcW w:w="1900" w:type="dxa"/>
            <w:tcBorders>
              <w:top w:val="nil"/>
              <w:left w:val="nil"/>
              <w:bottom w:val="single" w:sz="4" w:space="0" w:color="auto"/>
              <w:right w:val="single" w:sz="4" w:space="0" w:color="auto"/>
            </w:tcBorders>
            <w:vAlign w:val="center"/>
            <w:hideMark/>
          </w:tcPr>
          <w:p w:rsidR="001E46DC" w:rsidRPr="001E46DC" w:rsidP="001E46DC" w14:paraId="340E5C91"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26020516"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r>
      <w:tr w14:paraId="5EFF288B" w14:textId="77777777" w:rsidTr="001E46DC">
        <w:tblPrEx>
          <w:tblW w:w="12960" w:type="dxa"/>
          <w:tblInd w:w="113" w:type="dxa"/>
          <w:tblLook w:val="04A0"/>
        </w:tblPrEx>
        <w:trPr>
          <w:trHeight w:val="30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650BA3D8"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 xml:space="preserve">Semiannual report </w:t>
            </w:r>
          </w:p>
        </w:tc>
        <w:tc>
          <w:tcPr>
            <w:tcW w:w="1900" w:type="dxa"/>
            <w:tcBorders>
              <w:top w:val="nil"/>
              <w:left w:val="nil"/>
              <w:bottom w:val="single" w:sz="4" w:space="0" w:color="auto"/>
              <w:right w:val="single" w:sz="4" w:space="0" w:color="auto"/>
            </w:tcBorders>
            <w:vAlign w:val="center"/>
            <w:hideMark/>
          </w:tcPr>
          <w:p w:rsidR="001E46DC" w:rsidRPr="001E46DC" w:rsidP="001E46DC" w14:paraId="0A997A8D"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3CFF27F9"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c>
          <w:tcPr>
            <w:tcW w:w="1900" w:type="dxa"/>
            <w:tcBorders>
              <w:top w:val="nil"/>
              <w:left w:val="nil"/>
              <w:bottom w:val="single" w:sz="4" w:space="0" w:color="auto"/>
              <w:right w:val="single" w:sz="4" w:space="0" w:color="auto"/>
            </w:tcBorders>
            <w:vAlign w:val="center"/>
            <w:hideMark/>
          </w:tcPr>
          <w:p w:rsidR="001E46DC" w:rsidRPr="001E46DC" w:rsidP="001E46DC" w14:paraId="23AD5081"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4AF61E8F"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2</w:t>
            </w:r>
          </w:p>
        </w:tc>
      </w:tr>
      <w:tr w14:paraId="6584665C" w14:textId="77777777" w:rsidTr="001E46DC">
        <w:tblPrEx>
          <w:tblW w:w="12960" w:type="dxa"/>
          <w:tblInd w:w="113" w:type="dxa"/>
          <w:tblLook w:val="04A0"/>
        </w:tblPrEx>
        <w:trPr>
          <w:trHeight w:val="51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7DC3391B" w14:textId="77777777">
            <w:pPr>
              <w:spacing w:after="0" w:line="240" w:lineRule="auto"/>
              <w:rPr>
                <w:rFonts w:eastAsia="Times New Roman" w:cstheme="minorHAnsi"/>
                <w:color w:val="000000"/>
                <w:sz w:val="20"/>
                <w:szCs w:val="20"/>
              </w:rPr>
            </w:pPr>
            <w:r w:rsidRPr="001E46DC">
              <w:rPr>
                <w:rFonts w:eastAsia="Times New Roman" w:cstheme="minorHAnsi"/>
                <w:color w:val="000000"/>
                <w:sz w:val="20"/>
                <w:szCs w:val="20"/>
              </w:rPr>
              <w:t>Startup, shutdown, malfunction report</w:t>
            </w:r>
          </w:p>
        </w:tc>
        <w:tc>
          <w:tcPr>
            <w:tcW w:w="1900" w:type="dxa"/>
            <w:tcBorders>
              <w:top w:val="nil"/>
              <w:left w:val="nil"/>
              <w:bottom w:val="single" w:sz="4" w:space="0" w:color="auto"/>
              <w:right w:val="single" w:sz="4" w:space="0" w:color="auto"/>
            </w:tcBorders>
            <w:vAlign w:val="center"/>
            <w:hideMark/>
          </w:tcPr>
          <w:p w:rsidR="001E46DC" w:rsidRPr="001E46DC" w:rsidP="001E46DC" w14:paraId="4572AE21"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5B8F026D"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c>
          <w:tcPr>
            <w:tcW w:w="1900" w:type="dxa"/>
            <w:tcBorders>
              <w:top w:val="nil"/>
              <w:left w:val="nil"/>
              <w:bottom w:val="single" w:sz="4" w:space="0" w:color="auto"/>
              <w:right w:val="single" w:sz="4" w:space="0" w:color="auto"/>
            </w:tcBorders>
            <w:vAlign w:val="center"/>
            <w:hideMark/>
          </w:tcPr>
          <w:p w:rsidR="001E46DC" w:rsidRPr="001E46DC" w:rsidP="001E46DC" w14:paraId="185CF2A8"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0</w:t>
            </w:r>
          </w:p>
        </w:tc>
        <w:tc>
          <w:tcPr>
            <w:tcW w:w="1900" w:type="dxa"/>
            <w:tcBorders>
              <w:top w:val="nil"/>
              <w:left w:val="nil"/>
              <w:bottom w:val="single" w:sz="4" w:space="0" w:color="auto"/>
              <w:right w:val="single" w:sz="4" w:space="0" w:color="auto"/>
            </w:tcBorders>
            <w:vAlign w:val="center"/>
            <w:hideMark/>
          </w:tcPr>
          <w:p w:rsidR="001E46DC" w:rsidRPr="001E46DC" w:rsidP="001E46DC" w14:paraId="40D5CF74" w14:textId="77777777">
            <w:pPr>
              <w:spacing w:after="0" w:line="240" w:lineRule="auto"/>
              <w:jc w:val="center"/>
              <w:rPr>
                <w:rFonts w:eastAsia="Times New Roman" w:cstheme="minorHAnsi"/>
                <w:color w:val="000000"/>
                <w:sz w:val="20"/>
                <w:szCs w:val="20"/>
              </w:rPr>
            </w:pPr>
            <w:r w:rsidRPr="001E46DC">
              <w:rPr>
                <w:rFonts w:eastAsia="Times New Roman" w:cstheme="minorHAnsi"/>
                <w:color w:val="000000"/>
                <w:sz w:val="20"/>
                <w:szCs w:val="20"/>
              </w:rPr>
              <w:t>1</w:t>
            </w:r>
          </w:p>
        </w:tc>
      </w:tr>
      <w:tr w14:paraId="0048E6E4" w14:textId="77777777" w:rsidTr="001E46DC">
        <w:tblPrEx>
          <w:tblW w:w="12960" w:type="dxa"/>
          <w:tblInd w:w="113" w:type="dxa"/>
          <w:tblLook w:val="04A0"/>
        </w:tblPrEx>
        <w:trPr>
          <w:trHeight w:val="300"/>
        </w:trPr>
        <w:tc>
          <w:tcPr>
            <w:tcW w:w="1900" w:type="dxa"/>
            <w:tcBorders>
              <w:top w:val="nil"/>
              <w:left w:val="single" w:sz="4" w:space="0" w:color="auto"/>
              <w:bottom w:val="single" w:sz="4" w:space="0" w:color="auto"/>
              <w:right w:val="single" w:sz="4" w:space="0" w:color="auto"/>
            </w:tcBorders>
            <w:vAlign w:val="center"/>
            <w:hideMark/>
          </w:tcPr>
          <w:p w:rsidR="001E46DC" w:rsidRPr="001E46DC" w:rsidP="001E46DC" w14:paraId="2357D3BB" w14:textId="77777777">
            <w:pPr>
              <w:spacing w:after="0" w:line="240" w:lineRule="auto"/>
              <w:rPr>
                <w:rFonts w:eastAsia="Times New Roman" w:cstheme="minorHAnsi"/>
                <w:color w:val="000000"/>
                <w:sz w:val="18"/>
                <w:szCs w:val="18"/>
              </w:rPr>
            </w:pPr>
            <w:r w:rsidRPr="001E46DC">
              <w:rPr>
                <w:rFonts w:eastAsia="Times New Roman" w:cstheme="minorHAnsi"/>
                <w:color w:val="000000"/>
                <w:sz w:val="18"/>
                <w:szCs w:val="18"/>
              </w:rPr>
              <w:t> </w:t>
            </w:r>
          </w:p>
        </w:tc>
        <w:tc>
          <w:tcPr>
            <w:tcW w:w="1900" w:type="dxa"/>
            <w:tcBorders>
              <w:top w:val="nil"/>
              <w:left w:val="nil"/>
              <w:bottom w:val="single" w:sz="4" w:space="0" w:color="auto"/>
              <w:right w:val="single" w:sz="4" w:space="0" w:color="auto"/>
            </w:tcBorders>
            <w:vAlign w:val="center"/>
            <w:hideMark/>
          </w:tcPr>
          <w:p w:rsidR="001E46DC" w:rsidRPr="001E46DC" w:rsidP="001E46DC" w14:paraId="7B626D85" w14:textId="77777777">
            <w:pPr>
              <w:spacing w:after="0" w:line="240" w:lineRule="auto"/>
              <w:rPr>
                <w:rFonts w:eastAsia="Times New Roman" w:cstheme="minorHAnsi"/>
                <w:color w:val="000000"/>
                <w:sz w:val="18"/>
                <w:szCs w:val="18"/>
              </w:rPr>
            </w:pPr>
            <w:r w:rsidRPr="001E46DC">
              <w:rPr>
                <w:rFonts w:eastAsia="Times New Roman" w:cstheme="minorHAnsi"/>
                <w:color w:val="000000"/>
                <w:sz w:val="18"/>
                <w:szCs w:val="18"/>
              </w:rPr>
              <w:t> </w:t>
            </w:r>
          </w:p>
        </w:tc>
        <w:tc>
          <w:tcPr>
            <w:tcW w:w="1900" w:type="dxa"/>
            <w:tcBorders>
              <w:top w:val="nil"/>
              <w:left w:val="nil"/>
              <w:bottom w:val="single" w:sz="4" w:space="0" w:color="auto"/>
              <w:right w:val="single" w:sz="4" w:space="0" w:color="auto"/>
            </w:tcBorders>
            <w:vAlign w:val="center"/>
            <w:hideMark/>
          </w:tcPr>
          <w:p w:rsidR="001E46DC" w:rsidRPr="001E46DC" w:rsidP="001E46DC" w14:paraId="0A107730" w14:textId="77777777">
            <w:pPr>
              <w:spacing w:after="0" w:line="240" w:lineRule="auto"/>
              <w:rPr>
                <w:rFonts w:eastAsia="Times New Roman" w:cstheme="minorHAnsi"/>
                <w:color w:val="000000"/>
                <w:sz w:val="18"/>
                <w:szCs w:val="18"/>
              </w:rPr>
            </w:pPr>
            <w:r w:rsidRPr="001E46DC">
              <w:rPr>
                <w:rFonts w:eastAsia="Times New Roman" w:cstheme="minorHAnsi"/>
                <w:color w:val="000000"/>
                <w:sz w:val="18"/>
                <w:szCs w:val="18"/>
              </w:rPr>
              <w:t> </w:t>
            </w:r>
          </w:p>
        </w:tc>
        <w:tc>
          <w:tcPr>
            <w:tcW w:w="1900" w:type="dxa"/>
            <w:tcBorders>
              <w:top w:val="nil"/>
              <w:left w:val="nil"/>
              <w:bottom w:val="single" w:sz="4" w:space="0" w:color="auto"/>
              <w:right w:val="single" w:sz="4" w:space="0" w:color="auto"/>
            </w:tcBorders>
            <w:vAlign w:val="center"/>
            <w:hideMark/>
          </w:tcPr>
          <w:p w:rsidR="001E46DC" w:rsidRPr="001E46DC" w:rsidP="001E46DC" w14:paraId="34B92742"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Total</w:t>
            </w:r>
          </w:p>
        </w:tc>
        <w:tc>
          <w:tcPr>
            <w:tcW w:w="1900" w:type="dxa"/>
            <w:tcBorders>
              <w:top w:val="nil"/>
              <w:left w:val="nil"/>
              <w:bottom w:val="single" w:sz="4" w:space="0" w:color="auto"/>
              <w:right w:val="single" w:sz="4" w:space="0" w:color="auto"/>
            </w:tcBorders>
            <w:vAlign w:val="center"/>
            <w:hideMark/>
          </w:tcPr>
          <w:p w:rsidR="001E46DC" w:rsidRPr="001E46DC" w:rsidP="001E46DC" w14:paraId="3E23D902" w14:textId="77777777">
            <w:pPr>
              <w:spacing w:after="0" w:line="240" w:lineRule="auto"/>
              <w:jc w:val="center"/>
              <w:rPr>
                <w:rFonts w:eastAsia="Times New Roman" w:cstheme="minorHAnsi"/>
                <w:color w:val="000000"/>
                <w:sz w:val="18"/>
                <w:szCs w:val="18"/>
              </w:rPr>
            </w:pPr>
            <w:r w:rsidRPr="001E46DC">
              <w:rPr>
                <w:rFonts w:eastAsia="Times New Roman" w:cstheme="minorHAnsi"/>
                <w:color w:val="000000"/>
                <w:sz w:val="18"/>
                <w:szCs w:val="18"/>
              </w:rPr>
              <w:t>8</w:t>
            </w:r>
          </w:p>
        </w:tc>
      </w:tr>
      <w:tr w14:paraId="1320F4E7" w14:textId="77777777" w:rsidTr="001E46DC">
        <w:tblPrEx>
          <w:tblW w:w="12960" w:type="dxa"/>
          <w:tblInd w:w="113" w:type="dxa"/>
          <w:tblLook w:val="04A0"/>
        </w:tblPrEx>
        <w:trPr>
          <w:trHeight w:val="1695"/>
        </w:trPr>
        <w:tc>
          <w:tcPr>
            <w:tcW w:w="9500" w:type="dxa"/>
            <w:gridSpan w:val="5"/>
            <w:tcBorders>
              <w:top w:val="single" w:sz="4" w:space="0" w:color="auto"/>
              <w:left w:val="nil"/>
              <w:bottom w:val="nil"/>
              <w:right w:val="nil"/>
            </w:tcBorders>
            <w:vAlign w:val="center"/>
            <w:hideMark/>
          </w:tcPr>
          <w:p w:rsidR="001E46DC" w:rsidRPr="001E46DC" w:rsidP="001E46DC" w14:paraId="07CE5F0C" w14:textId="5438B066">
            <w:pPr>
              <w:spacing w:after="0" w:line="240" w:lineRule="auto"/>
              <w:rPr>
                <w:rFonts w:eastAsia="Times New Roman" w:cstheme="minorHAnsi"/>
                <w:color w:val="000000"/>
                <w:sz w:val="20"/>
                <w:szCs w:val="20"/>
              </w:rPr>
            </w:pPr>
            <w:r w:rsidRPr="001E46DC">
              <w:rPr>
                <w:rFonts w:eastAsia="Times New Roman" w:cstheme="minorHAnsi"/>
                <w:color w:val="000000"/>
                <w:sz w:val="20"/>
                <w:szCs w:val="20"/>
                <w:vertAlign w:val="superscript"/>
              </w:rPr>
              <w:t>a</w:t>
            </w:r>
            <w:r w:rsidRPr="001E46DC">
              <w:rPr>
                <w:rFonts w:eastAsia="Times New Roman" w:cstheme="minorHAnsi"/>
                <w:color w:val="000000"/>
                <w:sz w:val="20"/>
                <w:szCs w:val="20"/>
              </w:rPr>
              <w:t xml:space="preserve"> 40 CFR 63.9912 requires performance testing no less frequently than twice (at mid-term and renewal) of each term of the Title V permit, or every 2.5 years, for each emission point. For the U.S. Magnesium facility subject to this rule, we have assumed that 4 emission units must be tested twice during the permit term, and that performance tests are conducted for approximately two emission units in each year in the three year period of this ICR. We assume that 20% of tests will need to be repeated.</w:t>
            </w:r>
            <w:r w:rsidR="00BB045A">
              <w:rPr>
                <w:rFonts w:eastAsia="Times New Roman" w:cstheme="minorHAnsi"/>
                <w:color w:val="000000"/>
                <w:sz w:val="20"/>
                <w:szCs w:val="20"/>
              </w:rPr>
              <w:t xml:space="preserve"> </w:t>
            </w:r>
            <w:r w:rsidRPr="001E46DC">
              <w:rPr>
                <w:rFonts w:eastAsia="Times New Roman" w:cstheme="minorHAnsi"/>
                <w:color w:val="000000"/>
                <w:sz w:val="20"/>
                <w:szCs w:val="20"/>
              </w:rPr>
              <w:t>(4 units x 2 tests / 5 years = 1.6 units per year, 1.6 units x 0.20 = 0.32 units with repeat testing, 1.6 + 0.32 = 1.92 or 2 units per year.)</w:t>
            </w:r>
          </w:p>
        </w:tc>
      </w:tr>
    </w:tbl>
    <w:p w:rsidR="000D69F1" w:rsidP="00BB3410" w14:paraId="36137F0A" w14:textId="77777777">
      <w:pPr>
        <w:pStyle w:val="ListParagraph"/>
        <w:spacing w:before="240"/>
        <w:ind w:left="0"/>
        <w:rPr>
          <w:rFonts w:cstheme="minorHAnsi"/>
          <w:b/>
          <w:bCs/>
          <w:sz w:val="24"/>
          <w:szCs w:val="24"/>
        </w:rPr>
      </w:pPr>
    </w:p>
    <w:tbl>
      <w:tblPr>
        <w:tblW w:w="12960" w:type="dxa"/>
        <w:tblInd w:w="118" w:type="dxa"/>
        <w:tblLook w:val="04A0"/>
      </w:tblPr>
      <w:tblGrid>
        <w:gridCol w:w="1866"/>
        <w:gridCol w:w="1866"/>
        <w:gridCol w:w="1866"/>
        <w:gridCol w:w="1865"/>
        <w:gridCol w:w="1865"/>
        <w:gridCol w:w="1865"/>
        <w:gridCol w:w="1865"/>
      </w:tblGrid>
      <w:tr w14:paraId="47E8ADFB" w14:textId="77777777" w:rsidTr="00C255E3">
        <w:tblPrEx>
          <w:tblW w:w="12960" w:type="dxa"/>
          <w:tblInd w:w="118" w:type="dxa"/>
          <w:tblLook w:val="04A0"/>
        </w:tblPrEx>
        <w:trPr>
          <w:trHeight w:val="300"/>
        </w:trPr>
        <w:tc>
          <w:tcPr>
            <w:tcW w:w="14140" w:type="dxa"/>
            <w:gridSpan w:val="7"/>
            <w:tcBorders>
              <w:top w:val="single" w:sz="4" w:space="0" w:color="000000"/>
              <w:left w:val="single" w:sz="8" w:space="0" w:color="000000"/>
              <w:bottom w:val="nil"/>
              <w:right w:val="single" w:sz="8" w:space="0" w:color="000000"/>
            </w:tcBorders>
            <w:vAlign w:val="center"/>
            <w:hideMark/>
          </w:tcPr>
          <w:p w:rsidR="00C255E3" w:rsidRPr="00C255E3" w:rsidP="00C255E3" w14:paraId="2FA429E9" w14:textId="77777777">
            <w:pPr>
              <w:spacing w:after="0" w:line="240" w:lineRule="auto"/>
              <w:jc w:val="center"/>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Capital/Startup vs. Operation and Maintenance (O&amp;M) Costs</w:t>
            </w:r>
          </w:p>
        </w:tc>
      </w:tr>
      <w:tr w14:paraId="1C42B73A" w14:textId="77777777" w:rsidTr="00C255E3">
        <w:tblPrEx>
          <w:tblW w:w="12960" w:type="dxa"/>
          <w:tblInd w:w="118" w:type="dxa"/>
          <w:tblLook w:val="04A0"/>
        </w:tblPrEx>
        <w:trPr>
          <w:trHeight w:val="300"/>
        </w:trPr>
        <w:tc>
          <w:tcPr>
            <w:tcW w:w="2020" w:type="dxa"/>
            <w:tcBorders>
              <w:top w:val="single" w:sz="4" w:space="0" w:color="auto"/>
              <w:left w:val="single" w:sz="4" w:space="0" w:color="auto"/>
              <w:bottom w:val="nil"/>
              <w:right w:val="single" w:sz="4" w:space="0" w:color="auto"/>
            </w:tcBorders>
            <w:vAlign w:val="center"/>
            <w:hideMark/>
          </w:tcPr>
          <w:p w:rsidR="00C255E3" w:rsidRPr="00C255E3" w:rsidP="00C255E3" w14:paraId="446743F6"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(A)</w:t>
            </w:r>
          </w:p>
        </w:tc>
        <w:tc>
          <w:tcPr>
            <w:tcW w:w="2020" w:type="dxa"/>
            <w:tcBorders>
              <w:top w:val="single" w:sz="4" w:space="0" w:color="auto"/>
              <w:left w:val="nil"/>
              <w:bottom w:val="nil"/>
              <w:right w:val="single" w:sz="4" w:space="0" w:color="auto"/>
            </w:tcBorders>
            <w:vAlign w:val="center"/>
            <w:hideMark/>
          </w:tcPr>
          <w:p w:rsidR="00C255E3" w:rsidRPr="00C255E3" w:rsidP="00C255E3" w14:paraId="48A6FCAC"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(B)</w:t>
            </w:r>
          </w:p>
        </w:tc>
        <w:tc>
          <w:tcPr>
            <w:tcW w:w="2020" w:type="dxa"/>
            <w:tcBorders>
              <w:top w:val="single" w:sz="4" w:space="0" w:color="auto"/>
              <w:left w:val="nil"/>
              <w:bottom w:val="nil"/>
              <w:right w:val="single" w:sz="4" w:space="0" w:color="auto"/>
            </w:tcBorders>
            <w:vAlign w:val="center"/>
            <w:hideMark/>
          </w:tcPr>
          <w:p w:rsidR="00C255E3" w:rsidRPr="00C255E3" w:rsidP="00C255E3" w14:paraId="49383730"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(C)</w:t>
            </w:r>
          </w:p>
        </w:tc>
        <w:tc>
          <w:tcPr>
            <w:tcW w:w="2020" w:type="dxa"/>
            <w:tcBorders>
              <w:top w:val="single" w:sz="4" w:space="0" w:color="auto"/>
              <w:left w:val="nil"/>
              <w:bottom w:val="nil"/>
              <w:right w:val="single" w:sz="4" w:space="0" w:color="auto"/>
            </w:tcBorders>
            <w:vAlign w:val="center"/>
            <w:hideMark/>
          </w:tcPr>
          <w:p w:rsidR="00C255E3" w:rsidRPr="00C255E3" w:rsidP="00C255E3" w14:paraId="0CAA0B13"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(D)</w:t>
            </w:r>
          </w:p>
        </w:tc>
        <w:tc>
          <w:tcPr>
            <w:tcW w:w="2020" w:type="dxa"/>
            <w:tcBorders>
              <w:top w:val="single" w:sz="4" w:space="0" w:color="auto"/>
              <w:left w:val="nil"/>
              <w:bottom w:val="nil"/>
              <w:right w:val="single" w:sz="4" w:space="0" w:color="auto"/>
            </w:tcBorders>
            <w:vAlign w:val="center"/>
            <w:hideMark/>
          </w:tcPr>
          <w:p w:rsidR="00C255E3" w:rsidRPr="00C255E3" w:rsidP="00C255E3" w14:paraId="72779B2F"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(E)</w:t>
            </w:r>
          </w:p>
        </w:tc>
        <w:tc>
          <w:tcPr>
            <w:tcW w:w="2020" w:type="dxa"/>
            <w:tcBorders>
              <w:top w:val="single" w:sz="4" w:space="0" w:color="auto"/>
              <w:left w:val="nil"/>
              <w:bottom w:val="nil"/>
              <w:right w:val="single" w:sz="4" w:space="0" w:color="auto"/>
            </w:tcBorders>
            <w:vAlign w:val="center"/>
            <w:hideMark/>
          </w:tcPr>
          <w:p w:rsidR="00C255E3" w:rsidRPr="00C255E3" w:rsidP="00C255E3" w14:paraId="71895E9F"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(F)</w:t>
            </w:r>
          </w:p>
        </w:tc>
        <w:tc>
          <w:tcPr>
            <w:tcW w:w="2020" w:type="dxa"/>
            <w:tcBorders>
              <w:top w:val="single" w:sz="4" w:space="0" w:color="auto"/>
              <w:left w:val="nil"/>
              <w:bottom w:val="nil"/>
              <w:right w:val="single" w:sz="4" w:space="0" w:color="auto"/>
            </w:tcBorders>
            <w:vAlign w:val="center"/>
            <w:hideMark/>
          </w:tcPr>
          <w:p w:rsidR="00C255E3" w:rsidRPr="00C255E3" w:rsidP="00C255E3" w14:paraId="3DFFE00A" w14:textId="77777777">
            <w:pPr>
              <w:spacing w:after="0" w:line="240" w:lineRule="auto"/>
              <w:jc w:val="center"/>
              <w:rPr>
                <w:rFonts w:ascii="Calibri" w:eastAsia="Times New Roman" w:hAnsi="Calibri" w:cs="Calibri"/>
                <w:color w:val="000000"/>
                <w:sz w:val="20"/>
                <w:szCs w:val="20"/>
              </w:rPr>
            </w:pPr>
            <w:r w:rsidRPr="00C255E3">
              <w:rPr>
                <w:rFonts w:ascii="Calibri" w:eastAsia="Times New Roman" w:hAnsi="Calibri" w:cs="Calibri"/>
                <w:color w:val="000000"/>
                <w:sz w:val="20"/>
                <w:szCs w:val="20"/>
              </w:rPr>
              <w:t>(G)</w:t>
            </w:r>
          </w:p>
        </w:tc>
      </w:tr>
      <w:tr w14:paraId="47AD9397" w14:textId="77777777" w:rsidTr="00C255E3">
        <w:tblPrEx>
          <w:tblW w:w="12960" w:type="dxa"/>
          <w:tblInd w:w="118" w:type="dxa"/>
          <w:tblLook w:val="04A0"/>
        </w:tblPrEx>
        <w:trPr>
          <w:trHeight w:val="765"/>
        </w:trPr>
        <w:tc>
          <w:tcPr>
            <w:tcW w:w="2020" w:type="dxa"/>
            <w:tcBorders>
              <w:top w:val="nil"/>
              <w:left w:val="single" w:sz="4" w:space="0" w:color="auto"/>
              <w:bottom w:val="single" w:sz="4" w:space="0" w:color="auto"/>
              <w:right w:val="single" w:sz="4" w:space="0" w:color="auto"/>
            </w:tcBorders>
            <w:vAlign w:val="center"/>
            <w:hideMark/>
          </w:tcPr>
          <w:p w:rsidR="00C255E3" w:rsidRPr="00C255E3" w:rsidP="00C255E3" w14:paraId="467BEC82"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Continuous Monitoring Device</w:t>
            </w:r>
          </w:p>
        </w:tc>
        <w:tc>
          <w:tcPr>
            <w:tcW w:w="2020" w:type="dxa"/>
            <w:tcBorders>
              <w:top w:val="nil"/>
              <w:left w:val="nil"/>
              <w:bottom w:val="single" w:sz="4" w:space="0" w:color="auto"/>
              <w:right w:val="single" w:sz="4" w:space="0" w:color="auto"/>
            </w:tcBorders>
            <w:vAlign w:val="center"/>
            <w:hideMark/>
          </w:tcPr>
          <w:p w:rsidR="00C255E3" w:rsidRPr="00C255E3" w:rsidP="00C255E3" w14:paraId="1B2D1929"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Capital/Startup Cost for One Respondent</w:t>
            </w:r>
            <w:r w:rsidRPr="00C255E3">
              <w:rPr>
                <w:rFonts w:ascii="Calibri" w:eastAsia="Times New Roman" w:hAnsi="Calibri" w:cs="Calibri"/>
                <w:color w:val="000000"/>
                <w:sz w:val="20"/>
                <w:szCs w:val="20"/>
                <w:vertAlign w:val="superscript"/>
              </w:rPr>
              <w:t xml:space="preserve"> a</w:t>
            </w:r>
          </w:p>
        </w:tc>
        <w:tc>
          <w:tcPr>
            <w:tcW w:w="2020" w:type="dxa"/>
            <w:tcBorders>
              <w:top w:val="nil"/>
              <w:left w:val="nil"/>
              <w:bottom w:val="single" w:sz="4" w:space="0" w:color="auto"/>
              <w:right w:val="single" w:sz="4" w:space="0" w:color="auto"/>
            </w:tcBorders>
            <w:vAlign w:val="center"/>
            <w:hideMark/>
          </w:tcPr>
          <w:p w:rsidR="00C255E3" w:rsidRPr="00C255E3" w:rsidP="00C255E3" w14:paraId="2C2AFCE2"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Number of New Respondents </w:t>
            </w:r>
          </w:p>
        </w:tc>
        <w:tc>
          <w:tcPr>
            <w:tcW w:w="2020" w:type="dxa"/>
            <w:tcBorders>
              <w:top w:val="nil"/>
              <w:left w:val="nil"/>
              <w:bottom w:val="single" w:sz="4" w:space="0" w:color="auto"/>
              <w:right w:val="single" w:sz="4" w:space="0" w:color="auto"/>
            </w:tcBorders>
            <w:vAlign w:val="center"/>
            <w:hideMark/>
          </w:tcPr>
          <w:p w:rsidR="00C255E3" w:rsidRPr="00C255E3" w:rsidP="00C255E3" w14:paraId="08342C6B"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Total Capital/Startup Cost, (B X C)</w:t>
            </w:r>
          </w:p>
        </w:tc>
        <w:tc>
          <w:tcPr>
            <w:tcW w:w="2020" w:type="dxa"/>
            <w:tcBorders>
              <w:top w:val="nil"/>
              <w:left w:val="nil"/>
              <w:bottom w:val="single" w:sz="4" w:space="0" w:color="auto"/>
              <w:right w:val="single" w:sz="4" w:space="0" w:color="auto"/>
            </w:tcBorders>
            <w:vAlign w:val="center"/>
            <w:hideMark/>
          </w:tcPr>
          <w:p w:rsidR="00C255E3" w:rsidRPr="00C255E3" w:rsidP="00C255E3" w14:paraId="5498AED4"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Annual O&amp;M Costs for One Respondent </w:t>
            </w:r>
            <w:r w:rsidRPr="00C255E3">
              <w:rPr>
                <w:rFonts w:ascii="Calibri" w:eastAsia="Times New Roman" w:hAnsi="Calibri" w:cs="Calibri"/>
                <w:color w:val="000000"/>
                <w:sz w:val="20"/>
                <w:szCs w:val="20"/>
                <w:vertAlign w:val="superscript"/>
              </w:rPr>
              <w:t>a</w:t>
            </w:r>
          </w:p>
        </w:tc>
        <w:tc>
          <w:tcPr>
            <w:tcW w:w="2020" w:type="dxa"/>
            <w:tcBorders>
              <w:top w:val="nil"/>
              <w:left w:val="nil"/>
              <w:bottom w:val="single" w:sz="4" w:space="0" w:color="auto"/>
              <w:right w:val="single" w:sz="4" w:space="0" w:color="auto"/>
            </w:tcBorders>
            <w:vAlign w:val="center"/>
            <w:hideMark/>
          </w:tcPr>
          <w:p w:rsidR="00C255E3" w:rsidRPr="00C255E3" w:rsidP="00C255E3" w14:paraId="0077F06F"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Number of Respondents with O&amp;M</w:t>
            </w:r>
          </w:p>
        </w:tc>
        <w:tc>
          <w:tcPr>
            <w:tcW w:w="2020" w:type="dxa"/>
            <w:tcBorders>
              <w:top w:val="nil"/>
              <w:left w:val="nil"/>
              <w:bottom w:val="single" w:sz="4" w:space="0" w:color="auto"/>
              <w:right w:val="single" w:sz="4" w:space="0" w:color="auto"/>
            </w:tcBorders>
            <w:vAlign w:val="center"/>
            <w:hideMark/>
          </w:tcPr>
          <w:p w:rsidR="00C255E3" w:rsidRPr="00C255E3" w:rsidP="00C255E3" w14:paraId="144F77A4"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Total O&amp;M,</w:t>
            </w:r>
            <w:r w:rsidRPr="00C255E3">
              <w:rPr>
                <w:rFonts w:ascii="Calibri" w:eastAsia="Times New Roman" w:hAnsi="Calibri" w:cs="Calibri"/>
                <w:color w:val="000000"/>
                <w:sz w:val="20"/>
                <w:szCs w:val="20"/>
              </w:rPr>
              <w:br/>
              <w:t>(E X F)</w:t>
            </w:r>
          </w:p>
        </w:tc>
      </w:tr>
      <w:tr w14:paraId="1A0EFB49" w14:textId="77777777" w:rsidTr="00C255E3">
        <w:tblPrEx>
          <w:tblW w:w="12960" w:type="dxa"/>
          <w:tblInd w:w="118" w:type="dxa"/>
          <w:tblLook w:val="04A0"/>
        </w:tblPrEx>
        <w:trPr>
          <w:trHeight w:val="300"/>
        </w:trPr>
        <w:tc>
          <w:tcPr>
            <w:tcW w:w="2020" w:type="dxa"/>
            <w:tcBorders>
              <w:top w:val="nil"/>
              <w:left w:val="single" w:sz="4" w:space="0" w:color="auto"/>
              <w:bottom w:val="single" w:sz="4" w:space="0" w:color="auto"/>
              <w:right w:val="single" w:sz="4" w:space="0" w:color="auto"/>
            </w:tcBorders>
            <w:vAlign w:val="center"/>
            <w:hideMark/>
          </w:tcPr>
          <w:p w:rsidR="00C255E3" w:rsidRPr="00C255E3" w:rsidP="00C255E3" w14:paraId="6903D1FF"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CPMS</w:t>
            </w:r>
          </w:p>
        </w:tc>
        <w:tc>
          <w:tcPr>
            <w:tcW w:w="2020" w:type="dxa"/>
            <w:tcBorders>
              <w:top w:val="nil"/>
              <w:left w:val="nil"/>
              <w:bottom w:val="single" w:sz="4" w:space="0" w:color="auto"/>
              <w:right w:val="single" w:sz="4" w:space="0" w:color="auto"/>
            </w:tcBorders>
            <w:vAlign w:val="center"/>
            <w:hideMark/>
          </w:tcPr>
          <w:p w:rsidR="00C255E3" w:rsidRPr="00C255E3" w:rsidP="00C255E3" w14:paraId="529C0664"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$24,247 </w:t>
            </w:r>
          </w:p>
        </w:tc>
        <w:tc>
          <w:tcPr>
            <w:tcW w:w="2020" w:type="dxa"/>
            <w:tcBorders>
              <w:top w:val="nil"/>
              <w:left w:val="nil"/>
              <w:bottom w:val="single" w:sz="4" w:space="0" w:color="auto"/>
              <w:right w:val="single" w:sz="4" w:space="0" w:color="auto"/>
            </w:tcBorders>
            <w:vAlign w:val="center"/>
            <w:hideMark/>
          </w:tcPr>
          <w:p w:rsidR="00C255E3" w:rsidRPr="00C255E3" w:rsidP="00C255E3" w14:paraId="46AE139A"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0</w:t>
            </w:r>
          </w:p>
        </w:tc>
        <w:tc>
          <w:tcPr>
            <w:tcW w:w="2020" w:type="dxa"/>
            <w:tcBorders>
              <w:top w:val="nil"/>
              <w:left w:val="nil"/>
              <w:bottom w:val="single" w:sz="4" w:space="0" w:color="auto"/>
              <w:right w:val="single" w:sz="4" w:space="0" w:color="auto"/>
            </w:tcBorders>
            <w:vAlign w:val="center"/>
            <w:hideMark/>
          </w:tcPr>
          <w:p w:rsidR="00C255E3" w:rsidRPr="00C255E3" w:rsidP="00C255E3" w14:paraId="1F32DCA7"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$0 </w:t>
            </w:r>
          </w:p>
        </w:tc>
        <w:tc>
          <w:tcPr>
            <w:tcW w:w="2020" w:type="dxa"/>
            <w:tcBorders>
              <w:top w:val="nil"/>
              <w:left w:val="nil"/>
              <w:bottom w:val="single" w:sz="4" w:space="0" w:color="auto"/>
              <w:right w:val="single" w:sz="4" w:space="0" w:color="auto"/>
            </w:tcBorders>
            <w:vAlign w:val="center"/>
            <w:hideMark/>
          </w:tcPr>
          <w:p w:rsidR="00C255E3" w:rsidRPr="00C255E3" w:rsidP="00C255E3" w14:paraId="7D47C71C"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$1,819 </w:t>
            </w:r>
          </w:p>
        </w:tc>
        <w:tc>
          <w:tcPr>
            <w:tcW w:w="2020" w:type="dxa"/>
            <w:tcBorders>
              <w:top w:val="nil"/>
              <w:left w:val="nil"/>
              <w:bottom w:val="single" w:sz="4" w:space="0" w:color="auto"/>
              <w:right w:val="single" w:sz="4" w:space="0" w:color="auto"/>
            </w:tcBorders>
            <w:vAlign w:val="center"/>
            <w:hideMark/>
          </w:tcPr>
          <w:p w:rsidR="00C255E3" w:rsidRPr="00C255E3" w:rsidP="00C255E3" w14:paraId="45AE7236"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1</w:t>
            </w:r>
          </w:p>
        </w:tc>
        <w:tc>
          <w:tcPr>
            <w:tcW w:w="2020" w:type="dxa"/>
            <w:tcBorders>
              <w:top w:val="nil"/>
              <w:left w:val="nil"/>
              <w:bottom w:val="single" w:sz="4" w:space="0" w:color="auto"/>
              <w:right w:val="single" w:sz="4" w:space="0" w:color="auto"/>
            </w:tcBorders>
            <w:vAlign w:val="center"/>
            <w:hideMark/>
          </w:tcPr>
          <w:p w:rsidR="00C255E3" w:rsidRPr="00C255E3" w:rsidP="00C255E3" w14:paraId="506050F7" w14:textId="77777777">
            <w:pPr>
              <w:spacing w:after="0" w:line="240" w:lineRule="auto"/>
              <w:jc w:val="right"/>
              <w:rPr>
                <w:rFonts w:ascii="Calibri" w:eastAsia="Times New Roman" w:hAnsi="Calibri" w:cs="Calibri"/>
                <w:color w:val="000000"/>
                <w:sz w:val="20"/>
                <w:szCs w:val="20"/>
              </w:rPr>
            </w:pPr>
            <w:r w:rsidRPr="00C255E3">
              <w:rPr>
                <w:rFonts w:ascii="Calibri" w:eastAsia="Times New Roman" w:hAnsi="Calibri" w:cs="Calibri"/>
                <w:color w:val="000000"/>
                <w:sz w:val="20"/>
                <w:szCs w:val="20"/>
              </w:rPr>
              <w:t xml:space="preserve">$1,819 </w:t>
            </w:r>
          </w:p>
        </w:tc>
      </w:tr>
      <w:tr w14:paraId="1A0BA240" w14:textId="77777777" w:rsidTr="00C255E3">
        <w:tblPrEx>
          <w:tblW w:w="12960" w:type="dxa"/>
          <w:tblInd w:w="118" w:type="dxa"/>
          <w:tblLook w:val="04A0"/>
        </w:tblPrEx>
        <w:trPr>
          <w:trHeight w:val="300"/>
        </w:trPr>
        <w:tc>
          <w:tcPr>
            <w:tcW w:w="2020" w:type="dxa"/>
            <w:tcBorders>
              <w:top w:val="nil"/>
              <w:left w:val="single" w:sz="4" w:space="0" w:color="auto"/>
              <w:bottom w:val="single" w:sz="4" w:space="0" w:color="auto"/>
              <w:right w:val="single" w:sz="4" w:space="0" w:color="auto"/>
            </w:tcBorders>
            <w:vAlign w:val="center"/>
            <w:hideMark/>
          </w:tcPr>
          <w:p w:rsidR="00C255E3" w:rsidRPr="00C255E3" w:rsidP="00C255E3" w14:paraId="4BCAD40B"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 </w:t>
            </w:r>
          </w:p>
        </w:tc>
        <w:tc>
          <w:tcPr>
            <w:tcW w:w="2020" w:type="dxa"/>
            <w:tcBorders>
              <w:top w:val="nil"/>
              <w:left w:val="nil"/>
              <w:bottom w:val="single" w:sz="4" w:space="0" w:color="auto"/>
              <w:right w:val="single" w:sz="4" w:space="0" w:color="auto"/>
            </w:tcBorders>
            <w:vAlign w:val="center"/>
            <w:hideMark/>
          </w:tcPr>
          <w:p w:rsidR="00C255E3" w:rsidRPr="00C255E3" w:rsidP="00C255E3" w14:paraId="3F359080"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rPr>
              <w:t> </w:t>
            </w:r>
          </w:p>
        </w:tc>
        <w:tc>
          <w:tcPr>
            <w:tcW w:w="2020" w:type="dxa"/>
            <w:tcBorders>
              <w:top w:val="nil"/>
              <w:left w:val="nil"/>
              <w:bottom w:val="single" w:sz="4" w:space="0" w:color="auto"/>
              <w:right w:val="single" w:sz="4" w:space="0" w:color="auto"/>
            </w:tcBorders>
            <w:vAlign w:val="center"/>
            <w:hideMark/>
          </w:tcPr>
          <w:p w:rsidR="00C255E3" w:rsidRPr="00C255E3" w:rsidP="00C255E3" w14:paraId="04F54490" w14:textId="77777777">
            <w:pPr>
              <w:spacing w:after="0" w:line="240" w:lineRule="auto"/>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Total (rounded)</w:t>
            </w:r>
            <w:r w:rsidRPr="00C255E3">
              <w:rPr>
                <w:rFonts w:ascii="Calibri" w:eastAsia="Times New Roman" w:hAnsi="Calibri" w:cs="Calibri"/>
                <w:b/>
                <w:bCs/>
                <w:color w:val="000000"/>
                <w:sz w:val="20"/>
                <w:szCs w:val="20"/>
                <w:vertAlign w:val="superscript"/>
              </w:rPr>
              <w:t xml:space="preserve"> b</w:t>
            </w:r>
          </w:p>
        </w:tc>
        <w:tc>
          <w:tcPr>
            <w:tcW w:w="2020" w:type="dxa"/>
            <w:tcBorders>
              <w:top w:val="nil"/>
              <w:left w:val="nil"/>
              <w:bottom w:val="single" w:sz="4" w:space="0" w:color="auto"/>
              <w:right w:val="single" w:sz="4" w:space="0" w:color="auto"/>
            </w:tcBorders>
            <w:vAlign w:val="center"/>
            <w:hideMark/>
          </w:tcPr>
          <w:p w:rsidR="00C255E3" w:rsidRPr="00C255E3" w:rsidP="00C255E3" w14:paraId="5053F56B" w14:textId="77777777">
            <w:pPr>
              <w:spacing w:after="0" w:line="240" w:lineRule="auto"/>
              <w:jc w:val="right"/>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 xml:space="preserve">$0 </w:t>
            </w:r>
          </w:p>
        </w:tc>
        <w:tc>
          <w:tcPr>
            <w:tcW w:w="2020" w:type="dxa"/>
            <w:tcBorders>
              <w:top w:val="nil"/>
              <w:left w:val="nil"/>
              <w:bottom w:val="single" w:sz="4" w:space="0" w:color="auto"/>
              <w:right w:val="single" w:sz="4" w:space="0" w:color="auto"/>
            </w:tcBorders>
            <w:vAlign w:val="center"/>
            <w:hideMark/>
          </w:tcPr>
          <w:p w:rsidR="00C255E3" w:rsidRPr="00C255E3" w:rsidP="00C255E3" w14:paraId="3FFAF10C" w14:textId="77777777">
            <w:pPr>
              <w:spacing w:after="0" w:line="240" w:lineRule="auto"/>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 </w:t>
            </w:r>
          </w:p>
        </w:tc>
        <w:tc>
          <w:tcPr>
            <w:tcW w:w="2020" w:type="dxa"/>
            <w:tcBorders>
              <w:top w:val="nil"/>
              <w:left w:val="nil"/>
              <w:bottom w:val="single" w:sz="4" w:space="0" w:color="auto"/>
              <w:right w:val="single" w:sz="4" w:space="0" w:color="auto"/>
            </w:tcBorders>
            <w:vAlign w:val="center"/>
            <w:hideMark/>
          </w:tcPr>
          <w:p w:rsidR="00C255E3" w:rsidRPr="00C255E3" w:rsidP="00C255E3" w14:paraId="18FE37C6" w14:textId="77777777">
            <w:pPr>
              <w:spacing w:after="0" w:line="240" w:lineRule="auto"/>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 </w:t>
            </w:r>
          </w:p>
        </w:tc>
        <w:tc>
          <w:tcPr>
            <w:tcW w:w="2020" w:type="dxa"/>
            <w:tcBorders>
              <w:top w:val="nil"/>
              <w:left w:val="nil"/>
              <w:bottom w:val="single" w:sz="4" w:space="0" w:color="auto"/>
              <w:right w:val="single" w:sz="4" w:space="0" w:color="auto"/>
            </w:tcBorders>
            <w:vAlign w:val="center"/>
            <w:hideMark/>
          </w:tcPr>
          <w:p w:rsidR="00C255E3" w:rsidRPr="00C255E3" w:rsidP="00C255E3" w14:paraId="6BAE554F" w14:textId="77777777">
            <w:pPr>
              <w:spacing w:after="0" w:line="240" w:lineRule="auto"/>
              <w:jc w:val="right"/>
              <w:rPr>
                <w:rFonts w:ascii="Calibri" w:eastAsia="Times New Roman" w:hAnsi="Calibri" w:cs="Calibri"/>
                <w:b/>
                <w:bCs/>
                <w:color w:val="000000"/>
                <w:sz w:val="20"/>
                <w:szCs w:val="20"/>
              </w:rPr>
            </w:pPr>
            <w:r w:rsidRPr="00C255E3">
              <w:rPr>
                <w:rFonts w:ascii="Calibri" w:eastAsia="Times New Roman" w:hAnsi="Calibri" w:cs="Calibri"/>
                <w:b/>
                <w:bCs/>
                <w:color w:val="000000"/>
                <w:sz w:val="20"/>
                <w:szCs w:val="20"/>
              </w:rPr>
              <w:t xml:space="preserve">$1,820 </w:t>
            </w:r>
          </w:p>
        </w:tc>
      </w:tr>
      <w:tr w14:paraId="3023430D" w14:textId="77777777" w:rsidTr="00C255E3">
        <w:tblPrEx>
          <w:tblW w:w="12960" w:type="dxa"/>
          <w:tblInd w:w="118" w:type="dxa"/>
          <w:tblLook w:val="04A0"/>
        </w:tblPrEx>
        <w:trPr>
          <w:trHeight w:val="300"/>
        </w:trPr>
        <w:tc>
          <w:tcPr>
            <w:tcW w:w="2020" w:type="dxa"/>
            <w:tcBorders>
              <w:top w:val="nil"/>
              <w:left w:val="nil"/>
              <w:bottom w:val="nil"/>
              <w:right w:val="nil"/>
            </w:tcBorders>
            <w:noWrap/>
            <w:vAlign w:val="bottom"/>
            <w:hideMark/>
          </w:tcPr>
          <w:p w:rsidR="00C255E3" w:rsidRPr="00C255E3" w:rsidP="00C255E3" w14:paraId="4B5C301D" w14:textId="77777777">
            <w:pPr>
              <w:spacing w:after="0" w:line="240" w:lineRule="auto"/>
              <w:jc w:val="right"/>
              <w:rPr>
                <w:rFonts w:ascii="Calibri" w:eastAsia="Times New Roman" w:hAnsi="Calibri" w:cs="Calibri"/>
                <w:b/>
                <w:bCs/>
                <w:color w:val="000000"/>
                <w:sz w:val="20"/>
                <w:szCs w:val="20"/>
              </w:rPr>
            </w:pPr>
          </w:p>
        </w:tc>
        <w:tc>
          <w:tcPr>
            <w:tcW w:w="2020" w:type="dxa"/>
            <w:tcBorders>
              <w:top w:val="nil"/>
              <w:left w:val="nil"/>
              <w:bottom w:val="nil"/>
              <w:right w:val="nil"/>
            </w:tcBorders>
            <w:noWrap/>
            <w:vAlign w:val="bottom"/>
            <w:hideMark/>
          </w:tcPr>
          <w:p w:rsidR="00C255E3" w:rsidRPr="00C255E3" w:rsidP="00C255E3" w14:paraId="2AAEB196"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0ADF944C"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3E48E20E"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0D1500A4"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79C646FA"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469DD5E3" w14:textId="77777777">
            <w:pPr>
              <w:spacing w:after="0" w:line="240" w:lineRule="auto"/>
              <w:rPr>
                <w:rFonts w:ascii="Times New Roman" w:eastAsia="Times New Roman" w:hAnsi="Times New Roman" w:cs="Times New Roman"/>
                <w:sz w:val="20"/>
                <w:szCs w:val="20"/>
              </w:rPr>
            </w:pPr>
          </w:p>
        </w:tc>
      </w:tr>
      <w:tr w14:paraId="723085A5" w14:textId="77777777" w:rsidTr="00C255E3">
        <w:tblPrEx>
          <w:tblW w:w="12960" w:type="dxa"/>
          <w:tblInd w:w="118" w:type="dxa"/>
          <w:tblLook w:val="04A0"/>
        </w:tblPrEx>
        <w:trPr>
          <w:trHeight w:val="300"/>
        </w:trPr>
        <w:tc>
          <w:tcPr>
            <w:tcW w:w="14140" w:type="dxa"/>
            <w:gridSpan w:val="7"/>
            <w:tcBorders>
              <w:top w:val="nil"/>
              <w:left w:val="nil"/>
              <w:bottom w:val="nil"/>
              <w:right w:val="nil"/>
            </w:tcBorders>
            <w:vAlign w:val="bottom"/>
            <w:hideMark/>
          </w:tcPr>
          <w:p w:rsidR="00C255E3" w:rsidRPr="00C255E3" w:rsidP="00C255E3" w14:paraId="53D01E8A"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vertAlign w:val="superscript"/>
              </w:rPr>
              <w:t xml:space="preserve">a </w:t>
            </w:r>
            <w:r w:rsidRPr="00C255E3">
              <w:rPr>
                <w:rFonts w:ascii="Calibri" w:eastAsia="Times New Roman" w:hAnsi="Calibri" w:cs="Calibri"/>
                <w:color w:val="000000"/>
                <w:sz w:val="20"/>
                <w:szCs w:val="20"/>
              </w:rPr>
              <w:t>Costs were updated from 2007 $ to 2024 $ using the CEPCI CE Index.</w:t>
            </w:r>
          </w:p>
        </w:tc>
      </w:tr>
      <w:tr w14:paraId="0205D75E" w14:textId="77777777" w:rsidTr="00C255E3">
        <w:tblPrEx>
          <w:tblW w:w="12960" w:type="dxa"/>
          <w:tblInd w:w="118" w:type="dxa"/>
          <w:tblLook w:val="04A0"/>
        </w:tblPrEx>
        <w:trPr>
          <w:trHeight w:val="315"/>
        </w:trPr>
        <w:tc>
          <w:tcPr>
            <w:tcW w:w="8080" w:type="dxa"/>
            <w:gridSpan w:val="4"/>
            <w:tcBorders>
              <w:top w:val="nil"/>
              <w:left w:val="nil"/>
              <w:bottom w:val="nil"/>
              <w:right w:val="nil"/>
            </w:tcBorders>
            <w:noWrap/>
            <w:vAlign w:val="bottom"/>
            <w:hideMark/>
          </w:tcPr>
          <w:p w:rsidR="00C255E3" w:rsidRPr="00C255E3" w:rsidP="00C255E3" w14:paraId="4A841243" w14:textId="77777777">
            <w:pPr>
              <w:spacing w:after="0" w:line="240" w:lineRule="auto"/>
              <w:rPr>
                <w:rFonts w:ascii="Calibri" w:eastAsia="Times New Roman" w:hAnsi="Calibri" w:cs="Calibri"/>
                <w:color w:val="000000"/>
                <w:sz w:val="20"/>
                <w:szCs w:val="20"/>
              </w:rPr>
            </w:pPr>
            <w:r w:rsidRPr="00C255E3">
              <w:rPr>
                <w:rFonts w:ascii="Calibri" w:eastAsia="Times New Roman" w:hAnsi="Calibri" w:cs="Calibri"/>
                <w:color w:val="000000"/>
                <w:sz w:val="20"/>
                <w:szCs w:val="20"/>
                <w:vertAlign w:val="superscript"/>
              </w:rPr>
              <w:t xml:space="preserve">b </w:t>
            </w:r>
            <w:r w:rsidRPr="00C255E3">
              <w:rPr>
                <w:rFonts w:ascii="Calibri" w:eastAsia="Times New Roman" w:hAnsi="Calibri" w:cs="Calibri"/>
                <w:color w:val="000000"/>
                <w:sz w:val="20"/>
                <w:szCs w:val="20"/>
              </w:rPr>
              <w:t>Totals have been rounded to 3 significant figures. Figures may not add exactly due to rounding.</w:t>
            </w:r>
          </w:p>
        </w:tc>
        <w:tc>
          <w:tcPr>
            <w:tcW w:w="2020" w:type="dxa"/>
            <w:tcBorders>
              <w:top w:val="nil"/>
              <w:left w:val="nil"/>
              <w:bottom w:val="nil"/>
              <w:right w:val="nil"/>
            </w:tcBorders>
            <w:noWrap/>
            <w:vAlign w:val="bottom"/>
            <w:hideMark/>
          </w:tcPr>
          <w:p w:rsidR="00C255E3" w:rsidRPr="00C255E3" w:rsidP="00C255E3" w14:paraId="47BD6FFA" w14:textId="77777777">
            <w:pPr>
              <w:spacing w:after="0" w:line="240" w:lineRule="auto"/>
              <w:rPr>
                <w:rFonts w:ascii="Calibri" w:eastAsia="Times New Roman" w:hAnsi="Calibri" w:cs="Calibri"/>
                <w:color w:val="000000"/>
                <w:sz w:val="20"/>
                <w:szCs w:val="20"/>
              </w:rPr>
            </w:pPr>
          </w:p>
        </w:tc>
        <w:tc>
          <w:tcPr>
            <w:tcW w:w="2020" w:type="dxa"/>
            <w:tcBorders>
              <w:top w:val="nil"/>
              <w:left w:val="nil"/>
              <w:bottom w:val="nil"/>
              <w:right w:val="nil"/>
            </w:tcBorders>
            <w:noWrap/>
            <w:vAlign w:val="bottom"/>
            <w:hideMark/>
          </w:tcPr>
          <w:p w:rsidR="00C255E3" w:rsidRPr="00C255E3" w:rsidP="00C255E3" w14:paraId="497DA947" w14:textId="77777777">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noWrap/>
            <w:vAlign w:val="bottom"/>
            <w:hideMark/>
          </w:tcPr>
          <w:p w:rsidR="00C255E3" w:rsidRPr="00C255E3" w:rsidP="00C255E3" w14:paraId="74D3F25D" w14:textId="77777777">
            <w:pPr>
              <w:spacing w:after="0" w:line="240" w:lineRule="auto"/>
              <w:rPr>
                <w:rFonts w:ascii="Times New Roman" w:eastAsia="Times New Roman" w:hAnsi="Times New Roman" w:cs="Times New Roman"/>
                <w:sz w:val="20"/>
                <w:szCs w:val="20"/>
              </w:rPr>
            </w:pPr>
          </w:p>
        </w:tc>
      </w:tr>
    </w:tbl>
    <w:p w:rsidR="000D69F1" w:rsidRPr="00BB3410" w:rsidP="00BB3410" w14:paraId="287543F9" w14:textId="77777777">
      <w:pPr>
        <w:pStyle w:val="ListParagraph"/>
        <w:spacing w:before="240"/>
        <w:ind w:left="0"/>
        <w:rPr>
          <w:rFonts w:cstheme="minorHAnsi"/>
          <w:sz w:val="24"/>
          <w:szCs w:val="24"/>
        </w:rPr>
      </w:pPr>
    </w:p>
    <w:sectPr w:rsidSect="00C255E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9F1" w14:paraId="7768C888" w14:textId="77777777">
    <w:pPr>
      <w:framePr w:wrap="notBeside" w:hAnchor="text" w:xAlign="center"/>
    </w:pPr>
    <w:r>
      <w:fldChar w:fldCharType="begin"/>
    </w:r>
    <w:r>
      <w:instrText xml:space="preserve"> PAGE  </w:instrText>
    </w:r>
    <w:r>
      <w:fldChar w:fldCharType="separate"/>
    </w:r>
    <w:r>
      <w:rPr>
        <w:noProof/>
      </w:rPr>
      <w:t>2</w:t>
    </w:r>
    <w:r>
      <w:fldChar w:fldCharType="end"/>
    </w:r>
  </w:p>
  <w:p w:rsidR="000D69F1" w14:paraId="09E20138"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1">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1">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1">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1">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1">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1">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1">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1" w15:restartNumberingAfterBreak="1">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1">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1">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4" w15:restartNumberingAfterBreak="1">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1">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1">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1"/>
  </w:num>
  <w:num w:numId="2" w16cid:durableId="1032609060">
    <w:abstractNumId w:val="4"/>
  </w:num>
  <w:num w:numId="3" w16cid:durableId="1158494831">
    <w:abstractNumId w:val="2"/>
  </w:num>
  <w:num w:numId="4" w16cid:durableId="493573829">
    <w:abstractNumId w:val="25"/>
  </w:num>
  <w:num w:numId="5" w16cid:durableId="2055687918">
    <w:abstractNumId w:val="16"/>
  </w:num>
  <w:num w:numId="6" w16cid:durableId="1603025219">
    <w:abstractNumId w:val="23"/>
  </w:num>
  <w:num w:numId="7" w16cid:durableId="423957196">
    <w:abstractNumId w:val="14"/>
  </w:num>
  <w:num w:numId="8" w16cid:durableId="2031829208">
    <w:abstractNumId w:val="19"/>
  </w:num>
  <w:num w:numId="9" w16cid:durableId="218439549">
    <w:abstractNumId w:val="7"/>
  </w:num>
  <w:num w:numId="10" w16cid:durableId="1285231924">
    <w:abstractNumId w:val="3"/>
  </w:num>
  <w:num w:numId="11" w16cid:durableId="327370686">
    <w:abstractNumId w:val="6"/>
  </w:num>
  <w:num w:numId="12" w16cid:durableId="1802993385">
    <w:abstractNumId w:val="9"/>
  </w:num>
  <w:num w:numId="13" w16cid:durableId="1792938267">
    <w:abstractNumId w:val="26"/>
  </w:num>
  <w:num w:numId="14" w16cid:durableId="239490726">
    <w:abstractNumId w:val="5"/>
  </w:num>
  <w:num w:numId="15" w16cid:durableId="1395350314">
    <w:abstractNumId w:val="8"/>
  </w:num>
  <w:num w:numId="16" w16cid:durableId="441535906">
    <w:abstractNumId w:val="12"/>
  </w:num>
  <w:num w:numId="17" w16cid:durableId="2008243381">
    <w:abstractNumId w:val="20"/>
  </w:num>
  <w:num w:numId="18" w16cid:durableId="840463183">
    <w:abstractNumId w:val="18"/>
  </w:num>
  <w:num w:numId="19" w16cid:durableId="469980091">
    <w:abstractNumId w:val="22"/>
  </w:num>
  <w:num w:numId="20" w16cid:durableId="2126730031">
    <w:abstractNumId w:val="10"/>
  </w:num>
  <w:num w:numId="21" w16cid:durableId="106124704">
    <w:abstractNumId w:val="1"/>
  </w:num>
  <w:num w:numId="22" w16cid:durableId="1552418013">
    <w:abstractNumId w:val="13"/>
  </w:num>
  <w:num w:numId="23" w16cid:durableId="1598828334">
    <w:abstractNumId w:val="24"/>
  </w:num>
  <w:num w:numId="24" w16cid:durableId="2051031068">
    <w:abstractNumId w:val="0"/>
  </w:num>
  <w:num w:numId="25" w16cid:durableId="258569098">
    <w:abstractNumId w:val="15"/>
  </w:num>
  <w:num w:numId="26" w16cid:durableId="331181582">
    <w:abstractNumId w:val="17"/>
  </w:num>
  <w:num w:numId="27" w16cid:durableId="101596139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cumentProtection w:edit="trackedChanges" w:enforcement="0"/>
  <w:defaultTabStop w:val="7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609"/>
    <w:rsid w:val="0000050D"/>
    <w:rsid w:val="0000329D"/>
    <w:rsid w:val="00003D64"/>
    <w:rsid w:val="00004678"/>
    <w:rsid w:val="000069AF"/>
    <w:rsid w:val="000069C3"/>
    <w:rsid w:val="00006C95"/>
    <w:rsid w:val="00007FB5"/>
    <w:rsid w:val="00010EEE"/>
    <w:rsid w:val="000129E1"/>
    <w:rsid w:val="00013852"/>
    <w:rsid w:val="00013CE8"/>
    <w:rsid w:val="00014B10"/>
    <w:rsid w:val="00015FF6"/>
    <w:rsid w:val="0001637F"/>
    <w:rsid w:val="00017B90"/>
    <w:rsid w:val="00020791"/>
    <w:rsid w:val="00023EFE"/>
    <w:rsid w:val="000267E1"/>
    <w:rsid w:val="00030670"/>
    <w:rsid w:val="0003166C"/>
    <w:rsid w:val="00032552"/>
    <w:rsid w:val="00033219"/>
    <w:rsid w:val="00036CF2"/>
    <w:rsid w:val="00037107"/>
    <w:rsid w:val="00042F77"/>
    <w:rsid w:val="000445D1"/>
    <w:rsid w:val="0004467E"/>
    <w:rsid w:val="000452DC"/>
    <w:rsid w:val="000459E3"/>
    <w:rsid w:val="000461BA"/>
    <w:rsid w:val="00047160"/>
    <w:rsid w:val="000500B1"/>
    <w:rsid w:val="00050BB4"/>
    <w:rsid w:val="00051045"/>
    <w:rsid w:val="000521D6"/>
    <w:rsid w:val="00053570"/>
    <w:rsid w:val="000544D0"/>
    <w:rsid w:val="0005572E"/>
    <w:rsid w:val="0005629D"/>
    <w:rsid w:val="0005783D"/>
    <w:rsid w:val="00057FD1"/>
    <w:rsid w:val="00060163"/>
    <w:rsid w:val="0006085E"/>
    <w:rsid w:val="0006128A"/>
    <w:rsid w:val="00061A77"/>
    <w:rsid w:val="00061BCE"/>
    <w:rsid w:val="00063CA7"/>
    <w:rsid w:val="00065167"/>
    <w:rsid w:val="00065411"/>
    <w:rsid w:val="00066059"/>
    <w:rsid w:val="00070074"/>
    <w:rsid w:val="000728E0"/>
    <w:rsid w:val="00073C3D"/>
    <w:rsid w:val="000746BB"/>
    <w:rsid w:val="00074917"/>
    <w:rsid w:val="00074E51"/>
    <w:rsid w:val="00075C7A"/>
    <w:rsid w:val="000762A8"/>
    <w:rsid w:val="00076439"/>
    <w:rsid w:val="00076F0F"/>
    <w:rsid w:val="00077D8A"/>
    <w:rsid w:val="00080D11"/>
    <w:rsid w:val="00082A72"/>
    <w:rsid w:val="00083D4A"/>
    <w:rsid w:val="00084BF3"/>
    <w:rsid w:val="00090627"/>
    <w:rsid w:val="00090750"/>
    <w:rsid w:val="000911D6"/>
    <w:rsid w:val="00091EB4"/>
    <w:rsid w:val="0009219E"/>
    <w:rsid w:val="000925BD"/>
    <w:rsid w:val="00093C6D"/>
    <w:rsid w:val="00093DC2"/>
    <w:rsid w:val="00094023"/>
    <w:rsid w:val="0009492C"/>
    <w:rsid w:val="00095B54"/>
    <w:rsid w:val="00095F01"/>
    <w:rsid w:val="00096319"/>
    <w:rsid w:val="000970D0"/>
    <w:rsid w:val="000978FD"/>
    <w:rsid w:val="000A1198"/>
    <w:rsid w:val="000A11F1"/>
    <w:rsid w:val="000A170A"/>
    <w:rsid w:val="000A397C"/>
    <w:rsid w:val="000A4527"/>
    <w:rsid w:val="000B3576"/>
    <w:rsid w:val="000B461B"/>
    <w:rsid w:val="000B61F2"/>
    <w:rsid w:val="000B7BBA"/>
    <w:rsid w:val="000C04C0"/>
    <w:rsid w:val="000C21A3"/>
    <w:rsid w:val="000C41A7"/>
    <w:rsid w:val="000C43C8"/>
    <w:rsid w:val="000C608D"/>
    <w:rsid w:val="000D224E"/>
    <w:rsid w:val="000D251E"/>
    <w:rsid w:val="000D2D5D"/>
    <w:rsid w:val="000D3C22"/>
    <w:rsid w:val="000D45B2"/>
    <w:rsid w:val="000D516A"/>
    <w:rsid w:val="000D5863"/>
    <w:rsid w:val="000D69F1"/>
    <w:rsid w:val="000D6FA4"/>
    <w:rsid w:val="000E1158"/>
    <w:rsid w:val="000E184B"/>
    <w:rsid w:val="000E19CB"/>
    <w:rsid w:val="000E1FE8"/>
    <w:rsid w:val="000E3298"/>
    <w:rsid w:val="000E348B"/>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258D"/>
    <w:rsid w:val="00102EE5"/>
    <w:rsid w:val="00103DD8"/>
    <w:rsid w:val="00105F52"/>
    <w:rsid w:val="00106C2C"/>
    <w:rsid w:val="00107505"/>
    <w:rsid w:val="0010DB22"/>
    <w:rsid w:val="00111663"/>
    <w:rsid w:val="00112360"/>
    <w:rsid w:val="00112675"/>
    <w:rsid w:val="001141DA"/>
    <w:rsid w:val="00116064"/>
    <w:rsid w:val="00116D4C"/>
    <w:rsid w:val="001172FE"/>
    <w:rsid w:val="00117FE1"/>
    <w:rsid w:val="001235F7"/>
    <w:rsid w:val="00127970"/>
    <w:rsid w:val="0013006A"/>
    <w:rsid w:val="00130CF9"/>
    <w:rsid w:val="001310E0"/>
    <w:rsid w:val="00132921"/>
    <w:rsid w:val="001329B3"/>
    <w:rsid w:val="00135EAD"/>
    <w:rsid w:val="00136237"/>
    <w:rsid w:val="00137EB8"/>
    <w:rsid w:val="00140A19"/>
    <w:rsid w:val="00141AC2"/>
    <w:rsid w:val="00145DAE"/>
    <w:rsid w:val="00147B68"/>
    <w:rsid w:val="0015084F"/>
    <w:rsid w:val="00152A80"/>
    <w:rsid w:val="0015347D"/>
    <w:rsid w:val="00160461"/>
    <w:rsid w:val="00161846"/>
    <w:rsid w:val="001636DA"/>
    <w:rsid w:val="00163C69"/>
    <w:rsid w:val="00164169"/>
    <w:rsid w:val="001641AA"/>
    <w:rsid w:val="0016658D"/>
    <w:rsid w:val="00166B27"/>
    <w:rsid w:val="00170329"/>
    <w:rsid w:val="00170689"/>
    <w:rsid w:val="00170EB8"/>
    <w:rsid w:val="00171165"/>
    <w:rsid w:val="00171DC0"/>
    <w:rsid w:val="00173337"/>
    <w:rsid w:val="00173422"/>
    <w:rsid w:val="00173E50"/>
    <w:rsid w:val="00176BA8"/>
    <w:rsid w:val="001775F3"/>
    <w:rsid w:val="00180511"/>
    <w:rsid w:val="00184011"/>
    <w:rsid w:val="00185251"/>
    <w:rsid w:val="00185B4B"/>
    <w:rsid w:val="001912D6"/>
    <w:rsid w:val="0019149E"/>
    <w:rsid w:val="0019182F"/>
    <w:rsid w:val="00191C72"/>
    <w:rsid w:val="001925B3"/>
    <w:rsid w:val="0019580A"/>
    <w:rsid w:val="00195BEB"/>
    <w:rsid w:val="00197A23"/>
    <w:rsid w:val="001A1B89"/>
    <w:rsid w:val="001A20B0"/>
    <w:rsid w:val="001A21A7"/>
    <w:rsid w:val="001A3351"/>
    <w:rsid w:val="001A53A7"/>
    <w:rsid w:val="001A74AB"/>
    <w:rsid w:val="001A76B3"/>
    <w:rsid w:val="001A7DEF"/>
    <w:rsid w:val="001B108A"/>
    <w:rsid w:val="001B1773"/>
    <w:rsid w:val="001B1962"/>
    <w:rsid w:val="001B2D25"/>
    <w:rsid w:val="001B4565"/>
    <w:rsid w:val="001B46D7"/>
    <w:rsid w:val="001B4BEC"/>
    <w:rsid w:val="001B7B47"/>
    <w:rsid w:val="001C0151"/>
    <w:rsid w:val="001C04B9"/>
    <w:rsid w:val="001C260A"/>
    <w:rsid w:val="001C2D48"/>
    <w:rsid w:val="001C3106"/>
    <w:rsid w:val="001C3D5A"/>
    <w:rsid w:val="001C4634"/>
    <w:rsid w:val="001C6741"/>
    <w:rsid w:val="001C7470"/>
    <w:rsid w:val="001C7D35"/>
    <w:rsid w:val="001C7D52"/>
    <w:rsid w:val="001D01BB"/>
    <w:rsid w:val="001D294E"/>
    <w:rsid w:val="001D2CC2"/>
    <w:rsid w:val="001D47F8"/>
    <w:rsid w:val="001D4CDC"/>
    <w:rsid w:val="001D4D40"/>
    <w:rsid w:val="001D4F2F"/>
    <w:rsid w:val="001D51D8"/>
    <w:rsid w:val="001D5CED"/>
    <w:rsid w:val="001E0924"/>
    <w:rsid w:val="001E211E"/>
    <w:rsid w:val="001E3A31"/>
    <w:rsid w:val="001E43D7"/>
    <w:rsid w:val="001E46DC"/>
    <w:rsid w:val="001E534A"/>
    <w:rsid w:val="001E548A"/>
    <w:rsid w:val="001E54CA"/>
    <w:rsid w:val="001E601A"/>
    <w:rsid w:val="001E6291"/>
    <w:rsid w:val="001E6E50"/>
    <w:rsid w:val="001E7480"/>
    <w:rsid w:val="001E74E1"/>
    <w:rsid w:val="001F0834"/>
    <w:rsid w:val="001F0D3B"/>
    <w:rsid w:val="001F1A52"/>
    <w:rsid w:val="001F1F14"/>
    <w:rsid w:val="001F34A5"/>
    <w:rsid w:val="001F370A"/>
    <w:rsid w:val="001F4F4C"/>
    <w:rsid w:val="001F5541"/>
    <w:rsid w:val="001F75D9"/>
    <w:rsid w:val="001F7B1A"/>
    <w:rsid w:val="001F7DF2"/>
    <w:rsid w:val="0020142E"/>
    <w:rsid w:val="00201886"/>
    <w:rsid w:val="002064A4"/>
    <w:rsid w:val="00210F2E"/>
    <w:rsid w:val="00211627"/>
    <w:rsid w:val="0021345A"/>
    <w:rsid w:val="00213AE6"/>
    <w:rsid w:val="0021563D"/>
    <w:rsid w:val="00216C6A"/>
    <w:rsid w:val="00220258"/>
    <w:rsid w:val="00222530"/>
    <w:rsid w:val="0022259D"/>
    <w:rsid w:val="0022416D"/>
    <w:rsid w:val="00224BB3"/>
    <w:rsid w:val="00224D61"/>
    <w:rsid w:val="00224F14"/>
    <w:rsid w:val="00226D49"/>
    <w:rsid w:val="0022710C"/>
    <w:rsid w:val="002272EE"/>
    <w:rsid w:val="00227759"/>
    <w:rsid w:val="00230F45"/>
    <w:rsid w:val="0023289F"/>
    <w:rsid w:val="00233342"/>
    <w:rsid w:val="002335AB"/>
    <w:rsid w:val="00234B8D"/>
    <w:rsid w:val="002350D5"/>
    <w:rsid w:val="00235E79"/>
    <w:rsid w:val="002360BC"/>
    <w:rsid w:val="002368C0"/>
    <w:rsid w:val="00240F23"/>
    <w:rsid w:val="0024175E"/>
    <w:rsid w:val="002420F2"/>
    <w:rsid w:val="002455F0"/>
    <w:rsid w:val="0024599B"/>
    <w:rsid w:val="00246A7E"/>
    <w:rsid w:val="00247198"/>
    <w:rsid w:val="0025051F"/>
    <w:rsid w:val="00251151"/>
    <w:rsid w:val="00252A4E"/>
    <w:rsid w:val="0025319A"/>
    <w:rsid w:val="00253DBC"/>
    <w:rsid w:val="0025617C"/>
    <w:rsid w:val="0026050F"/>
    <w:rsid w:val="00260FB7"/>
    <w:rsid w:val="002648CF"/>
    <w:rsid w:val="00265FE7"/>
    <w:rsid w:val="00270940"/>
    <w:rsid w:val="002732F9"/>
    <w:rsid w:val="0027766D"/>
    <w:rsid w:val="00277A03"/>
    <w:rsid w:val="0028340E"/>
    <w:rsid w:val="00283764"/>
    <w:rsid w:val="00283AE9"/>
    <w:rsid w:val="00283C66"/>
    <w:rsid w:val="002847BB"/>
    <w:rsid w:val="002853F5"/>
    <w:rsid w:val="00285782"/>
    <w:rsid w:val="00285A68"/>
    <w:rsid w:val="00286FA0"/>
    <w:rsid w:val="00287F46"/>
    <w:rsid w:val="00287F94"/>
    <w:rsid w:val="00290BEB"/>
    <w:rsid w:val="00291493"/>
    <w:rsid w:val="00291589"/>
    <w:rsid w:val="002933D6"/>
    <w:rsid w:val="00295B71"/>
    <w:rsid w:val="00295CBD"/>
    <w:rsid w:val="0029755D"/>
    <w:rsid w:val="002A43D0"/>
    <w:rsid w:val="002A6075"/>
    <w:rsid w:val="002A676B"/>
    <w:rsid w:val="002A6E4E"/>
    <w:rsid w:val="002A774D"/>
    <w:rsid w:val="002A7860"/>
    <w:rsid w:val="002A78D3"/>
    <w:rsid w:val="002B0036"/>
    <w:rsid w:val="002B4615"/>
    <w:rsid w:val="002B7383"/>
    <w:rsid w:val="002B77A2"/>
    <w:rsid w:val="002C0623"/>
    <w:rsid w:val="002C1434"/>
    <w:rsid w:val="002C1646"/>
    <w:rsid w:val="002C4713"/>
    <w:rsid w:val="002C4786"/>
    <w:rsid w:val="002C7DDE"/>
    <w:rsid w:val="002D3E1A"/>
    <w:rsid w:val="002E0316"/>
    <w:rsid w:val="002E0999"/>
    <w:rsid w:val="002E2569"/>
    <w:rsid w:val="002E4449"/>
    <w:rsid w:val="002E4E93"/>
    <w:rsid w:val="002E5BAD"/>
    <w:rsid w:val="002E6047"/>
    <w:rsid w:val="002E6D1D"/>
    <w:rsid w:val="002F0614"/>
    <w:rsid w:val="002F077A"/>
    <w:rsid w:val="002F10BE"/>
    <w:rsid w:val="002F13DA"/>
    <w:rsid w:val="002F15EB"/>
    <w:rsid w:val="002F2E78"/>
    <w:rsid w:val="002F3CE0"/>
    <w:rsid w:val="002F6A76"/>
    <w:rsid w:val="00300363"/>
    <w:rsid w:val="003005BB"/>
    <w:rsid w:val="00303DE5"/>
    <w:rsid w:val="00304842"/>
    <w:rsid w:val="003060D3"/>
    <w:rsid w:val="00307411"/>
    <w:rsid w:val="00310FDB"/>
    <w:rsid w:val="00312370"/>
    <w:rsid w:val="00312F28"/>
    <w:rsid w:val="003132A5"/>
    <w:rsid w:val="00313941"/>
    <w:rsid w:val="00314125"/>
    <w:rsid w:val="00316194"/>
    <w:rsid w:val="003169B4"/>
    <w:rsid w:val="00316BE6"/>
    <w:rsid w:val="00317844"/>
    <w:rsid w:val="00317A6C"/>
    <w:rsid w:val="00317D89"/>
    <w:rsid w:val="003224B7"/>
    <w:rsid w:val="00322A16"/>
    <w:rsid w:val="0032350D"/>
    <w:rsid w:val="00323E74"/>
    <w:rsid w:val="00324F21"/>
    <w:rsid w:val="003256A4"/>
    <w:rsid w:val="00330B87"/>
    <w:rsid w:val="00331168"/>
    <w:rsid w:val="0033211D"/>
    <w:rsid w:val="00333489"/>
    <w:rsid w:val="00342882"/>
    <w:rsid w:val="00342DB5"/>
    <w:rsid w:val="00343CEF"/>
    <w:rsid w:val="00344CB0"/>
    <w:rsid w:val="003467C8"/>
    <w:rsid w:val="00347C3C"/>
    <w:rsid w:val="0035079F"/>
    <w:rsid w:val="003527C1"/>
    <w:rsid w:val="00352C25"/>
    <w:rsid w:val="003565B6"/>
    <w:rsid w:val="00356A66"/>
    <w:rsid w:val="00357418"/>
    <w:rsid w:val="0036059B"/>
    <w:rsid w:val="00360B75"/>
    <w:rsid w:val="00361737"/>
    <w:rsid w:val="00363F41"/>
    <w:rsid w:val="00366D56"/>
    <w:rsid w:val="00367871"/>
    <w:rsid w:val="00367DAD"/>
    <w:rsid w:val="0037007A"/>
    <w:rsid w:val="0037342A"/>
    <w:rsid w:val="00373CC8"/>
    <w:rsid w:val="003743D7"/>
    <w:rsid w:val="003745C4"/>
    <w:rsid w:val="00374E24"/>
    <w:rsid w:val="00375E2A"/>
    <w:rsid w:val="00376609"/>
    <w:rsid w:val="00380506"/>
    <w:rsid w:val="00381333"/>
    <w:rsid w:val="003821F2"/>
    <w:rsid w:val="0038330C"/>
    <w:rsid w:val="003856DC"/>
    <w:rsid w:val="003901B8"/>
    <w:rsid w:val="0039109C"/>
    <w:rsid w:val="003963EE"/>
    <w:rsid w:val="003A0E52"/>
    <w:rsid w:val="003A1D0D"/>
    <w:rsid w:val="003A38FB"/>
    <w:rsid w:val="003A41A0"/>
    <w:rsid w:val="003A6BEF"/>
    <w:rsid w:val="003B04B9"/>
    <w:rsid w:val="003B0A8F"/>
    <w:rsid w:val="003B153D"/>
    <w:rsid w:val="003B4D4F"/>
    <w:rsid w:val="003B65AF"/>
    <w:rsid w:val="003C0ACA"/>
    <w:rsid w:val="003C0DBC"/>
    <w:rsid w:val="003C1314"/>
    <w:rsid w:val="003C16BD"/>
    <w:rsid w:val="003C2B04"/>
    <w:rsid w:val="003C321D"/>
    <w:rsid w:val="003C5631"/>
    <w:rsid w:val="003C68C2"/>
    <w:rsid w:val="003C6CE9"/>
    <w:rsid w:val="003D06CD"/>
    <w:rsid w:val="003D0C03"/>
    <w:rsid w:val="003D1457"/>
    <w:rsid w:val="003D23D5"/>
    <w:rsid w:val="003D29E8"/>
    <w:rsid w:val="003D2F77"/>
    <w:rsid w:val="003D3498"/>
    <w:rsid w:val="003D3D42"/>
    <w:rsid w:val="003D598C"/>
    <w:rsid w:val="003D7167"/>
    <w:rsid w:val="003D7919"/>
    <w:rsid w:val="003D7B2A"/>
    <w:rsid w:val="003E133B"/>
    <w:rsid w:val="003E4B7A"/>
    <w:rsid w:val="003E5AAE"/>
    <w:rsid w:val="003E5D61"/>
    <w:rsid w:val="003E7E56"/>
    <w:rsid w:val="003F0A11"/>
    <w:rsid w:val="003F1F7D"/>
    <w:rsid w:val="003F36DC"/>
    <w:rsid w:val="003F5429"/>
    <w:rsid w:val="003F639F"/>
    <w:rsid w:val="003F6664"/>
    <w:rsid w:val="003F72BB"/>
    <w:rsid w:val="00401C79"/>
    <w:rsid w:val="00402C51"/>
    <w:rsid w:val="00403FAB"/>
    <w:rsid w:val="00404886"/>
    <w:rsid w:val="004048AD"/>
    <w:rsid w:val="0040643E"/>
    <w:rsid w:val="004064AA"/>
    <w:rsid w:val="004113CD"/>
    <w:rsid w:val="00412B2A"/>
    <w:rsid w:val="00414BB8"/>
    <w:rsid w:val="00415248"/>
    <w:rsid w:val="00415988"/>
    <w:rsid w:val="00415F7C"/>
    <w:rsid w:val="00417612"/>
    <w:rsid w:val="0042383B"/>
    <w:rsid w:val="0042409F"/>
    <w:rsid w:val="00424DDE"/>
    <w:rsid w:val="00424F93"/>
    <w:rsid w:val="004252C1"/>
    <w:rsid w:val="0042541E"/>
    <w:rsid w:val="00427079"/>
    <w:rsid w:val="004306A8"/>
    <w:rsid w:val="00430EDC"/>
    <w:rsid w:val="00430FA6"/>
    <w:rsid w:val="00431D3F"/>
    <w:rsid w:val="00432AC2"/>
    <w:rsid w:val="0043515D"/>
    <w:rsid w:val="00436FD0"/>
    <w:rsid w:val="00437139"/>
    <w:rsid w:val="00441783"/>
    <w:rsid w:val="004420DA"/>
    <w:rsid w:val="00444707"/>
    <w:rsid w:val="004455F6"/>
    <w:rsid w:val="00445751"/>
    <w:rsid w:val="004468C2"/>
    <w:rsid w:val="00446B8D"/>
    <w:rsid w:val="00450C44"/>
    <w:rsid w:val="00456E33"/>
    <w:rsid w:val="004600ED"/>
    <w:rsid w:val="004620CA"/>
    <w:rsid w:val="00463285"/>
    <w:rsid w:val="00465846"/>
    <w:rsid w:val="00466349"/>
    <w:rsid w:val="00466B43"/>
    <w:rsid w:val="00470E22"/>
    <w:rsid w:val="00472D33"/>
    <w:rsid w:val="00475BA6"/>
    <w:rsid w:val="00477D70"/>
    <w:rsid w:val="00482027"/>
    <w:rsid w:val="004831CC"/>
    <w:rsid w:val="00485567"/>
    <w:rsid w:val="004855BE"/>
    <w:rsid w:val="00486860"/>
    <w:rsid w:val="00491CC3"/>
    <w:rsid w:val="00491ED9"/>
    <w:rsid w:val="00492617"/>
    <w:rsid w:val="00495623"/>
    <w:rsid w:val="00496F19"/>
    <w:rsid w:val="0049718B"/>
    <w:rsid w:val="004A0C7A"/>
    <w:rsid w:val="004A2646"/>
    <w:rsid w:val="004A284B"/>
    <w:rsid w:val="004A2961"/>
    <w:rsid w:val="004A2CDE"/>
    <w:rsid w:val="004A3ABF"/>
    <w:rsid w:val="004A4B8D"/>
    <w:rsid w:val="004A5B46"/>
    <w:rsid w:val="004A6B13"/>
    <w:rsid w:val="004B0167"/>
    <w:rsid w:val="004B710E"/>
    <w:rsid w:val="004C17A6"/>
    <w:rsid w:val="004C43EA"/>
    <w:rsid w:val="004C4445"/>
    <w:rsid w:val="004C53AD"/>
    <w:rsid w:val="004C6291"/>
    <w:rsid w:val="004C65F0"/>
    <w:rsid w:val="004C680C"/>
    <w:rsid w:val="004C6EC4"/>
    <w:rsid w:val="004C7205"/>
    <w:rsid w:val="004D0275"/>
    <w:rsid w:val="004D59E6"/>
    <w:rsid w:val="004D5E8D"/>
    <w:rsid w:val="004D6404"/>
    <w:rsid w:val="004E1414"/>
    <w:rsid w:val="004E336F"/>
    <w:rsid w:val="004E3CB0"/>
    <w:rsid w:val="004E5457"/>
    <w:rsid w:val="004E5A83"/>
    <w:rsid w:val="004E7F0A"/>
    <w:rsid w:val="004F05F2"/>
    <w:rsid w:val="004F106A"/>
    <w:rsid w:val="004F1136"/>
    <w:rsid w:val="004F1426"/>
    <w:rsid w:val="004F3C8A"/>
    <w:rsid w:val="004F4CDB"/>
    <w:rsid w:val="004F4FDD"/>
    <w:rsid w:val="004F6CF4"/>
    <w:rsid w:val="0050085E"/>
    <w:rsid w:val="005016D0"/>
    <w:rsid w:val="00501DE1"/>
    <w:rsid w:val="005024CE"/>
    <w:rsid w:val="00502BAA"/>
    <w:rsid w:val="00504949"/>
    <w:rsid w:val="00506171"/>
    <w:rsid w:val="005062F5"/>
    <w:rsid w:val="00510C48"/>
    <w:rsid w:val="005119F4"/>
    <w:rsid w:val="00511DDD"/>
    <w:rsid w:val="00512F2D"/>
    <w:rsid w:val="00513479"/>
    <w:rsid w:val="0051499C"/>
    <w:rsid w:val="00515993"/>
    <w:rsid w:val="00517F46"/>
    <w:rsid w:val="00520209"/>
    <w:rsid w:val="005206FB"/>
    <w:rsid w:val="0052076B"/>
    <w:rsid w:val="00524059"/>
    <w:rsid w:val="005263EC"/>
    <w:rsid w:val="00526DFC"/>
    <w:rsid w:val="00527EB0"/>
    <w:rsid w:val="005303CA"/>
    <w:rsid w:val="00530DF8"/>
    <w:rsid w:val="00531CA7"/>
    <w:rsid w:val="005324A6"/>
    <w:rsid w:val="005346D7"/>
    <w:rsid w:val="00535D3D"/>
    <w:rsid w:val="00536768"/>
    <w:rsid w:val="005372F7"/>
    <w:rsid w:val="00537322"/>
    <w:rsid w:val="00542227"/>
    <w:rsid w:val="005424B5"/>
    <w:rsid w:val="00542CEE"/>
    <w:rsid w:val="00546097"/>
    <w:rsid w:val="00546B65"/>
    <w:rsid w:val="00546FB4"/>
    <w:rsid w:val="00547C88"/>
    <w:rsid w:val="005519F6"/>
    <w:rsid w:val="00552A7B"/>
    <w:rsid w:val="00552BE0"/>
    <w:rsid w:val="005544CE"/>
    <w:rsid w:val="00554865"/>
    <w:rsid w:val="0055616B"/>
    <w:rsid w:val="0055645E"/>
    <w:rsid w:val="00556D62"/>
    <w:rsid w:val="00557E8F"/>
    <w:rsid w:val="005609B4"/>
    <w:rsid w:val="00560A26"/>
    <w:rsid w:val="005636FA"/>
    <w:rsid w:val="0056373A"/>
    <w:rsid w:val="0056423D"/>
    <w:rsid w:val="00564A1B"/>
    <w:rsid w:val="00564BF4"/>
    <w:rsid w:val="00565A5E"/>
    <w:rsid w:val="00566F71"/>
    <w:rsid w:val="00571C92"/>
    <w:rsid w:val="00571D24"/>
    <w:rsid w:val="005723B9"/>
    <w:rsid w:val="005726BA"/>
    <w:rsid w:val="0057299B"/>
    <w:rsid w:val="00573D5C"/>
    <w:rsid w:val="00574C83"/>
    <w:rsid w:val="005810DF"/>
    <w:rsid w:val="00583101"/>
    <w:rsid w:val="005836B3"/>
    <w:rsid w:val="00583AAC"/>
    <w:rsid w:val="00584D72"/>
    <w:rsid w:val="0058662D"/>
    <w:rsid w:val="005900C3"/>
    <w:rsid w:val="00590A21"/>
    <w:rsid w:val="005932EC"/>
    <w:rsid w:val="005966D8"/>
    <w:rsid w:val="0059769C"/>
    <w:rsid w:val="00597A92"/>
    <w:rsid w:val="005A0F75"/>
    <w:rsid w:val="005A129A"/>
    <w:rsid w:val="005A2ABF"/>
    <w:rsid w:val="005A35B4"/>
    <w:rsid w:val="005A422E"/>
    <w:rsid w:val="005A7194"/>
    <w:rsid w:val="005A7235"/>
    <w:rsid w:val="005A7BA6"/>
    <w:rsid w:val="005B4322"/>
    <w:rsid w:val="005B499E"/>
    <w:rsid w:val="005B5DA7"/>
    <w:rsid w:val="005B6A8D"/>
    <w:rsid w:val="005C195D"/>
    <w:rsid w:val="005C2031"/>
    <w:rsid w:val="005C40A3"/>
    <w:rsid w:val="005C7C24"/>
    <w:rsid w:val="005D0ACB"/>
    <w:rsid w:val="005D140B"/>
    <w:rsid w:val="005D1C36"/>
    <w:rsid w:val="005D1F2E"/>
    <w:rsid w:val="005D2654"/>
    <w:rsid w:val="005D2D34"/>
    <w:rsid w:val="005D2E6F"/>
    <w:rsid w:val="005D2F8C"/>
    <w:rsid w:val="005D5624"/>
    <w:rsid w:val="005D5865"/>
    <w:rsid w:val="005D5F1D"/>
    <w:rsid w:val="005E023A"/>
    <w:rsid w:val="005E03A2"/>
    <w:rsid w:val="005E35C4"/>
    <w:rsid w:val="005E4A7B"/>
    <w:rsid w:val="005E4C2F"/>
    <w:rsid w:val="005E588F"/>
    <w:rsid w:val="005E5BEC"/>
    <w:rsid w:val="005E5D2D"/>
    <w:rsid w:val="005E6FAB"/>
    <w:rsid w:val="005F1234"/>
    <w:rsid w:val="005F13AA"/>
    <w:rsid w:val="005F484B"/>
    <w:rsid w:val="005F5F0A"/>
    <w:rsid w:val="00601660"/>
    <w:rsid w:val="00601B3B"/>
    <w:rsid w:val="00602636"/>
    <w:rsid w:val="006036CD"/>
    <w:rsid w:val="00603CAA"/>
    <w:rsid w:val="00603CC1"/>
    <w:rsid w:val="0060451D"/>
    <w:rsid w:val="00604681"/>
    <w:rsid w:val="00604D35"/>
    <w:rsid w:val="0060549C"/>
    <w:rsid w:val="006071E2"/>
    <w:rsid w:val="0060750F"/>
    <w:rsid w:val="006079C2"/>
    <w:rsid w:val="00611426"/>
    <w:rsid w:val="00613362"/>
    <w:rsid w:val="0061462A"/>
    <w:rsid w:val="006150A3"/>
    <w:rsid w:val="006161DD"/>
    <w:rsid w:val="0061689C"/>
    <w:rsid w:val="006210DF"/>
    <w:rsid w:val="0062163B"/>
    <w:rsid w:val="00622434"/>
    <w:rsid w:val="00622500"/>
    <w:rsid w:val="00622738"/>
    <w:rsid w:val="00623817"/>
    <w:rsid w:val="00624119"/>
    <w:rsid w:val="00624665"/>
    <w:rsid w:val="00624BE7"/>
    <w:rsid w:val="0062570F"/>
    <w:rsid w:val="006262C0"/>
    <w:rsid w:val="00627768"/>
    <w:rsid w:val="00632312"/>
    <w:rsid w:val="00635E63"/>
    <w:rsid w:val="006364B9"/>
    <w:rsid w:val="00637244"/>
    <w:rsid w:val="00640646"/>
    <w:rsid w:val="006406C5"/>
    <w:rsid w:val="00640DB6"/>
    <w:rsid w:val="00642467"/>
    <w:rsid w:val="00642D76"/>
    <w:rsid w:val="00643FF8"/>
    <w:rsid w:val="00644EBE"/>
    <w:rsid w:val="00645A18"/>
    <w:rsid w:val="00645B0D"/>
    <w:rsid w:val="00651584"/>
    <w:rsid w:val="00651606"/>
    <w:rsid w:val="0065161C"/>
    <w:rsid w:val="00652B35"/>
    <w:rsid w:val="00652EE5"/>
    <w:rsid w:val="00653D08"/>
    <w:rsid w:val="0065454C"/>
    <w:rsid w:val="00660027"/>
    <w:rsid w:val="00660B98"/>
    <w:rsid w:val="00665EAF"/>
    <w:rsid w:val="00666566"/>
    <w:rsid w:val="00666D5A"/>
    <w:rsid w:val="00670897"/>
    <w:rsid w:val="00672A20"/>
    <w:rsid w:val="006737EC"/>
    <w:rsid w:val="006739CE"/>
    <w:rsid w:val="0068304A"/>
    <w:rsid w:val="00683207"/>
    <w:rsid w:val="00686D59"/>
    <w:rsid w:val="00687254"/>
    <w:rsid w:val="00687583"/>
    <w:rsid w:val="00691828"/>
    <w:rsid w:val="00691A07"/>
    <w:rsid w:val="00692B88"/>
    <w:rsid w:val="00693D40"/>
    <w:rsid w:val="006971C6"/>
    <w:rsid w:val="00697598"/>
    <w:rsid w:val="006A01ED"/>
    <w:rsid w:val="006A0C6C"/>
    <w:rsid w:val="006A173F"/>
    <w:rsid w:val="006A1AC5"/>
    <w:rsid w:val="006A231D"/>
    <w:rsid w:val="006A29EB"/>
    <w:rsid w:val="006A6A9E"/>
    <w:rsid w:val="006A6EDB"/>
    <w:rsid w:val="006B102F"/>
    <w:rsid w:val="006B15F9"/>
    <w:rsid w:val="006B18D6"/>
    <w:rsid w:val="006B20E9"/>
    <w:rsid w:val="006B2749"/>
    <w:rsid w:val="006B42B0"/>
    <w:rsid w:val="006B490F"/>
    <w:rsid w:val="006B57A3"/>
    <w:rsid w:val="006B58DB"/>
    <w:rsid w:val="006B6448"/>
    <w:rsid w:val="006B6B7D"/>
    <w:rsid w:val="006B738C"/>
    <w:rsid w:val="006B770D"/>
    <w:rsid w:val="006C1677"/>
    <w:rsid w:val="006C4CAA"/>
    <w:rsid w:val="006C68A7"/>
    <w:rsid w:val="006C780F"/>
    <w:rsid w:val="006C79DB"/>
    <w:rsid w:val="006D09D6"/>
    <w:rsid w:val="006D1400"/>
    <w:rsid w:val="006D419B"/>
    <w:rsid w:val="006D6C61"/>
    <w:rsid w:val="006D7A1A"/>
    <w:rsid w:val="006E009D"/>
    <w:rsid w:val="006E0122"/>
    <w:rsid w:val="006E0960"/>
    <w:rsid w:val="006E116F"/>
    <w:rsid w:val="006E13FF"/>
    <w:rsid w:val="006E197A"/>
    <w:rsid w:val="006E1DC0"/>
    <w:rsid w:val="006E4817"/>
    <w:rsid w:val="006E550C"/>
    <w:rsid w:val="006E6819"/>
    <w:rsid w:val="006E6A2C"/>
    <w:rsid w:val="006E6C7E"/>
    <w:rsid w:val="006E7D37"/>
    <w:rsid w:val="006F1F1D"/>
    <w:rsid w:val="006F4946"/>
    <w:rsid w:val="00700983"/>
    <w:rsid w:val="00700A9A"/>
    <w:rsid w:val="007020F8"/>
    <w:rsid w:val="007025A2"/>
    <w:rsid w:val="007029CB"/>
    <w:rsid w:val="00702E91"/>
    <w:rsid w:val="00702F36"/>
    <w:rsid w:val="00703FEF"/>
    <w:rsid w:val="00704459"/>
    <w:rsid w:val="007045C4"/>
    <w:rsid w:val="00704CBA"/>
    <w:rsid w:val="00706B15"/>
    <w:rsid w:val="00706F41"/>
    <w:rsid w:val="007072D8"/>
    <w:rsid w:val="00710A21"/>
    <w:rsid w:val="00712749"/>
    <w:rsid w:val="007128E1"/>
    <w:rsid w:val="007139DB"/>
    <w:rsid w:val="00714D14"/>
    <w:rsid w:val="00714E66"/>
    <w:rsid w:val="007167A3"/>
    <w:rsid w:val="00716971"/>
    <w:rsid w:val="007169A1"/>
    <w:rsid w:val="00716CE1"/>
    <w:rsid w:val="00716D1D"/>
    <w:rsid w:val="007177A8"/>
    <w:rsid w:val="00723245"/>
    <w:rsid w:val="00724442"/>
    <w:rsid w:val="00724815"/>
    <w:rsid w:val="00726EFA"/>
    <w:rsid w:val="007279D9"/>
    <w:rsid w:val="00731652"/>
    <w:rsid w:val="00732759"/>
    <w:rsid w:val="00732A40"/>
    <w:rsid w:val="00735197"/>
    <w:rsid w:val="00735C37"/>
    <w:rsid w:val="0073767D"/>
    <w:rsid w:val="0074077E"/>
    <w:rsid w:val="00741CD7"/>
    <w:rsid w:val="00742631"/>
    <w:rsid w:val="00742DE0"/>
    <w:rsid w:val="00743A10"/>
    <w:rsid w:val="00743BAD"/>
    <w:rsid w:val="00745A5F"/>
    <w:rsid w:val="00746F8F"/>
    <w:rsid w:val="00747678"/>
    <w:rsid w:val="00750796"/>
    <w:rsid w:val="007534F8"/>
    <w:rsid w:val="0075404F"/>
    <w:rsid w:val="0075537F"/>
    <w:rsid w:val="007558ED"/>
    <w:rsid w:val="007560F1"/>
    <w:rsid w:val="00762228"/>
    <w:rsid w:val="00763E34"/>
    <w:rsid w:val="00764EF9"/>
    <w:rsid w:val="007674E8"/>
    <w:rsid w:val="00770A34"/>
    <w:rsid w:val="00770FC4"/>
    <w:rsid w:val="007711BC"/>
    <w:rsid w:val="007713C7"/>
    <w:rsid w:val="00772C87"/>
    <w:rsid w:val="00772D61"/>
    <w:rsid w:val="007744B9"/>
    <w:rsid w:val="00775025"/>
    <w:rsid w:val="00776596"/>
    <w:rsid w:val="00776C0D"/>
    <w:rsid w:val="0077747C"/>
    <w:rsid w:val="00780787"/>
    <w:rsid w:val="007837C6"/>
    <w:rsid w:val="007838DA"/>
    <w:rsid w:val="0078463B"/>
    <w:rsid w:val="007853D4"/>
    <w:rsid w:val="007860F8"/>
    <w:rsid w:val="00786880"/>
    <w:rsid w:val="00791DFE"/>
    <w:rsid w:val="007927B8"/>
    <w:rsid w:val="007937AD"/>
    <w:rsid w:val="00794978"/>
    <w:rsid w:val="00796ED4"/>
    <w:rsid w:val="007975D8"/>
    <w:rsid w:val="007A0115"/>
    <w:rsid w:val="007A2883"/>
    <w:rsid w:val="007A3403"/>
    <w:rsid w:val="007A3539"/>
    <w:rsid w:val="007A3C78"/>
    <w:rsid w:val="007A4ADE"/>
    <w:rsid w:val="007A4FD8"/>
    <w:rsid w:val="007A5180"/>
    <w:rsid w:val="007A5A6C"/>
    <w:rsid w:val="007A5EE5"/>
    <w:rsid w:val="007B00E3"/>
    <w:rsid w:val="007B14AA"/>
    <w:rsid w:val="007B22C1"/>
    <w:rsid w:val="007B2A30"/>
    <w:rsid w:val="007B41DD"/>
    <w:rsid w:val="007B5199"/>
    <w:rsid w:val="007B5773"/>
    <w:rsid w:val="007B74AA"/>
    <w:rsid w:val="007C0133"/>
    <w:rsid w:val="007C285F"/>
    <w:rsid w:val="007C3A41"/>
    <w:rsid w:val="007C7191"/>
    <w:rsid w:val="007C7392"/>
    <w:rsid w:val="007D1451"/>
    <w:rsid w:val="007D1B8B"/>
    <w:rsid w:val="007D2824"/>
    <w:rsid w:val="007D3C4B"/>
    <w:rsid w:val="007D4381"/>
    <w:rsid w:val="007D47D8"/>
    <w:rsid w:val="007D58A8"/>
    <w:rsid w:val="007D5F7F"/>
    <w:rsid w:val="007E0597"/>
    <w:rsid w:val="007E0985"/>
    <w:rsid w:val="007E1BD7"/>
    <w:rsid w:val="007E1DEB"/>
    <w:rsid w:val="007E2E4D"/>
    <w:rsid w:val="007E403E"/>
    <w:rsid w:val="007E4B86"/>
    <w:rsid w:val="007E6E0D"/>
    <w:rsid w:val="007F11C3"/>
    <w:rsid w:val="007F1FD4"/>
    <w:rsid w:val="007F246C"/>
    <w:rsid w:val="007F2A90"/>
    <w:rsid w:val="007F5265"/>
    <w:rsid w:val="007F5384"/>
    <w:rsid w:val="007F60B7"/>
    <w:rsid w:val="007F7757"/>
    <w:rsid w:val="0080187D"/>
    <w:rsid w:val="00802495"/>
    <w:rsid w:val="0080293D"/>
    <w:rsid w:val="00802D56"/>
    <w:rsid w:val="00803457"/>
    <w:rsid w:val="008042DB"/>
    <w:rsid w:val="00806D50"/>
    <w:rsid w:val="00807B4F"/>
    <w:rsid w:val="00811D22"/>
    <w:rsid w:val="00811FC2"/>
    <w:rsid w:val="008144DD"/>
    <w:rsid w:val="0081485B"/>
    <w:rsid w:val="00814975"/>
    <w:rsid w:val="00815A4C"/>
    <w:rsid w:val="00816010"/>
    <w:rsid w:val="008201BE"/>
    <w:rsid w:val="008202C9"/>
    <w:rsid w:val="008208CD"/>
    <w:rsid w:val="008219AA"/>
    <w:rsid w:val="008240E3"/>
    <w:rsid w:val="00824837"/>
    <w:rsid w:val="00827596"/>
    <w:rsid w:val="0082798D"/>
    <w:rsid w:val="00830F44"/>
    <w:rsid w:val="008310D5"/>
    <w:rsid w:val="008316D7"/>
    <w:rsid w:val="00831944"/>
    <w:rsid w:val="00831B47"/>
    <w:rsid w:val="008343F1"/>
    <w:rsid w:val="008366EC"/>
    <w:rsid w:val="00840AE4"/>
    <w:rsid w:val="008416DF"/>
    <w:rsid w:val="008443B3"/>
    <w:rsid w:val="00846433"/>
    <w:rsid w:val="0084668A"/>
    <w:rsid w:val="00850DF4"/>
    <w:rsid w:val="00851082"/>
    <w:rsid w:val="008510C7"/>
    <w:rsid w:val="0085150A"/>
    <w:rsid w:val="0085160F"/>
    <w:rsid w:val="00852A45"/>
    <w:rsid w:val="00853133"/>
    <w:rsid w:val="0085327B"/>
    <w:rsid w:val="00853B1E"/>
    <w:rsid w:val="00854AAE"/>
    <w:rsid w:val="00856CDB"/>
    <w:rsid w:val="00860243"/>
    <w:rsid w:val="00862ACA"/>
    <w:rsid w:val="00863B5C"/>
    <w:rsid w:val="00863E35"/>
    <w:rsid w:val="0086480C"/>
    <w:rsid w:val="008663D4"/>
    <w:rsid w:val="0086680C"/>
    <w:rsid w:val="00866A4F"/>
    <w:rsid w:val="00866F44"/>
    <w:rsid w:val="00870F86"/>
    <w:rsid w:val="00873EFF"/>
    <w:rsid w:val="008749E8"/>
    <w:rsid w:val="00876774"/>
    <w:rsid w:val="00876C6F"/>
    <w:rsid w:val="008803DA"/>
    <w:rsid w:val="00881794"/>
    <w:rsid w:val="00881CAD"/>
    <w:rsid w:val="00883A58"/>
    <w:rsid w:val="0089326A"/>
    <w:rsid w:val="0089358E"/>
    <w:rsid w:val="00893F67"/>
    <w:rsid w:val="00895E6F"/>
    <w:rsid w:val="00896989"/>
    <w:rsid w:val="008A0297"/>
    <w:rsid w:val="008A034D"/>
    <w:rsid w:val="008A1004"/>
    <w:rsid w:val="008A15C2"/>
    <w:rsid w:val="008A2C8A"/>
    <w:rsid w:val="008A2F96"/>
    <w:rsid w:val="008A34CB"/>
    <w:rsid w:val="008A3D1E"/>
    <w:rsid w:val="008A474D"/>
    <w:rsid w:val="008A6835"/>
    <w:rsid w:val="008B0300"/>
    <w:rsid w:val="008B07A2"/>
    <w:rsid w:val="008B170E"/>
    <w:rsid w:val="008B206E"/>
    <w:rsid w:val="008B37A1"/>
    <w:rsid w:val="008B4625"/>
    <w:rsid w:val="008B467F"/>
    <w:rsid w:val="008B57B0"/>
    <w:rsid w:val="008C06CB"/>
    <w:rsid w:val="008C0C83"/>
    <w:rsid w:val="008C2DE3"/>
    <w:rsid w:val="008C582D"/>
    <w:rsid w:val="008C6A5F"/>
    <w:rsid w:val="008C7F35"/>
    <w:rsid w:val="008D0B32"/>
    <w:rsid w:val="008D2A1E"/>
    <w:rsid w:val="008D2CA0"/>
    <w:rsid w:val="008D3B33"/>
    <w:rsid w:val="008D4703"/>
    <w:rsid w:val="008D659E"/>
    <w:rsid w:val="008D6656"/>
    <w:rsid w:val="008E2B3A"/>
    <w:rsid w:val="008E3EF5"/>
    <w:rsid w:val="008E4DC6"/>
    <w:rsid w:val="008E5DFF"/>
    <w:rsid w:val="008E6B14"/>
    <w:rsid w:val="008E6FC3"/>
    <w:rsid w:val="008F0A00"/>
    <w:rsid w:val="008F0EEB"/>
    <w:rsid w:val="008F1F04"/>
    <w:rsid w:val="008F2C24"/>
    <w:rsid w:val="008F48A5"/>
    <w:rsid w:val="008F4B28"/>
    <w:rsid w:val="008F5FAF"/>
    <w:rsid w:val="008F74C2"/>
    <w:rsid w:val="008F7CEE"/>
    <w:rsid w:val="00900E6C"/>
    <w:rsid w:val="00900E6F"/>
    <w:rsid w:val="00901C53"/>
    <w:rsid w:val="00902767"/>
    <w:rsid w:val="00902BB7"/>
    <w:rsid w:val="009048BF"/>
    <w:rsid w:val="00911E06"/>
    <w:rsid w:val="009124E7"/>
    <w:rsid w:val="00912F15"/>
    <w:rsid w:val="00916658"/>
    <w:rsid w:val="00916674"/>
    <w:rsid w:val="00916D23"/>
    <w:rsid w:val="0091768B"/>
    <w:rsid w:val="00921B62"/>
    <w:rsid w:val="00922AA7"/>
    <w:rsid w:val="00922C6F"/>
    <w:rsid w:val="00922D6B"/>
    <w:rsid w:val="00923155"/>
    <w:rsid w:val="00925391"/>
    <w:rsid w:val="009254E0"/>
    <w:rsid w:val="00925CEA"/>
    <w:rsid w:val="00927A0F"/>
    <w:rsid w:val="00927A30"/>
    <w:rsid w:val="00927DC6"/>
    <w:rsid w:val="0093123F"/>
    <w:rsid w:val="00931E55"/>
    <w:rsid w:val="00931E9D"/>
    <w:rsid w:val="009328B3"/>
    <w:rsid w:val="00934B86"/>
    <w:rsid w:val="00936A54"/>
    <w:rsid w:val="00937543"/>
    <w:rsid w:val="00937AC9"/>
    <w:rsid w:val="00940165"/>
    <w:rsid w:val="009409E4"/>
    <w:rsid w:val="00940B0E"/>
    <w:rsid w:val="00940F81"/>
    <w:rsid w:val="00941552"/>
    <w:rsid w:val="009429A4"/>
    <w:rsid w:val="00942B82"/>
    <w:rsid w:val="0094321E"/>
    <w:rsid w:val="00943C5A"/>
    <w:rsid w:val="00944273"/>
    <w:rsid w:val="00944C1D"/>
    <w:rsid w:val="00945D12"/>
    <w:rsid w:val="00946AF5"/>
    <w:rsid w:val="0095227C"/>
    <w:rsid w:val="009523A7"/>
    <w:rsid w:val="009523F2"/>
    <w:rsid w:val="00953FB7"/>
    <w:rsid w:val="009551C5"/>
    <w:rsid w:val="00956636"/>
    <w:rsid w:val="00961FE9"/>
    <w:rsid w:val="009620C0"/>
    <w:rsid w:val="009628DB"/>
    <w:rsid w:val="00962BB9"/>
    <w:rsid w:val="00963312"/>
    <w:rsid w:val="0096386A"/>
    <w:rsid w:val="0096508A"/>
    <w:rsid w:val="00965ABF"/>
    <w:rsid w:val="00971823"/>
    <w:rsid w:val="00971A41"/>
    <w:rsid w:val="00975BE8"/>
    <w:rsid w:val="00976A58"/>
    <w:rsid w:val="00977AA1"/>
    <w:rsid w:val="00980058"/>
    <w:rsid w:val="00982445"/>
    <w:rsid w:val="00982777"/>
    <w:rsid w:val="00982C40"/>
    <w:rsid w:val="0098375D"/>
    <w:rsid w:val="00986137"/>
    <w:rsid w:val="00986389"/>
    <w:rsid w:val="009872CD"/>
    <w:rsid w:val="00987A8B"/>
    <w:rsid w:val="00987C8D"/>
    <w:rsid w:val="00990A46"/>
    <w:rsid w:val="00990AB9"/>
    <w:rsid w:val="009912BB"/>
    <w:rsid w:val="009920E2"/>
    <w:rsid w:val="00992702"/>
    <w:rsid w:val="00994217"/>
    <w:rsid w:val="00994618"/>
    <w:rsid w:val="00996B9F"/>
    <w:rsid w:val="00996CD5"/>
    <w:rsid w:val="00997E71"/>
    <w:rsid w:val="009A09EC"/>
    <w:rsid w:val="009A0E02"/>
    <w:rsid w:val="009A151F"/>
    <w:rsid w:val="009A24BC"/>
    <w:rsid w:val="009A442C"/>
    <w:rsid w:val="009A5C07"/>
    <w:rsid w:val="009A6AF8"/>
    <w:rsid w:val="009A7ED7"/>
    <w:rsid w:val="009A7EF0"/>
    <w:rsid w:val="009B2A92"/>
    <w:rsid w:val="009B3C05"/>
    <w:rsid w:val="009B46F6"/>
    <w:rsid w:val="009B5CB4"/>
    <w:rsid w:val="009B5E96"/>
    <w:rsid w:val="009B76F3"/>
    <w:rsid w:val="009B7753"/>
    <w:rsid w:val="009C2087"/>
    <w:rsid w:val="009C24FF"/>
    <w:rsid w:val="009C2DE1"/>
    <w:rsid w:val="009C3712"/>
    <w:rsid w:val="009C3901"/>
    <w:rsid w:val="009C3BA8"/>
    <w:rsid w:val="009C3C64"/>
    <w:rsid w:val="009C66BD"/>
    <w:rsid w:val="009D040F"/>
    <w:rsid w:val="009D043F"/>
    <w:rsid w:val="009D090E"/>
    <w:rsid w:val="009D1603"/>
    <w:rsid w:val="009D1FF1"/>
    <w:rsid w:val="009D23AF"/>
    <w:rsid w:val="009D2F92"/>
    <w:rsid w:val="009D4058"/>
    <w:rsid w:val="009D4B0D"/>
    <w:rsid w:val="009D57EC"/>
    <w:rsid w:val="009D5839"/>
    <w:rsid w:val="009D5AD5"/>
    <w:rsid w:val="009D607F"/>
    <w:rsid w:val="009D640D"/>
    <w:rsid w:val="009D6EDD"/>
    <w:rsid w:val="009D75E4"/>
    <w:rsid w:val="009D7CC1"/>
    <w:rsid w:val="009D7EC1"/>
    <w:rsid w:val="009E0CD5"/>
    <w:rsid w:val="009E107C"/>
    <w:rsid w:val="009E1340"/>
    <w:rsid w:val="009E1EB9"/>
    <w:rsid w:val="009E25DF"/>
    <w:rsid w:val="009E33E8"/>
    <w:rsid w:val="009E3400"/>
    <w:rsid w:val="009E39DB"/>
    <w:rsid w:val="009E3F6A"/>
    <w:rsid w:val="009E40F8"/>
    <w:rsid w:val="009E5EDB"/>
    <w:rsid w:val="009F04E6"/>
    <w:rsid w:val="009F06DE"/>
    <w:rsid w:val="009F1184"/>
    <w:rsid w:val="009F1E00"/>
    <w:rsid w:val="009F3011"/>
    <w:rsid w:val="009F45ED"/>
    <w:rsid w:val="00A02D1A"/>
    <w:rsid w:val="00A03078"/>
    <w:rsid w:val="00A0627A"/>
    <w:rsid w:val="00A10781"/>
    <w:rsid w:val="00A10C30"/>
    <w:rsid w:val="00A12B93"/>
    <w:rsid w:val="00A12BD8"/>
    <w:rsid w:val="00A15F64"/>
    <w:rsid w:val="00A227AA"/>
    <w:rsid w:val="00A233E0"/>
    <w:rsid w:val="00A24F5B"/>
    <w:rsid w:val="00A26353"/>
    <w:rsid w:val="00A266EE"/>
    <w:rsid w:val="00A26E89"/>
    <w:rsid w:val="00A274B4"/>
    <w:rsid w:val="00A27E5C"/>
    <w:rsid w:val="00A306EB"/>
    <w:rsid w:val="00A31484"/>
    <w:rsid w:val="00A31A25"/>
    <w:rsid w:val="00A352DB"/>
    <w:rsid w:val="00A358CC"/>
    <w:rsid w:val="00A35BC3"/>
    <w:rsid w:val="00A35F5B"/>
    <w:rsid w:val="00A361CE"/>
    <w:rsid w:val="00A45770"/>
    <w:rsid w:val="00A45865"/>
    <w:rsid w:val="00A5226D"/>
    <w:rsid w:val="00A53BD4"/>
    <w:rsid w:val="00A53C9A"/>
    <w:rsid w:val="00A54598"/>
    <w:rsid w:val="00A554E0"/>
    <w:rsid w:val="00A55764"/>
    <w:rsid w:val="00A56C84"/>
    <w:rsid w:val="00A60384"/>
    <w:rsid w:val="00A6282F"/>
    <w:rsid w:val="00A62AFA"/>
    <w:rsid w:val="00A64B54"/>
    <w:rsid w:val="00A67FC6"/>
    <w:rsid w:val="00A68791"/>
    <w:rsid w:val="00A70FBA"/>
    <w:rsid w:val="00A71397"/>
    <w:rsid w:val="00A71F84"/>
    <w:rsid w:val="00A72623"/>
    <w:rsid w:val="00A768D2"/>
    <w:rsid w:val="00A80A27"/>
    <w:rsid w:val="00A816BC"/>
    <w:rsid w:val="00A82647"/>
    <w:rsid w:val="00A82955"/>
    <w:rsid w:val="00A8542E"/>
    <w:rsid w:val="00A8593A"/>
    <w:rsid w:val="00A9188B"/>
    <w:rsid w:val="00A91EFC"/>
    <w:rsid w:val="00A955EC"/>
    <w:rsid w:val="00A9734E"/>
    <w:rsid w:val="00A975AC"/>
    <w:rsid w:val="00A97EE9"/>
    <w:rsid w:val="00AA26C8"/>
    <w:rsid w:val="00AA2AE3"/>
    <w:rsid w:val="00AA3857"/>
    <w:rsid w:val="00AA4A5E"/>
    <w:rsid w:val="00AA4F24"/>
    <w:rsid w:val="00AA5BD7"/>
    <w:rsid w:val="00AA67A0"/>
    <w:rsid w:val="00AA74E9"/>
    <w:rsid w:val="00AB58D2"/>
    <w:rsid w:val="00AC105E"/>
    <w:rsid w:val="00AC1131"/>
    <w:rsid w:val="00AC1AC4"/>
    <w:rsid w:val="00AC4173"/>
    <w:rsid w:val="00AC5472"/>
    <w:rsid w:val="00AD15AC"/>
    <w:rsid w:val="00AD1B66"/>
    <w:rsid w:val="00AD1CFF"/>
    <w:rsid w:val="00AD2447"/>
    <w:rsid w:val="00AD3F78"/>
    <w:rsid w:val="00AD46F7"/>
    <w:rsid w:val="00AE026A"/>
    <w:rsid w:val="00AE1346"/>
    <w:rsid w:val="00AE2594"/>
    <w:rsid w:val="00AE274D"/>
    <w:rsid w:val="00AE3624"/>
    <w:rsid w:val="00AE3760"/>
    <w:rsid w:val="00AE3894"/>
    <w:rsid w:val="00AE3F7E"/>
    <w:rsid w:val="00AE63B1"/>
    <w:rsid w:val="00AE70A5"/>
    <w:rsid w:val="00AE7A5F"/>
    <w:rsid w:val="00AE7BE7"/>
    <w:rsid w:val="00AE7FC5"/>
    <w:rsid w:val="00AF2486"/>
    <w:rsid w:val="00AF24FA"/>
    <w:rsid w:val="00AF3D20"/>
    <w:rsid w:val="00AF4218"/>
    <w:rsid w:val="00AF676E"/>
    <w:rsid w:val="00AF6F5C"/>
    <w:rsid w:val="00B027C5"/>
    <w:rsid w:val="00B02874"/>
    <w:rsid w:val="00B02AB5"/>
    <w:rsid w:val="00B044B2"/>
    <w:rsid w:val="00B04655"/>
    <w:rsid w:val="00B04A5C"/>
    <w:rsid w:val="00B06750"/>
    <w:rsid w:val="00B07337"/>
    <w:rsid w:val="00B11B2A"/>
    <w:rsid w:val="00B13545"/>
    <w:rsid w:val="00B13DEC"/>
    <w:rsid w:val="00B15AEE"/>
    <w:rsid w:val="00B15B9E"/>
    <w:rsid w:val="00B222EC"/>
    <w:rsid w:val="00B22810"/>
    <w:rsid w:val="00B22F84"/>
    <w:rsid w:val="00B2326A"/>
    <w:rsid w:val="00B23E0D"/>
    <w:rsid w:val="00B24852"/>
    <w:rsid w:val="00B26757"/>
    <w:rsid w:val="00B31C31"/>
    <w:rsid w:val="00B37C28"/>
    <w:rsid w:val="00B400AE"/>
    <w:rsid w:val="00B434D7"/>
    <w:rsid w:val="00B45BEF"/>
    <w:rsid w:val="00B47058"/>
    <w:rsid w:val="00B5068E"/>
    <w:rsid w:val="00B51024"/>
    <w:rsid w:val="00B524A9"/>
    <w:rsid w:val="00B603E4"/>
    <w:rsid w:val="00B62988"/>
    <w:rsid w:val="00B6361B"/>
    <w:rsid w:val="00B63B97"/>
    <w:rsid w:val="00B65237"/>
    <w:rsid w:val="00B666CD"/>
    <w:rsid w:val="00B67894"/>
    <w:rsid w:val="00B72371"/>
    <w:rsid w:val="00B737EF"/>
    <w:rsid w:val="00B74D25"/>
    <w:rsid w:val="00B7519D"/>
    <w:rsid w:val="00B77C81"/>
    <w:rsid w:val="00B80F76"/>
    <w:rsid w:val="00B818B8"/>
    <w:rsid w:val="00B81A2E"/>
    <w:rsid w:val="00B82E99"/>
    <w:rsid w:val="00B83587"/>
    <w:rsid w:val="00B8407F"/>
    <w:rsid w:val="00B8491D"/>
    <w:rsid w:val="00B85B34"/>
    <w:rsid w:val="00B8742C"/>
    <w:rsid w:val="00B90437"/>
    <w:rsid w:val="00B92005"/>
    <w:rsid w:val="00B92284"/>
    <w:rsid w:val="00B9379D"/>
    <w:rsid w:val="00B93F50"/>
    <w:rsid w:val="00B9424F"/>
    <w:rsid w:val="00B9504D"/>
    <w:rsid w:val="00B957FA"/>
    <w:rsid w:val="00B95BD0"/>
    <w:rsid w:val="00B9602F"/>
    <w:rsid w:val="00BA1A18"/>
    <w:rsid w:val="00BA45E6"/>
    <w:rsid w:val="00BA5E6F"/>
    <w:rsid w:val="00BB045A"/>
    <w:rsid w:val="00BB0D04"/>
    <w:rsid w:val="00BB29FA"/>
    <w:rsid w:val="00BB2B15"/>
    <w:rsid w:val="00BB3410"/>
    <w:rsid w:val="00BB432F"/>
    <w:rsid w:val="00BB49A7"/>
    <w:rsid w:val="00BB49C0"/>
    <w:rsid w:val="00BB6F4C"/>
    <w:rsid w:val="00BB6FB5"/>
    <w:rsid w:val="00BB753F"/>
    <w:rsid w:val="00BB7977"/>
    <w:rsid w:val="00BB7DA0"/>
    <w:rsid w:val="00BB7FF2"/>
    <w:rsid w:val="00BC0B1A"/>
    <w:rsid w:val="00BC1522"/>
    <w:rsid w:val="00BC1BF0"/>
    <w:rsid w:val="00BC3541"/>
    <w:rsid w:val="00BC3DD2"/>
    <w:rsid w:val="00BD1299"/>
    <w:rsid w:val="00BD12E4"/>
    <w:rsid w:val="00BD6B16"/>
    <w:rsid w:val="00BE03A9"/>
    <w:rsid w:val="00BE12E1"/>
    <w:rsid w:val="00BE1B26"/>
    <w:rsid w:val="00BE1F44"/>
    <w:rsid w:val="00BE3D6F"/>
    <w:rsid w:val="00BE4548"/>
    <w:rsid w:val="00BE46F3"/>
    <w:rsid w:val="00BE53BF"/>
    <w:rsid w:val="00BE63D7"/>
    <w:rsid w:val="00BE63F6"/>
    <w:rsid w:val="00BF0CAD"/>
    <w:rsid w:val="00BF2700"/>
    <w:rsid w:val="00BF2A34"/>
    <w:rsid w:val="00BF2DF6"/>
    <w:rsid w:val="00BF5699"/>
    <w:rsid w:val="00BF6721"/>
    <w:rsid w:val="00BF6C47"/>
    <w:rsid w:val="00C02206"/>
    <w:rsid w:val="00C02D9A"/>
    <w:rsid w:val="00C033E9"/>
    <w:rsid w:val="00C0389F"/>
    <w:rsid w:val="00C04326"/>
    <w:rsid w:val="00C046AD"/>
    <w:rsid w:val="00C054E3"/>
    <w:rsid w:val="00C066B7"/>
    <w:rsid w:val="00C07AAE"/>
    <w:rsid w:val="00C07D74"/>
    <w:rsid w:val="00C11ED5"/>
    <w:rsid w:val="00C13B84"/>
    <w:rsid w:val="00C14B7B"/>
    <w:rsid w:val="00C14D9D"/>
    <w:rsid w:val="00C1628D"/>
    <w:rsid w:val="00C20372"/>
    <w:rsid w:val="00C2356F"/>
    <w:rsid w:val="00C24C10"/>
    <w:rsid w:val="00C24C6C"/>
    <w:rsid w:val="00C255E3"/>
    <w:rsid w:val="00C25A7A"/>
    <w:rsid w:val="00C2600C"/>
    <w:rsid w:val="00C26DDC"/>
    <w:rsid w:val="00C27150"/>
    <w:rsid w:val="00C30469"/>
    <w:rsid w:val="00C3183C"/>
    <w:rsid w:val="00C32359"/>
    <w:rsid w:val="00C32D5B"/>
    <w:rsid w:val="00C33E98"/>
    <w:rsid w:val="00C347F1"/>
    <w:rsid w:val="00C34842"/>
    <w:rsid w:val="00C36AEE"/>
    <w:rsid w:val="00C36E61"/>
    <w:rsid w:val="00C375CA"/>
    <w:rsid w:val="00C4086C"/>
    <w:rsid w:val="00C4298A"/>
    <w:rsid w:val="00C42F7B"/>
    <w:rsid w:val="00C441E0"/>
    <w:rsid w:val="00C44A9E"/>
    <w:rsid w:val="00C457F1"/>
    <w:rsid w:val="00C45979"/>
    <w:rsid w:val="00C47AFE"/>
    <w:rsid w:val="00C51D4B"/>
    <w:rsid w:val="00C538F7"/>
    <w:rsid w:val="00C541C4"/>
    <w:rsid w:val="00C546F3"/>
    <w:rsid w:val="00C54E17"/>
    <w:rsid w:val="00C54FDB"/>
    <w:rsid w:val="00C573BC"/>
    <w:rsid w:val="00C60DDA"/>
    <w:rsid w:val="00C613DC"/>
    <w:rsid w:val="00C620F0"/>
    <w:rsid w:val="00C6228D"/>
    <w:rsid w:val="00C63846"/>
    <w:rsid w:val="00C67D9C"/>
    <w:rsid w:val="00C706D7"/>
    <w:rsid w:val="00C72590"/>
    <w:rsid w:val="00C72CCD"/>
    <w:rsid w:val="00C72F66"/>
    <w:rsid w:val="00C733F7"/>
    <w:rsid w:val="00C754FD"/>
    <w:rsid w:val="00C76FDB"/>
    <w:rsid w:val="00C80081"/>
    <w:rsid w:val="00C80E50"/>
    <w:rsid w:val="00C81982"/>
    <w:rsid w:val="00C81E8A"/>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97FAA"/>
    <w:rsid w:val="00CA1890"/>
    <w:rsid w:val="00CA27B9"/>
    <w:rsid w:val="00CA32FE"/>
    <w:rsid w:val="00CA4137"/>
    <w:rsid w:val="00CA57F9"/>
    <w:rsid w:val="00CA5AE4"/>
    <w:rsid w:val="00CA6D14"/>
    <w:rsid w:val="00CA7D74"/>
    <w:rsid w:val="00CB02A1"/>
    <w:rsid w:val="00CB038B"/>
    <w:rsid w:val="00CB1797"/>
    <w:rsid w:val="00CB4B04"/>
    <w:rsid w:val="00CB6AD7"/>
    <w:rsid w:val="00CC03C4"/>
    <w:rsid w:val="00CC2643"/>
    <w:rsid w:val="00CC2C0B"/>
    <w:rsid w:val="00CC338D"/>
    <w:rsid w:val="00CC3C26"/>
    <w:rsid w:val="00CC43C3"/>
    <w:rsid w:val="00CC43C5"/>
    <w:rsid w:val="00CC43CD"/>
    <w:rsid w:val="00CC4618"/>
    <w:rsid w:val="00CD0C06"/>
    <w:rsid w:val="00CD1614"/>
    <w:rsid w:val="00CD1836"/>
    <w:rsid w:val="00CD1FF2"/>
    <w:rsid w:val="00CD206D"/>
    <w:rsid w:val="00CD275E"/>
    <w:rsid w:val="00CD2EF7"/>
    <w:rsid w:val="00CD38AB"/>
    <w:rsid w:val="00CD4100"/>
    <w:rsid w:val="00CD4338"/>
    <w:rsid w:val="00CD4809"/>
    <w:rsid w:val="00CD5A92"/>
    <w:rsid w:val="00CE0942"/>
    <w:rsid w:val="00CE1EF9"/>
    <w:rsid w:val="00CE2CB1"/>
    <w:rsid w:val="00CE3ACF"/>
    <w:rsid w:val="00CE4292"/>
    <w:rsid w:val="00CE4DEB"/>
    <w:rsid w:val="00CE4F47"/>
    <w:rsid w:val="00CE5752"/>
    <w:rsid w:val="00CE6F2D"/>
    <w:rsid w:val="00CF23B4"/>
    <w:rsid w:val="00CF242E"/>
    <w:rsid w:val="00CF413A"/>
    <w:rsid w:val="00CF4631"/>
    <w:rsid w:val="00CF495D"/>
    <w:rsid w:val="00CF5A3C"/>
    <w:rsid w:val="00CF5EFF"/>
    <w:rsid w:val="00D00106"/>
    <w:rsid w:val="00D00D33"/>
    <w:rsid w:val="00D01A8F"/>
    <w:rsid w:val="00D04072"/>
    <w:rsid w:val="00D043F3"/>
    <w:rsid w:val="00D10B82"/>
    <w:rsid w:val="00D12D20"/>
    <w:rsid w:val="00D14A68"/>
    <w:rsid w:val="00D163B0"/>
    <w:rsid w:val="00D17BB9"/>
    <w:rsid w:val="00D210DB"/>
    <w:rsid w:val="00D225E2"/>
    <w:rsid w:val="00D234AD"/>
    <w:rsid w:val="00D24AC0"/>
    <w:rsid w:val="00D26124"/>
    <w:rsid w:val="00D31DCE"/>
    <w:rsid w:val="00D33817"/>
    <w:rsid w:val="00D36464"/>
    <w:rsid w:val="00D37D03"/>
    <w:rsid w:val="00D37D3F"/>
    <w:rsid w:val="00D414EB"/>
    <w:rsid w:val="00D4260C"/>
    <w:rsid w:val="00D43278"/>
    <w:rsid w:val="00D432B7"/>
    <w:rsid w:val="00D437E5"/>
    <w:rsid w:val="00D4483E"/>
    <w:rsid w:val="00D4591C"/>
    <w:rsid w:val="00D45C8A"/>
    <w:rsid w:val="00D47C16"/>
    <w:rsid w:val="00D47C2B"/>
    <w:rsid w:val="00D47CB3"/>
    <w:rsid w:val="00D50960"/>
    <w:rsid w:val="00D50C3C"/>
    <w:rsid w:val="00D51356"/>
    <w:rsid w:val="00D517F0"/>
    <w:rsid w:val="00D5260D"/>
    <w:rsid w:val="00D54334"/>
    <w:rsid w:val="00D544EC"/>
    <w:rsid w:val="00D55926"/>
    <w:rsid w:val="00D55EB1"/>
    <w:rsid w:val="00D57716"/>
    <w:rsid w:val="00D61EDC"/>
    <w:rsid w:val="00D64254"/>
    <w:rsid w:val="00D71532"/>
    <w:rsid w:val="00D73509"/>
    <w:rsid w:val="00D73DBE"/>
    <w:rsid w:val="00D73E09"/>
    <w:rsid w:val="00D74290"/>
    <w:rsid w:val="00D74D4B"/>
    <w:rsid w:val="00D76DB3"/>
    <w:rsid w:val="00D77C8D"/>
    <w:rsid w:val="00D87764"/>
    <w:rsid w:val="00D90653"/>
    <w:rsid w:val="00D92ED6"/>
    <w:rsid w:val="00D9599C"/>
    <w:rsid w:val="00DA4019"/>
    <w:rsid w:val="00DA4E0C"/>
    <w:rsid w:val="00DA53F8"/>
    <w:rsid w:val="00DA56A6"/>
    <w:rsid w:val="00DA5E22"/>
    <w:rsid w:val="00DA7843"/>
    <w:rsid w:val="00DA7E80"/>
    <w:rsid w:val="00DB0E66"/>
    <w:rsid w:val="00DB13CB"/>
    <w:rsid w:val="00DB523F"/>
    <w:rsid w:val="00DB52E0"/>
    <w:rsid w:val="00DB5E95"/>
    <w:rsid w:val="00DB6062"/>
    <w:rsid w:val="00DB7775"/>
    <w:rsid w:val="00DB799B"/>
    <w:rsid w:val="00DC1889"/>
    <w:rsid w:val="00DC1EEC"/>
    <w:rsid w:val="00DC2D99"/>
    <w:rsid w:val="00DC57CD"/>
    <w:rsid w:val="00DC6593"/>
    <w:rsid w:val="00DD2682"/>
    <w:rsid w:val="00DD35B0"/>
    <w:rsid w:val="00DD4E7A"/>
    <w:rsid w:val="00DD6533"/>
    <w:rsid w:val="00DD718B"/>
    <w:rsid w:val="00DE15D8"/>
    <w:rsid w:val="00DE26D9"/>
    <w:rsid w:val="00DE3DF8"/>
    <w:rsid w:val="00DE4BC3"/>
    <w:rsid w:val="00DE4E0C"/>
    <w:rsid w:val="00DE50FF"/>
    <w:rsid w:val="00DE5FD4"/>
    <w:rsid w:val="00DE60DC"/>
    <w:rsid w:val="00DE68CB"/>
    <w:rsid w:val="00DF0955"/>
    <w:rsid w:val="00DF3AA1"/>
    <w:rsid w:val="00DF4973"/>
    <w:rsid w:val="00DF6030"/>
    <w:rsid w:val="00DF7E5D"/>
    <w:rsid w:val="00E00589"/>
    <w:rsid w:val="00E0220E"/>
    <w:rsid w:val="00E034D9"/>
    <w:rsid w:val="00E03FC8"/>
    <w:rsid w:val="00E04947"/>
    <w:rsid w:val="00E076DF"/>
    <w:rsid w:val="00E10927"/>
    <w:rsid w:val="00E1154E"/>
    <w:rsid w:val="00E128B1"/>
    <w:rsid w:val="00E14467"/>
    <w:rsid w:val="00E14BF3"/>
    <w:rsid w:val="00E16410"/>
    <w:rsid w:val="00E205A3"/>
    <w:rsid w:val="00E2389F"/>
    <w:rsid w:val="00E25157"/>
    <w:rsid w:val="00E27F78"/>
    <w:rsid w:val="00E30153"/>
    <w:rsid w:val="00E30F8E"/>
    <w:rsid w:val="00E3122D"/>
    <w:rsid w:val="00E33FC1"/>
    <w:rsid w:val="00E3518D"/>
    <w:rsid w:val="00E35BF8"/>
    <w:rsid w:val="00E37A2B"/>
    <w:rsid w:val="00E40D81"/>
    <w:rsid w:val="00E41F7F"/>
    <w:rsid w:val="00E42EA6"/>
    <w:rsid w:val="00E439D8"/>
    <w:rsid w:val="00E463E4"/>
    <w:rsid w:val="00E47562"/>
    <w:rsid w:val="00E50CD6"/>
    <w:rsid w:val="00E5222A"/>
    <w:rsid w:val="00E5311D"/>
    <w:rsid w:val="00E54B97"/>
    <w:rsid w:val="00E55F68"/>
    <w:rsid w:val="00E604E8"/>
    <w:rsid w:val="00E611AC"/>
    <w:rsid w:val="00E63258"/>
    <w:rsid w:val="00E63B7C"/>
    <w:rsid w:val="00E64357"/>
    <w:rsid w:val="00E64889"/>
    <w:rsid w:val="00E64935"/>
    <w:rsid w:val="00E64F9E"/>
    <w:rsid w:val="00E65E9F"/>
    <w:rsid w:val="00E663AF"/>
    <w:rsid w:val="00E670BB"/>
    <w:rsid w:val="00E6714A"/>
    <w:rsid w:val="00E671A5"/>
    <w:rsid w:val="00E67AA0"/>
    <w:rsid w:val="00E70167"/>
    <w:rsid w:val="00E705EC"/>
    <w:rsid w:val="00E71E8B"/>
    <w:rsid w:val="00E72DB0"/>
    <w:rsid w:val="00E73765"/>
    <w:rsid w:val="00E73E81"/>
    <w:rsid w:val="00E74511"/>
    <w:rsid w:val="00E75438"/>
    <w:rsid w:val="00E75DBD"/>
    <w:rsid w:val="00E777B0"/>
    <w:rsid w:val="00E77E40"/>
    <w:rsid w:val="00E815E1"/>
    <w:rsid w:val="00E833F8"/>
    <w:rsid w:val="00E83D5C"/>
    <w:rsid w:val="00E85622"/>
    <w:rsid w:val="00E87F99"/>
    <w:rsid w:val="00E87FCD"/>
    <w:rsid w:val="00E91C6A"/>
    <w:rsid w:val="00E94E34"/>
    <w:rsid w:val="00E957A4"/>
    <w:rsid w:val="00E97093"/>
    <w:rsid w:val="00EA0CF2"/>
    <w:rsid w:val="00EA0D20"/>
    <w:rsid w:val="00EA1F47"/>
    <w:rsid w:val="00EA3AE4"/>
    <w:rsid w:val="00EA4A33"/>
    <w:rsid w:val="00EA58E6"/>
    <w:rsid w:val="00EA5D83"/>
    <w:rsid w:val="00EA6184"/>
    <w:rsid w:val="00EA6BDC"/>
    <w:rsid w:val="00EB00A2"/>
    <w:rsid w:val="00EB0A8E"/>
    <w:rsid w:val="00EB0C83"/>
    <w:rsid w:val="00EB1912"/>
    <w:rsid w:val="00EB1C08"/>
    <w:rsid w:val="00EB2A3A"/>
    <w:rsid w:val="00EB34A6"/>
    <w:rsid w:val="00EB4C2F"/>
    <w:rsid w:val="00EB7EC4"/>
    <w:rsid w:val="00EC04E3"/>
    <w:rsid w:val="00EC0D68"/>
    <w:rsid w:val="00EC1141"/>
    <w:rsid w:val="00EC11F9"/>
    <w:rsid w:val="00EC122D"/>
    <w:rsid w:val="00EC1979"/>
    <w:rsid w:val="00EC1EAB"/>
    <w:rsid w:val="00EC230D"/>
    <w:rsid w:val="00EC4BF5"/>
    <w:rsid w:val="00EC5598"/>
    <w:rsid w:val="00EC6B27"/>
    <w:rsid w:val="00EC700B"/>
    <w:rsid w:val="00EC7AEE"/>
    <w:rsid w:val="00ED0082"/>
    <w:rsid w:val="00ED1842"/>
    <w:rsid w:val="00ED1C59"/>
    <w:rsid w:val="00ED1FB9"/>
    <w:rsid w:val="00ED2C2E"/>
    <w:rsid w:val="00ED31BD"/>
    <w:rsid w:val="00ED3C90"/>
    <w:rsid w:val="00ED4385"/>
    <w:rsid w:val="00ED44A3"/>
    <w:rsid w:val="00ED57A4"/>
    <w:rsid w:val="00ED6496"/>
    <w:rsid w:val="00EE038B"/>
    <w:rsid w:val="00EE2072"/>
    <w:rsid w:val="00EE2403"/>
    <w:rsid w:val="00EE2B2F"/>
    <w:rsid w:val="00EE5AC9"/>
    <w:rsid w:val="00EE68B7"/>
    <w:rsid w:val="00EE7609"/>
    <w:rsid w:val="00EE782C"/>
    <w:rsid w:val="00EF2E9D"/>
    <w:rsid w:val="00EF3B34"/>
    <w:rsid w:val="00EF71E8"/>
    <w:rsid w:val="00EF7A31"/>
    <w:rsid w:val="00EF7B2E"/>
    <w:rsid w:val="00EF7D9F"/>
    <w:rsid w:val="00F0015C"/>
    <w:rsid w:val="00F02003"/>
    <w:rsid w:val="00F0667A"/>
    <w:rsid w:val="00F0705E"/>
    <w:rsid w:val="00F071BE"/>
    <w:rsid w:val="00F10CF0"/>
    <w:rsid w:val="00F13098"/>
    <w:rsid w:val="00F13918"/>
    <w:rsid w:val="00F15CFE"/>
    <w:rsid w:val="00F171C6"/>
    <w:rsid w:val="00F1773A"/>
    <w:rsid w:val="00F17AC5"/>
    <w:rsid w:val="00F17E88"/>
    <w:rsid w:val="00F17F8C"/>
    <w:rsid w:val="00F20097"/>
    <w:rsid w:val="00F2237E"/>
    <w:rsid w:val="00F229AC"/>
    <w:rsid w:val="00F252CD"/>
    <w:rsid w:val="00F2554C"/>
    <w:rsid w:val="00F27BD2"/>
    <w:rsid w:val="00F3030A"/>
    <w:rsid w:val="00F31DEE"/>
    <w:rsid w:val="00F32BF6"/>
    <w:rsid w:val="00F33388"/>
    <w:rsid w:val="00F33B4D"/>
    <w:rsid w:val="00F33E4D"/>
    <w:rsid w:val="00F34178"/>
    <w:rsid w:val="00F34BCA"/>
    <w:rsid w:val="00F36723"/>
    <w:rsid w:val="00F37D13"/>
    <w:rsid w:val="00F405E9"/>
    <w:rsid w:val="00F42EA6"/>
    <w:rsid w:val="00F43533"/>
    <w:rsid w:val="00F440BC"/>
    <w:rsid w:val="00F462DB"/>
    <w:rsid w:val="00F47EAC"/>
    <w:rsid w:val="00F5019F"/>
    <w:rsid w:val="00F50C29"/>
    <w:rsid w:val="00F51F05"/>
    <w:rsid w:val="00F532D6"/>
    <w:rsid w:val="00F56114"/>
    <w:rsid w:val="00F573CC"/>
    <w:rsid w:val="00F57EAD"/>
    <w:rsid w:val="00F601B4"/>
    <w:rsid w:val="00F613DA"/>
    <w:rsid w:val="00F62C65"/>
    <w:rsid w:val="00F63290"/>
    <w:rsid w:val="00F652A6"/>
    <w:rsid w:val="00F66728"/>
    <w:rsid w:val="00F67649"/>
    <w:rsid w:val="00F67B5E"/>
    <w:rsid w:val="00F67C9A"/>
    <w:rsid w:val="00F7072E"/>
    <w:rsid w:val="00F71C27"/>
    <w:rsid w:val="00F7283C"/>
    <w:rsid w:val="00F741CB"/>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4728"/>
    <w:rsid w:val="00F95973"/>
    <w:rsid w:val="00FA0F0D"/>
    <w:rsid w:val="00FA243A"/>
    <w:rsid w:val="00FA4C93"/>
    <w:rsid w:val="00FA5FC1"/>
    <w:rsid w:val="00FA7931"/>
    <w:rsid w:val="00FB012C"/>
    <w:rsid w:val="00FB2200"/>
    <w:rsid w:val="00FB28AA"/>
    <w:rsid w:val="00FB37E2"/>
    <w:rsid w:val="00FB38ED"/>
    <w:rsid w:val="00FB5BD9"/>
    <w:rsid w:val="00FB6E02"/>
    <w:rsid w:val="00FB72D9"/>
    <w:rsid w:val="00FB7E9F"/>
    <w:rsid w:val="00FC02BD"/>
    <w:rsid w:val="00FC0F42"/>
    <w:rsid w:val="00FC2365"/>
    <w:rsid w:val="00FC4CC6"/>
    <w:rsid w:val="00FC4FBB"/>
    <w:rsid w:val="00FC53C7"/>
    <w:rsid w:val="00FC601F"/>
    <w:rsid w:val="00FC6545"/>
    <w:rsid w:val="00FC7E37"/>
    <w:rsid w:val="00FD0324"/>
    <w:rsid w:val="00FD071A"/>
    <w:rsid w:val="00FD0D81"/>
    <w:rsid w:val="00FD3EF8"/>
    <w:rsid w:val="00FD54EB"/>
    <w:rsid w:val="00FD7196"/>
    <w:rsid w:val="00FE090D"/>
    <w:rsid w:val="00FE0BEA"/>
    <w:rsid w:val="00FE0D6A"/>
    <w:rsid w:val="00FE1682"/>
    <w:rsid w:val="00FE2C1F"/>
    <w:rsid w:val="00FE4665"/>
    <w:rsid w:val="00FE539F"/>
    <w:rsid w:val="00FF04B1"/>
    <w:rsid w:val="00FF0CC3"/>
    <w:rsid w:val="00FF0DE8"/>
    <w:rsid w:val="00FF11A9"/>
    <w:rsid w:val="00FF165F"/>
    <w:rsid w:val="00FF16DB"/>
    <w:rsid w:val="00FF3DDF"/>
    <w:rsid w:val="00FF4B69"/>
    <w:rsid w:val="00FF5265"/>
    <w:rsid w:val="00FF55F1"/>
    <w:rsid w:val="00FF6FC8"/>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4C791E6"/>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29A87"/>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5E80BA"/>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DBF0A0"/>
    <w:rsid w:val="4BE53EA6"/>
    <w:rsid w:val="4C04BBF2"/>
    <w:rsid w:val="4C270B2A"/>
    <w:rsid w:val="4C5807F8"/>
    <w:rsid w:val="4C929F63"/>
    <w:rsid w:val="4CA5DD10"/>
    <w:rsid w:val="4CD146E4"/>
    <w:rsid w:val="4D24F240"/>
    <w:rsid w:val="4D857A98"/>
    <w:rsid w:val="4DA32AA6"/>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EB44CFC"/>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A29E6B"/>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3A3F11"/>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22A0201"/>
  <w15:docId w15:val="{EDCDEDAF-B3A7-4576-8090-09722369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google.com/search?q=us+magnesium+llc&amp;rlz=1C1GCEA_enUS1119US1119&amp;oq=us+magnesium+llc&amp;gs_lcrp=EgZjaHJvbWUqCggAEAAY4wIYgAQyCggAEAAY4wIYgAQyDQgBEC4YrwEYxwEYgAQyBwgCEAAYgAQyBwgDEAAYgAQyCAgEEAAYFhgeMggIBRAAGBYYHjINCAYQABiGAxiABBiKBTINCAcQABiGAxiABBiKBTINCAgQABiGAxiABBiKBTIHCAkQABjvBdIBCTY0NTlqMGoxNagCCLACAfEFLTuqziUqizo&amp;sourceid=chrome&amp;ie=UTF-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C2644CEF3BE14BA984F9E32D274554" ma:contentTypeVersion="18" ma:contentTypeDescription="Create a new document." ma:contentTypeScope="" ma:versionID="312d34f8ed2d9a19618b6e7108fb2491">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2fe02c4-dc41-46ff-9d52-90c0a1b1f611" xmlns:ns6="96fc5250-dc30-4f01-945b-7e46a880eeb3" targetNamespace="http://schemas.microsoft.com/office/2006/metadata/properties" ma:root="true" ma:fieldsID="a04c65d1dfb247c5fe118c04c81543ed" ns1:_="" ns2:_="" ns3:_="" ns4:_="" ns5:_="" ns6:_="">
    <xsd:import namespace="http://schemas.microsoft.com/sharepoint/v3"/>
    <xsd:import namespace="4ffa91fb-a0ff-4ac5-b2db-65c790d184a4"/>
    <xsd:import namespace="http://schemas.microsoft.com/sharepoint.v3"/>
    <xsd:import namespace="http://schemas.microsoft.com/sharepoint/v3/fields"/>
    <xsd:import namespace="02fe02c4-dc41-46ff-9d52-90c0a1b1f611"/>
    <xsd:import namespace="96fc5250-dc30-4f01-945b-7e46a880eeb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1:_ip_UnifiedCompliancePolicyProperties" minOccurs="0"/>
                <xsd:element ref="ns1:_ip_UnifiedCompliancePolicyUIAction" minOccurs="0"/>
                <xsd:element ref="ns5:MediaLengthInSeconds" minOccurs="0"/>
                <xsd:element ref="ns5:MediaServiceObjectDetectorVersions" minOccurs="0"/>
                <xsd:element ref="ns5:MediaServiceSearchPropertie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9205dcaf-ae28-4449-b177-6e6c07e37888}" ma:internalName="TaxCatchAllLabel" ma:readOnly="true" ma:showField="CatchAllDataLabel" ma:web="96fc5250-dc30-4f01-945b-7e46a880eeb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9205dcaf-ae28-4449-b177-6e6c07e37888}" ma:internalName="TaxCatchAll" ma:showField="CatchAllData" ma:web="96fc5250-dc30-4f01-945b-7e46a880ee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e02c4-dc41-46ff-9d52-90c0a1b1f611"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fc5250-dc30-4f01-945b-7e46a880eeb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62856-1543-49d4-a736-4569d363f533"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SharedWithUsers xmlns="96fc5250-dc30-4f01-945b-7e46a880eeb3">
      <UserInfo>
        <DisplayName/>
        <AccountId xsi:nil="true"/>
        <AccountType/>
      </UserInfo>
    </SharedWithUsers>
    <TaxCatchAll xmlns="4ffa91fb-a0ff-4ac5-b2db-65c790d184a4" xsi:nil="true"/>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_ip_UnifiedCompliancePolicyProperties xmlns="http://schemas.microsoft.com/sharepoint/v3" xsi:nil="true"/>
    <Rights xmlns="4ffa91fb-a0ff-4ac5-b2db-65c790d184a4" xsi:nil="true"/>
    <Document_x0020_Creation_x0020_Date xmlns="4ffa91fb-a0ff-4ac5-b2db-65c790d184a4">2025-05-08T18:16:38+00:00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lcf76f155ced4ddcb4097134ff3c332f xmlns="02fe02c4-dc41-46ff-9d52-90c0a1b1f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2.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3.xml><?xml version="1.0" encoding="utf-8"?>
<ds:datastoreItem xmlns:ds="http://schemas.openxmlformats.org/officeDocument/2006/customXml" ds:itemID="{4EBD998D-D441-441F-87A4-97A949821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2fe02c4-dc41-46ff-9d52-90c0a1b1f611"/>
    <ds:schemaRef ds:uri="96fc5250-dc30-4f01-945b-7e46a880e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8353B3-D2FE-4F47-942E-E56AF8762456}">
  <ds:schemaRefs>
    <ds:schemaRef ds:uri="Microsoft.SharePoint.Taxonomy.ContentTypeSync"/>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96fc5250-dc30-4f01-945b-7e46a880eeb3"/>
    <ds:schemaRef ds:uri="4ffa91fb-a0ff-4ac5-b2db-65c790d184a4"/>
    <ds:schemaRef ds:uri="http://schemas.microsoft.com/sharepoint/v3/fields"/>
    <ds:schemaRef ds:uri="http://schemas.microsoft.com/sharepoint/v3"/>
    <ds:schemaRef ds:uri="http://schemas.microsoft.com/sharepoint.v3"/>
    <ds:schemaRef ds:uri="02fe02c4-dc41-46ff-9d52-90c0a1b1f6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6023</Words>
  <Characters>33192</Characters>
  <Application>Microsoft Office Word</Application>
  <DocSecurity>0</DocSecurity>
  <Lines>1144</Lines>
  <Paragraphs>664</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38551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3</cp:revision>
  <dcterms:created xsi:type="dcterms:W3CDTF">2026-09-14T23:54:00Z</dcterms:created>
  <dcterms:modified xsi:type="dcterms:W3CDTF">2026-09-14T23:54:00Z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0x01010052C2644CEF3BE14BA984F9E32D274554</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MediaServiceImageTags">
    <vt:lpwstr/>
  </property>
  <property fmtid="{D5CDD505-2E9C-101B-9397-08002B2CF9AE}" pid="11" name="Order">
    <vt:r8>227000</vt:r8>
  </property>
  <property fmtid="{D5CDD505-2E9C-101B-9397-08002B2CF9AE}" pid="12" name="TaxKeyword">
    <vt:lpwstr/>
  </property>
  <property fmtid="{D5CDD505-2E9C-101B-9397-08002B2CF9AE}" pid="13" name="TemplateUrl">
    <vt:lpwstr/>
  </property>
  <property fmtid="{D5CDD505-2E9C-101B-9397-08002B2CF9AE}" pid="14" name="TriggerFlowInfo">
    <vt:lpwstr/>
  </property>
  <property fmtid="{D5CDD505-2E9C-101B-9397-08002B2CF9AE}" pid="15" name="xd_ProgID">
    <vt:lpwstr/>
  </property>
  <property fmtid="{D5CDD505-2E9C-101B-9397-08002B2CF9AE}" pid="16" name="xd_Signature">
    <vt:bool>false</vt:bool>
  </property>
  <property fmtid="{D5CDD505-2E9C-101B-9397-08002B2CF9AE}" pid="17" name="_ExtendedDescription">
    <vt:lpwstr/>
  </property>
</Properties>
</file>