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E0648" w14:paraId="39A06C8C" w14:textId="77777777">
      <w:pPr>
        <w:pStyle w:val="NormalWeb"/>
        <w:jc w:val="center"/>
        <w:rPr>
          <w:rFonts w:ascii="Arial" w:hAnsi="Arial" w:cs="Arial"/>
          <w:b/>
          <w:bCs/>
          <w:color w:val="000000"/>
        </w:rPr>
      </w:pPr>
      <w:r>
        <w:rPr>
          <w:rFonts w:ascii="Arial" w:hAnsi="Arial" w:cs="Arial"/>
          <w:b/>
          <w:bCs/>
          <w:color w:val="000000"/>
        </w:rPr>
        <w:t>Department of Transportation</w:t>
      </w:r>
      <w:r w:rsidR="00DA64FB">
        <w:rPr>
          <w:rFonts w:ascii="Arial" w:hAnsi="Arial" w:cs="Arial"/>
          <w:b/>
          <w:bCs/>
          <w:color w:val="000000"/>
        </w:rPr>
        <w:t xml:space="preserve"> (DOT)</w:t>
      </w:r>
    </w:p>
    <w:p w:rsidR="00CE0648" w14:paraId="5A71121F" w14:textId="77777777">
      <w:pPr>
        <w:pStyle w:val="NormalWeb"/>
        <w:jc w:val="center"/>
        <w:rPr>
          <w:rFonts w:ascii="Arial" w:hAnsi="Arial" w:cs="Arial"/>
          <w:b/>
          <w:bCs/>
          <w:color w:val="000000"/>
        </w:rPr>
      </w:pPr>
      <w:r>
        <w:rPr>
          <w:rFonts w:ascii="Arial" w:hAnsi="Arial" w:cs="Arial"/>
          <w:b/>
          <w:bCs/>
          <w:color w:val="000000"/>
        </w:rPr>
        <w:t>Federal Highway Admin</w:t>
      </w:r>
      <w:r w:rsidR="00DA64FB">
        <w:rPr>
          <w:rFonts w:ascii="Arial" w:hAnsi="Arial" w:cs="Arial"/>
          <w:b/>
          <w:bCs/>
          <w:color w:val="000000"/>
        </w:rPr>
        <w:t>i</w:t>
      </w:r>
      <w:r>
        <w:rPr>
          <w:rFonts w:ascii="Arial" w:hAnsi="Arial" w:cs="Arial"/>
          <w:b/>
          <w:bCs/>
          <w:color w:val="000000"/>
        </w:rPr>
        <w:t>stration</w:t>
      </w:r>
    </w:p>
    <w:p w:rsidR="00BD1BF2" w14:paraId="3ED1123E" w14:textId="77777777">
      <w:pPr>
        <w:pStyle w:val="NormalWeb"/>
        <w:jc w:val="center"/>
        <w:rPr>
          <w:rFonts w:ascii="Arial" w:hAnsi="Arial" w:cs="Arial"/>
          <w:b/>
          <w:bCs/>
          <w:color w:val="000000"/>
          <w:sz w:val="20"/>
          <w:szCs w:val="20"/>
        </w:rPr>
      </w:pPr>
      <w:r>
        <w:rPr>
          <w:rFonts w:ascii="Arial" w:hAnsi="Arial" w:cs="Arial"/>
          <w:b/>
          <w:bCs/>
          <w:color w:val="000000"/>
        </w:rPr>
        <w:t>The Supporting</w:t>
      </w:r>
      <w:r>
        <w:rPr>
          <w:rFonts w:ascii="Arial" w:hAnsi="Arial" w:cs="Arial"/>
          <w:b/>
          <w:bCs/>
          <w:color w:val="000000"/>
        </w:rPr>
        <w:t xml:space="preserve"> Statemen</w:t>
      </w:r>
      <w:r w:rsidR="00CE0648">
        <w:rPr>
          <w:rFonts w:ascii="Arial" w:hAnsi="Arial" w:cs="Arial"/>
          <w:b/>
          <w:bCs/>
          <w:color w:val="000000"/>
        </w:rPr>
        <w:t>t A</w:t>
      </w:r>
      <w:r>
        <w:rPr>
          <w:rFonts w:ascii="Arial" w:hAnsi="Arial" w:cs="Arial"/>
          <w:b/>
          <w:bCs/>
          <w:color w:val="000000"/>
          <w:sz w:val="20"/>
          <w:szCs w:val="20"/>
        </w:rPr>
        <w:t xml:space="preserve"> </w:t>
      </w:r>
    </w:p>
    <w:p w:rsidR="00AF78B4" w14:paraId="75B5AC56" w14:textId="77777777">
      <w:pPr>
        <w:pStyle w:val="NormalWeb"/>
        <w:jc w:val="center"/>
        <w:rPr>
          <w:rFonts w:ascii="Arial" w:hAnsi="Arial" w:cs="Arial"/>
          <w:b/>
          <w:bCs/>
          <w:color w:val="000000"/>
          <w:sz w:val="20"/>
          <w:szCs w:val="20"/>
        </w:rPr>
      </w:pPr>
      <w:r>
        <w:rPr>
          <w:rFonts w:ascii="Arial" w:hAnsi="Arial" w:cs="Arial"/>
          <w:b/>
          <w:bCs/>
          <w:color w:val="000000"/>
          <w:sz w:val="20"/>
          <w:szCs w:val="20"/>
        </w:rPr>
        <w:t xml:space="preserve">Annual </w:t>
      </w:r>
      <w:r w:rsidR="000D1469">
        <w:rPr>
          <w:rFonts w:ascii="Arial" w:hAnsi="Arial" w:cs="Arial"/>
          <w:b/>
          <w:bCs/>
          <w:color w:val="000000"/>
          <w:sz w:val="20"/>
          <w:szCs w:val="20"/>
        </w:rPr>
        <w:t xml:space="preserve">Grants </w:t>
      </w:r>
      <w:r>
        <w:rPr>
          <w:rFonts w:ascii="Arial" w:hAnsi="Arial" w:cs="Arial"/>
          <w:b/>
          <w:bCs/>
          <w:color w:val="000000"/>
          <w:sz w:val="20"/>
          <w:szCs w:val="20"/>
        </w:rPr>
        <w:t>State Survey</w:t>
      </w:r>
      <w:r w:rsidR="000D1469">
        <w:rPr>
          <w:rFonts w:ascii="Arial" w:hAnsi="Arial" w:cs="Arial"/>
          <w:b/>
          <w:bCs/>
          <w:color w:val="000000"/>
          <w:sz w:val="20"/>
          <w:szCs w:val="20"/>
        </w:rPr>
        <w:t xml:space="preserve"> &amp; Quarterly Lookback Analysis</w:t>
      </w:r>
    </w:p>
    <w:p w:rsidR="00BD1BF2" w:rsidP="007B532D" w14:paraId="55A15AF3" w14:textId="77777777">
      <w:pPr>
        <w:pStyle w:val="NormalWeb"/>
        <w:jc w:val="center"/>
        <w:rPr>
          <w:rFonts w:ascii="Arial" w:hAnsi="Arial" w:cs="Arial"/>
          <w:b/>
          <w:bCs/>
          <w:color w:val="000000"/>
          <w:sz w:val="20"/>
          <w:szCs w:val="20"/>
        </w:rPr>
      </w:pPr>
      <w:r>
        <w:rPr>
          <w:rFonts w:ascii="Arial" w:hAnsi="Arial" w:cs="Arial"/>
          <w:b/>
          <w:bCs/>
          <w:color w:val="000000"/>
          <w:sz w:val="20"/>
          <w:szCs w:val="20"/>
        </w:rPr>
        <w:t>OMB Control No. 2125-XXXX</w:t>
      </w:r>
    </w:p>
    <w:p w:rsidR="00320180" w14:paraId="2A2AF1EC" w14:textId="77777777">
      <w:pPr>
        <w:pStyle w:val="NormalWeb"/>
        <w:rPr>
          <w:rFonts w:ascii="Arial" w:hAnsi="Arial" w:cs="Arial"/>
          <w:color w:val="000000"/>
          <w:sz w:val="20"/>
          <w:szCs w:val="20"/>
        </w:rPr>
      </w:pPr>
      <w:r>
        <w:rPr>
          <w:rFonts w:ascii="Arial" w:hAnsi="Arial" w:cs="Arial"/>
          <w:color w:val="000000"/>
          <w:sz w:val="20"/>
          <w:szCs w:val="20"/>
          <w:u w:val="single"/>
        </w:rPr>
        <w:t>Introduction</w:t>
      </w:r>
      <w:r>
        <w:rPr>
          <w:rFonts w:ascii="Arial" w:hAnsi="Arial" w:cs="Arial"/>
          <w:color w:val="000000"/>
          <w:sz w:val="20"/>
          <w:szCs w:val="20"/>
        </w:rPr>
        <w:t xml:space="preserve">: </w:t>
      </w:r>
      <w:r>
        <w:rPr>
          <w:rFonts w:ascii="Arial" w:hAnsi="Arial" w:cs="Arial"/>
          <w:color w:val="000000"/>
          <w:sz w:val="20"/>
          <w:szCs w:val="20"/>
        </w:rPr>
        <w:t xml:space="preserve">Annual </w:t>
      </w:r>
      <w:r w:rsidR="00BF61B8">
        <w:rPr>
          <w:rFonts w:ascii="Arial" w:hAnsi="Arial" w:cs="Arial"/>
          <w:color w:val="000000"/>
          <w:sz w:val="20"/>
          <w:szCs w:val="20"/>
        </w:rPr>
        <w:t xml:space="preserve">Grants </w:t>
      </w:r>
      <w:r>
        <w:rPr>
          <w:rFonts w:ascii="Arial" w:hAnsi="Arial" w:cs="Arial"/>
          <w:color w:val="000000"/>
          <w:sz w:val="20"/>
          <w:szCs w:val="20"/>
        </w:rPr>
        <w:t>State Survey</w:t>
      </w:r>
      <w:r w:rsidR="00BF61B8">
        <w:rPr>
          <w:rFonts w:ascii="Arial" w:hAnsi="Arial" w:cs="Arial"/>
          <w:color w:val="000000"/>
          <w:sz w:val="20"/>
          <w:szCs w:val="20"/>
        </w:rPr>
        <w:t>/Lookback Analysis</w:t>
      </w:r>
      <w:r>
        <w:rPr>
          <w:rFonts w:ascii="Arial" w:hAnsi="Arial" w:cs="Arial"/>
          <w:color w:val="000000"/>
          <w:sz w:val="20"/>
          <w:szCs w:val="20"/>
        </w:rPr>
        <w:t>. This is a new request.</w:t>
      </w:r>
      <w:r>
        <w:rPr>
          <w:rFonts w:ascii="Arial" w:hAnsi="Arial" w:cs="Arial"/>
          <w:color w:val="000000"/>
          <w:sz w:val="20"/>
          <w:szCs w:val="20"/>
        </w:rPr>
        <w:t xml:space="preserve"> </w:t>
      </w:r>
    </w:p>
    <w:p w:rsidR="00BD1BF2" w14:paraId="4C8FB5D0" w14:textId="77777777">
      <w:pPr>
        <w:pStyle w:val="NormalWeb"/>
        <w:rPr>
          <w:rFonts w:ascii="Arial" w:hAnsi="Arial" w:cs="Arial"/>
          <w:color w:val="000000"/>
          <w:sz w:val="20"/>
          <w:szCs w:val="20"/>
        </w:rPr>
      </w:pPr>
      <w:r>
        <w:rPr>
          <w:rFonts w:ascii="Arial" w:hAnsi="Arial" w:cs="Arial"/>
          <w:color w:val="000000"/>
          <w:sz w:val="20"/>
          <w:szCs w:val="20"/>
          <w:u w:val="single"/>
        </w:rPr>
        <w:t>Part A. Justification</w:t>
      </w:r>
      <w:r>
        <w:rPr>
          <w:rFonts w:ascii="Arial" w:hAnsi="Arial" w:cs="Arial"/>
          <w:color w:val="000000"/>
          <w:sz w:val="20"/>
          <w:szCs w:val="20"/>
        </w:rPr>
        <w:t>.</w:t>
      </w:r>
    </w:p>
    <w:p w:rsidR="00BD1BF2" w14:paraId="403EC68D" w14:textId="77777777">
      <w:pPr>
        <w:pStyle w:val="NormalWeb"/>
        <w:rPr>
          <w:rFonts w:ascii="Arial" w:hAnsi="Arial" w:cs="Arial"/>
          <w:color w:val="000000"/>
          <w:sz w:val="20"/>
          <w:szCs w:val="20"/>
        </w:rPr>
      </w:pPr>
      <w:r>
        <w:rPr>
          <w:rFonts w:ascii="Arial" w:hAnsi="Arial" w:cs="Arial"/>
          <w:color w:val="000000"/>
          <w:sz w:val="20"/>
          <w:szCs w:val="20"/>
        </w:rPr>
        <w:t xml:space="preserve">1. </w:t>
      </w:r>
      <w:r>
        <w:rPr>
          <w:rFonts w:ascii="Arial" w:hAnsi="Arial" w:cs="Arial"/>
          <w:color w:val="000000"/>
          <w:sz w:val="20"/>
          <w:szCs w:val="20"/>
          <w:u w:val="single"/>
        </w:rPr>
        <w:t>Circumstances that make collection of information necessary</w:t>
      </w:r>
      <w:r>
        <w:rPr>
          <w:rFonts w:ascii="Arial" w:hAnsi="Arial" w:cs="Arial"/>
          <w:color w:val="000000"/>
          <w:sz w:val="20"/>
          <w:szCs w:val="20"/>
        </w:rPr>
        <w:t>:</w:t>
      </w:r>
    </w:p>
    <w:p w:rsidR="00BD1BF2" w14:paraId="4353EED5" w14:textId="77777777">
      <w:pPr>
        <w:rPr>
          <w:rFonts w:ascii="Arial" w:hAnsi="Arial" w:cs="Arial"/>
          <w:color w:val="000000"/>
          <w:sz w:val="20"/>
          <w:szCs w:val="20"/>
        </w:rPr>
      </w:pPr>
      <w:r>
        <w:rPr>
          <w:rFonts w:ascii="Arial" w:hAnsi="Arial" w:cs="Arial"/>
          <w:color w:val="000000"/>
          <w:sz w:val="20"/>
          <w:szCs w:val="20"/>
          <w:lang w:val="en"/>
        </w:rPr>
        <w:t xml:space="preserve">Responses from the </w:t>
      </w:r>
      <w:r w:rsidR="00E02AEF">
        <w:rPr>
          <w:rFonts w:ascii="Arial" w:hAnsi="Arial" w:cs="Arial"/>
          <w:color w:val="000000"/>
          <w:sz w:val="20"/>
          <w:szCs w:val="20"/>
          <w:lang w:val="en"/>
        </w:rPr>
        <w:t>FHWA Division Offices</w:t>
      </w:r>
      <w:r w:rsidR="00961A94">
        <w:rPr>
          <w:rFonts w:ascii="Arial" w:hAnsi="Arial" w:cs="Arial"/>
          <w:color w:val="000000"/>
          <w:sz w:val="20"/>
          <w:szCs w:val="20"/>
          <w:lang w:val="en"/>
        </w:rPr>
        <w:t>/States</w:t>
      </w:r>
      <w:r>
        <w:rPr>
          <w:rFonts w:ascii="Arial" w:hAnsi="Arial" w:cs="Arial"/>
          <w:color w:val="000000"/>
          <w:sz w:val="20"/>
          <w:szCs w:val="20"/>
          <w:lang w:val="en"/>
        </w:rPr>
        <w:t xml:space="preserve"> are necessary so that the attributes used to calculate the quarterly grant accrual </w:t>
      </w:r>
      <w:r w:rsidR="00961A94">
        <w:rPr>
          <w:rFonts w:ascii="Arial" w:hAnsi="Arial" w:cs="Arial"/>
          <w:color w:val="000000"/>
          <w:sz w:val="20"/>
          <w:szCs w:val="20"/>
          <w:lang w:val="en"/>
        </w:rPr>
        <w:t>are</w:t>
      </w:r>
      <w:r w:rsidR="00D93DB9">
        <w:rPr>
          <w:rFonts w:ascii="Arial" w:hAnsi="Arial" w:cs="Arial"/>
          <w:color w:val="000000"/>
          <w:sz w:val="20"/>
          <w:szCs w:val="20"/>
          <w:lang w:val="en"/>
        </w:rPr>
        <w:t xml:space="preserve"> updated</w:t>
      </w:r>
      <w:r>
        <w:rPr>
          <w:rFonts w:ascii="Arial" w:hAnsi="Arial" w:cs="Arial"/>
          <w:color w:val="000000"/>
          <w:sz w:val="20"/>
          <w:szCs w:val="20"/>
          <w:lang w:val="en"/>
        </w:rPr>
        <w:t xml:space="preserve">. The quarterly grant accrual is required by the Generally Accepted Accounting Principles </w:t>
      </w:r>
      <w:r w:rsidR="00320180">
        <w:rPr>
          <w:rFonts w:ascii="Arial" w:hAnsi="Arial" w:cs="Arial"/>
          <w:bCs/>
          <w:iCs/>
          <w:color w:val="000000"/>
          <w:sz w:val="20"/>
          <w:szCs w:val="20"/>
        </w:rPr>
        <w:t xml:space="preserve">and by the </w:t>
      </w:r>
      <w:r w:rsidR="007B532D">
        <w:rPr>
          <w:rFonts w:ascii="Arial" w:hAnsi="Arial" w:cs="Arial"/>
          <w:bCs/>
          <w:iCs/>
          <w:color w:val="000000"/>
          <w:sz w:val="20"/>
          <w:szCs w:val="20"/>
        </w:rPr>
        <w:t>Office of Inspector General (</w:t>
      </w:r>
      <w:r w:rsidR="00320180">
        <w:rPr>
          <w:rFonts w:ascii="Arial" w:hAnsi="Arial" w:cs="Arial"/>
          <w:bCs/>
          <w:iCs/>
          <w:color w:val="000000"/>
          <w:sz w:val="20"/>
          <w:szCs w:val="20"/>
        </w:rPr>
        <w:t>OIG</w:t>
      </w:r>
      <w:r w:rsidR="007B532D">
        <w:rPr>
          <w:rFonts w:ascii="Arial" w:hAnsi="Arial" w:cs="Arial"/>
          <w:bCs/>
          <w:iCs/>
          <w:color w:val="000000"/>
          <w:sz w:val="20"/>
          <w:szCs w:val="20"/>
        </w:rPr>
        <w:t>)</w:t>
      </w:r>
      <w:r w:rsidR="00320180">
        <w:rPr>
          <w:rFonts w:ascii="Arial" w:hAnsi="Arial" w:cs="Arial"/>
          <w:bCs/>
          <w:iCs/>
          <w:color w:val="000000"/>
          <w:sz w:val="20"/>
          <w:szCs w:val="20"/>
        </w:rPr>
        <w:t xml:space="preserve"> external financial statement auditors. </w:t>
      </w:r>
      <w:r w:rsidR="008A7237">
        <w:rPr>
          <w:rFonts w:ascii="Arial" w:hAnsi="Arial" w:cs="Arial"/>
          <w:bCs/>
          <w:iCs/>
          <w:color w:val="000000"/>
          <w:sz w:val="20"/>
          <w:szCs w:val="20"/>
        </w:rPr>
        <w:t xml:space="preserve">If the </w:t>
      </w:r>
      <w:r w:rsidR="00320180">
        <w:rPr>
          <w:rFonts w:ascii="Arial" w:hAnsi="Arial" w:cs="Arial"/>
          <w:bCs/>
          <w:iCs/>
          <w:color w:val="000000"/>
          <w:sz w:val="20"/>
          <w:szCs w:val="20"/>
        </w:rPr>
        <w:t xml:space="preserve">estimate </w:t>
      </w:r>
      <w:r w:rsidR="008A7237">
        <w:rPr>
          <w:rFonts w:ascii="Arial" w:hAnsi="Arial" w:cs="Arial"/>
          <w:bCs/>
          <w:iCs/>
          <w:color w:val="000000"/>
          <w:sz w:val="20"/>
          <w:szCs w:val="20"/>
        </w:rPr>
        <w:t xml:space="preserve">is not </w:t>
      </w:r>
      <w:r w:rsidR="00320180">
        <w:rPr>
          <w:rFonts w:ascii="Arial" w:hAnsi="Arial" w:cs="Arial"/>
          <w:bCs/>
          <w:iCs/>
          <w:color w:val="000000"/>
          <w:sz w:val="20"/>
          <w:szCs w:val="20"/>
        </w:rPr>
        <w:t>recorded on the statements, the Depar</w:t>
      </w:r>
      <w:r w:rsidR="008A7237">
        <w:rPr>
          <w:rFonts w:ascii="Arial" w:hAnsi="Arial" w:cs="Arial"/>
          <w:bCs/>
          <w:iCs/>
          <w:color w:val="000000"/>
          <w:sz w:val="20"/>
          <w:szCs w:val="20"/>
        </w:rPr>
        <w:t>tment’s financial statements would not be correct (</w:t>
      </w:r>
      <w:r w:rsidR="00E02AEF">
        <w:rPr>
          <w:rFonts w:ascii="Arial" w:hAnsi="Arial" w:cs="Arial"/>
          <w:bCs/>
          <w:iCs/>
          <w:color w:val="000000"/>
          <w:sz w:val="20"/>
          <w:szCs w:val="20"/>
        </w:rPr>
        <w:t xml:space="preserve">not </w:t>
      </w:r>
      <w:r w:rsidR="008A7237">
        <w:rPr>
          <w:rFonts w:ascii="Arial" w:hAnsi="Arial" w:cs="Arial"/>
          <w:bCs/>
          <w:iCs/>
          <w:color w:val="000000"/>
          <w:sz w:val="20"/>
          <w:szCs w:val="20"/>
        </w:rPr>
        <w:t>fairly presented) and could be issued a non-clean audit opinion.</w:t>
      </w:r>
      <w:r>
        <w:rPr>
          <w:rFonts w:ascii="Arial" w:hAnsi="Arial" w:cs="Arial"/>
          <w:color w:val="000000"/>
          <w:sz w:val="20"/>
          <w:szCs w:val="20"/>
        </w:rPr>
        <w:t xml:space="preserve"> </w:t>
      </w:r>
      <w:r w:rsidR="00961A94">
        <w:rPr>
          <w:rFonts w:ascii="Arial" w:hAnsi="Arial" w:cs="Arial"/>
          <w:color w:val="000000"/>
          <w:sz w:val="20"/>
          <w:szCs w:val="20"/>
        </w:rPr>
        <w:t xml:space="preserve">FHWA’s balances are material to the Departmental </w:t>
      </w:r>
      <w:r w:rsidR="009A0AFD">
        <w:rPr>
          <w:rFonts w:ascii="Arial" w:hAnsi="Arial" w:cs="Arial"/>
          <w:color w:val="000000"/>
          <w:sz w:val="20"/>
          <w:szCs w:val="20"/>
        </w:rPr>
        <w:t xml:space="preserve">financial </w:t>
      </w:r>
      <w:r w:rsidR="00961A94">
        <w:rPr>
          <w:rFonts w:ascii="Arial" w:hAnsi="Arial" w:cs="Arial"/>
          <w:color w:val="000000"/>
          <w:sz w:val="20"/>
          <w:szCs w:val="20"/>
        </w:rPr>
        <w:t>statements.</w:t>
      </w:r>
    </w:p>
    <w:p w:rsidR="00BD1BF2" w14:paraId="05FE3288" w14:textId="77777777">
      <w:pPr>
        <w:pStyle w:val="NormalWeb"/>
        <w:rPr>
          <w:rFonts w:ascii="Arial" w:hAnsi="Arial" w:cs="Arial"/>
          <w:color w:val="000000"/>
          <w:sz w:val="20"/>
          <w:szCs w:val="20"/>
        </w:rPr>
      </w:pPr>
      <w:r>
        <w:rPr>
          <w:rFonts w:ascii="Arial" w:hAnsi="Arial" w:cs="Arial"/>
          <w:color w:val="000000"/>
          <w:sz w:val="20"/>
          <w:szCs w:val="20"/>
        </w:rPr>
        <w:t xml:space="preserve">2. </w:t>
      </w:r>
      <w:r>
        <w:rPr>
          <w:rFonts w:ascii="Arial" w:hAnsi="Arial" w:cs="Arial"/>
          <w:color w:val="000000"/>
          <w:sz w:val="20"/>
          <w:szCs w:val="20"/>
          <w:u w:val="single"/>
        </w:rPr>
        <w:t>How, by whom, and for what purpose is the information used</w:t>
      </w:r>
      <w:r>
        <w:rPr>
          <w:rFonts w:ascii="Arial" w:hAnsi="Arial" w:cs="Arial"/>
          <w:color w:val="000000"/>
          <w:sz w:val="20"/>
          <w:szCs w:val="20"/>
        </w:rPr>
        <w:t>:</w:t>
      </w:r>
    </w:p>
    <w:p w:rsidR="00BD1BF2" w14:paraId="03E53405" w14:textId="77777777">
      <w:pPr>
        <w:rPr>
          <w:rFonts w:ascii="Arial" w:hAnsi="Arial" w:cs="Arial"/>
          <w:color w:val="000000"/>
          <w:sz w:val="20"/>
          <w:szCs w:val="20"/>
        </w:rPr>
      </w:pPr>
      <w:r>
        <w:rPr>
          <w:rFonts w:ascii="Arial" w:hAnsi="Arial" w:cs="Arial"/>
          <w:color w:val="000000"/>
          <w:sz w:val="20"/>
          <w:szCs w:val="20"/>
        </w:rPr>
        <w:t xml:space="preserve">The information will be requested by the </w:t>
      </w:r>
      <w:r w:rsidR="007B532D">
        <w:rPr>
          <w:rFonts w:ascii="Arial" w:hAnsi="Arial" w:cs="Arial"/>
          <w:color w:val="000000"/>
          <w:sz w:val="20"/>
          <w:szCs w:val="20"/>
        </w:rPr>
        <w:t>Office of Chief Financial Officer (</w:t>
      </w:r>
      <w:r w:rsidR="00D04008">
        <w:rPr>
          <w:rFonts w:ascii="Arial" w:hAnsi="Arial" w:cs="Arial"/>
          <w:color w:val="000000"/>
          <w:sz w:val="20"/>
          <w:szCs w:val="20"/>
        </w:rPr>
        <w:t>OCFO</w:t>
      </w:r>
      <w:r w:rsidR="007B532D">
        <w:rPr>
          <w:rFonts w:ascii="Arial" w:hAnsi="Arial" w:cs="Arial"/>
          <w:color w:val="000000"/>
          <w:sz w:val="20"/>
          <w:szCs w:val="20"/>
        </w:rPr>
        <w:t>)</w:t>
      </w:r>
      <w:r w:rsidR="00D04008">
        <w:rPr>
          <w:rFonts w:ascii="Arial" w:hAnsi="Arial" w:cs="Arial"/>
          <w:color w:val="000000"/>
          <w:sz w:val="20"/>
          <w:szCs w:val="20"/>
        </w:rPr>
        <w:t xml:space="preserve"> and sent to the </w:t>
      </w:r>
      <w:r>
        <w:rPr>
          <w:rFonts w:ascii="Arial" w:hAnsi="Arial" w:cs="Arial"/>
          <w:color w:val="000000"/>
          <w:sz w:val="20"/>
          <w:szCs w:val="20"/>
        </w:rPr>
        <w:t xml:space="preserve">FHWA Division Offices/States </w:t>
      </w:r>
      <w:r w:rsidR="00D93DB9">
        <w:rPr>
          <w:rFonts w:ascii="Arial" w:hAnsi="Arial" w:cs="Arial"/>
          <w:color w:val="000000"/>
          <w:sz w:val="20"/>
          <w:szCs w:val="20"/>
        </w:rPr>
        <w:t xml:space="preserve">to obtain responses on the State’s grant payments and billing cycles. </w:t>
      </w:r>
    </w:p>
    <w:p w:rsidR="00BD1BF2" w14:paraId="0B096887" w14:textId="77777777">
      <w:pPr>
        <w:pStyle w:val="NormalWeb"/>
        <w:rPr>
          <w:rFonts w:ascii="Arial" w:hAnsi="Arial" w:cs="Arial"/>
          <w:color w:val="000000"/>
          <w:sz w:val="20"/>
          <w:szCs w:val="20"/>
        </w:rPr>
      </w:pPr>
      <w:r>
        <w:rPr>
          <w:rFonts w:ascii="Arial" w:hAnsi="Arial" w:cs="Arial"/>
          <w:color w:val="000000"/>
          <w:sz w:val="20"/>
          <w:szCs w:val="20"/>
        </w:rPr>
        <w:t xml:space="preserve">3. </w:t>
      </w:r>
      <w:r>
        <w:rPr>
          <w:rFonts w:ascii="Arial" w:hAnsi="Arial" w:cs="Arial"/>
          <w:color w:val="000000"/>
          <w:sz w:val="20"/>
          <w:szCs w:val="20"/>
          <w:u w:val="single"/>
        </w:rPr>
        <w:t>Extent of automated information collection</w:t>
      </w:r>
      <w:r>
        <w:rPr>
          <w:rFonts w:ascii="Arial" w:hAnsi="Arial" w:cs="Arial"/>
          <w:color w:val="000000"/>
          <w:sz w:val="20"/>
          <w:szCs w:val="20"/>
        </w:rPr>
        <w:t>:</w:t>
      </w:r>
    </w:p>
    <w:p w:rsidR="00367CA9" w14:paraId="02FBCC2D" w14:textId="77777777">
      <w:pPr>
        <w:rPr>
          <w:rFonts w:ascii="Arial" w:hAnsi="Arial" w:cs="Arial"/>
          <w:color w:val="000000"/>
          <w:sz w:val="20"/>
          <w:szCs w:val="20"/>
        </w:rPr>
      </w:pPr>
      <w:r>
        <w:rPr>
          <w:rFonts w:ascii="Arial" w:hAnsi="Arial" w:cs="Arial"/>
          <w:color w:val="000000"/>
          <w:sz w:val="20"/>
          <w:szCs w:val="20"/>
        </w:rPr>
        <w:t xml:space="preserve">The Annual </w:t>
      </w:r>
      <w:r w:rsidR="009A0AFD">
        <w:rPr>
          <w:rFonts w:ascii="Arial" w:hAnsi="Arial" w:cs="Arial"/>
          <w:color w:val="000000"/>
          <w:sz w:val="20"/>
          <w:szCs w:val="20"/>
        </w:rPr>
        <w:t xml:space="preserve">Grants </w:t>
      </w:r>
      <w:r>
        <w:rPr>
          <w:rFonts w:ascii="Arial" w:hAnsi="Arial" w:cs="Arial"/>
          <w:color w:val="000000"/>
          <w:sz w:val="20"/>
          <w:szCs w:val="20"/>
        </w:rPr>
        <w:t xml:space="preserve">State Survey will be provided to the FHWA Division Offices/States by electronic means. Email and Google forms will be used to transmit the Annual </w:t>
      </w:r>
      <w:r w:rsidR="0028263F">
        <w:rPr>
          <w:rFonts w:ascii="Arial" w:hAnsi="Arial" w:cs="Arial"/>
          <w:color w:val="000000"/>
          <w:sz w:val="20"/>
          <w:szCs w:val="20"/>
        </w:rPr>
        <w:t xml:space="preserve">Grants </w:t>
      </w:r>
      <w:r>
        <w:rPr>
          <w:rFonts w:ascii="Arial" w:hAnsi="Arial" w:cs="Arial"/>
          <w:color w:val="000000"/>
          <w:sz w:val="20"/>
          <w:szCs w:val="20"/>
        </w:rPr>
        <w:t>State Survey to the FHWA Division Offices/State recipients to complete</w:t>
      </w:r>
      <w:r w:rsidR="00D04008">
        <w:rPr>
          <w:rFonts w:ascii="Arial" w:hAnsi="Arial" w:cs="Arial"/>
          <w:color w:val="000000"/>
          <w:sz w:val="20"/>
          <w:szCs w:val="20"/>
        </w:rPr>
        <w:t xml:space="preserve">. The automation of this process will make it easier for States to complete and FHWA will be able to track original responses and changes to the original responses and by whom. Reports are available to review audit logs and consolidate responses to enhance the data collection process. In addition, States </w:t>
      </w:r>
      <w:r w:rsidR="00D93DB9">
        <w:rPr>
          <w:rFonts w:ascii="Arial" w:hAnsi="Arial" w:cs="Arial"/>
          <w:color w:val="000000"/>
          <w:sz w:val="20"/>
          <w:szCs w:val="20"/>
        </w:rPr>
        <w:t>can input responses directly into the form to simply data entry and collection</w:t>
      </w:r>
      <w:r w:rsidR="00D04008">
        <w:rPr>
          <w:rFonts w:ascii="Arial" w:hAnsi="Arial" w:cs="Arial"/>
          <w:color w:val="000000"/>
          <w:sz w:val="20"/>
          <w:szCs w:val="20"/>
        </w:rPr>
        <w:t>.</w:t>
      </w:r>
    </w:p>
    <w:p w:rsidR="0028263F" w14:paraId="10D4989E" w14:textId="77777777">
      <w:pPr>
        <w:rPr>
          <w:rFonts w:ascii="Arial" w:hAnsi="Arial" w:cs="Arial"/>
          <w:color w:val="000000"/>
          <w:sz w:val="20"/>
          <w:szCs w:val="20"/>
        </w:rPr>
      </w:pPr>
    </w:p>
    <w:p w:rsidR="0028263F" w14:paraId="46EF96B4" w14:textId="77777777">
      <w:pPr>
        <w:rPr>
          <w:rFonts w:ascii="Arial" w:hAnsi="Arial" w:cs="Arial"/>
          <w:color w:val="000000"/>
          <w:sz w:val="20"/>
          <w:szCs w:val="20"/>
        </w:rPr>
      </w:pPr>
      <w:r>
        <w:rPr>
          <w:rFonts w:ascii="Arial" w:hAnsi="Arial" w:cs="Arial"/>
          <w:color w:val="000000"/>
          <w:sz w:val="20"/>
          <w:szCs w:val="20"/>
        </w:rPr>
        <w:t>The quarterly lookback analysis will use email exchange to send variances to the States to provide explanations for programs and projects that meet the FHWA thresholds ($50 million and +/- 20%). FHWA provides programs and projects that make up the variances to reduce State’s research time. This will allow the States to spend more time on research.</w:t>
      </w:r>
    </w:p>
    <w:p w:rsidR="00BD1BF2" w14:paraId="707555CC" w14:textId="77777777">
      <w:pPr>
        <w:pStyle w:val="NormalWeb"/>
        <w:rPr>
          <w:rFonts w:ascii="Arial" w:hAnsi="Arial" w:cs="Arial"/>
          <w:color w:val="000000"/>
          <w:sz w:val="20"/>
          <w:szCs w:val="20"/>
        </w:rPr>
      </w:pPr>
      <w:r>
        <w:rPr>
          <w:rFonts w:ascii="Arial" w:hAnsi="Arial" w:cs="Arial"/>
          <w:color w:val="000000"/>
          <w:sz w:val="20"/>
          <w:szCs w:val="20"/>
        </w:rPr>
        <w:t xml:space="preserve">4. </w:t>
      </w:r>
      <w:r>
        <w:rPr>
          <w:rFonts w:ascii="Arial" w:hAnsi="Arial" w:cs="Arial"/>
          <w:color w:val="000000"/>
          <w:sz w:val="20"/>
          <w:szCs w:val="20"/>
          <w:u w:val="single"/>
        </w:rPr>
        <w:t>Efforts to identify duplication</w:t>
      </w:r>
      <w:r>
        <w:rPr>
          <w:rFonts w:ascii="Arial" w:hAnsi="Arial" w:cs="Arial"/>
          <w:color w:val="000000"/>
          <w:sz w:val="20"/>
          <w:szCs w:val="20"/>
        </w:rPr>
        <w:t>:</w:t>
      </w:r>
    </w:p>
    <w:p w:rsidR="00BD1BF2" w14:paraId="60696E37" w14:textId="77777777">
      <w:pPr>
        <w:rPr>
          <w:rFonts w:ascii="Arial" w:hAnsi="Arial" w:cs="Arial"/>
          <w:color w:val="000000"/>
          <w:sz w:val="20"/>
          <w:szCs w:val="20"/>
        </w:rPr>
      </w:pPr>
      <w:r>
        <w:rPr>
          <w:rFonts w:ascii="Arial" w:hAnsi="Arial" w:cs="Arial"/>
          <w:color w:val="000000"/>
          <w:sz w:val="20"/>
          <w:szCs w:val="20"/>
        </w:rPr>
        <w:t xml:space="preserve">There is </w:t>
      </w:r>
      <w:r w:rsidR="00AF3BA1">
        <w:rPr>
          <w:rFonts w:ascii="Arial" w:hAnsi="Arial" w:cs="Arial"/>
          <w:color w:val="000000"/>
          <w:sz w:val="20"/>
          <w:szCs w:val="20"/>
        </w:rPr>
        <w:t xml:space="preserve">no </w:t>
      </w:r>
      <w:r w:rsidR="002B4B70">
        <w:rPr>
          <w:rFonts w:ascii="Arial" w:hAnsi="Arial" w:cs="Arial"/>
          <w:color w:val="000000"/>
          <w:sz w:val="20"/>
          <w:szCs w:val="20"/>
        </w:rPr>
        <w:t>duplication</w:t>
      </w:r>
      <w:r>
        <w:rPr>
          <w:rFonts w:ascii="Arial" w:hAnsi="Arial" w:cs="Arial"/>
          <w:color w:val="000000"/>
          <w:sz w:val="20"/>
          <w:szCs w:val="20"/>
        </w:rPr>
        <w:t xml:space="preserve">. The electronic process is the only mechanism to obtain the State responses. </w:t>
      </w:r>
      <w:r>
        <w:rPr>
          <w:rFonts w:ascii="Arial" w:hAnsi="Arial" w:cs="Arial"/>
          <w:color w:val="000000"/>
          <w:sz w:val="20"/>
          <w:szCs w:val="20"/>
        </w:rPr>
        <w:t xml:space="preserve"> </w:t>
      </w:r>
    </w:p>
    <w:p w:rsidR="00BD1BF2" w14:paraId="47B61E9A" w14:textId="77777777">
      <w:pPr>
        <w:pStyle w:val="NormalWeb"/>
        <w:rPr>
          <w:rFonts w:ascii="Arial" w:hAnsi="Arial" w:cs="Arial"/>
          <w:color w:val="000000"/>
          <w:sz w:val="20"/>
          <w:szCs w:val="20"/>
        </w:rPr>
      </w:pPr>
      <w:r>
        <w:rPr>
          <w:rFonts w:ascii="Arial" w:hAnsi="Arial" w:cs="Arial"/>
          <w:color w:val="000000"/>
          <w:sz w:val="20"/>
          <w:szCs w:val="20"/>
        </w:rPr>
        <w:t xml:space="preserve">5. </w:t>
      </w:r>
      <w:r>
        <w:rPr>
          <w:rFonts w:ascii="Arial" w:hAnsi="Arial" w:cs="Arial"/>
          <w:color w:val="000000"/>
          <w:sz w:val="20"/>
          <w:szCs w:val="20"/>
          <w:u w:val="single"/>
        </w:rPr>
        <w:t>Efforts to minimize the burden on small businesses</w:t>
      </w:r>
      <w:r>
        <w:rPr>
          <w:rFonts w:ascii="Arial" w:hAnsi="Arial" w:cs="Arial"/>
          <w:color w:val="000000"/>
          <w:sz w:val="20"/>
          <w:szCs w:val="20"/>
        </w:rPr>
        <w:t>:</w:t>
      </w:r>
    </w:p>
    <w:p w:rsidR="00BD1BF2" w14:paraId="30C0E5FE" w14:textId="77777777">
      <w:pPr>
        <w:rPr>
          <w:rFonts w:ascii="Arial" w:hAnsi="Arial" w:cs="Arial"/>
          <w:color w:val="000000"/>
          <w:sz w:val="20"/>
          <w:szCs w:val="20"/>
        </w:rPr>
      </w:pPr>
      <w:r>
        <w:rPr>
          <w:rFonts w:ascii="Arial" w:hAnsi="Arial" w:cs="Arial"/>
          <w:color w:val="000000"/>
          <w:sz w:val="20"/>
          <w:szCs w:val="20"/>
        </w:rPr>
        <w:t>Not applicable</w:t>
      </w:r>
      <w:r>
        <w:rPr>
          <w:rFonts w:ascii="Arial" w:hAnsi="Arial" w:cs="Arial"/>
          <w:color w:val="000000"/>
          <w:sz w:val="20"/>
          <w:szCs w:val="20"/>
        </w:rPr>
        <w:t xml:space="preserve">. </w:t>
      </w:r>
    </w:p>
    <w:p w:rsidR="00BD1BF2" w14:paraId="73441843" w14:textId="77777777">
      <w:pPr>
        <w:pStyle w:val="NormalWeb"/>
        <w:rPr>
          <w:rFonts w:ascii="Arial" w:hAnsi="Arial" w:cs="Arial"/>
          <w:color w:val="000000"/>
          <w:sz w:val="20"/>
          <w:szCs w:val="20"/>
        </w:rPr>
      </w:pPr>
      <w:r>
        <w:rPr>
          <w:rFonts w:ascii="Arial" w:hAnsi="Arial" w:cs="Arial"/>
          <w:color w:val="000000"/>
          <w:sz w:val="20"/>
          <w:szCs w:val="20"/>
        </w:rPr>
        <w:t xml:space="preserve">6. </w:t>
      </w:r>
      <w:r>
        <w:rPr>
          <w:rFonts w:ascii="Arial" w:hAnsi="Arial" w:cs="Arial"/>
          <w:color w:val="000000"/>
          <w:sz w:val="20"/>
          <w:szCs w:val="20"/>
          <w:u w:val="single"/>
        </w:rPr>
        <w:t>Impact of less frequent collection of information</w:t>
      </w:r>
      <w:r>
        <w:rPr>
          <w:rFonts w:ascii="Arial" w:hAnsi="Arial" w:cs="Arial"/>
          <w:color w:val="000000"/>
          <w:sz w:val="20"/>
          <w:szCs w:val="20"/>
        </w:rPr>
        <w:t>:</w:t>
      </w:r>
    </w:p>
    <w:p w:rsidR="00BD1BF2" w14:paraId="1663BE20" w14:textId="77777777">
      <w:pPr>
        <w:rPr>
          <w:rFonts w:ascii="Arial" w:hAnsi="Arial" w:cs="Arial"/>
          <w:color w:val="000000"/>
          <w:sz w:val="20"/>
          <w:szCs w:val="20"/>
        </w:rPr>
      </w:pPr>
      <w:r>
        <w:rPr>
          <w:rFonts w:ascii="Arial" w:hAnsi="Arial" w:cs="Arial"/>
          <w:color w:val="000000"/>
          <w:sz w:val="20"/>
          <w:szCs w:val="20"/>
        </w:rPr>
        <w:t>If responses are not provided by the FHWA Division Offices/States, the quarterly grant accrual estimate will not be correct</w:t>
      </w:r>
      <w:r>
        <w:rPr>
          <w:rFonts w:ascii="Arial" w:hAnsi="Arial" w:cs="Arial"/>
          <w:color w:val="000000"/>
          <w:sz w:val="20"/>
          <w:szCs w:val="20"/>
        </w:rPr>
        <w:t>.</w:t>
      </w:r>
      <w:r>
        <w:rPr>
          <w:rFonts w:ascii="Arial" w:hAnsi="Arial" w:cs="Arial"/>
          <w:color w:val="000000"/>
          <w:sz w:val="20"/>
          <w:szCs w:val="20"/>
        </w:rPr>
        <w:t xml:space="preserve"> This also would be a departure from GAAP and jeopardize the Departmental annual </w:t>
      </w:r>
      <w:r w:rsidR="009A0AFD">
        <w:rPr>
          <w:rFonts w:ascii="Arial" w:hAnsi="Arial" w:cs="Arial"/>
          <w:color w:val="000000"/>
          <w:sz w:val="20"/>
          <w:szCs w:val="20"/>
        </w:rPr>
        <w:t xml:space="preserve">financial statement </w:t>
      </w:r>
      <w:r>
        <w:rPr>
          <w:rFonts w:ascii="Arial" w:hAnsi="Arial" w:cs="Arial"/>
          <w:color w:val="000000"/>
          <w:sz w:val="20"/>
          <w:szCs w:val="20"/>
        </w:rPr>
        <w:t>audit.</w:t>
      </w:r>
      <w:r w:rsidR="00027873">
        <w:rPr>
          <w:rFonts w:ascii="Arial" w:hAnsi="Arial" w:cs="Arial"/>
          <w:color w:val="000000"/>
          <w:sz w:val="20"/>
          <w:szCs w:val="20"/>
        </w:rPr>
        <w:t xml:space="preserve"> Please note that responses are provided annually</w:t>
      </w:r>
      <w:r w:rsidR="009A0AFD">
        <w:rPr>
          <w:rFonts w:ascii="Arial" w:hAnsi="Arial" w:cs="Arial"/>
          <w:color w:val="000000"/>
          <w:sz w:val="20"/>
          <w:szCs w:val="20"/>
        </w:rPr>
        <w:t xml:space="preserve"> for the annual grants State survey and quarterly for the lookback variance analysis</w:t>
      </w:r>
      <w:r w:rsidR="00027873">
        <w:rPr>
          <w:rFonts w:ascii="Arial" w:hAnsi="Arial" w:cs="Arial"/>
          <w:color w:val="000000"/>
          <w:sz w:val="20"/>
          <w:szCs w:val="20"/>
        </w:rPr>
        <w:t>.</w:t>
      </w:r>
      <w:r>
        <w:rPr>
          <w:rFonts w:ascii="Arial" w:hAnsi="Arial" w:cs="Arial"/>
          <w:color w:val="000000"/>
          <w:sz w:val="20"/>
          <w:szCs w:val="20"/>
        </w:rPr>
        <w:t xml:space="preserve"> </w:t>
      </w:r>
      <w:r>
        <w:rPr>
          <w:rFonts w:ascii="Arial" w:hAnsi="Arial" w:cs="Arial"/>
          <w:color w:val="000000"/>
          <w:sz w:val="20"/>
          <w:szCs w:val="20"/>
        </w:rPr>
        <w:t xml:space="preserve"> </w:t>
      </w:r>
    </w:p>
    <w:p w:rsidR="00BD1BF2" w14:paraId="0B8187CD" w14:textId="77777777">
      <w:pPr>
        <w:pStyle w:val="NormalWeb"/>
        <w:rPr>
          <w:rFonts w:ascii="Arial" w:hAnsi="Arial" w:cs="Arial"/>
          <w:color w:val="000000"/>
          <w:sz w:val="20"/>
          <w:szCs w:val="20"/>
        </w:rPr>
      </w:pPr>
      <w:r>
        <w:rPr>
          <w:rFonts w:ascii="Arial" w:hAnsi="Arial" w:cs="Arial"/>
          <w:color w:val="000000"/>
          <w:sz w:val="20"/>
          <w:szCs w:val="20"/>
        </w:rPr>
        <w:t xml:space="preserve">7. </w:t>
      </w:r>
      <w:r>
        <w:rPr>
          <w:rFonts w:ascii="Arial" w:hAnsi="Arial" w:cs="Arial"/>
          <w:color w:val="000000"/>
          <w:sz w:val="20"/>
          <w:szCs w:val="20"/>
          <w:u w:val="single"/>
        </w:rPr>
        <w:t>Special circumstances</w:t>
      </w:r>
      <w:r>
        <w:rPr>
          <w:rFonts w:ascii="Arial" w:hAnsi="Arial" w:cs="Arial"/>
          <w:color w:val="000000"/>
          <w:sz w:val="20"/>
          <w:szCs w:val="20"/>
        </w:rPr>
        <w:t>:</w:t>
      </w:r>
    </w:p>
    <w:p w:rsidR="00F5092A" w14:paraId="03438377" w14:textId="77777777">
      <w:pPr>
        <w:pStyle w:val="BodyText"/>
        <w:rPr>
          <w:color w:val="000000"/>
        </w:rPr>
      </w:pPr>
      <w:r>
        <w:rPr>
          <w:color w:val="000000"/>
        </w:rPr>
        <w:t>It is recommended that States retain the records for at least 3 years after final payment for financial purposes per 2 CFR 200.333 (State DOT requirement) beyond the completion of construction projects.</w:t>
      </w:r>
    </w:p>
    <w:p w:rsidR="00CA121E" w:rsidP="007B532D" w14:paraId="5017245A" w14:textId="77777777">
      <w:pPr>
        <w:pStyle w:val="NormalWeb"/>
        <w:rPr>
          <w:rFonts w:ascii="Arial" w:hAnsi="Arial" w:cs="Arial"/>
          <w:color w:val="000000"/>
          <w:sz w:val="20"/>
          <w:szCs w:val="20"/>
        </w:rPr>
      </w:pPr>
      <w:r>
        <w:rPr>
          <w:rFonts w:ascii="Arial" w:hAnsi="Arial" w:cs="Arial"/>
          <w:color w:val="000000"/>
          <w:sz w:val="20"/>
          <w:szCs w:val="20"/>
        </w:rPr>
        <w:t xml:space="preserve">8. </w:t>
      </w:r>
      <w:r>
        <w:rPr>
          <w:rFonts w:ascii="Arial" w:hAnsi="Arial" w:cs="Arial"/>
          <w:color w:val="000000"/>
          <w:sz w:val="20"/>
          <w:szCs w:val="20"/>
          <w:u w:val="single"/>
        </w:rPr>
        <w:t>Compliance with 5 CFR 1320.8</w:t>
      </w:r>
      <w:r>
        <w:rPr>
          <w:rFonts w:ascii="Arial" w:hAnsi="Arial" w:cs="Arial"/>
          <w:color w:val="000000"/>
          <w:sz w:val="20"/>
          <w:szCs w:val="20"/>
        </w:rPr>
        <w:t>:</w:t>
      </w:r>
    </w:p>
    <w:p w:rsidR="00CA121E" w14:paraId="22DA6C69" w14:textId="12AFBF16">
      <w:pPr>
        <w:pStyle w:val="BodyText"/>
        <w:rPr>
          <w:color w:val="000000"/>
        </w:rPr>
      </w:pPr>
      <w:r>
        <w:rPr>
          <w:color w:val="000000"/>
        </w:rPr>
        <w:t xml:space="preserve">The 60-day Federal Register notice intended to solicit comments from the public on this information collection was published on </w:t>
      </w:r>
      <w:r w:rsidR="007B532D">
        <w:rPr>
          <w:color w:val="000000"/>
        </w:rPr>
        <w:t>August 12, 2026</w:t>
      </w:r>
      <w:r>
        <w:rPr>
          <w:color w:val="000000"/>
        </w:rPr>
        <w:t>, at [</w:t>
      </w:r>
      <w:r w:rsidR="00AE0C53">
        <w:rPr>
          <w:color w:val="000000"/>
        </w:rPr>
        <w:t>91</w:t>
      </w:r>
      <w:r>
        <w:rPr>
          <w:color w:val="000000"/>
        </w:rPr>
        <w:t xml:space="preserve"> FR </w:t>
      </w:r>
      <w:r w:rsidR="00AE0C53">
        <w:rPr>
          <w:color w:val="000000"/>
        </w:rPr>
        <w:t>52108</w:t>
      </w:r>
      <w:r>
        <w:rPr>
          <w:color w:val="000000"/>
        </w:rPr>
        <w:t xml:space="preserve">]. There were </w:t>
      </w:r>
      <w:r w:rsidR="00573F17">
        <w:rPr>
          <w:color w:val="000000"/>
        </w:rPr>
        <w:t>2</w:t>
      </w:r>
      <w:r>
        <w:rPr>
          <w:color w:val="000000"/>
        </w:rPr>
        <w:t xml:space="preserve"> comments received.</w:t>
      </w:r>
    </w:p>
    <w:p w:rsidR="00CA121E" w14:paraId="307DCF36" w14:textId="77777777">
      <w:pPr>
        <w:pStyle w:val="BodyText"/>
        <w:rPr>
          <w:color w:val="000000"/>
        </w:rPr>
      </w:pPr>
    </w:p>
    <w:p w:rsidR="00CA121E" w14:paraId="65832700" w14:textId="638937FA">
      <w:pPr>
        <w:pStyle w:val="BodyText"/>
        <w:rPr>
          <w:color w:val="000000"/>
        </w:rPr>
      </w:pPr>
      <w:r>
        <w:rPr>
          <w:color w:val="000000"/>
        </w:rPr>
        <w:t>The 30-day Federal Register notice intended to notify the public this information collection was submitted to OMB for review and approval w</w:t>
      </w:r>
      <w:r w:rsidRPr="00FF0D76">
        <w:rPr>
          <w:color w:val="000000"/>
        </w:rPr>
        <w:t xml:space="preserve">as published on </w:t>
      </w:r>
      <w:r w:rsidRPr="00FF0D76" w:rsidR="00FF0D76">
        <w:rPr>
          <w:color w:val="000000"/>
        </w:rPr>
        <w:t>October 16, 2026</w:t>
      </w:r>
      <w:r w:rsidRPr="00FF0D76">
        <w:rPr>
          <w:color w:val="000000"/>
        </w:rPr>
        <w:t>, at [</w:t>
      </w:r>
      <w:r w:rsidRPr="00FF0D76" w:rsidR="00FF0D76">
        <w:rPr>
          <w:color w:val="000000"/>
        </w:rPr>
        <w:t>91</w:t>
      </w:r>
      <w:r w:rsidRPr="00FF0D76">
        <w:rPr>
          <w:color w:val="000000"/>
        </w:rPr>
        <w:t xml:space="preserve"> FR </w:t>
      </w:r>
      <w:r w:rsidRPr="00FF0D76" w:rsidR="00FF0D76">
        <w:rPr>
          <w:color w:val="000000"/>
        </w:rPr>
        <w:t>65841</w:t>
      </w:r>
      <w:r w:rsidRPr="00FF0D76">
        <w:rPr>
          <w:color w:val="000000"/>
        </w:rPr>
        <w:t>].”</w:t>
      </w:r>
    </w:p>
    <w:p w:rsidR="000D4DA5" w14:paraId="5FABD1DA" w14:textId="77777777">
      <w:pPr>
        <w:pStyle w:val="BodyText"/>
        <w:rPr>
          <w:color w:val="000000"/>
        </w:rPr>
      </w:pPr>
    </w:p>
    <w:p w:rsidR="000D4DA5" w:rsidRPr="00BA06D0" w14:paraId="226436A0" w14:textId="2B5C1780">
      <w:pPr>
        <w:pStyle w:val="BodyText"/>
        <w:rPr>
          <w:color w:val="auto"/>
        </w:rPr>
      </w:pPr>
      <w:r w:rsidRPr="00BA06D0">
        <w:rPr>
          <w:color w:val="auto"/>
        </w:rPr>
        <w:t>The comments received by the recipient</w:t>
      </w:r>
      <w:r w:rsidRPr="00BA06D0" w:rsidR="004B5332">
        <w:rPr>
          <w:color w:val="auto"/>
        </w:rPr>
        <w:t xml:space="preserve"> include (1) Is the collection </w:t>
      </w:r>
      <w:r w:rsidRPr="00BA06D0" w:rsidR="004B5332">
        <w:rPr>
          <w:color w:val="auto"/>
        </w:rPr>
        <w:t>necessary?;</w:t>
      </w:r>
      <w:r w:rsidRPr="00BA06D0" w:rsidR="004B5332">
        <w:rPr>
          <w:color w:val="auto"/>
        </w:rPr>
        <w:t xml:space="preserve"> (2) Is the burden estimate </w:t>
      </w:r>
      <w:r w:rsidRPr="00BA06D0" w:rsidR="004B5332">
        <w:rPr>
          <w:color w:val="auto"/>
        </w:rPr>
        <w:t>accurate</w:t>
      </w:r>
      <w:r w:rsidRPr="00BA06D0" w:rsidR="00E020C5">
        <w:rPr>
          <w:color w:val="auto"/>
        </w:rPr>
        <w:t>?</w:t>
      </w:r>
      <w:r w:rsidRPr="00BA06D0" w:rsidR="004B5332">
        <w:rPr>
          <w:color w:val="auto"/>
        </w:rPr>
        <w:t>;</w:t>
      </w:r>
      <w:r w:rsidRPr="00BA06D0" w:rsidR="004B5332">
        <w:rPr>
          <w:color w:val="auto"/>
        </w:rPr>
        <w:t xml:space="preserve"> (3) </w:t>
      </w:r>
      <w:r w:rsidRPr="00BA06D0" w:rsidR="00E020C5">
        <w:rPr>
          <w:color w:val="auto"/>
        </w:rPr>
        <w:t>Ways to enhance the quality</w:t>
      </w:r>
      <w:r w:rsidRPr="00BA06D0" w:rsidR="00024EA5">
        <w:rPr>
          <w:color w:val="auto"/>
        </w:rPr>
        <w:t xml:space="preserve"> and clarity of the collected information; and (4) Ways to limit burden</w:t>
      </w:r>
      <w:r w:rsidRPr="00BA06D0" w:rsidR="00AB612F">
        <w:rPr>
          <w:color w:val="auto"/>
        </w:rPr>
        <w:t xml:space="preserve"> without reducing the quality of the collected information</w:t>
      </w:r>
      <w:r w:rsidRPr="00BA06D0" w:rsidR="000271E5">
        <w:rPr>
          <w:color w:val="auto"/>
        </w:rPr>
        <w:t>.</w:t>
      </w:r>
    </w:p>
    <w:p w:rsidR="00AB612F" w:rsidRPr="00BA06D0" w14:paraId="6572B217" w14:textId="77777777">
      <w:pPr>
        <w:pStyle w:val="BodyText"/>
        <w:rPr>
          <w:color w:val="auto"/>
        </w:rPr>
      </w:pPr>
    </w:p>
    <w:p w:rsidR="00EE4754" w:rsidRPr="00BA06D0" w14:paraId="3C7504F3" w14:textId="77777777">
      <w:pPr>
        <w:pStyle w:val="BodyText"/>
        <w:rPr>
          <w:color w:val="auto"/>
        </w:rPr>
      </w:pPr>
      <w:r w:rsidRPr="00BA06D0">
        <w:rPr>
          <w:color w:val="auto"/>
        </w:rPr>
        <w:t xml:space="preserve">FHWA appreciates the feedback and understands that this could require extra work from the States. Unfortunately, </w:t>
      </w:r>
      <w:r w:rsidRPr="00BA06D0" w:rsidR="00B07772">
        <w:rPr>
          <w:color w:val="auto"/>
        </w:rPr>
        <w:t>because of the complexity of our program</w:t>
      </w:r>
      <w:r w:rsidRPr="00BA06D0" w:rsidR="00151013">
        <w:rPr>
          <w:color w:val="auto"/>
        </w:rPr>
        <w:t>s, we rely heavily on the States to provide the requested information. Since each State operates differently, the grant accrual calculation and process</w:t>
      </w:r>
      <w:r w:rsidRPr="00BA06D0" w:rsidR="00B957CC">
        <w:rPr>
          <w:color w:val="auto"/>
        </w:rPr>
        <w:t xml:space="preserve"> </w:t>
      </w:r>
      <w:r w:rsidRPr="00BA06D0" w:rsidR="00A96977">
        <w:rPr>
          <w:color w:val="auto"/>
        </w:rPr>
        <w:t>consolidate</w:t>
      </w:r>
      <w:r w:rsidRPr="00BA06D0" w:rsidR="00B957CC">
        <w:rPr>
          <w:color w:val="auto"/>
        </w:rPr>
        <w:t xml:space="preserve"> all State responses and </w:t>
      </w:r>
      <w:r w:rsidRPr="00BA06D0" w:rsidR="002C1C50">
        <w:rPr>
          <w:color w:val="auto"/>
        </w:rPr>
        <w:t xml:space="preserve">FHWA </w:t>
      </w:r>
      <w:r w:rsidRPr="00BA06D0" w:rsidR="00B957CC">
        <w:rPr>
          <w:color w:val="auto"/>
        </w:rPr>
        <w:t xml:space="preserve">uses a </w:t>
      </w:r>
      <w:r w:rsidRPr="00BA06D0" w:rsidR="00A96977">
        <w:rPr>
          <w:color w:val="auto"/>
        </w:rPr>
        <w:t>standardized</w:t>
      </w:r>
      <w:r w:rsidRPr="00BA06D0" w:rsidR="00B957CC">
        <w:rPr>
          <w:color w:val="auto"/>
        </w:rPr>
        <w:t xml:space="preserve"> process to calculate the quarterly grant accrual</w:t>
      </w:r>
      <w:r w:rsidRPr="00BA06D0">
        <w:rPr>
          <w:color w:val="auto"/>
        </w:rPr>
        <w:t xml:space="preserve"> to compensate for the differences</w:t>
      </w:r>
      <w:r w:rsidRPr="00BA06D0" w:rsidR="00B957CC">
        <w:rPr>
          <w:color w:val="auto"/>
        </w:rPr>
        <w:t>.</w:t>
      </w:r>
      <w:r w:rsidRPr="00BA06D0">
        <w:rPr>
          <w:color w:val="auto"/>
        </w:rPr>
        <w:t xml:space="preserve"> </w:t>
      </w:r>
    </w:p>
    <w:p w:rsidR="00EE4754" w:rsidRPr="00BA06D0" w14:paraId="24E01D31" w14:textId="77777777">
      <w:pPr>
        <w:pStyle w:val="BodyText"/>
        <w:rPr>
          <w:color w:val="auto"/>
        </w:rPr>
      </w:pPr>
    </w:p>
    <w:p w:rsidR="00EE4754" w:rsidRPr="00BA06D0" w14:paraId="7A7A95C5" w14:textId="4902AD74">
      <w:pPr>
        <w:pStyle w:val="BodyText"/>
        <w:rPr>
          <w:color w:val="auto"/>
        </w:rPr>
      </w:pPr>
      <w:r w:rsidRPr="00BA06D0">
        <w:rPr>
          <w:color w:val="auto"/>
        </w:rPr>
        <w:t>The burden is our best gues</w:t>
      </w:r>
      <w:r w:rsidRPr="00BA06D0" w:rsidR="004334B9">
        <w:rPr>
          <w:color w:val="auto"/>
        </w:rPr>
        <w:t xml:space="preserve">s at how much time it takes a State to complete the </w:t>
      </w:r>
      <w:r w:rsidRPr="00BA06D0" w:rsidR="00A9139A">
        <w:rPr>
          <w:color w:val="auto"/>
        </w:rPr>
        <w:t xml:space="preserve">annual </w:t>
      </w:r>
      <w:r w:rsidRPr="00BA06D0" w:rsidR="004334B9">
        <w:rPr>
          <w:color w:val="auto"/>
        </w:rPr>
        <w:t xml:space="preserve">survey. However, </w:t>
      </w:r>
      <w:r w:rsidRPr="00BA06D0" w:rsidR="00861049">
        <w:rPr>
          <w:color w:val="auto"/>
        </w:rPr>
        <w:t xml:space="preserve">burden on the States depends on several factors. Several factor examples include State personnel </w:t>
      </w:r>
      <w:r w:rsidRPr="00BA06D0" w:rsidR="009579E1">
        <w:rPr>
          <w:color w:val="auto"/>
        </w:rPr>
        <w:t xml:space="preserve">(new vs seasoned employee), </w:t>
      </w:r>
      <w:r w:rsidRPr="00BA06D0" w:rsidR="007F0669">
        <w:rPr>
          <w:color w:val="auto"/>
        </w:rPr>
        <w:t xml:space="preserve">familiarity with </w:t>
      </w:r>
      <w:r w:rsidRPr="00BA06D0" w:rsidR="004334B9">
        <w:rPr>
          <w:color w:val="auto"/>
        </w:rPr>
        <w:t xml:space="preserve">completing the </w:t>
      </w:r>
      <w:r w:rsidRPr="00BA06D0" w:rsidR="007F0669">
        <w:rPr>
          <w:color w:val="auto"/>
        </w:rPr>
        <w:t xml:space="preserve">annual </w:t>
      </w:r>
      <w:r w:rsidRPr="00BA06D0" w:rsidR="004334B9">
        <w:rPr>
          <w:color w:val="auto"/>
        </w:rPr>
        <w:t>survey</w:t>
      </w:r>
      <w:r w:rsidRPr="00BA06D0" w:rsidR="007F0669">
        <w:rPr>
          <w:color w:val="auto"/>
        </w:rPr>
        <w:t xml:space="preserve"> (1</w:t>
      </w:r>
      <w:r w:rsidRPr="00BA06D0" w:rsidR="007F0669">
        <w:rPr>
          <w:color w:val="auto"/>
          <w:vertAlign w:val="superscript"/>
        </w:rPr>
        <w:t>st</w:t>
      </w:r>
      <w:r w:rsidRPr="00BA06D0" w:rsidR="007F0669">
        <w:rPr>
          <w:color w:val="auto"/>
        </w:rPr>
        <w:t xml:space="preserve"> time versus 7</w:t>
      </w:r>
      <w:r w:rsidRPr="00BA06D0" w:rsidR="007F0669">
        <w:rPr>
          <w:color w:val="auto"/>
          <w:vertAlign w:val="superscript"/>
        </w:rPr>
        <w:t>th</w:t>
      </w:r>
      <w:r w:rsidRPr="00BA06D0" w:rsidR="007F0669">
        <w:rPr>
          <w:color w:val="auto"/>
        </w:rPr>
        <w:t xml:space="preserve"> time)</w:t>
      </w:r>
      <w:r w:rsidRPr="00BA06D0" w:rsidR="004334B9">
        <w:rPr>
          <w:color w:val="auto"/>
        </w:rPr>
        <w:t xml:space="preserve">, </w:t>
      </w:r>
      <w:r w:rsidRPr="00BA06D0" w:rsidR="009579E1">
        <w:rPr>
          <w:color w:val="auto"/>
        </w:rPr>
        <w:t xml:space="preserve">and </w:t>
      </w:r>
      <w:r w:rsidRPr="00BA06D0" w:rsidR="004334B9">
        <w:rPr>
          <w:color w:val="auto"/>
        </w:rPr>
        <w:t xml:space="preserve">knowledge of the Federal grants </w:t>
      </w:r>
      <w:r w:rsidRPr="00BA06D0" w:rsidR="009579E1">
        <w:rPr>
          <w:color w:val="auto"/>
        </w:rPr>
        <w:t xml:space="preserve">management </w:t>
      </w:r>
      <w:r w:rsidRPr="00BA06D0" w:rsidR="004334B9">
        <w:rPr>
          <w:color w:val="auto"/>
        </w:rPr>
        <w:t>process</w:t>
      </w:r>
      <w:r w:rsidRPr="00BA06D0" w:rsidR="009579E1">
        <w:rPr>
          <w:color w:val="auto"/>
        </w:rPr>
        <w:t xml:space="preserve"> and procedures</w:t>
      </w:r>
      <w:r w:rsidRPr="00BA06D0" w:rsidR="000D1D83">
        <w:rPr>
          <w:color w:val="auto"/>
        </w:rPr>
        <w:t>.</w:t>
      </w:r>
      <w:r w:rsidRPr="00BA06D0" w:rsidR="00EB79DC">
        <w:rPr>
          <w:color w:val="auto"/>
        </w:rPr>
        <w:t xml:space="preserve"> However, we have taken steps to reduce the burden </w:t>
      </w:r>
      <w:r w:rsidRPr="00BA06D0" w:rsidR="00117D16">
        <w:rPr>
          <w:color w:val="auto"/>
        </w:rPr>
        <w:t xml:space="preserve">by States to research variances. The steps taken by FHWA include providing the States with the program and projects that make up the variance. </w:t>
      </w:r>
    </w:p>
    <w:p w:rsidR="000D1D83" w:rsidRPr="00BA06D0" w14:paraId="70A9CB49" w14:textId="77777777">
      <w:pPr>
        <w:pStyle w:val="BodyText"/>
        <w:rPr>
          <w:color w:val="auto"/>
        </w:rPr>
      </w:pPr>
    </w:p>
    <w:p w:rsidR="00AB612F" w:rsidRPr="00BA06D0" w14:paraId="0021126C" w14:textId="1E932544">
      <w:pPr>
        <w:pStyle w:val="BodyText"/>
        <w:rPr>
          <w:color w:val="auto"/>
        </w:rPr>
      </w:pPr>
      <w:r w:rsidRPr="00BA06D0">
        <w:rPr>
          <w:color w:val="auto"/>
        </w:rPr>
        <w:t xml:space="preserve">We are continuously enhancing our grants process so that the estimate on our financial statements </w:t>
      </w:r>
      <w:r w:rsidRPr="00BA06D0" w:rsidR="007D256C">
        <w:rPr>
          <w:color w:val="auto"/>
        </w:rPr>
        <w:t>is</w:t>
      </w:r>
      <w:r w:rsidRPr="00BA06D0">
        <w:rPr>
          <w:color w:val="auto"/>
        </w:rPr>
        <w:t xml:space="preserve"> conservative, yet appropriate for the </w:t>
      </w:r>
      <w:r w:rsidRPr="00BA06D0" w:rsidR="007D256C">
        <w:rPr>
          <w:color w:val="auto"/>
        </w:rPr>
        <w:t>fiscal</w:t>
      </w:r>
      <w:r w:rsidRPr="00BA06D0">
        <w:rPr>
          <w:color w:val="auto"/>
        </w:rPr>
        <w:t xml:space="preserve"> year end reporting</w:t>
      </w:r>
      <w:r w:rsidRPr="00BA06D0" w:rsidR="007D256C">
        <w:rPr>
          <w:color w:val="auto"/>
        </w:rPr>
        <w:t xml:space="preserve"> to meet the</w:t>
      </w:r>
      <w:r w:rsidRPr="00BA06D0" w:rsidR="000D1D83">
        <w:rPr>
          <w:color w:val="auto"/>
        </w:rPr>
        <w:t xml:space="preserve"> Departmental,</w:t>
      </w:r>
      <w:r w:rsidRPr="00BA06D0" w:rsidR="007D256C">
        <w:rPr>
          <w:color w:val="auto"/>
        </w:rPr>
        <w:t xml:space="preserve"> </w:t>
      </w:r>
      <w:r w:rsidRPr="00BA06D0" w:rsidR="009E1084">
        <w:rPr>
          <w:color w:val="auto"/>
        </w:rPr>
        <w:t xml:space="preserve">financial statement </w:t>
      </w:r>
      <w:r w:rsidRPr="00BA06D0" w:rsidR="00A8171A">
        <w:rPr>
          <w:color w:val="auto"/>
        </w:rPr>
        <w:t>auditors</w:t>
      </w:r>
      <w:r w:rsidRPr="00BA06D0" w:rsidR="000D1D83">
        <w:rPr>
          <w:color w:val="auto"/>
        </w:rPr>
        <w:t xml:space="preserve">, and </w:t>
      </w:r>
      <w:r w:rsidRPr="00BA06D0" w:rsidR="00A8171A">
        <w:rPr>
          <w:color w:val="auto"/>
        </w:rPr>
        <w:t>Federal government-wide</w:t>
      </w:r>
      <w:r w:rsidRPr="00BA06D0" w:rsidR="007D256C">
        <w:rPr>
          <w:color w:val="auto"/>
        </w:rPr>
        <w:t xml:space="preserve"> expectations</w:t>
      </w:r>
      <w:r w:rsidRPr="00BA06D0">
        <w:rPr>
          <w:color w:val="auto"/>
        </w:rPr>
        <w:t>.</w:t>
      </w:r>
      <w:r w:rsidRPr="00BA06D0" w:rsidR="00A8171A">
        <w:rPr>
          <w:color w:val="auto"/>
        </w:rPr>
        <w:t xml:space="preserve"> This estimate is required per the Generally Accepted Accounting Principles as well as other accounting authoritative sources.</w:t>
      </w:r>
    </w:p>
    <w:p w:rsidR="00AD40AD" w:rsidRPr="00BA06D0" w14:paraId="7518CDFB" w14:textId="77777777">
      <w:pPr>
        <w:pStyle w:val="BodyText"/>
        <w:rPr>
          <w:color w:val="auto"/>
        </w:rPr>
      </w:pPr>
    </w:p>
    <w:p w:rsidR="00AD40AD" w:rsidRPr="00BA06D0" w14:paraId="33901AD9" w14:textId="7D395A03">
      <w:pPr>
        <w:pStyle w:val="BodyText"/>
        <w:rPr>
          <w:color w:val="auto"/>
        </w:rPr>
      </w:pPr>
      <w:r w:rsidRPr="00BA06D0">
        <w:rPr>
          <w:color w:val="auto"/>
        </w:rPr>
        <w:t>We do welcome and value your feedback. We will keep your comment</w:t>
      </w:r>
      <w:r w:rsidRPr="00BA06D0" w:rsidR="00F47F3B">
        <w:rPr>
          <w:color w:val="auto"/>
        </w:rPr>
        <w:t>s in mind when we further enhance our quarterly grant accrual process.</w:t>
      </w:r>
    </w:p>
    <w:p w:rsidR="000271E5" w:rsidRPr="00BA06D0" w14:paraId="4B16D1C0" w14:textId="2A40937D">
      <w:pPr>
        <w:pStyle w:val="BodyText"/>
        <w:rPr>
          <w:color w:val="auto"/>
        </w:rPr>
      </w:pPr>
    </w:p>
    <w:p w:rsidR="00BD1BF2" w14:paraId="737C29C7" w14:textId="77777777">
      <w:pPr>
        <w:pStyle w:val="NormalWeb"/>
        <w:rPr>
          <w:rFonts w:ascii="Arial" w:hAnsi="Arial" w:cs="Arial"/>
          <w:color w:val="000000"/>
          <w:sz w:val="20"/>
          <w:szCs w:val="20"/>
        </w:rPr>
      </w:pPr>
      <w:r>
        <w:rPr>
          <w:rFonts w:ascii="Arial" w:hAnsi="Arial" w:cs="Arial"/>
          <w:color w:val="000000"/>
          <w:sz w:val="20"/>
          <w:szCs w:val="20"/>
        </w:rPr>
        <w:t xml:space="preserve">9. </w:t>
      </w:r>
      <w:r>
        <w:rPr>
          <w:rFonts w:ascii="Arial" w:hAnsi="Arial" w:cs="Arial"/>
          <w:color w:val="000000"/>
          <w:sz w:val="20"/>
          <w:szCs w:val="20"/>
          <w:u w:val="single"/>
        </w:rPr>
        <w:t>Payments or gifts to respondents</w:t>
      </w:r>
      <w:r>
        <w:rPr>
          <w:rFonts w:ascii="Arial" w:hAnsi="Arial" w:cs="Arial"/>
          <w:color w:val="000000"/>
          <w:sz w:val="20"/>
          <w:szCs w:val="20"/>
        </w:rPr>
        <w:t>:</w:t>
      </w:r>
    </w:p>
    <w:p w:rsidR="00BD1BF2" w14:paraId="7D5B9E04" w14:textId="77777777">
      <w:pPr>
        <w:pStyle w:val="BodyText"/>
        <w:rPr>
          <w:color w:val="000000"/>
        </w:rPr>
      </w:pPr>
      <w:r>
        <w:rPr>
          <w:color w:val="000000"/>
        </w:rPr>
        <w:t>Not applicable</w:t>
      </w:r>
      <w:r>
        <w:rPr>
          <w:color w:val="000000"/>
        </w:rPr>
        <w:t xml:space="preserve">. </w:t>
      </w:r>
    </w:p>
    <w:p w:rsidR="00BD1BF2" w14:paraId="3ECA00DB" w14:textId="77777777">
      <w:pPr>
        <w:pStyle w:val="NormalWeb"/>
        <w:rPr>
          <w:rFonts w:ascii="Arial" w:hAnsi="Arial" w:cs="Arial"/>
          <w:color w:val="000000"/>
          <w:sz w:val="20"/>
          <w:szCs w:val="20"/>
        </w:rPr>
      </w:pPr>
      <w:r>
        <w:rPr>
          <w:rFonts w:ascii="Arial" w:hAnsi="Arial" w:cs="Arial"/>
          <w:color w:val="000000"/>
          <w:sz w:val="20"/>
          <w:szCs w:val="20"/>
        </w:rPr>
        <w:t xml:space="preserve">10. </w:t>
      </w:r>
      <w:r>
        <w:rPr>
          <w:rFonts w:ascii="Arial" w:hAnsi="Arial" w:cs="Arial"/>
          <w:color w:val="000000"/>
          <w:sz w:val="20"/>
          <w:szCs w:val="20"/>
          <w:u w:val="single"/>
        </w:rPr>
        <w:t>Assurance of confidentiality</w:t>
      </w:r>
      <w:r>
        <w:rPr>
          <w:rFonts w:ascii="Arial" w:hAnsi="Arial" w:cs="Arial"/>
          <w:color w:val="000000"/>
          <w:sz w:val="20"/>
          <w:szCs w:val="20"/>
        </w:rPr>
        <w:t>:</w:t>
      </w:r>
    </w:p>
    <w:p w:rsidR="00BD1BF2" w14:paraId="668F9FB5" w14:textId="77777777">
      <w:pPr>
        <w:pStyle w:val="BodyText"/>
        <w:rPr>
          <w:color w:val="000000"/>
        </w:rPr>
      </w:pPr>
      <w:r>
        <w:rPr>
          <w:color w:val="000000"/>
        </w:rPr>
        <w:t>Individuals within the FHWA Division Offices and OCFO will have access to the Annual State Survey responses</w:t>
      </w:r>
      <w:r w:rsidR="009A0AFD">
        <w:rPr>
          <w:color w:val="000000"/>
        </w:rPr>
        <w:t xml:space="preserve"> and quarterly lookback variance analysis</w:t>
      </w:r>
      <w:r>
        <w:rPr>
          <w:color w:val="000000"/>
        </w:rPr>
        <w:t>.</w:t>
      </w:r>
      <w:r>
        <w:rPr>
          <w:color w:val="000000"/>
        </w:rPr>
        <w:t xml:space="preserve"> The </w:t>
      </w:r>
      <w:r w:rsidR="009A0AFD">
        <w:rPr>
          <w:color w:val="000000"/>
        </w:rPr>
        <w:t xml:space="preserve">annual grants </w:t>
      </w:r>
      <w:r>
        <w:rPr>
          <w:color w:val="000000"/>
        </w:rPr>
        <w:t xml:space="preserve">State </w:t>
      </w:r>
      <w:r w:rsidR="009A0AFD">
        <w:rPr>
          <w:color w:val="000000"/>
        </w:rPr>
        <w:t>s</w:t>
      </w:r>
      <w:r>
        <w:rPr>
          <w:color w:val="000000"/>
        </w:rPr>
        <w:t xml:space="preserve">urvey </w:t>
      </w:r>
      <w:r w:rsidR="009A0AFD">
        <w:rPr>
          <w:color w:val="000000"/>
        </w:rPr>
        <w:t>and quarterly lookback analysis do</w:t>
      </w:r>
      <w:r>
        <w:rPr>
          <w:color w:val="000000"/>
        </w:rPr>
        <w:t xml:space="preserve"> not request any confidential</w:t>
      </w:r>
      <w:r w:rsidR="001E2FA7">
        <w:rPr>
          <w:color w:val="000000"/>
        </w:rPr>
        <w:t xml:space="preserve"> or personal identifiable</w:t>
      </w:r>
      <w:r>
        <w:rPr>
          <w:color w:val="000000"/>
        </w:rPr>
        <w:t xml:space="preserve"> information.</w:t>
      </w:r>
      <w:r>
        <w:rPr>
          <w:color w:val="000000"/>
        </w:rPr>
        <w:t xml:space="preserve"> </w:t>
      </w:r>
    </w:p>
    <w:p w:rsidR="00BD1BF2" w14:paraId="2EEECDE7" w14:textId="77777777">
      <w:pPr>
        <w:pStyle w:val="NormalWeb"/>
        <w:rPr>
          <w:rFonts w:ascii="Arial" w:hAnsi="Arial" w:cs="Arial"/>
          <w:color w:val="000000"/>
          <w:sz w:val="20"/>
          <w:szCs w:val="20"/>
        </w:rPr>
      </w:pPr>
      <w:r>
        <w:rPr>
          <w:rFonts w:ascii="Arial" w:hAnsi="Arial" w:cs="Arial"/>
          <w:color w:val="000000"/>
          <w:sz w:val="20"/>
          <w:szCs w:val="20"/>
        </w:rPr>
        <w:t xml:space="preserve">11. </w:t>
      </w:r>
      <w:r>
        <w:rPr>
          <w:rFonts w:ascii="Arial" w:hAnsi="Arial" w:cs="Arial"/>
          <w:color w:val="000000"/>
          <w:sz w:val="20"/>
          <w:szCs w:val="20"/>
          <w:u w:val="single"/>
        </w:rPr>
        <w:t>Justification for collection of sensitive information</w:t>
      </w:r>
      <w:r>
        <w:rPr>
          <w:rFonts w:ascii="Arial" w:hAnsi="Arial" w:cs="Arial"/>
          <w:color w:val="000000"/>
          <w:sz w:val="20"/>
          <w:szCs w:val="20"/>
        </w:rPr>
        <w:t>:</w:t>
      </w:r>
    </w:p>
    <w:p w:rsidR="00BD1BF2" w14:paraId="1A5DE705" w14:textId="77777777">
      <w:pPr>
        <w:pStyle w:val="BodyText"/>
        <w:rPr>
          <w:color w:val="000000"/>
        </w:rPr>
      </w:pPr>
      <w:r>
        <w:rPr>
          <w:color w:val="000000"/>
        </w:rPr>
        <w:t xml:space="preserve">There are no private questions </w:t>
      </w:r>
      <w:r w:rsidR="009A0AFD">
        <w:rPr>
          <w:color w:val="000000"/>
        </w:rPr>
        <w:t>or responses</w:t>
      </w:r>
      <w:r>
        <w:rPr>
          <w:color w:val="000000"/>
        </w:rPr>
        <w:t xml:space="preserve">. </w:t>
      </w:r>
    </w:p>
    <w:p w:rsidR="00BD1BF2" w14:paraId="1F7464F7" w14:textId="77777777">
      <w:pPr>
        <w:pStyle w:val="NormalWeb"/>
        <w:rPr>
          <w:rFonts w:ascii="Arial" w:hAnsi="Arial" w:cs="Arial"/>
          <w:color w:val="000000"/>
          <w:sz w:val="20"/>
          <w:szCs w:val="20"/>
        </w:rPr>
      </w:pPr>
      <w:r>
        <w:rPr>
          <w:rFonts w:ascii="Arial" w:hAnsi="Arial" w:cs="Arial"/>
          <w:color w:val="000000"/>
          <w:sz w:val="20"/>
          <w:szCs w:val="20"/>
        </w:rPr>
        <w:t xml:space="preserve">12. </w:t>
      </w:r>
      <w:r>
        <w:rPr>
          <w:rFonts w:ascii="Arial" w:hAnsi="Arial" w:cs="Arial"/>
          <w:color w:val="000000"/>
          <w:sz w:val="20"/>
          <w:szCs w:val="20"/>
          <w:u w:val="single"/>
        </w:rPr>
        <w:t>Estimate of burden hours for information requested</w:t>
      </w:r>
      <w:r>
        <w:rPr>
          <w:rFonts w:ascii="Arial" w:hAnsi="Arial" w:cs="Arial"/>
          <w:color w:val="000000"/>
          <w:sz w:val="20"/>
          <w:szCs w:val="20"/>
        </w:rPr>
        <w:t>:</w:t>
      </w:r>
    </w:p>
    <w:p w:rsidR="001E2FA7" w14:paraId="4F520968" w14:textId="77777777">
      <w:pPr>
        <w:pStyle w:val="BodyText"/>
        <w:rPr>
          <w:color w:val="000000"/>
        </w:rPr>
      </w:pPr>
      <w:r>
        <w:rPr>
          <w:color w:val="000000"/>
        </w:rPr>
        <w:t>See table below</w:t>
      </w:r>
      <w:r>
        <w:rPr>
          <w:color w:val="000000"/>
        </w:rPr>
        <w:t>.</w:t>
      </w:r>
    </w:p>
    <w:p w:rsidR="007A1B6F" w14:paraId="193FC508" w14:textId="152D480B">
      <w:pPr>
        <w:pStyle w:val="BodyText"/>
        <w:rPr>
          <w:color w:val="000000"/>
        </w:rPr>
      </w:pPr>
      <w:r>
        <w:rPr>
          <w:noProof/>
          <w:color w:val="000000"/>
        </w:rPr>
        <w:drawing>
          <wp:inline distT="0" distB="0" distL="0" distR="0">
            <wp:extent cx="5486400" cy="356997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486400" cy="3569970"/>
                    </a:xfrm>
                    <a:prstGeom prst="rect">
                      <a:avLst/>
                    </a:prstGeom>
                    <a:noFill/>
                    <a:ln>
                      <a:noFill/>
                    </a:ln>
                  </pic:spPr>
                </pic:pic>
              </a:graphicData>
            </a:graphic>
          </wp:inline>
        </w:drawing>
      </w:r>
    </w:p>
    <w:p w:rsidR="00BD1BF2" w14:paraId="3E768D1D" w14:textId="77777777">
      <w:pPr>
        <w:pStyle w:val="NormalWeb"/>
        <w:rPr>
          <w:rFonts w:ascii="Arial" w:hAnsi="Arial" w:cs="Arial"/>
          <w:color w:val="000000"/>
          <w:sz w:val="20"/>
          <w:szCs w:val="20"/>
        </w:rPr>
      </w:pPr>
      <w:r>
        <w:rPr>
          <w:rFonts w:ascii="Arial" w:hAnsi="Arial" w:cs="Arial"/>
          <w:color w:val="000000"/>
          <w:sz w:val="20"/>
          <w:szCs w:val="20"/>
        </w:rPr>
        <w:t xml:space="preserve">13. </w:t>
      </w:r>
      <w:r>
        <w:rPr>
          <w:rFonts w:ascii="Arial" w:hAnsi="Arial" w:cs="Arial"/>
          <w:color w:val="000000"/>
          <w:sz w:val="20"/>
          <w:szCs w:val="20"/>
          <w:u w:val="single"/>
        </w:rPr>
        <w:t>Estimate of total annual costs to respondents</w:t>
      </w:r>
      <w:r>
        <w:rPr>
          <w:rFonts w:ascii="Arial" w:hAnsi="Arial" w:cs="Arial"/>
          <w:color w:val="000000"/>
          <w:sz w:val="20"/>
          <w:szCs w:val="20"/>
        </w:rPr>
        <w:t>:</w:t>
      </w:r>
    </w:p>
    <w:p w:rsidR="00BD1BF2" w14:paraId="651056C4" w14:textId="77777777">
      <w:pPr>
        <w:pStyle w:val="BodyText"/>
        <w:rPr>
          <w:color w:val="000000"/>
        </w:rPr>
      </w:pPr>
      <w:r>
        <w:rPr>
          <w:color w:val="000000"/>
        </w:rPr>
        <w:t xml:space="preserve">There are no start-up or capital costs </w:t>
      </w:r>
      <w:r w:rsidR="007E350F">
        <w:rPr>
          <w:color w:val="000000"/>
        </w:rPr>
        <w:t>for</w:t>
      </w:r>
      <w:r>
        <w:rPr>
          <w:color w:val="000000"/>
        </w:rPr>
        <w:t xml:space="preserve"> the respondents</w:t>
      </w:r>
      <w:r>
        <w:rPr>
          <w:color w:val="000000"/>
        </w:rPr>
        <w:t xml:space="preserve">. </w:t>
      </w:r>
    </w:p>
    <w:p w:rsidR="00BD1BF2" w14:paraId="3EDD971D" w14:textId="77777777">
      <w:pPr>
        <w:pStyle w:val="NormalWeb"/>
        <w:rPr>
          <w:rFonts w:ascii="Arial" w:hAnsi="Arial" w:cs="Arial"/>
          <w:color w:val="000000"/>
          <w:sz w:val="20"/>
          <w:szCs w:val="20"/>
        </w:rPr>
      </w:pPr>
      <w:r>
        <w:rPr>
          <w:rFonts w:ascii="Arial" w:hAnsi="Arial" w:cs="Arial"/>
          <w:color w:val="000000"/>
          <w:sz w:val="20"/>
          <w:szCs w:val="20"/>
        </w:rPr>
        <w:t xml:space="preserve">14. </w:t>
      </w:r>
      <w:r>
        <w:rPr>
          <w:rFonts w:ascii="Arial" w:hAnsi="Arial" w:cs="Arial"/>
          <w:color w:val="000000"/>
          <w:sz w:val="20"/>
          <w:szCs w:val="20"/>
          <w:u w:val="single"/>
        </w:rPr>
        <w:t>Estimate of cost to the Federal government</w:t>
      </w:r>
      <w:r>
        <w:rPr>
          <w:rFonts w:ascii="Arial" w:hAnsi="Arial" w:cs="Arial"/>
          <w:color w:val="000000"/>
          <w:sz w:val="20"/>
          <w:szCs w:val="20"/>
        </w:rPr>
        <w:t>:</w:t>
      </w:r>
    </w:p>
    <w:p w:rsidR="00BD1BF2" w14:paraId="55FAFB51" w14:textId="77777777">
      <w:pPr>
        <w:pStyle w:val="BodyText"/>
        <w:rPr>
          <w:color w:val="000000"/>
        </w:rPr>
      </w:pPr>
      <w:r>
        <w:rPr>
          <w:color w:val="000000"/>
        </w:rPr>
        <w:t>See table below.</w:t>
      </w:r>
    </w:p>
    <w:p w:rsidR="00C07F7A" w14:paraId="18882CB8" w14:textId="1A4B3AEE">
      <w:pPr>
        <w:pStyle w:val="BodyText"/>
        <w:rPr>
          <w:color w:val="000000"/>
        </w:rPr>
      </w:pPr>
      <w:r>
        <w:rPr>
          <w:noProof/>
          <w:color w:val="000000"/>
        </w:rPr>
        <w:drawing>
          <wp:inline distT="0" distB="0" distL="0" distR="0">
            <wp:extent cx="5486400" cy="16605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486400" cy="1660525"/>
                    </a:xfrm>
                    <a:prstGeom prst="rect">
                      <a:avLst/>
                    </a:prstGeom>
                    <a:noFill/>
                    <a:ln>
                      <a:noFill/>
                    </a:ln>
                  </pic:spPr>
                </pic:pic>
              </a:graphicData>
            </a:graphic>
          </wp:inline>
        </w:drawing>
      </w:r>
    </w:p>
    <w:p w:rsidR="00BD1BF2" w14:paraId="3B283D9A" w14:textId="77777777">
      <w:pPr>
        <w:pStyle w:val="NormalWeb"/>
        <w:rPr>
          <w:rFonts w:ascii="Arial" w:hAnsi="Arial" w:cs="Arial"/>
          <w:color w:val="000000"/>
          <w:sz w:val="20"/>
          <w:szCs w:val="20"/>
        </w:rPr>
      </w:pPr>
      <w:r>
        <w:rPr>
          <w:rFonts w:ascii="Arial" w:hAnsi="Arial" w:cs="Arial"/>
          <w:color w:val="000000"/>
          <w:sz w:val="20"/>
          <w:szCs w:val="20"/>
        </w:rPr>
        <w:t xml:space="preserve">15. </w:t>
      </w:r>
      <w:r>
        <w:rPr>
          <w:rFonts w:ascii="Arial" w:hAnsi="Arial" w:cs="Arial"/>
          <w:color w:val="000000"/>
          <w:sz w:val="20"/>
          <w:szCs w:val="20"/>
          <w:u w:val="single"/>
        </w:rPr>
        <w:t>Explanation of program changes or adjustments</w:t>
      </w:r>
      <w:r>
        <w:rPr>
          <w:rFonts w:ascii="Arial" w:hAnsi="Arial" w:cs="Arial"/>
          <w:color w:val="000000"/>
          <w:sz w:val="20"/>
          <w:szCs w:val="20"/>
        </w:rPr>
        <w:t>:</w:t>
      </w:r>
    </w:p>
    <w:p w:rsidR="00BD1BF2" w:rsidP="00CA121E" w14:paraId="11CFFD9D" w14:textId="77777777">
      <w:pPr>
        <w:pStyle w:val="BodyText"/>
        <w:rPr>
          <w:color w:val="000000"/>
        </w:rPr>
      </w:pPr>
      <w:r>
        <w:rPr>
          <w:color w:val="000000"/>
        </w:rPr>
        <w:t>This is a new request</w:t>
      </w:r>
      <w:r>
        <w:rPr>
          <w:color w:val="000000"/>
        </w:rPr>
        <w:t xml:space="preserve">. </w:t>
      </w:r>
    </w:p>
    <w:p w:rsidR="00BD1BF2" w14:paraId="73411A24" w14:textId="77777777">
      <w:pPr>
        <w:pStyle w:val="NormalWeb"/>
        <w:rPr>
          <w:rFonts w:ascii="Arial" w:hAnsi="Arial" w:cs="Arial"/>
          <w:color w:val="000000"/>
          <w:sz w:val="20"/>
          <w:szCs w:val="20"/>
        </w:rPr>
      </w:pPr>
      <w:r>
        <w:rPr>
          <w:rFonts w:ascii="Arial" w:hAnsi="Arial" w:cs="Arial"/>
          <w:color w:val="000000"/>
          <w:sz w:val="20"/>
          <w:szCs w:val="20"/>
        </w:rPr>
        <w:t xml:space="preserve">16. </w:t>
      </w:r>
      <w:r>
        <w:rPr>
          <w:rFonts w:ascii="Arial" w:hAnsi="Arial" w:cs="Arial"/>
          <w:color w:val="000000"/>
          <w:sz w:val="20"/>
          <w:szCs w:val="20"/>
          <w:u w:val="single"/>
        </w:rPr>
        <w:t>Publication of results of data collection</w:t>
      </w:r>
      <w:r>
        <w:rPr>
          <w:rFonts w:ascii="Arial" w:hAnsi="Arial" w:cs="Arial"/>
          <w:color w:val="000000"/>
          <w:sz w:val="20"/>
          <w:szCs w:val="20"/>
        </w:rPr>
        <w:t>:</w:t>
      </w:r>
    </w:p>
    <w:p w:rsidR="00BD1BF2" w14:paraId="2394DA6E" w14:textId="77777777">
      <w:pPr>
        <w:pStyle w:val="BodyText"/>
        <w:rPr>
          <w:color w:val="000000"/>
        </w:rPr>
      </w:pPr>
      <w:r>
        <w:rPr>
          <w:color w:val="000000"/>
        </w:rPr>
        <w:t xml:space="preserve">The Annual </w:t>
      </w:r>
      <w:r w:rsidR="009A0AFD">
        <w:rPr>
          <w:color w:val="000000"/>
        </w:rPr>
        <w:t xml:space="preserve">Grants </w:t>
      </w:r>
      <w:r>
        <w:rPr>
          <w:color w:val="000000"/>
        </w:rPr>
        <w:t xml:space="preserve">State Survey </w:t>
      </w:r>
      <w:r w:rsidR="009A0AFD">
        <w:rPr>
          <w:color w:val="000000"/>
        </w:rPr>
        <w:t xml:space="preserve">and Quarterly Lookback Analysis </w:t>
      </w:r>
      <w:r>
        <w:rPr>
          <w:color w:val="000000"/>
        </w:rPr>
        <w:t>results will not be published</w:t>
      </w:r>
      <w:r>
        <w:rPr>
          <w:color w:val="000000"/>
        </w:rPr>
        <w:t>.</w:t>
      </w:r>
      <w:r>
        <w:rPr>
          <w:color w:val="000000"/>
        </w:rPr>
        <w:t xml:space="preserve"> This is internally use only in the OCFO.</w:t>
      </w:r>
      <w:r>
        <w:rPr>
          <w:color w:val="000000"/>
        </w:rPr>
        <w:t xml:space="preserve"> </w:t>
      </w:r>
    </w:p>
    <w:p w:rsidR="00BD1BF2" w14:paraId="208C7179" w14:textId="77777777">
      <w:pPr>
        <w:pStyle w:val="NormalWeb"/>
        <w:rPr>
          <w:rFonts w:ascii="Arial" w:hAnsi="Arial" w:cs="Arial"/>
          <w:color w:val="000000"/>
          <w:sz w:val="20"/>
          <w:szCs w:val="20"/>
        </w:rPr>
      </w:pPr>
      <w:r>
        <w:rPr>
          <w:rFonts w:ascii="Arial" w:hAnsi="Arial" w:cs="Arial"/>
          <w:color w:val="000000"/>
          <w:sz w:val="20"/>
          <w:szCs w:val="20"/>
        </w:rPr>
        <w:t xml:space="preserve">17. </w:t>
      </w:r>
      <w:r>
        <w:rPr>
          <w:rFonts w:ascii="Arial" w:hAnsi="Arial" w:cs="Arial"/>
          <w:color w:val="000000"/>
          <w:sz w:val="20"/>
          <w:szCs w:val="20"/>
          <w:u w:val="single"/>
        </w:rPr>
        <w:t>Approval for not displaying the expiration date of OMB approval</w:t>
      </w:r>
      <w:r>
        <w:rPr>
          <w:rFonts w:ascii="Arial" w:hAnsi="Arial" w:cs="Arial"/>
          <w:color w:val="000000"/>
          <w:sz w:val="20"/>
          <w:szCs w:val="20"/>
        </w:rPr>
        <w:t>:</w:t>
      </w:r>
    </w:p>
    <w:p w:rsidR="00BD1BF2" w14:paraId="46E9FBAF" w14:textId="77777777">
      <w:pPr>
        <w:pStyle w:val="BodyText"/>
        <w:rPr>
          <w:color w:val="000000"/>
        </w:rPr>
      </w:pPr>
      <w:r>
        <w:rPr>
          <w:color w:val="000000"/>
        </w:rPr>
        <w:t xml:space="preserve">Not applicable. </w:t>
      </w:r>
    </w:p>
    <w:p w:rsidR="00BD1BF2" w14:paraId="1969426A" w14:textId="77777777">
      <w:pPr>
        <w:pStyle w:val="NormalWeb"/>
        <w:rPr>
          <w:rFonts w:ascii="Arial" w:hAnsi="Arial" w:cs="Arial"/>
          <w:color w:val="000000"/>
          <w:sz w:val="20"/>
          <w:szCs w:val="20"/>
        </w:rPr>
      </w:pPr>
      <w:r>
        <w:rPr>
          <w:rFonts w:ascii="Arial" w:hAnsi="Arial" w:cs="Arial"/>
          <w:color w:val="000000"/>
          <w:sz w:val="20"/>
          <w:szCs w:val="20"/>
        </w:rPr>
        <w:t xml:space="preserve">18. </w:t>
      </w:r>
      <w:r>
        <w:rPr>
          <w:rFonts w:ascii="Arial" w:hAnsi="Arial" w:cs="Arial"/>
          <w:color w:val="000000"/>
          <w:sz w:val="20"/>
          <w:szCs w:val="20"/>
          <w:u w:val="single"/>
        </w:rPr>
        <w:t>Exceptions to certification statement</w:t>
      </w:r>
      <w:r>
        <w:rPr>
          <w:rFonts w:ascii="Arial" w:hAnsi="Arial" w:cs="Arial"/>
          <w:color w:val="000000"/>
          <w:sz w:val="20"/>
          <w:szCs w:val="20"/>
        </w:rPr>
        <w:t>:</w:t>
      </w:r>
    </w:p>
    <w:p w:rsidR="00BD1BF2" w14:paraId="7625AE2D" w14:textId="77777777">
      <w:pPr>
        <w:rPr>
          <w:rFonts w:ascii="Arial" w:hAnsi="Arial" w:cs="Arial"/>
          <w:color w:val="000000"/>
          <w:sz w:val="20"/>
          <w:szCs w:val="20"/>
        </w:rPr>
      </w:pPr>
      <w:r>
        <w:rPr>
          <w:rFonts w:ascii="Arial" w:hAnsi="Arial" w:cs="Arial"/>
          <w:color w:val="000000"/>
          <w:sz w:val="20"/>
          <w:szCs w:val="20"/>
        </w:rPr>
        <w:t>No exceptions are noted</w:t>
      </w:r>
      <w:r w:rsidR="00FA4D1D">
        <w:rPr>
          <w:rFonts w:ascii="Arial" w:hAnsi="Arial" w:cs="Arial"/>
          <w:color w:val="000000"/>
          <w:sz w:val="20"/>
          <w:szCs w:val="20"/>
        </w:rPr>
        <w:t xml:space="preserve">. </w:t>
      </w:r>
      <w:r>
        <w:rPr>
          <w:rFonts w:ascii="Arial" w:hAnsi="Arial" w:cs="Arial"/>
          <w:color w:val="000000"/>
          <w:sz w:val="20"/>
          <w:szCs w:val="20"/>
        </w:rPr>
        <w:t xml:space="preserve"> </w:t>
      </w:r>
    </w:p>
    <w:sect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48"/>
    <w:rsid w:val="00024EA5"/>
    <w:rsid w:val="000271E5"/>
    <w:rsid w:val="00027873"/>
    <w:rsid w:val="000D1469"/>
    <w:rsid w:val="000D1D83"/>
    <w:rsid w:val="000D4DA5"/>
    <w:rsid w:val="00117D16"/>
    <w:rsid w:val="00151013"/>
    <w:rsid w:val="0015775C"/>
    <w:rsid w:val="001643FA"/>
    <w:rsid w:val="001E2FA7"/>
    <w:rsid w:val="001E7F4C"/>
    <w:rsid w:val="00210097"/>
    <w:rsid w:val="00231B3F"/>
    <w:rsid w:val="0028263F"/>
    <w:rsid w:val="00296823"/>
    <w:rsid w:val="002B4B70"/>
    <w:rsid w:val="002C1C50"/>
    <w:rsid w:val="002F6C96"/>
    <w:rsid w:val="00320180"/>
    <w:rsid w:val="00360F48"/>
    <w:rsid w:val="00367CA9"/>
    <w:rsid w:val="004334B9"/>
    <w:rsid w:val="004B2678"/>
    <w:rsid w:val="004B5332"/>
    <w:rsid w:val="004C0B75"/>
    <w:rsid w:val="00573F17"/>
    <w:rsid w:val="005D7F75"/>
    <w:rsid w:val="00663648"/>
    <w:rsid w:val="006A2ED9"/>
    <w:rsid w:val="00711B2B"/>
    <w:rsid w:val="007A1B6F"/>
    <w:rsid w:val="007B532D"/>
    <w:rsid w:val="007D256C"/>
    <w:rsid w:val="007E350F"/>
    <w:rsid w:val="007F0669"/>
    <w:rsid w:val="00861049"/>
    <w:rsid w:val="008A7237"/>
    <w:rsid w:val="009579E1"/>
    <w:rsid w:val="00961A94"/>
    <w:rsid w:val="009A0AFD"/>
    <w:rsid w:val="009C184C"/>
    <w:rsid w:val="009E1084"/>
    <w:rsid w:val="00A8171A"/>
    <w:rsid w:val="00A9139A"/>
    <w:rsid w:val="00A96977"/>
    <w:rsid w:val="00AB612F"/>
    <w:rsid w:val="00AD40AD"/>
    <w:rsid w:val="00AE0C53"/>
    <w:rsid w:val="00AF3BA1"/>
    <w:rsid w:val="00AF78B4"/>
    <w:rsid w:val="00B07772"/>
    <w:rsid w:val="00B225B8"/>
    <w:rsid w:val="00B549EE"/>
    <w:rsid w:val="00B957CC"/>
    <w:rsid w:val="00BA06D0"/>
    <w:rsid w:val="00BA1968"/>
    <w:rsid w:val="00BA6D5C"/>
    <w:rsid w:val="00BD1BF2"/>
    <w:rsid w:val="00BF61B8"/>
    <w:rsid w:val="00C04C42"/>
    <w:rsid w:val="00C07F7A"/>
    <w:rsid w:val="00C4037A"/>
    <w:rsid w:val="00C50BF4"/>
    <w:rsid w:val="00CA121E"/>
    <w:rsid w:val="00CE0648"/>
    <w:rsid w:val="00D04008"/>
    <w:rsid w:val="00D53C6A"/>
    <w:rsid w:val="00D87D57"/>
    <w:rsid w:val="00D93DB9"/>
    <w:rsid w:val="00DA64FB"/>
    <w:rsid w:val="00DD3374"/>
    <w:rsid w:val="00DF1405"/>
    <w:rsid w:val="00E020C5"/>
    <w:rsid w:val="00E02AEF"/>
    <w:rsid w:val="00E40926"/>
    <w:rsid w:val="00E6732A"/>
    <w:rsid w:val="00EB79DC"/>
    <w:rsid w:val="00EE4754"/>
    <w:rsid w:val="00F47F3B"/>
    <w:rsid w:val="00F5092A"/>
    <w:rsid w:val="00FA4D1D"/>
    <w:rsid w:val="00FB1672"/>
    <w:rsid w:val="00FD4363"/>
    <w:rsid w:val="00FF0D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96EF4CD"/>
  <w15:chartTrackingRefBased/>
  <w15:docId w15:val="{3C39B4DA-79EA-4411-BF5A-693D502A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bC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rPr>
      <w:rFonts w:ascii="Arial" w:hAnsi="Arial" w:cs="Arial"/>
      <w:color w:val="FF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image" Target="media/image2.emf"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984</Words>
  <Characters>5474</Characters>
  <Application>Microsoft Office Word</Application>
  <DocSecurity>0</DocSecurity>
  <Lines>107</Lines>
  <Paragraphs>59</Paragraphs>
  <ScaleCrop>false</ScaleCrop>
  <HeadingPairs>
    <vt:vector size="2" baseType="variant">
      <vt:variant>
        <vt:lpstr>Title</vt:lpstr>
      </vt:variant>
      <vt:variant>
        <vt:i4>1</vt:i4>
      </vt:variant>
    </vt:vector>
  </HeadingPairs>
  <TitlesOfParts>
    <vt:vector size="1" baseType="lpstr">
      <vt:lpstr>The Supporting Statement</vt:lpstr>
    </vt:vector>
  </TitlesOfParts>
  <Company>DOT</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Supporting Statement</dc:title>
  <dc:creator>FHWA</dc:creator>
  <cp:lastModifiedBy>Lewis, Jazmyne (FHWA)</cp:lastModifiedBy>
  <cp:revision>36</cp:revision>
  <dcterms:created xsi:type="dcterms:W3CDTF">2026-10-09T15:35:00Z</dcterms:created>
  <dcterms:modified xsi:type="dcterms:W3CDTF">2026-10-21T13:59:00Z</dcterms:modified>
</cp:coreProperties>
</file>