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C3322" w:rsidP="001C3322" w14:paraId="337BE63B" w14:textId="5EEDF982">
      <w:pPr>
        <w:jc w:val="center"/>
        <w:rPr>
          <w:b/>
          <w:sz w:val="24"/>
          <w:szCs w:val="24"/>
        </w:rPr>
      </w:pPr>
      <w:r w:rsidRPr="00167E53">
        <w:rPr>
          <w:b/>
          <w:sz w:val="24"/>
          <w:szCs w:val="24"/>
        </w:rPr>
        <w:t>Supporting Statement for Paperwork Reduction Act Submissions</w:t>
      </w:r>
    </w:p>
    <w:p w:rsidR="001C3322" w:rsidP="001C3322" w14:paraId="333C263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r w:rsidRPr="0037447B">
        <w:rPr>
          <w:b/>
          <w:sz w:val="24"/>
          <w:szCs w:val="24"/>
        </w:rPr>
        <w:t xml:space="preserve">Energy and Performance Information Center (EPIC) </w:t>
      </w:r>
    </w:p>
    <w:p w:rsidR="001C3322" w:rsidRPr="00167E53" w:rsidP="001C3322" w14:paraId="25941D4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r w:rsidRPr="00167E53">
        <w:rPr>
          <w:b/>
          <w:sz w:val="24"/>
          <w:szCs w:val="24"/>
        </w:rPr>
        <w:t>(OMB</w:t>
      </w:r>
      <w:r>
        <w:rPr>
          <w:b/>
          <w:sz w:val="24"/>
          <w:szCs w:val="24"/>
        </w:rPr>
        <w:t xml:space="preserve"> 2577-0274</w:t>
      </w:r>
      <w:r w:rsidRPr="00167E53">
        <w:rPr>
          <w:b/>
          <w:sz w:val="24"/>
          <w:szCs w:val="24"/>
        </w:rPr>
        <w:t>)</w:t>
      </w:r>
    </w:p>
    <w:p w:rsidR="001C3322" w:rsidP="001C3322" w14:paraId="3E34C15B" w14:textId="77777777">
      <w:pPr>
        <w:rPr>
          <w:b/>
          <w:sz w:val="24"/>
          <w:szCs w:val="24"/>
        </w:rPr>
      </w:pPr>
    </w:p>
    <w:p w:rsidR="001C3322" w:rsidRPr="006C7FAE" w:rsidP="001C3322" w14:paraId="08EA843F"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sz w:val="24"/>
          <w:szCs w:val="24"/>
        </w:rPr>
      </w:pPr>
      <w:r w:rsidRPr="006C7FAE">
        <w:rPr>
          <w:rFonts w:ascii="Helvetica" w:hAnsi="Helvetica"/>
          <w:b/>
          <w:sz w:val="24"/>
          <w:szCs w:val="24"/>
        </w:rPr>
        <w:t>A. Justification</w:t>
      </w:r>
    </w:p>
    <w:p w:rsidR="001C3322" w:rsidRPr="006C7FAE" w:rsidP="001C3322" w14:paraId="27E0239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sz w:val="24"/>
          <w:szCs w:val="24"/>
        </w:rPr>
      </w:pPr>
    </w:p>
    <w:p w:rsidR="001C3322" w:rsidRPr="00100057" w:rsidP="001C3322" w14:paraId="5CC2A60F" w14:textId="77777777">
      <w:pPr>
        <w:keepLines/>
        <w:tabs>
          <w:tab w:val="left" w:pos="360"/>
        </w:tabs>
        <w:ind w:left="360" w:hanging="360"/>
        <w:rPr>
          <w:b/>
          <w:bCs/>
          <w:sz w:val="24"/>
          <w:szCs w:val="24"/>
        </w:rPr>
      </w:pPr>
      <w:r w:rsidRPr="006C7FAE">
        <w:rPr>
          <w:sz w:val="24"/>
          <w:szCs w:val="24"/>
        </w:rPr>
        <w:t>1.</w:t>
      </w:r>
      <w:r w:rsidRPr="006C7FAE">
        <w:rPr>
          <w:sz w:val="24"/>
          <w:szCs w:val="24"/>
        </w:rPr>
        <w:tab/>
      </w:r>
      <w:r w:rsidRPr="00100057">
        <w:rPr>
          <w:b/>
          <w:bCs/>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1C3322" w:rsidP="001C3322" w14:paraId="3269627E" w14:textId="77777777">
      <w:pPr>
        <w:tabs>
          <w:tab w:val="left" w:pos="360"/>
        </w:tabs>
        <w:ind w:left="360" w:hanging="360"/>
        <w:rPr>
          <w:sz w:val="24"/>
          <w:szCs w:val="24"/>
        </w:rPr>
      </w:pPr>
      <w:r>
        <w:rPr>
          <w:sz w:val="24"/>
          <w:szCs w:val="24"/>
        </w:rPr>
        <w:tab/>
      </w:r>
    </w:p>
    <w:p w:rsidR="001C3322" w:rsidP="001C3322" w14:paraId="0FF45BD6" w14:textId="79CCC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 xml:space="preserve">Under </w:t>
      </w:r>
      <w:r w:rsidRPr="000D6E3D">
        <w:rPr>
          <w:sz w:val="24"/>
          <w:szCs w:val="24"/>
        </w:rPr>
        <w:t>Section 9 of the U.S. Housing Act of 1937</w:t>
      </w:r>
      <w:r>
        <w:rPr>
          <w:sz w:val="24"/>
          <w:szCs w:val="24"/>
        </w:rPr>
        <w:t xml:space="preserve"> (1937 Act) and the regulations at 24 CFR </w:t>
      </w:r>
      <w:r w:rsidR="00D027CC">
        <w:rPr>
          <w:sz w:val="24"/>
          <w:szCs w:val="24"/>
        </w:rPr>
        <w:t xml:space="preserve">part </w:t>
      </w:r>
      <w:r>
        <w:rPr>
          <w:sz w:val="24"/>
          <w:szCs w:val="24"/>
        </w:rPr>
        <w:t>905, t</w:t>
      </w:r>
      <w:r w:rsidRPr="009A7672">
        <w:rPr>
          <w:sz w:val="24"/>
          <w:szCs w:val="24"/>
        </w:rPr>
        <w:t>he Public Housing Capital Fund Program (Capital Fund Program or CFP) provides financial assistance to public housing agencies (PHAs) to make improvements to existing public housing</w:t>
      </w:r>
      <w:r w:rsidR="00637AD6">
        <w:rPr>
          <w:sz w:val="24"/>
          <w:szCs w:val="24"/>
        </w:rPr>
        <w:t xml:space="preserve"> sites and buildings</w:t>
      </w:r>
      <w:r w:rsidRPr="009A7672">
        <w:rPr>
          <w:sz w:val="24"/>
          <w:szCs w:val="24"/>
        </w:rPr>
        <w:t>.</w:t>
      </w:r>
      <w:r>
        <w:rPr>
          <w:sz w:val="24"/>
          <w:szCs w:val="24"/>
        </w:rPr>
        <w:t xml:space="preserve"> Eligible uses of capital funds include the development, financing, and modernization of public housing</w:t>
      </w:r>
      <w:r w:rsidR="00A059D0">
        <w:rPr>
          <w:sz w:val="24"/>
          <w:szCs w:val="24"/>
        </w:rPr>
        <w:t xml:space="preserve"> projects</w:t>
      </w:r>
      <w:r>
        <w:rPr>
          <w:sz w:val="24"/>
          <w:szCs w:val="24"/>
        </w:rPr>
        <w:t xml:space="preserve">. </w:t>
      </w:r>
    </w:p>
    <w:p w:rsidR="001C3322" w:rsidP="001C3322" w14:paraId="2C73CEF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1C3322" w:rsidP="00E3056F" w14:paraId="06FA9080" w14:textId="67721A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sidRPr="386E2BBE">
        <w:rPr>
          <w:sz w:val="24"/>
          <w:szCs w:val="24"/>
        </w:rPr>
        <w:t xml:space="preserve">The Energy and Performance Information Center (EPIC) system provides a streamlined way for PHAs to fulfill their Capital Fund reporting requirements under 24 CFR 905.300. </w:t>
      </w:r>
      <w:r>
        <w:rPr>
          <w:sz w:val="24"/>
          <w:szCs w:val="24"/>
        </w:rPr>
        <w:t xml:space="preserve"> </w:t>
      </w:r>
      <w:r w:rsidRPr="386E2BBE">
        <w:rPr>
          <w:sz w:val="24"/>
          <w:szCs w:val="24"/>
        </w:rPr>
        <w:t>By regulation, PHAs are required to submit</w:t>
      </w:r>
      <w:r>
        <w:rPr>
          <w:sz w:val="24"/>
          <w:szCs w:val="24"/>
        </w:rPr>
        <w:t>:</w:t>
      </w:r>
      <w:r w:rsidRPr="386E2BBE">
        <w:rPr>
          <w:sz w:val="24"/>
          <w:szCs w:val="24"/>
        </w:rPr>
        <w:t xml:space="preserve"> 1) a CFP Five-Year Action Plan (</w:t>
      </w:r>
      <w:r w:rsidR="003609F2">
        <w:rPr>
          <w:sz w:val="24"/>
          <w:szCs w:val="24"/>
        </w:rPr>
        <w:t xml:space="preserve">Formerly </w:t>
      </w:r>
      <w:r w:rsidRPr="386E2BBE">
        <w:rPr>
          <w:sz w:val="24"/>
          <w:szCs w:val="24"/>
        </w:rPr>
        <w:t>HUD-50075.2) describing the capital improvements necessary to ensure long-term physical and social viability of the PHA's public housing developments, 2) a Capital Fund Annual Statement/Budget for each year (</w:t>
      </w:r>
      <w:r w:rsidRPr="008C7DAB" w:rsidR="6F9ED5B4">
        <w:rPr>
          <w:sz w:val="24"/>
          <w:szCs w:val="24"/>
        </w:rPr>
        <w:t xml:space="preserve">Formerly </w:t>
      </w:r>
      <w:r w:rsidRPr="386E2BBE">
        <w:rPr>
          <w:sz w:val="24"/>
          <w:szCs w:val="24"/>
        </w:rPr>
        <w:t xml:space="preserve">HUD-50075.1), </w:t>
      </w:r>
      <w:r>
        <w:rPr>
          <w:sz w:val="24"/>
          <w:szCs w:val="24"/>
        </w:rPr>
        <w:t xml:space="preserve">and </w:t>
      </w:r>
      <w:r w:rsidRPr="386E2BBE">
        <w:rPr>
          <w:sz w:val="24"/>
          <w:szCs w:val="24"/>
        </w:rPr>
        <w:t>3) a Performance &amp; Evaluation (P&amp;E Report) (</w:t>
      </w:r>
      <w:r w:rsidRPr="1807C16E" w:rsidR="015502B2">
        <w:rPr>
          <w:sz w:val="24"/>
          <w:szCs w:val="24"/>
        </w:rPr>
        <w:t xml:space="preserve">Formerly </w:t>
      </w:r>
      <w:r w:rsidRPr="1807C16E">
        <w:rPr>
          <w:sz w:val="24"/>
          <w:szCs w:val="24"/>
        </w:rPr>
        <w:t>HUD</w:t>
      </w:r>
      <w:r w:rsidRPr="386E2BBE">
        <w:rPr>
          <w:sz w:val="24"/>
          <w:szCs w:val="24"/>
        </w:rPr>
        <w:t>-50075.1)</w:t>
      </w:r>
      <w:r>
        <w:rPr>
          <w:sz w:val="24"/>
          <w:szCs w:val="24"/>
        </w:rPr>
        <w:t>,</w:t>
      </w:r>
      <w:r w:rsidRPr="386E2BBE">
        <w:rPr>
          <w:sz w:val="24"/>
          <w:szCs w:val="24"/>
        </w:rPr>
        <w:t xml:space="preserve"> as requested</w:t>
      </w:r>
      <w:r>
        <w:rPr>
          <w:sz w:val="24"/>
          <w:szCs w:val="24"/>
        </w:rPr>
        <w:t>.</w:t>
      </w:r>
      <w:r w:rsidRPr="386E2BBE">
        <w:rPr>
          <w:sz w:val="24"/>
          <w:szCs w:val="24"/>
        </w:rPr>
        <w:t xml:space="preserve">  EPIC allows PHAs to submit copies of certifications of compliance and/or documentation to comply with the award, monitoring</w:t>
      </w:r>
      <w:r>
        <w:rPr>
          <w:sz w:val="24"/>
          <w:szCs w:val="24"/>
        </w:rPr>
        <w:t>,</w:t>
      </w:r>
      <w:r w:rsidRPr="386E2BBE">
        <w:rPr>
          <w:sz w:val="24"/>
          <w:szCs w:val="24"/>
        </w:rPr>
        <w:t xml:space="preserve"> and/or closeout of a Capital Fund Grants in the Document Management Center.  For example, a Capital Fund Annual Submission as defined in the annual Processing Guidance. </w:t>
      </w:r>
      <w:r>
        <w:rPr>
          <w:sz w:val="24"/>
          <w:szCs w:val="24"/>
        </w:rPr>
        <w:t xml:space="preserve"> </w:t>
      </w:r>
      <w:r w:rsidRPr="386E2BBE">
        <w:rPr>
          <w:sz w:val="24"/>
          <w:szCs w:val="24"/>
        </w:rPr>
        <w:t>Moreover, PHAs may request additional capital resources, such as Operating Funds, for Capital Fund purposes in EPIC</w:t>
      </w:r>
      <w:r>
        <w:rPr>
          <w:sz w:val="24"/>
          <w:szCs w:val="24"/>
        </w:rPr>
        <w:t>.</w:t>
      </w:r>
    </w:p>
    <w:p w:rsidR="001C3322" w:rsidP="001C3322" w14:paraId="1B2DFC9B" w14:textId="1881E5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1C3322" w:rsidRPr="006C7FAE" w:rsidP="001C3322" w14:paraId="4E4088D8" w14:textId="77777777">
      <w:pPr>
        <w:tabs>
          <w:tab w:val="left" w:pos="360"/>
        </w:tabs>
        <w:ind w:left="360" w:hanging="360"/>
        <w:rPr>
          <w:sz w:val="24"/>
          <w:szCs w:val="24"/>
        </w:rPr>
      </w:pPr>
    </w:p>
    <w:p w:rsidR="001C3322" w:rsidP="001C3322" w14:paraId="1CCEABB3" w14:textId="77777777">
      <w:pPr>
        <w:keepLines/>
        <w:tabs>
          <w:tab w:val="left" w:pos="360"/>
        </w:tabs>
        <w:ind w:left="360" w:hanging="360"/>
        <w:rPr>
          <w:sz w:val="24"/>
          <w:szCs w:val="24"/>
        </w:rPr>
      </w:pPr>
      <w:r w:rsidRPr="006C7FAE">
        <w:rPr>
          <w:sz w:val="24"/>
          <w:szCs w:val="24"/>
        </w:rPr>
        <w:t>2.</w:t>
      </w:r>
      <w:r w:rsidRPr="006C7FAE">
        <w:rPr>
          <w:sz w:val="24"/>
          <w:szCs w:val="24"/>
        </w:rPr>
        <w:tab/>
      </w:r>
      <w:r w:rsidRPr="00100057">
        <w:rPr>
          <w:b/>
          <w:bCs/>
          <w:sz w:val="24"/>
          <w:szCs w:val="24"/>
        </w:rPr>
        <w:t>Indicate how, by whom and for what purpose the information is to be used.  Except for a new collection, indicate the actual use the agency has made of the information received from the current collection.</w:t>
      </w:r>
      <w:r w:rsidRPr="00100057">
        <w:rPr>
          <w:b/>
          <w:bCs/>
          <w:sz w:val="24"/>
          <w:szCs w:val="24"/>
        </w:rPr>
        <w:br/>
      </w:r>
    </w:p>
    <w:p w:rsidR="001C3322" w:rsidP="001C3322" w14:paraId="3F9DB4B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 xml:space="preserve">This is a revision of a previous collection.  As noted above, the information submitted in CFP Five-Year Action Plans is used by HUD to fulfill its oversight responsibilities.  Field office staff review and approve Five-Year Action Plans to verify that all work activities are eligible items under the Capital Fund and to assess the level and type of environmental review required.  Upon budget submission, HUD performs validation checks to full requirements to monitor statutory and regulatory restrictions, including limits on the percentage of funding that may be used for Administration, transferred to Operations, or used to undertake Management Improvements.  HUD also uses the budget information to ensure that PHAs participating in the CFFP to leverage their limited Capital Funds are properly allocating funds for the debt service payments, and to accurately reflect Capital Funds used as part of RAD transactions.  For EPIC budget submissions found in compliance, HUD updates the LOCCS in accordance with the funds spread in EPIC; this enables PHAs to draw down funds without requesting manual updates or revisions from HUD field offices. </w:t>
      </w:r>
    </w:p>
    <w:p w:rsidR="001C3322" w:rsidP="001C3322" w14:paraId="202A9D4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1C3322" w:rsidP="001C3322" w14:paraId="1DE0B3F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HUD analyzes PHA allocations of Capital Funds to report to Congress and interested stakeholders on spending patterns and to develop budgetary justifications.  The transition from paper to electronic submissions in fiscal year (FY) 2018 exposed data quality and reporting compliance issues that had previously been more difficult to diagnose.  Therefore, as the quality of the data improves, the Department will gain a better understanding of the problem—both its nature and its scope—through the data collected in EPIC.  The electronic collection of data formerly collected through paper Forms HUD-50075.1 and HUD-50075.2 enables the Department to follow the money from grant to capital improvement and to evaluate the successes of the program.  This, in turn, allows the Department to use the data to get a real-time picture of the use of funding and the progress made toward meeting the considerable capital needs of the public housing inventory.</w:t>
      </w:r>
    </w:p>
    <w:p w:rsidR="001C3322" w:rsidP="001C3322" w14:paraId="5064D84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1C3322" w:rsidP="001C3322" w14:paraId="47CA1BE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Moreover, the improved data collection around energy efficiency improvements will enable the Department to identify areas for increased savings in consumption.  The EPC program enables grantees to leverage these savings into additional funding for meeting capital needs.  The Department will be able to monitor the EPC process and document the energy savings realized through capital improvements implemented using EPIC financing.  These data points, in conjunction with the PNA data and the energy audit data, will increase transparency in public housing and create a platform for evaluating performance and identifying efficiencies.</w:t>
      </w:r>
    </w:p>
    <w:p w:rsidR="001C3322" w:rsidP="001C3322" w14:paraId="2F9DF77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1C3322" w:rsidP="001C3322" w14:paraId="5A2A6132" w14:textId="77777777">
      <w:pPr>
        <w:keepLines/>
        <w:tabs>
          <w:tab w:val="left" w:pos="360"/>
        </w:tabs>
        <w:ind w:left="360"/>
        <w:rPr>
          <w:sz w:val="24"/>
          <w:szCs w:val="24"/>
        </w:rPr>
      </w:pPr>
      <w:r>
        <w:rPr>
          <w:sz w:val="24"/>
          <w:szCs w:val="24"/>
        </w:rPr>
        <w:t>Data collected on public housing development will be used to ensure greater accuracy of present data and will be used to identify ways PHA grantees are using both Federal and non-Federal funding sources to meet the affordable housing needs of the American public.</w:t>
      </w:r>
    </w:p>
    <w:p w:rsidR="0073555A" w:rsidP="001C3322" w14:paraId="384F1124" w14:textId="77777777">
      <w:pPr>
        <w:keepLines/>
        <w:tabs>
          <w:tab w:val="left" w:pos="360"/>
        </w:tabs>
        <w:ind w:left="360"/>
        <w:rPr>
          <w:sz w:val="24"/>
          <w:szCs w:val="24"/>
        </w:rPr>
      </w:pPr>
    </w:p>
    <w:p w:rsidR="0073555A" w:rsidP="0073555A" w14:paraId="3588B0D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sidRPr="386E2BBE">
        <w:rPr>
          <w:sz w:val="24"/>
          <w:szCs w:val="24"/>
        </w:rPr>
        <w:t xml:space="preserve">This information collection in EPIC also enables HUD to fulfill its oversight responsibilities. </w:t>
      </w:r>
      <w:r>
        <w:rPr>
          <w:sz w:val="24"/>
          <w:szCs w:val="24"/>
        </w:rPr>
        <w:t xml:space="preserve"> </w:t>
      </w:r>
      <w:r w:rsidRPr="3AFF7FA3">
        <w:rPr>
          <w:sz w:val="24"/>
          <w:szCs w:val="24"/>
        </w:rPr>
        <w:t>HUD reviews</w:t>
      </w:r>
      <w:r w:rsidRPr="386E2BBE">
        <w:rPr>
          <w:sz w:val="24"/>
          <w:szCs w:val="24"/>
        </w:rPr>
        <w:t xml:space="preserve"> and </w:t>
      </w:r>
      <w:r w:rsidRPr="1D5B754C">
        <w:rPr>
          <w:sz w:val="24"/>
          <w:szCs w:val="24"/>
        </w:rPr>
        <w:t>approves</w:t>
      </w:r>
      <w:r w:rsidRPr="386E2BBE">
        <w:rPr>
          <w:sz w:val="24"/>
          <w:szCs w:val="24"/>
        </w:rPr>
        <w:t xml:space="preserve"> </w:t>
      </w:r>
      <w:r>
        <w:rPr>
          <w:sz w:val="24"/>
          <w:szCs w:val="24"/>
        </w:rPr>
        <w:t>CFP Five</w:t>
      </w:r>
      <w:r w:rsidRPr="386E2BBE">
        <w:rPr>
          <w:sz w:val="24"/>
          <w:szCs w:val="24"/>
        </w:rPr>
        <w:t>-Year Action Plans to verify that all work activities are eligible items under the Capital Fund and to assess the level and type of environmental review required</w:t>
      </w:r>
      <w:r>
        <w:rPr>
          <w:sz w:val="24"/>
          <w:szCs w:val="24"/>
        </w:rPr>
        <w:t xml:space="preserve"> by Federal regulations</w:t>
      </w:r>
      <w:r w:rsidRPr="386E2BBE">
        <w:rPr>
          <w:sz w:val="24"/>
          <w:szCs w:val="24"/>
        </w:rPr>
        <w:t xml:space="preserve">. </w:t>
      </w:r>
      <w:r>
        <w:rPr>
          <w:sz w:val="24"/>
          <w:szCs w:val="24"/>
        </w:rPr>
        <w:t xml:space="preserve"> </w:t>
      </w:r>
      <w:r w:rsidRPr="386E2BBE">
        <w:rPr>
          <w:sz w:val="24"/>
          <w:szCs w:val="24"/>
        </w:rPr>
        <w:t xml:space="preserve">Upon </w:t>
      </w:r>
      <w:r>
        <w:rPr>
          <w:sz w:val="24"/>
          <w:szCs w:val="24"/>
        </w:rPr>
        <w:t xml:space="preserve">the PHA’s </w:t>
      </w:r>
      <w:r w:rsidRPr="386E2BBE">
        <w:rPr>
          <w:sz w:val="24"/>
          <w:szCs w:val="24"/>
        </w:rPr>
        <w:t>Annual Statement/Budget submission, HUD performs validation checks to fulfill requirements to monitor statutory and regulatory restrictions on the funds, including limits on the percentage of funding that may be used for Administration, transferred to Operations, or used to undertake Management Improvements.</w:t>
      </w:r>
      <w:r>
        <w:rPr>
          <w:sz w:val="24"/>
          <w:szCs w:val="24"/>
        </w:rPr>
        <w:t xml:space="preserve">  </w:t>
      </w:r>
      <w:r w:rsidRPr="00CE6DFE">
        <w:rPr>
          <w:sz w:val="24"/>
          <w:szCs w:val="24"/>
        </w:rPr>
        <w:t>HUD also utilizes budget information to ensure that PHAs participat</w:t>
      </w:r>
      <w:r>
        <w:rPr>
          <w:sz w:val="24"/>
          <w:szCs w:val="24"/>
        </w:rPr>
        <w:t>ing</w:t>
      </w:r>
      <w:r w:rsidRPr="00CE6DFE">
        <w:rPr>
          <w:sz w:val="24"/>
          <w:szCs w:val="24"/>
        </w:rPr>
        <w:t xml:space="preserve"> in the </w:t>
      </w:r>
      <w:r w:rsidRPr="00351C99">
        <w:rPr>
          <w:sz w:val="24"/>
          <w:szCs w:val="24"/>
        </w:rPr>
        <w:t xml:space="preserve">Public Housing Capital Fund Program </w:t>
      </w:r>
      <w:r w:rsidRPr="00CE6DFE">
        <w:rPr>
          <w:sz w:val="24"/>
          <w:szCs w:val="24"/>
        </w:rPr>
        <w:t xml:space="preserve">effectively manage their limited capital funds. </w:t>
      </w:r>
      <w:r>
        <w:rPr>
          <w:sz w:val="24"/>
          <w:szCs w:val="24"/>
        </w:rPr>
        <w:t xml:space="preserve"> </w:t>
      </w:r>
      <w:r w:rsidRPr="00CE6DFE">
        <w:rPr>
          <w:sz w:val="24"/>
          <w:szCs w:val="24"/>
        </w:rPr>
        <w:t>This includes appropriately allocating resources for debt service payments and accurately reflecting the use of Capital Funds within the Rental Assistance Demonstration (RAD) program.</w:t>
      </w:r>
      <w:r w:rsidRPr="386E2BBE">
        <w:rPr>
          <w:sz w:val="24"/>
          <w:szCs w:val="24"/>
        </w:rPr>
        <w:t xml:space="preserve"> </w:t>
      </w:r>
      <w:r>
        <w:rPr>
          <w:sz w:val="24"/>
          <w:szCs w:val="24"/>
        </w:rPr>
        <w:t xml:space="preserve"> </w:t>
      </w:r>
      <w:r w:rsidRPr="386E2BBE">
        <w:rPr>
          <w:sz w:val="24"/>
          <w:szCs w:val="24"/>
        </w:rPr>
        <w:t xml:space="preserve">For EPIC budget submissions found in compliance, HUD updates the Budget Line Items (BLI) obligations in the Line of Credit Control System (LOCCS) in accordance with the funds spread in EPIC; this enables PHAs to draw down funds without requesting manual updates or revisions from HUD </w:t>
      </w:r>
      <w:r>
        <w:rPr>
          <w:sz w:val="24"/>
          <w:szCs w:val="24"/>
        </w:rPr>
        <w:t>f</w:t>
      </w:r>
      <w:r w:rsidRPr="386E2BBE">
        <w:rPr>
          <w:sz w:val="24"/>
          <w:szCs w:val="24"/>
        </w:rPr>
        <w:t xml:space="preserve">ield </w:t>
      </w:r>
      <w:r>
        <w:rPr>
          <w:sz w:val="24"/>
          <w:szCs w:val="24"/>
        </w:rPr>
        <w:t>o</w:t>
      </w:r>
      <w:r w:rsidRPr="386E2BBE">
        <w:rPr>
          <w:sz w:val="24"/>
          <w:szCs w:val="24"/>
        </w:rPr>
        <w:t xml:space="preserve">ffices. </w:t>
      </w:r>
      <w:r>
        <w:rPr>
          <w:sz w:val="24"/>
          <w:szCs w:val="24"/>
        </w:rPr>
        <w:t xml:space="preserve"> </w:t>
      </w:r>
      <w:r w:rsidRPr="386E2BBE">
        <w:rPr>
          <w:sz w:val="24"/>
          <w:szCs w:val="24"/>
        </w:rPr>
        <w:t xml:space="preserve">The P&amp;E Report allows HUD to monitor other measures such as </w:t>
      </w:r>
      <w:r>
        <w:rPr>
          <w:sz w:val="24"/>
          <w:szCs w:val="24"/>
        </w:rPr>
        <w:t>l</w:t>
      </w:r>
      <w:r w:rsidRPr="386E2BBE">
        <w:rPr>
          <w:sz w:val="24"/>
          <w:szCs w:val="24"/>
        </w:rPr>
        <w:t>ead-</w:t>
      </w:r>
      <w:r>
        <w:rPr>
          <w:sz w:val="24"/>
          <w:szCs w:val="24"/>
        </w:rPr>
        <w:t>b</w:t>
      </w:r>
      <w:r w:rsidRPr="386E2BBE">
        <w:rPr>
          <w:sz w:val="24"/>
          <w:szCs w:val="24"/>
        </w:rPr>
        <w:t xml:space="preserve">ased </w:t>
      </w:r>
      <w:r>
        <w:rPr>
          <w:sz w:val="24"/>
          <w:szCs w:val="24"/>
        </w:rPr>
        <w:t>p</w:t>
      </w:r>
      <w:r w:rsidRPr="386E2BBE">
        <w:rPr>
          <w:sz w:val="24"/>
          <w:szCs w:val="24"/>
        </w:rPr>
        <w:t>aint hazard mitigation measures, installation information</w:t>
      </w:r>
      <w:r>
        <w:rPr>
          <w:sz w:val="24"/>
          <w:szCs w:val="24"/>
        </w:rPr>
        <w:t>,</w:t>
      </w:r>
      <w:r w:rsidRPr="386E2BBE">
        <w:rPr>
          <w:sz w:val="24"/>
          <w:szCs w:val="24"/>
        </w:rPr>
        <w:t xml:space="preserve"> and actual costs/expenditures.  HUD analy</w:t>
      </w:r>
      <w:r>
        <w:rPr>
          <w:sz w:val="24"/>
          <w:szCs w:val="24"/>
        </w:rPr>
        <w:t>z</w:t>
      </w:r>
      <w:r w:rsidRPr="386E2BBE">
        <w:rPr>
          <w:sz w:val="24"/>
          <w:szCs w:val="24"/>
        </w:rPr>
        <w:t>es PHA obligations of Capital Funds to report to Congress and interested stakeholders on spending patterns and to develop budgetary justifications.</w:t>
      </w:r>
    </w:p>
    <w:p w:rsidR="0073555A" w:rsidP="0073555A" w14:paraId="57F63B5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73555A" w:rsidP="0073555A" w14:paraId="1C50759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In addition to collecting and using information in CFP Five-Year Action Plans and Budgets, several EPIC modules currently in use or in development collect additional key programmatic information or streamline PHA reporting.</w:t>
      </w:r>
    </w:p>
    <w:p w:rsidR="0073555A" w:rsidP="0073555A" w14:paraId="55BCFA8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73555A" w:rsidP="0073555A" w14:paraId="4DE3D580" w14:textId="77777777">
      <w:pPr>
        <w:tabs>
          <w:tab w:val="left" w:pos="360"/>
        </w:tabs>
        <w:ind w:left="360"/>
        <w:rPr>
          <w:sz w:val="24"/>
          <w:szCs w:val="24"/>
        </w:rPr>
      </w:pPr>
      <w:r w:rsidRPr="386E2BBE">
        <w:rPr>
          <w:i/>
          <w:iCs/>
          <w:sz w:val="24"/>
          <w:szCs w:val="24"/>
        </w:rPr>
        <w:t>Energy Efficiency Measures</w:t>
      </w:r>
      <w:r>
        <w:rPr>
          <w:i/>
          <w:iCs/>
          <w:sz w:val="24"/>
          <w:szCs w:val="24"/>
        </w:rPr>
        <w:t xml:space="preserve"> (EEMs)</w:t>
      </w:r>
      <w:r w:rsidRPr="386E2BBE">
        <w:rPr>
          <w:i/>
          <w:iCs/>
          <w:sz w:val="24"/>
          <w:szCs w:val="24"/>
        </w:rPr>
        <w:t xml:space="preserve">: </w:t>
      </w:r>
      <w:r w:rsidRPr="386E2BBE">
        <w:rPr>
          <w:sz w:val="24"/>
          <w:szCs w:val="24"/>
        </w:rPr>
        <w:t xml:space="preserve">The Core Activity/Energy module of EPIC collects information on EEMs implemented with Capital Funds. </w:t>
      </w:r>
      <w:r>
        <w:rPr>
          <w:sz w:val="24"/>
          <w:szCs w:val="24"/>
        </w:rPr>
        <w:t xml:space="preserve"> H</w:t>
      </w:r>
      <w:r w:rsidRPr="386E2BBE">
        <w:rPr>
          <w:sz w:val="24"/>
          <w:szCs w:val="24"/>
        </w:rPr>
        <w:t xml:space="preserve">UD previously reported aggregated data toward </w:t>
      </w:r>
      <w:r>
        <w:rPr>
          <w:sz w:val="24"/>
          <w:szCs w:val="24"/>
        </w:rPr>
        <w:t>its</w:t>
      </w:r>
      <w:r w:rsidRPr="386E2BBE">
        <w:rPr>
          <w:sz w:val="24"/>
          <w:szCs w:val="24"/>
        </w:rPr>
        <w:t xml:space="preserve"> strategic goal on energy efficiency</w:t>
      </w:r>
      <w:r w:rsidRPr="009C5173">
        <w:rPr>
          <w:sz w:val="24"/>
          <w:szCs w:val="24"/>
        </w:rPr>
        <w:t xml:space="preserve">. </w:t>
      </w:r>
      <w:r>
        <w:rPr>
          <w:sz w:val="24"/>
          <w:szCs w:val="24"/>
        </w:rPr>
        <w:t xml:space="preserve"> </w:t>
      </w:r>
      <w:r w:rsidRPr="009C5173">
        <w:rPr>
          <w:sz w:val="24"/>
          <w:szCs w:val="24"/>
        </w:rPr>
        <w:t xml:space="preserve">Users can now enter utility conservation measures within the </w:t>
      </w:r>
      <w:r>
        <w:rPr>
          <w:sz w:val="24"/>
          <w:szCs w:val="24"/>
        </w:rPr>
        <w:t>Five</w:t>
      </w:r>
      <w:r w:rsidRPr="009C5173">
        <w:rPr>
          <w:sz w:val="24"/>
          <w:szCs w:val="24"/>
        </w:rPr>
        <w:t>-</w:t>
      </w:r>
      <w:r>
        <w:rPr>
          <w:sz w:val="24"/>
          <w:szCs w:val="24"/>
        </w:rPr>
        <w:t>Y</w:t>
      </w:r>
      <w:r w:rsidRPr="009C5173">
        <w:rPr>
          <w:sz w:val="24"/>
          <w:szCs w:val="24"/>
        </w:rPr>
        <w:t>ear Action Plan Work Activity Module for more efficient data entry.</w:t>
      </w:r>
    </w:p>
    <w:p w:rsidR="0073555A" w:rsidP="0073555A" w14:paraId="38825BC7" w14:textId="77777777">
      <w:pPr>
        <w:tabs>
          <w:tab w:val="left" w:pos="360"/>
        </w:tabs>
        <w:ind w:left="360"/>
        <w:rPr>
          <w:sz w:val="24"/>
          <w:szCs w:val="24"/>
        </w:rPr>
      </w:pPr>
    </w:p>
    <w:p w:rsidR="0073555A" w:rsidP="0073555A" w14:paraId="7C07B7A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i/>
          <w:sz w:val="24"/>
          <w:szCs w:val="24"/>
        </w:rPr>
        <w:t xml:space="preserve">Physical Needs Assessments (PNAs): </w:t>
      </w:r>
      <w:r>
        <w:rPr>
          <w:sz w:val="24"/>
          <w:szCs w:val="24"/>
        </w:rPr>
        <w:t>This functionality enables PHAs to download Inventory Management System/Public and Indian Housing Information Center (IMS/PIC) data from EPIC to complete physical needs assessments.  In the future, PHAs who wish to voluntarily submit their PNA data into EPIC may achieve time savings by drawing from items identified in the PNA to drop into their Five-Year Action Plan.  Currently, PHA submission of PNA data to EPIC is voluntary.</w:t>
      </w:r>
    </w:p>
    <w:p w:rsidR="0073555A" w:rsidP="0073555A" w14:paraId="4F1E9EF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73555A" w:rsidP="0073555A" w14:paraId="64C58D9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i/>
          <w:sz w:val="24"/>
          <w:szCs w:val="24"/>
        </w:rPr>
        <w:t xml:space="preserve">Energy Performance Contracts: </w:t>
      </w:r>
      <w:r w:rsidRPr="00895A8F">
        <w:rPr>
          <w:sz w:val="24"/>
          <w:szCs w:val="24"/>
        </w:rPr>
        <w:t xml:space="preserve">Under 24 CFR 990.185, PHAs may qualify for conservation incentives when undertaking </w:t>
      </w:r>
      <w:r>
        <w:rPr>
          <w:sz w:val="24"/>
          <w:szCs w:val="24"/>
        </w:rPr>
        <w:t xml:space="preserve">Energy Conservation Measures </w:t>
      </w:r>
      <w:r w:rsidRPr="00895A8F">
        <w:rPr>
          <w:sz w:val="24"/>
          <w:szCs w:val="24"/>
        </w:rPr>
        <w:t>that are financed by an entity other than HUD</w:t>
      </w:r>
      <w:r>
        <w:rPr>
          <w:sz w:val="24"/>
          <w:szCs w:val="24"/>
        </w:rPr>
        <w:t xml:space="preserve"> </w:t>
      </w:r>
      <w:r>
        <w:rPr>
          <w:sz w:val="24"/>
          <w:szCs w:val="24"/>
        </w:rPr>
        <w:t>through the use of</w:t>
      </w:r>
      <w:r>
        <w:rPr>
          <w:sz w:val="24"/>
          <w:szCs w:val="24"/>
        </w:rPr>
        <w:t xml:space="preserve"> an Energy Performance Contract (EPC)</w:t>
      </w:r>
      <w:r w:rsidRPr="00895A8F">
        <w:rPr>
          <w:sz w:val="24"/>
          <w:szCs w:val="24"/>
        </w:rPr>
        <w:t xml:space="preserve">.  </w:t>
      </w:r>
      <w:r>
        <w:rPr>
          <w:sz w:val="24"/>
          <w:szCs w:val="24"/>
        </w:rPr>
        <w:t xml:space="preserve">This allows PHAs the ability to privately finance energy improvements so that PHAs can use Capital Funds for other improvements.  EPCs result in lower operating costs for PHAs through reduced utility cost.  </w:t>
      </w:r>
      <w:r w:rsidRPr="002201C4">
        <w:rPr>
          <w:sz w:val="24"/>
          <w:szCs w:val="24"/>
        </w:rPr>
        <w:t>The EPIC data system collects and maintains detailed information on the EPC</w:t>
      </w:r>
      <w:r>
        <w:rPr>
          <w:sz w:val="24"/>
          <w:szCs w:val="24"/>
        </w:rPr>
        <w:t>’s</w:t>
      </w:r>
      <w:r w:rsidRPr="002201C4">
        <w:rPr>
          <w:sz w:val="24"/>
          <w:szCs w:val="24"/>
        </w:rPr>
        <w:t xml:space="preserve"> process, including data related to implemented energy efficiency improvements.</w:t>
      </w:r>
      <w:r>
        <w:rPr>
          <w:sz w:val="24"/>
          <w:szCs w:val="24"/>
        </w:rPr>
        <w:t xml:space="preserve">  The electronic submission process streamlines the former paper submission process and reduces the time for approval.</w:t>
      </w:r>
    </w:p>
    <w:p w:rsidR="0073555A" w:rsidP="0073555A" w14:paraId="09D609F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73555A" w:rsidP="0073555A" w14:paraId="7348107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i/>
          <w:sz w:val="24"/>
          <w:szCs w:val="24"/>
        </w:rPr>
        <w:t xml:space="preserve">Public Housing Development: </w:t>
      </w:r>
      <w:r>
        <w:rPr>
          <w:sz w:val="24"/>
          <w:szCs w:val="24"/>
        </w:rPr>
        <w:t>EPIC tracks the development of public housing with Federal funds and through other means, including mixed-finance development, enabling more efficient review, and submission of required development documents</w:t>
      </w:r>
      <w:r w:rsidRPr="0AC32785">
        <w:rPr>
          <w:sz w:val="24"/>
          <w:szCs w:val="24"/>
        </w:rPr>
        <w:t>, as required under 24 CFR 905.324</w:t>
      </w:r>
      <w:r>
        <w:rPr>
          <w:sz w:val="24"/>
          <w:szCs w:val="24"/>
        </w:rPr>
        <w:t>.</w:t>
      </w:r>
      <w:r w:rsidRPr="009026EF">
        <w:rPr>
          <w:sz w:val="24"/>
          <w:szCs w:val="24"/>
        </w:rPr>
        <w:t xml:space="preserve"> </w:t>
      </w:r>
    </w:p>
    <w:p w:rsidR="0073555A" w:rsidP="0073555A" w14:paraId="2EAD25C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73555A" w:rsidP="0073555A" w14:paraId="438F677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sidRPr="002E00F2">
        <w:rPr>
          <w:i/>
          <w:iCs/>
          <w:sz w:val="24"/>
          <w:szCs w:val="24"/>
        </w:rPr>
        <w:t>Emergency and Disaster Grant</w:t>
      </w:r>
      <w:r>
        <w:rPr>
          <w:i/>
          <w:iCs/>
          <w:sz w:val="24"/>
          <w:szCs w:val="24"/>
        </w:rPr>
        <w:t xml:space="preserve"> (EDG)</w:t>
      </w:r>
      <w:r>
        <w:rPr>
          <w:sz w:val="24"/>
          <w:szCs w:val="24"/>
        </w:rPr>
        <w:t xml:space="preserve">: The Emergency and Disaster module of EPIC allows PHAs to submit their grant applications.  </w:t>
      </w:r>
      <w:r w:rsidRPr="00D778D5">
        <w:rPr>
          <w:sz w:val="24"/>
          <w:szCs w:val="24"/>
        </w:rPr>
        <w:t>The EPIC data system collect</w:t>
      </w:r>
      <w:r>
        <w:rPr>
          <w:sz w:val="24"/>
          <w:szCs w:val="24"/>
        </w:rPr>
        <w:t>s</w:t>
      </w:r>
      <w:r w:rsidRPr="00D778D5">
        <w:rPr>
          <w:sz w:val="24"/>
          <w:szCs w:val="24"/>
        </w:rPr>
        <w:t xml:space="preserve"> information about the E</w:t>
      </w:r>
      <w:r>
        <w:rPr>
          <w:sz w:val="24"/>
          <w:szCs w:val="24"/>
        </w:rPr>
        <w:t>DG</w:t>
      </w:r>
      <w:r w:rsidRPr="00D778D5">
        <w:rPr>
          <w:sz w:val="24"/>
          <w:szCs w:val="24"/>
        </w:rPr>
        <w:t xml:space="preserve"> process, including energy efficiency improvements.  The electronic submission process streamlines the former paper submission process and reduces the time for approval.</w:t>
      </w:r>
    </w:p>
    <w:p w:rsidR="0073555A" w:rsidP="0073555A" w14:paraId="6F80F2B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73555A" w:rsidP="0073555A" w14:paraId="40ECDA1B" w14:textId="77777777">
      <w:pPr>
        <w:keepLines/>
        <w:tabs>
          <w:tab w:val="left" w:pos="480"/>
        </w:tabs>
        <w:ind w:left="336"/>
        <w:rPr>
          <w:sz w:val="24"/>
          <w:szCs w:val="24"/>
        </w:rPr>
      </w:pPr>
      <w:r w:rsidRPr="00CB433B">
        <w:rPr>
          <w:i/>
          <w:iCs/>
          <w:sz w:val="24"/>
          <w:szCs w:val="24"/>
        </w:rPr>
        <w:t>Additional Capital Resources:</w:t>
      </w:r>
      <w:r w:rsidRPr="0B9A08D0">
        <w:rPr>
          <w:sz w:val="24"/>
          <w:szCs w:val="24"/>
        </w:rPr>
        <w:t xml:space="preserve"> This function allows PHAs to request use of additional capital resources, such as a portion of Operating Funds, for Capital Fund eligible activities.</w:t>
      </w:r>
    </w:p>
    <w:p w:rsidR="0073555A" w:rsidP="0073555A" w14:paraId="5978267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73555A" w:rsidP="0073555A" w14:paraId="7169335E" w14:textId="4B73B5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i/>
          <w:iCs/>
          <w:sz w:val="24"/>
          <w:szCs w:val="24"/>
        </w:rPr>
      </w:pPr>
      <w:r w:rsidRPr="00CB433B">
        <w:rPr>
          <w:i/>
          <w:iCs/>
          <w:sz w:val="24"/>
          <w:szCs w:val="24"/>
        </w:rPr>
        <w:t xml:space="preserve">Mixed Finance </w:t>
      </w:r>
      <w:r w:rsidR="00434B66">
        <w:rPr>
          <w:i/>
          <w:iCs/>
          <w:sz w:val="24"/>
          <w:szCs w:val="24"/>
        </w:rPr>
        <w:t>Development</w:t>
      </w:r>
      <w:r w:rsidRPr="0B9A08D0">
        <w:rPr>
          <w:sz w:val="24"/>
          <w:szCs w:val="24"/>
        </w:rPr>
        <w:t>: This module allows a PHA to alert the Department of its intention to propose a mixed-finance transaction as well as various deadlines associated with the non-Federal sources of financing so that the Department can provide technical assistance to the PHA in the planning process.</w:t>
      </w:r>
    </w:p>
    <w:p w:rsidR="0073555A" w:rsidP="0073555A" w14:paraId="6BE4928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i/>
          <w:iCs/>
          <w:sz w:val="24"/>
          <w:szCs w:val="24"/>
        </w:rPr>
      </w:pPr>
    </w:p>
    <w:p w:rsidR="0073555A" w:rsidP="0073555A" w14:paraId="65003BB5" w14:textId="3AD76A11">
      <w:pPr>
        <w:keepLines/>
        <w:tabs>
          <w:tab w:val="left" w:pos="360"/>
        </w:tabs>
        <w:ind w:left="360"/>
        <w:rPr>
          <w:sz w:val="24"/>
          <w:szCs w:val="24"/>
        </w:rPr>
      </w:pPr>
      <w:r w:rsidRPr="00C164E1">
        <w:rPr>
          <w:i/>
          <w:iCs/>
          <w:sz w:val="24"/>
          <w:szCs w:val="24"/>
        </w:rPr>
        <w:t>Grant Closeout</w:t>
      </w:r>
      <w:r>
        <w:rPr>
          <w:sz w:val="24"/>
          <w:szCs w:val="24"/>
        </w:rPr>
        <w:t xml:space="preserve">: This functionality enables PHAs to close out their grants from EPIC to </w:t>
      </w:r>
      <w:r w:rsidRPr="009C5173">
        <w:rPr>
          <w:sz w:val="24"/>
          <w:szCs w:val="24"/>
        </w:rPr>
        <w:t>complete physical needs assessments.</w:t>
      </w:r>
      <w:r>
        <w:rPr>
          <w:sz w:val="24"/>
          <w:szCs w:val="24"/>
        </w:rPr>
        <w:t xml:space="preserve">  </w:t>
      </w:r>
      <w:r w:rsidRPr="00D778D5">
        <w:rPr>
          <w:sz w:val="24"/>
          <w:szCs w:val="24"/>
        </w:rPr>
        <w:t>The electronic submission process streamlines the former paper submission process and reduces the time for approval.</w:t>
      </w:r>
    </w:p>
    <w:p w:rsidR="001C3322" w:rsidRPr="006C7FAE" w:rsidP="001C3322" w14:paraId="26DFAF61" w14:textId="77777777">
      <w:pPr>
        <w:keepLines/>
        <w:tabs>
          <w:tab w:val="left" w:pos="360"/>
        </w:tabs>
        <w:ind w:left="360" w:hanging="360"/>
        <w:rPr>
          <w:sz w:val="24"/>
          <w:szCs w:val="24"/>
        </w:rPr>
      </w:pPr>
      <w:r>
        <w:rPr>
          <w:sz w:val="24"/>
          <w:szCs w:val="24"/>
        </w:rPr>
        <w:tab/>
      </w:r>
      <w:r>
        <w:rPr>
          <w:sz w:val="24"/>
          <w:szCs w:val="24"/>
        </w:rPr>
        <w:tab/>
      </w:r>
    </w:p>
    <w:p w:rsidR="001C3322" w:rsidRPr="00100057" w:rsidP="001C3322" w14:paraId="6E57EB83" w14:textId="77777777">
      <w:pPr>
        <w:keepLines/>
        <w:tabs>
          <w:tab w:val="left" w:pos="360"/>
        </w:tabs>
        <w:ind w:left="360" w:hanging="360"/>
        <w:rPr>
          <w:b/>
          <w:bCs/>
          <w:sz w:val="24"/>
          <w:szCs w:val="24"/>
        </w:rPr>
      </w:pPr>
      <w:r w:rsidRPr="006C7FAE">
        <w:rPr>
          <w:sz w:val="24"/>
          <w:szCs w:val="24"/>
        </w:rPr>
        <w:t>3.</w:t>
      </w:r>
      <w:r w:rsidRPr="006C7FAE">
        <w:rPr>
          <w:sz w:val="24"/>
          <w:szCs w:val="24"/>
        </w:rPr>
        <w:tab/>
      </w:r>
      <w:r w:rsidRPr="00100057">
        <w:rPr>
          <w:b/>
          <w:bCs/>
          <w:sz w:val="24"/>
          <w:szCs w:val="24"/>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100057">
        <w:rPr>
          <w:b/>
          <w:bCs/>
          <w:sz w:val="24"/>
          <w:szCs w:val="24"/>
        </w:rPr>
        <w:t>for adopting</w:t>
      </w:r>
      <w:r w:rsidRPr="00100057">
        <w:rPr>
          <w:b/>
          <w:bCs/>
          <w:sz w:val="24"/>
          <w:szCs w:val="24"/>
        </w:rPr>
        <w:t xml:space="preserve"> this means of collection.  Also describe any consideration of using information technology to reduce burden.</w:t>
      </w:r>
    </w:p>
    <w:p w:rsidR="001C3322" w:rsidP="001C3322" w14:paraId="3DF2E12C" w14:textId="77777777">
      <w:pPr>
        <w:tabs>
          <w:tab w:val="left" w:pos="360"/>
        </w:tabs>
        <w:ind w:left="360"/>
        <w:rPr>
          <w:sz w:val="24"/>
          <w:szCs w:val="24"/>
        </w:rPr>
      </w:pPr>
    </w:p>
    <w:p w:rsidR="001C3322" w:rsidRPr="005E35E3" w:rsidP="001C3322" w14:paraId="29B53412" w14:textId="0279116D">
      <w:pPr>
        <w:tabs>
          <w:tab w:val="left" w:pos="360"/>
        </w:tabs>
        <w:ind w:left="360"/>
        <w:rPr>
          <w:sz w:val="24"/>
          <w:szCs w:val="24"/>
        </w:rPr>
      </w:pPr>
      <w:r>
        <w:rPr>
          <w:sz w:val="24"/>
          <w:szCs w:val="24"/>
        </w:rPr>
        <w:t xml:space="preserve">Information collected in EPIC is 100 percent electronic.  </w:t>
      </w:r>
      <w:r w:rsidRPr="005E35E3">
        <w:rPr>
          <w:sz w:val="24"/>
          <w:szCs w:val="24"/>
        </w:rPr>
        <w:t xml:space="preserve">Prior to the implementation of EPIC, PHAs used a paper process to submit Five-Year Action Plans and Annual Statement/Budgets/P&amp;Es. </w:t>
      </w:r>
      <w:r>
        <w:rPr>
          <w:sz w:val="24"/>
          <w:szCs w:val="24"/>
        </w:rPr>
        <w:t xml:space="preserve"> </w:t>
      </w:r>
      <w:r w:rsidRPr="005E35E3">
        <w:rPr>
          <w:sz w:val="24"/>
          <w:szCs w:val="24"/>
        </w:rPr>
        <w:t xml:space="preserve">(This information was previously collected in hard copy on Forms HUD-50075.1 and HUD-50075.2 under collection OMB control number 2577-0157.) </w:t>
      </w:r>
      <w:r>
        <w:rPr>
          <w:sz w:val="24"/>
          <w:szCs w:val="24"/>
        </w:rPr>
        <w:t xml:space="preserve"> </w:t>
      </w:r>
      <w:r w:rsidRPr="005E35E3">
        <w:rPr>
          <w:sz w:val="24"/>
          <w:szCs w:val="24"/>
        </w:rPr>
        <w:t>The EPIC system automates ma</w:t>
      </w:r>
      <w:r w:rsidR="00C757BC">
        <w:rPr>
          <w:sz w:val="24"/>
          <w:szCs w:val="24"/>
        </w:rPr>
        <w:t>n</w:t>
      </w:r>
      <w:r w:rsidRPr="005E35E3">
        <w:rPr>
          <w:sz w:val="24"/>
          <w:szCs w:val="24"/>
        </w:rPr>
        <w:t>y aspects of this process.</w:t>
      </w:r>
    </w:p>
    <w:p w:rsidR="001C3322" w:rsidRPr="005E35E3" w:rsidP="001C3322" w14:paraId="279B5D46" w14:textId="77777777">
      <w:pPr>
        <w:tabs>
          <w:tab w:val="left" w:pos="360"/>
        </w:tabs>
        <w:ind w:left="360"/>
        <w:rPr>
          <w:sz w:val="24"/>
          <w:szCs w:val="24"/>
        </w:rPr>
      </w:pPr>
    </w:p>
    <w:p w:rsidR="001C3322" w:rsidRPr="005E35E3" w:rsidP="001C3322" w14:paraId="0E560BE4" w14:textId="33F4E022">
      <w:pPr>
        <w:tabs>
          <w:tab w:val="left" w:pos="360"/>
        </w:tabs>
        <w:ind w:left="360"/>
        <w:rPr>
          <w:sz w:val="24"/>
          <w:szCs w:val="24"/>
        </w:rPr>
      </w:pPr>
      <w:r w:rsidRPr="005E35E3">
        <w:rPr>
          <w:sz w:val="24"/>
          <w:szCs w:val="24"/>
        </w:rPr>
        <w:t xml:space="preserve">The transition from a paper submission to an electronic submission of the Five-Year Action Plan and Annual Statement/Budget forms in EPIC began in FY17 based on the grantee fiscal year end.  For FY17, PHAs with 3/31 fiscal year ends and 6/30 fiscal year ends were required to transition to electronic submissions in EPIC.  </w:t>
      </w:r>
      <w:r>
        <w:rPr>
          <w:sz w:val="24"/>
          <w:szCs w:val="24"/>
        </w:rPr>
        <w:t>Beginning in</w:t>
      </w:r>
      <w:r w:rsidRPr="005E35E3">
        <w:rPr>
          <w:sz w:val="24"/>
          <w:szCs w:val="24"/>
        </w:rPr>
        <w:t xml:space="preserve"> FY18, all PHAs </w:t>
      </w:r>
      <w:r>
        <w:rPr>
          <w:sz w:val="24"/>
          <w:szCs w:val="24"/>
        </w:rPr>
        <w:t>were</w:t>
      </w:r>
      <w:r w:rsidRPr="005E35E3">
        <w:rPr>
          <w:sz w:val="24"/>
          <w:szCs w:val="24"/>
        </w:rPr>
        <w:t xml:space="preserve"> required to transition to electronic submission of the Five-Year Action Plan and Annual Statement/Budget in EPIC.  PHAs </w:t>
      </w:r>
      <w:r w:rsidR="007238FC">
        <w:rPr>
          <w:sz w:val="24"/>
          <w:szCs w:val="24"/>
        </w:rPr>
        <w:t>must</w:t>
      </w:r>
      <w:r w:rsidRPr="005E35E3">
        <w:rPr>
          <w:sz w:val="24"/>
          <w:szCs w:val="24"/>
        </w:rPr>
        <w:t xml:space="preserve"> also submit P&amp;E Reports in EPIC.  </w:t>
      </w:r>
    </w:p>
    <w:p w:rsidR="001C3322" w:rsidRPr="005E35E3" w:rsidP="001C3322" w14:paraId="1612EBEB" w14:textId="77777777">
      <w:pPr>
        <w:tabs>
          <w:tab w:val="left" w:pos="360"/>
        </w:tabs>
        <w:ind w:left="360"/>
        <w:rPr>
          <w:sz w:val="24"/>
          <w:szCs w:val="24"/>
        </w:rPr>
      </w:pPr>
    </w:p>
    <w:p w:rsidR="001C3322" w:rsidRPr="005E35E3" w:rsidP="001C3322" w14:paraId="6EF151C9" w14:textId="77777777">
      <w:pPr>
        <w:tabs>
          <w:tab w:val="left" w:pos="360"/>
        </w:tabs>
        <w:ind w:left="360"/>
        <w:rPr>
          <w:sz w:val="24"/>
          <w:szCs w:val="24"/>
        </w:rPr>
      </w:pPr>
      <w:r w:rsidRPr="005E35E3">
        <w:rPr>
          <w:sz w:val="24"/>
          <w:szCs w:val="24"/>
        </w:rPr>
        <w:t xml:space="preserve">Electronic submission in EPIC automates many steps in the planning and approval process. </w:t>
      </w:r>
      <w:r>
        <w:rPr>
          <w:sz w:val="24"/>
          <w:szCs w:val="24"/>
        </w:rPr>
        <w:t xml:space="preserve"> </w:t>
      </w:r>
      <w:r w:rsidRPr="005E35E3">
        <w:rPr>
          <w:sz w:val="24"/>
          <w:szCs w:val="24"/>
        </w:rPr>
        <w:t xml:space="preserve">When completing these submissions in EPIC, many items </w:t>
      </w:r>
      <w:r w:rsidRPr="005E35E3">
        <w:rPr>
          <w:sz w:val="24"/>
          <w:szCs w:val="24"/>
        </w:rPr>
        <w:t>pre</w:t>
      </w:r>
      <w:r w:rsidRPr="005E35E3">
        <w:rPr>
          <w:sz w:val="24"/>
          <w:szCs w:val="24"/>
        </w:rPr>
        <w:t xml:space="preserve">-populated based on existing HUD system data. </w:t>
      </w:r>
      <w:r>
        <w:rPr>
          <w:sz w:val="24"/>
          <w:szCs w:val="24"/>
        </w:rPr>
        <w:t xml:space="preserve"> </w:t>
      </w:r>
      <w:r w:rsidRPr="005E35E3">
        <w:rPr>
          <w:sz w:val="24"/>
          <w:szCs w:val="24"/>
        </w:rPr>
        <w:t xml:space="preserve">PHAs with an approved Five-Year Action Plan in EPIC can easily create their plan for the next reporting period by “copying forward” their current plan and making updates. </w:t>
      </w:r>
      <w:r>
        <w:rPr>
          <w:sz w:val="24"/>
          <w:szCs w:val="24"/>
        </w:rPr>
        <w:t xml:space="preserve"> </w:t>
      </w:r>
      <w:r w:rsidRPr="005E35E3">
        <w:rPr>
          <w:sz w:val="24"/>
          <w:szCs w:val="24"/>
        </w:rPr>
        <w:t>Once HUD approve</w:t>
      </w:r>
      <w:r>
        <w:rPr>
          <w:sz w:val="24"/>
          <w:szCs w:val="24"/>
        </w:rPr>
        <w:t>s</w:t>
      </w:r>
      <w:r w:rsidRPr="005E35E3">
        <w:rPr>
          <w:sz w:val="24"/>
          <w:szCs w:val="24"/>
        </w:rPr>
        <w:t xml:space="preserve"> a work item in the Five-Year Action Plan, it automatically retains its approved status, even if the PHA moves the item into a new plan or year. </w:t>
      </w:r>
      <w:r>
        <w:rPr>
          <w:sz w:val="24"/>
          <w:szCs w:val="24"/>
        </w:rPr>
        <w:t xml:space="preserve"> O</w:t>
      </w:r>
      <w:r w:rsidRPr="005E35E3">
        <w:rPr>
          <w:sz w:val="24"/>
          <w:szCs w:val="24"/>
        </w:rPr>
        <w:t xml:space="preserve">f particular significance, the system automates the budget revision process. </w:t>
      </w:r>
      <w:r>
        <w:rPr>
          <w:sz w:val="24"/>
          <w:szCs w:val="24"/>
        </w:rPr>
        <w:t xml:space="preserve"> </w:t>
      </w:r>
      <w:r w:rsidRPr="005E35E3">
        <w:rPr>
          <w:sz w:val="24"/>
          <w:szCs w:val="24"/>
        </w:rPr>
        <w:t xml:space="preserve">Whereas HUD staff previously reviewed and approved budgets and then manually moved funds in LOCCS, HUD automated the process of reviewing budgets and changing LOCCS accordingly. </w:t>
      </w:r>
    </w:p>
    <w:p w:rsidR="001C3322" w:rsidRPr="005E35E3" w:rsidP="001C3322" w14:paraId="3ADB8DCC" w14:textId="77777777">
      <w:pPr>
        <w:tabs>
          <w:tab w:val="left" w:pos="360"/>
        </w:tabs>
        <w:ind w:left="360"/>
        <w:rPr>
          <w:sz w:val="24"/>
          <w:szCs w:val="24"/>
        </w:rPr>
      </w:pPr>
    </w:p>
    <w:p w:rsidR="001C3322" w:rsidRPr="005E35E3" w:rsidP="001C3322" w14:paraId="13DB95AB" w14:textId="77777777">
      <w:pPr>
        <w:tabs>
          <w:tab w:val="left" w:pos="360"/>
        </w:tabs>
        <w:ind w:left="360"/>
        <w:rPr>
          <w:sz w:val="24"/>
          <w:szCs w:val="24"/>
        </w:rPr>
      </w:pPr>
      <w:r w:rsidRPr="005E35E3">
        <w:rPr>
          <w:sz w:val="24"/>
          <w:szCs w:val="24"/>
        </w:rPr>
        <w:t xml:space="preserve">The Document Management Center automates and centralizes a previously paper-based process that required PHAs to submit documents for </w:t>
      </w:r>
      <w:r>
        <w:rPr>
          <w:sz w:val="24"/>
          <w:szCs w:val="24"/>
        </w:rPr>
        <w:t>a</w:t>
      </w:r>
      <w:r w:rsidRPr="005E35E3">
        <w:rPr>
          <w:sz w:val="24"/>
          <w:szCs w:val="24"/>
        </w:rPr>
        <w:t xml:space="preserve">ward management and close-out including digital </w:t>
      </w:r>
      <w:r>
        <w:rPr>
          <w:sz w:val="24"/>
          <w:szCs w:val="24"/>
        </w:rPr>
        <w:t>Actual Modernization Cost Certificate (</w:t>
      </w:r>
      <w:r w:rsidRPr="005E35E3">
        <w:rPr>
          <w:sz w:val="24"/>
          <w:szCs w:val="24"/>
        </w:rPr>
        <w:t>AMCC</w:t>
      </w:r>
      <w:r>
        <w:rPr>
          <w:sz w:val="24"/>
          <w:szCs w:val="24"/>
        </w:rPr>
        <w:t>)</w:t>
      </w:r>
      <w:r w:rsidRPr="005E35E3">
        <w:rPr>
          <w:sz w:val="24"/>
          <w:szCs w:val="24"/>
        </w:rPr>
        <w:t>/</w:t>
      </w:r>
      <w:r>
        <w:rPr>
          <w:sz w:val="24"/>
          <w:szCs w:val="24"/>
        </w:rPr>
        <w:t>Actual Development Cost Certificate (</w:t>
      </w:r>
      <w:r w:rsidRPr="005E35E3">
        <w:rPr>
          <w:sz w:val="24"/>
          <w:szCs w:val="24"/>
        </w:rPr>
        <w:t>ADCC</w:t>
      </w:r>
      <w:r>
        <w:rPr>
          <w:sz w:val="24"/>
          <w:szCs w:val="24"/>
        </w:rPr>
        <w:t>)</w:t>
      </w:r>
      <w:r w:rsidRPr="005E35E3">
        <w:rPr>
          <w:sz w:val="24"/>
          <w:szCs w:val="24"/>
        </w:rPr>
        <w:t>.</w:t>
      </w:r>
    </w:p>
    <w:p w:rsidR="001C3322" w:rsidRPr="005E35E3" w:rsidP="001C3322" w14:paraId="6A096A54" w14:textId="77777777">
      <w:pPr>
        <w:tabs>
          <w:tab w:val="left" w:pos="360"/>
        </w:tabs>
        <w:ind w:left="360"/>
        <w:rPr>
          <w:sz w:val="24"/>
          <w:szCs w:val="24"/>
        </w:rPr>
      </w:pPr>
    </w:p>
    <w:p w:rsidR="001C3322" w:rsidRPr="005E35E3" w:rsidP="001C3322" w14:paraId="064114FA" w14:textId="77777777">
      <w:pPr>
        <w:tabs>
          <w:tab w:val="left" w:pos="360"/>
        </w:tabs>
        <w:ind w:left="360"/>
        <w:rPr>
          <w:sz w:val="24"/>
          <w:szCs w:val="24"/>
        </w:rPr>
      </w:pPr>
      <w:r w:rsidRPr="005E35E3">
        <w:rPr>
          <w:sz w:val="24"/>
          <w:szCs w:val="24"/>
        </w:rPr>
        <w:t xml:space="preserve">HUD’s electronic collection of EEM information is also pre-populated with data to the greatest extent possible to minimize data entry. </w:t>
      </w:r>
      <w:r>
        <w:rPr>
          <w:sz w:val="24"/>
          <w:szCs w:val="24"/>
        </w:rPr>
        <w:t xml:space="preserve"> </w:t>
      </w:r>
      <w:r w:rsidRPr="005E35E3">
        <w:rPr>
          <w:sz w:val="24"/>
          <w:szCs w:val="24"/>
        </w:rPr>
        <w:t xml:space="preserve">Once the initial report is created for a grant award, recipients also copy the file forward for editing in the next year. </w:t>
      </w:r>
    </w:p>
    <w:p w:rsidR="001C3322" w:rsidRPr="005E35E3" w:rsidP="001C3322" w14:paraId="09CE62FC" w14:textId="77777777">
      <w:pPr>
        <w:tabs>
          <w:tab w:val="left" w:pos="360"/>
        </w:tabs>
        <w:ind w:left="360"/>
        <w:rPr>
          <w:sz w:val="24"/>
          <w:szCs w:val="24"/>
        </w:rPr>
      </w:pPr>
    </w:p>
    <w:p w:rsidR="001C3322" w:rsidP="001C3322" w14:paraId="4DB81ECF" w14:textId="77777777">
      <w:pPr>
        <w:tabs>
          <w:tab w:val="left" w:pos="360"/>
        </w:tabs>
        <w:ind w:left="360"/>
        <w:rPr>
          <w:sz w:val="24"/>
          <w:szCs w:val="24"/>
        </w:rPr>
      </w:pPr>
      <w:r w:rsidRPr="005E35E3">
        <w:rPr>
          <w:sz w:val="24"/>
          <w:szCs w:val="24"/>
        </w:rPr>
        <w:t xml:space="preserve">The EPC and Public Housing Development modules automate and streamline existing paper-based processes. </w:t>
      </w:r>
      <w:r>
        <w:rPr>
          <w:sz w:val="24"/>
          <w:szCs w:val="24"/>
        </w:rPr>
        <w:t xml:space="preserve"> </w:t>
      </w:r>
      <w:r w:rsidRPr="005E35E3">
        <w:rPr>
          <w:sz w:val="24"/>
          <w:szCs w:val="24"/>
        </w:rPr>
        <w:t xml:space="preserve">For example, PHAs wishing to engage in an EPC </w:t>
      </w:r>
      <w:r>
        <w:rPr>
          <w:sz w:val="24"/>
          <w:szCs w:val="24"/>
        </w:rPr>
        <w:t>are</w:t>
      </w:r>
      <w:r w:rsidRPr="005E35E3">
        <w:rPr>
          <w:sz w:val="24"/>
          <w:szCs w:val="24"/>
        </w:rPr>
        <w:t xml:space="preserve"> able to</w:t>
      </w:r>
      <w:r w:rsidRPr="005E35E3">
        <w:rPr>
          <w:sz w:val="24"/>
          <w:szCs w:val="24"/>
        </w:rPr>
        <w:t xml:space="preserve"> submit many of the required documents electronically.  Much of the process </w:t>
      </w:r>
      <w:r>
        <w:rPr>
          <w:sz w:val="24"/>
          <w:szCs w:val="24"/>
        </w:rPr>
        <w:t>is</w:t>
      </w:r>
      <w:r w:rsidRPr="005E35E3">
        <w:rPr>
          <w:sz w:val="24"/>
          <w:szCs w:val="24"/>
        </w:rPr>
        <w:t xml:space="preserve"> automated through EPIC as well.  Information on </w:t>
      </w:r>
      <w:r>
        <w:rPr>
          <w:sz w:val="24"/>
          <w:szCs w:val="24"/>
        </w:rPr>
        <w:t xml:space="preserve">the </w:t>
      </w:r>
      <w:r w:rsidRPr="005E35E3">
        <w:rPr>
          <w:sz w:val="24"/>
          <w:szCs w:val="24"/>
        </w:rPr>
        <w:t>public housing development is collected piecemeal at the field office level in hard copy; EPIC automate</w:t>
      </w:r>
      <w:r>
        <w:rPr>
          <w:sz w:val="24"/>
          <w:szCs w:val="24"/>
        </w:rPr>
        <w:t>s</w:t>
      </w:r>
      <w:r w:rsidRPr="005E35E3">
        <w:rPr>
          <w:sz w:val="24"/>
          <w:szCs w:val="24"/>
        </w:rPr>
        <w:t xml:space="preserve"> and centralize</w:t>
      </w:r>
      <w:r>
        <w:rPr>
          <w:sz w:val="24"/>
          <w:szCs w:val="24"/>
        </w:rPr>
        <w:t>s</w:t>
      </w:r>
      <w:r w:rsidRPr="005E35E3">
        <w:rPr>
          <w:sz w:val="24"/>
          <w:szCs w:val="24"/>
        </w:rPr>
        <w:t xml:space="preserve"> this data collection.</w:t>
      </w:r>
    </w:p>
    <w:p w:rsidR="001C3322" w:rsidRPr="006C7FAE" w:rsidP="001C3322" w14:paraId="2B82CD0F" w14:textId="77777777">
      <w:pPr>
        <w:tabs>
          <w:tab w:val="left" w:pos="360"/>
        </w:tabs>
        <w:ind w:left="360" w:hanging="360"/>
        <w:rPr>
          <w:sz w:val="24"/>
          <w:szCs w:val="24"/>
        </w:rPr>
      </w:pPr>
    </w:p>
    <w:p w:rsidR="001C3322" w:rsidRPr="006C7FAE" w:rsidP="001C3322" w14:paraId="54017477" w14:textId="77777777">
      <w:pPr>
        <w:keepLines/>
        <w:tabs>
          <w:tab w:val="left" w:pos="360"/>
        </w:tabs>
        <w:ind w:left="360" w:hanging="360"/>
        <w:rPr>
          <w:sz w:val="24"/>
          <w:szCs w:val="24"/>
        </w:rPr>
      </w:pPr>
      <w:r w:rsidRPr="006C7FAE">
        <w:rPr>
          <w:sz w:val="24"/>
          <w:szCs w:val="24"/>
        </w:rPr>
        <w:t>4.</w:t>
      </w:r>
      <w:r w:rsidRPr="006C7FAE">
        <w:rPr>
          <w:sz w:val="24"/>
          <w:szCs w:val="24"/>
        </w:rPr>
        <w:tab/>
      </w:r>
      <w:r w:rsidRPr="00100057">
        <w:rPr>
          <w:b/>
          <w:bCs/>
          <w:sz w:val="24"/>
          <w:szCs w:val="24"/>
        </w:rPr>
        <w:t>Describe efforts to identify duplication.  Show specifically why any similar information already available cannot be used or modified for use for the purposes described in Item 2 above.</w:t>
      </w:r>
    </w:p>
    <w:p w:rsidR="001C3322" w:rsidP="001C3322" w14:paraId="56DDE606" w14:textId="77777777">
      <w:pPr>
        <w:pStyle w:val="BodyTextIndent"/>
        <w:tabs>
          <w:tab w:val="left" w:pos="-450"/>
        </w:tabs>
        <w:spacing w:after="0"/>
        <w:rPr>
          <w:sz w:val="24"/>
          <w:szCs w:val="24"/>
        </w:rPr>
      </w:pPr>
    </w:p>
    <w:p w:rsidR="001C3322" w:rsidRPr="002F2F09" w:rsidP="001C3322" w14:paraId="19CE6A7E" w14:textId="77777777">
      <w:pPr>
        <w:pStyle w:val="BodyTextIndent"/>
        <w:tabs>
          <w:tab w:val="left" w:pos="-450"/>
        </w:tabs>
        <w:spacing w:after="0"/>
        <w:rPr>
          <w:sz w:val="24"/>
          <w:szCs w:val="24"/>
        </w:rPr>
      </w:pPr>
      <w:r w:rsidRPr="002F2F09">
        <w:rPr>
          <w:sz w:val="24"/>
          <w:szCs w:val="24"/>
        </w:rPr>
        <w:t>This information is not collected elsewhere.</w:t>
      </w:r>
      <w:r>
        <w:rPr>
          <w:sz w:val="24"/>
          <w:szCs w:val="24"/>
        </w:rPr>
        <w:t xml:space="preserve">  </w:t>
      </w:r>
    </w:p>
    <w:p w:rsidR="001C3322" w:rsidRPr="006C7FAE" w:rsidP="001C3322" w14:paraId="1ED83659" w14:textId="77777777">
      <w:pPr>
        <w:keepLines/>
        <w:tabs>
          <w:tab w:val="left" w:pos="360"/>
          <w:tab w:val="left" w:pos="720"/>
        </w:tabs>
        <w:ind w:left="360"/>
        <w:rPr>
          <w:sz w:val="24"/>
          <w:szCs w:val="24"/>
        </w:rPr>
      </w:pPr>
    </w:p>
    <w:p w:rsidR="001C3322" w:rsidRPr="00100057" w:rsidP="001C3322" w14:paraId="67A9AE40" w14:textId="77777777">
      <w:pPr>
        <w:keepLines/>
        <w:tabs>
          <w:tab w:val="left" w:pos="360"/>
        </w:tabs>
        <w:ind w:left="360" w:hanging="360"/>
        <w:rPr>
          <w:b/>
          <w:bCs/>
          <w:sz w:val="24"/>
          <w:szCs w:val="24"/>
        </w:rPr>
      </w:pPr>
      <w:r w:rsidRPr="006C7FAE">
        <w:rPr>
          <w:sz w:val="24"/>
          <w:szCs w:val="24"/>
        </w:rPr>
        <w:t>5.</w:t>
      </w:r>
      <w:r w:rsidRPr="006C7FAE">
        <w:rPr>
          <w:sz w:val="24"/>
          <w:szCs w:val="24"/>
        </w:rPr>
        <w:tab/>
      </w:r>
      <w:r w:rsidRPr="00100057">
        <w:rPr>
          <w:b/>
          <w:bCs/>
          <w:sz w:val="24"/>
          <w:szCs w:val="24"/>
        </w:rPr>
        <w:t>If the collection of information impacts small businesses or other small entities describe any methods used to minimize burden.</w:t>
      </w:r>
    </w:p>
    <w:p w:rsidR="001C3322" w:rsidP="001C3322" w14:paraId="738EB6BF" w14:textId="77777777">
      <w:pPr>
        <w:keepLines/>
        <w:tabs>
          <w:tab w:val="left" w:pos="360"/>
        </w:tabs>
        <w:ind w:left="360" w:hanging="360"/>
        <w:rPr>
          <w:sz w:val="24"/>
          <w:szCs w:val="24"/>
        </w:rPr>
      </w:pPr>
    </w:p>
    <w:p w:rsidR="001C3322" w:rsidP="001C3322" w14:paraId="4505B400" w14:textId="77777777">
      <w:pPr>
        <w:pStyle w:val="BodyTextIndent"/>
        <w:keepNext/>
        <w:spacing w:after="0"/>
        <w:rPr>
          <w:sz w:val="24"/>
          <w:szCs w:val="24"/>
        </w:rPr>
      </w:pPr>
      <w:r>
        <w:rPr>
          <w:sz w:val="24"/>
          <w:szCs w:val="24"/>
        </w:rPr>
        <w:t xml:space="preserve">This information does not impact small businesses.  </w:t>
      </w:r>
      <w:r w:rsidRPr="002F2F09">
        <w:rPr>
          <w:sz w:val="24"/>
          <w:szCs w:val="24"/>
        </w:rPr>
        <w:t xml:space="preserve">Many of the recipients of </w:t>
      </w:r>
      <w:r>
        <w:rPr>
          <w:sz w:val="24"/>
          <w:szCs w:val="24"/>
        </w:rPr>
        <w:t xml:space="preserve">HUD </w:t>
      </w:r>
      <w:r w:rsidRPr="002F2F09">
        <w:rPr>
          <w:sz w:val="24"/>
          <w:szCs w:val="24"/>
        </w:rPr>
        <w:t xml:space="preserve">funds subject to this data collection </w:t>
      </w:r>
      <w:r>
        <w:rPr>
          <w:sz w:val="24"/>
          <w:szCs w:val="24"/>
        </w:rPr>
        <w:t>are small PHAs, but t</w:t>
      </w:r>
      <w:r w:rsidRPr="002F2F09">
        <w:rPr>
          <w:sz w:val="24"/>
          <w:szCs w:val="24"/>
        </w:rPr>
        <w:t>he impact is expected to be minimal.</w:t>
      </w:r>
    </w:p>
    <w:p w:rsidR="001C3322" w:rsidRPr="006C7FAE" w:rsidP="001C3322" w14:paraId="06D72C29" w14:textId="77777777">
      <w:pPr>
        <w:tabs>
          <w:tab w:val="left" w:pos="360"/>
          <w:tab w:val="left" w:pos="855"/>
        </w:tabs>
        <w:ind w:left="360" w:hanging="360"/>
        <w:rPr>
          <w:sz w:val="24"/>
          <w:szCs w:val="24"/>
        </w:rPr>
      </w:pPr>
      <w:r>
        <w:rPr>
          <w:sz w:val="24"/>
          <w:szCs w:val="24"/>
        </w:rPr>
        <w:tab/>
      </w:r>
      <w:r>
        <w:rPr>
          <w:sz w:val="24"/>
          <w:szCs w:val="24"/>
        </w:rPr>
        <w:tab/>
      </w:r>
    </w:p>
    <w:p w:rsidR="001C3322" w:rsidRPr="00100057" w:rsidP="001C3322" w14:paraId="07C5D14D" w14:textId="2EB9AE59">
      <w:pPr>
        <w:keepLines/>
        <w:tabs>
          <w:tab w:val="left" w:pos="360"/>
        </w:tabs>
        <w:ind w:left="360" w:hanging="360"/>
        <w:rPr>
          <w:b/>
          <w:bCs/>
          <w:sz w:val="24"/>
          <w:szCs w:val="24"/>
        </w:rPr>
      </w:pPr>
      <w:r w:rsidRPr="006C7FAE">
        <w:rPr>
          <w:sz w:val="24"/>
          <w:szCs w:val="24"/>
        </w:rPr>
        <w:t>6.</w:t>
      </w:r>
      <w:r w:rsidRPr="006C7FAE">
        <w:rPr>
          <w:sz w:val="24"/>
          <w:szCs w:val="24"/>
        </w:rPr>
        <w:tab/>
      </w:r>
      <w:r w:rsidRPr="00100057">
        <w:rPr>
          <w:b/>
          <w:bCs/>
          <w:sz w:val="24"/>
          <w:szCs w:val="24"/>
        </w:rPr>
        <w:t xml:space="preserve">Describe the consequences </w:t>
      </w:r>
      <w:r w:rsidRPr="00100057">
        <w:rPr>
          <w:b/>
          <w:bCs/>
          <w:sz w:val="24"/>
          <w:szCs w:val="24"/>
        </w:rPr>
        <w:t>to</w:t>
      </w:r>
      <w:r w:rsidRPr="00100057">
        <w:rPr>
          <w:b/>
          <w:bCs/>
          <w:sz w:val="24"/>
          <w:szCs w:val="24"/>
        </w:rPr>
        <w:t xml:space="preserve"> </w:t>
      </w:r>
      <w:r w:rsidR="001F19F9">
        <w:rPr>
          <w:b/>
          <w:bCs/>
          <w:sz w:val="24"/>
          <w:szCs w:val="24"/>
        </w:rPr>
        <w:t xml:space="preserve">the </w:t>
      </w:r>
      <w:r w:rsidRPr="00100057">
        <w:rPr>
          <w:b/>
          <w:bCs/>
          <w:sz w:val="24"/>
          <w:szCs w:val="24"/>
        </w:rPr>
        <w:t>Federal program or policy activities if the collection is not conducted or is conducted less frequently, as well as any technical or legal obstacles to reducing burden.</w:t>
      </w:r>
    </w:p>
    <w:p w:rsidR="001C3322" w:rsidP="001C3322" w14:paraId="4AFB377C" w14:textId="77777777">
      <w:pPr>
        <w:keepLines/>
        <w:tabs>
          <w:tab w:val="left" w:pos="360"/>
          <w:tab w:val="left" w:pos="720"/>
        </w:tabs>
        <w:ind w:left="360"/>
        <w:rPr>
          <w:sz w:val="24"/>
          <w:szCs w:val="24"/>
        </w:rPr>
      </w:pPr>
    </w:p>
    <w:p w:rsidR="001C3322" w:rsidP="001C3322" w14:paraId="228C78F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The regulations at 24 CFR 905.300 specify the frequency and timeline of submission of CFP Five-Year Action Plans, Annual Statements/Budgets, P&amp;E Reports, and the submission of documentation to HUD to receive funding.</w:t>
      </w:r>
    </w:p>
    <w:p w:rsidR="007E26A4" w:rsidP="001C3322" w14:paraId="13D722B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1C3322" w:rsidP="001C3322" w14:paraId="0208C125" w14:textId="4EDD4E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 xml:space="preserve">If HUD’s review of </w:t>
      </w:r>
      <w:r w:rsidR="00592A55">
        <w:rPr>
          <w:sz w:val="24"/>
          <w:szCs w:val="24"/>
        </w:rPr>
        <w:t xml:space="preserve">CFP </w:t>
      </w:r>
      <w:r>
        <w:rPr>
          <w:sz w:val="24"/>
          <w:szCs w:val="24"/>
        </w:rPr>
        <w:t xml:space="preserve">Five-Year Action Plans were reduced or eliminated, PHAs would be at risk of having funds recaptured </w:t>
      </w:r>
      <w:r w:rsidRPr="04C85735" w:rsidR="00D1035B">
        <w:rPr>
          <w:sz w:val="24"/>
          <w:szCs w:val="24"/>
        </w:rPr>
        <w:t xml:space="preserve">or be sanctioned in another manner as deemed appropriate by HUD </w:t>
      </w:r>
      <w:r>
        <w:rPr>
          <w:sz w:val="24"/>
          <w:szCs w:val="24"/>
        </w:rPr>
        <w:t>due to spending on ineligible purposes and failure to comply with environmental review requirements</w:t>
      </w:r>
      <w:r w:rsidRPr="04C85735" w:rsidR="000B57C5">
        <w:rPr>
          <w:sz w:val="24"/>
          <w:szCs w:val="24"/>
        </w:rPr>
        <w:t>, per 24 CFR 905.804</w:t>
      </w:r>
      <w:r>
        <w:rPr>
          <w:sz w:val="24"/>
          <w:szCs w:val="24"/>
        </w:rPr>
        <w:t xml:space="preserve">.  If HUD eliminated compliance checks of budgets for compliance with statutory and regulatory spending limitations, PHAs and HUD would also face risk of audit findings and PHAs would see funds recaptured. </w:t>
      </w:r>
    </w:p>
    <w:p w:rsidR="001C3322" w:rsidP="001C3322" w14:paraId="24E66B2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1C3322" w:rsidP="001C3322" w14:paraId="36A89DC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If HUD were unable to receive required documentation to receive funding in the Document Management Center, HUD could not maintain proper financial controls and could not, for example, contract the funds in LOCCS.</w:t>
      </w:r>
    </w:p>
    <w:p w:rsidR="001C3322" w:rsidP="001C3322" w14:paraId="7DBA463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1C3322" w:rsidP="001C3322" w14:paraId="6E23B0A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Misuse or inefficient use of Federal funds would also deny these funds to their intended purpose and erode the public’s trust.</w:t>
      </w:r>
    </w:p>
    <w:p w:rsidR="001C3322" w:rsidP="001C3322" w14:paraId="6A3CAB0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1C3322" w:rsidP="001C3322" w14:paraId="347A9DA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 xml:space="preserve">Without the information from Five-Year Plans, budgets, and reporting on EEMs, HUD would be limited in its ability to assess the use of Capital Funds, the needs of the inventory, and performance or progress toward reduced energy costs made by PHAs.  However, the Department reduced the frequency of EEM reporting from quarterly to annually in the previous revision to this information collection to provide relief to PHAs.  </w:t>
      </w:r>
    </w:p>
    <w:p w:rsidR="001C3322" w:rsidP="001C3322" w14:paraId="5EFE4B7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1C3322" w:rsidP="001C3322" w14:paraId="5CA2A2A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Pr>
          <w:sz w:val="24"/>
          <w:szCs w:val="24"/>
        </w:rPr>
        <w:t>Finally, much of the information collected in EPIC will enable grantees to realize benefits to privately finance energy improvements for PHAs to use Capital Funds for other improvements.  The EPCs result in lowering operating costs for PHAs through reduced utility cost.  For example, the EPC process, the request for additional capital resources, and the development process require Department approvals under the United States Housing Act of 1937.</w:t>
      </w:r>
    </w:p>
    <w:p w:rsidR="001C3322" w:rsidRPr="006C7FAE" w:rsidP="001C3322" w14:paraId="66468289" w14:textId="77777777">
      <w:pPr>
        <w:keepLines/>
        <w:tabs>
          <w:tab w:val="left" w:pos="360"/>
          <w:tab w:val="left" w:pos="720"/>
        </w:tabs>
        <w:ind w:left="360"/>
        <w:rPr>
          <w:sz w:val="24"/>
          <w:szCs w:val="24"/>
        </w:rPr>
      </w:pPr>
    </w:p>
    <w:p w:rsidR="001C3322" w:rsidRPr="00100057" w:rsidP="001C3322" w14:paraId="3A0A9F81" w14:textId="77777777">
      <w:pPr>
        <w:numPr>
          <w:ilvl w:val="0"/>
          <w:numId w:val="1"/>
        </w:numPr>
        <w:tabs>
          <w:tab w:val="left" w:pos="360"/>
        </w:tabs>
        <w:rPr>
          <w:b/>
          <w:bCs/>
          <w:sz w:val="24"/>
          <w:szCs w:val="24"/>
        </w:rPr>
      </w:pPr>
      <w:r w:rsidRPr="00100057">
        <w:rPr>
          <w:b/>
          <w:bCs/>
          <w:sz w:val="24"/>
          <w:szCs w:val="24"/>
        </w:rPr>
        <w:t>Explain any special circumstances that would cause an information collection to be conducted in a manner:</w:t>
      </w:r>
    </w:p>
    <w:p w:rsidR="001C3322" w:rsidRPr="006C7FAE" w:rsidP="001C3322" w14:paraId="4495FA9E" w14:textId="77777777">
      <w:pPr>
        <w:tabs>
          <w:tab w:val="left" w:pos="360"/>
        </w:tabs>
        <w:ind w:left="360"/>
        <w:rPr>
          <w:sz w:val="24"/>
          <w:szCs w:val="24"/>
        </w:rPr>
      </w:pPr>
      <w:r w:rsidRPr="006C7FAE">
        <w:rPr>
          <w:sz w:val="24"/>
          <w:szCs w:val="24"/>
        </w:rPr>
        <w:t xml:space="preserve"> </w:t>
      </w:r>
    </w:p>
    <w:p w:rsidR="001C3322" w:rsidRPr="000A3893" w:rsidP="001C3322" w14:paraId="48BC68AC" w14:textId="77777777">
      <w:pPr>
        <w:numPr>
          <w:ilvl w:val="0"/>
          <w:numId w:val="2"/>
        </w:numPr>
        <w:tabs>
          <w:tab w:val="left" w:pos="600"/>
        </w:tabs>
        <w:rPr>
          <w:b/>
          <w:bCs/>
          <w:sz w:val="24"/>
          <w:szCs w:val="24"/>
        </w:rPr>
      </w:pPr>
      <w:r w:rsidRPr="000A3893">
        <w:rPr>
          <w:b/>
          <w:bCs/>
          <w:sz w:val="24"/>
          <w:szCs w:val="24"/>
        </w:rPr>
        <w:t xml:space="preserve">requiring respondents to report information to the agency more than quarterly; </w:t>
      </w:r>
      <w:r w:rsidRPr="000A3893">
        <w:rPr>
          <w:b/>
          <w:bCs/>
          <w:sz w:val="24"/>
          <w:szCs w:val="24"/>
        </w:rPr>
        <w:br/>
      </w:r>
      <w:r w:rsidRPr="000A3893">
        <w:rPr>
          <w:sz w:val="24"/>
          <w:szCs w:val="24"/>
        </w:rPr>
        <w:t>PHAs may submit budget revisions as needed when their spending plans change, which may be in response to changing priorities or an emergency.  Submitting a budget revision in EPIC enables HUD to update the spread of funds in LOCCS so they can be drawn down by the PHA.</w:t>
      </w:r>
    </w:p>
    <w:p w:rsidR="001C3322" w:rsidRPr="000A3893" w:rsidP="001C3322" w14:paraId="7F087030" w14:textId="77777777">
      <w:pPr>
        <w:tabs>
          <w:tab w:val="left" w:pos="600"/>
        </w:tabs>
        <w:ind w:left="684"/>
        <w:rPr>
          <w:b/>
          <w:bCs/>
          <w:sz w:val="24"/>
          <w:szCs w:val="24"/>
        </w:rPr>
      </w:pPr>
    </w:p>
    <w:p w:rsidR="001C3322" w:rsidRPr="000A3893" w:rsidP="001C3322" w14:paraId="01C4DC40" w14:textId="77777777">
      <w:pPr>
        <w:numPr>
          <w:ilvl w:val="0"/>
          <w:numId w:val="2"/>
        </w:numPr>
        <w:tabs>
          <w:tab w:val="left" w:pos="600"/>
        </w:tabs>
        <w:rPr>
          <w:b/>
          <w:bCs/>
          <w:sz w:val="24"/>
          <w:szCs w:val="24"/>
        </w:rPr>
      </w:pPr>
      <w:r w:rsidRPr="000A3893">
        <w:rPr>
          <w:b/>
          <w:bCs/>
          <w:sz w:val="24"/>
          <w:szCs w:val="24"/>
        </w:rPr>
        <w:t xml:space="preserve">requiring respondents to prepare a written response to a collection of information in fewer than 30 days after receipt of it; </w:t>
      </w:r>
      <w:r w:rsidRPr="000A3893">
        <w:rPr>
          <w:b/>
          <w:bCs/>
          <w:sz w:val="24"/>
          <w:szCs w:val="24"/>
        </w:rPr>
        <w:br/>
      </w:r>
      <w:r w:rsidRPr="000A3893">
        <w:rPr>
          <w:sz w:val="24"/>
          <w:szCs w:val="24"/>
        </w:rPr>
        <w:t>Not Applicable</w:t>
      </w:r>
    </w:p>
    <w:p w:rsidR="001C3322" w:rsidRPr="000A3893" w:rsidP="001C3322" w14:paraId="78422BA2" w14:textId="77777777">
      <w:pPr>
        <w:pStyle w:val="ListParagraph"/>
        <w:rPr>
          <w:b/>
          <w:bCs/>
          <w:sz w:val="24"/>
          <w:szCs w:val="24"/>
        </w:rPr>
      </w:pPr>
    </w:p>
    <w:p w:rsidR="001C3322" w:rsidRPr="000A3893" w:rsidP="001C3322" w14:paraId="1D90E263" w14:textId="77777777">
      <w:pPr>
        <w:pStyle w:val="ListParagraph"/>
        <w:numPr>
          <w:ilvl w:val="0"/>
          <w:numId w:val="2"/>
        </w:numPr>
        <w:tabs>
          <w:tab w:val="left" w:pos="600"/>
        </w:tabs>
        <w:contextualSpacing w:val="0"/>
        <w:rPr>
          <w:b/>
          <w:bCs/>
          <w:sz w:val="24"/>
          <w:szCs w:val="24"/>
        </w:rPr>
      </w:pPr>
      <w:r w:rsidRPr="000A3893">
        <w:rPr>
          <w:b/>
          <w:bCs/>
          <w:sz w:val="24"/>
          <w:szCs w:val="24"/>
        </w:rPr>
        <w:t xml:space="preserve">requiring respondents to submit more than an original and two copies of any document; </w:t>
      </w:r>
      <w:r w:rsidRPr="000A3893">
        <w:rPr>
          <w:b/>
          <w:bCs/>
          <w:sz w:val="24"/>
          <w:szCs w:val="24"/>
        </w:rPr>
        <w:br/>
      </w:r>
      <w:r w:rsidRPr="000A3893">
        <w:rPr>
          <w:sz w:val="24"/>
          <w:szCs w:val="24"/>
        </w:rPr>
        <w:t>Not Applicable</w:t>
      </w:r>
    </w:p>
    <w:p w:rsidR="001C3322" w:rsidRPr="000A3893" w:rsidP="001C3322" w14:paraId="5A49B62C" w14:textId="77777777">
      <w:pPr>
        <w:pStyle w:val="ListParagraph"/>
        <w:rPr>
          <w:b/>
          <w:bCs/>
          <w:sz w:val="24"/>
          <w:szCs w:val="24"/>
        </w:rPr>
      </w:pPr>
    </w:p>
    <w:p w:rsidR="001C3322" w:rsidRPr="000A3893" w:rsidP="001C3322" w14:paraId="58DE9764" w14:textId="77777777">
      <w:pPr>
        <w:pStyle w:val="ListParagraph"/>
        <w:numPr>
          <w:ilvl w:val="0"/>
          <w:numId w:val="2"/>
        </w:numPr>
        <w:tabs>
          <w:tab w:val="left" w:pos="600"/>
        </w:tabs>
        <w:contextualSpacing w:val="0"/>
        <w:rPr>
          <w:b/>
          <w:bCs/>
          <w:sz w:val="24"/>
          <w:szCs w:val="24"/>
        </w:rPr>
      </w:pPr>
      <w:r w:rsidRPr="000A3893">
        <w:rPr>
          <w:b/>
          <w:bCs/>
          <w:sz w:val="24"/>
          <w:szCs w:val="24"/>
        </w:rPr>
        <w:t xml:space="preserve">requiring respondents to retain records other than health, medical, government contract, grant-in-aid, or tax records for more than three years; </w:t>
      </w:r>
      <w:r w:rsidRPr="000A3893">
        <w:rPr>
          <w:b/>
          <w:bCs/>
          <w:sz w:val="24"/>
          <w:szCs w:val="24"/>
        </w:rPr>
        <w:br/>
      </w:r>
      <w:r w:rsidRPr="000A3893">
        <w:rPr>
          <w:sz w:val="24"/>
          <w:szCs w:val="24"/>
        </w:rPr>
        <w:t>Not Applicable</w:t>
      </w:r>
    </w:p>
    <w:p w:rsidR="001C3322" w:rsidRPr="000A3893" w:rsidP="001C3322" w14:paraId="6E62B642" w14:textId="77777777">
      <w:pPr>
        <w:pStyle w:val="ListParagraph"/>
        <w:rPr>
          <w:b/>
          <w:bCs/>
          <w:sz w:val="24"/>
          <w:szCs w:val="24"/>
        </w:rPr>
      </w:pPr>
    </w:p>
    <w:p w:rsidR="001C3322" w:rsidRPr="000A3893" w:rsidP="001C3322" w14:paraId="5BF7077F" w14:textId="77777777">
      <w:pPr>
        <w:numPr>
          <w:ilvl w:val="0"/>
          <w:numId w:val="2"/>
        </w:numPr>
        <w:tabs>
          <w:tab w:val="left" w:pos="600"/>
        </w:tabs>
        <w:rPr>
          <w:b/>
          <w:bCs/>
          <w:sz w:val="24"/>
          <w:szCs w:val="24"/>
        </w:rPr>
      </w:pPr>
      <w:r w:rsidRPr="000A3893">
        <w:rPr>
          <w:b/>
          <w:bCs/>
          <w:sz w:val="24"/>
          <w:szCs w:val="24"/>
        </w:rPr>
        <w:t xml:space="preserve">in connection with a statistical survey, that is not designed to produce valid and reliable results than can be generalized to the universe of study; </w:t>
      </w:r>
      <w:r w:rsidRPr="000A3893">
        <w:rPr>
          <w:b/>
          <w:bCs/>
          <w:sz w:val="24"/>
          <w:szCs w:val="24"/>
        </w:rPr>
        <w:br/>
      </w:r>
      <w:r w:rsidRPr="000A3893">
        <w:rPr>
          <w:sz w:val="24"/>
          <w:szCs w:val="24"/>
        </w:rPr>
        <w:t>Not Applicable</w:t>
      </w:r>
    </w:p>
    <w:p w:rsidR="001C3322" w:rsidP="001C3322" w14:paraId="2EE7875A" w14:textId="77777777">
      <w:pPr>
        <w:pStyle w:val="ListParagraph"/>
        <w:rPr>
          <w:b/>
          <w:bCs/>
          <w:sz w:val="24"/>
          <w:szCs w:val="24"/>
        </w:rPr>
      </w:pPr>
    </w:p>
    <w:p w:rsidR="001C3322" w:rsidRPr="000A3893" w:rsidP="001C3322" w14:paraId="034056F9" w14:textId="77777777">
      <w:pPr>
        <w:pStyle w:val="ListParagraph"/>
        <w:numPr>
          <w:ilvl w:val="0"/>
          <w:numId w:val="2"/>
        </w:numPr>
        <w:contextualSpacing w:val="0"/>
        <w:rPr>
          <w:b/>
          <w:bCs/>
          <w:sz w:val="24"/>
          <w:szCs w:val="24"/>
        </w:rPr>
      </w:pPr>
      <w:r w:rsidRPr="000A3893">
        <w:rPr>
          <w:b/>
          <w:bCs/>
          <w:sz w:val="24"/>
          <w:szCs w:val="24"/>
        </w:rPr>
        <w:t xml:space="preserve">requiring the use of a statistical data classification that has not been reviewed and approved by OMB; </w:t>
      </w:r>
    </w:p>
    <w:p w:rsidR="001C3322" w:rsidRPr="000A3893" w:rsidP="001C3322" w14:paraId="565548AD" w14:textId="77777777">
      <w:pPr>
        <w:tabs>
          <w:tab w:val="left" w:pos="600"/>
        </w:tabs>
        <w:ind w:left="684"/>
        <w:rPr>
          <w:sz w:val="24"/>
          <w:szCs w:val="24"/>
        </w:rPr>
      </w:pPr>
      <w:r w:rsidRPr="000A3893">
        <w:rPr>
          <w:sz w:val="24"/>
          <w:szCs w:val="24"/>
        </w:rPr>
        <w:t xml:space="preserve"> Not Applicable</w:t>
      </w:r>
    </w:p>
    <w:p w:rsidR="001C3322" w:rsidRPr="000A3893" w:rsidP="001C3322" w14:paraId="20D1F3DC" w14:textId="77777777">
      <w:pPr>
        <w:tabs>
          <w:tab w:val="left" w:pos="600"/>
        </w:tabs>
        <w:ind w:left="684"/>
        <w:rPr>
          <w:b/>
          <w:bCs/>
          <w:sz w:val="24"/>
          <w:szCs w:val="24"/>
        </w:rPr>
      </w:pPr>
    </w:p>
    <w:p w:rsidR="001C3322" w:rsidRPr="000A3893" w:rsidP="001C3322" w14:paraId="318515B1" w14:textId="77777777">
      <w:pPr>
        <w:keepLines/>
        <w:numPr>
          <w:ilvl w:val="0"/>
          <w:numId w:val="2"/>
        </w:numPr>
        <w:tabs>
          <w:tab w:val="left" w:pos="600"/>
        </w:tabs>
        <w:rPr>
          <w:b/>
          <w:bCs/>
          <w:sz w:val="24"/>
          <w:szCs w:val="24"/>
        </w:rPr>
      </w:pPr>
      <w:r w:rsidRPr="000A3893">
        <w:rPr>
          <w:b/>
          <w:bCs/>
          <w:sz w:val="24"/>
          <w:szCs w:val="24"/>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r w:rsidRPr="000A3893">
        <w:rPr>
          <w:b/>
          <w:bCs/>
          <w:sz w:val="24"/>
          <w:szCs w:val="24"/>
        </w:rPr>
        <w:br/>
      </w:r>
      <w:r w:rsidRPr="000A3893">
        <w:rPr>
          <w:sz w:val="24"/>
          <w:szCs w:val="24"/>
        </w:rPr>
        <w:t>Not Applicable</w:t>
      </w:r>
    </w:p>
    <w:p w:rsidR="001C3322" w:rsidRPr="000A3893" w:rsidP="001C3322" w14:paraId="599DE7D0" w14:textId="77777777">
      <w:pPr>
        <w:keepLines/>
        <w:tabs>
          <w:tab w:val="left" w:pos="600"/>
        </w:tabs>
        <w:ind w:left="684"/>
        <w:rPr>
          <w:b/>
          <w:bCs/>
          <w:sz w:val="24"/>
          <w:szCs w:val="24"/>
        </w:rPr>
      </w:pPr>
    </w:p>
    <w:p w:rsidR="001C3322" w:rsidRPr="000A3893" w:rsidP="001C3322" w14:paraId="19D2FF77" w14:textId="77777777">
      <w:pPr>
        <w:keepLines/>
        <w:numPr>
          <w:ilvl w:val="0"/>
          <w:numId w:val="2"/>
        </w:numPr>
        <w:tabs>
          <w:tab w:val="left" w:pos="600"/>
        </w:tabs>
        <w:rPr>
          <w:sz w:val="24"/>
          <w:szCs w:val="24"/>
        </w:rPr>
      </w:pPr>
      <w:r w:rsidRPr="000A3893">
        <w:rPr>
          <w:b/>
          <w:bCs/>
          <w:sz w:val="24"/>
          <w:szCs w:val="24"/>
        </w:rPr>
        <w:t xml:space="preserve">requiring respondents to submit proprietary trade </w:t>
      </w:r>
      <w:r w:rsidRPr="000A3893">
        <w:rPr>
          <w:b/>
          <w:bCs/>
          <w:sz w:val="24"/>
          <w:szCs w:val="24"/>
        </w:rPr>
        <w:t>secret</w:t>
      </w:r>
      <w:r w:rsidRPr="000A3893">
        <w:rPr>
          <w:b/>
          <w:bCs/>
          <w:sz w:val="24"/>
          <w:szCs w:val="24"/>
        </w:rPr>
        <w:t xml:space="preserve">, or other confidential information unless the agency can demonstrate that it has instituted procedures to protect the information's confidentiality to the extent permitted by law. </w:t>
      </w:r>
      <w:r w:rsidRPr="000A3893">
        <w:rPr>
          <w:b/>
          <w:bCs/>
          <w:sz w:val="24"/>
          <w:szCs w:val="24"/>
        </w:rPr>
        <w:br/>
      </w:r>
      <w:r w:rsidRPr="003775FC">
        <w:rPr>
          <w:sz w:val="24"/>
          <w:szCs w:val="24"/>
        </w:rPr>
        <w:t>Not Applicable</w:t>
      </w:r>
    </w:p>
    <w:p w:rsidR="001C3322" w:rsidRPr="00B44AEE" w:rsidP="001C3322" w14:paraId="4E9F3718" w14:textId="77777777">
      <w:pPr>
        <w:keepLines/>
        <w:tabs>
          <w:tab w:val="left" w:pos="600"/>
        </w:tabs>
        <w:ind w:left="684"/>
        <w:rPr>
          <w:sz w:val="24"/>
          <w:szCs w:val="24"/>
        </w:rPr>
      </w:pPr>
    </w:p>
    <w:p w:rsidR="001F19F9" w:rsidRPr="001F19F9" w:rsidP="001F19F9" w14:paraId="35459230" w14:textId="0833B704">
      <w:pPr>
        <w:numPr>
          <w:ilvl w:val="0"/>
          <w:numId w:val="1"/>
        </w:numPr>
        <w:tabs>
          <w:tab w:val="left" w:pos="360"/>
        </w:tabs>
        <w:rPr>
          <w:b/>
          <w:bCs/>
          <w:sz w:val="24"/>
          <w:szCs w:val="24"/>
        </w:rPr>
      </w:pPr>
      <w:r w:rsidRPr="00100057">
        <w:rPr>
          <w:b/>
          <w:bCs/>
          <w:sz w:val="24"/>
          <w:szCs w:val="24"/>
        </w:rPr>
        <w:t xml:space="preserve">If applicable, provide a copy and identify the date and page number of </w:t>
      </w:r>
      <w:r>
        <w:rPr>
          <w:b/>
          <w:bCs/>
          <w:sz w:val="24"/>
          <w:szCs w:val="24"/>
        </w:rPr>
        <w:t xml:space="preserve">the </w:t>
      </w:r>
      <w:r w:rsidRPr="00100057">
        <w:rPr>
          <w:b/>
          <w:bCs/>
          <w:sz w:val="24"/>
          <w:szCs w:val="24"/>
        </w:rPr>
        <w:t>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1C3322" w:rsidP="001C3322" w14:paraId="32EC5E5E" w14:textId="77777777">
      <w:pPr>
        <w:tabs>
          <w:tab w:val="left" w:pos="360"/>
        </w:tabs>
        <w:ind w:left="360"/>
        <w:rPr>
          <w:sz w:val="24"/>
          <w:szCs w:val="24"/>
        </w:rPr>
      </w:pPr>
    </w:p>
    <w:p w:rsidR="001F19F9" w:rsidP="001C3322" w14:paraId="11C332F6" w14:textId="3A550341">
      <w:pPr>
        <w:tabs>
          <w:tab w:val="left" w:pos="360"/>
        </w:tabs>
        <w:ind w:left="360"/>
        <w:rPr>
          <w:sz w:val="24"/>
          <w:szCs w:val="24"/>
        </w:rPr>
      </w:pPr>
      <w:r w:rsidRPr="001F19F9">
        <w:rPr>
          <w:sz w:val="24"/>
          <w:szCs w:val="24"/>
        </w:rPr>
        <w:t xml:space="preserve">HUD published a Notice of Proposed Information Collection for Public Comments in the Federal Register, Volume </w:t>
      </w:r>
      <w:r>
        <w:rPr>
          <w:sz w:val="24"/>
          <w:szCs w:val="24"/>
        </w:rPr>
        <w:t>91</w:t>
      </w:r>
      <w:r w:rsidRPr="001F19F9">
        <w:rPr>
          <w:sz w:val="24"/>
          <w:szCs w:val="24"/>
        </w:rPr>
        <w:t xml:space="preserve">; No. </w:t>
      </w:r>
      <w:r>
        <w:rPr>
          <w:sz w:val="24"/>
          <w:szCs w:val="24"/>
        </w:rPr>
        <w:t>94</w:t>
      </w:r>
      <w:r w:rsidRPr="001F19F9">
        <w:rPr>
          <w:sz w:val="24"/>
          <w:szCs w:val="24"/>
        </w:rPr>
        <w:t xml:space="preserve">; Page </w:t>
      </w:r>
      <w:r>
        <w:rPr>
          <w:sz w:val="24"/>
          <w:szCs w:val="24"/>
        </w:rPr>
        <w:t>27971</w:t>
      </w:r>
      <w:r w:rsidRPr="001F19F9">
        <w:rPr>
          <w:sz w:val="24"/>
          <w:szCs w:val="24"/>
        </w:rPr>
        <w:t xml:space="preserve"> on </w:t>
      </w:r>
      <w:r>
        <w:rPr>
          <w:sz w:val="24"/>
          <w:szCs w:val="24"/>
        </w:rPr>
        <w:t>May 15</w:t>
      </w:r>
      <w:r w:rsidRPr="001F19F9">
        <w:rPr>
          <w:sz w:val="24"/>
          <w:szCs w:val="24"/>
        </w:rPr>
        <w:t>, 20</w:t>
      </w:r>
      <w:r>
        <w:rPr>
          <w:sz w:val="24"/>
          <w:szCs w:val="24"/>
        </w:rPr>
        <w:t>26</w:t>
      </w:r>
      <w:r w:rsidRPr="001F19F9">
        <w:rPr>
          <w:sz w:val="24"/>
          <w:szCs w:val="24"/>
        </w:rPr>
        <w:t xml:space="preserve">. The public was given until </w:t>
      </w:r>
      <w:r>
        <w:rPr>
          <w:sz w:val="24"/>
          <w:szCs w:val="24"/>
        </w:rPr>
        <w:t>July 14</w:t>
      </w:r>
      <w:r w:rsidRPr="001F19F9">
        <w:rPr>
          <w:sz w:val="24"/>
          <w:szCs w:val="24"/>
        </w:rPr>
        <w:t>, 20</w:t>
      </w:r>
      <w:r>
        <w:rPr>
          <w:sz w:val="24"/>
          <w:szCs w:val="24"/>
        </w:rPr>
        <w:t>26</w:t>
      </w:r>
      <w:r w:rsidRPr="001F19F9">
        <w:rPr>
          <w:sz w:val="24"/>
          <w:szCs w:val="24"/>
        </w:rPr>
        <w:t xml:space="preserve">, to submit comments on the proposed information collection.  HUD received </w:t>
      </w:r>
      <w:r>
        <w:rPr>
          <w:sz w:val="24"/>
          <w:szCs w:val="24"/>
        </w:rPr>
        <w:t>no</w:t>
      </w:r>
      <w:r w:rsidRPr="001F19F9">
        <w:rPr>
          <w:sz w:val="24"/>
          <w:szCs w:val="24"/>
        </w:rPr>
        <w:t xml:space="preserve"> comments on this proposed collection.</w:t>
      </w:r>
    </w:p>
    <w:p w:rsidR="001C3322" w:rsidRPr="006C7FAE" w:rsidP="001C3322" w14:paraId="137CB08F" w14:textId="77777777">
      <w:pPr>
        <w:tabs>
          <w:tab w:val="left" w:pos="360"/>
        </w:tabs>
        <w:ind w:left="360"/>
        <w:rPr>
          <w:sz w:val="24"/>
          <w:szCs w:val="24"/>
        </w:rPr>
      </w:pPr>
    </w:p>
    <w:p w:rsidR="001C3322" w:rsidRPr="003775FC" w:rsidP="001C3322" w14:paraId="318E115A" w14:textId="77777777">
      <w:pPr>
        <w:numPr>
          <w:ilvl w:val="0"/>
          <w:numId w:val="2"/>
        </w:numPr>
        <w:tabs>
          <w:tab w:val="left" w:pos="360"/>
        </w:tabs>
        <w:ind w:left="480"/>
        <w:rPr>
          <w:b/>
          <w:bCs/>
          <w:sz w:val="24"/>
          <w:szCs w:val="24"/>
        </w:rPr>
      </w:pPr>
      <w:r w:rsidRPr="003775FC">
        <w:rPr>
          <w:b/>
          <w:bCs/>
          <w:sz w:val="24"/>
          <w:szCs w:val="24"/>
        </w:rPr>
        <w:t xml:space="preserve">Describe efforts to consult with </w:t>
      </w:r>
      <w:r w:rsidRPr="003775FC">
        <w:rPr>
          <w:b/>
          <w:bCs/>
          <w:sz w:val="24"/>
          <w:szCs w:val="24"/>
        </w:rPr>
        <w:t>persons</w:t>
      </w:r>
      <w:r w:rsidRPr="003775FC">
        <w:rPr>
          <w:b/>
          <w:bCs/>
          <w:sz w:val="24"/>
          <w:szCs w:val="24"/>
        </w:rPr>
        <w:t xml:space="preserve"> outside the agency to obtain their views on the availability of data, frequency of collection, the clarity of instructions and recordkeeping disclosure, or reporting format (if any) and the data elements to be recorded, disclosed, or reported.</w:t>
      </w:r>
    </w:p>
    <w:p w:rsidR="001C3322" w:rsidP="001C3322" w14:paraId="323C7466" w14:textId="77777777">
      <w:pPr>
        <w:keepLines/>
        <w:tabs>
          <w:tab w:val="left" w:pos="360"/>
        </w:tabs>
        <w:ind w:left="480"/>
        <w:rPr>
          <w:sz w:val="24"/>
          <w:szCs w:val="24"/>
        </w:rPr>
      </w:pPr>
    </w:p>
    <w:p w:rsidR="001C3322" w:rsidRPr="003775FC" w:rsidP="001C3322" w14:paraId="544A4A90" w14:textId="238FBC27">
      <w:pPr>
        <w:keepLines/>
        <w:numPr>
          <w:ilvl w:val="0"/>
          <w:numId w:val="2"/>
        </w:numPr>
        <w:tabs>
          <w:tab w:val="left" w:pos="360"/>
        </w:tabs>
        <w:ind w:left="480"/>
        <w:rPr>
          <w:b/>
          <w:bCs/>
          <w:sz w:val="24"/>
          <w:szCs w:val="24"/>
        </w:rPr>
      </w:pPr>
      <w:r w:rsidRPr="003775FC">
        <w:rPr>
          <w:b/>
          <w:bCs/>
          <w:sz w:val="24"/>
          <w:szCs w:val="24"/>
        </w:rPr>
        <w:t>Consultation</w:t>
      </w:r>
      <w:r w:rsidR="001F19F9">
        <w:rPr>
          <w:b/>
          <w:bCs/>
          <w:sz w:val="24"/>
          <w:szCs w:val="24"/>
        </w:rPr>
        <w:t>s</w:t>
      </w:r>
      <w:r w:rsidRPr="003775FC">
        <w:rPr>
          <w:b/>
          <w:bCs/>
          <w:sz w:val="24"/>
          <w:szCs w:val="24"/>
        </w:rPr>
        <w:t xml:space="preserve"> with representatives of those from whom information is to be obtained or those who must compile records should occur at least once every 3 years -- even if the collection of information activity is the same as in prior periods.  There may be circumstances that preclude consultation in a specific situation.  These circumstances should be explained. </w:t>
      </w:r>
      <w:r w:rsidRPr="003775FC">
        <w:rPr>
          <w:b/>
          <w:bCs/>
          <w:sz w:val="24"/>
          <w:szCs w:val="24"/>
        </w:rPr>
        <w:br/>
        <w:t>There are no special circumstances that would cause these information collections to be conducted inappropriately.</w:t>
      </w:r>
    </w:p>
    <w:p w:rsidR="001C3322" w:rsidP="001C3322" w14:paraId="411B6A87" w14:textId="77777777">
      <w:pPr>
        <w:keepLines/>
        <w:tabs>
          <w:tab w:val="left" w:pos="360"/>
        </w:tabs>
        <w:rPr>
          <w:sz w:val="24"/>
          <w:szCs w:val="24"/>
        </w:rPr>
      </w:pPr>
    </w:p>
    <w:p w:rsidR="001C3322" w:rsidP="001C3322" w14:paraId="53D28C51" w14:textId="77777777">
      <w:pPr>
        <w:keepLines/>
        <w:tabs>
          <w:tab w:val="left" w:pos="360"/>
        </w:tabs>
        <w:ind w:left="336"/>
        <w:rPr>
          <w:sz w:val="24"/>
          <w:szCs w:val="24"/>
        </w:rPr>
      </w:pPr>
      <w:r>
        <w:rPr>
          <w:sz w:val="24"/>
          <w:szCs w:val="24"/>
        </w:rPr>
        <w:tab/>
      </w:r>
      <w:r w:rsidRPr="003775FC">
        <w:rPr>
          <w:sz w:val="24"/>
          <w:szCs w:val="24"/>
        </w:rPr>
        <w:t xml:space="preserve">There were no efforts with </w:t>
      </w:r>
      <w:r w:rsidRPr="003775FC">
        <w:rPr>
          <w:sz w:val="24"/>
          <w:szCs w:val="24"/>
        </w:rPr>
        <w:t>persons</w:t>
      </w:r>
      <w:r w:rsidRPr="003775FC">
        <w:rPr>
          <w:sz w:val="24"/>
          <w:szCs w:val="24"/>
        </w:rPr>
        <w:t xml:space="preserve"> outside the agency to obtain views on the availability of data, frequency of collection, the clarity of instructions and recordkeeping disclosure, or reporting format (if any) and the data elements to be recorded, disclosed, or reported.</w:t>
      </w:r>
    </w:p>
    <w:p w:rsidR="007E26A4" w:rsidRPr="003775FC" w:rsidP="001C3322" w14:paraId="2C86EFBA" w14:textId="77777777">
      <w:pPr>
        <w:keepLines/>
        <w:tabs>
          <w:tab w:val="left" w:pos="360"/>
        </w:tabs>
        <w:ind w:left="336"/>
        <w:rPr>
          <w:sz w:val="24"/>
          <w:szCs w:val="24"/>
        </w:rPr>
      </w:pPr>
    </w:p>
    <w:p w:rsidR="001C3322" w:rsidRPr="00100057" w:rsidP="001C3322" w14:paraId="4F5DE002" w14:textId="77777777">
      <w:pPr>
        <w:pStyle w:val="ListParagraph"/>
        <w:keepLines/>
        <w:numPr>
          <w:ilvl w:val="0"/>
          <w:numId w:val="1"/>
        </w:numPr>
        <w:tabs>
          <w:tab w:val="left" w:pos="360"/>
        </w:tabs>
        <w:contextualSpacing w:val="0"/>
        <w:rPr>
          <w:b/>
          <w:bCs/>
          <w:sz w:val="24"/>
          <w:szCs w:val="24"/>
        </w:rPr>
      </w:pPr>
      <w:r w:rsidRPr="00100057">
        <w:rPr>
          <w:b/>
          <w:bCs/>
          <w:sz w:val="24"/>
          <w:szCs w:val="24"/>
        </w:rPr>
        <w:t>Explain any decision to provide any payment or gift to respondents, other than renumeration of contractors or grantees.</w:t>
      </w:r>
    </w:p>
    <w:p w:rsidR="001C3322" w:rsidP="001C3322" w14:paraId="5F678BBC" w14:textId="77777777">
      <w:pPr>
        <w:tabs>
          <w:tab w:val="left" w:pos="360"/>
        </w:tabs>
        <w:ind w:left="360" w:hanging="360"/>
        <w:rPr>
          <w:sz w:val="24"/>
          <w:szCs w:val="24"/>
        </w:rPr>
      </w:pPr>
    </w:p>
    <w:p w:rsidR="001C3322" w:rsidRPr="000A6FA1" w:rsidP="001C3322" w14:paraId="2268916D" w14:textId="77777777">
      <w:pPr>
        <w:pStyle w:val="BodyTextIndent"/>
        <w:spacing w:after="0"/>
        <w:rPr>
          <w:sz w:val="24"/>
          <w:szCs w:val="24"/>
        </w:rPr>
      </w:pPr>
      <w:r w:rsidRPr="000A6FA1">
        <w:rPr>
          <w:sz w:val="24"/>
          <w:szCs w:val="24"/>
        </w:rPr>
        <w:t>No payments or gifts to respondents are provided.</w:t>
      </w:r>
    </w:p>
    <w:p w:rsidR="001C3322" w:rsidRPr="006C7FAE" w:rsidP="001C3322" w14:paraId="209FCC2E" w14:textId="77777777">
      <w:pPr>
        <w:tabs>
          <w:tab w:val="left" w:pos="360"/>
        </w:tabs>
        <w:ind w:left="360" w:hanging="360"/>
        <w:rPr>
          <w:sz w:val="24"/>
          <w:szCs w:val="24"/>
        </w:rPr>
      </w:pPr>
      <w:r>
        <w:rPr>
          <w:sz w:val="24"/>
          <w:szCs w:val="24"/>
        </w:rPr>
        <w:tab/>
      </w:r>
    </w:p>
    <w:p w:rsidR="001C3322" w:rsidRPr="006C7FAE" w:rsidP="001C3322" w14:paraId="2D68C26D" w14:textId="712F117A">
      <w:pPr>
        <w:keepLines/>
        <w:tabs>
          <w:tab w:val="left" w:pos="360"/>
        </w:tabs>
        <w:ind w:left="360" w:hanging="360"/>
        <w:rPr>
          <w:sz w:val="24"/>
          <w:szCs w:val="24"/>
        </w:rPr>
      </w:pPr>
      <w:r w:rsidRPr="006C7FAE">
        <w:rPr>
          <w:sz w:val="24"/>
          <w:szCs w:val="24"/>
        </w:rPr>
        <w:t>10.</w:t>
      </w:r>
      <w:r w:rsidRPr="006C7FAE">
        <w:rPr>
          <w:sz w:val="24"/>
          <w:szCs w:val="24"/>
        </w:rPr>
        <w:tab/>
      </w:r>
      <w:r w:rsidRPr="00100057">
        <w:rPr>
          <w:b/>
          <w:bCs/>
          <w:sz w:val="24"/>
          <w:szCs w:val="24"/>
        </w:rPr>
        <w:t>Describe any assurance of confidentiality provided to respondents and the basis for assurance in statute, regulation or agency policy.</w:t>
      </w:r>
      <w:r w:rsidRPr="00100057">
        <w:rPr>
          <w:b/>
          <w:bCs/>
        </w:rPr>
        <w:t xml:space="preserve"> </w:t>
      </w:r>
      <w:r w:rsidRPr="00100057">
        <w:rPr>
          <w:b/>
          <w:bCs/>
          <w:sz w:val="24"/>
          <w:szCs w:val="24"/>
        </w:rPr>
        <w:t>If the collection requires a system of records notice (SORN) or privacy impact assessment (PIA), those should be cited and described here.</w:t>
      </w:r>
      <w:r>
        <w:rPr>
          <w:sz w:val="24"/>
          <w:szCs w:val="24"/>
        </w:rPr>
        <w:br/>
      </w:r>
      <w:r>
        <w:rPr>
          <w:sz w:val="24"/>
          <w:szCs w:val="24"/>
        </w:rPr>
        <w:br/>
      </w:r>
      <w:r w:rsidR="00602FF7">
        <w:rPr>
          <w:sz w:val="24"/>
          <w:szCs w:val="24"/>
        </w:rPr>
        <w:t xml:space="preserve">There is no assurance of confidentiality provided. </w:t>
      </w:r>
      <w:r w:rsidRPr="00E7441D">
        <w:rPr>
          <w:sz w:val="24"/>
          <w:szCs w:val="24"/>
        </w:rPr>
        <w:t xml:space="preserve">Only summary level data will be made available to the public.  EPIC does not collect any personally identifiable information and does not involve the collection of any information covered by the Privacy Act.  Information at the </w:t>
      </w:r>
      <w:r>
        <w:rPr>
          <w:sz w:val="24"/>
          <w:szCs w:val="24"/>
        </w:rPr>
        <w:t>g</w:t>
      </w:r>
      <w:r w:rsidRPr="00E7441D">
        <w:rPr>
          <w:sz w:val="24"/>
          <w:szCs w:val="24"/>
        </w:rPr>
        <w:t xml:space="preserve">rantee level is not sensitive.  </w:t>
      </w:r>
    </w:p>
    <w:p w:rsidR="001C3322" w:rsidRPr="006C7FAE" w:rsidP="001C3322" w14:paraId="26F78E8A" w14:textId="77777777">
      <w:pPr>
        <w:tabs>
          <w:tab w:val="left" w:pos="360"/>
        </w:tabs>
        <w:ind w:left="360" w:hanging="360"/>
        <w:rPr>
          <w:sz w:val="24"/>
          <w:szCs w:val="24"/>
        </w:rPr>
      </w:pPr>
      <w:r>
        <w:rPr>
          <w:sz w:val="24"/>
          <w:szCs w:val="24"/>
        </w:rPr>
        <w:tab/>
      </w:r>
    </w:p>
    <w:p w:rsidR="001C3322" w:rsidRPr="006C7FAE" w:rsidP="001C3322" w14:paraId="02240DCB" w14:textId="77777777">
      <w:pPr>
        <w:keepLines/>
        <w:tabs>
          <w:tab w:val="left" w:pos="360"/>
        </w:tabs>
        <w:ind w:left="360" w:hanging="360"/>
        <w:rPr>
          <w:sz w:val="24"/>
          <w:szCs w:val="24"/>
        </w:rPr>
      </w:pPr>
      <w:r w:rsidRPr="006C7FAE">
        <w:rPr>
          <w:sz w:val="24"/>
          <w:szCs w:val="24"/>
        </w:rPr>
        <w:t>11.</w:t>
      </w:r>
      <w:r w:rsidRPr="006C7FAE">
        <w:rPr>
          <w:sz w:val="24"/>
          <w:szCs w:val="24"/>
        </w:rPr>
        <w:tab/>
      </w:r>
      <w:r w:rsidRPr="00100057">
        <w:rPr>
          <w:b/>
          <w:bCs/>
          <w:sz w:val="24"/>
          <w:szCs w:val="24"/>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r>
        <w:rPr>
          <w:sz w:val="24"/>
          <w:szCs w:val="24"/>
        </w:rPr>
        <w:br/>
      </w:r>
      <w:r>
        <w:rPr>
          <w:sz w:val="24"/>
          <w:szCs w:val="24"/>
        </w:rPr>
        <w:br/>
      </w:r>
      <w:r w:rsidRPr="005E3C54">
        <w:rPr>
          <w:sz w:val="24"/>
          <w:szCs w:val="24"/>
        </w:rPr>
        <w:t xml:space="preserve">The information collected does not contain questions of a sensitive nature.  </w:t>
      </w:r>
    </w:p>
    <w:p w:rsidR="001C3322" w:rsidP="001C3322" w14:paraId="3C31C710" w14:textId="77777777">
      <w:pPr>
        <w:tabs>
          <w:tab w:val="left" w:pos="360"/>
        </w:tabs>
        <w:ind w:left="360" w:hanging="360"/>
        <w:rPr>
          <w:sz w:val="24"/>
          <w:szCs w:val="24"/>
        </w:rPr>
      </w:pPr>
      <w:r>
        <w:rPr>
          <w:sz w:val="24"/>
          <w:szCs w:val="24"/>
        </w:rPr>
        <w:tab/>
      </w:r>
    </w:p>
    <w:p w:rsidR="001C3322" w:rsidRPr="00100057" w:rsidP="001C3322" w14:paraId="5CAE91FF" w14:textId="77777777">
      <w:pPr>
        <w:tabs>
          <w:tab w:val="left" w:pos="360"/>
        </w:tabs>
        <w:ind w:left="360" w:hanging="360"/>
        <w:rPr>
          <w:b/>
          <w:bCs/>
          <w:sz w:val="24"/>
          <w:szCs w:val="24"/>
        </w:rPr>
      </w:pPr>
      <w:r w:rsidRPr="006C7FAE">
        <w:rPr>
          <w:sz w:val="24"/>
          <w:szCs w:val="24"/>
        </w:rPr>
        <w:t>12.</w:t>
      </w:r>
      <w:r w:rsidRPr="006C7FAE">
        <w:rPr>
          <w:sz w:val="24"/>
          <w:szCs w:val="24"/>
        </w:rPr>
        <w:tab/>
      </w:r>
      <w:r w:rsidRPr="00100057">
        <w:rPr>
          <w:b/>
          <w:bCs/>
          <w:sz w:val="24"/>
          <w:szCs w:val="24"/>
        </w:rPr>
        <w:t>Provide estimates of the hour burden of the collection of information.  The statement should:</w:t>
      </w:r>
    </w:p>
    <w:p w:rsidR="001C3322" w:rsidRPr="00100057" w:rsidP="001C3322" w14:paraId="3023C4AC" w14:textId="77777777">
      <w:pPr>
        <w:tabs>
          <w:tab w:val="left" w:pos="360"/>
        </w:tabs>
        <w:ind w:left="360" w:hanging="360"/>
        <w:rPr>
          <w:b/>
          <w:bCs/>
          <w:sz w:val="24"/>
          <w:szCs w:val="24"/>
        </w:rPr>
      </w:pPr>
      <w:r w:rsidRPr="00100057">
        <w:rPr>
          <w:b/>
          <w:bCs/>
          <w:sz w:val="24"/>
          <w:szCs w:val="24"/>
        </w:rPr>
        <w:t xml:space="preserve"> </w:t>
      </w:r>
    </w:p>
    <w:p w:rsidR="001C3322" w:rsidRPr="00100057" w:rsidP="001C3322" w14:paraId="673CB693" w14:textId="77777777">
      <w:pPr>
        <w:numPr>
          <w:ilvl w:val="0"/>
          <w:numId w:val="2"/>
        </w:numPr>
        <w:tabs>
          <w:tab w:val="left" w:pos="480"/>
        </w:tabs>
        <w:ind w:left="480"/>
        <w:rPr>
          <w:b/>
          <w:bCs/>
          <w:sz w:val="24"/>
          <w:szCs w:val="24"/>
        </w:rPr>
      </w:pPr>
      <w:r w:rsidRPr="00100057">
        <w:rPr>
          <w:b/>
          <w:bCs/>
          <w:sz w:val="24"/>
          <w:szCs w:val="24"/>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1C3322" w:rsidRPr="00100057" w:rsidP="001C3322" w14:paraId="1F35192B" w14:textId="77777777">
      <w:pPr>
        <w:tabs>
          <w:tab w:val="left" w:pos="480"/>
        </w:tabs>
        <w:ind w:left="480"/>
        <w:rPr>
          <w:b/>
          <w:bCs/>
          <w:sz w:val="24"/>
          <w:szCs w:val="24"/>
        </w:rPr>
      </w:pPr>
      <w:r w:rsidRPr="00100057">
        <w:rPr>
          <w:b/>
          <w:bCs/>
          <w:sz w:val="24"/>
          <w:szCs w:val="24"/>
        </w:rPr>
        <w:t xml:space="preserve"> </w:t>
      </w:r>
    </w:p>
    <w:p w:rsidR="001C3322" w:rsidRPr="00100057" w:rsidP="001C3322" w14:paraId="53135273" w14:textId="77777777">
      <w:pPr>
        <w:numPr>
          <w:ilvl w:val="0"/>
          <w:numId w:val="2"/>
        </w:numPr>
        <w:tabs>
          <w:tab w:val="left" w:pos="480"/>
        </w:tabs>
        <w:ind w:left="480"/>
        <w:rPr>
          <w:b/>
          <w:bCs/>
          <w:sz w:val="24"/>
          <w:szCs w:val="24"/>
        </w:rPr>
      </w:pPr>
      <w:r w:rsidRPr="00100057">
        <w:rPr>
          <w:b/>
          <w:bCs/>
          <w:sz w:val="24"/>
          <w:szCs w:val="24"/>
        </w:rPr>
        <w:t xml:space="preserve">If this request covers more than one form, provide separate hour burden estimates for each form and aggregate the hour burdens in chart below; and </w:t>
      </w:r>
    </w:p>
    <w:p w:rsidR="001C3322" w:rsidRPr="00100057" w:rsidP="001C3322" w14:paraId="274ED8BA" w14:textId="77777777">
      <w:pPr>
        <w:pStyle w:val="ListParagraph"/>
        <w:rPr>
          <w:b/>
          <w:bCs/>
          <w:sz w:val="24"/>
          <w:szCs w:val="24"/>
        </w:rPr>
      </w:pPr>
    </w:p>
    <w:p w:rsidR="001F19F9" w:rsidRPr="001F19F9" w:rsidP="001F19F9" w14:paraId="75F87BFD" w14:textId="77DC5FAB">
      <w:pPr>
        <w:keepLines/>
        <w:numPr>
          <w:ilvl w:val="0"/>
          <w:numId w:val="2"/>
        </w:numPr>
        <w:tabs>
          <w:tab w:val="left" w:pos="480"/>
        </w:tabs>
        <w:ind w:left="480"/>
        <w:rPr>
          <w:sz w:val="24"/>
          <w:szCs w:val="24"/>
        </w:rPr>
      </w:pPr>
      <w:r w:rsidRPr="00100057">
        <w:rPr>
          <w:b/>
          <w:bCs/>
          <w:sz w:val="24"/>
          <w:szCs w:val="24"/>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13.</w:t>
      </w:r>
      <w:r>
        <w:rPr>
          <w:sz w:val="24"/>
          <w:szCs w:val="24"/>
        </w:rPr>
        <w:br/>
      </w:r>
      <w:r>
        <w:rPr>
          <w:sz w:val="24"/>
          <w:szCs w:val="24"/>
        </w:rPr>
        <w:br/>
      </w:r>
      <w:r w:rsidRPr="00796D00">
        <w:rPr>
          <w:sz w:val="24"/>
          <w:szCs w:val="24"/>
        </w:rPr>
        <w:t xml:space="preserve">The </w:t>
      </w:r>
      <w:r w:rsidR="004C4905">
        <w:rPr>
          <w:sz w:val="24"/>
          <w:szCs w:val="24"/>
        </w:rPr>
        <w:t>C</w:t>
      </w:r>
      <w:r w:rsidRPr="00796D00">
        <w:rPr>
          <w:sz w:val="24"/>
          <w:szCs w:val="24"/>
        </w:rPr>
        <w:t xml:space="preserve">ore </w:t>
      </w:r>
      <w:r w:rsidR="004C4905">
        <w:rPr>
          <w:sz w:val="24"/>
          <w:szCs w:val="24"/>
        </w:rPr>
        <w:t>A</w:t>
      </w:r>
      <w:r w:rsidRPr="00796D00">
        <w:rPr>
          <w:sz w:val="24"/>
          <w:szCs w:val="24"/>
        </w:rPr>
        <w:t xml:space="preserve">ctivity data collection will cover 2,800 grantees with 11,800 active grants that will be reported in EPIC. </w:t>
      </w:r>
      <w:r>
        <w:rPr>
          <w:sz w:val="24"/>
          <w:szCs w:val="24"/>
        </w:rPr>
        <w:t xml:space="preserve"> </w:t>
      </w:r>
      <w:r w:rsidRPr="00796D00">
        <w:rPr>
          <w:sz w:val="24"/>
          <w:szCs w:val="24"/>
        </w:rPr>
        <w:t xml:space="preserve">Average time to complete the survey is 30 minutes. </w:t>
      </w:r>
      <w:r>
        <w:rPr>
          <w:sz w:val="24"/>
          <w:szCs w:val="24"/>
        </w:rPr>
        <w:t xml:space="preserve"> </w:t>
      </w:r>
      <w:r w:rsidRPr="00796D00">
        <w:rPr>
          <w:sz w:val="24"/>
          <w:szCs w:val="24"/>
        </w:rPr>
        <w:t xml:space="preserve">Respondents will be required to submit information under the core activity module annually. </w:t>
      </w:r>
      <w:r>
        <w:rPr>
          <w:sz w:val="24"/>
          <w:szCs w:val="24"/>
        </w:rPr>
        <w:t xml:space="preserve"> </w:t>
      </w:r>
      <w:r w:rsidRPr="00796D00">
        <w:rPr>
          <w:sz w:val="24"/>
          <w:szCs w:val="24"/>
        </w:rPr>
        <w:t xml:space="preserve">Each respondent will spend an additional 1.5 hours collecting the data required to complete the survey. </w:t>
      </w:r>
      <w:r>
        <w:rPr>
          <w:sz w:val="24"/>
          <w:szCs w:val="24"/>
        </w:rPr>
        <w:t xml:space="preserve"> </w:t>
      </w:r>
      <w:r w:rsidRPr="00796D00">
        <w:rPr>
          <w:sz w:val="24"/>
          <w:szCs w:val="24"/>
        </w:rPr>
        <w:t xml:space="preserve">The annual reporting burden hours are based on the requirement that each recipient submits a separate report for each active grant. </w:t>
      </w:r>
    </w:p>
    <w:p w:rsidR="001F19F9" w:rsidP="001C3322" w14:paraId="29C3C11D" w14:textId="77777777">
      <w:pPr>
        <w:keepLines/>
        <w:tabs>
          <w:tab w:val="left" w:pos="480"/>
        </w:tabs>
        <w:ind w:left="336"/>
        <w:rPr>
          <w:sz w:val="24"/>
          <w:szCs w:val="24"/>
        </w:rPr>
      </w:pPr>
    </w:p>
    <w:p w:rsidR="001C3322" w:rsidRPr="0035467B" w:rsidP="001C3322" w14:paraId="396DB7FD" w14:textId="5447375E">
      <w:pPr>
        <w:keepLines/>
        <w:tabs>
          <w:tab w:val="left" w:pos="480"/>
        </w:tabs>
        <w:ind w:left="336"/>
        <w:rPr>
          <w:sz w:val="24"/>
          <w:szCs w:val="24"/>
        </w:rPr>
      </w:pPr>
      <w:r w:rsidRPr="00796D00">
        <w:rPr>
          <w:sz w:val="24"/>
          <w:szCs w:val="24"/>
        </w:rPr>
        <w:t xml:space="preserve">The same universe of grantees will electronically submit Forms HUD-50075.1 (the Annual Statement/Budget and P&amp;E Report) and HUD-50075.2 (the Capital Fund Program Five-Year Action Plan). </w:t>
      </w:r>
      <w:r>
        <w:rPr>
          <w:sz w:val="24"/>
          <w:szCs w:val="24"/>
        </w:rPr>
        <w:t xml:space="preserve"> </w:t>
      </w:r>
      <w:r w:rsidRPr="00796D00">
        <w:rPr>
          <w:sz w:val="24"/>
          <w:szCs w:val="24"/>
        </w:rPr>
        <w:t xml:space="preserve">The AMCC/ADCC forms have been automated in the Document Management Center that was previously paper-based process to reduce the hours of the collection. </w:t>
      </w:r>
      <w:r>
        <w:rPr>
          <w:sz w:val="24"/>
          <w:szCs w:val="24"/>
        </w:rPr>
        <w:t xml:space="preserve"> </w:t>
      </w:r>
      <w:r w:rsidRPr="00796D00">
        <w:rPr>
          <w:sz w:val="24"/>
          <w:szCs w:val="24"/>
        </w:rPr>
        <w:t>The Department anticipates each “form,” separated by function in EPIC, will require 1 hour to complete, as broken out in the table below.  Data suggest approximately 6,500 open grants at any given point in time for which the Annual Statement/Budget</w:t>
      </w:r>
      <w:r>
        <w:rPr>
          <w:sz w:val="24"/>
          <w:szCs w:val="24"/>
        </w:rPr>
        <w:t xml:space="preserve"> </w:t>
      </w:r>
      <w:r w:rsidRPr="0035467B">
        <w:rPr>
          <w:sz w:val="24"/>
          <w:szCs w:val="24"/>
        </w:rPr>
        <w:t xml:space="preserve">would be required annually. </w:t>
      </w:r>
      <w:r>
        <w:rPr>
          <w:sz w:val="24"/>
          <w:szCs w:val="24"/>
        </w:rPr>
        <w:t xml:space="preserve"> </w:t>
      </w:r>
      <w:r w:rsidRPr="0035467B">
        <w:rPr>
          <w:sz w:val="24"/>
          <w:szCs w:val="24"/>
        </w:rPr>
        <w:t xml:space="preserve">PHAs are only required to update the Five-Year Action Plan every </w:t>
      </w:r>
      <w:r>
        <w:rPr>
          <w:sz w:val="24"/>
          <w:szCs w:val="24"/>
        </w:rPr>
        <w:t>5</w:t>
      </w:r>
      <w:r w:rsidRPr="0035467B">
        <w:rPr>
          <w:sz w:val="24"/>
          <w:szCs w:val="24"/>
        </w:rPr>
        <w:t xml:space="preserve"> years, but many PHAs do so more frequently (PHAs may elect whether to submit a fixed plan in </w:t>
      </w:r>
      <w:r>
        <w:rPr>
          <w:sz w:val="24"/>
          <w:szCs w:val="24"/>
        </w:rPr>
        <w:t>five</w:t>
      </w:r>
      <w:r w:rsidRPr="0035467B">
        <w:rPr>
          <w:sz w:val="24"/>
          <w:szCs w:val="24"/>
        </w:rPr>
        <w:t>-year intervals or a rolling plan annually</w:t>
      </w:r>
      <w:r>
        <w:rPr>
          <w:sz w:val="24"/>
          <w:szCs w:val="24"/>
        </w:rPr>
        <w:t xml:space="preserve"> and</w:t>
      </w:r>
      <w:r w:rsidRPr="0035467B">
        <w:rPr>
          <w:sz w:val="24"/>
          <w:szCs w:val="24"/>
        </w:rPr>
        <w:t xml:space="preserve"> may change their election as desired)</w:t>
      </w:r>
      <w:r>
        <w:rPr>
          <w:sz w:val="24"/>
          <w:szCs w:val="24"/>
        </w:rPr>
        <w:t>.</w:t>
      </w:r>
      <w:r w:rsidRPr="0035467B">
        <w:rPr>
          <w:sz w:val="24"/>
          <w:szCs w:val="24"/>
        </w:rPr>
        <w:t xml:space="preserve"> </w:t>
      </w:r>
      <w:r>
        <w:rPr>
          <w:sz w:val="24"/>
          <w:szCs w:val="24"/>
        </w:rPr>
        <w:t xml:space="preserve"> </w:t>
      </w:r>
      <w:r w:rsidRPr="0035467B">
        <w:rPr>
          <w:sz w:val="24"/>
          <w:szCs w:val="24"/>
        </w:rPr>
        <w:t xml:space="preserve">The Department anticipates up to 2,000 responses per year through this module. </w:t>
      </w:r>
      <w:r>
        <w:rPr>
          <w:sz w:val="24"/>
          <w:szCs w:val="24"/>
        </w:rPr>
        <w:t xml:space="preserve"> </w:t>
      </w:r>
      <w:r w:rsidRPr="0035467B">
        <w:rPr>
          <w:sz w:val="24"/>
          <w:szCs w:val="24"/>
        </w:rPr>
        <w:t xml:space="preserve">Also, users can now enter utility conservation measures within the </w:t>
      </w:r>
      <w:r>
        <w:rPr>
          <w:sz w:val="24"/>
          <w:szCs w:val="24"/>
        </w:rPr>
        <w:t>Five</w:t>
      </w:r>
      <w:r w:rsidRPr="0035467B">
        <w:rPr>
          <w:sz w:val="24"/>
          <w:szCs w:val="24"/>
        </w:rPr>
        <w:t>-</w:t>
      </w:r>
      <w:r>
        <w:rPr>
          <w:sz w:val="24"/>
          <w:szCs w:val="24"/>
        </w:rPr>
        <w:t>Y</w:t>
      </w:r>
      <w:r w:rsidRPr="0035467B">
        <w:rPr>
          <w:sz w:val="24"/>
          <w:szCs w:val="24"/>
        </w:rPr>
        <w:t xml:space="preserve">ear Action </w:t>
      </w:r>
      <w:r>
        <w:rPr>
          <w:sz w:val="24"/>
          <w:szCs w:val="24"/>
        </w:rPr>
        <w:t>P</w:t>
      </w:r>
      <w:r w:rsidRPr="0035467B">
        <w:rPr>
          <w:sz w:val="24"/>
          <w:szCs w:val="24"/>
        </w:rPr>
        <w:t>lan work activity module for more efficient data entry.  The P&amp;E Report is no longer required annually but remains an effective monitoring tool for the Department.</w:t>
      </w:r>
    </w:p>
    <w:p w:rsidR="001C3322" w:rsidRPr="0035467B" w:rsidP="001C3322" w14:paraId="41383708" w14:textId="77777777">
      <w:pPr>
        <w:keepLines/>
        <w:tabs>
          <w:tab w:val="left" w:pos="480"/>
        </w:tabs>
        <w:ind w:left="336"/>
        <w:rPr>
          <w:sz w:val="24"/>
          <w:szCs w:val="24"/>
        </w:rPr>
      </w:pPr>
    </w:p>
    <w:p w:rsidR="001C3322" w:rsidRPr="0035467B" w:rsidP="001C3322" w14:paraId="24A40ABF" w14:textId="4E03472D">
      <w:pPr>
        <w:keepLines/>
        <w:tabs>
          <w:tab w:val="left" w:pos="480"/>
        </w:tabs>
        <w:ind w:left="336"/>
        <w:rPr>
          <w:sz w:val="24"/>
          <w:szCs w:val="24"/>
        </w:rPr>
      </w:pPr>
      <w:r w:rsidRPr="0035467B">
        <w:rPr>
          <w:sz w:val="24"/>
          <w:szCs w:val="24"/>
        </w:rPr>
        <w:t xml:space="preserve">The same universe of grantees will electronically submit copies of documents required by </w:t>
      </w:r>
      <w:r>
        <w:rPr>
          <w:sz w:val="24"/>
          <w:szCs w:val="24"/>
        </w:rPr>
        <w:t>r</w:t>
      </w:r>
      <w:r w:rsidRPr="0035467B">
        <w:rPr>
          <w:sz w:val="24"/>
          <w:szCs w:val="24"/>
        </w:rPr>
        <w:t xml:space="preserve">egulation to allow the Department to contract new </w:t>
      </w:r>
      <w:r>
        <w:rPr>
          <w:sz w:val="24"/>
          <w:szCs w:val="24"/>
        </w:rPr>
        <w:t>a</w:t>
      </w:r>
      <w:r w:rsidRPr="0035467B">
        <w:rPr>
          <w:sz w:val="24"/>
          <w:szCs w:val="24"/>
        </w:rPr>
        <w:t xml:space="preserve">wards in LOCCS.  This collection of documents is required for each new </w:t>
      </w:r>
      <w:r>
        <w:rPr>
          <w:sz w:val="24"/>
          <w:szCs w:val="24"/>
        </w:rPr>
        <w:t>a</w:t>
      </w:r>
      <w:r w:rsidRPr="0035467B">
        <w:rPr>
          <w:sz w:val="24"/>
          <w:szCs w:val="24"/>
        </w:rPr>
        <w:t xml:space="preserve">ward, which the Department estimates approximately 2 per year and </w:t>
      </w:r>
      <w:r w:rsidRPr="0035467B">
        <w:rPr>
          <w:sz w:val="24"/>
          <w:szCs w:val="24"/>
        </w:rPr>
        <w:t>take</w:t>
      </w:r>
      <w:r w:rsidR="00FB1A25">
        <w:rPr>
          <w:sz w:val="24"/>
          <w:szCs w:val="24"/>
        </w:rPr>
        <w:t xml:space="preserve"> </w:t>
      </w:r>
      <w:r w:rsidRPr="0035467B">
        <w:rPr>
          <w:sz w:val="24"/>
          <w:szCs w:val="24"/>
        </w:rPr>
        <w:t>approximately 30 minutes to complete.</w:t>
      </w:r>
    </w:p>
    <w:p w:rsidR="001C3322" w:rsidRPr="0035467B" w:rsidP="001C3322" w14:paraId="443CF6E3" w14:textId="77777777">
      <w:pPr>
        <w:keepLines/>
        <w:tabs>
          <w:tab w:val="left" w:pos="480"/>
        </w:tabs>
        <w:ind w:left="336"/>
        <w:rPr>
          <w:sz w:val="24"/>
          <w:szCs w:val="24"/>
        </w:rPr>
      </w:pPr>
    </w:p>
    <w:p w:rsidR="001C3322" w:rsidRPr="0035467B" w:rsidP="001C3322" w14:paraId="71D83076" w14:textId="77777777">
      <w:pPr>
        <w:keepLines/>
        <w:tabs>
          <w:tab w:val="left" w:pos="480"/>
        </w:tabs>
        <w:ind w:left="336"/>
        <w:rPr>
          <w:sz w:val="24"/>
          <w:szCs w:val="24"/>
        </w:rPr>
      </w:pPr>
      <w:r w:rsidRPr="0035467B">
        <w:rPr>
          <w:sz w:val="24"/>
          <w:szCs w:val="24"/>
        </w:rPr>
        <w:t xml:space="preserve">The Department anticipates approximately 15 requests from PHAs to use additional capital resources, such as a portion of Operating Funds, for Capital Fund eligible activities. </w:t>
      </w:r>
      <w:r>
        <w:rPr>
          <w:sz w:val="24"/>
          <w:szCs w:val="24"/>
        </w:rPr>
        <w:t xml:space="preserve"> </w:t>
      </w:r>
      <w:r w:rsidRPr="0035467B">
        <w:rPr>
          <w:sz w:val="24"/>
          <w:szCs w:val="24"/>
        </w:rPr>
        <w:t>Such a request should take approximately 30 minutes to complete.</w:t>
      </w:r>
    </w:p>
    <w:p w:rsidR="001C3322" w:rsidRPr="0035467B" w:rsidP="001C3322" w14:paraId="0DC82272" w14:textId="77777777">
      <w:pPr>
        <w:keepLines/>
        <w:tabs>
          <w:tab w:val="left" w:pos="480"/>
        </w:tabs>
        <w:ind w:left="336"/>
        <w:rPr>
          <w:sz w:val="24"/>
          <w:szCs w:val="24"/>
        </w:rPr>
      </w:pPr>
    </w:p>
    <w:p w:rsidR="001C3322" w:rsidRPr="0035467B" w:rsidP="001C3322" w14:paraId="51DE2164" w14:textId="77777777">
      <w:pPr>
        <w:keepLines/>
        <w:tabs>
          <w:tab w:val="left" w:pos="480"/>
        </w:tabs>
        <w:ind w:left="336"/>
        <w:rPr>
          <w:sz w:val="24"/>
          <w:szCs w:val="24"/>
        </w:rPr>
      </w:pPr>
      <w:r w:rsidRPr="0035467B">
        <w:rPr>
          <w:sz w:val="24"/>
          <w:szCs w:val="24"/>
        </w:rPr>
        <w:t xml:space="preserve">The Department anticipates 30 submittals for EPC financings per year. </w:t>
      </w:r>
      <w:r>
        <w:rPr>
          <w:sz w:val="24"/>
          <w:szCs w:val="24"/>
        </w:rPr>
        <w:t xml:space="preserve"> </w:t>
      </w:r>
      <w:r w:rsidRPr="0035467B">
        <w:rPr>
          <w:sz w:val="24"/>
          <w:szCs w:val="24"/>
        </w:rPr>
        <w:t>The hourly burden associated with this process is much higher but participation in the process is voluntary and at the PHA’s discretion.</w:t>
      </w:r>
    </w:p>
    <w:p w:rsidR="001C3322" w:rsidRPr="0035467B" w:rsidP="001C3322" w14:paraId="51B3D916" w14:textId="77777777">
      <w:pPr>
        <w:keepLines/>
        <w:tabs>
          <w:tab w:val="left" w:pos="480"/>
        </w:tabs>
        <w:ind w:left="336"/>
        <w:rPr>
          <w:sz w:val="24"/>
          <w:szCs w:val="24"/>
        </w:rPr>
      </w:pPr>
    </w:p>
    <w:p w:rsidR="001C3322" w:rsidRPr="0035467B" w:rsidP="001C3322" w14:paraId="7B9C0013" w14:textId="4B23E1C5">
      <w:pPr>
        <w:keepLines/>
        <w:tabs>
          <w:tab w:val="left" w:pos="480"/>
        </w:tabs>
        <w:ind w:left="336"/>
        <w:rPr>
          <w:sz w:val="24"/>
          <w:szCs w:val="24"/>
        </w:rPr>
      </w:pPr>
      <w:r w:rsidRPr="0035467B">
        <w:rPr>
          <w:sz w:val="24"/>
          <w:szCs w:val="24"/>
        </w:rPr>
        <w:t xml:space="preserve">The Department anticipates up to 60 new developments per year. </w:t>
      </w:r>
      <w:r>
        <w:rPr>
          <w:sz w:val="24"/>
          <w:szCs w:val="24"/>
        </w:rPr>
        <w:t xml:space="preserve"> </w:t>
      </w:r>
      <w:r w:rsidRPr="0035467B">
        <w:rPr>
          <w:sz w:val="24"/>
          <w:szCs w:val="24"/>
        </w:rPr>
        <w:t xml:space="preserve">These developments may contain varying numbers of units and correspondingly different levels of funding, both </w:t>
      </w:r>
      <w:r>
        <w:rPr>
          <w:sz w:val="24"/>
          <w:szCs w:val="24"/>
        </w:rPr>
        <w:t>F</w:t>
      </w:r>
      <w:r w:rsidRPr="0035467B">
        <w:rPr>
          <w:sz w:val="24"/>
          <w:szCs w:val="24"/>
        </w:rPr>
        <w:t>ederal and non-</w:t>
      </w:r>
      <w:r>
        <w:rPr>
          <w:sz w:val="24"/>
          <w:szCs w:val="24"/>
        </w:rPr>
        <w:t>F</w:t>
      </w:r>
      <w:r w:rsidRPr="0035467B">
        <w:rPr>
          <w:sz w:val="24"/>
          <w:szCs w:val="24"/>
        </w:rPr>
        <w:t xml:space="preserve">ederal. </w:t>
      </w:r>
      <w:r>
        <w:rPr>
          <w:sz w:val="24"/>
          <w:szCs w:val="24"/>
        </w:rPr>
        <w:t xml:space="preserve"> </w:t>
      </w:r>
      <w:r w:rsidRPr="0035467B">
        <w:rPr>
          <w:sz w:val="24"/>
          <w:szCs w:val="24"/>
        </w:rPr>
        <w:t>This process also demands a greater burden</w:t>
      </w:r>
      <w:r w:rsidR="00192790">
        <w:rPr>
          <w:sz w:val="24"/>
          <w:szCs w:val="24"/>
        </w:rPr>
        <w:t>,</w:t>
      </w:r>
      <w:r w:rsidRPr="0035467B">
        <w:rPr>
          <w:sz w:val="24"/>
          <w:szCs w:val="24"/>
        </w:rPr>
        <w:t xml:space="preserve"> but development is at the PHA’s discretion.</w:t>
      </w:r>
    </w:p>
    <w:p w:rsidR="001C3322" w:rsidRPr="0035467B" w:rsidP="001C3322" w14:paraId="2ABBC600" w14:textId="77777777">
      <w:pPr>
        <w:keepLines/>
        <w:tabs>
          <w:tab w:val="left" w:pos="480"/>
        </w:tabs>
        <w:ind w:left="336"/>
        <w:rPr>
          <w:sz w:val="24"/>
          <w:szCs w:val="24"/>
        </w:rPr>
      </w:pPr>
    </w:p>
    <w:p w:rsidR="001C3322" w:rsidRPr="0035467B" w:rsidP="001C3322" w14:paraId="00A7B376" w14:textId="77777777">
      <w:pPr>
        <w:keepLines/>
        <w:tabs>
          <w:tab w:val="left" w:pos="480"/>
        </w:tabs>
        <w:ind w:left="336"/>
        <w:rPr>
          <w:sz w:val="24"/>
          <w:szCs w:val="24"/>
        </w:rPr>
      </w:pPr>
      <w:r w:rsidRPr="0035467B">
        <w:rPr>
          <w:sz w:val="24"/>
          <w:szCs w:val="24"/>
        </w:rPr>
        <w:t xml:space="preserve">The Department anticipates approximately 60 PHAs per year will submit plans through the Mixed Finance Early Warning module. </w:t>
      </w:r>
      <w:r>
        <w:rPr>
          <w:sz w:val="24"/>
          <w:szCs w:val="24"/>
        </w:rPr>
        <w:t xml:space="preserve"> </w:t>
      </w:r>
      <w:r w:rsidRPr="0035467B">
        <w:rPr>
          <w:sz w:val="24"/>
          <w:szCs w:val="24"/>
        </w:rPr>
        <w:t>This module will allow a PHA to alert the Department of its intention to propose a mixed-finance transaction as well as various deadlines associated with the non-</w:t>
      </w:r>
      <w:r>
        <w:rPr>
          <w:sz w:val="24"/>
          <w:szCs w:val="24"/>
        </w:rPr>
        <w:t>F</w:t>
      </w:r>
      <w:r w:rsidRPr="0035467B">
        <w:rPr>
          <w:sz w:val="24"/>
          <w:szCs w:val="24"/>
        </w:rPr>
        <w:t>ederal sources of financing so that the Department can provide technical assistance to the PHA in the planning process.</w:t>
      </w:r>
    </w:p>
    <w:p w:rsidR="001C3322" w:rsidRPr="0035467B" w:rsidP="001C3322" w14:paraId="3C9C77F4" w14:textId="77777777">
      <w:pPr>
        <w:keepLines/>
        <w:tabs>
          <w:tab w:val="left" w:pos="480"/>
        </w:tabs>
        <w:ind w:left="336"/>
        <w:rPr>
          <w:sz w:val="24"/>
          <w:szCs w:val="24"/>
        </w:rPr>
      </w:pPr>
    </w:p>
    <w:p w:rsidR="001C3322" w:rsidP="00176993" w14:paraId="59B2AD6C" w14:textId="480EB137">
      <w:pPr>
        <w:keepLines/>
        <w:tabs>
          <w:tab w:val="left" w:pos="480"/>
          <w:tab w:val="left" w:pos="4500"/>
        </w:tabs>
        <w:ind w:left="336"/>
        <w:rPr>
          <w:sz w:val="24"/>
          <w:szCs w:val="24"/>
        </w:rPr>
      </w:pPr>
      <w:r w:rsidRPr="0035467B">
        <w:rPr>
          <w:sz w:val="24"/>
          <w:szCs w:val="24"/>
        </w:rPr>
        <w:t>The Department anticipates approximately 50 PHAs per year will submit applications through the</w:t>
      </w:r>
      <w:r w:rsidR="0050041A">
        <w:rPr>
          <w:sz w:val="24"/>
          <w:szCs w:val="24"/>
        </w:rPr>
        <w:t xml:space="preserve"> C</w:t>
      </w:r>
      <w:r w:rsidR="005C550D">
        <w:rPr>
          <w:sz w:val="24"/>
          <w:szCs w:val="24"/>
        </w:rPr>
        <w:t>FP Grant Application</w:t>
      </w:r>
      <w:r w:rsidRPr="0035467B">
        <w:rPr>
          <w:sz w:val="24"/>
          <w:szCs w:val="24"/>
        </w:rPr>
        <w:t xml:space="preserve"> </w:t>
      </w:r>
      <w:r w:rsidRPr="00800383">
        <w:rPr>
          <w:sz w:val="24"/>
          <w:szCs w:val="24"/>
        </w:rPr>
        <w:t>module</w:t>
      </w:r>
      <w:r w:rsidRPr="0035467B">
        <w:rPr>
          <w:sz w:val="24"/>
          <w:szCs w:val="24"/>
        </w:rPr>
        <w:t xml:space="preserve">. </w:t>
      </w:r>
      <w:r>
        <w:rPr>
          <w:sz w:val="24"/>
          <w:szCs w:val="24"/>
        </w:rPr>
        <w:t xml:space="preserve"> </w:t>
      </w:r>
      <w:r w:rsidRPr="0035467B">
        <w:rPr>
          <w:sz w:val="24"/>
          <w:szCs w:val="24"/>
        </w:rPr>
        <w:t>This module allow</w:t>
      </w:r>
      <w:r>
        <w:rPr>
          <w:sz w:val="24"/>
          <w:szCs w:val="24"/>
        </w:rPr>
        <w:t>s</w:t>
      </w:r>
      <w:r w:rsidRPr="0035467B">
        <w:rPr>
          <w:sz w:val="24"/>
          <w:szCs w:val="24"/>
        </w:rPr>
        <w:t xml:space="preserve"> a PHA to alert the Department of its intention </w:t>
      </w:r>
      <w:r>
        <w:rPr>
          <w:sz w:val="24"/>
          <w:szCs w:val="24"/>
        </w:rPr>
        <w:t>to address</w:t>
      </w:r>
      <w:r w:rsidRPr="0035467B">
        <w:rPr>
          <w:sz w:val="24"/>
          <w:szCs w:val="24"/>
        </w:rPr>
        <w:t xml:space="preserve"> emergency and disaster activities so the Department can provide technical assistance in the planning process.</w:t>
      </w:r>
      <w:r>
        <w:rPr>
          <w:sz w:val="24"/>
          <w:szCs w:val="24"/>
        </w:rPr>
        <w:t xml:space="preserve"> </w:t>
      </w:r>
    </w:p>
    <w:tbl>
      <w:tblPr>
        <w:tblW w:w="9540" w:type="dxa"/>
        <w:tblInd w:w="439" w:type="dxa"/>
        <w:tblLook w:val="04A0"/>
      </w:tblPr>
      <w:tblGrid>
        <w:gridCol w:w="1467"/>
        <w:gridCol w:w="1306"/>
        <w:gridCol w:w="1127"/>
        <w:gridCol w:w="1132"/>
        <w:gridCol w:w="1017"/>
        <w:gridCol w:w="938"/>
        <w:gridCol w:w="1187"/>
        <w:gridCol w:w="1366"/>
      </w:tblGrid>
      <w:tr w14:paraId="54553C71" w14:textId="77777777" w:rsidTr="00C12C1E">
        <w:tblPrEx>
          <w:tblW w:w="9540" w:type="dxa"/>
          <w:tblInd w:w="439" w:type="dxa"/>
          <w:tblLook w:val="04A0"/>
        </w:tblPrEx>
        <w:trPr>
          <w:trHeight w:val="690"/>
        </w:trPr>
        <w:tc>
          <w:tcPr>
            <w:tcW w:w="1571" w:type="dxa"/>
            <w:tcBorders>
              <w:top w:val="single" w:sz="8" w:space="0" w:color="auto"/>
              <w:left w:val="single" w:sz="8" w:space="0" w:color="auto"/>
              <w:bottom w:val="single" w:sz="8" w:space="0" w:color="auto"/>
              <w:right w:val="single" w:sz="8" w:space="0" w:color="auto"/>
            </w:tcBorders>
            <w:shd w:val="clear" w:color="000000" w:fill="D8D8D8"/>
            <w:vAlign w:val="center"/>
            <w:hideMark/>
          </w:tcPr>
          <w:p w:rsidR="001A4042" w:rsidRPr="00C12C1E" w:rsidP="001A4042" w14:paraId="23F36C18" w14:textId="77777777">
            <w:pPr>
              <w:overflowPunct/>
              <w:autoSpaceDE/>
              <w:autoSpaceDN/>
              <w:adjustRightInd/>
              <w:jc w:val="center"/>
              <w:textAlignment w:val="auto"/>
              <w:rPr>
                <w:b/>
                <w:bCs/>
                <w:color w:val="000000"/>
              </w:rPr>
            </w:pPr>
            <w:r w:rsidRPr="00C12C1E">
              <w:rPr>
                <w:b/>
                <w:bCs/>
                <w:color w:val="000000"/>
              </w:rPr>
              <w:t>Information Collection</w:t>
            </w:r>
          </w:p>
        </w:tc>
        <w:tc>
          <w:tcPr>
            <w:tcW w:w="1230" w:type="dxa"/>
            <w:tcBorders>
              <w:top w:val="single" w:sz="8" w:space="0" w:color="auto"/>
              <w:left w:val="nil"/>
              <w:bottom w:val="single" w:sz="8" w:space="0" w:color="auto"/>
              <w:right w:val="single" w:sz="8" w:space="0" w:color="auto"/>
            </w:tcBorders>
            <w:shd w:val="clear" w:color="000000" w:fill="D8D8D8"/>
            <w:vAlign w:val="center"/>
            <w:hideMark/>
          </w:tcPr>
          <w:p w:rsidR="001A4042" w:rsidRPr="00C12C1E" w:rsidP="001A4042" w14:paraId="4C86A86A" w14:textId="77777777">
            <w:pPr>
              <w:overflowPunct/>
              <w:autoSpaceDE/>
              <w:autoSpaceDN/>
              <w:adjustRightInd/>
              <w:jc w:val="center"/>
              <w:textAlignment w:val="auto"/>
              <w:rPr>
                <w:b/>
                <w:bCs/>
                <w:color w:val="000000"/>
              </w:rPr>
            </w:pPr>
            <w:r w:rsidRPr="00C12C1E">
              <w:rPr>
                <w:b/>
                <w:bCs/>
                <w:color w:val="000000"/>
              </w:rPr>
              <w:t>Number of Respondents</w:t>
            </w:r>
          </w:p>
        </w:tc>
        <w:tc>
          <w:tcPr>
            <w:tcW w:w="1026" w:type="dxa"/>
            <w:tcBorders>
              <w:top w:val="single" w:sz="8" w:space="0" w:color="auto"/>
              <w:left w:val="nil"/>
              <w:bottom w:val="single" w:sz="8" w:space="0" w:color="auto"/>
              <w:right w:val="single" w:sz="8" w:space="0" w:color="auto"/>
            </w:tcBorders>
            <w:shd w:val="clear" w:color="000000" w:fill="D8D8D8"/>
            <w:vAlign w:val="center"/>
            <w:hideMark/>
          </w:tcPr>
          <w:p w:rsidR="001A4042" w:rsidRPr="00C12C1E" w:rsidP="001A4042" w14:paraId="64F7C039" w14:textId="77777777">
            <w:pPr>
              <w:overflowPunct/>
              <w:autoSpaceDE/>
              <w:autoSpaceDN/>
              <w:adjustRightInd/>
              <w:jc w:val="center"/>
              <w:textAlignment w:val="auto"/>
              <w:rPr>
                <w:b/>
                <w:bCs/>
                <w:color w:val="000000"/>
              </w:rPr>
            </w:pPr>
            <w:r w:rsidRPr="00C12C1E">
              <w:rPr>
                <w:b/>
                <w:bCs/>
                <w:color w:val="000000"/>
              </w:rPr>
              <w:t>Frequency of Response</w:t>
            </w:r>
          </w:p>
        </w:tc>
        <w:tc>
          <w:tcPr>
            <w:tcW w:w="1161" w:type="dxa"/>
            <w:tcBorders>
              <w:top w:val="single" w:sz="8" w:space="0" w:color="auto"/>
              <w:left w:val="nil"/>
              <w:bottom w:val="single" w:sz="8" w:space="0" w:color="auto"/>
              <w:right w:val="single" w:sz="8" w:space="0" w:color="auto"/>
            </w:tcBorders>
            <w:shd w:val="clear" w:color="000000" w:fill="D8D8D8"/>
            <w:vAlign w:val="center"/>
            <w:hideMark/>
          </w:tcPr>
          <w:p w:rsidR="001A4042" w:rsidRPr="00C12C1E" w:rsidP="001A4042" w14:paraId="0F96431F" w14:textId="77777777">
            <w:pPr>
              <w:overflowPunct/>
              <w:autoSpaceDE/>
              <w:autoSpaceDN/>
              <w:adjustRightInd/>
              <w:jc w:val="center"/>
              <w:textAlignment w:val="auto"/>
              <w:rPr>
                <w:b/>
                <w:bCs/>
                <w:color w:val="000000"/>
              </w:rPr>
            </w:pPr>
            <w:r w:rsidRPr="00C12C1E">
              <w:rPr>
                <w:b/>
                <w:bCs/>
                <w:color w:val="000000"/>
              </w:rPr>
              <w:t>Responses Per Annum</w:t>
            </w:r>
          </w:p>
        </w:tc>
        <w:tc>
          <w:tcPr>
            <w:tcW w:w="981" w:type="dxa"/>
            <w:tcBorders>
              <w:top w:val="single" w:sz="8" w:space="0" w:color="auto"/>
              <w:left w:val="nil"/>
              <w:bottom w:val="single" w:sz="8" w:space="0" w:color="auto"/>
              <w:right w:val="single" w:sz="8" w:space="0" w:color="auto"/>
            </w:tcBorders>
            <w:shd w:val="clear" w:color="000000" w:fill="D8D8D8"/>
            <w:vAlign w:val="center"/>
            <w:hideMark/>
          </w:tcPr>
          <w:p w:rsidR="001A4042" w:rsidRPr="00C12C1E" w:rsidP="001A4042" w14:paraId="1299ABC5" w14:textId="77777777">
            <w:pPr>
              <w:overflowPunct/>
              <w:autoSpaceDE/>
              <w:autoSpaceDN/>
              <w:adjustRightInd/>
              <w:jc w:val="center"/>
              <w:textAlignment w:val="auto"/>
              <w:rPr>
                <w:b/>
                <w:bCs/>
                <w:color w:val="000000"/>
              </w:rPr>
            </w:pPr>
            <w:r w:rsidRPr="00C12C1E">
              <w:rPr>
                <w:b/>
                <w:bCs/>
                <w:color w:val="000000"/>
              </w:rPr>
              <w:t>Burden Hours Per Response</w:t>
            </w:r>
          </w:p>
        </w:tc>
        <w:tc>
          <w:tcPr>
            <w:tcW w:w="996" w:type="dxa"/>
            <w:tcBorders>
              <w:top w:val="single" w:sz="8" w:space="0" w:color="auto"/>
              <w:left w:val="nil"/>
              <w:bottom w:val="single" w:sz="8" w:space="0" w:color="auto"/>
              <w:right w:val="single" w:sz="8" w:space="0" w:color="auto"/>
            </w:tcBorders>
            <w:shd w:val="clear" w:color="000000" w:fill="D8D8D8"/>
            <w:vAlign w:val="center"/>
            <w:hideMark/>
          </w:tcPr>
          <w:p w:rsidR="001A4042" w:rsidRPr="00C12C1E" w:rsidP="001A4042" w14:paraId="2C5F5E30" w14:textId="77777777">
            <w:pPr>
              <w:overflowPunct/>
              <w:autoSpaceDE/>
              <w:autoSpaceDN/>
              <w:adjustRightInd/>
              <w:jc w:val="center"/>
              <w:textAlignment w:val="auto"/>
              <w:rPr>
                <w:b/>
                <w:bCs/>
                <w:color w:val="000000"/>
              </w:rPr>
            </w:pPr>
            <w:r w:rsidRPr="00C12C1E">
              <w:rPr>
                <w:b/>
                <w:bCs/>
                <w:color w:val="000000"/>
              </w:rPr>
              <w:t>Annual Burden Hours</w:t>
            </w:r>
          </w:p>
        </w:tc>
        <w:tc>
          <w:tcPr>
            <w:tcW w:w="1240" w:type="dxa"/>
            <w:tcBorders>
              <w:top w:val="single" w:sz="8" w:space="0" w:color="auto"/>
              <w:left w:val="nil"/>
              <w:bottom w:val="single" w:sz="8" w:space="0" w:color="auto"/>
              <w:right w:val="single" w:sz="8" w:space="0" w:color="auto"/>
            </w:tcBorders>
            <w:shd w:val="clear" w:color="000000" w:fill="D8D8D8"/>
            <w:vAlign w:val="center"/>
            <w:hideMark/>
          </w:tcPr>
          <w:p w:rsidR="001A4042" w:rsidRPr="00C12C1E" w:rsidP="001A4042" w14:paraId="61AD2510" w14:textId="77777777">
            <w:pPr>
              <w:overflowPunct/>
              <w:autoSpaceDE/>
              <w:autoSpaceDN/>
              <w:adjustRightInd/>
              <w:jc w:val="center"/>
              <w:textAlignment w:val="auto"/>
              <w:rPr>
                <w:b/>
                <w:bCs/>
                <w:color w:val="000000"/>
              </w:rPr>
            </w:pPr>
            <w:r w:rsidRPr="00C12C1E">
              <w:rPr>
                <w:b/>
                <w:bCs/>
                <w:color w:val="000000"/>
              </w:rPr>
              <w:t>Hourly Cost Per Response*</w:t>
            </w:r>
          </w:p>
        </w:tc>
        <w:tc>
          <w:tcPr>
            <w:tcW w:w="1335" w:type="dxa"/>
            <w:tcBorders>
              <w:top w:val="single" w:sz="8" w:space="0" w:color="auto"/>
              <w:left w:val="nil"/>
              <w:bottom w:val="single" w:sz="4" w:space="0" w:color="BFBFBF" w:themeColor="background1" w:themeShade="BF"/>
              <w:right w:val="single" w:sz="8" w:space="0" w:color="000000" w:themeColor="text1"/>
            </w:tcBorders>
            <w:shd w:val="clear" w:color="000000" w:fill="D8D8D8"/>
            <w:vAlign w:val="center"/>
            <w:hideMark/>
          </w:tcPr>
          <w:p w:rsidR="001A4042" w:rsidRPr="00C12C1E" w:rsidP="001A4042" w14:paraId="4A73B78B" w14:textId="77777777">
            <w:pPr>
              <w:overflowPunct/>
              <w:autoSpaceDE/>
              <w:autoSpaceDN/>
              <w:adjustRightInd/>
              <w:jc w:val="center"/>
              <w:textAlignment w:val="auto"/>
              <w:rPr>
                <w:b/>
                <w:bCs/>
                <w:color w:val="000000"/>
              </w:rPr>
            </w:pPr>
            <w:r w:rsidRPr="00C12C1E">
              <w:rPr>
                <w:b/>
                <w:bCs/>
                <w:color w:val="000000"/>
              </w:rPr>
              <w:t>Annual Cost</w:t>
            </w:r>
          </w:p>
        </w:tc>
      </w:tr>
      <w:tr w14:paraId="116140E7" w14:textId="77777777" w:rsidTr="00C12C1E">
        <w:tblPrEx>
          <w:tblW w:w="9540" w:type="dxa"/>
          <w:tblInd w:w="439" w:type="dxa"/>
          <w:tblLook w:val="04A0"/>
        </w:tblPrEx>
        <w:trPr>
          <w:trHeight w:val="315"/>
        </w:trPr>
        <w:tc>
          <w:tcPr>
            <w:tcW w:w="1571" w:type="dxa"/>
            <w:tcBorders>
              <w:top w:val="nil"/>
              <w:left w:val="single" w:sz="8" w:space="0" w:color="auto"/>
              <w:bottom w:val="single" w:sz="8" w:space="0" w:color="D8D8D8"/>
              <w:right w:val="single" w:sz="8" w:space="0" w:color="D8D8D8"/>
            </w:tcBorders>
            <w:hideMark/>
          </w:tcPr>
          <w:p w:rsidR="001A4042" w:rsidRPr="00C12C1E" w:rsidP="001A4042" w14:paraId="64FC98EF" w14:textId="77777777">
            <w:pPr>
              <w:overflowPunct/>
              <w:autoSpaceDE/>
              <w:autoSpaceDN/>
              <w:adjustRightInd/>
              <w:textAlignment w:val="auto"/>
              <w:rPr>
                <w:color w:val="000000"/>
              </w:rPr>
            </w:pPr>
            <w:r w:rsidRPr="00C12C1E">
              <w:rPr>
                <w:color w:val="000000" w:themeColor="text1"/>
              </w:rPr>
              <w:t>Core Activity</w:t>
            </w:r>
          </w:p>
        </w:tc>
        <w:tc>
          <w:tcPr>
            <w:tcW w:w="1230" w:type="dxa"/>
            <w:tcBorders>
              <w:top w:val="nil"/>
              <w:left w:val="nil"/>
              <w:bottom w:val="single" w:sz="8" w:space="0" w:color="D8D8D8"/>
              <w:right w:val="single" w:sz="8" w:space="0" w:color="D8D8D8"/>
            </w:tcBorders>
            <w:hideMark/>
          </w:tcPr>
          <w:p w:rsidR="001A4042" w:rsidRPr="00C12C1E" w:rsidP="001A4042" w14:paraId="4983F984" w14:textId="77777777">
            <w:pPr>
              <w:overflowPunct/>
              <w:autoSpaceDE/>
              <w:autoSpaceDN/>
              <w:adjustRightInd/>
              <w:jc w:val="right"/>
              <w:textAlignment w:val="auto"/>
              <w:rPr>
                <w:color w:val="000000"/>
              </w:rPr>
            </w:pPr>
            <w:r w:rsidRPr="00C12C1E">
              <w:rPr>
                <w:color w:val="000000"/>
              </w:rPr>
              <w:t>2,800</w:t>
            </w:r>
          </w:p>
        </w:tc>
        <w:tc>
          <w:tcPr>
            <w:tcW w:w="1026" w:type="dxa"/>
            <w:tcBorders>
              <w:top w:val="nil"/>
              <w:left w:val="nil"/>
              <w:bottom w:val="single" w:sz="8" w:space="0" w:color="D8D8D8"/>
              <w:right w:val="single" w:sz="8" w:space="0" w:color="D8D8D8"/>
            </w:tcBorders>
            <w:hideMark/>
          </w:tcPr>
          <w:p w:rsidR="001A4042" w:rsidRPr="00C12C1E" w:rsidP="001A4042" w14:paraId="67081DFC"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1A4042" w:rsidRPr="00C12C1E" w:rsidP="001A4042" w14:paraId="3D732F01" w14:textId="77777777">
            <w:pPr>
              <w:overflowPunct/>
              <w:autoSpaceDE/>
              <w:autoSpaceDN/>
              <w:adjustRightInd/>
              <w:jc w:val="right"/>
              <w:textAlignment w:val="auto"/>
              <w:rPr>
                <w:color w:val="000000"/>
              </w:rPr>
            </w:pPr>
            <w:r w:rsidRPr="00C12C1E">
              <w:rPr>
                <w:color w:val="000000"/>
              </w:rPr>
              <w:t>2,800</w:t>
            </w:r>
          </w:p>
        </w:tc>
        <w:tc>
          <w:tcPr>
            <w:tcW w:w="981" w:type="dxa"/>
            <w:tcBorders>
              <w:top w:val="nil"/>
              <w:left w:val="nil"/>
              <w:bottom w:val="single" w:sz="8" w:space="0" w:color="D8D8D8"/>
              <w:right w:val="single" w:sz="8" w:space="0" w:color="D8D8D8"/>
            </w:tcBorders>
            <w:hideMark/>
          </w:tcPr>
          <w:p w:rsidR="001A4042" w:rsidRPr="00C12C1E" w:rsidP="001A4042" w14:paraId="06DF06C5" w14:textId="77777777">
            <w:pPr>
              <w:overflowPunct/>
              <w:autoSpaceDE/>
              <w:autoSpaceDN/>
              <w:adjustRightInd/>
              <w:jc w:val="right"/>
              <w:textAlignment w:val="auto"/>
              <w:rPr>
                <w:color w:val="000000"/>
              </w:rPr>
            </w:pPr>
            <w:r w:rsidRPr="00C12C1E">
              <w:rPr>
                <w:color w:val="000000"/>
              </w:rPr>
              <w:t>1</w:t>
            </w:r>
          </w:p>
        </w:tc>
        <w:tc>
          <w:tcPr>
            <w:tcW w:w="996" w:type="dxa"/>
            <w:tcBorders>
              <w:top w:val="nil"/>
              <w:left w:val="nil"/>
              <w:bottom w:val="single" w:sz="8" w:space="0" w:color="D8D8D8"/>
              <w:right w:val="single" w:sz="8" w:space="0" w:color="D8D8D8"/>
            </w:tcBorders>
            <w:hideMark/>
          </w:tcPr>
          <w:p w:rsidR="001A4042" w:rsidRPr="00C12C1E" w:rsidP="001A4042" w14:paraId="35135908" w14:textId="77777777">
            <w:pPr>
              <w:overflowPunct/>
              <w:autoSpaceDE/>
              <w:autoSpaceDN/>
              <w:adjustRightInd/>
              <w:jc w:val="right"/>
              <w:textAlignment w:val="auto"/>
              <w:rPr>
                <w:color w:val="000000"/>
              </w:rPr>
            </w:pPr>
            <w:r w:rsidRPr="00C12C1E">
              <w:rPr>
                <w:color w:val="000000"/>
              </w:rPr>
              <w:t>2,800</w:t>
            </w:r>
          </w:p>
        </w:tc>
        <w:tc>
          <w:tcPr>
            <w:tcW w:w="1240" w:type="dxa"/>
            <w:tcBorders>
              <w:top w:val="nil"/>
              <w:left w:val="nil"/>
              <w:bottom w:val="single" w:sz="8" w:space="0" w:color="D8D8D8"/>
              <w:right w:val="single" w:sz="4" w:space="0" w:color="BFBFBF" w:themeColor="background1" w:themeShade="BF"/>
            </w:tcBorders>
            <w:hideMark/>
          </w:tcPr>
          <w:p w:rsidR="001A4042" w:rsidRPr="00C12C1E" w:rsidP="001A4042" w14:paraId="424B5ADA" w14:textId="77777777">
            <w:pPr>
              <w:overflowPunct/>
              <w:autoSpaceDE/>
              <w:autoSpaceDN/>
              <w:adjustRightInd/>
              <w:jc w:val="right"/>
              <w:textAlignment w:val="auto"/>
              <w:rPr>
                <w:color w:val="000000"/>
              </w:rPr>
            </w:pPr>
            <w:r w:rsidRPr="00C12C1E">
              <w:rPr>
                <w:color w:val="000000"/>
              </w:rPr>
              <w:t xml:space="preserve">$57.47 </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1A4042" w:rsidRPr="00C12C1E" w:rsidP="001A4042" w14:paraId="5FE939F4" w14:textId="77777777">
            <w:pPr>
              <w:overflowPunct/>
              <w:autoSpaceDE/>
              <w:autoSpaceDN/>
              <w:adjustRightInd/>
              <w:jc w:val="right"/>
              <w:textAlignment w:val="auto"/>
              <w:rPr>
                <w:color w:val="000000"/>
              </w:rPr>
            </w:pPr>
            <w:r w:rsidRPr="00C12C1E">
              <w:rPr>
                <w:color w:val="000000" w:themeColor="text1"/>
              </w:rPr>
              <w:t>$160,916.00</w:t>
            </w:r>
          </w:p>
        </w:tc>
      </w:tr>
      <w:tr w14:paraId="1C372605" w14:textId="77777777" w:rsidTr="00C12C1E">
        <w:tblPrEx>
          <w:tblW w:w="9540" w:type="dxa"/>
          <w:tblInd w:w="439" w:type="dxa"/>
          <w:tblLook w:val="04A0"/>
        </w:tblPrEx>
        <w:trPr>
          <w:trHeight w:val="1035"/>
        </w:trPr>
        <w:tc>
          <w:tcPr>
            <w:tcW w:w="1571" w:type="dxa"/>
            <w:tcBorders>
              <w:top w:val="nil"/>
              <w:left w:val="single" w:sz="8" w:space="0" w:color="auto"/>
              <w:bottom w:val="single" w:sz="8" w:space="0" w:color="D8D8D8"/>
              <w:right w:val="single" w:sz="8" w:space="0" w:color="D8D8D8"/>
            </w:tcBorders>
            <w:hideMark/>
          </w:tcPr>
          <w:p w:rsidR="001A4042" w:rsidRPr="00C12C1E" w:rsidP="001A4042" w14:paraId="5B0389AD" w14:textId="77777777">
            <w:pPr>
              <w:overflowPunct/>
              <w:autoSpaceDE/>
              <w:autoSpaceDN/>
              <w:adjustRightInd/>
              <w:textAlignment w:val="auto"/>
              <w:rPr>
                <w:color w:val="000000"/>
              </w:rPr>
            </w:pPr>
            <w:r w:rsidRPr="00C12C1E">
              <w:rPr>
                <w:color w:val="000000"/>
              </w:rPr>
              <w:t>5-Yr Plan (including Utility Conservation Measures)  </w:t>
            </w:r>
          </w:p>
        </w:tc>
        <w:tc>
          <w:tcPr>
            <w:tcW w:w="1230" w:type="dxa"/>
            <w:tcBorders>
              <w:top w:val="nil"/>
              <w:left w:val="nil"/>
              <w:bottom w:val="single" w:sz="8" w:space="0" w:color="D8D8D8"/>
              <w:right w:val="single" w:sz="8" w:space="0" w:color="D8D8D8"/>
            </w:tcBorders>
            <w:hideMark/>
          </w:tcPr>
          <w:p w:rsidR="001A4042" w:rsidRPr="00C12C1E" w:rsidP="001A4042" w14:paraId="31C58EAF" w14:textId="77777777">
            <w:pPr>
              <w:overflowPunct/>
              <w:autoSpaceDE/>
              <w:autoSpaceDN/>
              <w:adjustRightInd/>
              <w:jc w:val="right"/>
              <w:textAlignment w:val="auto"/>
              <w:rPr>
                <w:color w:val="000000"/>
              </w:rPr>
            </w:pPr>
            <w:r w:rsidRPr="00C12C1E">
              <w:rPr>
                <w:color w:val="000000"/>
              </w:rPr>
              <w:t>2000</w:t>
            </w:r>
          </w:p>
        </w:tc>
        <w:tc>
          <w:tcPr>
            <w:tcW w:w="1026" w:type="dxa"/>
            <w:tcBorders>
              <w:top w:val="nil"/>
              <w:left w:val="nil"/>
              <w:bottom w:val="single" w:sz="8" w:space="0" w:color="D8D8D8"/>
              <w:right w:val="single" w:sz="8" w:space="0" w:color="D8D8D8"/>
            </w:tcBorders>
            <w:hideMark/>
          </w:tcPr>
          <w:p w:rsidR="001A4042" w:rsidRPr="00C12C1E" w:rsidP="001A4042" w14:paraId="02FFAB71"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1A4042" w:rsidRPr="00C12C1E" w:rsidP="001A4042" w14:paraId="2560B5B1" w14:textId="77777777">
            <w:pPr>
              <w:overflowPunct/>
              <w:autoSpaceDE/>
              <w:autoSpaceDN/>
              <w:adjustRightInd/>
              <w:jc w:val="right"/>
              <w:textAlignment w:val="auto"/>
              <w:rPr>
                <w:color w:val="000000"/>
              </w:rPr>
            </w:pPr>
            <w:r w:rsidRPr="00C12C1E">
              <w:rPr>
                <w:color w:val="000000"/>
              </w:rPr>
              <w:t>2,000</w:t>
            </w:r>
          </w:p>
        </w:tc>
        <w:tc>
          <w:tcPr>
            <w:tcW w:w="981" w:type="dxa"/>
            <w:tcBorders>
              <w:top w:val="nil"/>
              <w:left w:val="nil"/>
              <w:bottom w:val="single" w:sz="8" w:space="0" w:color="D8D8D8"/>
              <w:right w:val="single" w:sz="8" w:space="0" w:color="D8D8D8"/>
            </w:tcBorders>
            <w:hideMark/>
          </w:tcPr>
          <w:p w:rsidR="001A4042" w:rsidRPr="00C12C1E" w:rsidP="001A4042" w14:paraId="0A26FE27" w14:textId="77777777">
            <w:pPr>
              <w:overflowPunct/>
              <w:autoSpaceDE/>
              <w:autoSpaceDN/>
              <w:adjustRightInd/>
              <w:jc w:val="right"/>
              <w:textAlignment w:val="auto"/>
              <w:rPr>
                <w:color w:val="000000"/>
              </w:rPr>
            </w:pPr>
            <w:r w:rsidRPr="00C12C1E">
              <w:rPr>
                <w:color w:val="000000"/>
              </w:rPr>
              <w:t>2</w:t>
            </w:r>
          </w:p>
        </w:tc>
        <w:tc>
          <w:tcPr>
            <w:tcW w:w="996" w:type="dxa"/>
            <w:tcBorders>
              <w:top w:val="nil"/>
              <w:left w:val="nil"/>
              <w:bottom w:val="single" w:sz="8" w:space="0" w:color="D8D8D8"/>
              <w:right w:val="single" w:sz="8" w:space="0" w:color="D8D8D8"/>
            </w:tcBorders>
            <w:hideMark/>
          </w:tcPr>
          <w:p w:rsidR="001A4042" w:rsidRPr="00C12C1E" w:rsidP="001A4042" w14:paraId="14F0E727" w14:textId="77777777">
            <w:pPr>
              <w:overflowPunct/>
              <w:autoSpaceDE/>
              <w:autoSpaceDN/>
              <w:adjustRightInd/>
              <w:jc w:val="right"/>
              <w:textAlignment w:val="auto"/>
              <w:rPr>
                <w:color w:val="000000"/>
              </w:rPr>
            </w:pPr>
            <w:r w:rsidRPr="00C12C1E">
              <w:rPr>
                <w:color w:val="000000"/>
              </w:rPr>
              <w:t>4,000</w:t>
            </w:r>
          </w:p>
        </w:tc>
        <w:tc>
          <w:tcPr>
            <w:tcW w:w="1240" w:type="dxa"/>
            <w:tcBorders>
              <w:top w:val="nil"/>
              <w:left w:val="nil"/>
              <w:bottom w:val="single" w:sz="8" w:space="0" w:color="D8D8D8"/>
              <w:right w:val="single" w:sz="4" w:space="0" w:color="BFBFBF" w:themeColor="background1" w:themeShade="BF"/>
            </w:tcBorders>
            <w:hideMark/>
          </w:tcPr>
          <w:p w:rsidR="001A4042" w:rsidRPr="00C12C1E" w:rsidP="001A4042" w14:paraId="78E0737E" w14:textId="77777777">
            <w:pPr>
              <w:overflowPunct/>
              <w:autoSpaceDE/>
              <w:autoSpaceDN/>
              <w:adjustRightInd/>
              <w:jc w:val="right"/>
              <w:textAlignment w:val="auto"/>
              <w:rPr>
                <w:color w:val="000000"/>
              </w:rPr>
            </w:pPr>
            <w:r w:rsidRPr="00C12C1E">
              <w:rPr>
                <w:color w:val="000000"/>
              </w:rPr>
              <w:t xml:space="preserve">$57.47 </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1A4042" w:rsidRPr="00C12C1E" w:rsidP="001A4042" w14:paraId="55BBAF0B" w14:textId="77777777">
            <w:pPr>
              <w:overflowPunct/>
              <w:autoSpaceDE/>
              <w:autoSpaceDN/>
              <w:adjustRightInd/>
              <w:jc w:val="right"/>
              <w:textAlignment w:val="auto"/>
              <w:rPr>
                <w:color w:val="000000"/>
              </w:rPr>
            </w:pPr>
            <w:r w:rsidRPr="00C12C1E">
              <w:rPr>
                <w:color w:val="000000"/>
              </w:rPr>
              <w:t>$114,940.00</w:t>
            </w:r>
          </w:p>
        </w:tc>
      </w:tr>
      <w:tr w14:paraId="07F67AC4" w14:textId="77777777" w:rsidTr="00C12C1E">
        <w:tblPrEx>
          <w:tblW w:w="9540" w:type="dxa"/>
          <w:tblInd w:w="439" w:type="dxa"/>
          <w:tblLook w:val="04A0"/>
        </w:tblPrEx>
        <w:trPr>
          <w:trHeight w:val="525"/>
        </w:trPr>
        <w:tc>
          <w:tcPr>
            <w:tcW w:w="1571" w:type="dxa"/>
            <w:tcBorders>
              <w:top w:val="nil"/>
              <w:left w:val="single" w:sz="8" w:space="0" w:color="auto"/>
              <w:bottom w:val="single" w:sz="8" w:space="0" w:color="D8D8D8"/>
              <w:right w:val="single" w:sz="8" w:space="0" w:color="D8D8D8"/>
            </w:tcBorders>
            <w:hideMark/>
          </w:tcPr>
          <w:p w:rsidR="001A4042" w:rsidRPr="00C12C1E" w:rsidP="001A4042" w14:paraId="0ABA4C4F" w14:textId="77777777">
            <w:pPr>
              <w:overflowPunct/>
              <w:autoSpaceDE/>
              <w:autoSpaceDN/>
              <w:adjustRightInd/>
              <w:textAlignment w:val="auto"/>
              <w:rPr>
                <w:color w:val="000000"/>
              </w:rPr>
            </w:pPr>
            <w:r w:rsidRPr="00C12C1E">
              <w:rPr>
                <w:color w:val="000000"/>
              </w:rPr>
              <w:t xml:space="preserve">Annual </w:t>
            </w:r>
            <w:r w:rsidRPr="00C12C1E">
              <w:rPr>
                <w:color w:val="000000"/>
              </w:rPr>
              <w:t>Stmt</w:t>
            </w:r>
            <w:r w:rsidRPr="00C12C1E">
              <w:rPr>
                <w:color w:val="000000"/>
              </w:rPr>
              <w:t>/Budget  </w:t>
            </w:r>
          </w:p>
        </w:tc>
        <w:tc>
          <w:tcPr>
            <w:tcW w:w="1230" w:type="dxa"/>
            <w:tcBorders>
              <w:top w:val="nil"/>
              <w:left w:val="nil"/>
              <w:bottom w:val="single" w:sz="8" w:space="0" w:color="D8D8D8"/>
              <w:right w:val="single" w:sz="8" w:space="0" w:color="D8D8D8"/>
            </w:tcBorders>
            <w:hideMark/>
          </w:tcPr>
          <w:p w:rsidR="001A4042" w:rsidRPr="00C12C1E" w:rsidP="001A4042" w14:paraId="280E38E9" w14:textId="77777777">
            <w:pPr>
              <w:overflowPunct/>
              <w:autoSpaceDE/>
              <w:autoSpaceDN/>
              <w:adjustRightInd/>
              <w:jc w:val="right"/>
              <w:textAlignment w:val="auto"/>
              <w:rPr>
                <w:color w:val="000000"/>
              </w:rPr>
            </w:pPr>
            <w:r w:rsidRPr="00C12C1E">
              <w:rPr>
                <w:color w:val="000000"/>
              </w:rPr>
              <w:t>2,800 </w:t>
            </w:r>
          </w:p>
        </w:tc>
        <w:tc>
          <w:tcPr>
            <w:tcW w:w="1026" w:type="dxa"/>
            <w:tcBorders>
              <w:top w:val="nil"/>
              <w:left w:val="nil"/>
              <w:bottom w:val="single" w:sz="8" w:space="0" w:color="D8D8D8"/>
              <w:right w:val="single" w:sz="8" w:space="0" w:color="D8D8D8"/>
            </w:tcBorders>
            <w:hideMark/>
          </w:tcPr>
          <w:p w:rsidR="001A4042" w:rsidRPr="00C12C1E" w:rsidP="001A4042" w14:paraId="44A9FDB0" w14:textId="77777777">
            <w:pPr>
              <w:overflowPunct/>
              <w:autoSpaceDE/>
              <w:autoSpaceDN/>
              <w:adjustRightInd/>
              <w:jc w:val="right"/>
              <w:textAlignment w:val="auto"/>
              <w:rPr>
                <w:color w:val="000000"/>
              </w:rPr>
            </w:pPr>
            <w:r w:rsidRPr="00C12C1E">
              <w:rPr>
                <w:color w:val="000000"/>
              </w:rPr>
              <w:t>3</w:t>
            </w:r>
          </w:p>
        </w:tc>
        <w:tc>
          <w:tcPr>
            <w:tcW w:w="1161" w:type="dxa"/>
            <w:tcBorders>
              <w:top w:val="nil"/>
              <w:left w:val="nil"/>
              <w:bottom w:val="single" w:sz="8" w:space="0" w:color="D8D8D8"/>
              <w:right w:val="single" w:sz="8" w:space="0" w:color="D8D8D8"/>
            </w:tcBorders>
            <w:hideMark/>
          </w:tcPr>
          <w:p w:rsidR="001A4042" w:rsidRPr="00C12C1E" w:rsidP="001A4042" w14:paraId="487627DF" w14:textId="77777777">
            <w:pPr>
              <w:overflowPunct/>
              <w:autoSpaceDE/>
              <w:autoSpaceDN/>
              <w:adjustRightInd/>
              <w:jc w:val="right"/>
              <w:textAlignment w:val="auto"/>
              <w:rPr>
                <w:color w:val="000000"/>
              </w:rPr>
            </w:pPr>
            <w:r w:rsidRPr="00C12C1E">
              <w:rPr>
                <w:color w:val="000000"/>
              </w:rPr>
              <w:t>8,400</w:t>
            </w:r>
          </w:p>
        </w:tc>
        <w:tc>
          <w:tcPr>
            <w:tcW w:w="981" w:type="dxa"/>
            <w:tcBorders>
              <w:top w:val="nil"/>
              <w:left w:val="nil"/>
              <w:bottom w:val="single" w:sz="8" w:space="0" w:color="D8D8D8"/>
              <w:right w:val="single" w:sz="8" w:space="0" w:color="D8D8D8"/>
            </w:tcBorders>
            <w:hideMark/>
          </w:tcPr>
          <w:p w:rsidR="001A4042" w:rsidRPr="00C12C1E" w:rsidP="001A4042" w14:paraId="77E4752B" w14:textId="77777777">
            <w:pPr>
              <w:overflowPunct/>
              <w:autoSpaceDE/>
              <w:autoSpaceDN/>
              <w:adjustRightInd/>
              <w:jc w:val="right"/>
              <w:textAlignment w:val="auto"/>
              <w:rPr>
                <w:color w:val="000000"/>
              </w:rPr>
            </w:pPr>
            <w:r w:rsidRPr="00C12C1E">
              <w:rPr>
                <w:color w:val="000000"/>
              </w:rPr>
              <w:t>1</w:t>
            </w:r>
          </w:p>
        </w:tc>
        <w:tc>
          <w:tcPr>
            <w:tcW w:w="996" w:type="dxa"/>
            <w:tcBorders>
              <w:top w:val="nil"/>
              <w:left w:val="nil"/>
              <w:bottom w:val="single" w:sz="8" w:space="0" w:color="D8D8D8"/>
              <w:right w:val="single" w:sz="8" w:space="0" w:color="D8D8D8"/>
            </w:tcBorders>
            <w:hideMark/>
          </w:tcPr>
          <w:p w:rsidR="001A4042" w:rsidRPr="00C12C1E" w:rsidP="001A4042" w14:paraId="126FE6B0" w14:textId="32CA325C">
            <w:pPr>
              <w:overflowPunct/>
              <w:autoSpaceDE/>
              <w:autoSpaceDN/>
              <w:adjustRightInd/>
              <w:jc w:val="right"/>
              <w:textAlignment w:val="auto"/>
              <w:rPr>
                <w:color w:val="000000"/>
              </w:rPr>
            </w:pPr>
            <w:r>
              <w:rPr>
                <w:color w:val="000000"/>
              </w:rPr>
              <w:t>8</w:t>
            </w:r>
            <w:r w:rsidRPr="00C12C1E">
              <w:rPr>
                <w:color w:val="000000"/>
              </w:rPr>
              <w:t>,</w:t>
            </w:r>
            <w:r>
              <w:rPr>
                <w:color w:val="000000"/>
              </w:rPr>
              <w:t>4</w:t>
            </w:r>
            <w:r w:rsidRPr="00C12C1E">
              <w:rPr>
                <w:color w:val="000000"/>
              </w:rPr>
              <w:t>00</w:t>
            </w:r>
          </w:p>
        </w:tc>
        <w:tc>
          <w:tcPr>
            <w:tcW w:w="1240" w:type="dxa"/>
            <w:tcBorders>
              <w:top w:val="nil"/>
              <w:left w:val="nil"/>
              <w:bottom w:val="single" w:sz="8" w:space="0" w:color="D8D8D8"/>
              <w:right w:val="single" w:sz="4" w:space="0" w:color="BFBFBF" w:themeColor="background1" w:themeShade="BF"/>
            </w:tcBorders>
            <w:hideMark/>
          </w:tcPr>
          <w:p w:rsidR="001A4042" w:rsidRPr="00C12C1E" w:rsidP="001A4042" w14:paraId="69F1AF59" w14:textId="77777777">
            <w:pPr>
              <w:overflowPunct/>
              <w:autoSpaceDE/>
              <w:autoSpaceDN/>
              <w:adjustRightInd/>
              <w:jc w:val="right"/>
              <w:textAlignment w:val="auto"/>
              <w:rPr>
                <w:color w:val="000000"/>
              </w:rPr>
            </w:pPr>
            <w:r w:rsidRPr="00C12C1E">
              <w:rPr>
                <w:color w:val="000000"/>
              </w:rPr>
              <w:t xml:space="preserve">$57.47 </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1A4042" w:rsidRPr="00C12C1E" w:rsidP="001A4042" w14:paraId="77E0D91F" w14:textId="379E70C3">
            <w:pPr>
              <w:overflowPunct/>
              <w:autoSpaceDE/>
              <w:autoSpaceDN/>
              <w:adjustRightInd/>
              <w:jc w:val="right"/>
              <w:textAlignment w:val="auto"/>
              <w:rPr>
                <w:color w:val="000000"/>
              </w:rPr>
            </w:pPr>
            <w:r w:rsidRPr="00C12C1E">
              <w:rPr>
                <w:color w:val="000000"/>
              </w:rPr>
              <w:t>$</w:t>
            </w:r>
            <w:r w:rsidR="002D4255">
              <w:rPr>
                <w:color w:val="000000"/>
              </w:rPr>
              <w:t>482,748</w:t>
            </w:r>
            <w:r w:rsidRPr="00C12C1E">
              <w:rPr>
                <w:color w:val="000000"/>
              </w:rPr>
              <w:t>.00</w:t>
            </w:r>
          </w:p>
        </w:tc>
      </w:tr>
      <w:tr w14:paraId="75BE2362" w14:textId="77777777" w:rsidTr="00C12C1E">
        <w:tblPrEx>
          <w:tblW w:w="9540" w:type="dxa"/>
          <w:tblInd w:w="439" w:type="dxa"/>
          <w:tblLook w:val="04A0"/>
        </w:tblPrEx>
        <w:trPr>
          <w:trHeight w:val="315"/>
        </w:trPr>
        <w:tc>
          <w:tcPr>
            <w:tcW w:w="1571" w:type="dxa"/>
            <w:tcBorders>
              <w:top w:val="nil"/>
              <w:left w:val="single" w:sz="8" w:space="0" w:color="auto"/>
              <w:bottom w:val="single" w:sz="8" w:space="0" w:color="D8D8D8"/>
              <w:right w:val="single" w:sz="8" w:space="0" w:color="D8D8D8"/>
            </w:tcBorders>
            <w:hideMark/>
          </w:tcPr>
          <w:p w:rsidR="001A4042" w:rsidRPr="00C12C1E" w:rsidP="001A4042" w14:paraId="15D07876" w14:textId="77777777">
            <w:pPr>
              <w:overflowPunct/>
              <w:autoSpaceDE/>
              <w:autoSpaceDN/>
              <w:adjustRightInd/>
              <w:textAlignment w:val="auto"/>
              <w:rPr>
                <w:color w:val="000000"/>
              </w:rPr>
            </w:pPr>
            <w:r w:rsidRPr="00C12C1E">
              <w:rPr>
                <w:color w:val="000000"/>
              </w:rPr>
              <w:t>P&amp;E</w:t>
            </w:r>
          </w:p>
        </w:tc>
        <w:tc>
          <w:tcPr>
            <w:tcW w:w="1230" w:type="dxa"/>
            <w:tcBorders>
              <w:top w:val="nil"/>
              <w:left w:val="nil"/>
              <w:bottom w:val="single" w:sz="8" w:space="0" w:color="D8D8D8"/>
              <w:right w:val="single" w:sz="8" w:space="0" w:color="D8D8D8"/>
            </w:tcBorders>
            <w:hideMark/>
          </w:tcPr>
          <w:p w:rsidR="001A4042" w:rsidRPr="00C12C1E" w:rsidP="001A4042" w14:paraId="79AA16BD" w14:textId="77777777">
            <w:pPr>
              <w:overflowPunct/>
              <w:autoSpaceDE/>
              <w:autoSpaceDN/>
              <w:adjustRightInd/>
              <w:jc w:val="right"/>
              <w:textAlignment w:val="auto"/>
              <w:rPr>
                <w:color w:val="000000"/>
              </w:rPr>
            </w:pPr>
            <w:r w:rsidRPr="00C12C1E">
              <w:rPr>
                <w:color w:val="000000"/>
              </w:rPr>
              <w:t>2,800 </w:t>
            </w:r>
          </w:p>
        </w:tc>
        <w:tc>
          <w:tcPr>
            <w:tcW w:w="1026" w:type="dxa"/>
            <w:tcBorders>
              <w:top w:val="nil"/>
              <w:left w:val="nil"/>
              <w:bottom w:val="single" w:sz="8" w:space="0" w:color="D8D8D8"/>
              <w:right w:val="single" w:sz="8" w:space="0" w:color="D8D8D8"/>
            </w:tcBorders>
            <w:hideMark/>
          </w:tcPr>
          <w:p w:rsidR="001A4042" w:rsidRPr="00C12C1E" w:rsidP="001A4042" w14:paraId="0D3742A1" w14:textId="77777777">
            <w:pPr>
              <w:overflowPunct/>
              <w:autoSpaceDE/>
              <w:autoSpaceDN/>
              <w:adjustRightInd/>
              <w:jc w:val="right"/>
              <w:textAlignment w:val="auto"/>
              <w:rPr>
                <w:color w:val="000000"/>
              </w:rPr>
            </w:pPr>
            <w:r w:rsidRPr="00C12C1E">
              <w:rPr>
                <w:color w:val="000000"/>
              </w:rPr>
              <w:t>0.5</w:t>
            </w:r>
          </w:p>
        </w:tc>
        <w:tc>
          <w:tcPr>
            <w:tcW w:w="1161" w:type="dxa"/>
            <w:tcBorders>
              <w:top w:val="nil"/>
              <w:left w:val="nil"/>
              <w:bottom w:val="single" w:sz="8" w:space="0" w:color="D8D8D8"/>
              <w:right w:val="single" w:sz="8" w:space="0" w:color="D8D8D8"/>
            </w:tcBorders>
            <w:hideMark/>
          </w:tcPr>
          <w:p w:rsidR="001A4042" w:rsidRPr="00C12C1E" w:rsidP="001A4042" w14:paraId="1C03D89B" w14:textId="77777777">
            <w:pPr>
              <w:overflowPunct/>
              <w:autoSpaceDE/>
              <w:autoSpaceDN/>
              <w:adjustRightInd/>
              <w:jc w:val="right"/>
              <w:textAlignment w:val="auto"/>
              <w:rPr>
                <w:color w:val="000000"/>
              </w:rPr>
            </w:pPr>
            <w:r w:rsidRPr="00C12C1E">
              <w:rPr>
                <w:color w:val="000000"/>
              </w:rPr>
              <w:t>1,400</w:t>
            </w:r>
          </w:p>
        </w:tc>
        <w:tc>
          <w:tcPr>
            <w:tcW w:w="981" w:type="dxa"/>
            <w:tcBorders>
              <w:top w:val="nil"/>
              <w:left w:val="nil"/>
              <w:bottom w:val="single" w:sz="8" w:space="0" w:color="D8D8D8"/>
              <w:right w:val="single" w:sz="8" w:space="0" w:color="D8D8D8"/>
            </w:tcBorders>
            <w:hideMark/>
          </w:tcPr>
          <w:p w:rsidR="001A4042" w:rsidRPr="00C12C1E" w:rsidP="001A4042" w14:paraId="5A997C09" w14:textId="77777777">
            <w:pPr>
              <w:overflowPunct/>
              <w:autoSpaceDE/>
              <w:autoSpaceDN/>
              <w:adjustRightInd/>
              <w:jc w:val="right"/>
              <w:textAlignment w:val="auto"/>
              <w:rPr>
                <w:color w:val="000000"/>
              </w:rPr>
            </w:pPr>
            <w:r w:rsidRPr="00C12C1E">
              <w:rPr>
                <w:color w:val="000000"/>
              </w:rPr>
              <w:t>1</w:t>
            </w:r>
          </w:p>
        </w:tc>
        <w:tc>
          <w:tcPr>
            <w:tcW w:w="996" w:type="dxa"/>
            <w:tcBorders>
              <w:top w:val="nil"/>
              <w:left w:val="nil"/>
              <w:bottom w:val="single" w:sz="8" w:space="0" w:color="D8D8D8"/>
              <w:right w:val="single" w:sz="8" w:space="0" w:color="D8D8D8"/>
            </w:tcBorders>
            <w:hideMark/>
          </w:tcPr>
          <w:p w:rsidR="001A4042" w:rsidRPr="00C12C1E" w:rsidP="001A4042" w14:paraId="4D385B48" w14:textId="7763617E">
            <w:pPr>
              <w:overflowPunct/>
              <w:autoSpaceDE/>
              <w:autoSpaceDN/>
              <w:adjustRightInd/>
              <w:jc w:val="right"/>
              <w:textAlignment w:val="auto"/>
              <w:rPr>
                <w:color w:val="000000"/>
              </w:rPr>
            </w:pPr>
            <w:r>
              <w:rPr>
                <w:color w:val="000000"/>
              </w:rPr>
              <w:t>1</w:t>
            </w:r>
            <w:r w:rsidRPr="00C12C1E">
              <w:rPr>
                <w:color w:val="000000"/>
              </w:rPr>
              <w:t>,</w:t>
            </w:r>
            <w:r>
              <w:rPr>
                <w:color w:val="000000"/>
              </w:rPr>
              <w:t>4</w:t>
            </w:r>
            <w:r w:rsidRPr="00C12C1E">
              <w:rPr>
                <w:color w:val="000000"/>
              </w:rPr>
              <w:t>00</w:t>
            </w:r>
          </w:p>
        </w:tc>
        <w:tc>
          <w:tcPr>
            <w:tcW w:w="1240" w:type="dxa"/>
            <w:tcBorders>
              <w:top w:val="nil"/>
              <w:left w:val="nil"/>
              <w:bottom w:val="single" w:sz="8" w:space="0" w:color="D8D8D8"/>
              <w:right w:val="single" w:sz="4" w:space="0" w:color="BFBFBF" w:themeColor="background1" w:themeShade="BF"/>
            </w:tcBorders>
            <w:hideMark/>
          </w:tcPr>
          <w:p w:rsidR="001A4042" w:rsidRPr="00C12C1E" w:rsidP="001A4042" w14:paraId="0612B639" w14:textId="77777777">
            <w:pPr>
              <w:overflowPunct/>
              <w:autoSpaceDE/>
              <w:autoSpaceDN/>
              <w:adjustRightInd/>
              <w:jc w:val="right"/>
              <w:textAlignment w:val="auto"/>
              <w:rPr>
                <w:color w:val="000000"/>
              </w:rPr>
            </w:pPr>
            <w:r w:rsidRPr="00C12C1E">
              <w:rPr>
                <w:color w:val="000000"/>
              </w:rPr>
              <w:t xml:space="preserve">$57.47 </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1A4042" w:rsidRPr="00C12C1E" w:rsidP="001A4042" w14:paraId="16E54CC0" w14:textId="747FD0A9">
            <w:pPr>
              <w:overflowPunct/>
              <w:autoSpaceDE/>
              <w:autoSpaceDN/>
              <w:adjustRightInd/>
              <w:jc w:val="right"/>
              <w:textAlignment w:val="auto"/>
              <w:rPr>
                <w:color w:val="000000"/>
              </w:rPr>
            </w:pPr>
            <w:r w:rsidRPr="002D4255">
              <w:rPr>
                <w:color w:val="000000"/>
              </w:rPr>
              <w:t>$80,458.00</w:t>
            </w:r>
          </w:p>
        </w:tc>
      </w:tr>
      <w:tr w14:paraId="5618682F" w14:textId="77777777" w:rsidTr="00C12C1E">
        <w:tblPrEx>
          <w:tblW w:w="9540" w:type="dxa"/>
          <w:tblInd w:w="439" w:type="dxa"/>
          <w:tblLook w:val="04A0"/>
        </w:tblPrEx>
        <w:trPr>
          <w:trHeight w:val="1290"/>
        </w:trPr>
        <w:tc>
          <w:tcPr>
            <w:tcW w:w="1571" w:type="dxa"/>
            <w:tcBorders>
              <w:top w:val="nil"/>
              <w:left w:val="single" w:sz="8" w:space="0" w:color="auto"/>
              <w:bottom w:val="single" w:sz="8" w:space="0" w:color="D8D8D8"/>
              <w:right w:val="single" w:sz="8" w:space="0" w:color="D8D8D8"/>
            </w:tcBorders>
            <w:hideMark/>
          </w:tcPr>
          <w:p w:rsidR="001A4042" w:rsidRPr="00C12C1E" w:rsidP="001A4042" w14:paraId="1A606B4D" w14:textId="77777777">
            <w:pPr>
              <w:overflowPunct/>
              <w:autoSpaceDE/>
              <w:autoSpaceDN/>
              <w:adjustRightInd/>
              <w:textAlignment w:val="auto"/>
              <w:rPr>
                <w:color w:val="000000"/>
              </w:rPr>
            </w:pPr>
            <w:r w:rsidRPr="00C12C1E">
              <w:rPr>
                <w:color w:val="000000"/>
              </w:rPr>
              <w:t>Document Management Center (including new digital closeout form)</w:t>
            </w:r>
          </w:p>
        </w:tc>
        <w:tc>
          <w:tcPr>
            <w:tcW w:w="1230" w:type="dxa"/>
            <w:tcBorders>
              <w:top w:val="nil"/>
              <w:left w:val="nil"/>
              <w:bottom w:val="single" w:sz="8" w:space="0" w:color="D8D8D8"/>
              <w:right w:val="single" w:sz="8" w:space="0" w:color="D8D8D8"/>
            </w:tcBorders>
            <w:hideMark/>
          </w:tcPr>
          <w:p w:rsidR="001A4042" w:rsidRPr="00C12C1E" w:rsidP="001A4042" w14:paraId="000136D4" w14:textId="77777777">
            <w:pPr>
              <w:overflowPunct/>
              <w:autoSpaceDE/>
              <w:autoSpaceDN/>
              <w:adjustRightInd/>
              <w:jc w:val="right"/>
              <w:textAlignment w:val="auto"/>
              <w:rPr>
                <w:color w:val="000000"/>
              </w:rPr>
            </w:pPr>
            <w:r w:rsidRPr="00C12C1E">
              <w:rPr>
                <w:color w:val="000000"/>
              </w:rPr>
              <w:t>2,800 </w:t>
            </w:r>
          </w:p>
        </w:tc>
        <w:tc>
          <w:tcPr>
            <w:tcW w:w="1026" w:type="dxa"/>
            <w:tcBorders>
              <w:top w:val="nil"/>
              <w:left w:val="nil"/>
              <w:bottom w:val="single" w:sz="8" w:space="0" w:color="D8D8D8"/>
              <w:right w:val="single" w:sz="8" w:space="0" w:color="D8D8D8"/>
            </w:tcBorders>
            <w:hideMark/>
          </w:tcPr>
          <w:p w:rsidR="001A4042" w:rsidRPr="00C12C1E" w:rsidP="001A4042" w14:paraId="49A10BED" w14:textId="77777777">
            <w:pPr>
              <w:overflowPunct/>
              <w:autoSpaceDE/>
              <w:autoSpaceDN/>
              <w:adjustRightInd/>
              <w:jc w:val="right"/>
              <w:textAlignment w:val="auto"/>
              <w:rPr>
                <w:color w:val="000000"/>
              </w:rPr>
            </w:pPr>
            <w:r w:rsidRPr="00C12C1E">
              <w:rPr>
                <w:color w:val="000000"/>
              </w:rPr>
              <w:t>2</w:t>
            </w:r>
          </w:p>
        </w:tc>
        <w:tc>
          <w:tcPr>
            <w:tcW w:w="1161" w:type="dxa"/>
            <w:tcBorders>
              <w:top w:val="nil"/>
              <w:left w:val="nil"/>
              <w:bottom w:val="single" w:sz="8" w:space="0" w:color="D8D8D8"/>
              <w:right w:val="single" w:sz="8" w:space="0" w:color="D8D8D8"/>
            </w:tcBorders>
            <w:hideMark/>
          </w:tcPr>
          <w:p w:rsidR="001A4042" w:rsidRPr="00C12C1E" w:rsidP="001A4042" w14:paraId="425363AF" w14:textId="77777777">
            <w:pPr>
              <w:overflowPunct/>
              <w:autoSpaceDE/>
              <w:autoSpaceDN/>
              <w:adjustRightInd/>
              <w:jc w:val="right"/>
              <w:textAlignment w:val="auto"/>
              <w:rPr>
                <w:color w:val="000000"/>
              </w:rPr>
            </w:pPr>
            <w:r w:rsidRPr="00C12C1E">
              <w:rPr>
                <w:color w:val="000000"/>
              </w:rPr>
              <w:t>5,600</w:t>
            </w:r>
          </w:p>
        </w:tc>
        <w:tc>
          <w:tcPr>
            <w:tcW w:w="981" w:type="dxa"/>
            <w:tcBorders>
              <w:top w:val="nil"/>
              <w:left w:val="nil"/>
              <w:bottom w:val="single" w:sz="8" w:space="0" w:color="D8D8D8"/>
              <w:right w:val="single" w:sz="8" w:space="0" w:color="D8D8D8"/>
            </w:tcBorders>
            <w:hideMark/>
          </w:tcPr>
          <w:p w:rsidR="001A4042" w:rsidRPr="00C12C1E" w:rsidP="001A4042" w14:paraId="1423F716" w14:textId="77777777">
            <w:pPr>
              <w:overflowPunct/>
              <w:autoSpaceDE/>
              <w:autoSpaceDN/>
              <w:adjustRightInd/>
              <w:jc w:val="right"/>
              <w:textAlignment w:val="auto"/>
              <w:rPr>
                <w:color w:val="000000"/>
              </w:rPr>
            </w:pPr>
            <w:r w:rsidRPr="00C12C1E">
              <w:rPr>
                <w:color w:val="000000"/>
              </w:rPr>
              <w:t>0.5</w:t>
            </w:r>
          </w:p>
        </w:tc>
        <w:tc>
          <w:tcPr>
            <w:tcW w:w="996" w:type="dxa"/>
            <w:tcBorders>
              <w:top w:val="nil"/>
              <w:left w:val="nil"/>
              <w:bottom w:val="single" w:sz="8" w:space="0" w:color="D8D8D8"/>
              <w:right w:val="single" w:sz="8" w:space="0" w:color="D8D8D8"/>
            </w:tcBorders>
            <w:hideMark/>
          </w:tcPr>
          <w:p w:rsidR="001A4042" w:rsidRPr="00C12C1E" w:rsidP="001A4042" w14:paraId="42CAB78C" w14:textId="77777777">
            <w:pPr>
              <w:overflowPunct/>
              <w:autoSpaceDE/>
              <w:autoSpaceDN/>
              <w:adjustRightInd/>
              <w:jc w:val="right"/>
              <w:textAlignment w:val="auto"/>
              <w:rPr>
                <w:color w:val="000000"/>
              </w:rPr>
            </w:pPr>
            <w:r w:rsidRPr="00C12C1E">
              <w:rPr>
                <w:color w:val="000000"/>
              </w:rPr>
              <w:t>1,400</w:t>
            </w:r>
          </w:p>
        </w:tc>
        <w:tc>
          <w:tcPr>
            <w:tcW w:w="1240" w:type="dxa"/>
            <w:tcBorders>
              <w:top w:val="nil"/>
              <w:left w:val="nil"/>
              <w:bottom w:val="single" w:sz="8" w:space="0" w:color="D8D8D8"/>
              <w:right w:val="single" w:sz="4" w:space="0" w:color="BFBFBF" w:themeColor="background1" w:themeShade="BF"/>
            </w:tcBorders>
            <w:hideMark/>
          </w:tcPr>
          <w:p w:rsidR="001A4042" w:rsidRPr="00C12C1E" w:rsidP="001A4042" w14:paraId="75F0444E" w14:textId="77777777">
            <w:pPr>
              <w:overflowPunct/>
              <w:autoSpaceDE/>
              <w:autoSpaceDN/>
              <w:adjustRightInd/>
              <w:jc w:val="right"/>
              <w:textAlignment w:val="auto"/>
              <w:rPr>
                <w:color w:val="000000"/>
              </w:rPr>
            </w:pPr>
            <w:r w:rsidRPr="00C12C1E">
              <w:rPr>
                <w:color w:val="000000"/>
              </w:rPr>
              <w:t xml:space="preserve">$57.47 </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1A4042" w:rsidRPr="00C12C1E" w:rsidP="001A4042" w14:paraId="1D796B5C" w14:textId="097996A8">
            <w:pPr>
              <w:overflowPunct/>
              <w:autoSpaceDE/>
              <w:autoSpaceDN/>
              <w:adjustRightInd/>
              <w:jc w:val="right"/>
              <w:textAlignment w:val="auto"/>
              <w:rPr>
                <w:color w:val="000000"/>
              </w:rPr>
            </w:pPr>
            <w:r w:rsidRPr="002D4255">
              <w:rPr>
                <w:color w:val="000000"/>
              </w:rPr>
              <w:t>$160,916.00</w:t>
            </w:r>
          </w:p>
        </w:tc>
      </w:tr>
      <w:tr w14:paraId="67BC0830" w14:textId="77777777" w:rsidTr="00C12C1E">
        <w:tblPrEx>
          <w:tblW w:w="9540" w:type="dxa"/>
          <w:tblInd w:w="439" w:type="dxa"/>
          <w:tblLook w:val="04A0"/>
        </w:tblPrEx>
        <w:trPr>
          <w:trHeight w:val="525"/>
        </w:trPr>
        <w:tc>
          <w:tcPr>
            <w:tcW w:w="1571" w:type="dxa"/>
            <w:tcBorders>
              <w:top w:val="nil"/>
              <w:left w:val="single" w:sz="8" w:space="0" w:color="auto"/>
              <w:bottom w:val="single" w:sz="8" w:space="0" w:color="D8D8D8"/>
              <w:right w:val="single" w:sz="8" w:space="0" w:color="D8D8D8"/>
            </w:tcBorders>
            <w:hideMark/>
          </w:tcPr>
          <w:p w:rsidR="001A4042" w:rsidRPr="00C12C1E" w:rsidP="001A4042" w14:paraId="0161C305" w14:textId="77777777">
            <w:pPr>
              <w:overflowPunct/>
              <w:autoSpaceDE/>
              <w:autoSpaceDN/>
              <w:adjustRightInd/>
              <w:textAlignment w:val="auto"/>
              <w:rPr>
                <w:color w:val="000000"/>
              </w:rPr>
            </w:pPr>
            <w:r w:rsidRPr="00C12C1E">
              <w:rPr>
                <w:color w:val="000000"/>
              </w:rPr>
              <w:t>Additional Capital Resources</w:t>
            </w:r>
          </w:p>
        </w:tc>
        <w:tc>
          <w:tcPr>
            <w:tcW w:w="1230" w:type="dxa"/>
            <w:tcBorders>
              <w:top w:val="nil"/>
              <w:left w:val="nil"/>
              <w:bottom w:val="single" w:sz="8" w:space="0" w:color="D8D8D8"/>
              <w:right w:val="single" w:sz="8" w:space="0" w:color="D8D8D8"/>
            </w:tcBorders>
            <w:hideMark/>
          </w:tcPr>
          <w:p w:rsidR="001A4042" w:rsidRPr="00C12C1E" w:rsidP="001A4042" w14:paraId="1E835888" w14:textId="77777777">
            <w:pPr>
              <w:overflowPunct/>
              <w:autoSpaceDE/>
              <w:autoSpaceDN/>
              <w:adjustRightInd/>
              <w:jc w:val="right"/>
              <w:textAlignment w:val="auto"/>
              <w:rPr>
                <w:color w:val="000000"/>
              </w:rPr>
            </w:pPr>
            <w:r w:rsidRPr="00C12C1E">
              <w:rPr>
                <w:color w:val="000000"/>
              </w:rPr>
              <w:t>15 </w:t>
            </w:r>
          </w:p>
        </w:tc>
        <w:tc>
          <w:tcPr>
            <w:tcW w:w="1026" w:type="dxa"/>
            <w:tcBorders>
              <w:top w:val="nil"/>
              <w:left w:val="nil"/>
              <w:bottom w:val="single" w:sz="8" w:space="0" w:color="D8D8D8"/>
              <w:right w:val="single" w:sz="8" w:space="0" w:color="D8D8D8"/>
            </w:tcBorders>
            <w:hideMark/>
          </w:tcPr>
          <w:p w:rsidR="001A4042" w:rsidRPr="00C12C1E" w:rsidP="001A4042" w14:paraId="2FE81859"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1A4042" w:rsidRPr="00C12C1E" w:rsidP="001A4042" w14:paraId="75FAE37C" w14:textId="77777777">
            <w:pPr>
              <w:overflowPunct/>
              <w:autoSpaceDE/>
              <w:autoSpaceDN/>
              <w:adjustRightInd/>
              <w:jc w:val="right"/>
              <w:textAlignment w:val="auto"/>
              <w:rPr>
                <w:color w:val="000000"/>
              </w:rPr>
            </w:pPr>
            <w:r w:rsidRPr="00C12C1E">
              <w:rPr>
                <w:color w:val="000000"/>
              </w:rPr>
              <w:t>15</w:t>
            </w:r>
          </w:p>
        </w:tc>
        <w:tc>
          <w:tcPr>
            <w:tcW w:w="981" w:type="dxa"/>
            <w:tcBorders>
              <w:top w:val="nil"/>
              <w:left w:val="nil"/>
              <w:bottom w:val="single" w:sz="8" w:space="0" w:color="D8D8D8"/>
              <w:right w:val="single" w:sz="8" w:space="0" w:color="D8D8D8"/>
            </w:tcBorders>
            <w:hideMark/>
          </w:tcPr>
          <w:p w:rsidR="001A4042" w:rsidRPr="00C12C1E" w:rsidP="001A4042" w14:paraId="34F609BD" w14:textId="77777777">
            <w:pPr>
              <w:overflowPunct/>
              <w:autoSpaceDE/>
              <w:autoSpaceDN/>
              <w:adjustRightInd/>
              <w:jc w:val="right"/>
              <w:textAlignment w:val="auto"/>
              <w:rPr>
                <w:color w:val="000000"/>
              </w:rPr>
            </w:pPr>
            <w:r w:rsidRPr="00C12C1E">
              <w:rPr>
                <w:color w:val="000000"/>
              </w:rPr>
              <w:t>0.5</w:t>
            </w:r>
          </w:p>
        </w:tc>
        <w:tc>
          <w:tcPr>
            <w:tcW w:w="996" w:type="dxa"/>
            <w:tcBorders>
              <w:top w:val="nil"/>
              <w:left w:val="nil"/>
              <w:bottom w:val="single" w:sz="8" w:space="0" w:color="D8D8D8"/>
              <w:right w:val="single" w:sz="8" w:space="0" w:color="D8D8D8"/>
            </w:tcBorders>
            <w:hideMark/>
          </w:tcPr>
          <w:p w:rsidR="001A4042" w:rsidRPr="00C12C1E" w:rsidP="001A4042" w14:paraId="5DE0794A" w14:textId="77777777">
            <w:pPr>
              <w:overflowPunct/>
              <w:autoSpaceDE/>
              <w:autoSpaceDN/>
              <w:adjustRightInd/>
              <w:jc w:val="right"/>
              <w:textAlignment w:val="auto"/>
              <w:rPr>
                <w:color w:val="000000"/>
              </w:rPr>
            </w:pPr>
            <w:r w:rsidRPr="00C12C1E">
              <w:rPr>
                <w:color w:val="000000"/>
              </w:rPr>
              <w:t>7.5</w:t>
            </w:r>
          </w:p>
        </w:tc>
        <w:tc>
          <w:tcPr>
            <w:tcW w:w="1240" w:type="dxa"/>
            <w:tcBorders>
              <w:top w:val="nil"/>
              <w:left w:val="nil"/>
              <w:bottom w:val="single" w:sz="8" w:space="0" w:color="D8D8D8"/>
              <w:right w:val="single" w:sz="4" w:space="0" w:color="BFBFBF" w:themeColor="background1" w:themeShade="BF"/>
            </w:tcBorders>
            <w:hideMark/>
          </w:tcPr>
          <w:p w:rsidR="001A4042" w:rsidRPr="00C12C1E" w:rsidP="001A4042" w14:paraId="0799FFBA" w14:textId="77777777">
            <w:pPr>
              <w:overflowPunct/>
              <w:autoSpaceDE/>
              <w:autoSpaceDN/>
              <w:adjustRightInd/>
              <w:jc w:val="right"/>
              <w:textAlignment w:val="auto"/>
              <w:rPr>
                <w:color w:val="000000"/>
              </w:rPr>
            </w:pPr>
            <w:r w:rsidRPr="00C12C1E">
              <w:rPr>
                <w:color w:val="000000"/>
              </w:rPr>
              <w:t xml:space="preserve">$57.47 </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1A4042" w:rsidRPr="00C12C1E" w:rsidP="001A4042" w14:paraId="39F42F01" w14:textId="77777777">
            <w:pPr>
              <w:overflowPunct/>
              <w:autoSpaceDE/>
              <w:autoSpaceDN/>
              <w:adjustRightInd/>
              <w:jc w:val="right"/>
              <w:textAlignment w:val="auto"/>
              <w:rPr>
                <w:color w:val="000000"/>
              </w:rPr>
            </w:pPr>
            <w:r w:rsidRPr="00C12C1E">
              <w:rPr>
                <w:color w:val="000000"/>
              </w:rPr>
              <w:t>$431.03</w:t>
            </w:r>
          </w:p>
        </w:tc>
      </w:tr>
      <w:tr w14:paraId="37602B2F" w14:textId="77777777" w:rsidTr="00C12C1E">
        <w:tblPrEx>
          <w:tblW w:w="9540" w:type="dxa"/>
          <w:tblInd w:w="439" w:type="dxa"/>
          <w:tblLook w:val="04A0"/>
        </w:tblPrEx>
        <w:trPr>
          <w:trHeight w:val="315"/>
        </w:trPr>
        <w:tc>
          <w:tcPr>
            <w:tcW w:w="1571" w:type="dxa"/>
            <w:tcBorders>
              <w:top w:val="nil"/>
              <w:left w:val="single" w:sz="8" w:space="0" w:color="auto"/>
              <w:bottom w:val="single" w:sz="8" w:space="0" w:color="D8D8D8"/>
              <w:right w:val="single" w:sz="8" w:space="0" w:color="D8D8D8"/>
            </w:tcBorders>
            <w:hideMark/>
          </w:tcPr>
          <w:p w:rsidR="001A4042" w:rsidRPr="00C12C1E" w:rsidP="001A4042" w14:paraId="3392F693" w14:textId="77777777">
            <w:pPr>
              <w:overflowPunct/>
              <w:autoSpaceDE/>
              <w:autoSpaceDN/>
              <w:adjustRightInd/>
              <w:textAlignment w:val="auto"/>
              <w:rPr>
                <w:color w:val="000000"/>
              </w:rPr>
            </w:pPr>
            <w:r w:rsidRPr="00C12C1E">
              <w:rPr>
                <w:color w:val="000000"/>
              </w:rPr>
              <w:t>EPC</w:t>
            </w:r>
          </w:p>
        </w:tc>
        <w:tc>
          <w:tcPr>
            <w:tcW w:w="1230" w:type="dxa"/>
            <w:tcBorders>
              <w:top w:val="nil"/>
              <w:left w:val="nil"/>
              <w:bottom w:val="single" w:sz="8" w:space="0" w:color="D8D8D8"/>
              <w:right w:val="single" w:sz="8" w:space="0" w:color="D8D8D8"/>
            </w:tcBorders>
            <w:hideMark/>
          </w:tcPr>
          <w:p w:rsidR="001A4042" w:rsidRPr="00C12C1E" w:rsidP="001A4042" w14:paraId="280A36C7" w14:textId="77777777">
            <w:pPr>
              <w:overflowPunct/>
              <w:autoSpaceDE/>
              <w:autoSpaceDN/>
              <w:adjustRightInd/>
              <w:jc w:val="right"/>
              <w:textAlignment w:val="auto"/>
              <w:rPr>
                <w:color w:val="000000"/>
              </w:rPr>
            </w:pPr>
            <w:r w:rsidRPr="00C12C1E">
              <w:rPr>
                <w:color w:val="000000"/>
              </w:rPr>
              <w:t>30</w:t>
            </w:r>
          </w:p>
        </w:tc>
        <w:tc>
          <w:tcPr>
            <w:tcW w:w="1026" w:type="dxa"/>
            <w:tcBorders>
              <w:top w:val="nil"/>
              <w:left w:val="nil"/>
              <w:bottom w:val="single" w:sz="8" w:space="0" w:color="D8D8D8"/>
              <w:right w:val="single" w:sz="8" w:space="0" w:color="D8D8D8"/>
            </w:tcBorders>
            <w:hideMark/>
          </w:tcPr>
          <w:p w:rsidR="001A4042" w:rsidRPr="00C12C1E" w:rsidP="001A4042" w14:paraId="2AE42DD0"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1A4042" w:rsidRPr="00C12C1E" w:rsidP="001A4042" w14:paraId="0EBE3CE9" w14:textId="77777777">
            <w:pPr>
              <w:overflowPunct/>
              <w:autoSpaceDE/>
              <w:autoSpaceDN/>
              <w:adjustRightInd/>
              <w:jc w:val="right"/>
              <w:textAlignment w:val="auto"/>
              <w:rPr>
                <w:color w:val="000000"/>
              </w:rPr>
            </w:pPr>
            <w:r w:rsidRPr="00C12C1E">
              <w:rPr>
                <w:color w:val="000000"/>
              </w:rPr>
              <w:t>30</w:t>
            </w:r>
          </w:p>
        </w:tc>
        <w:tc>
          <w:tcPr>
            <w:tcW w:w="981" w:type="dxa"/>
            <w:tcBorders>
              <w:top w:val="nil"/>
              <w:left w:val="nil"/>
              <w:bottom w:val="single" w:sz="8" w:space="0" w:color="D8D8D8"/>
              <w:right w:val="single" w:sz="8" w:space="0" w:color="D8D8D8"/>
            </w:tcBorders>
            <w:hideMark/>
          </w:tcPr>
          <w:p w:rsidR="001A4042" w:rsidRPr="00C12C1E" w:rsidP="001A4042" w14:paraId="333380E6" w14:textId="77777777">
            <w:pPr>
              <w:overflowPunct/>
              <w:autoSpaceDE/>
              <w:autoSpaceDN/>
              <w:adjustRightInd/>
              <w:jc w:val="right"/>
              <w:textAlignment w:val="auto"/>
              <w:rPr>
                <w:color w:val="000000"/>
              </w:rPr>
            </w:pPr>
            <w:r w:rsidRPr="00C12C1E">
              <w:rPr>
                <w:color w:val="000000"/>
              </w:rPr>
              <w:t>120</w:t>
            </w:r>
          </w:p>
        </w:tc>
        <w:tc>
          <w:tcPr>
            <w:tcW w:w="996" w:type="dxa"/>
            <w:tcBorders>
              <w:top w:val="nil"/>
              <w:left w:val="nil"/>
              <w:bottom w:val="single" w:sz="8" w:space="0" w:color="D8D8D8"/>
              <w:right w:val="single" w:sz="8" w:space="0" w:color="D8D8D8"/>
            </w:tcBorders>
            <w:hideMark/>
          </w:tcPr>
          <w:p w:rsidR="001A4042" w:rsidRPr="00C12C1E" w:rsidP="001A4042" w14:paraId="59E4D19E" w14:textId="77777777">
            <w:pPr>
              <w:overflowPunct/>
              <w:autoSpaceDE/>
              <w:autoSpaceDN/>
              <w:adjustRightInd/>
              <w:jc w:val="right"/>
              <w:textAlignment w:val="auto"/>
              <w:rPr>
                <w:color w:val="000000"/>
              </w:rPr>
            </w:pPr>
            <w:r w:rsidRPr="00C12C1E">
              <w:rPr>
                <w:color w:val="000000"/>
              </w:rPr>
              <w:t>3600</w:t>
            </w:r>
          </w:p>
        </w:tc>
        <w:tc>
          <w:tcPr>
            <w:tcW w:w="1240" w:type="dxa"/>
            <w:tcBorders>
              <w:top w:val="nil"/>
              <w:left w:val="nil"/>
              <w:bottom w:val="single" w:sz="8" w:space="0" w:color="D8D8D8"/>
              <w:right w:val="single" w:sz="4" w:space="0" w:color="BFBFBF" w:themeColor="background1" w:themeShade="BF"/>
            </w:tcBorders>
            <w:hideMark/>
          </w:tcPr>
          <w:p w:rsidR="001A4042" w:rsidRPr="00C12C1E" w:rsidP="001A4042" w14:paraId="3A4A80FA" w14:textId="77777777">
            <w:pPr>
              <w:overflowPunct/>
              <w:autoSpaceDE/>
              <w:autoSpaceDN/>
              <w:adjustRightInd/>
              <w:jc w:val="right"/>
              <w:textAlignment w:val="auto"/>
              <w:rPr>
                <w:color w:val="000000"/>
              </w:rPr>
            </w:pPr>
            <w:r w:rsidRPr="00C12C1E">
              <w:rPr>
                <w:color w:val="000000"/>
              </w:rPr>
              <w:t>57.47</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1A4042" w:rsidRPr="00C12C1E" w:rsidP="001A4042" w14:paraId="5742C3D8" w14:textId="7DCA4F10">
            <w:pPr>
              <w:overflowPunct/>
              <w:autoSpaceDE/>
              <w:autoSpaceDN/>
              <w:adjustRightInd/>
              <w:jc w:val="right"/>
              <w:textAlignment w:val="auto"/>
              <w:rPr>
                <w:color w:val="000000"/>
              </w:rPr>
            </w:pPr>
            <w:r>
              <w:rPr>
                <w:color w:val="000000"/>
              </w:rPr>
              <w:t>$206,892.00</w:t>
            </w:r>
          </w:p>
        </w:tc>
      </w:tr>
      <w:tr w14:paraId="5AA1DA3D" w14:textId="77777777" w:rsidTr="00C12C1E">
        <w:tblPrEx>
          <w:tblW w:w="9540" w:type="dxa"/>
          <w:tblInd w:w="439" w:type="dxa"/>
          <w:tblLook w:val="04A0"/>
        </w:tblPrEx>
        <w:trPr>
          <w:trHeight w:val="525"/>
        </w:trPr>
        <w:tc>
          <w:tcPr>
            <w:tcW w:w="1571" w:type="dxa"/>
            <w:tcBorders>
              <w:top w:val="nil"/>
              <w:left w:val="single" w:sz="8" w:space="0" w:color="auto"/>
              <w:bottom w:val="single" w:sz="8" w:space="0" w:color="D8D8D8"/>
              <w:right w:val="single" w:sz="8" w:space="0" w:color="D8D8D8"/>
            </w:tcBorders>
            <w:hideMark/>
          </w:tcPr>
          <w:p w:rsidR="001A4042" w:rsidRPr="00C12C1E" w:rsidP="001A4042" w14:paraId="7F656B42" w14:textId="77777777">
            <w:pPr>
              <w:overflowPunct/>
              <w:autoSpaceDE/>
              <w:autoSpaceDN/>
              <w:adjustRightInd/>
              <w:textAlignment w:val="auto"/>
              <w:rPr>
                <w:color w:val="000000"/>
              </w:rPr>
            </w:pPr>
            <w:r w:rsidRPr="00C12C1E">
              <w:rPr>
                <w:color w:val="000000"/>
              </w:rPr>
              <w:t>Public Housing Development</w:t>
            </w:r>
          </w:p>
        </w:tc>
        <w:tc>
          <w:tcPr>
            <w:tcW w:w="1230" w:type="dxa"/>
            <w:tcBorders>
              <w:top w:val="nil"/>
              <w:left w:val="nil"/>
              <w:bottom w:val="single" w:sz="8" w:space="0" w:color="D8D8D8"/>
              <w:right w:val="single" w:sz="8" w:space="0" w:color="D8D8D8"/>
            </w:tcBorders>
            <w:hideMark/>
          </w:tcPr>
          <w:p w:rsidR="001A4042" w:rsidRPr="00C12C1E" w:rsidP="001A4042" w14:paraId="70D0C43A" w14:textId="77777777">
            <w:pPr>
              <w:overflowPunct/>
              <w:autoSpaceDE/>
              <w:autoSpaceDN/>
              <w:adjustRightInd/>
              <w:jc w:val="right"/>
              <w:textAlignment w:val="auto"/>
              <w:rPr>
                <w:color w:val="000000"/>
              </w:rPr>
            </w:pPr>
            <w:r w:rsidRPr="00C12C1E">
              <w:rPr>
                <w:color w:val="000000"/>
              </w:rPr>
              <w:t>60 </w:t>
            </w:r>
          </w:p>
        </w:tc>
        <w:tc>
          <w:tcPr>
            <w:tcW w:w="1026" w:type="dxa"/>
            <w:tcBorders>
              <w:top w:val="nil"/>
              <w:left w:val="nil"/>
              <w:bottom w:val="single" w:sz="8" w:space="0" w:color="D8D8D8"/>
              <w:right w:val="single" w:sz="8" w:space="0" w:color="D8D8D8"/>
            </w:tcBorders>
            <w:hideMark/>
          </w:tcPr>
          <w:p w:rsidR="001A4042" w:rsidRPr="00C12C1E" w:rsidP="001A4042" w14:paraId="1404CBA6"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1A4042" w:rsidRPr="00C12C1E" w:rsidP="001A4042" w14:paraId="17056C69" w14:textId="77777777">
            <w:pPr>
              <w:overflowPunct/>
              <w:autoSpaceDE/>
              <w:autoSpaceDN/>
              <w:adjustRightInd/>
              <w:jc w:val="right"/>
              <w:textAlignment w:val="auto"/>
              <w:rPr>
                <w:color w:val="000000"/>
              </w:rPr>
            </w:pPr>
            <w:r w:rsidRPr="00C12C1E">
              <w:rPr>
                <w:color w:val="000000"/>
              </w:rPr>
              <w:t>60</w:t>
            </w:r>
          </w:p>
        </w:tc>
        <w:tc>
          <w:tcPr>
            <w:tcW w:w="981" w:type="dxa"/>
            <w:tcBorders>
              <w:top w:val="nil"/>
              <w:left w:val="nil"/>
              <w:bottom w:val="single" w:sz="8" w:space="0" w:color="D8D8D8"/>
              <w:right w:val="single" w:sz="8" w:space="0" w:color="D8D8D8"/>
            </w:tcBorders>
            <w:hideMark/>
          </w:tcPr>
          <w:p w:rsidR="001A4042" w:rsidRPr="00C12C1E" w:rsidP="001A4042" w14:paraId="461CA819" w14:textId="77777777">
            <w:pPr>
              <w:overflowPunct/>
              <w:autoSpaceDE/>
              <w:autoSpaceDN/>
              <w:adjustRightInd/>
              <w:jc w:val="right"/>
              <w:textAlignment w:val="auto"/>
              <w:rPr>
                <w:color w:val="000000"/>
              </w:rPr>
            </w:pPr>
            <w:r w:rsidRPr="00C12C1E">
              <w:rPr>
                <w:color w:val="000000"/>
              </w:rPr>
              <w:t>120</w:t>
            </w:r>
          </w:p>
        </w:tc>
        <w:tc>
          <w:tcPr>
            <w:tcW w:w="996" w:type="dxa"/>
            <w:tcBorders>
              <w:top w:val="nil"/>
              <w:left w:val="nil"/>
              <w:bottom w:val="single" w:sz="8" w:space="0" w:color="D8D8D8"/>
              <w:right w:val="single" w:sz="8" w:space="0" w:color="D8D8D8"/>
            </w:tcBorders>
            <w:hideMark/>
          </w:tcPr>
          <w:p w:rsidR="001A4042" w:rsidRPr="00C12C1E" w:rsidP="001A4042" w14:paraId="5469AA83" w14:textId="77777777">
            <w:pPr>
              <w:overflowPunct/>
              <w:autoSpaceDE/>
              <w:autoSpaceDN/>
              <w:adjustRightInd/>
              <w:jc w:val="right"/>
              <w:textAlignment w:val="auto"/>
              <w:rPr>
                <w:color w:val="000000"/>
              </w:rPr>
            </w:pPr>
            <w:r w:rsidRPr="00C12C1E">
              <w:rPr>
                <w:color w:val="000000"/>
              </w:rPr>
              <w:t>7,200</w:t>
            </w:r>
          </w:p>
        </w:tc>
        <w:tc>
          <w:tcPr>
            <w:tcW w:w="1240" w:type="dxa"/>
            <w:tcBorders>
              <w:top w:val="nil"/>
              <w:left w:val="nil"/>
              <w:bottom w:val="single" w:sz="8" w:space="0" w:color="D8D8D8"/>
              <w:right w:val="single" w:sz="4" w:space="0" w:color="BFBFBF" w:themeColor="background1" w:themeShade="BF"/>
            </w:tcBorders>
            <w:hideMark/>
          </w:tcPr>
          <w:p w:rsidR="001A4042" w:rsidRPr="00C12C1E" w:rsidP="001A4042" w14:paraId="74BF3EDA" w14:textId="77777777">
            <w:pPr>
              <w:overflowPunct/>
              <w:autoSpaceDE/>
              <w:autoSpaceDN/>
              <w:adjustRightInd/>
              <w:jc w:val="right"/>
              <w:textAlignment w:val="auto"/>
              <w:rPr>
                <w:color w:val="000000"/>
              </w:rPr>
            </w:pPr>
            <w:r w:rsidRPr="00C12C1E">
              <w:rPr>
                <w:color w:val="000000"/>
              </w:rPr>
              <w:t xml:space="preserve">$57.47 </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1A4042" w:rsidRPr="00C12C1E" w:rsidP="001A4042" w14:paraId="67DB142C" w14:textId="77777777">
            <w:pPr>
              <w:overflowPunct/>
              <w:autoSpaceDE/>
              <w:autoSpaceDN/>
              <w:adjustRightInd/>
              <w:jc w:val="right"/>
              <w:textAlignment w:val="auto"/>
              <w:rPr>
                <w:color w:val="000000"/>
              </w:rPr>
            </w:pPr>
            <w:r w:rsidRPr="00C12C1E">
              <w:rPr>
                <w:color w:val="000000"/>
              </w:rPr>
              <w:t>$413,784.00</w:t>
            </w:r>
          </w:p>
        </w:tc>
      </w:tr>
      <w:tr w14:paraId="2282DA09" w14:textId="77777777" w:rsidTr="00C12C1E">
        <w:tblPrEx>
          <w:tblW w:w="9540" w:type="dxa"/>
          <w:tblInd w:w="439" w:type="dxa"/>
          <w:tblLook w:val="04A0"/>
        </w:tblPrEx>
        <w:trPr>
          <w:trHeight w:val="525"/>
        </w:trPr>
        <w:tc>
          <w:tcPr>
            <w:tcW w:w="1571" w:type="dxa"/>
            <w:tcBorders>
              <w:top w:val="nil"/>
              <w:left w:val="single" w:sz="8" w:space="0" w:color="auto"/>
              <w:bottom w:val="single" w:sz="8" w:space="0" w:color="D8D8D8"/>
              <w:right w:val="single" w:sz="8" w:space="0" w:color="D8D8D8"/>
            </w:tcBorders>
            <w:hideMark/>
          </w:tcPr>
          <w:p w:rsidR="001A4042" w:rsidRPr="00C12C1E" w:rsidP="001A4042" w14:paraId="0E3E327A" w14:textId="77777777">
            <w:pPr>
              <w:overflowPunct/>
              <w:autoSpaceDE/>
              <w:autoSpaceDN/>
              <w:adjustRightInd/>
              <w:textAlignment w:val="auto"/>
              <w:rPr>
                <w:color w:val="000000"/>
              </w:rPr>
            </w:pPr>
            <w:r w:rsidRPr="00C12C1E">
              <w:rPr>
                <w:color w:val="000000" w:themeColor="text1"/>
              </w:rPr>
              <w:t xml:space="preserve">Mixed Finance Development </w:t>
            </w:r>
          </w:p>
        </w:tc>
        <w:tc>
          <w:tcPr>
            <w:tcW w:w="1230" w:type="dxa"/>
            <w:tcBorders>
              <w:top w:val="nil"/>
              <w:left w:val="nil"/>
              <w:bottom w:val="single" w:sz="8" w:space="0" w:color="D8D8D8"/>
              <w:right w:val="single" w:sz="8" w:space="0" w:color="D8D8D8"/>
            </w:tcBorders>
            <w:hideMark/>
          </w:tcPr>
          <w:p w:rsidR="001A4042" w:rsidRPr="00C12C1E" w:rsidP="001A4042" w14:paraId="03231D68" w14:textId="77777777">
            <w:pPr>
              <w:overflowPunct/>
              <w:autoSpaceDE/>
              <w:autoSpaceDN/>
              <w:adjustRightInd/>
              <w:jc w:val="right"/>
              <w:textAlignment w:val="auto"/>
              <w:rPr>
                <w:color w:val="000000"/>
              </w:rPr>
            </w:pPr>
            <w:r w:rsidRPr="00C12C1E">
              <w:rPr>
                <w:color w:val="000000"/>
              </w:rPr>
              <w:t>60</w:t>
            </w:r>
          </w:p>
        </w:tc>
        <w:tc>
          <w:tcPr>
            <w:tcW w:w="1026" w:type="dxa"/>
            <w:tcBorders>
              <w:top w:val="nil"/>
              <w:left w:val="nil"/>
              <w:bottom w:val="single" w:sz="8" w:space="0" w:color="D8D8D8"/>
              <w:right w:val="single" w:sz="8" w:space="0" w:color="D8D8D8"/>
            </w:tcBorders>
            <w:hideMark/>
          </w:tcPr>
          <w:p w:rsidR="001A4042" w:rsidRPr="00C12C1E" w:rsidP="001A4042" w14:paraId="752BE343"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1A4042" w:rsidRPr="00C12C1E" w:rsidP="001A4042" w14:paraId="2FBA824C" w14:textId="77777777">
            <w:pPr>
              <w:overflowPunct/>
              <w:autoSpaceDE/>
              <w:autoSpaceDN/>
              <w:adjustRightInd/>
              <w:jc w:val="right"/>
              <w:textAlignment w:val="auto"/>
              <w:rPr>
                <w:color w:val="000000"/>
              </w:rPr>
            </w:pPr>
            <w:r w:rsidRPr="00C12C1E">
              <w:rPr>
                <w:color w:val="000000"/>
              </w:rPr>
              <w:t>60</w:t>
            </w:r>
          </w:p>
        </w:tc>
        <w:tc>
          <w:tcPr>
            <w:tcW w:w="981" w:type="dxa"/>
            <w:tcBorders>
              <w:top w:val="nil"/>
              <w:left w:val="nil"/>
              <w:bottom w:val="single" w:sz="8" w:space="0" w:color="D8D8D8"/>
              <w:right w:val="single" w:sz="8" w:space="0" w:color="D8D8D8"/>
            </w:tcBorders>
            <w:hideMark/>
          </w:tcPr>
          <w:p w:rsidR="001A4042" w:rsidRPr="00C12C1E" w:rsidP="001A4042" w14:paraId="212558E1" w14:textId="77777777">
            <w:pPr>
              <w:overflowPunct/>
              <w:autoSpaceDE/>
              <w:autoSpaceDN/>
              <w:adjustRightInd/>
              <w:jc w:val="right"/>
              <w:textAlignment w:val="auto"/>
              <w:rPr>
                <w:color w:val="000000"/>
              </w:rPr>
            </w:pPr>
            <w:r w:rsidRPr="00C12C1E">
              <w:rPr>
                <w:color w:val="000000"/>
              </w:rPr>
              <w:t>0.33</w:t>
            </w:r>
          </w:p>
        </w:tc>
        <w:tc>
          <w:tcPr>
            <w:tcW w:w="996" w:type="dxa"/>
            <w:tcBorders>
              <w:top w:val="nil"/>
              <w:left w:val="nil"/>
              <w:bottom w:val="single" w:sz="8" w:space="0" w:color="D8D8D8"/>
              <w:right w:val="single" w:sz="8" w:space="0" w:color="D8D8D8"/>
            </w:tcBorders>
            <w:hideMark/>
          </w:tcPr>
          <w:p w:rsidR="001A4042" w:rsidRPr="00C12C1E" w:rsidP="001A4042" w14:paraId="30CF7D37" w14:textId="77777777">
            <w:pPr>
              <w:overflowPunct/>
              <w:autoSpaceDE/>
              <w:autoSpaceDN/>
              <w:adjustRightInd/>
              <w:jc w:val="right"/>
              <w:textAlignment w:val="auto"/>
              <w:rPr>
                <w:color w:val="000000"/>
              </w:rPr>
            </w:pPr>
            <w:r w:rsidRPr="00C12C1E">
              <w:rPr>
                <w:color w:val="000000"/>
              </w:rPr>
              <w:t>20</w:t>
            </w:r>
          </w:p>
        </w:tc>
        <w:tc>
          <w:tcPr>
            <w:tcW w:w="1240" w:type="dxa"/>
            <w:tcBorders>
              <w:top w:val="nil"/>
              <w:left w:val="nil"/>
              <w:bottom w:val="single" w:sz="8" w:space="0" w:color="D8D8D8"/>
              <w:right w:val="single" w:sz="4" w:space="0" w:color="BFBFBF" w:themeColor="background1" w:themeShade="BF"/>
            </w:tcBorders>
            <w:hideMark/>
          </w:tcPr>
          <w:p w:rsidR="001A4042" w:rsidRPr="00C12C1E" w:rsidP="001A4042" w14:paraId="230379C7" w14:textId="77777777">
            <w:pPr>
              <w:overflowPunct/>
              <w:autoSpaceDE/>
              <w:autoSpaceDN/>
              <w:adjustRightInd/>
              <w:jc w:val="right"/>
              <w:textAlignment w:val="auto"/>
              <w:rPr>
                <w:color w:val="000000"/>
              </w:rPr>
            </w:pPr>
            <w:r w:rsidRPr="00C12C1E">
              <w:rPr>
                <w:color w:val="000000"/>
              </w:rPr>
              <w:t xml:space="preserve">$57.47 </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1A4042" w:rsidRPr="00C12C1E" w:rsidP="001A4042" w14:paraId="5763961E" w14:textId="222CA4A1">
            <w:pPr>
              <w:overflowPunct/>
              <w:autoSpaceDE/>
              <w:autoSpaceDN/>
              <w:adjustRightInd/>
              <w:jc w:val="right"/>
              <w:textAlignment w:val="auto"/>
              <w:rPr>
                <w:color w:val="000000"/>
              </w:rPr>
            </w:pPr>
            <w:r w:rsidRPr="00C12C1E">
              <w:rPr>
                <w:color w:val="000000" w:themeColor="text1"/>
              </w:rPr>
              <w:t>$1,1</w:t>
            </w:r>
            <w:r w:rsidR="002D4255">
              <w:rPr>
                <w:color w:val="000000" w:themeColor="text1"/>
              </w:rPr>
              <w:t>37</w:t>
            </w:r>
            <w:r w:rsidRPr="00C12C1E">
              <w:rPr>
                <w:color w:val="000000" w:themeColor="text1"/>
              </w:rPr>
              <w:t>.</w:t>
            </w:r>
            <w:r w:rsidR="002D4255">
              <w:rPr>
                <w:color w:val="000000" w:themeColor="text1"/>
              </w:rPr>
              <w:t>91</w:t>
            </w:r>
          </w:p>
        </w:tc>
      </w:tr>
      <w:tr w14:paraId="7C98884F" w14:textId="77777777" w:rsidTr="00C12C1E">
        <w:tblPrEx>
          <w:tblW w:w="9540" w:type="dxa"/>
          <w:tblInd w:w="439" w:type="dxa"/>
          <w:tblLook w:val="04A0"/>
        </w:tblPrEx>
        <w:trPr>
          <w:trHeight w:val="810"/>
        </w:trPr>
        <w:tc>
          <w:tcPr>
            <w:tcW w:w="1571" w:type="dxa"/>
            <w:tcBorders>
              <w:top w:val="nil"/>
              <w:left w:val="single" w:sz="8" w:space="0" w:color="auto"/>
              <w:bottom w:val="single" w:sz="8" w:space="0" w:color="D8D8D8"/>
              <w:right w:val="single" w:sz="8" w:space="0" w:color="D8D8D8"/>
            </w:tcBorders>
            <w:hideMark/>
          </w:tcPr>
          <w:p w:rsidR="001A4042" w:rsidRPr="00C12C1E" w:rsidP="001A4042" w14:paraId="10F35CA5" w14:textId="77777777">
            <w:pPr>
              <w:overflowPunct/>
              <w:autoSpaceDE/>
              <w:autoSpaceDN/>
              <w:adjustRightInd/>
              <w:textAlignment w:val="auto"/>
              <w:rPr>
                <w:color w:val="000000"/>
              </w:rPr>
            </w:pPr>
            <w:r w:rsidRPr="00C12C1E">
              <w:rPr>
                <w:color w:val="000000"/>
              </w:rPr>
              <w:t>CFP Grant Application Module</w:t>
            </w:r>
          </w:p>
        </w:tc>
        <w:tc>
          <w:tcPr>
            <w:tcW w:w="1230" w:type="dxa"/>
            <w:tcBorders>
              <w:top w:val="nil"/>
              <w:left w:val="nil"/>
              <w:bottom w:val="single" w:sz="8" w:space="0" w:color="D8D8D8"/>
              <w:right w:val="single" w:sz="8" w:space="0" w:color="D8D8D8"/>
            </w:tcBorders>
            <w:hideMark/>
          </w:tcPr>
          <w:p w:rsidR="001A4042" w:rsidRPr="00C12C1E" w:rsidP="001A4042" w14:paraId="6335E375" w14:textId="77777777">
            <w:pPr>
              <w:overflowPunct/>
              <w:autoSpaceDE/>
              <w:autoSpaceDN/>
              <w:adjustRightInd/>
              <w:jc w:val="right"/>
              <w:textAlignment w:val="auto"/>
              <w:rPr>
                <w:color w:val="000000"/>
              </w:rPr>
            </w:pPr>
            <w:r w:rsidRPr="00C12C1E">
              <w:rPr>
                <w:color w:val="000000"/>
              </w:rPr>
              <w:t>50</w:t>
            </w:r>
          </w:p>
        </w:tc>
        <w:tc>
          <w:tcPr>
            <w:tcW w:w="1026" w:type="dxa"/>
            <w:tcBorders>
              <w:top w:val="nil"/>
              <w:left w:val="nil"/>
              <w:bottom w:val="single" w:sz="8" w:space="0" w:color="D8D8D8"/>
              <w:right w:val="single" w:sz="8" w:space="0" w:color="D8D8D8"/>
            </w:tcBorders>
            <w:hideMark/>
          </w:tcPr>
          <w:p w:rsidR="001A4042" w:rsidRPr="00C12C1E" w:rsidP="001A4042" w14:paraId="2563DE37"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1A4042" w:rsidRPr="00C12C1E" w:rsidP="001A4042" w14:paraId="0350AE3D" w14:textId="77777777">
            <w:pPr>
              <w:overflowPunct/>
              <w:autoSpaceDE/>
              <w:autoSpaceDN/>
              <w:adjustRightInd/>
              <w:jc w:val="right"/>
              <w:textAlignment w:val="auto"/>
              <w:rPr>
                <w:color w:val="000000"/>
              </w:rPr>
            </w:pPr>
            <w:r w:rsidRPr="00C12C1E">
              <w:rPr>
                <w:color w:val="000000"/>
              </w:rPr>
              <w:t>50</w:t>
            </w:r>
          </w:p>
        </w:tc>
        <w:tc>
          <w:tcPr>
            <w:tcW w:w="981" w:type="dxa"/>
            <w:tcBorders>
              <w:top w:val="nil"/>
              <w:left w:val="nil"/>
              <w:bottom w:val="single" w:sz="8" w:space="0" w:color="D8D8D8"/>
              <w:right w:val="single" w:sz="8" w:space="0" w:color="D8D8D8"/>
            </w:tcBorders>
            <w:hideMark/>
          </w:tcPr>
          <w:p w:rsidR="001A4042" w:rsidRPr="00C12C1E" w:rsidP="001A4042" w14:paraId="49390DDC" w14:textId="77777777">
            <w:pPr>
              <w:overflowPunct/>
              <w:autoSpaceDE/>
              <w:autoSpaceDN/>
              <w:adjustRightInd/>
              <w:jc w:val="right"/>
              <w:textAlignment w:val="auto"/>
              <w:rPr>
                <w:color w:val="000000"/>
              </w:rPr>
            </w:pPr>
            <w:r w:rsidRPr="00C12C1E">
              <w:rPr>
                <w:color w:val="000000"/>
              </w:rPr>
              <w:t>2</w:t>
            </w:r>
          </w:p>
        </w:tc>
        <w:tc>
          <w:tcPr>
            <w:tcW w:w="996" w:type="dxa"/>
            <w:tcBorders>
              <w:top w:val="nil"/>
              <w:left w:val="nil"/>
              <w:bottom w:val="single" w:sz="8" w:space="0" w:color="D8D8D8"/>
              <w:right w:val="single" w:sz="8" w:space="0" w:color="D8D8D8"/>
            </w:tcBorders>
            <w:hideMark/>
          </w:tcPr>
          <w:p w:rsidR="001A4042" w:rsidRPr="00C12C1E" w:rsidP="001A4042" w14:paraId="2CD59781" w14:textId="77777777">
            <w:pPr>
              <w:overflowPunct/>
              <w:autoSpaceDE/>
              <w:autoSpaceDN/>
              <w:adjustRightInd/>
              <w:jc w:val="right"/>
              <w:textAlignment w:val="auto"/>
              <w:rPr>
                <w:color w:val="000000"/>
              </w:rPr>
            </w:pPr>
            <w:r w:rsidRPr="00C12C1E">
              <w:rPr>
                <w:color w:val="000000"/>
              </w:rPr>
              <w:t>100</w:t>
            </w:r>
          </w:p>
        </w:tc>
        <w:tc>
          <w:tcPr>
            <w:tcW w:w="1240" w:type="dxa"/>
            <w:tcBorders>
              <w:top w:val="nil"/>
              <w:left w:val="nil"/>
              <w:bottom w:val="single" w:sz="8" w:space="0" w:color="D8D8D8"/>
              <w:right w:val="single" w:sz="4" w:space="0" w:color="BFBFBF" w:themeColor="background1" w:themeShade="BF"/>
            </w:tcBorders>
            <w:hideMark/>
          </w:tcPr>
          <w:p w:rsidR="001A4042" w:rsidRPr="00C12C1E" w:rsidP="001A4042" w14:paraId="1921ED88" w14:textId="77777777">
            <w:pPr>
              <w:overflowPunct/>
              <w:autoSpaceDE/>
              <w:autoSpaceDN/>
              <w:adjustRightInd/>
              <w:jc w:val="right"/>
              <w:textAlignment w:val="auto"/>
              <w:rPr>
                <w:color w:val="000000"/>
              </w:rPr>
            </w:pPr>
            <w:r w:rsidRPr="00C12C1E">
              <w:rPr>
                <w:color w:val="000000"/>
              </w:rPr>
              <w:t xml:space="preserve">$57.47 </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1A4042" w:rsidRPr="00C12C1E" w:rsidP="001A4042" w14:paraId="45A240B0" w14:textId="77777777">
            <w:pPr>
              <w:overflowPunct/>
              <w:autoSpaceDE/>
              <w:autoSpaceDN/>
              <w:adjustRightInd/>
              <w:jc w:val="right"/>
              <w:textAlignment w:val="auto"/>
              <w:rPr>
                <w:color w:val="000000"/>
              </w:rPr>
            </w:pPr>
            <w:r w:rsidRPr="00C12C1E">
              <w:rPr>
                <w:color w:val="000000"/>
              </w:rPr>
              <w:t>$5,747.00</w:t>
            </w:r>
          </w:p>
        </w:tc>
      </w:tr>
      <w:tr w14:paraId="654D9E15" w14:textId="77777777" w:rsidTr="00984A9E">
        <w:tblPrEx>
          <w:tblW w:w="9540" w:type="dxa"/>
          <w:tblInd w:w="439" w:type="dxa"/>
          <w:tblLook w:val="04A0"/>
        </w:tblPrEx>
        <w:trPr>
          <w:trHeight w:val="315"/>
        </w:trPr>
        <w:tc>
          <w:tcPr>
            <w:tcW w:w="1571" w:type="dxa"/>
            <w:tcBorders>
              <w:top w:val="nil"/>
              <w:left w:val="single" w:sz="8" w:space="0" w:color="auto"/>
              <w:bottom w:val="single" w:sz="8" w:space="0" w:color="auto"/>
              <w:right w:val="single" w:sz="8" w:space="0" w:color="D8D8D8"/>
            </w:tcBorders>
            <w:shd w:val="clear" w:color="000000" w:fill="D8D8D8"/>
            <w:vAlign w:val="center"/>
            <w:hideMark/>
          </w:tcPr>
          <w:p w:rsidR="001A4042" w:rsidRPr="00C12C1E" w:rsidP="001A4042" w14:paraId="02B23FE1" w14:textId="77777777">
            <w:pPr>
              <w:overflowPunct/>
              <w:autoSpaceDE/>
              <w:autoSpaceDN/>
              <w:adjustRightInd/>
              <w:jc w:val="center"/>
              <w:textAlignment w:val="auto"/>
              <w:rPr>
                <w:b/>
                <w:bCs/>
                <w:color w:val="2B579A"/>
              </w:rPr>
            </w:pPr>
            <w:r w:rsidRPr="00C12C1E">
              <w:rPr>
                <w:b/>
                <w:bCs/>
                <w:color w:val="2B579A"/>
              </w:rPr>
              <w:t>Totals</w:t>
            </w:r>
          </w:p>
        </w:tc>
        <w:tc>
          <w:tcPr>
            <w:tcW w:w="1230" w:type="dxa"/>
            <w:tcBorders>
              <w:top w:val="nil"/>
              <w:left w:val="nil"/>
              <w:bottom w:val="single" w:sz="8" w:space="0" w:color="auto"/>
              <w:right w:val="single" w:sz="8" w:space="0" w:color="D8D8D8"/>
            </w:tcBorders>
            <w:shd w:val="clear" w:color="000000" w:fill="D8D8D8"/>
            <w:vAlign w:val="center"/>
            <w:hideMark/>
          </w:tcPr>
          <w:p w:rsidR="001A4042" w:rsidRPr="00C12C1E" w:rsidP="001A4042" w14:paraId="0B4953EA" w14:textId="41BA1F63">
            <w:pPr>
              <w:overflowPunct/>
              <w:autoSpaceDE/>
              <w:autoSpaceDN/>
              <w:adjustRightInd/>
              <w:jc w:val="center"/>
              <w:textAlignment w:val="auto"/>
              <w:rPr>
                <w:b/>
                <w:bCs/>
                <w:color w:val="2B579A"/>
              </w:rPr>
            </w:pPr>
            <w:r>
              <w:rPr>
                <w:b/>
                <w:bCs/>
                <w:color w:val="2B579A"/>
              </w:rPr>
              <w:t>13</w:t>
            </w:r>
            <w:r w:rsidRPr="00C12C1E">
              <w:rPr>
                <w:b/>
                <w:bCs/>
                <w:color w:val="2B579A"/>
              </w:rPr>
              <w:t>,</w:t>
            </w:r>
            <w:r>
              <w:rPr>
                <w:b/>
                <w:bCs/>
                <w:color w:val="2B579A"/>
              </w:rPr>
              <w:t>415</w:t>
            </w:r>
          </w:p>
        </w:tc>
        <w:tc>
          <w:tcPr>
            <w:tcW w:w="1026" w:type="dxa"/>
            <w:tcBorders>
              <w:top w:val="nil"/>
              <w:left w:val="nil"/>
              <w:bottom w:val="single" w:sz="8" w:space="0" w:color="auto"/>
              <w:right w:val="single" w:sz="8" w:space="0" w:color="D8D8D8"/>
            </w:tcBorders>
            <w:shd w:val="clear" w:color="000000" w:fill="D8D8D8"/>
            <w:vAlign w:val="center"/>
            <w:hideMark/>
          </w:tcPr>
          <w:p w:rsidR="001A4042" w:rsidRPr="00C12C1E" w:rsidP="001A4042" w14:paraId="1724DBD4" w14:textId="77777777">
            <w:pPr>
              <w:overflowPunct/>
              <w:autoSpaceDE/>
              <w:autoSpaceDN/>
              <w:adjustRightInd/>
              <w:jc w:val="center"/>
              <w:textAlignment w:val="auto"/>
              <w:rPr>
                <w:b/>
                <w:bCs/>
                <w:color w:val="2B579A"/>
              </w:rPr>
            </w:pPr>
            <w:r w:rsidRPr="00C12C1E">
              <w:rPr>
                <w:b/>
                <w:bCs/>
                <w:color w:val="2B579A"/>
              </w:rPr>
              <w:t>12.5</w:t>
            </w:r>
          </w:p>
        </w:tc>
        <w:tc>
          <w:tcPr>
            <w:tcW w:w="1161" w:type="dxa"/>
            <w:tcBorders>
              <w:top w:val="nil"/>
              <w:left w:val="nil"/>
              <w:bottom w:val="single" w:sz="8" w:space="0" w:color="auto"/>
              <w:right w:val="single" w:sz="8" w:space="0" w:color="D8D8D8"/>
            </w:tcBorders>
            <w:shd w:val="clear" w:color="000000" w:fill="D8D8D8"/>
            <w:vAlign w:val="center"/>
            <w:hideMark/>
          </w:tcPr>
          <w:p w:rsidR="001A4042" w:rsidRPr="00C12C1E" w:rsidP="001A4042" w14:paraId="7C1217BD" w14:textId="77777777">
            <w:pPr>
              <w:overflowPunct/>
              <w:autoSpaceDE/>
              <w:autoSpaceDN/>
              <w:adjustRightInd/>
              <w:jc w:val="center"/>
              <w:textAlignment w:val="auto"/>
              <w:rPr>
                <w:b/>
                <w:bCs/>
                <w:color w:val="2B579A"/>
              </w:rPr>
            </w:pPr>
            <w:r w:rsidRPr="00C12C1E">
              <w:rPr>
                <w:b/>
                <w:bCs/>
                <w:color w:val="2B579A"/>
              </w:rPr>
              <w:t>20,415</w:t>
            </w:r>
          </w:p>
        </w:tc>
        <w:tc>
          <w:tcPr>
            <w:tcW w:w="981" w:type="dxa"/>
            <w:tcBorders>
              <w:top w:val="nil"/>
              <w:left w:val="nil"/>
              <w:bottom w:val="single" w:sz="8" w:space="0" w:color="auto"/>
              <w:right w:val="single" w:sz="8" w:space="0" w:color="D8D8D8"/>
            </w:tcBorders>
            <w:shd w:val="clear" w:color="000000" w:fill="D8D8D8"/>
            <w:vAlign w:val="center"/>
            <w:hideMark/>
          </w:tcPr>
          <w:p w:rsidR="001A4042" w:rsidRPr="00C12C1E" w:rsidP="001A4042" w14:paraId="5D25A668" w14:textId="77777777">
            <w:pPr>
              <w:overflowPunct/>
              <w:autoSpaceDE/>
              <w:autoSpaceDN/>
              <w:adjustRightInd/>
              <w:jc w:val="center"/>
              <w:textAlignment w:val="auto"/>
              <w:rPr>
                <w:b/>
                <w:bCs/>
                <w:color w:val="2B579A"/>
              </w:rPr>
            </w:pPr>
            <w:r w:rsidRPr="00C12C1E">
              <w:rPr>
                <w:b/>
                <w:bCs/>
                <w:color w:val="2B579A"/>
              </w:rPr>
              <w:t>248.33</w:t>
            </w:r>
          </w:p>
        </w:tc>
        <w:tc>
          <w:tcPr>
            <w:tcW w:w="996" w:type="dxa"/>
            <w:tcBorders>
              <w:top w:val="nil"/>
              <w:left w:val="nil"/>
              <w:bottom w:val="single" w:sz="8" w:space="0" w:color="auto"/>
              <w:right w:val="single" w:sz="8" w:space="0" w:color="D8D8D8"/>
            </w:tcBorders>
            <w:shd w:val="clear" w:color="000000" w:fill="D8D8D8"/>
            <w:vAlign w:val="center"/>
            <w:hideMark/>
          </w:tcPr>
          <w:p w:rsidR="001A4042" w:rsidRPr="00C12C1E" w:rsidP="001A4042" w14:paraId="086DC5DE" w14:textId="530AAD0D">
            <w:pPr>
              <w:overflowPunct/>
              <w:autoSpaceDE/>
              <w:autoSpaceDN/>
              <w:adjustRightInd/>
              <w:jc w:val="center"/>
              <w:textAlignment w:val="auto"/>
              <w:rPr>
                <w:b/>
                <w:bCs/>
                <w:color w:val="2B579A"/>
              </w:rPr>
            </w:pPr>
            <w:r>
              <w:rPr>
                <w:b/>
                <w:bCs/>
                <w:color w:val="2B579A"/>
              </w:rPr>
              <w:t>30</w:t>
            </w:r>
            <w:r w:rsidRPr="00C12C1E">
              <w:rPr>
                <w:b/>
                <w:bCs/>
                <w:color w:val="2B579A"/>
              </w:rPr>
              <w:t>,</w:t>
            </w:r>
            <w:r>
              <w:rPr>
                <w:b/>
                <w:bCs/>
                <w:color w:val="2B579A"/>
              </w:rPr>
              <w:t>327</w:t>
            </w:r>
          </w:p>
        </w:tc>
        <w:tc>
          <w:tcPr>
            <w:tcW w:w="1240" w:type="dxa"/>
            <w:tcBorders>
              <w:top w:val="nil"/>
              <w:left w:val="nil"/>
              <w:bottom w:val="single" w:sz="8" w:space="0" w:color="auto"/>
              <w:right w:val="single" w:sz="8" w:space="0" w:color="D8D8D8"/>
            </w:tcBorders>
            <w:shd w:val="clear" w:color="000000" w:fill="D8D8D8"/>
            <w:vAlign w:val="center"/>
            <w:hideMark/>
          </w:tcPr>
          <w:p w:rsidR="001A4042" w:rsidRPr="00C12C1E" w:rsidP="001A4042" w14:paraId="764C8034" w14:textId="77777777">
            <w:pPr>
              <w:overflowPunct/>
              <w:autoSpaceDE/>
              <w:autoSpaceDN/>
              <w:adjustRightInd/>
              <w:jc w:val="center"/>
              <w:textAlignment w:val="auto"/>
              <w:rPr>
                <w:b/>
                <w:bCs/>
                <w:color w:val="2B579A"/>
              </w:rPr>
            </w:pPr>
            <w:r w:rsidRPr="00C12C1E">
              <w:rPr>
                <w:b/>
                <w:bCs/>
                <w:color w:val="2B579A"/>
              </w:rPr>
              <w:t>57.47</w:t>
            </w:r>
          </w:p>
        </w:tc>
        <w:tc>
          <w:tcPr>
            <w:tcW w:w="1335" w:type="dxa"/>
            <w:tcBorders>
              <w:top w:val="single" w:sz="4" w:space="0" w:color="BFBFBF" w:themeColor="background1" w:themeShade="BF"/>
              <w:left w:val="nil"/>
              <w:bottom w:val="single" w:sz="8" w:space="0" w:color="auto"/>
              <w:right w:val="single" w:sz="4" w:space="0" w:color="BFBFBF" w:themeColor="background1" w:themeShade="BF"/>
            </w:tcBorders>
            <w:shd w:val="clear" w:color="000000" w:fill="D8D8D8"/>
            <w:vAlign w:val="center"/>
            <w:hideMark/>
          </w:tcPr>
          <w:p w:rsidR="001A4042" w:rsidRPr="00C12C1E" w:rsidP="001A4042" w14:paraId="6FDF51AF" w14:textId="70257515">
            <w:pPr>
              <w:overflowPunct/>
              <w:autoSpaceDE/>
              <w:autoSpaceDN/>
              <w:adjustRightInd/>
              <w:jc w:val="center"/>
              <w:textAlignment w:val="auto"/>
              <w:rPr>
                <w:b/>
                <w:bCs/>
                <w:color w:val="2B579A"/>
              </w:rPr>
            </w:pPr>
            <w:r w:rsidRPr="00C12C1E">
              <w:rPr>
                <w:b/>
                <w:bCs/>
                <w:color w:val="2B579A"/>
              </w:rPr>
              <w:t>$1,</w:t>
            </w:r>
            <w:r w:rsidR="002D4255">
              <w:rPr>
                <w:b/>
                <w:bCs/>
                <w:color w:val="2B579A"/>
              </w:rPr>
              <w:t>7</w:t>
            </w:r>
            <w:r w:rsidRPr="00C12C1E">
              <w:rPr>
                <w:b/>
                <w:bCs/>
                <w:color w:val="2B579A"/>
              </w:rPr>
              <w:t>4</w:t>
            </w:r>
            <w:r w:rsidR="002D4255">
              <w:rPr>
                <w:b/>
                <w:bCs/>
                <w:color w:val="2B579A"/>
              </w:rPr>
              <w:t>2</w:t>
            </w:r>
            <w:r w:rsidRPr="00C12C1E">
              <w:rPr>
                <w:b/>
                <w:bCs/>
                <w:color w:val="2B579A"/>
              </w:rPr>
              <w:t>,</w:t>
            </w:r>
            <w:r w:rsidR="002D4255">
              <w:rPr>
                <w:b/>
                <w:bCs/>
                <w:color w:val="2B579A"/>
              </w:rPr>
              <w:t>909.93</w:t>
            </w:r>
            <w:r w:rsidRPr="00C12C1E">
              <w:rPr>
                <w:b/>
                <w:bCs/>
                <w:color w:val="2B579A"/>
              </w:rPr>
              <w:t xml:space="preserve"> </w:t>
            </w:r>
          </w:p>
        </w:tc>
      </w:tr>
    </w:tbl>
    <w:p w:rsidR="008475A7" w:rsidP="001C3322" w14:paraId="39F763F5" w14:textId="77777777">
      <w:pPr>
        <w:keepLines/>
        <w:tabs>
          <w:tab w:val="left" w:pos="480"/>
        </w:tabs>
        <w:ind w:left="336"/>
        <w:rPr>
          <w:sz w:val="24"/>
          <w:szCs w:val="24"/>
        </w:rPr>
      </w:pPr>
    </w:p>
    <w:p w:rsidR="001C3322" w:rsidRPr="008A6576" w:rsidP="00082ECF" w14:paraId="3B25852A" w14:textId="77777777">
      <w:pPr>
        <w:keepLines/>
        <w:tabs>
          <w:tab w:val="left" w:pos="480"/>
        </w:tabs>
        <w:spacing w:after="80"/>
      </w:pPr>
      <w:r>
        <w:t>*</w:t>
      </w:r>
      <w:r w:rsidRPr="00DF4445">
        <w:t xml:space="preserve">Source: </w:t>
      </w:r>
      <w:hyperlink r:id="rId9" w:history="1">
        <w:r w:rsidRPr="008A6576">
          <w:rPr>
            <w:rStyle w:val="Hyperlink"/>
            <w:rFonts w:eastAsiaTheme="majorEastAsia"/>
          </w:rPr>
          <w:t>Occupational Employment and Wage Statistics (OEWS) Tables</w:t>
        </w:r>
        <w:r>
          <w:rPr>
            <w:rStyle w:val="Hyperlink"/>
            <w:rFonts w:eastAsiaTheme="majorEastAsia"/>
          </w:rPr>
          <w:t>,</w:t>
        </w:r>
        <w:r w:rsidRPr="008A6576">
          <w:rPr>
            <w:rStyle w:val="Hyperlink"/>
            <w:rFonts w:eastAsiaTheme="majorEastAsia"/>
          </w:rPr>
          <w:t xml:space="preserve"> U.S. Bureau of Labor Statistics</w:t>
        </w:r>
      </w:hyperlink>
    </w:p>
    <w:p w:rsidR="001C3322" w:rsidP="001C3322" w14:paraId="297261F1" w14:textId="77777777">
      <w:pPr>
        <w:keepLines/>
        <w:tabs>
          <w:tab w:val="left" w:pos="480"/>
        </w:tabs>
        <w:spacing w:after="80"/>
        <w:ind w:left="480"/>
        <w:rPr>
          <w:sz w:val="24"/>
          <w:szCs w:val="24"/>
        </w:rPr>
      </w:pPr>
    </w:p>
    <w:p w:rsidR="001C3322" w:rsidP="001C3322" w14:paraId="2424318B" w14:textId="77777777">
      <w:pPr>
        <w:tabs>
          <w:tab w:val="left" w:pos="360"/>
        </w:tabs>
        <w:ind w:left="360" w:hanging="360"/>
        <w:rPr>
          <w:sz w:val="24"/>
          <w:szCs w:val="24"/>
        </w:rPr>
      </w:pPr>
      <w:r w:rsidRPr="006C7FAE">
        <w:rPr>
          <w:sz w:val="24"/>
          <w:szCs w:val="24"/>
        </w:rPr>
        <w:t>13.</w:t>
      </w:r>
      <w:r w:rsidRPr="006C7FAE">
        <w:rPr>
          <w:sz w:val="24"/>
          <w:szCs w:val="24"/>
        </w:rPr>
        <w:tab/>
      </w:r>
      <w:r w:rsidRPr="00100057">
        <w:rPr>
          <w:b/>
          <w:bCs/>
          <w:sz w:val="24"/>
          <w:szCs w:val="24"/>
        </w:rPr>
        <w:t>Provide an estimate of the total annual cost burden to respondents or recordkeepers resulting from the collection of information. (Do not include the cost of any hour burden already reflected on the burden worksheet shown in Items 12 and 14).</w:t>
      </w:r>
    </w:p>
    <w:p w:rsidR="001C3322" w:rsidRPr="006C7FAE" w:rsidP="001C3322" w14:paraId="1B8D76EB" w14:textId="77777777">
      <w:pPr>
        <w:tabs>
          <w:tab w:val="left" w:pos="360"/>
        </w:tabs>
        <w:ind w:left="360" w:hanging="360"/>
        <w:rPr>
          <w:sz w:val="24"/>
          <w:szCs w:val="24"/>
        </w:rPr>
      </w:pPr>
      <w:r w:rsidRPr="006C7FAE">
        <w:rPr>
          <w:sz w:val="24"/>
          <w:szCs w:val="24"/>
        </w:rPr>
        <w:t xml:space="preserve"> </w:t>
      </w:r>
    </w:p>
    <w:p w:rsidR="001C3322" w:rsidRPr="00467B95" w:rsidP="001C3322" w14:paraId="1D17CB8C" w14:textId="77777777">
      <w:pPr>
        <w:pStyle w:val="BodyText2"/>
        <w:tabs>
          <w:tab w:val="left" w:pos="0"/>
        </w:tabs>
        <w:spacing w:after="0" w:line="240" w:lineRule="auto"/>
        <w:ind w:firstLine="360"/>
        <w:rPr>
          <w:sz w:val="24"/>
          <w:szCs w:val="24"/>
        </w:rPr>
      </w:pPr>
      <w:r w:rsidRPr="00467B95">
        <w:rPr>
          <w:sz w:val="24"/>
          <w:szCs w:val="24"/>
        </w:rPr>
        <w:t>There are no additional costs to respondents.</w:t>
      </w:r>
    </w:p>
    <w:p w:rsidR="001C3322" w:rsidRPr="006C7FAE" w:rsidP="001C3322" w14:paraId="34E879D9" w14:textId="77777777">
      <w:pPr>
        <w:keepLines/>
        <w:tabs>
          <w:tab w:val="left" w:pos="360"/>
        </w:tabs>
        <w:spacing w:after="80"/>
        <w:rPr>
          <w:sz w:val="24"/>
          <w:szCs w:val="24"/>
        </w:rPr>
      </w:pPr>
    </w:p>
    <w:p w:rsidR="001C3322" w:rsidP="001C3322" w14:paraId="55975851" w14:textId="77777777">
      <w:pPr>
        <w:keepLines/>
        <w:tabs>
          <w:tab w:val="left" w:pos="360"/>
        </w:tabs>
        <w:spacing w:after="80"/>
        <w:ind w:left="360" w:hanging="360"/>
        <w:rPr>
          <w:b/>
          <w:bCs/>
          <w:sz w:val="24"/>
          <w:szCs w:val="24"/>
        </w:rPr>
      </w:pPr>
      <w:r w:rsidRPr="006C7FAE">
        <w:rPr>
          <w:sz w:val="24"/>
          <w:szCs w:val="24"/>
        </w:rPr>
        <w:t>14.</w:t>
      </w:r>
      <w:r w:rsidRPr="006C7FAE">
        <w:rPr>
          <w:sz w:val="24"/>
          <w:szCs w:val="24"/>
        </w:rPr>
        <w:tab/>
      </w:r>
      <w:r w:rsidRPr="00100057">
        <w:rPr>
          <w:b/>
          <w:bCs/>
          <w:sz w:val="24"/>
          <w:szCs w:val="24"/>
        </w:rPr>
        <w:t>Provide estimates of annualized cost to the Federal government.  Also, provide a description of the method used to estimate cost, which should include quantification of hours, operational expenses (such as equipment, overhead, printing, and support staff), and any other expenses that would not have been incurred without this collection of information.  Agencies also may aggregate cost estimates from Items 12, 13, and 14 in a single table.</w:t>
      </w:r>
      <w:r>
        <w:rPr>
          <w:b/>
          <w:bCs/>
          <w:sz w:val="24"/>
          <w:szCs w:val="24"/>
        </w:rPr>
        <w:t xml:space="preserve"> </w:t>
      </w:r>
    </w:p>
    <w:tbl>
      <w:tblPr>
        <w:tblW w:w="9540" w:type="dxa"/>
        <w:tblInd w:w="439" w:type="dxa"/>
        <w:tblLook w:val="04A0"/>
      </w:tblPr>
      <w:tblGrid>
        <w:gridCol w:w="1467"/>
        <w:gridCol w:w="1306"/>
        <w:gridCol w:w="1127"/>
        <w:gridCol w:w="1132"/>
        <w:gridCol w:w="1017"/>
        <w:gridCol w:w="938"/>
        <w:gridCol w:w="1187"/>
        <w:gridCol w:w="1366"/>
      </w:tblGrid>
      <w:tr w14:paraId="708665C9" w14:textId="77777777" w:rsidTr="0025336C">
        <w:tblPrEx>
          <w:tblW w:w="9540" w:type="dxa"/>
          <w:tblInd w:w="439" w:type="dxa"/>
          <w:tblLook w:val="04A0"/>
        </w:tblPrEx>
        <w:trPr>
          <w:trHeight w:val="690"/>
        </w:trPr>
        <w:tc>
          <w:tcPr>
            <w:tcW w:w="1571" w:type="dxa"/>
            <w:tcBorders>
              <w:top w:val="single" w:sz="8" w:space="0" w:color="auto"/>
              <w:left w:val="single" w:sz="8" w:space="0" w:color="auto"/>
              <w:bottom w:val="single" w:sz="8" w:space="0" w:color="auto"/>
              <w:right w:val="single" w:sz="8" w:space="0" w:color="auto"/>
            </w:tcBorders>
            <w:shd w:val="clear" w:color="000000" w:fill="D8D8D8"/>
            <w:vAlign w:val="center"/>
            <w:hideMark/>
          </w:tcPr>
          <w:p w:rsidR="00845206" w:rsidRPr="00C12C1E" w:rsidP="0025336C" w14:paraId="6D217E8B" w14:textId="77777777">
            <w:pPr>
              <w:overflowPunct/>
              <w:autoSpaceDE/>
              <w:autoSpaceDN/>
              <w:adjustRightInd/>
              <w:jc w:val="center"/>
              <w:textAlignment w:val="auto"/>
              <w:rPr>
                <w:b/>
                <w:bCs/>
                <w:color w:val="000000"/>
              </w:rPr>
            </w:pPr>
            <w:r w:rsidRPr="00C12C1E">
              <w:rPr>
                <w:b/>
                <w:bCs/>
                <w:color w:val="000000"/>
              </w:rPr>
              <w:t>Information Collection</w:t>
            </w:r>
          </w:p>
        </w:tc>
        <w:tc>
          <w:tcPr>
            <w:tcW w:w="1230" w:type="dxa"/>
            <w:tcBorders>
              <w:top w:val="single" w:sz="8" w:space="0" w:color="auto"/>
              <w:left w:val="nil"/>
              <w:bottom w:val="single" w:sz="8" w:space="0" w:color="auto"/>
              <w:right w:val="single" w:sz="8" w:space="0" w:color="auto"/>
            </w:tcBorders>
            <w:shd w:val="clear" w:color="000000" w:fill="D8D8D8"/>
            <w:vAlign w:val="center"/>
            <w:hideMark/>
          </w:tcPr>
          <w:p w:rsidR="00845206" w:rsidRPr="00C12C1E" w:rsidP="0025336C" w14:paraId="39009288" w14:textId="77777777">
            <w:pPr>
              <w:overflowPunct/>
              <w:autoSpaceDE/>
              <w:autoSpaceDN/>
              <w:adjustRightInd/>
              <w:jc w:val="center"/>
              <w:textAlignment w:val="auto"/>
              <w:rPr>
                <w:b/>
                <w:bCs/>
                <w:color w:val="000000"/>
              </w:rPr>
            </w:pPr>
            <w:r w:rsidRPr="00C12C1E">
              <w:rPr>
                <w:b/>
                <w:bCs/>
                <w:color w:val="000000"/>
              </w:rPr>
              <w:t>Number of Respondents</w:t>
            </w:r>
          </w:p>
        </w:tc>
        <w:tc>
          <w:tcPr>
            <w:tcW w:w="1026" w:type="dxa"/>
            <w:tcBorders>
              <w:top w:val="single" w:sz="8" w:space="0" w:color="auto"/>
              <w:left w:val="nil"/>
              <w:bottom w:val="single" w:sz="8" w:space="0" w:color="auto"/>
              <w:right w:val="single" w:sz="8" w:space="0" w:color="auto"/>
            </w:tcBorders>
            <w:shd w:val="clear" w:color="000000" w:fill="D8D8D8"/>
            <w:vAlign w:val="center"/>
            <w:hideMark/>
          </w:tcPr>
          <w:p w:rsidR="00845206" w:rsidRPr="00C12C1E" w:rsidP="0025336C" w14:paraId="660244F2" w14:textId="77777777">
            <w:pPr>
              <w:overflowPunct/>
              <w:autoSpaceDE/>
              <w:autoSpaceDN/>
              <w:adjustRightInd/>
              <w:jc w:val="center"/>
              <w:textAlignment w:val="auto"/>
              <w:rPr>
                <w:b/>
                <w:bCs/>
                <w:color w:val="000000"/>
              </w:rPr>
            </w:pPr>
            <w:r w:rsidRPr="00C12C1E">
              <w:rPr>
                <w:b/>
                <w:bCs/>
                <w:color w:val="000000"/>
              </w:rPr>
              <w:t>Frequency of Response</w:t>
            </w:r>
          </w:p>
        </w:tc>
        <w:tc>
          <w:tcPr>
            <w:tcW w:w="1161" w:type="dxa"/>
            <w:tcBorders>
              <w:top w:val="single" w:sz="8" w:space="0" w:color="auto"/>
              <w:left w:val="nil"/>
              <w:bottom w:val="single" w:sz="8" w:space="0" w:color="auto"/>
              <w:right w:val="single" w:sz="8" w:space="0" w:color="auto"/>
            </w:tcBorders>
            <w:shd w:val="clear" w:color="000000" w:fill="D8D8D8"/>
            <w:vAlign w:val="center"/>
            <w:hideMark/>
          </w:tcPr>
          <w:p w:rsidR="00845206" w:rsidRPr="00C12C1E" w:rsidP="0025336C" w14:paraId="001BD415" w14:textId="77777777">
            <w:pPr>
              <w:overflowPunct/>
              <w:autoSpaceDE/>
              <w:autoSpaceDN/>
              <w:adjustRightInd/>
              <w:jc w:val="center"/>
              <w:textAlignment w:val="auto"/>
              <w:rPr>
                <w:b/>
                <w:bCs/>
                <w:color w:val="000000"/>
              </w:rPr>
            </w:pPr>
            <w:r w:rsidRPr="00C12C1E">
              <w:rPr>
                <w:b/>
                <w:bCs/>
                <w:color w:val="000000"/>
              </w:rPr>
              <w:t>Responses Per Annum</w:t>
            </w:r>
          </w:p>
        </w:tc>
        <w:tc>
          <w:tcPr>
            <w:tcW w:w="981" w:type="dxa"/>
            <w:tcBorders>
              <w:top w:val="single" w:sz="8" w:space="0" w:color="auto"/>
              <w:left w:val="nil"/>
              <w:bottom w:val="single" w:sz="8" w:space="0" w:color="auto"/>
              <w:right w:val="single" w:sz="8" w:space="0" w:color="auto"/>
            </w:tcBorders>
            <w:shd w:val="clear" w:color="000000" w:fill="D8D8D8"/>
            <w:vAlign w:val="center"/>
            <w:hideMark/>
          </w:tcPr>
          <w:p w:rsidR="00845206" w:rsidRPr="00C12C1E" w:rsidP="0025336C" w14:paraId="46A3C6C7" w14:textId="77777777">
            <w:pPr>
              <w:overflowPunct/>
              <w:autoSpaceDE/>
              <w:autoSpaceDN/>
              <w:adjustRightInd/>
              <w:jc w:val="center"/>
              <w:textAlignment w:val="auto"/>
              <w:rPr>
                <w:b/>
                <w:bCs/>
                <w:color w:val="000000"/>
              </w:rPr>
            </w:pPr>
            <w:r w:rsidRPr="00C12C1E">
              <w:rPr>
                <w:b/>
                <w:bCs/>
                <w:color w:val="000000"/>
              </w:rPr>
              <w:t>Burden Hours Per Response</w:t>
            </w:r>
          </w:p>
        </w:tc>
        <w:tc>
          <w:tcPr>
            <w:tcW w:w="996" w:type="dxa"/>
            <w:tcBorders>
              <w:top w:val="single" w:sz="8" w:space="0" w:color="auto"/>
              <w:left w:val="nil"/>
              <w:bottom w:val="single" w:sz="8" w:space="0" w:color="auto"/>
              <w:right w:val="single" w:sz="8" w:space="0" w:color="auto"/>
            </w:tcBorders>
            <w:shd w:val="clear" w:color="000000" w:fill="D8D8D8"/>
            <w:vAlign w:val="center"/>
            <w:hideMark/>
          </w:tcPr>
          <w:p w:rsidR="00845206" w:rsidRPr="00C12C1E" w:rsidP="0025336C" w14:paraId="140D8D06" w14:textId="77777777">
            <w:pPr>
              <w:overflowPunct/>
              <w:autoSpaceDE/>
              <w:autoSpaceDN/>
              <w:adjustRightInd/>
              <w:jc w:val="center"/>
              <w:textAlignment w:val="auto"/>
              <w:rPr>
                <w:b/>
                <w:bCs/>
                <w:color w:val="000000"/>
              </w:rPr>
            </w:pPr>
            <w:r w:rsidRPr="00C12C1E">
              <w:rPr>
                <w:b/>
                <w:bCs/>
                <w:color w:val="000000"/>
              </w:rPr>
              <w:t>Annual Burden Hours</w:t>
            </w:r>
          </w:p>
        </w:tc>
        <w:tc>
          <w:tcPr>
            <w:tcW w:w="1240" w:type="dxa"/>
            <w:tcBorders>
              <w:top w:val="single" w:sz="8" w:space="0" w:color="auto"/>
              <w:left w:val="nil"/>
              <w:bottom w:val="single" w:sz="8" w:space="0" w:color="auto"/>
              <w:right w:val="single" w:sz="8" w:space="0" w:color="auto"/>
            </w:tcBorders>
            <w:shd w:val="clear" w:color="000000" w:fill="D8D8D8"/>
            <w:vAlign w:val="center"/>
            <w:hideMark/>
          </w:tcPr>
          <w:p w:rsidR="00845206" w:rsidRPr="00C12C1E" w:rsidP="0025336C" w14:paraId="66E7E10A" w14:textId="77777777">
            <w:pPr>
              <w:overflowPunct/>
              <w:autoSpaceDE/>
              <w:autoSpaceDN/>
              <w:adjustRightInd/>
              <w:jc w:val="center"/>
              <w:textAlignment w:val="auto"/>
              <w:rPr>
                <w:b/>
                <w:bCs/>
                <w:color w:val="000000"/>
              </w:rPr>
            </w:pPr>
            <w:r w:rsidRPr="00C12C1E">
              <w:rPr>
                <w:b/>
                <w:bCs/>
                <w:color w:val="000000"/>
              </w:rPr>
              <w:t>Hourly Cost Per Response*</w:t>
            </w:r>
          </w:p>
        </w:tc>
        <w:tc>
          <w:tcPr>
            <w:tcW w:w="1335" w:type="dxa"/>
            <w:tcBorders>
              <w:top w:val="single" w:sz="8" w:space="0" w:color="auto"/>
              <w:left w:val="nil"/>
              <w:bottom w:val="single" w:sz="4" w:space="0" w:color="BFBFBF" w:themeColor="background1" w:themeShade="BF"/>
              <w:right w:val="single" w:sz="8" w:space="0" w:color="000000" w:themeColor="text1"/>
            </w:tcBorders>
            <w:shd w:val="clear" w:color="000000" w:fill="D8D8D8"/>
            <w:vAlign w:val="center"/>
            <w:hideMark/>
          </w:tcPr>
          <w:p w:rsidR="00845206" w:rsidRPr="00C12C1E" w:rsidP="0025336C" w14:paraId="68B12FDF" w14:textId="77777777">
            <w:pPr>
              <w:overflowPunct/>
              <w:autoSpaceDE/>
              <w:autoSpaceDN/>
              <w:adjustRightInd/>
              <w:jc w:val="center"/>
              <w:textAlignment w:val="auto"/>
              <w:rPr>
                <w:b/>
                <w:bCs/>
                <w:color w:val="000000"/>
              </w:rPr>
            </w:pPr>
            <w:r w:rsidRPr="00C12C1E">
              <w:rPr>
                <w:b/>
                <w:bCs/>
                <w:color w:val="000000"/>
              </w:rPr>
              <w:t>Annual Cost</w:t>
            </w:r>
          </w:p>
        </w:tc>
      </w:tr>
      <w:tr w14:paraId="2085FADB" w14:textId="77777777" w:rsidTr="0025336C">
        <w:tblPrEx>
          <w:tblW w:w="9540" w:type="dxa"/>
          <w:tblInd w:w="439" w:type="dxa"/>
          <w:tblLook w:val="04A0"/>
        </w:tblPrEx>
        <w:trPr>
          <w:trHeight w:val="315"/>
        </w:trPr>
        <w:tc>
          <w:tcPr>
            <w:tcW w:w="1571" w:type="dxa"/>
            <w:tcBorders>
              <w:top w:val="nil"/>
              <w:left w:val="single" w:sz="8" w:space="0" w:color="auto"/>
              <w:bottom w:val="single" w:sz="8" w:space="0" w:color="D8D8D8"/>
              <w:right w:val="single" w:sz="8" w:space="0" w:color="D8D8D8"/>
            </w:tcBorders>
            <w:hideMark/>
          </w:tcPr>
          <w:p w:rsidR="00845206" w:rsidRPr="00C12C1E" w:rsidP="0025336C" w14:paraId="6EFBBFCF" w14:textId="77777777">
            <w:pPr>
              <w:overflowPunct/>
              <w:autoSpaceDE/>
              <w:autoSpaceDN/>
              <w:adjustRightInd/>
              <w:textAlignment w:val="auto"/>
              <w:rPr>
                <w:color w:val="000000"/>
              </w:rPr>
            </w:pPr>
            <w:r w:rsidRPr="00C12C1E">
              <w:rPr>
                <w:color w:val="000000" w:themeColor="text1"/>
              </w:rPr>
              <w:t>Core Activity</w:t>
            </w:r>
          </w:p>
        </w:tc>
        <w:tc>
          <w:tcPr>
            <w:tcW w:w="1230" w:type="dxa"/>
            <w:tcBorders>
              <w:top w:val="nil"/>
              <w:left w:val="nil"/>
              <w:bottom w:val="single" w:sz="8" w:space="0" w:color="D8D8D8"/>
              <w:right w:val="single" w:sz="8" w:space="0" w:color="D8D8D8"/>
            </w:tcBorders>
            <w:hideMark/>
          </w:tcPr>
          <w:p w:rsidR="00845206" w:rsidRPr="00C12C1E" w:rsidP="0025336C" w14:paraId="4AFA68B3" w14:textId="77777777">
            <w:pPr>
              <w:overflowPunct/>
              <w:autoSpaceDE/>
              <w:autoSpaceDN/>
              <w:adjustRightInd/>
              <w:jc w:val="right"/>
              <w:textAlignment w:val="auto"/>
              <w:rPr>
                <w:color w:val="000000"/>
              </w:rPr>
            </w:pPr>
            <w:r w:rsidRPr="00C12C1E">
              <w:rPr>
                <w:color w:val="000000"/>
              </w:rPr>
              <w:t>2,800</w:t>
            </w:r>
          </w:p>
        </w:tc>
        <w:tc>
          <w:tcPr>
            <w:tcW w:w="1026" w:type="dxa"/>
            <w:tcBorders>
              <w:top w:val="nil"/>
              <w:left w:val="nil"/>
              <w:bottom w:val="single" w:sz="8" w:space="0" w:color="D8D8D8"/>
              <w:right w:val="single" w:sz="8" w:space="0" w:color="D8D8D8"/>
            </w:tcBorders>
            <w:hideMark/>
          </w:tcPr>
          <w:p w:rsidR="00845206" w:rsidRPr="00C12C1E" w:rsidP="0025336C" w14:paraId="038F88A7"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845206" w:rsidRPr="00C12C1E" w:rsidP="0025336C" w14:paraId="347A182E" w14:textId="77777777">
            <w:pPr>
              <w:overflowPunct/>
              <w:autoSpaceDE/>
              <w:autoSpaceDN/>
              <w:adjustRightInd/>
              <w:jc w:val="right"/>
              <w:textAlignment w:val="auto"/>
              <w:rPr>
                <w:color w:val="000000"/>
              </w:rPr>
            </w:pPr>
            <w:r w:rsidRPr="00C12C1E">
              <w:rPr>
                <w:color w:val="000000"/>
              </w:rPr>
              <w:t>2,800</w:t>
            </w:r>
          </w:p>
        </w:tc>
        <w:tc>
          <w:tcPr>
            <w:tcW w:w="981" w:type="dxa"/>
            <w:tcBorders>
              <w:top w:val="nil"/>
              <w:left w:val="nil"/>
              <w:bottom w:val="single" w:sz="8" w:space="0" w:color="D8D8D8"/>
              <w:right w:val="single" w:sz="8" w:space="0" w:color="D8D8D8"/>
            </w:tcBorders>
            <w:hideMark/>
          </w:tcPr>
          <w:p w:rsidR="00845206" w:rsidRPr="00C12C1E" w:rsidP="0025336C" w14:paraId="4AFE6850" w14:textId="77777777">
            <w:pPr>
              <w:overflowPunct/>
              <w:autoSpaceDE/>
              <w:autoSpaceDN/>
              <w:adjustRightInd/>
              <w:jc w:val="right"/>
              <w:textAlignment w:val="auto"/>
              <w:rPr>
                <w:color w:val="000000"/>
              </w:rPr>
            </w:pPr>
            <w:r w:rsidRPr="00C12C1E">
              <w:rPr>
                <w:color w:val="000000"/>
              </w:rPr>
              <w:t>1</w:t>
            </w:r>
          </w:p>
        </w:tc>
        <w:tc>
          <w:tcPr>
            <w:tcW w:w="996" w:type="dxa"/>
            <w:tcBorders>
              <w:top w:val="nil"/>
              <w:left w:val="nil"/>
              <w:bottom w:val="single" w:sz="8" w:space="0" w:color="D8D8D8"/>
              <w:right w:val="single" w:sz="8" w:space="0" w:color="D8D8D8"/>
            </w:tcBorders>
            <w:hideMark/>
          </w:tcPr>
          <w:p w:rsidR="00845206" w:rsidRPr="00C12C1E" w:rsidP="0025336C" w14:paraId="1CF4A978" w14:textId="77777777">
            <w:pPr>
              <w:overflowPunct/>
              <w:autoSpaceDE/>
              <w:autoSpaceDN/>
              <w:adjustRightInd/>
              <w:jc w:val="right"/>
              <w:textAlignment w:val="auto"/>
              <w:rPr>
                <w:color w:val="000000"/>
              </w:rPr>
            </w:pPr>
            <w:r w:rsidRPr="00C12C1E">
              <w:rPr>
                <w:color w:val="000000"/>
              </w:rPr>
              <w:t>2,800</w:t>
            </w:r>
          </w:p>
        </w:tc>
        <w:tc>
          <w:tcPr>
            <w:tcW w:w="1240" w:type="dxa"/>
            <w:tcBorders>
              <w:top w:val="nil"/>
              <w:left w:val="nil"/>
              <w:bottom w:val="single" w:sz="8" w:space="0" w:color="D8D8D8"/>
              <w:right w:val="single" w:sz="4" w:space="0" w:color="BFBFBF" w:themeColor="background1" w:themeShade="BF"/>
            </w:tcBorders>
            <w:hideMark/>
          </w:tcPr>
          <w:p w:rsidR="00845206" w:rsidRPr="00C12C1E" w:rsidP="0025336C" w14:paraId="7116235A" w14:textId="27E72160">
            <w:pPr>
              <w:overflowPunct/>
              <w:autoSpaceDE/>
              <w:autoSpaceDN/>
              <w:adjustRightInd/>
              <w:jc w:val="right"/>
              <w:textAlignment w:val="auto"/>
              <w:rPr>
                <w:color w:val="000000"/>
              </w:rPr>
            </w:pPr>
            <w:r w:rsidRPr="00166399">
              <w:rPr>
                <w:color w:val="000000"/>
              </w:rPr>
              <w:t>$58.35</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845206" w:rsidRPr="00C12C1E" w:rsidP="0025336C" w14:paraId="79572DD3" w14:textId="0E428F22">
            <w:pPr>
              <w:overflowPunct/>
              <w:autoSpaceDE/>
              <w:autoSpaceDN/>
              <w:adjustRightInd/>
              <w:jc w:val="right"/>
              <w:textAlignment w:val="auto"/>
              <w:rPr>
                <w:color w:val="000000"/>
              </w:rPr>
            </w:pPr>
            <w:r w:rsidRPr="00166399">
              <w:rPr>
                <w:color w:val="000000" w:themeColor="text1"/>
              </w:rPr>
              <w:t>$163,380.00</w:t>
            </w:r>
          </w:p>
        </w:tc>
      </w:tr>
      <w:tr w14:paraId="1B131B4C" w14:textId="77777777" w:rsidTr="0025336C">
        <w:tblPrEx>
          <w:tblW w:w="9540" w:type="dxa"/>
          <w:tblInd w:w="439" w:type="dxa"/>
          <w:tblLook w:val="04A0"/>
        </w:tblPrEx>
        <w:trPr>
          <w:trHeight w:val="1035"/>
        </w:trPr>
        <w:tc>
          <w:tcPr>
            <w:tcW w:w="1571" w:type="dxa"/>
            <w:tcBorders>
              <w:top w:val="nil"/>
              <w:left w:val="single" w:sz="8" w:space="0" w:color="auto"/>
              <w:bottom w:val="single" w:sz="8" w:space="0" w:color="D8D8D8"/>
              <w:right w:val="single" w:sz="8" w:space="0" w:color="D8D8D8"/>
            </w:tcBorders>
            <w:hideMark/>
          </w:tcPr>
          <w:p w:rsidR="00845206" w:rsidRPr="00C12C1E" w:rsidP="0025336C" w14:paraId="4EF55922" w14:textId="77777777">
            <w:pPr>
              <w:overflowPunct/>
              <w:autoSpaceDE/>
              <w:autoSpaceDN/>
              <w:adjustRightInd/>
              <w:textAlignment w:val="auto"/>
              <w:rPr>
                <w:color w:val="000000"/>
              </w:rPr>
            </w:pPr>
            <w:r w:rsidRPr="00C12C1E">
              <w:rPr>
                <w:color w:val="000000"/>
              </w:rPr>
              <w:t>5-Yr Plan (including Utility Conservation Measures)  </w:t>
            </w:r>
          </w:p>
        </w:tc>
        <w:tc>
          <w:tcPr>
            <w:tcW w:w="1230" w:type="dxa"/>
            <w:tcBorders>
              <w:top w:val="nil"/>
              <w:left w:val="nil"/>
              <w:bottom w:val="single" w:sz="8" w:space="0" w:color="D8D8D8"/>
              <w:right w:val="single" w:sz="8" w:space="0" w:color="D8D8D8"/>
            </w:tcBorders>
            <w:hideMark/>
          </w:tcPr>
          <w:p w:rsidR="00845206" w:rsidRPr="00C12C1E" w:rsidP="0025336C" w14:paraId="35694252" w14:textId="3BDCE2CA">
            <w:pPr>
              <w:overflowPunct/>
              <w:autoSpaceDE/>
              <w:autoSpaceDN/>
              <w:adjustRightInd/>
              <w:jc w:val="right"/>
              <w:textAlignment w:val="auto"/>
              <w:rPr>
                <w:color w:val="000000"/>
              </w:rPr>
            </w:pPr>
            <w:r w:rsidRPr="00C12C1E">
              <w:rPr>
                <w:color w:val="000000"/>
              </w:rPr>
              <w:t>2</w:t>
            </w:r>
            <w:r w:rsidR="00D0787F">
              <w:rPr>
                <w:color w:val="000000"/>
              </w:rPr>
              <w:t>,</w:t>
            </w:r>
            <w:r w:rsidRPr="00C12C1E">
              <w:rPr>
                <w:color w:val="000000"/>
              </w:rPr>
              <w:t>000</w:t>
            </w:r>
          </w:p>
        </w:tc>
        <w:tc>
          <w:tcPr>
            <w:tcW w:w="1026" w:type="dxa"/>
            <w:tcBorders>
              <w:top w:val="nil"/>
              <w:left w:val="nil"/>
              <w:bottom w:val="single" w:sz="8" w:space="0" w:color="D8D8D8"/>
              <w:right w:val="single" w:sz="8" w:space="0" w:color="D8D8D8"/>
            </w:tcBorders>
            <w:hideMark/>
          </w:tcPr>
          <w:p w:rsidR="00845206" w:rsidRPr="00C12C1E" w:rsidP="0025336C" w14:paraId="22221CE2"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845206" w:rsidRPr="00C12C1E" w:rsidP="0025336C" w14:paraId="11BABC75" w14:textId="77777777">
            <w:pPr>
              <w:overflowPunct/>
              <w:autoSpaceDE/>
              <w:autoSpaceDN/>
              <w:adjustRightInd/>
              <w:jc w:val="right"/>
              <w:textAlignment w:val="auto"/>
              <w:rPr>
                <w:color w:val="000000"/>
              </w:rPr>
            </w:pPr>
            <w:r w:rsidRPr="00C12C1E">
              <w:rPr>
                <w:color w:val="000000"/>
              </w:rPr>
              <w:t>2,000</w:t>
            </w:r>
          </w:p>
        </w:tc>
        <w:tc>
          <w:tcPr>
            <w:tcW w:w="981" w:type="dxa"/>
            <w:tcBorders>
              <w:top w:val="nil"/>
              <w:left w:val="nil"/>
              <w:bottom w:val="single" w:sz="8" w:space="0" w:color="D8D8D8"/>
              <w:right w:val="single" w:sz="8" w:space="0" w:color="D8D8D8"/>
            </w:tcBorders>
            <w:hideMark/>
          </w:tcPr>
          <w:p w:rsidR="00845206" w:rsidRPr="00C12C1E" w:rsidP="0025336C" w14:paraId="43DC8A61" w14:textId="77777777">
            <w:pPr>
              <w:overflowPunct/>
              <w:autoSpaceDE/>
              <w:autoSpaceDN/>
              <w:adjustRightInd/>
              <w:jc w:val="right"/>
              <w:textAlignment w:val="auto"/>
              <w:rPr>
                <w:color w:val="000000"/>
              </w:rPr>
            </w:pPr>
            <w:r w:rsidRPr="00C12C1E">
              <w:rPr>
                <w:color w:val="000000"/>
              </w:rPr>
              <w:t>2</w:t>
            </w:r>
          </w:p>
        </w:tc>
        <w:tc>
          <w:tcPr>
            <w:tcW w:w="996" w:type="dxa"/>
            <w:tcBorders>
              <w:top w:val="nil"/>
              <w:left w:val="nil"/>
              <w:bottom w:val="single" w:sz="8" w:space="0" w:color="D8D8D8"/>
              <w:right w:val="single" w:sz="8" w:space="0" w:color="D8D8D8"/>
            </w:tcBorders>
            <w:hideMark/>
          </w:tcPr>
          <w:p w:rsidR="00845206" w:rsidRPr="00C12C1E" w:rsidP="0025336C" w14:paraId="7EB575B7" w14:textId="77777777">
            <w:pPr>
              <w:overflowPunct/>
              <w:autoSpaceDE/>
              <w:autoSpaceDN/>
              <w:adjustRightInd/>
              <w:jc w:val="right"/>
              <w:textAlignment w:val="auto"/>
              <w:rPr>
                <w:color w:val="000000"/>
              </w:rPr>
            </w:pPr>
            <w:r w:rsidRPr="00C12C1E">
              <w:rPr>
                <w:color w:val="000000"/>
              </w:rPr>
              <w:t>4,000</w:t>
            </w:r>
          </w:p>
        </w:tc>
        <w:tc>
          <w:tcPr>
            <w:tcW w:w="1240" w:type="dxa"/>
            <w:tcBorders>
              <w:top w:val="nil"/>
              <w:left w:val="nil"/>
              <w:bottom w:val="single" w:sz="8" w:space="0" w:color="D8D8D8"/>
              <w:right w:val="single" w:sz="4" w:space="0" w:color="BFBFBF" w:themeColor="background1" w:themeShade="BF"/>
            </w:tcBorders>
            <w:hideMark/>
          </w:tcPr>
          <w:p w:rsidR="00845206" w:rsidRPr="00C12C1E" w:rsidP="0025336C" w14:paraId="1271DC74" w14:textId="30E7DB0B">
            <w:pPr>
              <w:overflowPunct/>
              <w:autoSpaceDE/>
              <w:autoSpaceDN/>
              <w:adjustRightInd/>
              <w:jc w:val="right"/>
              <w:textAlignment w:val="auto"/>
              <w:rPr>
                <w:color w:val="000000"/>
              </w:rPr>
            </w:pPr>
            <w:r w:rsidRPr="00166399">
              <w:rPr>
                <w:color w:val="000000"/>
              </w:rPr>
              <w:t>$58.35</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845206" w:rsidRPr="00C12C1E" w:rsidP="0025336C" w14:paraId="35230211" w14:textId="5E01E329">
            <w:pPr>
              <w:overflowPunct/>
              <w:autoSpaceDE/>
              <w:autoSpaceDN/>
              <w:adjustRightInd/>
              <w:jc w:val="right"/>
              <w:textAlignment w:val="auto"/>
              <w:rPr>
                <w:color w:val="000000"/>
              </w:rPr>
            </w:pPr>
            <w:r w:rsidRPr="00166399">
              <w:rPr>
                <w:color w:val="000000"/>
              </w:rPr>
              <w:t>$233,400.00</w:t>
            </w:r>
          </w:p>
        </w:tc>
      </w:tr>
      <w:tr w14:paraId="1218D876" w14:textId="77777777" w:rsidTr="0025336C">
        <w:tblPrEx>
          <w:tblW w:w="9540" w:type="dxa"/>
          <w:tblInd w:w="439" w:type="dxa"/>
          <w:tblLook w:val="04A0"/>
        </w:tblPrEx>
        <w:trPr>
          <w:trHeight w:val="525"/>
        </w:trPr>
        <w:tc>
          <w:tcPr>
            <w:tcW w:w="1571" w:type="dxa"/>
            <w:tcBorders>
              <w:top w:val="nil"/>
              <w:left w:val="single" w:sz="8" w:space="0" w:color="auto"/>
              <w:bottom w:val="single" w:sz="8" w:space="0" w:color="D8D8D8"/>
              <w:right w:val="single" w:sz="8" w:space="0" w:color="D8D8D8"/>
            </w:tcBorders>
            <w:hideMark/>
          </w:tcPr>
          <w:p w:rsidR="00845206" w:rsidRPr="00C12C1E" w:rsidP="0025336C" w14:paraId="470AF346" w14:textId="77777777">
            <w:pPr>
              <w:overflowPunct/>
              <w:autoSpaceDE/>
              <w:autoSpaceDN/>
              <w:adjustRightInd/>
              <w:textAlignment w:val="auto"/>
              <w:rPr>
                <w:color w:val="000000"/>
              </w:rPr>
            </w:pPr>
            <w:r w:rsidRPr="00C12C1E">
              <w:rPr>
                <w:color w:val="000000"/>
              </w:rPr>
              <w:t xml:space="preserve">Annual </w:t>
            </w:r>
            <w:r w:rsidRPr="00C12C1E">
              <w:rPr>
                <w:color w:val="000000"/>
              </w:rPr>
              <w:t>Stmt</w:t>
            </w:r>
            <w:r w:rsidRPr="00C12C1E">
              <w:rPr>
                <w:color w:val="000000"/>
              </w:rPr>
              <w:t>/Budget  </w:t>
            </w:r>
          </w:p>
        </w:tc>
        <w:tc>
          <w:tcPr>
            <w:tcW w:w="1230" w:type="dxa"/>
            <w:tcBorders>
              <w:top w:val="nil"/>
              <w:left w:val="nil"/>
              <w:bottom w:val="single" w:sz="8" w:space="0" w:color="D8D8D8"/>
              <w:right w:val="single" w:sz="8" w:space="0" w:color="D8D8D8"/>
            </w:tcBorders>
            <w:hideMark/>
          </w:tcPr>
          <w:p w:rsidR="00845206" w:rsidRPr="00C12C1E" w:rsidP="0025336C" w14:paraId="0A2394E8" w14:textId="77777777">
            <w:pPr>
              <w:overflowPunct/>
              <w:autoSpaceDE/>
              <w:autoSpaceDN/>
              <w:adjustRightInd/>
              <w:jc w:val="right"/>
              <w:textAlignment w:val="auto"/>
              <w:rPr>
                <w:color w:val="000000"/>
              </w:rPr>
            </w:pPr>
            <w:r w:rsidRPr="00C12C1E">
              <w:rPr>
                <w:color w:val="000000"/>
              </w:rPr>
              <w:t>2,800 </w:t>
            </w:r>
          </w:p>
        </w:tc>
        <w:tc>
          <w:tcPr>
            <w:tcW w:w="1026" w:type="dxa"/>
            <w:tcBorders>
              <w:top w:val="nil"/>
              <w:left w:val="nil"/>
              <w:bottom w:val="single" w:sz="8" w:space="0" w:color="D8D8D8"/>
              <w:right w:val="single" w:sz="8" w:space="0" w:color="D8D8D8"/>
            </w:tcBorders>
            <w:hideMark/>
          </w:tcPr>
          <w:p w:rsidR="00845206" w:rsidRPr="00C12C1E" w:rsidP="0025336C" w14:paraId="12143EE8" w14:textId="77777777">
            <w:pPr>
              <w:overflowPunct/>
              <w:autoSpaceDE/>
              <w:autoSpaceDN/>
              <w:adjustRightInd/>
              <w:jc w:val="right"/>
              <w:textAlignment w:val="auto"/>
              <w:rPr>
                <w:color w:val="000000"/>
              </w:rPr>
            </w:pPr>
            <w:r w:rsidRPr="00C12C1E">
              <w:rPr>
                <w:color w:val="000000"/>
              </w:rPr>
              <w:t>3</w:t>
            </w:r>
          </w:p>
        </w:tc>
        <w:tc>
          <w:tcPr>
            <w:tcW w:w="1161" w:type="dxa"/>
            <w:tcBorders>
              <w:top w:val="nil"/>
              <w:left w:val="nil"/>
              <w:bottom w:val="single" w:sz="8" w:space="0" w:color="D8D8D8"/>
              <w:right w:val="single" w:sz="8" w:space="0" w:color="D8D8D8"/>
            </w:tcBorders>
            <w:hideMark/>
          </w:tcPr>
          <w:p w:rsidR="00845206" w:rsidRPr="00C12C1E" w:rsidP="0025336C" w14:paraId="2DBE0DB8" w14:textId="77777777">
            <w:pPr>
              <w:overflowPunct/>
              <w:autoSpaceDE/>
              <w:autoSpaceDN/>
              <w:adjustRightInd/>
              <w:jc w:val="right"/>
              <w:textAlignment w:val="auto"/>
              <w:rPr>
                <w:color w:val="000000"/>
              </w:rPr>
            </w:pPr>
            <w:r w:rsidRPr="00C12C1E">
              <w:rPr>
                <w:color w:val="000000"/>
              </w:rPr>
              <w:t>8,400</w:t>
            </w:r>
          </w:p>
        </w:tc>
        <w:tc>
          <w:tcPr>
            <w:tcW w:w="981" w:type="dxa"/>
            <w:tcBorders>
              <w:top w:val="nil"/>
              <w:left w:val="nil"/>
              <w:bottom w:val="single" w:sz="8" w:space="0" w:color="D8D8D8"/>
              <w:right w:val="single" w:sz="8" w:space="0" w:color="D8D8D8"/>
            </w:tcBorders>
            <w:hideMark/>
          </w:tcPr>
          <w:p w:rsidR="00845206" w:rsidRPr="00C12C1E" w:rsidP="0025336C" w14:paraId="6F211199" w14:textId="77777777">
            <w:pPr>
              <w:overflowPunct/>
              <w:autoSpaceDE/>
              <w:autoSpaceDN/>
              <w:adjustRightInd/>
              <w:jc w:val="right"/>
              <w:textAlignment w:val="auto"/>
              <w:rPr>
                <w:color w:val="000000"/>
              </w:rPr>
            </w:pPr>
            <w:r w:rsidRPr="00C12C1E">
              <w:rPr>
                <w:color w:val="000000"/>
              </w:rPr>
              <w:t>1</w:t>
            </w:r>
          </w:p>
        </w:tc>
        <w:tc>
          <w:tcPr>
            <w:tcW w:w="996" w:type="dxa"/>
            <w:tcBorders>
              <w:top w:val="nil"/>
              <w:left w:val="nil"/>
              <w:bottom w:val="single" w:sz="8" w:space="0" w:color="D8D8D8"/>
              <w:right w:val="single" w:sz="8" w:space="0" w:color="D8D8D8"/>
            </w:tcBorders>
            <w:hideMark/>
          </w:tcPr>
          <w:p w:rsidR="00845206" w:rsidRPr="00C12C1E" w:rsidP="0025336C" w14:paraId="62AD1EE7" w14:textId="64E1DAE0">
            <w:pPr>
              <w:overflowPunct/>
              <w:autoSpaceDE/>
              <w:autoSpaceDN/>
              <w:adjustRightInd/>
              <w:jc w:val="right"/>
              <w:textAlignment w:val="auto"/>
              <w:rPr>
                <w:color w:val="000000"/>
              </w:rPr>
            </w:pPr>
            <w:r>
              <w:rPr>
                <w:color w:val="000000"/>
              </w:rPr>
              <w:t>8,4</w:t>
            </w:r>
            <w:r w:rsidRPr="00C12C1E">
              <w:rPr>
                <w:color w:val="000000"/>
              </w:rPr>
              <w:t>00</w:t>
            </w:r>
          </w:p>
        </w:tc>
        <w:tc>
          <w:tcPr>
            <w:tcW w:w="1240" w:type="dxa"/>
            <w:tcBorders>
              <w:top w:val="nil"/>
              <w:left w:val="nil"/>
              <w:bottom w:val="single" w:sz="8" w:space="0" w:color="D8D8D8"/>
              <w:right w:val="single" w:sz="4" w:space="0" w:color="BFBFBF" w:themeColor="background1" w:themeShade="BF"/>
            </w:tcBorders>
            <w:hideMark/>
          </w:tcPr>
          <w:p w:rsidR="00845206" w:rsidRPr="00C12C1E" w:rsidP="0025336C" w14:paraId="26877BBB" w14:textId="51625ABC">
            <w:pPr>
              <w:overflowPunct/>
              <w:autoSpaceDE/>
              <w:autoSpaceDN/>
              <w:adjustRightInd/>
              <w:jc w:val="right"/>
              <w:textAlignment w:val="auto"/>
              <w:rPr>
                <w:color w:val="000000"/>
              </w:rPr>
            </w:pPr>
            <w:r w:rsidRPr="00166399">
              <w:rPr>
                <w:color w:val="000000"/>
              </w:rPr>
              <w:t>$58.35</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845206" w:rsidRPr="00C12C1E" w:rsidP="0025336C" w14:paraId="36A2796B" w14:textId="7A821123">
            <w:pPr>
              <w:overflowPunct/>
              <w:autoSpaceDE/>
              <w:autoSpaceDN/>
              <w:adjustRightInd/>
              <w:jc w:val="right"/>
              <w:textAlignment w:val="auto"/>
              <w:rPr>
                <w:color w:val="000000"/>
              </w:rPr>
            </w:pPr>
            <w:r w:rsidRPr="00166399">
              <w:rPr>
                <w:color w:val="000000"/>
              </w:rPr>
              <w:t>$490,140.00</w:t>
            </w:r>
          </w:p>
        </w:tc>
      </w:tr>
      <w:tr w14:paraId="3E3BB55F" w14:textId="77777777" w:rsidTr="0025336C">
        <w:tblPrEx>
          <w:tblW w:w="9540" w:type="dxa"/>
          <w:tblInd w:w="439" w:type="dxa"/>
          <w:tblLook w:val="04A0"/>
        </w:tblPrEx>
        <w:trPr>
          <w:trHeight w:val="315"/>
        </w:trPr>
        <w:tc>
          <w:tcPr>
            <w:tcW w:w="1571" w:type="dxa"/>
            <w:tcBorders>
              <w:top w:val="nil"/>
              <w:left w:val="single" w:sz="8" w:space="0" w:color="auto"/>
              <w:bottom w:val="single" w:sz="8" w:space="0" w:color="D8D8D8"/>
              <w:right w:val="single" w:sz="8" w:space="0" w:color="D8D8D8"/>
            </w:tcBorders>
            <w:hideMark/>
          </w:tcPr>
          <w:p w:rsidR="00845206" w:rsidRPr="00C12C1E" w:rsidP="0025336C" w14:paraId="5E34F17F" w14:textId="77777777">
            <w:pPr>
              <w:overflowPunct/>
              <w:autoSpaceDE/>
              <w:autoSpaceDN/>
              <w:adjustRightInd/>
              <w:textAlignment w:val="auto"/>
              <w:rPr>
                <w:color w:val="000000"/>
              </w:rPr>
            </w:pPr>
            <w:r w:rsidRPr="00C12C1E">
              <w:rPr>
                <w:color w:val="000000"/>
              </w:rPr>
              <w:t>P&amp;E</w:t>
            </w:r>
          </w:p>
        </w:tc>
        <w:tc>
          <w:tcPr>
            <w:tcW w:w="1230" w:type="dxa"/>
            <w:tcBorders>
              <w:top w:val="nil"/>
              <w:left w:val="nil"/>
              <w:bottom w:val="single" w:sz="8" w:space="0" w:color="D8D8D8"/>
              <w:right w:val="single" w:sz="8" w:space="0" w:color="D8D8D8"/>
            </w:tcBorders>
            <w:hideMark/>
          </w:tcPr>
          <w:p w:rsidR="00845206" w:rsidRPr="00C12C1E" w:rsidP="0025336C" w14:paraId="30216BAE" w14:textId="77777777">
            <w:pPr>
              <w:overflowPunct/>
              <w:autoSpaceDE/>
              <w:autoSpaceDN/>
              <w:adjustRightInd/>
              <w:jc w:val="right"/>
              <w:textAlignment w:val="auto"/>
              <w:rPr>
                <w:color w:val="000000"/>
              </w:rPr>
            </w:pPr>
            <w:r w:rsidRPr="00C12C1E">
              <w:rPr>
                <w:color w:val="000000"/>
              </w:rPr>
              <w:t>2,800 </w:t>
            </w:r>
          </w:p>
        </w:tc>
        <w:tc>
          <w:tcPr>
            <w:tcW w:w="1026" w:type="dxa"/>
            <w:tcBorders>
              <w:top w:val="nil"/>
              <w:left w:val="nil"/>
              <w:bottom w:val="single" w:sz="8" w:space="0" w:color="D8D8D8"/>
              <w:right w:val="single" w:sz="8" w:space="0" w:color="D8D8D8"/>
            </w:tcBorders>
            <w:hideMark/>
          </w:tcPr>
          <w:p w:rsidR="00845206" w:rsidRPr="00C12C1E" w:rsidP="0025336C" w14:paraId="0D2CC430" w14:textId="77777777">
            <w:pPr>
              <w:overflowPunct/>
              <w:autoSpaceDE/>
              <w:autoSpaceDN/>
              <w:adjustRightInd/>
              <w:jc w:val="right"/>
              <w:textAlignment w:val="auto"/>
              <w:rPr>
                <w:color w:val="000000"/>
              </w:rPr>
            </w:pPr>
            <w:r w:rsidRPr="00C12C1E">
              <w:rPr>
                <w:color w:val="000000"/>
              </w:rPr>
              <w:t>0.5</w:t>
            </w:r>
          </w:p>
        </w:tc>
        <w:tc>
          <w:tcPr>
            <w:tcW w:w="1161" w:type="dxa"/>
            <w:tcBorders>
              <w:top w:val="nil"/>
              <w:left w:val="nil"/>
              <w:bottom w:val="single" w:sz="8" w:space="0" w:color="D8D8D8"/>
              <w:right w:val="single" w:sz="8" w:space="0" w:color="D8D8D8"/>
            </w:tcBorders>
            <w:hideMark/>
          </w:tcPr>
          <w:p w:rsidR="00845206" w:rsidRPr="00C12C1E" w:rsidP="0025336C" w14:paraId="096F0DFA" w14:textId="77777777">
            <w:pPr>
              <w:overflowPunct/>
              <w:autoSpaceDE/>
              <w:autoSpaceDN/>
              <w:adjustRightInd/>
              <w:jc w:val="right"/>
              <w:textAlignment w:val="auto"/>
              <w:rPr>
                <w:color w:val="000000"/>
              </w:rPr>
            </w:pPr>
            <w:r w:rsidRPr="00C12C1E">
              <w:rPr>
                <w:color w:val="000000"/>
              </w:rPr>
              <w:t>1,400</w:t>
            </w:r>
          </w:p>
        </w:tc>
        <w:tc>
          <w:tcPr>
            <w:tcW w:w="981" w:type="dxa"/>
            <w:tcBorders>
              <w:top w:val="nil"/>
              <w:left w:val="nil"/>
              <w:bottom w:val="single" w:sz="8" w:space="0" w:color="D8D8D8"/>
              <w:right w:val="single" w:sz="8" w:space="0" w:color="D8D8D8"/>
            </w:tcBorders>
            <w:hideMark/>
          </w:tcPr>
          <w:p w:rsidR="00845206" w:rsidRPr="00C12C1E" w:rsidP="0025336C" w14:paraId="0477ED91" w14:textId="77777777">
            <w:pPr>
              <w:overflowPunct/>
              <w:autoSpaceDE/>
              <w:autoSpaceDN/>
              <w:adjustRightInd/>
              <w:jc w:val="right"/>
              <w:textAlignment w:val="auto"/>
              <w:rPr>
                <w:color w:val="000000"/>
              </w:rPr>
            </w:pPr>
            <w:r w:rsidRPr="00C12C1E">
              <w:rPr>
                <w:color w:val="000000"/>
              </w:rPr>
              <w:t>1</w:t>
            </w:r>
          </w:p>
        </w:tc>
        <w:tc>
          <w:tcPr>
            <w:tcW w:w="996" w:type="dxa"/>
            <w:tcBorders>
              <w:top w:val="nil"/>
              <w:left w:val="nil"/>
              <w:bottom w:val="single" w:sz="8" w:space="0" w:color="D8D8D8"/>
              <w:right w:val="single" w:sz="8" w:space="0" w:color="D8D8D8"/>
            </w:tcBorders>
            <w:hideMark/>
          </w:tcPr>
          <w:p w:rsidR="00845206" w:rsidRPr="00C12C1E" w:rsidP="0025336C" w14:paraId="07E17A91" w14:textId="56DE80E6">
            <w:pPr>
              <w:overflowPunct/>
              <w:autoSpaceDE/>
              <w:autoSpaceDN/>
              <w:adjustRightInd/>
              <w:jc w:val="right"/>
              <w:textAlignment w:val="auto"/>
              <w:rPr>
                <w:color w:val="000000"/>
              </w:rPr>
            </w:pPr>
            <w:r>
              <w:rPr>
                <w:color w:val="000000"/>
              </w:rPr>
              <w:t>1</w:t>
            </w:r>
            <w:r w:rsidRPr="00C12C1E">
              <w:rPr>
                <w:color w:val="000000"/>
              </w:rPr>
              <w:t>,</w:t>
            </w:r>
            <w:r>
              <w:rPr>
                <w:color w:val="000000"/>
              </w:rPr>
              <w:t>4</w:t>
            </w:r>
            <w:r w:rsidRPr="00C12C1E">
              <w:rPr>
                <w:color w:val="000000"/>
              </w:rPr>
              <w:t>00</w:t>
            </w:r>
          </w:p>
        </w:tc>
        <w:tc>
          <w:tcPr>
            <w:tcW w:w="1240" w:type="dxa"/>
            <w:tcBorders>
              <w:top w:val="nil"/>
              <w:left w:val="nil"/>
              <w:bottom w:val="single" w:sz="8" w:space="0" w:color="D8D8D8"/>
              <w:right w:val="single" w:sz="4" w:space="0" w:color="BFBFBF" w:themeColor="background1" w:themeShade="BF"/>
            </w:tcBorders>
            <w:hideMark/>
          </w:tcPr>
          <w:p w:rsidR="00845206" w:rsidRPr="00C12C1E" w:rsidP="0025336C" w14:paraId="7027CA90" w14:textId="37E4128C">
            <w:pPr>
              <w:overflowPunct/>
              <w:autoSpaceDE/>
              <w:autoSpaceDN/>
              <w:adjustRightInd/>
              <w:jc w:val="right"/>
              <w:textAlignment w:val="auto"/>
              <w:rPr>
                <w:color w:val="000000"/>
              </w:rPr>
            </w:pPr>
            <w:r w:rsidRPr="00166399">
              <w:rPr>
                <w:color w:val="000000"/>
              </w:rPr>
              <w:t>$58.35</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845206" w:rsidRPr="00C12C1E" w:rsidP="0025336C" w14:paraId="4192F7DD" w14:textId="7CC75CCC">
            <w:pPr>
              <w:overflowPunct/>
              <w:autoSpaceDE/>
              <w:autoSpaceDN/>
              <w:adjustRightInd/>
              <w:jc w:val="right"/>
              <w:textAlignment w:val="auto"/>
              <w:rPr>
                <w:color w:val="000000"/>
              </w:rPr>
            </w:pPr>
            <w:r w:rsidRPr="00166399">
              <w:rPr>
                <w:color w:val="000000"/>
              </w:rPr>
              <w:t>$81,690.00</w:t>
            </w:r>
          </w:p>
        </w:tc>
      </w:tr>
      <w:tr w14:paraId="728E4760" w14:textId="77777777" w:rsidTr="0025336C">
        <w:tblPrEx>
          <w:tblW w:w="9540" w:type="dxa"/>
          <w:tblInd w:w="439" w:type="dxa"/>
          <w:tblLook w:val="04A0"/>
        </w:tblPrEx>
        <w:trPr>
          <w:trHeight w:val="1290"/>
        </w:trPr>
        <w:tc>
          <w:tcPr>
            <w:tcW w:w="1571" w:type="dxa"/>
            <w:tcBorders>
              <w:top w:val="nil"/>
              <w:left w:val="single" w:sz="8" w:space="0" w:color="auto"/>
              <w:bottom w:val="single" w:sz="8" w:space="0" w:color="D8D8D8"/>
              <w:right w:val="single" w:sz="8" w:space="0" w:color="D8D8D8"/>
            </w:tcBorders>
            <w:hideMark/>
          </w:tcPr>
          <w:p w:rsidR="00845206" w:rsidRPr="00C12C1E" w:rsidP="0025336C" w14:paraId="13A9E06C" w14:textId="77777777">
            <w:pPr>
              <w:overflowPunct/>
              <w:autoSpaceDE/>
              <w:autoSpaceDN/>
              <w:adjustRightInd/>
              <w:textAlignment w:val="auto"/>
              <w:rPr>
                <w:color w:val="000000"/>
              </w:rPr>
            </w:pPr>
            <w:r w:rsidRPr="00C12C1E">
              <w:rPr>
                <w:color w:val="000000"/>
              </w:rPr>
              <w:t>Document Management Center (including new digital closeout form)</w:t>
            </w:r>
          </w:p>
        </w:tc>
        <w:tc>
          <w:tcPr>
            <w:tcW w:w="1230" w:type="dxa"/>
            <w:tcBorders>
              <w:top w:val="nil"/>
              <w:left w:val="nil"/>
              <w:bottom w:val="single" w:sz="8" w:space="0" w:color="D8D8D8"/>
              <w:right w:val="single" w:sz="8" w:space="0" w:color="D8D8D8"/>
            </w:tcBorders>
            <w:hideMark/>
          </w:tcPr>
          <w:p w:rsidR="00845206" w:rsidRPr="00C12C1E" w:rsidP="0025336C" w14:paraId="771339B7" w14:textId="77777777">
            <w:pPr>
              <w:overflowPunct/>
              <w:autoSpaceDE/>
              <w:autoSpaceDN/>
              <w:adjustRightInd/>
              <w:jc w:val="right"/>
              <w:textAlignment w:val="auto"/>
              <w:rPr>
                <w:color w:val="000000"/>
              </w:rPr>
            </w:pPr>
            <w:r w:rsidRPr="00C12C1E">
              <w:rPr>
                <w:color w:val="000000"/>
              </w:rPr>
              <w:t>2,800 </w:t>
            </w:r>
          </w:p>
        </w:tc>
        <w:tc>
          <w:tcPr>
            <w:tcW w:w="1026" w:type="dxa"/>
            <w:tcBorders>
              <w:top w:val="nil"/>
              <w:left w:val="nil"/>
              <w:bottom w:val="single" w:sz="8" w:space="0" w:color="D8D8D8"/>
              <w:right w:val="single" w:sz="8" w:space="0" w:color="D8D8D8"/>
            </w:tcBorders>
            <w:hideMark/>
          </w:tcPr>
          <w:p w:rsidR="00845206" w:rsidRPr="00C12C1E" w:rsidP="0025336C" w14:paraId="379A214F" w14:textId="77777777">
            <w:pPr>
              <w:overflowPunct/>
              <w:autoSpaceDE/>
              <w:autoSpaceDN/>
              <w:adjustRightInd/>
              <w:jc w:val="right"/>
              <w:textAlignment w:val="auto"/>
              <w:rPr>
                <w:color w:val="000000"/>
              </w:rPr>
            </w:pPr>
            <w:r w:rsidRPr="00C12C1E">
              <w:rPr>
                <w:color w:val="000000"/>
              </w:rPr>
              <w:t>2</w:t>
            </w:r>
          </w:p>
        </w:tc>
        <w:tc>
          <w:tcPr>
            <w:tcW w:w="1161" w:type="dxa"/>
            <w:tcBorders>
              <w:top w:val="nil"/>
              <w:left w:val="nil"/>
              <w:bottom w:val="single" w:sz="8" w:space="0" w:color="D8D8D8"/>
              <w:right w:val="single" w:sz="8" w:space="0" w:color="D8D8D8"/>
            </w:tcBorders>
            <w:hideMark/>
          </w:tcPr>
          <w:p w:rsidR="00845206" w:rsidRPr="00C12C1E" w:rsidP="0025336C" w14:paraId="2EFCA90B" w14:textId="77777777">
            <w:pPr>
              <w:overflowPunct/>
              <w:autoSpaceDE/>
              <w:autoSpaceDN/>
              <w:adjustRightInd/>
              <w:jc w:val="right"/>
              <w:textAlignment w:val="auto"/>
              <w:rPr>
                <w:color w:val="000000"/>
              </w:rPr>
            </w:pPr>
            <w:r w:rsidRPr="00C12C1E">
              <w:rPr>
                <w:color w:val="000000"/>
              </w:rPr>
              <w:t>5,600</w:t>
            </w:r>
          </w:p>
        </w:tc>
        <w:tc>
          <w:tcPr>
            <w:tcW w:w="981" w:type="dxa"/>
            <w:tcBorders>
              <w:top w:val="nil"/>
              <w:left w:val="nil"/>
              <w:bottom w:val="single" w:sz="8" w:space="0" w:color="D8D8D8"/>
              <w:right w:val="single" w:sz="8" w:space="0" w:color="D8D8D8"/>
            </w:tcBorders>
            <w:hideMark/>
          </w:tcPr>
          <w:p w:rsidR="00845206" w:rsidRPr="00C12C1E" w:rsidP="0025336C" w14:paraId="2DEDE091" w14:textId="77777777">
            <w:pPr>
              <w:overflowPunct/>
              <w:autoSpaceDE/>
              <w:autoSpaceDN/>
              <w:adjustRightInd/>
              <w:jc w:val="right"/>
              <w:textAlignment w:val="auto"/>
              <w:rPr>
                <w:color w:val="000000"/>
              </w:rPr>
            </w:pPr>
            <w:r w:rsidRPr="00C12C1E">
              <w:rPr>
                <w:color w:val="000000"/>
              </w:rPr>
              <w:t>0.5</w:t>
            </w:r>
          </w:p>
        </w:tc>
        <w:tc>
          <w:tcPr>
            <w:tcW w:w="996" w:type="dxa"/>
            <w:tcBorders>
              <w:top w:val="nil"/>
              <w:left w:val="nil"/>
              <w:bottom w:val="single" w:sz="8" w:space="0" w:color="D8D8D8"/>
              <w:right w:val="single" w:sz="8" w:space="0" w:color="D8D8D8"/>
            </w:tcBorders>
            <w:hideMark/>
          </w:tcPr>
          <w:p w:rsidR="00845206" w:rsidRPr="00C12C1E" w:rsidP="0025336C" w14:paraId="19CCDECA" w14:textId="7B384A4A">
            <w:pPr>
              <w:overflowPunct/>
              <w:autoSpaceDE/>
              <w:autoSpaceDN/>
              <w:adjustRightInd/>
              <w:jc w:val="right"/>
              <w:textAlignment w:val="auto"/>
              <w:rPr>
                <w:color w:val="000000"/>
              </w:rPr>
            </w:pPr>
            <w:r>
              <w:rPr>
                <w:color w:val="000000"/>
              </w:rPr>
              <w:t>2</w:t>
            </w:r>
            <w:r w:rsidRPr="00C12C1E">
              <w:rPr>
                <w:color w:val="000000"/>
              </w:rPr>
              <w:t>,</w:t>
            </w:r>
            <w:r>
              <w:rPr>
                <w:color w:val="000000"/>
              </w:rPr>
              <w:t>8</w:t>
            </w:r>
            <w:r w:rsidRPr="00C12C1E">
              <w:rPr>
                <w:color w:val="000000"/>
              </w:rPr>
              <w:t>00</w:t>
            </w:r>
          </w:p>
        </w:tc>
        <w:tc>
          <w:tcPr>
            <w:tcW w:w="1240" w:type="dxa"/>
            <w:tcBorders>
              <w:top w:val="nil"/>
              <w:left w:val="nil"/>
              <w:bottom w:val="single" w:sz="8" w:space="0" w:color="D8D8D8"/>
              <w:right w:val="single" w:sz="4" w:space="0" w:color="BFBFBF" w:themeColor="background1" w:themeShade="BF"/>
            </w:tcBorders>
            <w:hideMark/>
          </w:tcPr>
          <w:p w:rsidR="00845206" w:rsidRPr="00C12C1E" w:rsidP="0025336C" w14:paraId="638BA321" w14:textId="4D52647B">
            <w:pPr>
              <w:overflowPunct/>
              <w:autoSpaceDE/>
              <w:autoSpaceDN/>
              <w:adjustRightInd/>
              <w:jc w:val="right"/>
              <w:textAlignment w:val="auto"/>
              <w:rPr>
                <w:color w:val="000000"/>
              </w:rPr>
            </w:pPr>
            <w:r w:rsidRPr="00166399">
              <w:rPr>
                <w:color w:val="000000"/>
              </w:rPr>
              <w:t>$58.35</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845206" w:rsidRPr="00C12C1E" w:rsidP="0025336C" w14:paraId="7EFE0838" w14:textId="3D10ADFE">
            <w:pPr>
              <w:overflowPunct/>
              <w:autoSpaceDE/>
              <w:autoSpaceDN/>
              <w:adjustRightInd/>
              <w:jc w:val="right"/>
              <w:textAlignment w:val="auto"/>
              <w:rPr>
                <w:color w:val="000000"/>
              </w:rPr>
            </w:pPr>
            <w:r w:rsidRPr="00166399">
              <w:rPr>
                <w:color w:val="000000"/>
              </w:rPr>
              <w:t>$163,380.00</w:t>
            </w:r>
          </w:p>
        </w:tc>
      </w:tr>
      <w:tr w14:paraId="5C68B690" w14:textId="77777777" w:rsidTr="0025336C">
        <w:tblPrEx>
          <w:tblW w:w="9540" w:type="dxa"/>
          <w:tblInd w:w="439" w:type="dxa"/>
          <w:tblLook w:val="04A0"/>
        </w:tblPrEx>
        <w:trPr>
          <w:trHeight w:val="525"/>
        </w:trPr>
        <w:tc>
          <w:tcPr>
            <w:tcW w:w="1571" w:type="dxa"/>
            <w:tcBorders>
              <w:top w:val="nil"/>
              <w:left w:val="single" w:sz="8" w:space="0" w:color="auto"/>
              <w:bottom w:val="single" w:sz="8" w:space="0" w:color="D8D8D8"/>
              <w:right w:val="single" w:sz="8" w:space="0" w:color="D8D8D8"/>
            </w:tcBorders>
            <w:hideMark/>
          </w:tcPr>
          <w:p w:rsidR="00845206" w:rsidRPr="00C12C1E" w:rsidP="0025336C" w14:paraId="5755119A" w14:textId="77777777">
            <w:pPr>
              <w:overflowPunct/>
              <w:autoSpaceDE/>
              <w:autoSpaceDN/>
              <w:adjustRightInd/>
              <w:textAlignment w:val="auto"/>
              <w:rPr>
                <w:color w:val="000000"/>
              </w:rPr>
            </w:pPr>
            <w:r w:rsidRPr="00C12C1E">
              <w:rPr>
                <w:color w:val="000000"/>
              </w:rPr>
              <w:t>Additional Capital Resources</w:t>
            </w:r>
          </w:p>
        </w:tc>
        <w:tc>
          <w:tcPr>
            <w:tcW w:w="1230" w:type="dxa"/>
            <w:tcBorders>
              <w:top w:val="nil"/>
              <w:left w:val="nil"/>
              <w:bottom w:val="single" w:sz="8" w:space="0" w:color="D8D8D8"/>
              <w:right w:val="single" w:sz="8" w:space="0" w:color="D8D8D8"/>
            </w:tcBorders>
            <w:hideMark/>
          </w:tcPr>
          <w:p w:rsidR="00845206" w:rsidRPr="00C12C1E" w:rsidP="0025336C" w14:paraId="75913827" w14:textId="77777777">
            <w:pPr>
              <w:overflowPunct/>
              <w:autoSpaceDE/>
              <w:autoSpaceDN/>
              <w:adjustRightInd/>
              <w:jc w:val="right"/>
              <w:textAlignment w:val="auto"/>
              <w:rPr>
                <w:color w:val="000000"/>
              </w:rPr>
            </w:pPr>
            <w:r w:rsidRPr="00C12C1E">
              <w:rPr>
                <w:color w:val="000000"/>
              </w:rPr>
              <w:t>15 </w:t>
            </w:r>
          </w:p>
        </w:tc>
        <w:tc>
          <w:tcPr>
            <w:tcW w:w="1026" w:type="dxa"/>
            <w:tcBorders>
              <w:top w:val="nil"/>
              <w:left w:val="nil"/>
              <w:bottom w:val="single" w:sz="8" w:space="0" w:color="D8D8D8"/>
              <w:right w:val="single" w:sz="8" w:space="0" w:color="D8D8D8"/>
            </w:tcBorders>
            <w:hideMark/>
          </w:tcPr>
          <w:p w:rsidR="00845206" w:rsidRPr="00C12C1E" w:rsidP="0025336C" w14:paraId="5F242FFE"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845206" w:rsidRPr="00C12C1E" w:rsidP="0025336C" w14:paraId="0A521EFC" w14:textId="77777777">
            <w:pPr>
              <w:overflowPunct/>
              <w:autoSpaceDE/>
              <w:autoSpaceDN/>
              <w:adjustRightInd/>
              <w:jc w:val="right"/>
              <w:textAlignment w:val="auto"/>
              <w:rPr>
                <w:color w:val="000000"/>
              </w:rPr>
            </w:pPr>
            <w:r w:rsidRPr="00C12C1E">
              <w:rPr>
                <w:color w:val="000000"/>
              </w:rPr>
              <w:t>15</w:t>
            </w:r>
          </w:p>
        </w:tc>
        <w:tc>
          <w:tcPr>
            <w:tcW w:w="981" w:type="dxa"/>
            <w:tcBorders>
              <w:top w:val="nil"/>
              <w:left w:val="nil"/>
              <w:bottom w:val="single" w:sz="8" w:space="0" w:color="D8D8D8"/>
              <w:right w:val="single" w:sz="8" w:space="0" w:color="D8D8D8"/>
            </w:tcBorders>
            <w:hideMark/>
          </w:tcPr>
          <w:p w:rsidR="00845206" w:rsidRPr="00C12C1E" w:rsidP="0025336C" w14:paraId="0B7B58C1" w14:textId="77777777">
            <w:pPr>
              <w:overflowPunct/>
              <w:autoSpaceDE/>
              <w:autoSpaceDN/>
              <w:adjustRightInd/>
              <w:jc w:val="right"/>
              <w:textAlignment w:val="auto"/>
              <w:rPr>
                <w:color w:val="000000"/>
              </w:rPr>
            </w:pPr>
            <w:r w:rsidRPr="00C12C1E">
              <w:rPr>
                <w:color w:val="000000"/>
              </w:rPr>
              <w:t>0.5</w:t>
            </w:r>
          </w:p>
        </w:tc>
        <w:tc>
          <w:tcPr>
            <w:tcW w:w="996" w:type="dxa"/>
            <w:tcBorders>
              <w:top w:val="nil"/>
              <w:left w:val="nil"/>
              <w:bottom w:val="single" w:sz="8" w:space="0" w:color="D8D8D8"/>
              <w:right w:val="single" w:sz="8" w:space="0" w:color="D8D8D8"/>
            </w:tcBorders>
            <w:hideMark/>
          </w:tcPr>
          <w:p w:rsidR="00845206" w:rsidRPr="00C12C1E" w:rsidP="0025336C" w14:paraId="1608A83A" w14:textId="77777777">
            <w:pPr>
              <w:overflowPunct/>
              <w:autoSpaceDE/>
              <w:autoSpaceDN/>
              <w:adjustRightInd/>
              <w:jc w:val="right"/>
              <w:textAlignment w:val="auto"/>
              <w:rPr>
                <w:color w:val="000000"/>
              </w:rPr>
            </w:pPr>
            <w:r w:rsidRPr="00C12C1E">
              <w:rPr>
                <w:color w:val="000000"/>
              </w:rPr>
              <w:t>7.5</w:t>
            </w:r>
          </w:p>
        </w:tc>
        <w:tc>
          <w:tcPr>
            <w:tcW w:w="1240" w:type="dxa"/>
            <w:tcBorders>
              <w:top w:val="nil"/>
              <w:left w:val="nil"/>
              <w:bottom w:val="single" w:sz="8" w:space="0" w:color="D8D8D8"/>
              <w:right w:val="single" w:sz="4" w:space="0" w:color="BFBFBF" w:themeColor="background1" w:themeShade="BF"/>
            </w:tcBorders>
            <w:hideMark/>
          </w:tcPr>
          <w:p w:rsidR="00845206" w:rsidRPr="00C12C1E" w:rsidP="0025336C" w14:paraId="652A70D1" w14:textId="29D58AE7">
            <w:pPr>
              <w:overflowPunct/>
              <w:autoSpaceDE/>
              <w:autoSpaceDN/>
              <w:adjustRightInd/>
              <w:jc w:val="right"/>
              <w:textAlignment w:val="auto"/>
              <w:rPr>
                <w:color w:val="000000"/>
              </w:rPr>
            </w:pPr>
            <w:r w:rsidRPr="00166399">
              <w:rPr>
                <w:color w:val="000000"/>
              </w:rPr>
              <w:t>$58.35</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845206" w:rsidRPr="00C12C1E" w:rsidP="0025336C" w14:paraId="2836E129" w14:textId="374F6B51">
            <w:pPr>
              <w:overflowPunct/>
              <w:autoSpaceDE/>
              <w:autoSpaceDN/>
              <w:adjustRightInd/>
              <w:jc w:val="right"/>
              <w:textAlignment w:val="auto"/>
              <w:rPr>
                <w:color w:val="000000"/>
              </w:rPr>
            </w:pPr>
            <w:r w:rsidRPr="00166399">
              <w:rPr>
                <w:color w:val="000000"/>
              </w:rPr>
              <w:t>$437.63</w:t>
            </w:r>
          </w:p>
        </w:tc>
      </w:tr>
      <w:tr w14:paraId="0C92629E" w14:textId="77777777" w:rsidTr="0025336C">
        <w:tblPrEx>
          <w:tblW w:w="9540" w:type="dxa"/>
          <w:tblInd w:w="439" w:type="dxa"/>
          <w:tblLook w:val="04A0"/>
        </w:tblPrEx>
        <w:trPr>
          <w:trHeight w:val="315"/>
        </w:trPr>
        <w:tc>
          <w:tcPr>
            <w:tcW w:w="1571" w:type="dxa"/>
            <w:tcBorders>
              <w:top w:val="nil"/>
              <w:left w:val="single" w:sz="8" w:space="0" w:color="auto"/>
              <w:bottom w:val="single" w:sz="8" w:space="0" w:color="D8D8D8"/>
              <w:right w:val="single" w:sz="8" w:space="0" w:color="D8D8D8"/>
            </w:tcBorders>
            <w:hideMark/>
          </w:tcPr>
          <w:p w:rsidR="00845206" w:rsidRPr="00C12C1E" w:rsidP="0025336C" w14:paraId="383095E5" w14:textId="77777777">
            <w:pPr>
              <w:overflowPunct/>
              <w:autoSpaceDE/>
              <w:autoSpaceDN/>
              <w:adjustRightInd/>
              <w:textAlignment w:val="auto"/>
              <w:rPr>
                <w:color w:val="000000"/>
              </w:rPr>
            </w:pPr>
            <w:r w:rsidRPr="00C12C1E">
              <w:rPr>
                <w:color w:val="000000"/>
              </w:rPr>
              <w:t>EPC</w:t>
            </w:r>
          </w:p>
        </w:tc>
        <w:tc>
          <w:tcPr>
            <w:tcW w:w="1230" w:type="dxa"/>
            <w:tcBorders>
              <w:top w:val="nil"/>
              <w:left w:val="nil"/>
              <w:bottom w:val="single" w:sz="8" w:space="0" w:color="D8D8D8"/>
              <w:right w:val="single" w:sz="8" w:space="0" w:color="D8D8D8"/>
            </w:tcBorders>
            <w:hideMark/>
          </w:tcPr>
          <w:p w:rsidR="00845206" w:rsidRPr="00C12C1E" w:rsidP="0025336C" w14:paraId="3AF33507" w14:textId="77777777">
            <w:pPr>
              <w:overflowPunct/>
              <w:autoSpaceDE/>
              <w:autoSpaceDN/>
              <w:adjustRightInd/>
              <w:jc w:val="right"/>
              <w:textAlignment w:val="auto"/>
              <w:rPr>
                <w:color w:val="000000"/>
              </w:rPr>
            </w:pPr>
            <w:r w:rsidRPr="00C12C1E">
              <w:rPr>
                <w:color w:val="000000"/>
              </w:rPr>
              <w:t>30</w:t>
            </w:r>
          </w:p>
        </w:tc>
        <w:tc>
          <w:tcPr>
            <w:tcW w:w="1026" w:type="dxa"/>
            <w:tcBorders>
              <w:top w:val="nil"/>
              <w:left w:val="nil"/>
              <w:bottom w:val="single" w:sz="8" w:space="0" w:color="D8D8D8"/>
              <w:right w:val="single" w:sz="8" w:space="0" w:color="D8D8D8"/>
            </w:tcBorders>
            <w:hideMark/>
          </w:tcPr>
          <w:p w:rsidR="00845206" w:rsidRPr="00C12C1E" w:rsidP="0025336C" w14:paraId="1F462849"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845206" w:rsidRPr="00C12C1E" w:rsidP="0025336C" w14:paraId="61842AB8" w14:textId="77777777">
            <w:pPr>
              <w:overflowPunct/>
              <w:autoSpaceDE/>
              <w:autoSpaceDN/>
              <w:adjustRightInd/>
              <w:jc w:val="right"/>
              <w:textAlignment w:val="auto"/>
              <w:rPr>
                <w:color w:val="000000"/>
              </w:rPr>
            </w:pPr>
            <w:r w:rsidRPr="00C12C1E">
              <w:rPr>
                <w:color w:val="000000"/>
              </w:rPr>
              <w:t>30</w:t>
            </w:r>
          </w:p>
        </w:tc>
        <w:tc>
          <w:tcPr>
            <w:tcW w:w="981" w:type="dxa"/>
            <w:tcBorders>
              <w:top w:val="nil"/>
              <w:left w:val="nil"/>
              <w:bottom w:val="single" w:sz="8" w:space="0" w:color="D8D8D8"/>
              <w:right w:val="single" w:sz="8" w:space="0" w:color="D8D8D8"/>
            </w:tcBorders>
            <w:hideMark/>
          </w:tcPr>
          <w:p w:rsidR="00845206" w:rsidRPr="00C12C1E" w:rsidP="0025336C" w14:paraId="2667C982" w14:textId="77777777">
            <w:pPr>
              <w:overflowPunct/>
              <w:autoSpaceDE/>
              <w:autoSpaceDN/>
              <w:adjustRightInd/>
              <w:jc w:val="right"/>
              <w:textAlignment w:val="auto"/>
              <w:rPr>
                <w:color w:val="000000"/>
              </w:rPr>
            </w:pPr>
            <w:r w:rsidRPr="00C12C1E">
              <w:rPr>
                <w:color w:val="000000"/>
              </w:rPr>
              <w:t>120</w:t>
            </w:r>
          </w:p>
        </w:tc>
        <w:tc>
          <w:tcPr>
            <w:tcW w:w="996" w:type="dxa"/>
            <w:tcBorders>
              <w:top w:val="nil"/>
              <w:left w:val="nil"/>
              <w:bottom w:val="single" w:sz="8" w:space="0" w:color="D8D8D8"/>
              <w:right w:val="single" w:sz="8" w:space="0" w:color="D8D8D8"/>
            </w:tcBorders>
            <w:hideMark/>
          </w:tcPr>
          <w:p w:rsidR="00845206" w:rsidRPr="00C12C1E" w:rsidP="0025336C" w14:paraId="76AA52F2" w14:textId="39870586">
            <w:pPr>
              <w:overflowPunct/>
              <w:autoSpaceDE/>
              <w:autoSpaceDN/>
              <w:adjustRightInd/>
              <w:jc w:val="right"/>
              <w:textAlignment w:val="auto"/>
              <w:rPr>
                <w:color w:val="000000"/>
              </w:rPr>
            </w:pPr>
            <w:r w:rsidRPr="00C12C1E">
              <w:rPr>
                <w:color w:val="000000"/>
              </w:rPr>
              <w:t>3</w:t>
            </w:r>
            <w:r w:rsidR="00D0787F">
              <w:rPr>
                <w:color w:val="000000"/>
              </w:rPr>
              <w:t>,</w:t>
            </w:r>
            <w:r w:rsidRPr="00C12C1E">
              <w:rPr>
                <w:color w:val="000000"/>
              </w:rPr>
              <w:t>600</w:t>
            </w:r>
          </w:p>
        </w:tc>
        <w:tc>
          <w:tcPr>
            <w:tcW w:w="1240" w:type="dxa"/>
            <w:tcBorders>
              <w:top w:val="nil"/>
              <w:left w:val="nil"/>
              <w:bottom w:val="single" w:sz="8" w:space="0" w:color="D8D8D8"/>
              <w:right w:val="single" w:sz="4" w:space="0" w:color="BFBFBF" w:themeColor="background1" w:themeShade="BF"/>
            </w:tcBorders>
            <w:hideMark/>
          </w:tcPr>
          <w:p w:rsidR="00845206" w:rsidRPr="00C12C1E" w:rsidP="0025336C" w14:paraId="7F3CFC21" w14:textId="453F7E65">
            <w:pPr>
              <w:overflowPunct/>
              <w:autoSpaceDE/>
              <w:autoSpaceDN/>
              <w:adjustRightInd/>
              <w:jc w:val="right"/>
              <w:textAlignment w:val="auto"/>
              <w:rPr>
                <w:color w:val="000000"/>
              </w:rPr>
            </w:pPr>
            <w:r w:rsidRPr="00166399">
              <w:rPr>
                <w:color w:val="000000"/>
              </w:rPr>
              <w:t>$58.35</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845206" w:rsidRPr="00C12C1E" w:rsidP="0025336C" w14:paraId="61A185AF" w14:textId="34119151">
            <w:pPr>
              <w:overflowPunct/>
              <w:autoSpaceDE/>
              <w:autoSpaceDN/>
              <w:adjustRightInd/>
              <w:jc w:val="right"/>
              <w:textAlignment w:val="auto"/>
              <w:rPr>
                <w:color w:val="000000"/>
              </w:rPr>
            </w:pPr>
            <w:r w:rsidRPr="00166399">
              <w:rPr>
                <w:color w:val="000000"/>
              </w:rPr>
              <w:t>$210,060.00</w:t>
            </w:r>
          </w:p>
        </w:tc>
      </w:tr>
      <w:tr w14:paraId="1AAB2107" w14:textId="77777777" w:rsidTr="0025336C">
        <w:tblPrEx>
          <w:tblW w:w="9540" w:type="dxa"/>
          <w:tblInd w:w="439" w:type="dxa"/>
          <w:tblLook w:val="04A0"/>
        </w:tblPrEx>
        <w:trPr>
          <w:trHeight w:val="525"/>
        </w:trPr>
        <w:tc>
          <w:tcPr>
            <w:tcW w:w="1571" w:type="dxa"/>
            <w:tcBorders>
              <w:top w:val="nil"/>
              <w:left w:val="single" w:sz="8" w:space="0" w:color="auto"/>
              <w:bottom w:val="single" w:sz="8" w:space="0" w:color="D8D8D8"/>
              <w:right w:val="single" w:sz="8" w:space="0" w:color="D8D8D8"/>
            </w:tcBorders>
            <w:hideMark/>
          </w:tcPr>
          <w:p w:rsidR="00845206" w:rsidRPr="00C12C1E" w:rsidP="0025336C" w14:paraId="66DE0B48" w14:textId="77777777">
            <w:pPr>
              <w:overflowPunct/>
              <w:autoSpaceDE/>
              <w:autoSpaceDN/>
              <w:adjustRightInd/>
              <w:textAlignment w:val="auto"/>
              <w:rPr>
                <w:color w:val="000000"/>
              </w:rPr>
            </w:pPr>
            <w:r w:rsidRPr="00C12C1E">
              <w:rPr>
                <w:color w:val="000000"/>
              </w:rPr>
              <w:t>Public Housing Development</w:t>
            </w:r>
          </w:p>
        </w:tc>
        <w:tc>
          <w:tcPr>
            <w:tcW w:w="1230" w:type="dxa"/>
            <w:tcBorders>
              <w:top w:val="nil"/>
              <w:left w:val="nil"/>
              <w:bottom w:val="single" w:sz="8" w:space="0" w:color="D8D8D8"/>
              <w:right w:val="single" w:sz="8" w:space="0" w:color="D8D8D8"/>
            </w:tcBorders>
            <w:hideMark/>
          </w:tcPr>
          <w:p w:rsidR="00845206" w:rsidRPr="00C12C1E" w:rsidP="0025336C" w14:paraId="6F63B8B9" w14:textId="77777777">
            <w:pPr>
              <w:overflowPunct/>
              <w:autoSpaceDE/>
              <w:autoSpaceDN/>
              <w:adjustRightInd/>
              <w:jc w:val="right"/>
              <w:textAlignment w:val="auto"/>
              <w:rPr>
                <w:color w:val="000000"/>
              </w:rPr>
            </w:pPr>
            <w:r w:rsidRPr="00C12C1E">
              <w:rPr>
                <w:color w:val="000000"/>
              </w:rPr>
              <w:t>60 </w:t>
            </w:r>
          </w:p>
        </w:tc>
        <w:tc>
          <w:tcPr>
            <w:tcW w:w="1026" w:type="dxa"/>
            <w:tcBorders>
              <w:top w:val="nil"/>
              <w:left w:val="nil"/>
              <w:bottom w:val="single" w:sz="8" w:space="0" w:color="D8D8D8"/>
              <w:right w:val="single" w:sz="8" w:space="0" w:color="D8D8D8"/>
            </w:tcBorders>
            <w:hideMark/>
          </w:tcPr>
          <w:p w:rsidR="00845206" w:rsidRPr="00C12C1E" w:rsidP="0025336C" w14:paraId="5FB27CCD"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845206" w:rsidRPr="00C12C1E" w:rsidP="0025336C" w14:paraId="5D6ABE61" w14:textId="77777777">
            <w:pPr>
              <w:overflowPunct/>
              <w:autoSpaceDE/>
              <w:autoSpaceDN/>
              <w:adjustRightInd/>
              <w:jc w:val="right"/>
              <w:textAlignment w:val="auto"/>
              <w:rPr>
                <w:color w:val="000000"/>
              </w:rPr>
            </w:pPr>
            <w:r w:rsidRPr="00C12C1E">
              <w:rPr>
                <w:color w:val="000000"/>
              </w:rPr>
              <w:t>60</w:t>
            </w:r>
          </w:p>
        </w:tc>
        <w:tc>
          <w:tcPr>
            <w:tcW w:w="981" w:type="dxa"/>
            <w:tcBorders>
              <w:top w:val="nil"/>
              <w:left w:val="nil"/>
              <w:bottom w:val="single" w:sz="8" w:space="0" w:color="D8D8D8"/>
              <w:right w:val="single" w:sz="8" w:space="0" w:color="D8D8D8"/>
            </w:tcBorders>
            <w:hideMark/>
          </w:tcPr>
          <w:p w:rsidR="00845206" w:rsidRPr="00C12C1E" w:rsidP="0025336C" w14:paraId="63167D62" w14:textId="77777777">
            <w:pPr>
              <w:overflowPunct/>
              <w:autoSpaceDE/>
              <w:autoSpaceDN/>
              <w:adjustRightInd/>
              <w:jc w:val="right"/>
              <w:textAlignment w:val="auto"/>
              <w:rPr>
                <w:color w:val="000000"/>
              </w:rPr>
            </w:pPr>
            <w:r w:rsidRPr="00C12C1E">
              <w:rPr>
                <w:color w:val="000000"/>
              </w:rPr>
              <w:t>120</w:t>
            </w:r>
          </w:p>
        </w:tc>
        <w:tc>
          <w:tcPr>
            <w:tcW w:w="996" w:type="dxa"/>
            <w:tcBorders>
              <w:top w:val="nil"/>
              <w:left w:val="nil"/>
              <w:bottom w:val="single" w:sz="8" w:space="0" w:color="D8D8D8"/>
              <w:right w:val="single" w:sz="8" w:space="0" w:color="D8D8D8"/>
            </w:tcBorders>
            <w:hideMark/>
          </w:tcPr>
          <w:p w:rsidR="00845206" w:rsidRPr="00C12C1E" w:rsidP="0025336C" w14:paraId="70D4F2E3" w14:textId="77777777">
            <w:pPr>
              <w:overflowPunct/>
              <w:autoSpaceDE/>
              <w:autoSpaceDN/>
              <w:adjustRightInd/>
              <w:jc w:val="right"/>
              <w:textAlignment w:val="auto"/>
              <w:rPr>
                <w:color w:val="000000"/>
              </w:rPr>
            </w:pPr>
            <w:r w:rsidRPr="00C12C1E">
              <w:rPr>
                <w:color w:val="000000"/>
              </w:rPr>
              <w:t>7,200</w:t>
            </w:r>
          </w:p>
        </w:tc>
        <w:tc>
          <w:tcPr>
            <w:tcW w:w="1240" w:type="dxa"/>
            <w:tcBorders>
              <w:top w:val="nil"/>
              <w:left w:val="nil"/>
              <w:bottom w:val="single" w:sz="8" w:space="0" w:color="D8D8D8"/>
              <w:right w:val="single" w:sz="4" w:space="0" w:color="BFBFBF" w:themeColor="background1" w:themeShade="BF"/>
            </w:tcBorders>
            <w:hideMark/>
          </w:tcPr>
          <w:p w:rsidR="00845206" w:rsidRPr="00C12C1E" w:rsidP="0025336C" w14:paraId="3476E9F3" w14:textId="4221E0EB">
            <w:pPr>
              <w:overflowPunct/>
              <w:autoSpaceDE/>
              <w:autoSpaceDN/>
              <w:adjustRightInd/>
              <w:jc w:val="right"/>
              <w:textAlignment w:val="auto"/>
              <w:rPr>
                <w:color w:val="000000"/>
              </w:rPr>
            </w:pPr>
            <w:r w:rsidRPr="00166399">
              <w:rPr>
                <w:color w:val="000000"/>
              </w:rPr>
              <w:t>$58.35</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845206" w:rsidRPr="00C12C1E" w:rsidP="0025336C" w14:paraId="50F9CFF1" w14:textId="035C007A">
            <w:pPr>
              <w:overflowPunct/>
              <w:autoSpaceDE/>
              <w:autoSpaceDN/>
              <w:adjustRightInd/>
              <w:jc w:val="right"/>
              <w:textAlignment w:val="auto"/>
              <w:rPr>
                <w:color w:val="000000"/>
              </w:rPr>
            </w:pPr>
            <w:r w:rsidRPr="00166399">
              <w:rPr>
                <w:color w:val="000000"/>
              </w:rPr>
              <w:t>$420,120.00</w:t>
            </w:r>
          </w:p>
        </w:tc>
      </w:tr>
      <w:tr w14:paraId="33D97006" w14:textId="77777777" w:rsidTr="0025336C">
        <w:tblPrEx>
          <w:tblW w:w="9540" w:type="dxa"/>
          <w:tblInd w:w="439" w:type="dxa"/>
          <w:tblLook w:val="04A0"/>
        </w:tblPrEx>
        <w:trPr>
          <w:trHeight w:val="525"/>
        </w:trPr>
        <w:tc>
          <w:tcPr>
            <w:tcW w:w="1571" w:type="dxa"/>
            <w:tcBorders>
              <w:top w:val="nil"/>
              <w:left w:val="single" w:sz="8" w:space="0" w:color="auto"/>
              <w:bottom w:val="single" w:sz="8" w:space="0" w:color="D8D8D8"/>
              <w:right w:val="single" w:sz="8" w:space="0" w:color="D8D8D8"/>
            </w:tcBorders>
            <w:hideMark/>
          </w:tcPr>
          <w:p w:rsidR="00845206" w:rsidRPr="00C12C1E" w:rsidP="0025336C" w14:paraId="321EC02B" w14:textId="77777777">
            <w:pPr>
              <w:overflowPunct/>
              <w:autoSpaceDE/>
              <w:autoSpaceDN/>
              <w:adjustRightInd/>
              <w:textAlignment w:val="auto"/>
              <w:rPr>
                <w:color w:val="000000"/>
              </w:rPr>
            </w:pPr>
            <w:r w:rsidRPr="00C12C1E">
              <w:rPr>
                <w:color w:val="000000" w:themeColor="text1"/>
              </w:rPr>
              <w:t xml:space="preserve">Mixed Finance Development </w:t>
            </w:r>
          </w:p>
        </w:tc>
        <w:tc>
          <w:tcPr>
            <w:tcW w:w="1230" w:type="dxa"/>
            <w:tcBorders>
              <w:top w:val="nil"/>
              <w:left w:val="nil"/>
              <w:bottom w:val="single" w:sz="8" w:space="0" w:color="D8D8D8"/>
              <w:right w:val="single" w:sz="8" w:space="0" w:color="D8D8D8"/>
            </w:tcBorders>
            <w:hideMark/>
          </w:tcPr>
          <w:p w:rsidR="00845206" w:rsidRPr="00C12C1E" w:rsidP="0025336C" w14:paraId="60BEF50E" w14:textId="77777777">
            <w:pPr>
              <w:overflowPunct/>
              <w:autoSpaceDE/>
              <w:autoSpaceDN/>
              <w:adjustRightInd/>
              <w:jc w:val="right"/>
              <w:textAlignment w:val="auto"/>
              <w:rPr>
                <w:color w:val="000000"/>
              </w:rPr>
            </w:pPr>
            <w:r w:rsidRPr="00C12C1E">
              <w:rPr>
                <w:color w:val="000000"/>
              </w:rPr>
              <w:t>60</w:t>
            </w:r>
          </w:p>
        </w:tc>
        <w:tc>
          <w:tcPr>
            <w:tcW w:w="1026" w:type="dxa"/>
            <w:tcBorders>
              <w:top w:val="nil"/>
              <w:left w:val="nil"/>
              <w:bottom w:val="single" w:sz="8" w:space="0" w:color="D8D8D8"/>
              <w:right w:val="single" w:sz="8" w:space="0" w:color="D8D8D8"/>
            </w:tcBorders>
            <w:hideMark/>
          </w:tcPr>
          <w:p w:rsidR="00845206" w:rsidRPr="00C12C1E" w:rsidP="0025336C" w14:paraId="18CC0636"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845206" w:rsidRPr="00C12C1E" w:rsidP="0025336C" w14:paraId="6616FD36" w14:textId="77777777">
            <w:pPr>
              <w:overflowPunct/>
              <w:autoSpaceDE/>
              <w:autoSpaceDN/>
              <w:adjustRightInd/>
              <w:jc w:val="right"/>
              <w:textAlignment w:val="auto"/>
              <w:rPr>
                <w:color w:val="000000"/>
              </w:rPr>
            </w:pPr>
            <w:r w:rsidRPr="00C12C1E">
              <w:rPr>
                <w:color w:val="000000"/>
              </w:rPr>
              <w:t>60</w:t>
            </w:r>
          </w:p>
        </w:tc>
        <w:tc>
          <w:tcPr>
            <w:tcW w:w="981" w:type="dxa"/>
            <w:tcBorders>
              <w:top w:val="nil"/>
              <w:left w:val="nil"/>
              <w:bottom w:val="single" w:sz="8" w:space="0" w:color="D8D8D8"/>
              <w:right w:val="single" w:sz="8" w:space="0" w:color="D8D8D8"/>
            </w:tcBorders>
            <w:hideMark/>
          </w:tcPr>
          <w:p w:rsidR="00845206" w:rsidRPr="00C12C1E" w:rsidP="0025336C" w14:paraId="1AFCF848" w14:textId="77777777">
            <w:pPr>
              <w:overflowPunct/>
              <w:autoSpaceDE/>
              <w:autoSpaceDN/>
              <w:adjustRightInd/>
              <w:jc w:val="right"/>
              <w:textAlignment w:val="auto"/>
              <w:rPr>
                <w:color w:val="000000"/>
              </w:rPr>
            </w:pPr>
            <w:r w:rsidRPr="00C12C1E">
              <w:rPr>
                <w:color w:val="000000"/>
              </w:rPr>
              <w:t>0.33</w:t>
            </w:r>
          </w:p>
        </w:tc>
        <w:tc>
          <w:tcPr>
            <w:tcW w:w="996" w:type="dxa"/>
            <w:tcBorders>
              <w:top w:val="nil"/>
              <w:left w:val="nil"/>
              <w:bottom w:val="single" w:sz="8" w:space="0" w:color="D8D8D8"/>
              <w:right w:val="single" w:sz="8" w:space="0" w:color="D8D8D8"/>
            </w:tcBorders>
            <w:hideMark/>
          </w:tcPr>
          <w:p w:rsidR="00845206" w:rsidRPr="00C12C1E" w:rsidP="0025336C" w14:paraId="75CD98B3" w14:textId="77777777">
            <w:pPr>
              <w:overflowPunct/>
              <w:autoSpaceDE/>
              <w:autoSpaceDN/>
              <w:adjustRightInd/>
              <w:jc w:val="right"/>
              <w:textAlignment w:val="auto"/>
              <w:rPr>
                <w:color w:val="000000"/>
              </w:rPr>
            </w:pPr>
            <w:r w:rsidRPr="00C12C1E">
              <w:rPr>
                <w:color w:val="000000"/>
              </w:rPr>
              <w:t>20</w:t>
            </w:r>
          </w:p>
        </w:tc>
        <w:tc>
          <w:tcPr>
            <w:tcW w:w="1240" w:type="dxa"/>
            <w:tcBorders>
              <w:top w:val="nil"/>
              <w:left w:val="nil"/>
              <w:bottom w:val="single" w:sz="8" w:space="0" w:color="D8D8D8"/>
              <w:right w:val="single" w:sz="4" w:space="0" w:color="BFBFBF" w:themeColor="background1" w:themeShade="BF"/>
            </w:tcBorders>
            <w:hideMark/>
          </w:tcPr>
          <w:p w:rsidR="00845206" w:rsidRPr="00C12C1E" w:rsidP="0025336C" w14:paraId="6B681438" w14:textId="623074B5">
            <w:pPr>
              <w:overflowPunct/>
              <w:autoSpaceDE/>
              <w:autoSpaceDN/>
              <w:adjustRightInd/>
              <w:jc w:val="right"/>
              <w:textAlignment w:val="auto"/>
              <w:rPr>
                <w:color w:val="000000"/>
              </w:rPr>
            </w:pPr>
            <w:r w:rsidRPr="00166399">
              <w:rPr>
                <w:color w:val="000000"/>
              </w:rPr>
              <w:t>$58.35</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845206" w:rsidRPr="00C12C1E" w:rsidP="0025336C" w14:paraId="12DC98AA" w14:textId="706ECF71">
            <w:pPr>
              <w:overflowPunct/>
              <w:autoSpaceDE/>
              <w:autoSpaceDN/>
              <w:adjustRightInd/>
              <w:jc w:val="right"/>
              <w:textAlignment w:val="auto"/>
              <w:rPr>
                <w:color w:val="000000"/>
              </w:rPr>
            </w:pPr>
            <w:r w:rsidRPr="00166399">
              <w:rPr>
                <w:color w:val="000000" w:themeColor="text1"/>
              </w:rPr>
              <w:t>$1,155.33</w:t>
            </w:r>
          </w:p>
        </w:tc>
      </w:tr>
      <w:tr w14:paraId="61977E6F" w14:textId="77777777" w:rsidTr="0025336C">
        <w:tblPrEx>
          <w:tblW w:w="9540" w:type="dxa"/>
          <w:tblInd w:w="439" w:type="dxa"/>
          <w:tblLook w:val="04A0"/>
        </w:tblPrEx>
        <w:trPr>
          <w:trHeight w:val="810"/>
        </w:trPr>
        <w:tc>
          <w:tcPr>
            <w:tcW w:w="1571" w:type="dxa"/>
            <w:tcBorders>
              <w:top w:val="nil"/>
              <w:left w:val="single" w:sz="8" w:space="0" w:color="auto"/>
              <w:bottom w:val="single" w:sz="8" w:space="0" w:color="D8D8D8"/>
              <w:right w:val="single" w:sz="8" w:space="0" w:color="D8D8D8"/>
            </w:tcBorders>
            <w:hideMark/>
          </w:tcPr>
          <w:p w:rsidR="00845206" w:rsidRPr="00C12C1E" w:rsidP="0025336C" w14:paraId="37AB6DD9" w14:textId="77777777">
            <w:pPr>
              <w:overflowPunct/>
              <w:autoSpaceDE/>
              <w:autoSpaceDN/>
              <w:adjustRightInd/>
              <w:textAlignment w:val="auto"/>
              <w:rPr>
                <w:color w:val="000000"/>
              </w:rPr>
            </w:pPr>
            <w:r w:rsidRPr="00C12C1E">
              <w:rPr>
                <w:color w:val="000000"/>
              </w:rPr>
              <w:t>CFP Grant Application Module</w:t>
            </w:r>
          </w:p>
        </w:tc>
        <w:tc>
          <w:tcPr>
            <w:tcW w:w="1230" w:type="dxa"/>
            <w:tcBorders>
              <w:top w:val="nil"/>
              <w:left w:val="nil"/>
              <w:bottom w:val="single" w:sz="8" w:space="0" w:color="D8D8D8"/>
              <w:right w:val="single" w:sz="8" w:space="0" w:color="D8D8D8"/>
            </w:tcBorders>
            <w:hideMark/>
          </w:tcPr>
          <w:p w:rsidR="00845206" w:rsidRPr="00C12C1E" w:rsidP="0025336C" w14:paraId="46A1E53D" w14:textId="77777777">
            <w:pPr>
              <w:overflowPunct/>
              <w:autoSpaceDE/>
              <w:autoSpaceDN/>
              <w:adjustRightInd/>
              <w:jc w:val="right"/>
              <w:textAlignment w:val="auto"/>
              <w:rPr>
                <w:color w:val="000000"/>
              </w:rPr>
            </w:pPr>
            <w:r w:rsidRPr="00C12C1E">
              <w:rPr>
                <w:color w:val="000000"/>
              </w:rPr>
              <w:t>50</w:t>
            </w:r>
          </w:p>
        </w:tc>
        <w:tc>
          <w:tcPr>
            <w:tcW w:w="1026" w:type="dxa"/>
            <w:tcBorders>
              <w:top w:val="nil"/>
              <w:left w:val="nil"/>
              <w:bottom w:val="single" w:sz="8" w:space="0" w:color="D8D8D8"/>
              <w:right w:val="single" w:sz="8" w:space="0" w:color="D8D8D8"/>
            </w:tcBorders>
            <w:hideMark/>
          </w:tcPr>
          <w:p w:rsidR="00845206" w:rsidRPr="00C12C1E" w:rsidP="0025336C" w14:paraId="4BE432F8" w14:textId="77777777">
            <w:pPr>
              <w:overflowPunct/>
              <w:autoSpaceDE/>
              <w:autoSpaceDN/>
              <w:adjustRightInd/>
              <w:jc w:val="right"/>
              <w:textAlignment w:val="auto"/>
              <w:rPr>
                <w:color w:val="000000"/>
              </w:rPr>
            </w:pPr>
            <w:r w:rsidRPr="00C12C1E">
              <w:rPr>
                <w:color w:val="000000"/>
              </w:rPr>
              <w:t>1</w:t>
            </w:r>
          </w:p>
        </w:tc>
        <w:tc>
          <w:tcPr>
            <w:tcW w:w="1161" w:type="dxa"/>
            <w:tcBorders>
              <w:top w:val="nil"/>
              <w:left w:val="nil"/>
              <w:bottom w:val="single" w:sz="8" w:space="0" w:color="D8D8D8"/>
              <w:right w:val="single" w:sz="8" w:space="0" w:color="D8D8D8"/>
            </w:tcBorders>
            <w:hideMark/>
          </w:tcPr>
          <w:p w:rsidR="00845206" w:rsidRPr="00C12C1E" w:rsidP="0025336C" w14:paraId="0C843DD2" w14:textId="77777777">
            <w:pPr>
              <w:overflowPunct/>
              <w:autoSpaceDE/>
              <w:autoSpaceDN/>
              <w:adjustRightInd/>
              <w:jc w:val="right"/>
              <w:textAlignment w:val="auto"/>
              <w:rPr>
                <w:color w:val="000000"/>
              </w:rPr>
            </w:pPr>
            <w:r w:rsidRPr="00C12C1E">
              <w:rPr>
                <w:color w:val="000000"/>
              </w:rPr>
              <w:t>50</w:t>
            </w:r>
          </w:p>
        </w:tc>
        <w:tc>
          <w:tcPr>
            <w:tcW w:w="981" w:type="dxa"/>
            <w:tcBorders>
              <w:top w:val="nil"/>
              <w:left w:val="nil"/>
              <w:bottom w:val="single" w:sz="8" w:space="0" w:color="D8D8D8"/>
              <w:right w:val="single" w:sz="8" w:space="0" w:color="D8D8D8"/>
            </w:tcBorders>
            <w:hideMark/>
          </w:tcPr>
          <w:p w:rsidR="00845206" w:rsidRPr="00C12C1E" w:rsidP="0025336C" w14:paraId="48446014" w14:textId="77777777">
            <w:pPr>
              <w:overflowPunct/>
              <w:autoSpaceDE/>
              <w:autoSpaceDN/>
              <w:adjustRightInd/>
              <w:jc w:val="right"/>
              <w:textAlignment w:val="auto"/>
              <w:rPr>
                <w:color w:val="000000"/>
              </w:rPr>
            </w:pPr>
            <w:r w:rsidRPr="00C12C1E">
              <w:rPr>
                <w:color w:val="000000"/>
              </w:rPr>
              <w:t>2</w:t>
            </w:r>
          </w:p>
        </w:tc>
        <w:tc>
          <w:tcPr>
            <w:tcW w:w="996" w:type="dxa"/>
            <w:tcBorders>
              <w:top w:val="nil"/>
              <w:left w:val="nil"/>
              <w:bottom w:val="single" w:sz="8" w:space="0" w:color="D8D8D8"/>
              <w:right w:val="single" w:sz="8" w:space="0" w:color="D8D8D8"/>
            </w:tcBorders>
            <w:hideMark/>
          </w:tcPr>
          <w:p w:rsidR="00845206" w:rsidRPr="00C12C1E" w:rsidP="0025336C" w14:paraId="0226C15A" w14:textId="77777777">
            <w:pPr>
              <w:overflowPunct/>
              <w:autoSpaceDE/>
              <w:autoSpaceDN/>
              <w:adjustRightInd/>
              <w:jc w:val="right"/>
              <w:textAlignment w:val="auto"/>
              <w:rPr>
                <w:color w:val="000000"/>
              </w:rPr>
            </w:pPr>
            <w:r w:rsidRPr="00C12C1E">
              <w:rPr>
                <w:color w:val="000000"/>
              </w:rPr>
              <w:t>100</w:t>
            </w:r>
          </w:p>
        </w:tc>
        <w:tc>
          <w:tcPr>
            <w:tcW w:w="1240" w:type="dxa"/>
            <w:tcBorders>
              <w:top w:val="nil"/>
              <w:left w:val="nil"/>
              <w:bottom w:val="single" w:sz="8" w:space="0" w:color="D8D8D8"/>
              <w:right w:val="single" w:sz="4" w:space="0" w:color="BFBFBF" w:themeColor="background1" w:themeShade="BF"/>
            </w:tcBorders>
            <w:hideMark/>
          </w:tcPr>
          <w:p w:rsidR="00845206" w:rsidRPr="00C12C1E" w:rsidP="0025336C" w14:paraId="23D44442" w14:textId="43B51620">
            <w:pPr>
              <w:overflowPunct/>
              <w:autoSpaceDE/>
              <w:autoSpaceDN/>
              <w:adjustRightInd/>
              <w:jc w:val="right"/>
              <w:textAlignment w:val="auto"/>
              <w:rPr>
                <w:color w:val="000000"/>
              </w:rPr>
            </w:pPr>
            <w:r w:rsidRPr="00166399">
              <w:rPr>
                <w:color w:val="000000"/>
              </w:rPr>
              <w:t>$58.35</w:t>
            </w:r>
          </w:p>
        </w:tc>
        <w:tc>
          <w:tcPr>
            <w:tcW w:w="13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000000" w:themeColor="text1"/>
            </w:tcBorders>
            <w:noWrap/>
            <w:hideMark/>
          </w:tcPr>
          <w:p w:rsidR="00845206" w:rsidRPr="00C12C1E" w:rsidP="0025336C" w14:paraId="214B520D" w14:textId="6B6EE979">
            <w:pPr>
              <w:overflowPunct/>
              <w:autoSpaceDE/>
              <w:autoSpaceDN/>
              <w:adjustRightInd/>
              <w:jc w:val="right"/>
              <w:textAlignment w:val="auto"/>
              <w:rPr>
                <w:color w:val="000000"/>
              </w:rPr>
            </w:pPr>
            <w:r w:rsidRPr="00166399">
              <w:rPr>
                <w:color w:val="000000"/>
              </w:rPr>
              <w:t>$5,835.00</w:t>
            </w:r>
          </w:p>
        </w:tc>
      </w:tr>
      <w:tr w14:paraId="304127E8" w14:textId="77777777" w:rsidTr="0025336C">
        <w:tblPrEx>
          <w:tblW w:w="9540" w:type="dxa"/>
          <w:tblInd w:w="439" w:type="dxa"/>
          <w:tblLook w:val="04A0"/>
        </w:tblPrEx>
        <w:trPr>
          <w:trHeight w:val="315"/>
        </w:trPr>
        <w:tc>
          <w:tcPr>
            <w:tcW w:w="1571" w:type="dxa"/>
            <w:tcBorders>
              <w:top w:val="nil"/>
              <w:left w:val="single" w:sz="8" w:space="0" w:color="auto"/>
              <w:bottom w:val="single" w:sz="8" w:space="0" w:color="auto"/>
              <w:right w:val="single" w:sz="8" w:space="0" w:color="D8D8D8"/>
            </w:tcBorders>
            <w:shd w:val="clear" w:color="000000" w:fill="D8D8D8"/>
            <w:vAlign w:val="center"/>
            <w:hideMark/>
          </w:tcPr>
          <w:p w:rsidR="00845206" w:rsidRPr="00C12C1E" w:rsidP="0025336C" w14:paraId="0BDA4DA1" w14:textId="77777777">
            <w:pPr>
              <w:overflowPunct/>
              <w:autoSpaceDE/>
              <w:autoSpaceDN/>
              <w:adjustRightInd/>
              <w:jc w:val="center"/>
              <w:textAlignment w:val="auto"/>
              <w:rPr>
                <w:b/>
                <w:bCs/>
                <w:color w:val="2B579A"/>
              </w:rPr>
            </w:pPr>
            <w:r w:rsidRPr="00C12C1E">
              <w:rPr>
                <w:b/>
                <w:bCs/>
                <w:color w:val="2B579A"/>
              </w:rPr>
              <w:t>Totals</w:t>
            </w:r>
          </w:p>
        </w:tc>
        <w:tc>
          <w:tcPr>
            <w:tcW w:w="1230" w:type="dxa"/>
            <w:tcBorders>
              <w:top w:val="nil"/>
              <w:left w:val="nil"/>
              <w:bottom w:val="single" w:sz="8" w:space="0" w:color="auto"/>
              <w:right w:val="single" w:sz="8" w:space="0" w:color="D8D8D8"/>
            </w:tcBorders>
            <w:shd w:val="clear" w:color="000000" w:fill="D8D8D8"/>
            <w:vAlign w:val="center"/>
            <w:hideMark/>
          </w:tcPr>
          <w:p w:rsidR="00845206" w:rsidRPr="00C12C1E" w:rsidP="0025336C" w14:paraId="50E0E324" w14:textId="34BF58E6">
            <w:pPr>
              <w:overflowPunct/>
              <w:autoSpaceDE/>
              <w:autoSpaceDN/>
              <w:adjustRightInd/>
              <w:jc w:val="center"/>
              <w:textAlignment w:val="auto"/>
              <w:rPr>
                <w:b/>
                <w:bCs/>
                <w:color w:val="2B579A"/>
              </w:rPr>
            </w:pPr>
            <w:r>
              <w:rPr>
                <w:b/>
                <w:bCs/>
                <w:color w:val="2B579A"/>
              </w:rPr>
              <w:t>13</w:t>
            </w:r>
            <w:r w:rsidRPr="00C12C1E">
              <w:rPr>
                <w:b/>
                <w:bCs/>
                <w:color w:val="2B579A"/>
              </w:rPr>
              <w:t>,4</w:t>
            </w:r>
            <w:r>
              <w:rPr>
                <w:b/>
                <w:bCs/>
                <w:color w:val="2B579A"/>
              </w:rPr>
              <w:t>15</w:t>
            </w:r>
          </w:p>
        </w:tc>
        <w:tc>
          <w:tcPr>
            <w:tcW w:w="1026" w:type="dxa"/>
            <w:tcBorders>
              <w:top w:val="nil"/>
              <w:left w:val="nil"/>
              <w:bottom w:val="single" w:sz="8" w:space="0" w:color="auto"/>
              <w:right w:val="single" w:sz="8" w:space="0" w:color="D8D8D8"/>
            </w:tcBorders>
            <w:shd w:val="clear" w:color="000000" w:fill="D8D8D8"/>
            <w:vAlign w:val="center"/>
            <w:hideMark/>
          </w:tcPr>
          <w:p w:rsidR="00845206" w:rsidRPr="00C12C1E" w:rsidP="0025336C" w14:paraId="5E76CB1F" w14:textId="77777777">
            <w:pPr>
              <w:overflowPunct/>
              <w:autoSpaceDE/>
              <w:autoSpaceDN/>
              <w:adjustRightInd/>
              <w:jc w:val="center"/>
              <w:textAlignment w:val="auto"/>
              <w:rPr>
                <w:b/>
                <w:bCs/>
                <w:color w:val="2B579A"/>
              </w:rPr>
            </w:pPr>
            <w:r w:rsidRPr="00C12C1E">
              <w:rPr>
                <w:b/>
                <w:bCs/>
                <w:color w:val="2B579A"/>
              </w:rPr>
              <w:t>12.5</w:t>
            </w:r>
          </w:p>
        </w:tc>
        <w:tc>
          <w:tcPr>
            <w:tcW w:w="1161" w:type="dxa"/>
            <w:tcBorders>
              <w:top w:val="nil"/>
              <w:left w:val="nil"/>
              <w:bottom w:val="single" w:sz="8" w:space="0" w:color="auto"/>
              <w:right w:val="single" w:sz="8" w:space="0" w:color="D8D8D8"/>
            </w:tcBorders>
            <w:shd w:val="clear" w:color="000000" w:fill="D8D8D8"/>
            <w:vAlign w:val="center"/>
            <w:hideMark/>
          </w:tcPr>
          <w:p w:rsidR="00845206" w:rsidRPr="00C12C1E" w:rsidP="0025336C" w14:paraId="0E5B4572" w14:textId="77777777">
            <w:pPr>
              <w:overflowPunct/>
              <w:autoSpaceDE/>
              <w:autoSpaceDN/>
              <w:adjustRightInd/>
              <w:jc w:val="center"/>
              <w:textAlignment w:val="auto"/>
              <w:rPr>
                <w:b/>
                <w:bCs/>
                <w:color w:val="2B579A"/>
              </w:rPr>
            </w:pPr>
            <w:r w:rsidRPr="00C12C1E">
              <w:rPr>
                <w:b/>
                <w:bCs/>
                <w:color w:val="2B579A"/>
              </w:rPr>
              <w:t>20,415</w:t>
            </w:r>
          </w:p>
        </w:tc>
        <w:tc>
          <w:tcPr>
            <w:tcW w:w="981" w:type="dxa"/>
            <w:tcBorders>
              <w:top w:val="nil"/>
              <w:left w:val="nil"/>
              <w:bottom w:val="single" w:sz="8" w:space="0" w:color="auto"/>
              <w:right w:val="single" w:sz="8" w:space="0" w:color="D8D8D8"/>
            </w:tcBorders>
            <w:shd w:val="clear" w:color="000000" w:fill="D8D8D8"/>
            <w:vAlign w:val="center"/>
            <w:hideMark/>
          </w:tcPr>
          <w:p w:rsidR="00845206" w:rsidRPr="00C12C1E" w:rsidP="0025336C" w14:paraId="5E83F071" w14:textId="77777777">
            <w:pPr>
              <w:overflowPunct/>
              <w:autoSpaceDE/>
              <w:autoSpaceDN/>
              <w:adjustRightInd/>
              <w:jc w:val="center"/>
              <w:textAlignment w:val="auto"/>
              <w:rPr>
                <w:b/>
                <w:bCs/>
                <w:color w:val="2B579A"/>
              </w:rPr>
            </w:pPr>
            <w:r w:rsidRPr="00C12C1E">
              <w:rPr>
                <w:b/>
                <w:bCs/>
                <w:color w:val="2B579A"/>
              </w:rPr>
              <w:t>248.33</w:t>
            </w:r>
          </w:p>
        </w:tc>
        <w:tc>
          <w:tcPr>
            <w:tcW w:w="996" w:type="dxa"/>
            <w:tcBorders>
              <w:top w:val="nil"/>
              <w:left w:val="nil"/>
              <w:bottom w:val="single" w:sz="8" w:space="0" w:color="auto"/>
              <w:right w:val="single" w:sz="8" w:space="0" w:color="D8D8D8"/>
            </w:tcBorders>
            <w:shd w:val="clear" w:color="000000" w:fill="D8D8D8"/>
            <w:vAlign w:val="center"/>
            <w:hideMark/>
          </w:tcPr>
          <w:p w:rsidR="00845206" w:rsidRPr="00C12C1E" w:rsidP="0025336C" w14:paraId="06AC0A94" w14:textId="164A83E9">
            <w:pPr>
              <w:overflowPunct/>
              <w:autoSpaceDE/>
              <w:autoSpaceDN/>
              <w:adjustRightInd/>
              <w:jc w:val="center"/>
              <w:textAlignment w:val="auto"/>
              <w:rPr>
                <w:b/>
                <w:bCs/>
                <w:color w:val="2B579A"/>
              </w:rPr>
            </w:pPr>
            <w:r>
              <w:rPr>
                <w:b/>
                <w:bCs/>
                <w:color w:val="2B579A"/>
              </w:rPr>
              <w:t>30</w:t>
            </w:r>
            <w:r w:rsidRPr="00C12C1E">
              <w:rPr>
                <w:b/>
                <w:bCs/>
                <w:color w:val="2B579A"/>
              </w:rPr>
              <w:t>,</w:t>
            </w:r>
            <w:r>
              <w:rPr>
                <w:b/>
                <w:bCs/>
                <w:color w:val="2B579A"/>
              </w:rPr>
              <w:t>327</w:t>
            </w:r>
          </w:p>
        </w:tc>
        <w:tc>
          <w:tcPr>
            <w:tcW w:w="1240" w:type="dxa"/>
            <w:tcBorders>
              <w:top w:val="nil"/>
              <w:left w:val="nil"/>
              <w:bottom w:val="single" w:sz="8" w:space="0" w:color="auto"/>
              <w:right w:val="single" w:sz="8" w:space="0" w:color="D8D8D8"/>
            </w:tcBorders>
            <w:shd w:val="clear" w:color="000000" w:fill="D8D8D8"/>
            <w:vAlign w:val="center"/>
            <w:hideMark/>
          </w:tcPr>
          <w:p w:rsidR="00845206" w:rsidRPr="00C12C1E" w:rsidP="0025336C" w14:paraId="111E75FB" w14:textId="66330EE7">
            <w:pPr>
              <w:overflowPunct/>
              <w:autoSpaceDE/>
              <w:autoSpaceDN/>
              <w:adjustRightInd/>
              <w:jc w:val="center"/>
              <w:textAlignment w:val="auto"/>
              <w:rPr>
                <w:b/>
                <w:bCs/>
                <w:color w:val="2B579A"/>
              </w:rPr>
            </w:pPr>
            <w:r w:rsidRPr="00C12C1E">
              <w:rPr>
                <w:b/>
                <w:bCs/>
                <w:color w:val="2B579A"/>
              </w:rPr>
              <w:t>5</w:t>
            </w:r>
            <w:r w:rsidR="00D0787F">
              <w:rPr>
                <w:b/>
                <w:bCs/>
                <w:color w:val="2B579A"/>
              </w:rPr>
              <w:t>8</w:t>
            </w:r>
            <w:r w:rsidRPr="00C12C1E">
              <w:rPr>
                <w:b/>
                <w:bCs/>
                <w:color w:val="2B579A"/>
              </w:rPr>
              <w:t>.</w:t>
            </w:r>
            <w:r w:rsidR="00D0787F">
              <w:rPr>
                <w:b/>
                <w:bCs/>
                <w:color w:val="2B579A"/>
              </w:rPr>
              <w:t>35</w:t>
            </w:r>
          </w:p>
        </w:tc>
        <w:tc>
          <w:tcPr>
            <w:tcW w:w="1335" w:type="dxa"/>
            <w:tcBorders>
              <w:top w:val="single" w:sz="4" w:space="0" w:color="BFBFBF" w:themeColor="background1" w:themeShade="BF"/>
              <w:left w:val="nil"/>
              <w:bottom w:val="single" w:sz="8" w:space="0" w:color="auto"/>
              <w:right w:val="single" w:sz="4" w:space="0" w:color="BFBFBF" w:themeColor="background1" w:themeShade="BF"/>
            </w:tcBorders>
            <w:shd w:val="clear" w:color="000000" w:fill="D8D8D8"/>
            <w:vAlign w:val="center"/>
            <w:hideMark/>
          </w:tcPr>
          <w:p w:rsidR="00845206" w:rsidRPr="00C12C1E" w:rsidP="0025336C" w14:paraId="58A0EA16" w14:textId="67FC0CA9">
            <w:pPr>
              <w:overflowPunct/>
              <w:autoSpaceDE/>
              <w:autoSpaceDN/>
              <w:adjustRightInd/>
              <w:jc w:val="center"/>
              <w:textAlignment w:val="auto"/>
              <w:rPr>
                <w:b/>
                <w:bCs/>
                <w:color w:val="2B579A"/>
              </w:rPr>
            </w:pPr>
            <w:r w:rsidRPr="00C12C1E">
              <w:rPr>
                <w:b/>
                <w:bCs/>
                <w:color w:val="2B579A"/>
              </w:rPr>
              <w:t>$</w:t>
            </w:r>
            <w:r w:rsidRPr="00166399" w:rsidR="00166399">
              <w:rPr>
                <w:b/>
                <w:bCs/>
                <w:color w:val="2B579A"/>
              </w:rPr>
              <w:t>1,769,597.96</w:t>
            </w:r>
          </w:p>
        </w:tc>
      </w:tr>
    </w:tbl>
    <w:p w:rsidR="001C3322" w:rsidP="001C3322" w14:paraId="011A18A2" w14:textId="77777777">
      <w:pPr>
        <w:keepLines/>
        <w:tabs>
          <w:tab w:val="left" w:pos="360"/>
          <w:tab w:val="left" w:pos="720"/>
        </w:tabs>
        <w:rPr>
          <w:sz w:val="18"/>
          <w:szCs w:val="18"/>
        </w:rPr>
      </w:pPr>
    </w:p>
    <w:p w:rsidR="001C3322" w:rsidP="00845206" w14:paraId="612FA643" w14:textId="60B28673">
      <w:pPr>
        <w:tabs>
          <w:tab w:val="left" w:pos="360"/>
        </w:tabs>
        <w:ind w:left="360"/>
        <w:rPr>
          <w:noProof/>
          <w:sz w:val="24"/>
          <w:szCs w:val="24"/>
        </w:rPr>
      </w:pPr>
      <w:r w:rsidRPr="00AE0DE2">
        <w:rPr>
          <w:noProof/>
          <w:sz w:val="24"/>
          <w:szCs w:val="24"/>
        </w:rPr>
        <w:t>The assumed hourly cost figure of $</w:t>
      </w:r>
      <w:r w:rsidR="0095459B">
        <w:rPr>
          <w:noProof/>
          <w:sz w:val="24"/>
          <w:szCs w:val="24"/>
        </w:rPr>
        <w:t>5</w:t>
      </w:r>
      <w:r w:rsidR="00D0787F">
        <w:rPr>
          <w:noProof/>
          <w:sz w:val="24"/>
          <w:szCs w:val="24"/>
        </w:rPr>
        <w:t>8</w:t>
      </w:r>
      <w:r w:rsidR="0095459B">
        <w:rPr>
          <w:noProof/>
          <w:sz w:val="24"/>
          <w:szCs w:val="24"/>
        </w:rPr>
        <w:t>.</w:t>
      </w:r>
      <w:r w:rsidR="00D0787F">
        <w:rPr>
          <w:noProof/>
          <w:sz w:val="24"/>
          <w:szCs w:val="24"/>
        </w:rPr>
        <w:t xml:space="preserve">35 </w:t>
      </w:r>
      <w:r w:rsidRPr="00AE0DE2">
        <w:rPr>
          <w:noProof/>
          <w:sz w:val="24"/>
          <w:szCs w:val="24"/>
        </w:rPr>
        <w:t xml:space="preserve">is equivalent to the hourly salary of a </w:t>
      </w:r>
      <w:r w:rsidR="004C546C">
        <w:rPr>
          <w:noProof/>
          <w:sz w:val="24"/>
          <w:szCs w:val="24"/>
        </w:rPr>
        <w:t>project management specialist</w:t>
      </w:r>
      <w:r w:rsidRPr="00AE0DE2">
        <w:rPr>
          <w:noProof/>
          <w:sz w:val="24"/>
          <w:szCs w:val="24"/>
        </w:rPr>
        <w:t xml:space="preserve"> (i.e., a GS-1</w:t>
      </w:r>
      <w:r w:rsidR="005206B3">
        <w:rPr>
          <w:noProof/>
          <w:sz w:val="24"/>
          <w:szCs w:val="24"/>
        </w:rPr>
        <w:t>3</w:t>
      </w:r>
      <w:r w:rsidRPr="00AE0DE2">
        <w:rPr>
          <w:noProof/>
          <w:sz w:val="24"/>
          <w:szCs w:val="24"/>
        </w:rPr>
        <w:t xml:space="preserve"> employee).  The total estimated hours for the collection is </w:t>
      </w:r>
      <w:r w:rsidR="00D0787F">
        <w:rPr>
          <w:noProof/>
          <w:sz w:val="24"/>
          <w:szCs w:val="24"/>
        </w:rPr>
        <w:t>30</w:t>
      </w:r>
      <w:r w:rsidR="00523D84">
        <w:rPr>
          <w:noProof/>
          <w:sz w:val="24"/>
          <w:szCs w:val="24"/>
        </w:rPr>
        <w:t>,</w:t>
      </w:r>
      <w:r w:rsidR="00D0787F">
        <w:rPr>
          <w:noProof/>
          <w:sz w:val="24"/>
          <w:szCs w:val="24"/>
        </w:rPr>
        <w:t>327</w:t>
      </w:r>
      <w:r>
        <w:rPr>
          <w:noProof/>
          <w:sz w:val="24"/>
          <w:szCs w:val="24"/>
        </w:rPr>
        <w:t xml:space="preserve"> </w:t>
      </w:r>
      <w:r w:rsidRPr="00AE0DE2">
        <w:rPr>
          <w:noProof/>
          <w:sz w:val="24"/>
          <w:szCs w:val="24"/>
        </w:rPr>
        <w:t xml:space="preserve">hours. The costs for this data collection are project management and monitoring of grantees.  The annualized cost is funded by the Federal </w:t>
      </w:r>
      <w:r>
        <w:rPr>
          <w:noProof/>
          <w:sz w:val="24"/>
          <w:szCs w:val="24"/>
        </w:rPr>
        <w:t>G</w:t>
      </w:r>
      <w:r w:rsidRPr="00AE0DE2">
        <w:rPr>
          <w:noProof/>
          <w:sz w:val="24"/>
          <w:szCs w:val="24"/>
        </w:rPr>
        <w:t>overnment.</w:t>
      </w:r>
    </w:p>
    <w:p w:rsidR="001C3322" w:rsidRPr="00AE0DE2" w:rsidP="00845206" w14:paraId="7C0A4702" w14:textId="77777777">
      <w:pPr>
        <w:tabs>
          <w:tab w:val="left" w:pos="360"/>
        </w:tabs>
        <w:ind w:left="360"/>
        <w:rPr>
          <w:sz w:val="24"/>
          <w:szCs w:val="24"/>
        </w:rPr>
      </w:pPr>
    </w:p>
    <w:p w:rsidR="001C3322" w:rsidP="001C3322" w14:paraId="315307E5" w14:textId="77777777">
      <w:pPr>
        <w:keepLines/>
        <w:tabs>
          <w:tab w:val="left" w:pos="360"/>
        </w:tabs>
        <w:ind w:left="360" w:hanging="360"/>
        <w:rPr>
          <w:b/>
          <w:bCs/>
          <w:sz w:val="24"/>
          <w:szCs w:val="24"/>
        </w:rPr>
      </w:pPr>
      <w:r w:rsidRPr="00AE0DE2">
        <w:rPr>
          <w:sz w:val="24"/>
          <w:szCs w:val="24"/>
        </w:rPr>
        <w:t>15.</w:t>
      </w:r>
      <w:r w:rsidRPr="00AE0DE2">
        <w:rPr>
          <w:sz w:val="24"/>
          <w:szCs w:val="24"/>
        </w:rPr>
        <w:tab/>
      </w:r>
      <w:r w:rsidRPr="00AE0DE2">
        <w:rPr>
          <w:b/>
          <w:bCs/>
          <w:sz w:val="24"/>
          <w:szCs w:val="24"/>
        </w:rPr>
        <w:t>Explain the reasons for any program changes or adjustments reported in Items 12 and 14 of the Supporting Statement.</w:t>
      </w:r>
    </w:p>
    <w:p w:rsidR="001C3322" w:rsidRPr="00AE0DE2" w:rsidP="001C3322" w14:paraId="5962B2E2" w14:textId="77777777">
      <w:pPr>
        <w:keepLines/>
        <w:tabs>
          <w:tab w:val="left" w:pos="360"/>
        </w:tabs>
        <w:ind w:left="360" w:hanging="360"/>
        <w:rPr>
          <w:b/>
          <w:bCs/>
          <w:sz w:val="24"/>
          <w:szCs w:val="24"/>
        </w:rPr>
      </w:pPr>
    </w:p>
    <w:p w:rsidR="001C3322" w:rsidRPr="00E12CB7" w:rsidP="001C3322" w14:paraId="3A75680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360"/>
        <w:rPr>
          <w:sz w:val="24"/>
          <w:szCs w:val="24"/>
        </w:rPr>
      </w:pPr>
      <w:r w:rsidRPr="00E12CB7">
        <w:rPr>
          <w:sz w:val="24"/>
          <w:szCs w:val="24"/>
        </w:rPr>
        <w:t>Revisions:</w:t>
      </w:r>
    </w:p>
    <w:p w:rsidR="001C3322" w:rsidRPr="00AE0DE2" w:rsidP="001C3322" w14:paraId="452401BF" w14:textId="77777777">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sz w:val="24"/>
          <w:szCs w:val="24"/>
        </w:rPr>
      </w:pPr>
      <w:r w:rsidRPr="00AE0DE2">
        <w:rPr>
          <w:sz w:val="24"/>
          <w:szCs w:val="24"/>
        </w:rPr>
        <w:t xml:space="preserve">There was a new module implemented for EDG in EPIC that now collects applications that were previously submitted on paper to reduce the labor and less errors for submission. </w:t>
      </w:r>
    </w:p>
    <w:p w:rsidR="001C3322" w:rsidRPr="00AE0DE2" w:rsidP="001C3322" w14:paraId="1163E13E" w14:textId="67B962BF">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sz w:val="24"/>
          <w:szCs w:val="24"/>
        </w:rPr>
      </w:pPr>
      <w:r w:rsidRPr="00AE0DE2">
        <w:rPr>
          <w:color w:val="000000"/>
          <w:sz w:val="24"/>
          <w:szCs w:val="24"/>
        </w:rPr>
        <w:t>The</w:t>
      </w:r>
      <w:r w:rsidR="007238FC">
        <w:rPr>
          <w:color w:val="000000"/>
          <w:sz w:val="24"/>
          <w:szCs w:val="24"/>
        </w:rPr>
        <w:t xml:space="preserve"> new digital closeout forms include</w:t>
      </w:r>
      <w:r w:rsidRPr="00AE0DE2">
        <w:rPr>
          <w:color w:val="000000"/>
          <w:sz w:val="24"/>
          <w:szCs w:val="24"/>
        </w:rPr>
        <w:t xml:space="preserve"> AMCC/ADCC </w:t>
      </w:r>
      <w:r w:rsidR="007238FC">
        <w:rPr>
          <w:color w:val="000000"/>
          <w:sz w:val="24"/>
          <w:szCs w:val="24"/>
        </w:rPr>
        <w:t xml:space="preserve">that </w:t>
      </w:r>
      <w:r w:rsidRPr="00AE0DE2">
        <w:rPr>
          <w:color w:val="000000"/>
          <w:sz w:val="24"/>
          <w:szCs w:val="24"/>
        </w:rPr>
        <w:t>have been automated in the Document Management Center</w:t>
      </w:r>
      <w:r>
        <w:rPr>
          <w:color w:val="000000"/>
          <w:sz w:val="24"/>
          <w:szCs w:val="24"/>
        </w:rPr>
        <w:t>, which</w:t>
      </w:r>
      <w:r w:rsidRPr="00AE0DE2">
        <w:rPr>
          <w:color w:val="000000"/>
          <w:sz w:val="24"/>
          <w:szCs w:val="24"/>
        </w:rPr>
        <w:t xml:space="preserve"> was previously </w:t>
      </w:r>
      <w:r>
        <w:rPr>
          <w:color w:val="000000"/>
          <w:sz w:val="24"/>
          <w:szCs w:val="24"/>
        </w:rPr>
        <w:t xml:space="preserve">a </w:t>
      </w:r>
      <w:r w:rsidRPr="00AE0DE2">
        <w:rPr>
          <w:color w:val="000000"/>
          <w:sz w:val="24"/>
          <w:szCs w:val="24"/>
        </w:rPr>
        <w:t>paper-based process</w:t>
      </w:r>
      <w:r>
        <w:rPr>
          <w:color w:val="000000"/>
          <w:sz w:val="24"/>
          <w:szCs w:val="24"/>
        </w:rPr>
        <w:t>,</w:t>
      </w:r>
      <w:r w:rsidRPr="00AE0DE2">
        <w:rPr>
          <w:color w:val="000000"/>
          <w:sz w:val="24"/>
          <w:szCs w:val="24"/>
        </w:rPr>
        <w:t xml:space="preserve"> to reduce the hours of the collection by 20.</w:t>
      </w:r>
    </w:p>
    <w:p w:rsidR="001C3322" w:rsidRPr="00AE0DE2" w:rsidP="001C3322" w14:paraId="3FC4CDBB" w14:textId="77777777">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sz w:val="24"/>
          <w:szCs w:val="24"/>
        </w:rPr>
      </w:pPr>
      <w:r w:rsidRPr="00AE0DE2">
        <w:rPr>
          <w:color w:val="000000"/>
          <w:sz w:val="24"/>
          <w:szCs w:val="24"/>
        </w:rPr>
        <w:t xml:space="preserve">Users can now enter utility conservation measures within the </w:t>
      </w:r>
      <w:r>
        <w:rPr>
          <w:color w:val="000000"/>
          <w:sz w:val="24"/>
          <w:szCs w:val="24"/>
        </w:rPr>
        <w:t>Five</w:t>
      </w:r>
      <w:r w:rsidRPr="00AE0DE2">
        <w:rPr>
          <w:color w:val="000000"/>
          <w:sz w:val="24"/>
          <w:szCs w:val="24"/>
        </w:rPr>
        <w:t>-</w:t>
      </w:r>
      <w:r>
        <w:rPr>
          <w:color w:val="000000"/>
          <w:sz w:val="24"/>
          <w:szCs w:val="24"/>
        </w:rPr>
        <w:t>Y</w:t>
      </w:r>
      <w:r w:rsidRPr="00AE0DE2">
        <w:rPr>
          <w:color w:val="000000"/>
          <w:sz w:val="24"/>
          <w:szCs w:val="24"/>
        </w:rPr>
        <w:t xml:space="preserve">ear Action </w:t>
      </w:r>
      <w:r>
        <w:rPr>
          <w:color w:val="000000"/>
          <w:sz w:val="24"/>
          <w:szCs w:val="24"/>
        </w:rPr>
        <w:t>P</w:t>
      </w:r>
      <w:r w:rsidRPr="00AE0DE2">
        <w:rPr>
          <w:color w:val="000000"/>
          <w:sz w:val="24"/>
          <w:szCs w:val="24"/>
        </w:rPr>
        <w:t xml:space="preserve">lan </w:t>
      </w:r>
      <w:r>
        <w:rPr>
          <w:color w:val="000000"/>
          <w:sz w:val="24"/>
          <w:szCs w:val="24"/>
        </w:rPr>
        <w:t>W</w:t>
      </w:r>
      <w:r w:rsidRPr="00AE0DE2">
        <w:rPr>
          <w:color w:val="000000"/>
          <w:sz w:val="24"/>
          <w:szCs w:val="24"/>
        </w:rPr>
        <w:t xml:space="preserve">ork </w:t>
      </w:r>
      <w:r>
        <w:rPr>
          <w:color w:val="000000"/>
          <w:sz w:val="24"/>
          <w:szCs w:val="24"/>
        </w:rPr>
        <w:t>A</w:t>
      </w:r>
      <w:r w:rsidRPr="00AE0DE2">
        <w:rPr>
          <w:color w:val="000000"/>
          <w:sz w:val="24"/>
          <w:szCs w:val="24"/>
        </w:rPr>
        <w:t xml:space="preserve">ctivity </w:t>
      </w:r>
      <w:r>
        <w:rPr>
          <w:color w:val="000000"/>
          <w:sz w:val="24"/>
          <w:szCs w:val="24"/>
        </w:rPr>
        <w:t>M</w:t>
      </w:r>
      <w:r w:rsidRPr="00AE0DE2">
        <w:rPr>
          <w:color w:val="000000"/>
          <w:sz w:val="24"/>
          <w:szCs w:val="24"/>
        </w:rPr>
        <w:t>odule for more efficient data entry</w:t>
      </w:r>
      <w:r>
        <w:rPr>
          <w:color w:val="000000"/>
          <w:sz w:val="24"/>
          <w:szCs w:val="24"/>
        </w:rPr>
        <w:t xml:space="preserve"> that reduced the burden of the collections by approximately 60 hours</w:t>
      </w:r>
      <w:r w:rsidRPr="00AE0DE2">
        <w:rPr>
          <w:color w:val="000000"/>
          <w:sz w:val="24"/>
          <w:szCs w:val="24"/>
        </w:rPr>
        <w:t>.</w:t>
      </w:r>
    </w:p>
    <w:p w:rsidR="001C3322" w:rsidRPr="00AE0DE2" w:rsidP="001C3322" w14:paraId="1A894211" w14:textId="77777777">
      <w:pPr>
        <w:keepLines/>
        <w:tabs>
          <w:tab w:val="left" w:pos="360"/>
        </w:tabs>
        <w:ind w:left="360" w:hanging="360"/>
        <w:rPr>
          <w:sz w:val="24"/>
          <w:szCs w:val="24"/>
        </w:rPr>
      </w:pPr>
      <w:r w:rsidRPr="00AE0DE2">
        <w:rPr>
          <w:sz w:val="24"/>
          <w:szCs w:val="24"/>
        </w:rPr>
        <w:tab/>
        <w:t xml:space="preserve"> </w:t>
      </w:r>
    </w:p>
    <w:p w:rsidR="001C3322" w:rsidRPr="00AE0DE2" w:rsidP="001C3322" w14:paraId="1EB83A8E" w14:textId="77777777">
      <w:pPr>
        <w:keepLines/>
        <w:tabs>
          <w:tab w:val="left" w:pos="360"/>
        </w:tabs>
        <w:ind w:left="360" w:hanging="360"/>
        <w:rPr>
          <w:sz w:val="24"/>
          <w:szCs w:val="24"/>
        </w:rPr>
      </w:pPr>
      <w:r w:rsidRPr="00AE0DE2">
        <w:rPr>
          <w:sz w:val="24"/>
          <w:szCs w:val="24"/>
        </w:rPr>
        <w:t>16.</w:t>
      </w:r>
      <w:r w:rsidRPr="00AE0DE2">
        <w:rPr>
          <w:sz w:val="24"/>
          <w:szCs w:val="24"/>
        </w:rPr>
        <w:tab/>
      </w:r>
      <w:r w:rsidRPr="00AE0DE2">
        <w:rPr>
          <w:b/>
          <w:bCs/>
          <w:sz w:val="24"/>
          <w:szCs w:val="24"/>
        </w:rPr>
        <w:t>For collection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1C3322" w:rsidRPr="00AE0DE2" w:rsidP="001C3322" w14:paraId="1CAB0BCA" w14:textId="77777777">
      <w:pPr>
        <w:pStyle w:val="NoSpacing"/>
        <w:rPr>
          <w:sz w:val="24"/>
          <w:szCs w:val="24"/>
        </w:rPr>
      </w:pPr>
      <w:r w:rsidRPr="00AE0DE2">
        <w:rPr>
          <w:sz w:val="24"/>
          <w:szCs w:val="24"/>
        </w:rPr>
        <w:tab/>
      </w:r>
    </w:p>
    <w:p w:rsidR="001C3322" w:rsidRPr="00AE0DE2" w:rsidP="001C3322" w14:paraId="68F012AE" w14:textId="77777777">
      <w:pPr>
        <w:ind w:left="360"/>
        <w:rPr>
          <w:sz w:val="24"/>
          <w:szCs w:val="24"/>
        </w:rPr>
      </w:pPr>
      <w:r w:rsidRPr="00AE0DE2">
        <w:rPr>
          <w:sz w:val="24"/>
          <w:szCs w:val="24"/>
        </w:rPr>
        <w:t>The data will be tabulated, summarized, and published in various internal and external reports (including annual performance reports) and press releases.  The data may also be used by researchers to produce scholarly articles.</w:t>
      </w:r>
    </w:p>
    <w:p w:rsidR="001C3322" w:rsidRPr="00AE0DE2" w:rsidP="001C3322" w14:paraId="5D09964B" w14:textId="77777777">
      <w:pPr>
        <w:pStyle w:val="NoSpacing"/>
        <w:rPr>
          <w:sz w:val="24"/>
          <w:szCs w:val="24"/>
        </w:rPr>
      </w:pPr>
    </w:p>
    <w:p w:rsidR="001C3322" w:rsidP="001C3322" w14:paraId="53D7A977" w14:textId="77777777">
      <w:pPr>
        <w:keepLines/>
        <w:tabs>
          <w:tab w:val="left" w:pos="360"/>
        </w:tabs>
        <w:ind w:left="360" w:hanging="360"/>
        <w:rPr>
          <w:b/>
          <w:bCs/>
          <w:sz w:val="24"/>
          <w:szCs w:val="24"/>
        </w:rPr>
      </w:pPr>
      <w:r w:rsidRPr="00AE0DE2">
        <w:rPr>
          <w:sz w:val="24"/>
          <w:szCs w:val="24"/>
        </w:rPr>
        <w:t>17.</w:t>
      </w:r>
      <w:r w:rsidRPr="00AE0DE2">
        <w:rPr>
          <w:sz w:val="24"/>
          <w:szCs w:val="24"/>
        </w:rPr>
        <w:tab/>
      </w:r>
      <w:r w:rsidRPr="00AE0DE2">
        <w:rPr>
          <w:b/>
          <w:bCs/>
          <w:sz w:val="24"/>
          <w:szCs w:val="24"/>
        </w:rPr>
        <w:t>If seeking approval to not display the expiration date for OMB approval of the information collection, explain the reasons that display would be inappropriate.</w:t>
      </w:r>
    </w:p>
    <w:p w:rsidR="001C3322" w:rsidRPr="00AE0DE2" w:rsidP="001C3322" w14:paraId="138D1B7E" w14:textId="77777777">
      <w:pPr>
        <w:keepLines/>
        <w:tabs>
          <w:tab w:val="left" w:pos="360"/>
        </w:tabs>
        <w:ind w:left="360" w:hanging="360"/>
        <w:rPr>
          <w:sz w:val="24"/>
          <w:szCs w:val="24"/>
        </w:rPr>
      </w:pPr>
    </w:p>
    <w:p w:rsidR="001C3322" w:rsidRPr="00AE0DE2" w:rsidP="001C3322" w14:paraId="27645B69" w14:textId="77777777">
      <w:pPr>
        <w:pStyle w:val="BodyTextIndent"/>
        <w:tabs>
          <w:tab w:val="left" w:pos="0"/>
        </w:tabs>
        <w:spacing w:after="0"/>
        <w:ind w:left="0" w:firstLine="360"/>
        <w:rPr>
          <w:sz w:val="24"/>
          <w:szCs w:val="24"/>
        </w:rPr>
      </w:pPr>
      <w:r w:rsidRPr="00AE0DE2">
        <w:rPr>
          <w:sz w:val="24"/>
          <w:szCs w:val="24"/>
        </w:rPr>
        <w:t xml:space="preserve">HUD is not seeking approval to avoid displaying the OMB expiration date. </w:t>
      </w:r>
    </w:p>
    <w:p w:rsidR="001C3322" w:rsidRPr="00AE0DE2" w:rsidP="001C3322" w14:paraId="50138C2E" w14:textId="77777777">
      <w:pPr>
        <w:keepLines/>
        <w:tabs>
          <w:tab w:val="left" w:pos="360"/>
        </w:tabs>
        <w:ind w:left="360" w:hanging="360"/>
        <w:rPr>
          <w:sz w:val="24"/>
          <w:szCs w:val="24"/>
        </w:rPr>
      </w:pPr>
    </w:p>
    <w:p w:rsidR="001C3322" w:rsidP="001C3322" w14:paraId="18F5B407" w14:textId="77777777">
      <w:pPr>
        <w:keepLines/>
        <w:tabs>
          <w:tab w:val="left" w:pos="360"/>
        </w:tabs>
        <w:ind w:left="360" w:hanging="360"/>
        <w:rPr>
          <w:b/>
          <w:bCs/>
          <w:sz w:val="24"/>
          <w:szCs w:val="24"/>
        </w:rPr>
      </w:pPr>
      <w:r w:rsidRPr="00AE0DE2">
        <w:rPr>
          <w:sz w:val="24"/>
          <w:szCs w:val="24"/>
        </w:rPr>
        <w:t>18.</w:t>
      </w:r>
      <w:r w:rsidRPr="00AE0DE2">
        <w:rPr>
          <w:sz w:val="24"/>
          <w:szCs w:val="24"/>
        </w:rPr>
        <w:tab/>
      </w:r>
      <w:r w:rsidRPr="00AE0DE2">
        <w:rPr>
          <w:b/>
          <w:bCs/>
          <w:sz w:val="24"/>
          <w:szCs w:val="24"/>
        </w:rPr>
        <w:t>Explain each exception to the certification statement.</w:t>
      </w:r>
    </w:p>
    <w:p w:rsidR="001C3322" w:rsidRPr="00AE0DE2" w:rsidP="001C3322" w14:paraId="250838ED" w14:textId="77777777">
      <w:pPr>
        <w:keepLines/>
        <w:tabs>
          <w:tab w:val="left" w:pos="360"/>
        </w:tabs>
        <w:ind w:left="360" w:hanging="360"/>
        <w:rPr>
          <w:sz w:val="24"/>
          <w:szCs w:val="24"/>
        </w:rPr>
      </w:pPr>
    </w:p>
    <w:p w:rsidR="001C3322" w:rsidRPr="00AE0DE2" w:rsidP="001C3322" w14:paraId="477CA168" w14:textId="77777777">
      <w:pPr>
        <w:tabs>
          <w:tab w:val="left" w:pos="0"/>
        </w:tabs>
        <w:ind w:firstLine="360"/>
        <w:rPr>
          <w:sz w:val="24"/>
          <w:szCs w:val="24"/>
        </w:rPr>
      </w:pPr>
      <w:r w:rsidRPr="00AE0DE2">
        <w:rPr>
          <w:sz w:val="24"/>
          <w:szCs w:val="24"/>
        </w:rPr>
        <w:t xml:space="preserve">There is no exception to </w:t>
      </w:r>
      <w:r>
        <w:rPr>
          <w:sz w:val="24"/>
          <w:szCs w:val="24"/>
        </w:rPr>
        <w:t>the certification statement</w:t>
      </w:r>
      <w:r w:rsidRPr="00AE0DE2">
        <w:rPr>
          <w:sz w:val="24"/>
          <w:szCs w:val="24"/>
        </w:rPr>
        <w:t>.</w:t>
      </w:r>
    </w:p>
    <w:p w:rsidR="001C3322" w:rsidRPr="006C7FAE" w:rsidP="001C3322" w14:paraId="1348ED4C" w14:textId="77777777">
      <w:pPr>
        <w:keepLines/>
        <w:tabs>
          <w:tab w:val="left" w:pos="360"/>
        </w:tabs>
        <w:spacing w:after="80"/>
        <w:ind w:left="360" w:hanging="360"/>
        <w:rPr>
          <w:sz w:val="24"/>
          <w:szCs w:val="24"/>
        </w:rPr>
      </w:pPr>
    </w:p>
    <w:p w:rsidR="00CE4C30" w14:paraId="3E4A19F0" w14:textId="77777777"/>
    <w:sectPr w:rsidSect="001C3322">
      <w:footerReference w:type="default" r:id="rId10"/>
      <w:pgSz w:w="12240" w:h="15840"/>
      <w:pgMar w:top="1440" w:right="1440" w:bottom="1440" w:left="900" w:header="480" w:footer="480" w:gutter="0"/>
      <w:cols w:space="480" w:equalWidth="0">
        <w:col w:w="10080" w:space="0"/>
      </w:cols>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6228053"/>
      <w:docPartObj>
        <w:docPartGallery w:val="Page Numbers (Bottom of Page)"/>
        <w:docPartUnique/>
      </w:docPartObj>
    </w:sdtPr>
    <w:sdtEndPr>
      <w:rPr>
        <w:noProof/>
      </w:rPr>
    </w:sdtEndPr>
    <w:sdtContent>
      <w:p w:rsidR="001C3322" w14:paraId="6FC44044"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C3322" w14:paraId="56E271BB"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B26EA4E0"/>
    <w:lvl w:ilvl="0">
      <w:start w:val="0"/>
      <w:numFmt w:val="decimal"/>
      <w:lvlText w:val="*"/>
      <w:lvlJc w:val="left"/>
    </w:lvl>
  </w:abstractNum>
  <w:abstractNum w:abstractNumId="1">
    <w:nsid w:val="4B206095"/>
    <w:multiLevelType w:val="singleLevel"/>
    <w:tmpl w:val="2FA6477C"/>
    <w:lvl w:ilvl="0">
      <w:start w:val="7"/>
      <w:numFmt w:val="decimal"/>
      <w:lvlText w:val="%1. "/>
      <w:legacy w:legacy="1" w:legacySpace="0" w:legacyIndent="360"/>
      <w:lvlJc w:val="left"/>
      <w:pPr>
        <w:ind w:left="360" w:hanging="360"/>
      </w:pPr>
      <w:rPr>
        <w:rFonts w:ascii="Times New Roman" w:hAnsi="Times New Roman" w:hint="default"/>
        <w:b w:val="0"/>
        <w:i w:val="0"/>
        <w:sz w:val="24"/>
        <w:szCs w:val="24"/>
        <w:u w:val="none"/>
      </w:rPr>
    </w:lvl>
  </w:abstractNum>
  <w:abstractNum w:abstractNumId="2">
    <w:nsid w:val="6CBB1EEA"/>
    <w:multiLevelType w:val="hybridMultilevel"/>
    <w:tmpl w:val="85D6015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62225968">
    <w:abstractNumId w:val="1"/>
  </w:num>
  <w:num w:numId="2" w16cid:durableId="1774594277">
    <w:abstractNumId w:val="0"/>
    <w:lvlOverride w:ilvl="0">
      <w:lvl w:ilvl="0">
        <w:start w:val="1"/>
        <w:numFmt w:val="bullet"/>
        <w:lvlText w:val=""/>
        <w:legacy w:legacy="1" w:legacySpace="0" w:legacyIndent="144"/>
        <w:lvlJc w:val="left"/>
        <w:pPr>
          <w:ind w:left="684" w:hanging="144"/>
        </w:pPr>
        <w:rPr>
          <w:rFonts w:ascii="Symbol" w:hAnsi="Symbol" w:hint="default"/>
          <w:sz w:val="16"/>
        </w:rPr>
      </w:lvl>
    </w:lvlOverride>
  </w:num>
  <w:num w:numId="3" w16cid:durableId="7754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322"/>
    <w:rsid w:val="00003B3A"/>
    <w:rsid w:val="00030350"/>
    <w:rsid w:val="00034E88"/>
    <w:rsid w:val="000355C4"/>
    <w:rsid w:val="00040AC8"/>
    <w:rsid w:val="000504B5"/>
    <w:rsid w:val="00057EB0"/>
    <w:rsid w:val="0006363E"/>
    <w:rsid w:val="00070535"/>
    <w:rsid w:val="00074E44"/>
    <w:rsid w:val="0008067A"/>
    <w:rsid w:val="00082ECF"/>
    <w:rsid w:val="00083364"/>
    <w:rsid w:val="00090253"/>
    <w:rsid w:val="00093E77"/>
    <w:rsid w:val="00095557"/>
    <w:rsid w:val="000A3893"/>
    <w:rsid w:val="000A6FA1"/>
    <w:rsid w:val="000B25DE"/>
    <w:rsid w:val="000B57C5"/>
    <w:rsid w:val="000C18B4"/>
    <w:rsid w:val="000D6E3D"/>
    <w:rsid w:val="000D7D6A"/>
    <w:rsid w:val="000E6C7F"/>
    <w:rsid w:val="000F281F"/>
    <w:rsid w:val="000F7857"/>
    <w:rsid w:val="00100057"/>
    <w:rsid w:val="001107F4"/>
    <w:rsid w:val="00110EC0"/>
    <w:rsid w:val="00115692"/>
    <w:rsid w:val="00131072"/>
    <w:rsid w:val="00132E8A"/>
    <w:rsid w:val="0013684D"/>
    <w:rsid w:val="00154C97"/>
    <w:rsid w:val="001553AA"/>
    <w:rsid w:val="00156C55"/>
    <w:rsid w:val="00162D66"/>
    <w:rsid w:val="00166399"/>
    <w:rsid w:val="00167E53"/>
    <w:rsid w:val="00173689"/>
    <w:rsid w:val="00173FF3"/>
    <w:rsid w:val="00176993"/>
    <w:rsid w:val="00180D24"/>
    <w:rsid w:val="0018148E"/>
    <w:rsid w:val="0018445F"/>
    <w:rsid w:val="00190E53"/>
    <w:rsid w:val="00192790"/>
    <w:rsid w:val="00194C30"/>
    <w:rsid w:val="001A4042"/>
    <w:rsid w:val="001A5030"/>
    <w:rsid w:val="001A6FB8"/>
    <w:rsid w:val="001B4DCA"/>
    <w:rsid w:val="001C1BFB"/>
    <w:rsid w:val="001C3322"/>
    <w:rsid w:val="001D1F1F"/>
    <w:rsid w:val="001D78EE"/>
    <w:rsid w:val="001E4095"/>
    <w:rsid w:val="001F19F9"/>
    <w:rsid w:val="001F3A1C"/>
    <w:rsid w:val="001F7D27"/>
    <w:rsid w:val="00210A67"/>
    <w:rsid w:val="00217ED5"/>
    <w:rsid w:val="002201C4"/>
    <w:rsid w:val="00225FE6"/>
    <w:rsid w:val="002269E0"/>
    <w:rsid w:val="00236DB2"/>
    <w:rsid w:val="00242119"/>
    <w:rsid w:val="00250E5A"/>
    <w:rsid w:val="00251F21"/>
    <w:rsid w:val="0025336C"/>
    <w:rsid w:val="002737A9"/>
    <w:rsid w:val="0027572E"/>
    <w:rsid w:val="00283571"/>
    <w:rsid w:val="00284249"/>
    <w:rsid w:val="00284F4F"/>
    <w:rsid w:val="002B3C77"/>
    <w:rsid w:val="002B63E0"/>
    <w:rsid w:val="002D4255"/>
    <w:rsid w:val="002E00F2"/>
    <w:rsid w:val="002E01E0"/>
    <w:rsid w:val="002F2F09"/>
    <w:rsid w:val="002F745F"/>
    <w:rsid w:val="003016BF"/>
    <w:rsid w:val="00303A82"/>
    <w:rsid w:val="00304B0E"/>
    <w:rsid w:val="00320FB1"/>
    <w:rsid w:val="00324564"/>
    <w:rsid w:val="003349D8"/>
    <w:rsid w:val="00336168"/>
    <w:rsid w:val="00340FFA"/>
    <w:rsid w:val="00351C99"/>
    <w:rsid w:val="0035467B"/>
    <w:rsid w:val="003609F2"/>
    <w:rsid w:val="00364990"/>
    <w:rsid w:val="0037447B"/>
    <w:rsid w:val="003775FC"/>
    <w:rsid w:val="00383C00"/>
    <w:rsid w:val="003A3AF9"/>
    <w:rsid w:val="003A4029"/>
    <w:rsid w:val="003B05EC"/>
    <w:rsid w:val="003C4BDC"/>
    <w:rsid w:val="00400314"/>
    <w:rsid w:val="00414808"/>
    <w:rsid w:val="00422911"/>
    <w:rsid w:val="00434B66"/>
    <w:rsid w:val="00441DD1"/>
    <w:rsid w:val="0044467F"/>
    <w:rsid w:val="00455723"/>
    <w:rsid w:val="00467B95"/>
    <w:rsid w:val="00470DCC"/>
    <w:rsid w:val="004A77B1"/>
    <w:rsid w:val="004B2F21"/>
    <w:rsid w:val="004C4905"/>
    <w:rsid w:val="004C546C"/>
    <w:rsid w:val="004D1E71"/>
    <w:rsid w:val="0050041A"/>
    <w:rsid w:val="0051505E"/>
    <w:rsid w:val="005156A8"/>
    <w:rsid w:val="005206B3"/>
    <w:rsid w:val="00523D84"/>
    <w:rsid w:val="00527DE2"/>
    <w:rsid w:val="005612F0"/>
    <w:rsid w:val="00565E43"/>
    <w:rsid w:val="00585548"/>
    <w:rsid w:val="00587585"/>
    <w:rsid w:val="00592A55"/>
    <w:rsid w:val="005B52F2"/>
    <w:rsid w:val="005C550D"/>
    <w:rsid w:val="005D1BCB"/>
    <w:rsid w:val="005D357F"/>
    <w:rsid w:val="005E35E3"/>
    <w:rsid w:val="005E3C54"/>
    <w:rsid w:val="005F2F0A"/>
    <w:rsid w:val="005F41A0"/>
    <w:rsid w:val="00602FF7"/>
    <w:rsid w:val="006035F7"/>
    <w:rsid w:val="0063139A"/>
    <w:rsid w:val="00637AD6"/>
    <w:rsid w:val="00637EDC"/>
    <w:rsid w:val="00641F0C"/>
    <w:rsid w:val="00644F7F"/>
    <w:rsid w:val="00650498"/>
    <w:rsid w:val="00654478"/>
    <w:rsid w:val="006644C4"/>
    <w:rsid w:val="00664610"/>
    <w:rsid w:val="00672E86"/>
    <w:rsid w:val="00674934"/>
    <w:rsid w:val="006854E1"/>
    <w:rsid w:val="00687858"/>
    <w:rsid w:val="006C7FAE"/>
    <w:rsid w:val="006D0E82"/>
    <w:rsid w:val="006D3B6B"/>
    <w:rsid w:val="006E684F"/>
    <w:rsid w:val="00710EB4"/>
    <w:rsid w:val="0071190D"/>
    <w:rsid w:val="00711AAD"/>
    <w:rsid w:val="00712AEC"/>
    <w:rsid w:val="0071594E"/>
    <w:rsid w:val="00715B3E"/>
    <w:rsid w:val="00717F86"/>
    <w:rsid w:val="007238FC"/>
    <w:rsid w:val="0073555A"/>
    <w:rsid w:val="00736D9F"/>
    <w:rsid w:val="007448AA"/>
    <w:rsid w:val="0075038F"/>
    <w:rsid w:val="00752625"/>
    <w:rsid w:val="00760002"/>
    <w:rsid w:val="00770427"/>
    <w:rsid w:val="007775F9"/>
    <w:rsid w:val="0078002C"/>
    <w:rsid w:val="00782630"/>
    <w:rsid w:val="00796D00"/>
    <w:rsid w:val="00797FF7"/>
    <w:rsid w:val="007A075C"/>
    <w:rsid w:val="007A3A8E"/>
    <w:rsid w:val="007B044E"/>
    <w:rsid w:val="007B51D3"/>
    <w:rsid w:val="007C4D4B"/>
    <w:rsid w:val="007E26A4"/>
    <w:rsid w:val="00800383"/>
    <w:rsid w:val="00801780"/>
    <w:rsid w:val="008033CE"/>
    <w:rsid w:val="0081655E"/>
    <w:rsid w:val="00837B07"/>
    <w:rsid w:val="00845206"/>
    <w:rsid w:val="008468CE"/>
    <w:rsid w:val="008475A7"/>
    <w:rsid w:val="00862A2F"/>
    <w:rsid w:val="00870F3D"/>
    <w:rsid w:val="00886C9E"/>
    <w:rsid w:val="00895A8F"/>
    <w:rsid w:val="00897A33"/>
    <w:rsid w:val="008A3506"/>
    <w:rsid w:val="008A6576"/>
    <w:rsid w:val="008B037B"/>
    <w:rsid w:val="008B428E"/>
    <w:rsid w:val="008C3415"/>
    <w:rsid w:val="008C7DAB"/>
    <w:rsid w:val="008D595E"/>
    <w:rsid w:val="008F6B7A"/>
    <w:rsid w:val="009026EF"/>
    <w:rsid w:val="009127F9"/>
    <w:rsid w:val="00932363"/>
    <w:rsid w:val="009452F3"/>
    <w:rsid w:val="00950E17"/>
    <w:rsid w:val="0095459B"/>
    <w:rsid w:val="00983123"/>
    <w:rsid w:val="00984A9E"/>
    <w:rsid w:val="00984E76"/>
    <w:rsid w:val="009937F8"/>
    <w:rsid w:val="009A7672"/>
    <w:rsid w:val="009B381F"/>
    <w:rsid w:val="009B6727"/>
    <w:rsid w:val="009C4F91"/>
    <w:rsid w:val="009C5173"/>
    <w:rsid w:val="009C5B7C"/>
    <w:rsid w:val="009D5F7D"/>
    <w:rsid w:val="009D6B73"/>
    <w:rsid w:val="009E4B60"/>
    <w:rsid w:val="009E7749"/>
    <w:rsid w:val="009F69BE"/>
    <w:rsid w:val="009F7BFB"/>
    <w:rsid w:val="00A046F1"/>
    <w:rsid w:val="00A059D0"/>
    <w:rsid w:val="00A322AB"/>
    <w:rsid w:val="00A35C42"/>
    <w:rsid w:val="00A37FC4"/>
    <w:rsid w:val="00A61584"/>
    <w:rsid w:val="00A75998"/>
    <w:rsid w:val="00A82CE9"/>
    <w:rsid w:val="00A840E6"/>
    <w:rsid w:val="00A90E8A"/>
    <w:rsid w:val="00AA186C"/>
    <w:rsid w:val="00AA3739"/>
    <w:rsid w:val="00AB2875"/>
    <w:rsid w:val="00AE0B02"/>
    <w:rsid w:val="00AE0DE2"/>
    <w:rsid w:val="00AE3FD8"/>
    <w:rsid w:val="00AE6113"/>
    <w:rsid w:val="00AF0245"/>
    <w:rsid w:val="00AF5597"/>
    <w:rsid w:val="00B179CC"/>
    <w:rsid w:val="00B44AEE"/>
    <w:rsid w:val="00B4764F"/>
    <w:rsid w:val="00B518C1"/>
    <w:rsid w:val="00B62D66"/>
    <w:rsid w:val="00B64496"/>
    <w:rsid w:val="00B83E42"/>
    <w:rsid w:val="00BB527D"/>
    <w:rsid w:val="00BB74F4"/>
    <w:rsid w:val="00BB7526"/>
    <w:rsid w:val="00BC1913"/>
    <w:rsid w:val="00BC710B"/>
    <w:rsid w:val="00BD5DB8"/>
    <w:rsid w:val="00BE03DD"/>
    <w:rsid w:val="00BE3D96"/>
    <w:rsid w:val="00BE6C67"/>
    <w:rsid w:val="00BF388C"/>
    <w:rsid w:val="00C1086A"/>
    <w:rsid w:val="00C12C1E"/>
    <w:rsid w:val="00C164E1"/>
    <w:rsid w:val="00C263FE"/>
    <w:rsid w:val="00C27BAF"/>
    <w:rsid w:val="00C320D6"/>
    <w:rsid w:val="00C34BC2"/>
    <w:rsid w:val="00C4035F"/>
    <w:rsid w:val="00C41193"/>
    <w:rsid w:val="00C432D4"/>
    <w:rsid w:val="00C56990"/>
    <w:rsid w:val="00C645F5"/>
    <w:rsid w:val="00C71322"/>
    <w:rsid w:val="00C72151"/>
    <w:rsid w:val="00C7413F"/>
    <w:rsid w:val="00C757BC"/>
    <w:rsid w:val="00C931A5"/>
    <w:rsid w:val="00CA53D4"/>
    <w:rsid w:val="00CB433B"/>
    <w:rsid w:val="00CC7062"/>
    <w:rsid w:val="00CD45DE"/>
    <w:rsid w:val="00CD5FB6"/>
    <w:rsid w:val="00CE4C30"/>
    <w:rsid w:val="00CE6DFE"/>
    <w:rsid w:val="00CF4BBC"/>
    <w:rsid w:val="00CF65B0"/>
    <w:rsid w:val="00D027CC"/>
    <w:rsid w:val="00D0318F"/>
    <w:rsid w:val="00D0787F"/>
    <w:rsid w:val="00D1035B"/>
    <w:rsid w:val="00D10DBF"/>
    <w:rsid w:val="00D1176C"/>
    <w:rsid w:val="00D16AF4"/>
    <w:rsid w:val="00D24A49"/>
    <w:rsid w:val="00D4636F"/>
    <w:rsid w:val="00D47048"/>
    <w:rsid w:val="00D55270"/>
    <w:rsid w:val="00D70FA1"/>
    <w:rsid w:val="00D778D5"/>
    <w:rsid w:val="00D877AE"/>
    <w:rsid w:val="00D87AD4"/>
    <w:rsid w:val="00D87EE8"/>
    <w:rsid w:val="00DB4339"/>
    <w:rsid w:val="00DB6EA0"/>
    <w:rsid w:val="00DC050D"/>
    <w:rsid w:val="00DC226E"/>
    <w:rsid w:val="00DC2B89"/>
    <w:rsid w:val="00DC39A1"/>
    <w:rsid w:val="00DC5670"/>
    <w:rsid w:val="00DC6AFD"/>
    <w:rsid w:val="00DD57DC"/>
    <w:rsid w:val="00DF4445"/>
    <w:rsid w:val="00DF652E"/>
    <w:rsid w:val="00DF6705"/>
    <w:rsid w:val="00E12CB7"/>
    <w:rsid w:val="00E131DA"/>
    <w:rsid w:val="00E277AE"/>
    <w:rsid w:val="00E3056F"/>
    <w:rsid w:val="00E516D9"/>
    <w:rsid w:val="00E64BA5"/>
    <w:rsid w:val="00E664EE"/>
    <w:rsid w:val="00E7441D"/>
    <w:rsid w:val="00E8332A"/>
    <w:rsid w:val="00E905A0"/>
    <w:rsid w:val="00E93E30"/>
    <w:rsid w:val="00EA3A5A"/>
    <w:rsid w:val="00ED42B1"/>
    <w:rsid w:val="00EE5FCC"/>
    <w:rsid w:val="00F02FA3"/>
    <w:rsid w:val="00F16689"/>
    <w:rsid w:val="00F236F0"/>
    <w:rsid w:val="00F240AA"/>
    <w:rsid w:val="00F3404F"/>
    <w:rsid w:val="00F354AB"/>
    <w:rsid w:val="00F60714"/>
    <w:rsid w:val="00F72081"/>
    <w:rsid w:val="00F73FED"/>
    <w:rsid w:val="00F74A88"/>
    <w:rsid w:val="00F756E1"/>
    <w:rsid w:val="00F826E2"/>
    <w:rsid w:val="00F84718"/>
    <w:rsid w:val="00F947B6"/>
    <w:rsid w:val="00F96369"/>
    <w:rsid w:val="00FA2CFF"/>
    <w:rsid w:val="00FB1A25"/>
    <w:rsid w:val="00FB7599"/>
    <w:rsid w:val="00FD04F5"/>
    <w:rsid w:val="00FD6159"/>
    <w:rsid w:val="00FD7172"/>
    <w:rsid w:val="00FD74D7"/>
    <w:rsid w:val="00FE414C"/>
    <w:rsid w:val="00FE50A1"/>
    <w:rsid w:val="00FE50BE"/>
    <w:rsid w:val="00FF40D6"/>
    <w:rsid w:val="00FF5B82"/>
    <w:rsid w:val="015502B2"/>
    <w:rsid w:val="04C85735"/>
    <w:rsid w:val="0AC32785"/>
    <w:rsid w:val="0B7C3FD1"/>
    <w:rsid w:val="0B9A08D0"/>
    <w:rsid w:val="0BED9306"/>
    <w:rsid w:val="0BF4B1A3"/>
    <w:rsid w:val="11348E82"/>
    <w:rsid w:val="1807C16E"/>
    <w:rsid w:val="1BFD3A7D"/>
    <w:rsid w:val="1D5B754C"/>
    <w:rsid w:val="2525FD41"/>
    <w:rsid w:val="34F424BA"/>
    <w:rsid w:val="386E2BBE"/>
    <w:rsid w:val="3AFF7FA3"/>
    <w:rsid w:val="469B5BA2"/>
    <w:rsid w:val="46D51F02"/>
    <w:rsid w:val="4981816A"/>
    <w:rsid w:val="4B6B8F66"/>
    <w:rsid w:val="4BD7FB7C"/>
    <w:rsid w:val="5236936B"/>
    <w:rsid w:val="53843A20"/>
    <w:rsid w:val="662EABA4"/>
    <w:rsid w:val="694CDCE2"/>
    <w:rsid w:val="6A751773"/>
    <w:rsid w:val="6F9ED5B4"/>
    <w:rsid w:val="720DE8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4211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3322"/>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1C3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33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33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33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33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33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3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3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3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3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33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33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33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33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33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3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3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322"/>
    <w:rPr>
      <w:rFonts w:eastAsiaTheme="majorEastAsia" w:cstheme="majorBidi"/>
      <w:color w:val="272727" w:themeColor="text1" w:themeTint="D8"/>
    </w:rPr>
  </w:style>
  <w:style w:type="paragraph" w:styleId="Title">
    <w:name w:val="Title"/>
    <w:basedOn w:val="Normal"/>
    <w:next w:val="Normal"/>
    <w:link w:val="TitleChar"/>
    <w:uiPriority w:val="10"/>
    <w:qFormat/>
    <w:rsid w:val="001C33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3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3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3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322"/>
    <w:pPr>
      <w:spacing w:before="160"/>
      <w:jc w:val="center"/>
    </w:pPr>
    <w:rPr>
      <w:i/>
      <w:iCs/>
      <w:color w:val="404040" w:themeColor="text1" w:themeTint="BF"/>
    </w:rPr>
  </w:style>
  <w:style w:type="character" w:customStyle="1" w:styleId="QuoteChar">
    <w:name w:val="Quote Char"/>
    <w:basedOn w:val="DefaultParagraphFont"/>
    <w:link w:val="Quote"/>
    <w:uiPriority w:val="29"/>
    <w:rsid w:val="001C3322"/>
    <w:rPr>
      <w:i/>
      <w:iCs/>
      <w:color w:val="404040" w:themeColor="text1" w:themeTint="BF"/>
    </w:rPr>
  </w:style>
  <w:style w:type="paragraph" w:styleId="ListParagraph">
    <w:name w:val="List Paragraph"/>
    <w:basedOn w:val="Normal"/>
    <w:uiPriority w:val="34"/>
    <w:qFormat/>
    <w:rsid w:val="001C3322"/>
    <w:pPr>
      <w:ind w:left="720"/>
      <w:contextualSpacing/>
    </w:pPr>
  </w:style>
  <w:style w:type="character" w:styleId="IntenseEmphasis">
    <w:name w:val="Intense Emphasis"/>
    <w:basedOn w:val="DefaultParagraphFont"/>
    <w:uiPriority w:val="21"/>
    <w:qFormat/>
    <w:rsid w:val="001C3322"/>
    <w:rPr>
      <w:i/>
      <w:iCs/>
      <w:color w:val="0F4761" w:themeColor="accent1" w:themeShade="BF"/>
    </w:rPr>
  </w:style>
  <w:style w:type="paragraph" w:styleId="IntenseQuote">
    <w:name w:val="Intense Quote"/>
    <w:basedOn w:val="Normal"/>
    <w:next w:val="Normal"/>
    <w:link w:val="IntenseQuoteChar"/>
    <w:uiPriority w:val="30"/>
    <w:qFormat/>
    <w:rsid w:val="001C3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3322"/>
    <w:rPr>
      <w:i/>
      <w:iCs/>
      <w:color w:val="0F4761" w:themeColor="accent1" w:themeShade="BF"/>
    </w:rPr>
  </w:style>
  <w:style w:type="character" w:styleId="IntenseReference">
    <w:name w:val="Intense Reference"/>
    <w:basedOn w:val="DefaultParagraphFont"/>
    <w:uiPriority w:val="32"/>
    <w:qFormat/>
    <w:rsid w:val="001C3322"/>
    <w:rPr>
      <w:b/>
      <w:bCs/>
      <w:smallCaps/>
      <w:color w:val="0F4761" w:themeColor="accent1" w:themeShade="BF"/>
      <w:spacing w:val="5"/>
    </w:rPr>
  </w:style>
  <w:style w:type="paragraph" w:styleId="Footer">
    <w:name w:val="footer"/>
    <w:basedOn w:val="Normal"/>
    <w:link w:val="FooterChar"/>
    <w:uiPriority w:val="99"/>
    <w:rsid w:val="001C3322"/>
    <w:pPr>
      <w:tabs>
        <w:tab w:val="center" w:pos="4320"/>
        <w:tab w:val="right" w:pos="8640"/>
      </w:tabs>
    </w:pPr>
  </w:style>
  <w:style w:type="character" w:customStyle="1" w:styleId="FooterChar">
    <w:name w:val="Footer Char"/>
    <w:basedOn w:val="DefaultParagraphFont"/>
    <w:link w:val="Footer"/>
    <w:uiPriority w:val="99"/>
    <w:rsid w:val="001C3322"/>
    <w:rPr>
      <w:rFonts w:ascii="Times New Roman" w:eastAsia="Times New Roman" w:hAnsi="Times New Roman" w:cs="Times New Roman"/>
      <w:kern w:val="0"/>
      <w:sz w:val="20"/>
      <w:szCs w:val="20"/>
      <w14:ligatures w14:val="none"/>
    </w:rPr>
  </w:style>
  <w:style w:type="paragraph" w:styleId="NoSpacing">
    <w:name w:val="No Spacing"/>
    <w:uiPriority w:val="1"/>
    <w:qFormat/>
    <w:rsid w:val="001C3322"/>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1C3322"/>
    <w:rPr>
      <w:color w:val="467886" w:themeColor="hyperlink"/>
      <w:u w:val="single"/>
    </w:rPr>
  </w:style>
  <w:style w:type="paragraph" w:styleId="BodyTextIndent">
    <w:name w:val="Body Text Indent"/>
    <w:basedOn w:val="Normal"/>
    <w:link w:val="BodyTextIndentChar"/>
    <w:rsid w:val="001C3322"/>
    <w:pPr>
      <w:spacing w:after="120"/>
      <w:ind w:left="360"/>
    </w:pPr>
  </w:style>
  <w:style w:type="character" w:customStyle="1" w:styleId="BodyTextIndentChar">
    <w:name w:val="Body Text Indent Char"/>
    <w:basedOn w:val="DefaultParagraphFont"/>
    <w:link w:val="BodyTextIndent"/>
    <w:rsid w:val="001C3322"/>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rsid w:val="001C3322"/>
    <w:pPr>
      <w:spacing w:after="120" w:line="480" w:lineRule="auto"/>
    </w:pPr>
  </w:style>
  <w:style w:type="character" w:customStyle="1" w:styleId="BodyText2Char">
    <w:name w:val="Body Text 2 Char"/>
    <w:basedOn w:val="DefaultParagraphFont"/>
    <w:link w:val="BodyText2"/>
    <w:rsid w:val="001C3322"/>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AA3739"/>
    <w:rPr>
      <w:sz w:val="16"/>
      <w:szCs w:val="16"/>
    </w:rPr>
  </w:style>
  <w:style w:type="paragraph" w:styleId="CommentText">
    <w:name w:val="annotation text"/>
    <w:basedOn w:val="Normal"/>
    <w:link w:val="CommentTextChar"/>
    <w:uiPriority w:val="99"/>
    <w:unhideWhenUsed/>
    <w:rsid w:val="00AA3739"/>
  </w:style>
  <w:style w:type="character" w:customStyle="1" w:styleId="CommentTextChar">
    <w:name w:val="Comment Text Char"/>
    <w:basedOn w:val="DefaultParagraphFont"/>
    <w:link w:val="CommentText"/>
    <w:uiPriority w:val="99"/>
    <w:rsid w:val="00AA373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A3739"/>
    <w:rPr>
      <w:b/>
      <w:bCs/>
    </w:rPr>
  </w:style>
  <w:style w:type="character" w:customStyle="1" w:styleId="CommentSubjectChar">
    <w:name w:val="Comment Subject Char"/>
    <w:basedOn w:val="CommentTextChar"/>
    <w:link w:val="CommentSubject"/>
    <w:uiPriority w:val="99"/>
    <w:semiHidden/>
    <w:rsid w:val="00AA3739"/>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C757BC"/>
    <w:pPr>
      <w:spacing w:after="0" w:line="240" w:lineRule="auto"/>
    </w:pPr>
    <w:rPr>
      <w:rFonts w:ascii="Times New Roman" w:eastAsia="Times New Roman" w:hAnsi="Times New Roman" w:cs="Times New Roman"/>
      <w:kern w:val="0"/>
      <w:sz w:val="20"/>
      <w:szCs w:val="20"/>
      <w14:ligatures w14:val="none"/>
    </w:rPr>
  </w:style>
  <w:style w:type="character" w:styleId="FollowedHyperlink">
    <w:name w:val="FollowedHyperlink"/>
    <w:basedOn w:val="DefaultParagraphFont"/>
    <w:uiPriority w:val="99"/>
    <w:semiHidden/>
    <w:unhideWhenUsed/>
    <w:rsid w:val="00712AEC"/>
    <w:rPr>
      <w:color w:val="96607D" w:themeColor="followedHyperlink"/>
      <w:u w:val="single"/>
    </w:rPr>
  </w:style>
  <w:style w:type="paragraph" w:styleId="Header">
    <w:name w:val="header"/>
    <w:basedOn w:val="Normal"/>
    <w:link w:val="HeaderChar"/>
    <w:uiPriority w:val="99"/>
    <w:unhideWhenUsed/>
    <w:rsid w:val="00797FF7"/>
    <w:pPr>
      <w:tabs>
        <w:tab w:val="center" w:pos="4680"/>
        <w:tab w:val="right" w:pos="9360"/>
      </w:tabs>
    </w:pPr>
  </w:style>
  <w:style w:type="character" w:customStyle="1" w:styleId="HeaderChar">
    <w:name w:val="Header Char"/>
    <w:basedOn w:val="DefaultParagraphFont"/>
    <w:link w:val="Header"/>
    <w:uiPriority w:val="99"/>
    <w:rsid w:val="00797FF7"/>
    <w:rPr>
      <w:rFonts w:ascii="Times New Roman" w:eastAsia="Times New Roman" w:hAnsi="Times New Roman" w:cs="Times New Roman"/>
      <w:kern w:val="0"/>
      <w:sz w:val="20"/>
      <w:szCs w:val="20"/>
      <w14:ligatures w14:val="none"/>
    </w:rPr>
  </w:style>
  <w:style w:type="character" w:styleId="UnresolvedMention">
    <w:name w:val="Unresolved Mention"/>
    <w:basedOn w:val="DefaultParagraphFont"/>
    <w:uiPriority w:val="99"/>
    <w:semiHidden/>
    <w:unhideWhenUsed/>
    <w:rsid w:val="00FB7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bls.gov/oes/table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4CFC5E7DE19234EAE126B85C8735121" ma:contentTypeVersion="18" ma:contentTypeDescription="Create a new document." ma:contentTypeScope="" ma:versionID="b0426df4b037c832825bb1060db2e07e">
  <xsd:schema xmlns:xsd="http://www.w3.org/2001/XMLSchema" xmlns:xs="http://www.w3.org/2001/XMLSchema" xmlns:p="http://schemas.microsoft.com/office/2006/metadata/properties" xmlns:ns2="d4a638c4-874f-49c0-bb2b-5cb8563c2b18" xmlns:ns3="aa1c1319-afbc-4f49-a527-7e0ad5878eb0" targetNamespace="http://schemas.microsoft.com/office/2006/metadata/properties" ma:root="true" ma:fieldsID="aa446684dda1d0c55d68349e1abc6565" ns2:_="" ns3:_="">
    <xsd:import namespace="d4a638c4-874f-49c0-bb2b-5cb8563c2b18"/>
    <xsd:import namespace="aa1c1319-afbc-4f49-a527-7e0ad5878eb0"/>
    <xsd:element name="properties">
      <xsd:complexType>
        <xsd:sequence>
          <xsd:element name="documentManagement">
            <xsd:complexType>
              <xsd:all>
                <xsd:element ref="ns2:_dlc_DocId" minOccurs="0"/>
                <xsd:element ref="ns2:_dlc_DocIdUrl" minOccurs="0"/>
                <xsd:element ref="ns2:_dlc_DocIdPersistId" minOccurs="0"/>
                <xsd:element ref="ns3:Response" minOccurs="0"/>
                <xsd:element ref="ns3:ClearanceNumber" minOccurs="0"/>
                <xsd:element ref="ns3:ClearanceTrackerID" minOccurs="0"/>
                <xsd:element ref="ns3:RespondingOffice" minOccurs="0"/>
                <xsd:element ref="ns3:Status"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638c4-874f-49c0-bb2b-5cb8563c2b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993058fa-7323-40bc-bd77-93e31bfab044}" ma:internalName="TaxCatchAll" ma:showField="CatchAllData" ma:web="d4a638c4-874f-49c0-bb2b-5cb8563c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1c1319-afbc-4f49-a527-7e0ad5878eb0" elementFormDefault="qualified">
    <xsd:import namespace="http://schemas.microsoft.com/office/2006/documentManagement/types"/>
    <xsd:import namespace="http://schemas.microsoft.com/office/infopath/2007/PartnerControls"/>
    <xsd:element name="Response" ma:index="11" nillable="true" ma:displayName="Response" ma:format="Dropdown" ma:internalName="Response">
      <xsd:simpleType>
        <xsd:restriction base="dms:Choice">
          <xsd:enumeration value="Unsubmitted"/>
          <xsd:enumeration value="Concur"/>
          <xsd:enumeration value="No Position"/>
          <xsd:enumeration value="No Review Needed"/>
          <xsd:enumeration value="Non-concur"/>
          <xsd:enumeration value="Concur with comments"/>
        </xsd:restriction>
      </xsd:simpleType>
    </xsd:element>
    <xsd:element name="ClearanceNumber" ma:index="12" nillable="true" ma:displayName="Clearance Number" ma:format="Dropdown" ma:internalName="ClearanceNumber">
      <xsd:simpleType>
        <xsd:restriction base="dms:Text">
          <xsd:maxLength value="255"/>
        </xsd:restriction>
      </xsd:simpleType>
    </xsd:element>
    <xsd:element name="ClearanceTrackerID" ma:index="13" nillable="true" ma:displayName="Clearance Tracker ID" ma:format="Dropdown" ma:internalName="ClearanceTrackerID" ma:percentage="FALSE">
      <xsd:simpleType>
        <xsd:restriction base="dms:Number"/>
      </xsd:simpleType>
    </xsd:element>
    <xsd:element name="RespondingOffice" ma:index="14" nillable="true" ma:displayName="Responding Office" ma:format="Dropdown" ma:internalName="RespondingOffice">
      <xsd:simpleType>
        <xsd:restriction base="dms:Text">
          <xsd:maxLength value="255"/>
        </xsd:restriction>
      </xsd:simpleType>
    </xsd:element>
    <xsd:element name="Status" ma:index="15" nillable="true" ma:displayName="Status" ma:format="Dropdown" ma:internalName="Status">
      <xsd:simpleType>
        <xsd:restriction base="dms:Choice">
          <xsd:enumeration value="Open"/>
          <xsd:enumeration value="Ready for Review"/>
          <xsd:enumeration value="Closed"/>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learanceNumber xmlns="aa1c1319-afbc-4f49-a527-7e0ad5878eb0" xsi:nil="true"/>
    <lcf76f155ced4ddcb4097134ff3c332f xmlns="aa1c1319-afbc-4f49-a527-7e0ad5878eb0">
      <Terms xmlns="http://schemas.microsoft.com/office/infopath/2007/PartnerControls"/>
    </lcf76f155ced4ddcb4097134ff3c332f>
    <Response xmlns="aa1c1319-afbc-4f49-a527-7e0ad5878eb0" xsi:nil="true"/>
    <ClearanceTrackerID xmlns="aa1c1319-afbc-4f49-a527-7e0ad5878eb0" xsi:nil="true"/>
    <RespondingOffice xmlns="aa1c1319-afbc-4f49-a527-7e0ad5878eb0" xsi:nil="true"/>
    <TaxCatchAll xmlns="d4a638c4-874f-49c0-bb2b-5cb8563c2b18" xsi:nil="true"/>
    <Status xmlns="aa1c1319-afbc-4f49-a527-7e0ad5878eb0" xsi:nil="true"/>
    <_dlc_DocId xmlns="d4a638c4-874f-49c0-bb2b-5cb8563c2b18">HUDOGC-1628158018-10467</_dlc_DocId>
    <_dlc_DocIdUrl xmlns="d4a638c4-874f-49c0-bb2b-5cb8563c2b18">
      <Url>https://hudgov.sharepoint.com/sites/OGC/OLR/ICC/_layouts/15/DocIdRedir.aspx?ID=HUDOGC-1628158018-10467</Url>
      <Description>HUDOGC-1628158018-10467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2B57C1-5755-4908-ABD2-CD3E969CA5B5}">
  <ds:schemaRefs>
    <ds:schemaRef ds:uri="http://schemas.microsoft.com/sharepoint/events"/>
  </ds:schemaRefs>
</ds:datastoreItem>
</file>

<file path=customXml/itemProps2.xml><?xml version="1.0" encoding="utf-8"?>
<ds:datastoreItem xmlns:ds="http://schemas.openxmlformats.org/officeDocument/2006/customXml" ds:itemID="{C8C4B58A-3341-494F-809E-2F5A66609C91}">
  <ds:schemaRefs>
    <ds:schemaRef ds:uri="http://schemas.openxmlformats.org/officeDocument/2006/bibliography"/>
  </ds:schemaRefs>
</ds:datastoreItem>
</file>

<file path=customXml/itemProps3.xml><?xml version="1.0" encoding="utf-8"?>
<ds:datastoreItem xmlns:ds="http://schemas.openxmlformats.org/officeDocument/2006/customXml" ds:itemID="{E0D9CC8B-761B-463B-B3D9-765A4C32E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638c4-874f-49c0-bb2b-5cb8563c2b18"/>
    <ds:schemaRef ds:uri="aa1c1319-afbc-4f49-a527-7e0ad5878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032F68-4719-4EF3-ADBF-29D505AD04B2}">
  <ds:schemaRefs>
    <ds:schemaRef ds:uri="http://schemas.microsoft.com/office/2006/metadata/properties"/>
    <ds:schemaRef ds:uri="http://schemas.microsoft.com/office/infopath/2007/PartnerControls"/>
    <ds:schemaRef ds:uri="aa1c1319-afbc-4f49-a527-7e0ad5878eb0"/>
    <ds:schemaRef ds:uri="d4a638c4-874f-49c0-bb2b-5cb8563c2b18"/>
  </ds:schemaRefs>
</ds:datastoreItem>
</file>

<file path=customXml/itemProps5.xml><?xml version="1.0" encoding="utf-8"?>
<ds:datastoreItem xmlns:ds="http://schemas.openxmlformats.org/officeDocument/2006/customXml" ds:itemID="{DF156551-EEF0-49D1-AE75-B4B8732FCF7C}">
  <ds:schemaRefs>
    <ds:schemaRef ds:uri="http://schemas.microsoft.com/sharepoint/v3/contenttype/form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4459</Words>
  <Characters>25418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2026-10-27T16:28:00Z</dcterms:created>
  <dcterms:modified xsi:type="dcterms:W3CDTF">2026-10-27T16:28:00Z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0x010100A4CFC5E7DE19234EAE126B85C8735121</vt:lpwstr>
  </property>
  <property fmtid="{D5CDD505-2E9C-101B-9397-08002B2CF9AE}" pid="3" name="_dlc_DocIdItemGuid">
    <vt:lpwstr>13356189-26df-4229-92e2-b231bf69ff06</vt:lpwstr>
  </property>
</Properties>
</file>