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6C63" w:rsidRPr="009660F9" w:rsidP="004A5959" w14:paraId="2024248E" w14:textId="77777777">
      <w:pPr>
        <w:tabs>
          <w:tab w:val="center" w:pos="4680"/>
        </w:tabs>
        <w:jc w:val="center"/>
        <w:rPr>
          <w:rFonts w:ascii="Times New Roman" w:hAnsi="Times New Roman"/>
          <w:b/>
          <w:sz w:val="32"/>
          <w:szCs w:val="32"/>
        </w:rPr>
      </w:pPr>
      <w:r w:rsidRPr="009660F9">
        <w:rPr>
          <w:rFonts w:ascii="Times New Roman" w:hAnsi="Times New Roman"/>
          <w:b/>
          <w:color w:val="000000"/>
          <w:sz w:val="32"/>
          <w:szCs w:val="32"/>
        </w:rPr>
        <w:t>S</w:t>
      </w:r>
      <w:r w:rsidRPr="009660F9">
        <w:rPr>
          <w:rFonts w:ascii="Times New Roman" w:hAnsi="Times New Roman"/>
          <w:b/>
          <w:sz w:val="32"/>
          <w:szCs w:val="32"/>
        </w:rPr>
        <w:t>UPPORTING STATEMENT</w:t>
      </w:r>
    </w:p>
    <w:p w:rsidR="009660F9" w:rsidRPr="00FC41DF" w:rsidP="004A5959" w14:paraId="259B3128" w14:textId="77777777">
      <w:pPr>
        <w:tabs>
          <w:tab w:val="center" w:pos="4680"/>
        </w:tabs>
        <w:jc w:val="center"/>
        <w:rPr>
          <w:rFonts w:ascii="Times New Roman" w:hAnsi="Times New Roman"/>
          <w:b/>
        </w:rPr>
      </w:pPr>
    </w:p>
    <w:p w:rsidR="0071052F" w:rsidRPr="009660F9" w:rsidP="0071052F" w14:paraId="4DB98FA4" w14:textId="77777777">
      <w:pPr>
        <w:jc w:val="center"/>
        <w:rPr>
          <w:rFonts w:ascii="Times New Roman" w:hAnsi="Times New Roman"/>
          <w:b/>
          <w:bCs/>
          <w:sz w:val="28"/>
          <w:szCs w:val="28"/>
        </w:rPr>
      </w:pPr>
      <w:r w:rsidRPr="009660F9">
        <w:rPr>
          <w:rFonts w:ascii="Times New Roman" w:hAnsi="Times New Roman"/>
          <w:b/>
          <w:bCs/>
          <w:sz w:val="28"/>
          <w:szCs w:val="28"/>
        </w:rPr>
        <w:t>GUIDANCE ON SOUND INCENTIVE COMPENSATION POLICIES</w:t>
      </w:r>
    </w:p>
    <w:p w:rsidR="004A5959" w:rsidRPr="009660F9" w:rsidP="0071052F" w14:paraId="62C864B0" w14:textId="77777777">
      <w:pPr>
        <w:jc w:val="center"/>
        <w:rPr>
          <w:rFonts w:ascii="Times New Roman" w:hAnsi="Times New Roman"/>
          <w:b/>
          <w:sz w:val="28"/>
          <w:szCs w:val="28"/>
        </w:rPr>
      </w:pPr>
      <w:r w:rsidRPr="009660F9">
        <w:rPr>
          <w:rFonts w:ascii="Times New Roman" w:hAnsi="Times New Roman"/>
          <w:b/>
          <w:bCs/>
          <w:sz w:val="28"/>
          <w:szCs w:val="28"/>
        </w:rPr>
        <w:t>(OMB No. 3064-0175)</w:t>
      </w:r>
    </w:p>
    <w:p w:rsidR="007B6C63" w14:paraId="3CCB932C" w14:textId="77777777">
      <w:pPr>
        <w:rPr>
          <w:rFonts w:ascii="Times New Roman" w:hAnsi="Times New Roman"/>
        </w:rPr>
      </w:pPr>
    </w:p>
    <w:p w:rsidR="007B6C63" w:rsidRPr="004C5B45" w14:paraId="68D9D3A7" w14:textId="77777777">
      <w:pPr>
        <w:rPr>
          <w:rFonts w:ascii="Times New Roman" w:hAnsi="Times New Roman"/>
          <w:b/>
        </w:rPr>
      </w:pPr>
      <w:r w:rsidRPr="004C5B45">
        <w:rPr>
          <w:rFonts w:ascii="Times New Roman" w:hAnsi="Times New Roman"/>
          <w:b/>
        </w:rPr>
        <w:t>INTRODUCTION</w:t>
      </w:r>
    </w:p>
    <w:p w:rsidR="007B6C63" w14:paraId="07999140" w14:textId="77777777">
      <w:pPr>
        <w:rPr>
          <w:rFonts w:ascii="Times New Roman" w:hAnsi="Times New Roman"/>
        </w:rPr>
      </w:pPr>
    </w:p>
    <w:p w:rsidR="007B6C63" w14:paraId="29660716" w14:textId="1A798DE0">
      <w:pPr>
        <w:rPr>
          <w:rFonts w:ascii="Times New Roman" w:hAnsi="Times New Roman"/>
        </w:rPr>
      </w:pPr>
      <w:r>
        <w:rPr>
          <w:rFonts w:ascii="Times New Roman" w:hAnsi="Times New Roman"/>
        </w:rPr>
        <w:t xml:space="preserve">The FDIC is requesting OMB </w:t>
      </w:r>
      <w:r w:rsidR="00D804A5">
        <w:rPr>
          <w:rFonts w:ascii="Times New Roman" w:hAnsi="Times New Roman"/>
        </w:rPr>
        <w:t>approval</w:t>
      </w:r>
      <w:r>
        <w:rPr>
          <w:rFonts w:ascii="Times New Roman" w:hAnsi="Times New Roman"/>
        </w:rPr>
        <w:t xml:space="preserve"> </w:t>
      </w:r>
      <w:r w:rsidR="00D804A5">
        <w:rPr>
          <w:rFonts w:ascii="Times New Roman" w:hAnsi="Times New Roman"/>
        </w:rPr>
        <w:t>of the three-year extension</w:t>
      </w:r>
      <w:r w:rsidR="00615BAD">
        <w:rPr>
          <w:rFonts w:ascii="Times New Roman" w:hAnsi="Times New Roman"/>
        </w:rPr>
        <w:t>, wit</w:t>
      </w:r>
      <w:r w:rsidR="0071052F">
        <w:rPr>
          <w:rFonts w:ascii="Times New Roman" w:hAnsi="Times New Roman"/>
        </w:rPr>
        <w:t>h</w:t>
      </w:r>
      <w:r w:rsidR="009660F9">
        <w:rPr>
          <w:rFonts w:ascii="Times New Roman" w:hAnsi="Times New Roman"/>
        </w:rPr>
        <w:t>out</w:t>
      </w:r>
      <w:r w:rsidR="0071052F">
        <w:rPr>
          <w:rFonts w:ascii="Times New Roman" w:hAnsi="Times New Roman"/>
        </w:rPr>
        <w:t xml:space="preserve"> </w:t>
      </w:r>
      <w:r w:rsidR="009660F9">
        <w:rPr>
          <w:rFonts w:ascii="Times New Roman" w:hAnsi="Times New Roman"/>
        </w:rPr>
        <w:t>change</w:t>
      </w:r>
      <w:r w:rsidR="00615BAD">
        <w:rPr>
          <w:rFonts w:ascii="Times New Roman" w:hAnsi="Times New Roman"/>
        </w:rPr>
        <w:t>,</w:t>
      </w:r>
      <w:r w:rsidR="00D804A5">
        <w:rPr>
          <w:rFonts w:ascii="Times New Roman" w:hAnsi="Times New Roman"/>
        </w:rPr>
        <w:t xml:space="preserve"> </w:t>
      </w:r>
      <w:r w:rsidR="00550714">
        <w:rPr>
          <w:rFonts w:ascii="Times New Roman" w:hAnsi="Times New Roman"/>
        </w:rPr>
        <w:t>of the information collection</w:t>
      </w:r>
      <w:r>
        <w:rPr>
          <w:rFonts w:ascii="Times New Roman" w:hAnsi="Times New Roman"/>
        </w:rPr>
        <w:t xml:space="preserve"> </w:t>
      </w:r>
      <w:r w:rsidR="00D804A5">
        <w:rPr>
          <w:rFonts w:ascii="Times New Roman" w:hAnsi="Times New Roman"/>
        </w:rPr>
        <w:t>entitled “</w:t>
      </w:r>
      <w:r w:rsidR="0071052F">
        <w:rPr>
          <w:rFonts w:ascii="Times New Roman" w:hAnsi="Times New Roman"/>
        </w:rPr>
        <w:t>Guidance on Sound Incentive Compensation Policies</w:t>
      </w:r>
      <w:r w:rsidR="00655078">
        <w:rPr>
          <w:rFonts w:ascii="Times New Roman" w:hAnsi="Times New Roman"/>
        </w:rPr>
        <w:t>” (OMB Control No. 3064-0</w:t>
      </w:r>
      <w:r w:rsidR="00DA5092">
        <w:rPr>
          <w:rFonts w:ascii="Times New Roman" w:hAnsi="Times New Roman"/>
        </w:rPr>
        <w:t>1</w:t>
      </w:r>
      <w:r w:rsidR="0071052F">
        <w:rPr>
          <w:rFonts w:ascii="Times New Roman" w:hAnsi="Times New Roman"/>
        </w:rPr>
        <w:t>75</w:t>
      </w:r>
      <w:r w:rsidR="00655078">
        <w:rPr>
          <w:rFonts w:ascii="Times New Roman" w:hAnsi="Times New Roman"/>
        </w:rPr>
        <w:t>)</w:t>
      </w:r>
      <w:r w:rsidR="00A015AA">
        <w:rPr>
          <w:rFonts w:ascii="Times New Roman" w:hAnsi="Times New Roman"/>
        </w:rPr>
        <w:t xml:space="preserve">. The information collection </w:t>
      </w:r>
      <w:r w:rsidR="0012790D">
        <w:rPr>
          <w:rFonts w:ascii="Times New Roman" w:hAnsi="Times New Roman"/>
        </w:rPr>
        <w:t>consists</w:t>
      </w:r>
      <w:r w:rsidR="00184427">
        <w:rPr>
          <w:rFonts w:ascii="Times New Roman" w:hAnsi="Times New Roman"/>
        </w:rPr>
        <w:t xml:space="preserve"> of recordkeeping</w:t>
      </w:r>
      <w:r w:rsidR="00182279">
        <w:rPr>
          <w:rFonts w:ascii="Times New Roman" w:hAnsi="Times New Roman"/>
          <w:spacing w:val="-3"/>
        </w:rPr>
        <w:t xml:space="preserve"> requirements </w:t>
      </w:r>
      <w:r w:rsidR="00184427">
        <w:rPr>
          <w:rFonts w:ascii="Times New Roman" w:hAnsi="Times New Roman"/>
          <w:spacing w:val="-3"/>
        </w:rPr>
        <w:t xml:space="preserve">associated with the </w:t>
      </w:r>
      <w:r w:rsidR="00352911">
        <w:rPr>
          <w:rFonts w:ascii="Times New Roman" w:hAnsi="Times New Roman"/>
          <w:spacing w:val="-3"/>
        </w:rPr>
        <w:t>interagency Guidance on sound Incentive Compensation Policies, which was issued</w:t>
      </w:r>
      <w:r w:rsidR="00AC7083">
        <w:rPr>
          <w:rFonts w:ascii="Times New Roman" w:hAnsi="Times New Roman"/>
          <w:spacing w:val="-3"/>
        </w:rPr>
        <w:t xml:space="preserve"> by the </w:t>
      </w:r>
      <w:r w:rsidR="00B06BE7">
        <w:rPr>
          <w:rFonts w:ascii="Times New Roman" w:hAnsi="Times New Roman"/>
          <w:spacing w:val="-3"/>
        </w:rPr>
        <w:t xml:space="preserve">Federal banking agencies </w:t>
      </w:r>
      <w:r w:rsidR="00AC7083">
        <w:rPr>
          <w:rFonts w:ascii="Times New Roman" w:hAnsi="Times New Roman"/>
          <w:spacing w:val="-3"/>
        </w:rPr>
        <w:t>and became effective</w:t>
      </w:r>
      <w:r w:rsidR="00020D75">
        <w:rPr>
          <w:rFonts w:ascii="Times New Roman" w:hAnsi="Times New Roman"/>
          <w:spacing w:val="-3"/>
        </w:rPr>
        <w:t xml:space="preserve"> </w:t>
      </w:r>
      <w:r w:rsidR="00B06BE7">
        <w:rPr>
          <w:rFonts w:ascii="Times New Roman" w:hAnsi="Times New Roman"/>
          <w:spacing w:val="-3"/>
        </w:rPr>
        <w:t xml:space="preserve">on June 25, 2010. There </w:t>
      </w:r>
      <w:r w:rsidR="00182279">
        <w:rPr>
          <w:rFonts w:ascii="Times New Roman" w:hAnsi="Times New Roman"/>
          <w:spacing w:val="-3"/>
        </w:rPr>
        <w:t xml:space="preserve">is no change in the method or substance of the </w:t>
      </w:r>
      <w:r w:rsidR="009660F9">
        <w:rPr>
          <w:rFonts w:ascii="Times New Roman" w:hAnsi="Times New Roman"/>
          <w:spacing w:val="-3"/>
        </w:rPr>
        <w:t xml:space="preserve">information </w:t>
      </w:r>
      <w:r w:rsidR="00182279">
        <w:rPr>
          <w:rFonts w:ascii="Times New Roman" w:hAnsi="Times New Roman"/>
          <w:spacing w:val="-3"/>
        </w:rPr>
        <w:t>collectio</w:t>
      </w:r>
      <w:r w:rsidR="0012790D">
        <w:rPr>
          <w:rFonts w:ascii="Times New Roman" w:hAnsi="Times New Roman"/>
          <w:spacing w:val="-3"/>
        </w:rPr>
        <w:t>n</w:t>
      </w:r>
      <w:r w:rsidR="00655078">
        <w:rPr>
          <w:rFonts w:ascii="Times New Roman" w:hAnsi="Times New Roman"/>
        </w:rPr>
        <w:t xml:space="preserve"> which currently expires o</w:t>
      </w:r>
      <w:r w:rsidR="00DA5092">
        <w:rPr>
          <w:rFonts w:ascii="Times New Roman" w:hAnsi="Times New Roman"/>
        </w:rPr>
        <w:t>n</w:t>
      </w:r>
      <w:r w:rsidR="00655078">
        <w:rPr>
          <w:rFonts w:ascii="Times New Roman" w:hAnsi="Times New Roman"/>
        </w:rPr>
        <w:t xml:space="preserve"> </w:t>
      </w:r>
      <w:r w:rsidR="007A3A8A">
        <w:rPr>
          <w:rFonts w:ascii="Times New Roman" w:hAnsi="Times New Roman"/>
        </w:rPr>
        <w:t>October 31, 2026</w:t>
      </w:r>
      <w:r w:rsidR="00FB759A">
        <w:rPr>
          <w:rFonts w:ascii="Times New Roman" w:hAnsi="Times New Roman"/>
        </w:rPr>
        <w:t>.</w:t>
      </w:r>
    </w:p>
    <w:p w:rsidR="007B6C63" w14:paraId="4A2AB1BB" w14:textId="77777777">
      <w:pPr>
        <w:rPr>
          <w:rFonts w:ascii="Times New Roman" w:hAnsi="Times New Roman"/>
        </w:rPr>
      </w:pPr>
    </w:p>
    <w:p w:rsidR="007B6C63" w14:paraId="62F12B7F" w14:textId="77777777">
      <w:pPr>
        <w:tabs>
          <w:tab w:val="left" w:pos="-1440"/>
        </w:tabs>
        <w:rPr>
          <w:rFonts w:ascii="Times New Roman" w:hAnsi="Times New Roman"/>
        </w:rPr>
      </w:pPr>
      <w:r>
        <w:rPr>
          <w:rFonts w:ascii="Times New Roman" w:hAnsi="Times New Roman"/>
        </w:rPr>
        <w:t>A.</w:t>
      </w:r>
      <w:r>
        <w:rPr>
          <w:rFonts w:ascii="Times New Roman" w:hAnsi="Times New Roman"/>
        </w:rPr>
        <w:tab/>
      </w:r>
      <w:r w:rsidRPr="004C5B45">
        <w:rPr>
          <w:rFonts w:ascii="Times New Roman" w:hAnsi="Times New Roman"/>
          <w:b/>
        </w:rPr>
        <w:t>JUSTIFICATION</w:t>
      </w:r>
    </w:p>
    <w:p w:rsidR="007B6C63" w14:paraId="591E9BCD" w14:textId="77777777">
      <w:pPr>
        <w:rPr>
          <w:rFonts w:ascii="Times New Roman" w:hAnsi="Times New Roman"/>
        </w:rPr>
      </w:pPr>
    </w:p>
    <w:p w:rsidR="007B6C63" w:rsidP="00A1019D" w14:paraId="064BDA33" w14:textId="77777777">
      <w:pPr>
        <w:tabs>
          <w:tab w:val="left" w:pos="-1440"/>
        </w:tabs>
        <w:ind w:left="720" w:hanging="360"/>
        <w:rPr>
          <w:rFonts w:ascii="Times New Roman" w:hAnsi="Times New Roman"/>
        </w:rPr>
      </w:pPr>
      <w:r>
        <w:rPr>
          <w:rFonts w:ascii="Times New Roman" w:hAnsi="Times New Roman"/>
        </w:rPr>
        <w:t>1.</w:t>
      </w:r>
      <w:r>
        <w:rPr>
          <w:rFonts w:ascii="Times New Roman" w:hAnsi="Times New Roman"/>
        </w:rPr>
        <w:tab/>
      </w:r>
      <w:r w:rsidRPr="003514D6" w:rsidR="00386C94">
        <w:rPr>
          <w:rFonts w:ascii="Times New Roman" w:hAnsi="Times New Roman"/>
          <w:b/>
          <w:bCs/>
          <w:iCs/>
          <w:szCs w:val="24"/>
          <w:u w:val="single"/>
        </w:rPr>
        <w:t xml:space="preserve">Circumstances that make the collection </w:t>
      </w:r>
      <w:r w:rsidRPr="00A1019D" w:rsidR="00386C94">
        <w:rPr>
          <w:rFonts w:ascii="Times New Roman" w:hAnsi="Times New Roman"/>
          <w:b/>
          <w:bCs/>
          <w:iCs/>
          <w:u w:val="single"/>
        </w:rPr>
        <w:t>necessary</w:t>
      </w:r>
      <w:r w:rsidR="00386C94">
        <w:rPr>
          <w:rFonts w:ascii="Times New Roman" w:hAnsi="Times New Roman"/>
          <w:b/>
          <w:bCs/>
          <w:iCs/>
          <w:szCs w:val="24"/>
          <w:u w:val="single"/>
        </w:rPr>
        <w:t>:</w:t>
      </w:r>
    </w:p>
    <w:p w:rsidR="007B6C63" w14:paraId="26FE7806" w14:textId="77777777">
      <w:pPr>
        <w:rPr>
          <w:rFonts w:ascii="Times New Roman" w:hAnsi="Times New Roman"/>
        </w:rPr>
      </w:pPr>
    </w:p>
    <w:p w:rsidR="002331BC" w:rsidP="00B977B5" w14:paraId="0B4F3914" w14:textId="77777777">
      <w:pPr>
        <w:ind w:left="720"/>
        <w:rPr>
          <w:rFonts w:ascii="Times New Roman" w:hAnsi="Times New Roman"/>
          <w:spacing w:val="-3"/>
        </w:rPr>
      </w:pPr>
      <w:r w:rsidRPr="00B977B5">
        <w:rPr>
          <w:rFonts w:ascii="Times New Roman" w:hAnsi="Times New Roman"/>
          <w:spacing w:val="-3"/>
        </w:rPr>
        <w:t xml:space="preserve">Incentive compensation practices in the financial services industry contributed to the financial crisis that began in 2007.  Bank employees too often were rewarded for increasing short-term revenue or profit without adequate regard to the risks taken to achieve those results.  These practices exacerbated the risks and losses at a number of banking organizations and resulted in the misalignment of the interests of employees with the long-term safety and soundness of their organizations.  </w:t>
      </w:r>
      <w:r>
        <w:rPr>
          <w:rFonts w:ascii="Times New Roman" w:hAnsi="Times New Roman"/>
          <w:spacing w:val="-3"/>
        </w:rPr>
        <w:t>On June 25, 2010, t</w:t>
      </w:r>
      <w:r w:rsidRPr="002331BC">
        <w:rPr>
          <w:rFonts w:ascii="Times New Roman" w:hAnsi="Times New Roman"/>
          <w:spacing w:val="-3"/>
        </w:rPr>
        <w:t xml:space="preserve">he </w:t>
      </w:r>
      <w:r>
        <w:rPr>
          <w:rFonts w:ascii="Times New Roman" w:hAnsi="Times New Roman"/>
          <w:spacing w:val="-3"/>
        </w:rPr>
        <w:t>Federal Deposit Insurance Corporation (</w:t>
      </w:r>
      <w:r w:rsidRPr="002331BC">
        <w:rPr>
          <w:rFonts w:ascii="Times New Roman" w:hAnsi="Times New Roman"/>
          <w:spacing w:val="-3"/>
        </w:rPr>
        <w:t>FDIC</w:t>
      </w:r>
      <w:r>
        <w:rPr>
          <w:rFonts w:ascii="Times New Roman" w:hAnsi="Times New Roman"/>
          <w:spacing w:val="-3"/>
        </w:rPr>
        <w:t>)</w:t>
      </w:r>
      <w:r w:rsidRPr="002331BC">
        <w:rPr>
          <w:rFonts w:ascii="Times New Roman" w:hAnsi="Times New Roman"/>
          <w:spacing w:val="-3"/>
        </w:rPr>
        <w:t xml:space="preserve"> adopt</w:t>
      </w:r>
      <w:r w:rsidR="00234383">
        <w:rPr>
          <w:rFonts w:ascii="Times New Roman" w:hAnsi="Times New Roman"/>
          <w:spacing w:val="-3"/>
        </w:rPr>
        <w:t>ed</w:t>
      </w:r>
      <w:r w:rsidRPr="002331BC">
        <w:rPr>
          <w:rFonts w:ascii="Times New Roman" w:hAnsi="Times New Roman"/>
          <w:spacing w:val="-3"/>
        </w:rPr>
        <w:t xml:space="preserve"> guidance </w:t>
      </w:r>
      <w:r>
        <w:rPr>
          <w:rFonts w:ascii="Times New Roman" w:hAnsi="Times New Roman"/>
          <w:spacing w:val="-3"/>
        </w:rPr>
        <w:t>(Guidance)</w:t>
      </w:r>
      <w:r w:rsidR="006D4C70">
        <w:rPr>
          <w:rFonts w:ascii="Times New Roman" w:hAnsi="Times New Roman"/>
          <w:spacing w:val="-3"/>
        </w:rPr>
        <w:t>, pursuant to authority under Section 39 of the Federal Deposit Insurance Act (12 USC 1831p-1),</w:t>
      </w:r>
      <w:r>
        <w:rPr>
          <w:rFonts w:ascii="Times New Roman" w:hAnsi="Times New Roman"/>
          <w:spacing w:val="-3"/>
        </w:rPr>
        <w:t xml:space="preserve"> </w:t>
      </w:r>
      <w:r w:rsidRPr="002331BC">
        <w:rPr>
          <w:rFonts w:ascii="Times New Roman" w:hAnsi="Times New Roman"/>
          <w:spacing w:val="-3"/>
        </w:rPr>
        <w:t xml:space="preserve">designed to help ensure that incentive compensation policies at </w:t>
      </w:r>
      <w:r w:rsidR="006D4C70">
        <w:rPr>
          <w:rFonts w:ascii="Times New Roman" w:hAnsi="Times New Roman"/>
          <w:spacing w:val="-3"/>
        </w:rPr>
        <w:t xml:space="preserve">FDIC-supervised </w:t>
      </w:r>
      <w:r w:rsidRPr="002331BC">
        <w:rPr>
          <w:rFonts w:ascii="Times New Roman" w:hAnsi="Times New Roman"/>
          <w:spacing w:val="-3"/>
        </w:rPr>
        <w:t xml:space="preserve">banking </w:t>
      </w:r>
      <w:r w:rsidR="00234383">
        <w:rPr>
          <w:rFonts w:ascii="Times New Roman" w:hAnsi="Times New Roman"/>
          <w:spacing w:val="-3"/>
        </w:rPr>
        <w:t>institutions</w:t>
      </w:r>
      <w:r w:rsidRPr="002331BC">
        <w:rPr>
          <w:rFonts w:ascii="Times New Roman" w:hAnsi="Times New Roman"/>
          <w:spacing w:val="-3"/>
        </w:rPr>
        <w:t xml:space="preserve"> do not encourage imprudent risk-taking and are consisten</w:t>
      </w:r>
      <w:r w:rsidR="00234383">
        <w:rPr>
          <w:rFonts w:ascii="Times New Roman" w:hAnsi="Times New Roman"/>
          <w:spacing w:val="-3"/>
        </w:rPr>
        <w:t xml:space="preserve">t </w:t>
      </w:r>
      <w:r w:rsidRPr="002331BC">
        <w:rPr>
          <w:rFonts w:ascii="Times New Roman" w:hAnsi="Times New Roman"/>
          <w:spacing w:val="-3"/>
        </w:rPr>
        <w:t>with the safety and soundness of th</w:t>
      </w:r>
      <w:r w:rsidR="00234383">
        <w:rPr>
          <w:rFonts w:ascii="Times New Roman" w:hAnsi="Times New Roman"/>
          <w:spacing w:val="-3"/>
        </w:rPr>
        <w:t>ose institutions.</w:t>
      </w:r>
      <w:r>
        <w:rPr>
          <w:rStyle w:val="FootnoteReference"/>
          <w:rFonts w:ascii="Times New Roman" w:hAnsi="Times New Roman"/>
          <w:spacing w:val="-3"/>
          <w:vertAlign w:val="superscript"/>
        </w:rPr>
        <w:footnoteReference w:id="2"/>
      </w:r>
    </w:p>
    <w:p w:rsidR="002331BC" w:rsidP="000B0581" w14:paraId="794D5EE6" w14:textId="77777777">
      <w:pPr>
        <w:ind w:left="720"/>
        <w:rPr>
          <w:rFonts w:ascii="Times New Roman" w:hAnsi="Times New Roman"/>
          <w:spacing w:val="-3"/>
        </w:rPr>
      </w:pPr>
    </w:p>
    <w:p w:rsidR="00B977B5" w:rsidRPr="00B977B5" w:rsidP="00B977B5" w14:paraId="283E84F5" w14:textId="77777777">
      <w:pPr>
        <w:ind w:left="720"/>
        <w:rPr>
          <w:rFonts w:ascii="Times New Roman" w:hAnsi="Times New Roman"/>
        </w:rPr>
      </w:pPr>
      <w:r w:rsidRPr="00B977B5">
        <w:rPr>
          <w:rFonts w:ascii="Times New Roman" w:hAnsi="Times New Roman"/>
        </w:rPr>
        <w:t>Th</w:t>
      </w:r>
      <w:r>
        <w:rPr>
          <w:rFonts w:ascii="Times New Roman" w:hAnsi="Times New Roman"/>
        </w:rPr>
        <w:t>e</w:t>
      </w:r>
      <w:r w:rsidRPr="00B977B5">
        <w:rPr>
          <w:rFonts w:ascii="Times New Roman" w:hAnsi="Times New Roman"/>
        </w:rPr>
        <w:t xml:space="preserve"> Guidance is based on three key principles that are designed to ensure that incentive compensation arrangements at a banking organization do not encourage employees to take excessive risks.  These principles provide that incentive compensation arrangements should:</w:t>
      </w:r>
    </w:p>
    <w:p w:rsidR="00B977B5" w:rsidRPr="00B977B5" w:rsidP="00B977B5" w14:paraId="017F77F6" w14:textId="77777777">
      <w:pPr>
        <w:ind w:left="720"/>
        <w:rPr>
          <w:rFonts w:ascii="Times New Roman" w:hAnsi="Times New Roman"/>
        </w:rPr>
      </w:pPr>
    </w:p>
    <w:p w:rsidR="00B977B5" w:rsidRPr="00B977B5" w:rsidP="00B977B5" w14:paraId="1229BA63" w14:textId="77777777">
      <w:pPr>
        <w:numPr>
          <w:ilvl w:val="0"/>
          <w:numId w:val="4"/>
        </w:numPr>
        <w:rPr>
          <w:rFonts w:ascii="Times New Roman" w:hAnsi="Times New Roman"/>
        </w:rPr>
      </w:pPr>
      <w:r w:rsidRPr="00B977B5">
        <w:rPr>
          <w:rFonts w:ascii="Times New Roman" w:hAnsi="Times New Roman"/>
        </w:rPr>
        <w:t xml:space="preserve">Provide employees incentives that do not encourage excessive risk-taking beyond the organization’s ability to effectively identify and manage risk; </w:t>
      </w:r>
    </w:p>
    <w:p w:rsidR="00B977B5" w:rsidRPr="00B977B5" w:rsidP="00B977B5" w14:paraId="65E02D46" w14:textId="77777777">
      <w:pPr>
        <w:numPr>
          <w:ilvl w:val="0"/>
          <w:numId w:val="4"/>
        </w:numPr>
        <w:rPr>
          <w:rFonts w:ascii="Times New Roman" w:hAnsi="Times New Roman"/>
        </w:rPr>
      </w:pPr>
      <w:r w:rsidRPr="00B977B5">
        <w:rPr>
          <w:rFonts w:ascii="Times New Roman" w:hAnsi="Times New Roman"/>
        </w:rPr>
        <w:t xml:space="preserve">Be compatible with effective controls and risk management; and </w:t>
      </w:r>
    </w:p>
    <w:p w:rsidR="00B977B5" w:rsidRPr="00B977B5" w:rsidP="00B977B5" w14:paraId="6435BC71" w14:textId="77777777">
      <w:pPr>
        <w:numPr>
          <w:ilvl w:val="0"/>
          <w:numId w:val="4"/>
        </w:numPr>
        <w:rPr>
          <w:rFonts w:ascii="Times New Roman" w:hAnsi="Times New Roman"/>
        </w:rPr>
      </w:pPr>
      <w:r w:rsidRPr="00B977B5">
        <w:rPr>
          <w:rFonts w:ascii="Times New Roman" w:hAnsi="Times New Roman"/>
        </w:rPr>
        <w:t>Be supported by strong corporate governance, including active and effective oversight by the organization’s board of directors.</w:t>
      </w:r>
    </w:p>
    <w:p w:rsidR="00B977B5" w:rsidRPr="00B977B5" w:rsidP="00B977B5" w14:paraId="7C8B33AF" w14:textId="77777777">
      <w:pPr>
        <w:ind w:left="720"/>
        <w:rPr>
          <w:rFonts w:ascii="Times New Roman" w:hAnsi="Times New Roman"/>
        </w:rPr>
      </w:pPr>
    </w:p>
    <w:p w:rsidR="007B6C63" w:rsidP="00B977B5" w14:paraId="034AAB5A" w14:textId="77777777">
      <w:pPr>
        <w:ind w:left="720"/>
        <w:rPr>
          <w:rFonts w:ascii="Times New Roman" w:hAnsi="Times New Roman"/>
        </w:rPr>
      </w:pPr>
      <w:r w:rsidRPr="00B977B5">
        <w:rPr>
          <w:rFonts w:ascii="Times New Roman" w:hAnsi="Times New Roman"/>
        </w:rPr>
        <w:t>Th</w:t>
      </w:r>
      <w:r>
        <w:rPr>
          <w:rFonts w:ascii="Times New Roman" w:hAnsi="Times New Roman"/>
        </w:rPr>
        <w:t>e</w:t>
      </w:r>
      <w:r w:rsidRPr="00B977B5">
        <w:rPr>
          <w:rFonts w:ascii="Times New Roman" w:hAnsi="Times New Roman"/>
        </w:rPr>
        <w:t xml:space="preserve"> Guidance promotes the improvement of incentive compensation practices in the banking industry by providing a common prudential foundation for incentive </w:t>
      </w:r>
      <w:r w:rsidRPr="00B977B5">
        <w:rPr>
          <w:rFonts w:ascii="Times New Roman" w:hAnsi="Times New Roman"/>
        </w:rPr>
        <w:t>compensation arrangements across banking organizations, and promoting the overall movement of the industry towards better practices.  Supervisory action plays a critical role in addressing misaligned compensation incentives, especially where issues of competition may make it difficult for individual firms to act alone.  Through their actions, supervisors could help to better align the interests of managers and other employees with organizations’ long-term health and reduce concerns that making prudent modifications to incentive compensation arrangements might have adverse competitive consequences.</w:t>
      </w:r>
    </w:p>
    <w:p w:rsidR="007B6C63" w14:paraId="629C4906" w14:textId="77777777">
      <w:pPr>
        <w:rPr>
          <w:rFonts w:ascii="Times New Roman" w:hAnsi="Times New Roman"/>
        </w:rPr>
      </w:pPr>
    </w:p>
    <w:p w:rsidR="007B6C63" w:rsidP="00A1019D" w14:paraId="20AA6744" w14:textId="77777777">
      <w:pPr>
        <w:tabs>
          <w:tab w:val="left" w:pos="-1440"/>
        </w:tabs>
        <w:ind w:left="720" w:hanging="360"/>
        <w:rPr>
          <w:rFonts w:ascii="Times New Roman" w:hAnsi="Times New Roman"/>
        </w:rPr>
      </w:pPr>
      <w:r>
        <w:rPr>
          <w:rFonts w:ascii="Times New Roman" w:hAnsi="Times New Roman"/>
        </w:rPr>
        <w:t>2.</w:t>
      </w:r>
      <w:r>
        <w:rPr>
          <w:rFonts w:ascii="Times New Roman" w:hAnsi="Times New Roman"/>
        </w:rPr>
        <w:tab/>
      </w:r>
      <w:r w:rsidRPr="00FC41DF" w:rsidR="00386C94">
        <w:rPr>
          <w:rFonts w:ascii="Times New Roman" w:hAnsi="Times New Roman"/>
          <w:b/>
          <w:bCs/>
          <w:iCs/>
          <w:szCs w:val="24"/>
          <w:u w:val="single"/>
        </w:rPr>
        <w:t xml:space="preserve">Use of </w:t>
      </w:r>
      <w:r w:rsidRPr="00FC41DF" w:rsidR="00386C94">
        <w:rPr>
          <w:rFonts w:ascii="Times New Roman" w:hAnsi="Times New Roman"/>
          <w:b/>
          <w:u w:val="single"/>
        </w:rPr>
        <w:t>the</w:t>
      </w:r>
      <w:r w:rsidRPr="00FC41DF" w:rsidR="00386C94">
        <w:rPr>
          <w:rFonts w:ascii="Times New Roman" w:hAnsi="Times New Roman"/>
          <w:b/>
          <w:bCs/>
          <w:iCs/>
          <w:szCs w:val="24"/>
          <w:u w:val="single"/>
        </w:rPr>
        <w:t xml:space="preserve"> </w:t>
      </w:r>
      <w:r w:rsidRPr="00A1019D" w:rsidR="00386C94">
        <w:rPr>
          <w:rFonts w:ascii="Times New Roman" w:hAnsi="Times New Roman"/>
          <w:b/>
          <w:bCs/>
          <w:iCs/>
          <w:u w:val="single"/>
        </w:rPr>
        <w:t>information</w:t>
      </w:r>
      <w:r w:rsidR="00386C94">
        <w:rPr>
          <w:rFonts w:ascii="Times New Roman" w:hAnsi="Times New Roman"/>
          <w:b/>
          <w:bCs/>
          <w:iCs/>
          <w:szCs w:val="24"/>
          <w:u w:val="single"/>
        </w:rPr>
        <w:t>:</w:t>
      </w:r>
    </w:p>
    <w:p w:rsidR="007B6C63" w14:paraId="44485E64" w14:textId="77777777">
      <w:pPr>
        <w:rPr>
          <w:rFonts w:ascii="Times New Roman" w:hAnsi="Times New Roman"/>
        </w:rPr>
      </w:pPr>
    </w:p>
    <w:p w:rsidR="007B6C63" w:rsidP="000B0581" w14:paraId="2759EF22" w14:textId="77777777">
      <w:pPr>
        <w:ind w:left="720"/>
        <w:rPr>
          <w:rFonts w:ascii="Times New Roman" w:hAnsi="Times New Roman"/>
        </w:rPr>
      </w:pPr>
      <w:r>
        <w:rPr>
          <w:rFonts w:ascii="Times New Roman" w:hAnsi="Times New Roman"/>
          <w:spacing w:val="-3"/>
        </w:rPr>
        <w:t>The FDIC uses</w:t>
      </w:r>
      <w:r w:rsidR="00414ECF">
        <w:rPr>
          <w:rFonts w:ascii="Times New Roman" w:hAnsi="Times New Roman"/>
          <w:spacing w:val="-3"/>
        </w:rPr>
        <w:t xml:space="preserve"> the information as part of its super</w:t>
      </w:r>
      <w:r>
        <w:rPr>
          <w:rFonts w:ascii="Times New Roman" w:hAnsi="Times New Roman"/>
          <w:spacing w:val="-3"/>
        </w:rPr>
        <w:t xml:space="preserve">visory process.  Examiners </w:t>
      </w:r>
      <w:r w:rsidR="00414ECF">
        <w:rPr>
          <w:rFonts w:ascii="Times New Roman" w:hAnsi="Times New Roman"/>
          <w:spacing w:val="-3"/>
        </w:rPr>
        <w:t>review incentive compensation arrangements at FDIC-supervised institutions for compliance with the institution’s policies and procedures.  Examiners will also assess the institution’s incentive compensation policies and procedures as party of the safety and soundness examination of the institution.</w:t>
      </w:r>
    </w:p>
    <w:p w:rsidR="007B6C63" w14:paraId="4037A5CC" w14:textId="77777777">
      <w:pPr>
        <w:ind w:left="720"/>
        <w:rPr>
          <w:rFonts w:ascii="Times New Roman" w:hAnsi="Times New Roman"/>
        </w:rPr>
      </w:pPr>
    </w:p>
    <w:p w:rsidR="007B6C63" w:rsidP="00A1019D" w14:paraId="31E050A9" w14:textId="77777777">
      <w:pPr>
        <w:tabs>
          <w:tab w:val="left" w:pos="-1440"/>
        </w:tabs>
        <w:ind w:left="720" w:hanging="360"/>
        <w:rPr>
          <w:rFonts w:ascii="Times New Roman" w:hAnsi="Times New Roman"/>
        </w:rPr>
      </w:pPr>
      <w:r>
        <w:rPr>
          <w:rFonts w:ascii="Times New Roman" w:hAnsi="Times New Roman"/>
        </w:rPr>
        <w:t>3.</w:t>
      </w:r>
      <w:r>
        <w:rPr>
          <w:rFonts w:ascii="Times New Roman" w:hAnsi="Times New Roman"/>
        </w:rPr>
        <w:tab/>
      </w:r>
      <w:r w:rsidRPr="00A1019D" w:rsidR="00386C94">
        <w:rPr>
          <w:rFonts w:ascii="Times New Roman" w:hAnsi="Times New Roman"/>
          <w:b/>
          <w:bCs/>
          <w:iCs/>
          <w:u w:val="single"/>
        </w:rPr>
        <w:t>Consideration</w:t>
      </w:r>
      <w:r w:rsidRPr="00FC41DF" w:rsidR="00386C94">
        <w:rPr>
          <w:rFonts w:ascii="Times New Roman" w:hAnsi="Times New Roman"/>
          <w:b/>
          <w:bCs/>
          <w:iCs/>
          <w:szCs w:val="24"/>
          <w:u w:val="single"/>
        </w:rPr>
        <w:t xml:space="preserve"> of the use of improved information technology:</w:t>
      </w:r>
    </w:p>
    <w:p w:rsidR="007B6C63" w14:paraId="05833D2A" w14:textId="77777777">
      <w:pPr>
        <w:rPr>
          <w:rFonts w:ascii="Times New Roman" w:hAnsi="Times New Roman"/>
        </w:rPr>
      </w:pPr>
    </w:p>
    <w:p w:rsidR="000855E4" w:rsidP="000B0581" w14:paraId="16CE189A" w14:textId="77777777">
      <w:pPr>
        <w:ind w:left="720"/>
        <w:rPr>
          <w:rFonts w:ascii="Times New Roman" w:hAnsi="Times New Roman"/>
        </w:rPr>
      </w:pPr>
      <w:r>
        <w:rPr>
          <w:rFonts w:ascii="Times New Roman" w:hAnsi="Times New Roman"/>
        </w:rPr>
        <w:t>FDIC-supervised institutions may use any technology they wish in order to lessen the burden of meeting this recordkeeping requirement.</w:t>
      </w:r>
    </w:p>
    <w:p w:rsidR="007B6C63" w14:paraId="3EBBFD92" w14:textId="77777777">
      <w:pPr>
        <w:rPr>
          <w:rFonts w:ascii="Times New Roman" w:hAnsi="Times New Roman"/>
        </w:rPr>
      </w:pPr>
    </w:p>
    <w:p w:rsidR="007B6C63" w:rsidP="00A1019D" w14:paraId="4CFB9963" w14:textId="77777777">
      <w:pPr>
        <w:tabs>
          <w:tab w:val="left" w:pos="-1440"/>
        </w:tabs>
        <w:ind w:left="720" w:hanging="360"/>
        <w:rPr>
          <w:rFonts w:ascii="Times New Roman" w:hAnsi="Times New Roman"/>
        </w:rPr>
      </w:pPr>
      <w:r>
        <w:rPr>
          <w:rFonts w:ascii="Times New Roman" w:hAnsi="Times New Roman"/>
        </w:rPr>
        <w:t>4.</w:t>
      </w:r>
      <w:r>
        <w:rPr>
          <w:rFonts w:ascii="Times New Roman" w:hAnsi="Times New Roman"/>
        </w:rPr>
        <w:tab/>
      </w:r>
      <w:r w:rsidRPr="00A1019D" w:rsidR="00386C94">
        <w:rPr>
          <w:rFonts w:ascii="Times New Roman" w:hAnsi="Times New Roman"/>
          <w:b/>
          <w:bCs/>
          <w:iCs/>
          <w:u w:val="single"/>
        </w:rPr>
        <w:t>Efforts</w:t>
      </w:r>
      <w:r w:rsidRPr="00386C94" w:rsidR="00386C94">
        <w:rPr>
          <w:rFonts w:ascii="Times New Roman" w:hAnsi="Times New Roman"/>
          <w:b/>
          <w:spacing w:val="-1"/>
          <w:szCs w:val="24"/>
          <w:u w:val="single"/>
        </w:rPr>
        <w:t xml:space="preserve"> to identify duplication:</w:t>
      </w:r>
    </w:p>
    <w:p w:rsidR="000855E4" w14:paraId="6B385283" w14:textId="77777777">
      <w:pPr>
        <w:ind w:left="1440"/>
        <w:rPr>
          <w:rFonts w:ascii="Times New Roman" w:hAnsi="Times New Roman"/>
        </w:rPr>
      </w:pPr>
    </w:p>
    <w:p w:rsidR="007B6C63" w:rsidP="000B0581" w14:paraId="6AC26CD7" w14:textId="77777777">
      <w:pPr>
        <w:ind w:left="720"/>
        <w:rPr>
          <w:rFonts w:ascii="Times New Roman" w:hAnsi="Times New Roman"/>
        </w:rPr>
      </w:pPr>
      <w:r>
        <w:rPr>
          <w:rFonts w:ascii="Times New Roman" w:hAnsi="Times New Roman"/>
        </w:rPr>
        <w:t xml:space="preserve">There is no duplication.  </w:t>
      </w:r>
      <w:r w:rsidR="00003E86">
        <w:rPr>
          <w:rFonts w:ascii="Times New Roman" w:hAnsi="Times New Roman"/>
        </w:rPr>
        <w:t>Each FDIC-supervise</w:t>
      </w:r>
      <w:r w:rsidR="009660F9">
        <w:rPr>
          <w:rFonts w:ascii="Times New Roman" w:hAnsi="Times New Roman"/>
        </w:rPr>
        <w:t>d institution will adopt</w:t>
      </w:r>
      <w:r w:rsidR="00003E86">
        <w:rPr>
          <w:rFonts w:ascii="Times New Roman" w:hAnsi="Times New Roman"/>
        </w:rPr>
        <w:t xml:space="preserve"> standards and policies tail</w:t>
      </w:r>
      <w:r w:rsidR="009660F9">
        <w:rPr>
          <w:rFonts w:ascii="Times New Roman" w:hAnsi="Times New Roman"/>
        </w:rPr>
        <w:t>ored to their particular</w:t>
      </w:r>
      <w:r w:rsidR="00003E86">
        <w:rPr>
          <w:rFonts w:ascii="Times New Roman" w:hAnsi="Times New Roman"/>
        </w:rPr>
        <w:t xml:space="preserve"> operations.</w:t>
      </w:r>
    </w:p>
    <w:p w:rsidR="007B6C63" w14:paraId="3FD65AAF" w14:textId="77777777">
      <w:pPr>
        <w:rPr>
          <w:rFonts w:ascii="Times New Roman" w:hAnsi="Times New Roman"/>
        </w:rPr>
      </w:pPr>
    </w:p>
    <w:p w:rsidR="007B6C63" w:rsidP="00A1019D" w14:paraId="1D61B89A" w14:textId="77777777">
      <w:pPr>
        <w:tabs>
          <w:tab w:val="left" w:pos="-1440"/>
        </w:tabs>
        <w:ind w:left="720" w:hanging="360"/>
        <w:rPr>
          <w:rFonts w:ascii="Times New Roman" w:hAnsi="Times New Roman"/>
        </w:rPr>
      </w:pPr>
      <w:r>
        <w:rPr>
          <w:rFonts w:ascii="Times New Roman" w:hAnsi="Times New Roman"/>
        </w:rPr>
        <w:t>5.</w:t>
      </w:r>
      <w:r>
        <w:rPr>
          <w:rFonts w:ascii="Times New Roman" w:hAnsi="Times New Roman"/>
        </w:rPr>
        <w:tab/>
      </w:r>
      <w:r w:rsidRPr="00386C94" w:rsidR="00386C94">
        <w:rPr>
          <w:rFonts w:ascii="Times New Roman" w:hAnsi="Times New Roman"/>
          <w:b/>
          <w:bCs/>
          <w:iCs/>
          <w:u w:val="single"/>
        </w:rPr>
        <w:t>Methods used to minimize burden if the collection has a significant impact on a</w:t>
      </w:r>
      <w:r w:rsidR="00A1019D">
        <w:rPr>
          <w:rFonts w:ascii="Times New Roman" w:hAnsi="Times New Roman"/>
          <w:b/>
          <w:bCs/>
          <w:iCs/>
          <w:u w:val="single"/>
        </w:rPr>
        <w:t xml:space="preserve"> </w:t>
      </w:r>
      <w:r w:rsidRPr="00386C94" w:rsidR="00386C94">
        <w:rPr>
          <w:rFonts w:ascii="Times New Roman" w:hAnsi="Times New Roman"/>
          <w:b/>
          <w:bCs/>
          <w:iCs/>
          <w:u w:val="single"/>
        </w:rPr>
        <w:t>substantial number of small entities:</w:t>
      </w:r>
    </w:p>
    <w:p w:rsidR="007B6C63" w14:paraId="48F3BB4B" w14:textId="77777777">
      <w:pPr>
        <w:rPr>
          <w:rFonts w:ascii="Times New Roman" w:hAnsi="Times New Roman"/>
        </w:rPr>
      </w:pPr>
    </w:p>
    <w:p w:rsidR="007B6C63" w:rsidP="000B0581" w14:paraId="496513CC" w14:textId="77777777">
      <w:pPr>
        <w:ind w:left="720"/>
        <w:rPr>
          <w:rFonts w:ascii="Times New Roman" w:hAnsi="Times New Roman"/>
        </w:rPr>
      </w:pPr>
      <w:r>
        <w:rPr>
          <w:rFonts w:ascii="Times New Roman" w:hAnsi="Times New Roman"/>
        </w:rPr>
        <w:t xml:space="preserve">All </w:t>
      </w:r>
      <w:r w:rsidR="00003E86">
        <w:rPr>
          <w:rFonts w:ascii="Times New Roman" w:hAnsi="Times New Roman"/>
        </w:rPr>
        <w:t>FDIC-supervised</w:t>
      </w:r>
      <w:r>
        <w:rPr>
          <w:rFonts w:ascii="Times New Roman" w:hAnsi="Times New Roman"/>
        </w:rPr>
        <w:t xml:space="preserve"> in</w:t>
      </w:r>
      <w:r w:rsidR="009660F9">
        <w:rPr>
          <w:rFonts w:ascii="Times New Roman" w:hAnsi="Times New Roman"/>
        </w:rPr>
        <w:t>stitutions, large and small may be</w:t>
      </w:r>
      <w:r>
        <w:rPr>
          <w:rFonts w:ascii="Times New Roman" w:hAnsi="Times New Roman"/>
        </w:rPr>
        <w:t xml:space="preserve"> </w:t>
      </w:r>
      <w:r w:rsidR="00371017">
        <w:rPr>
          <w:rFonts w:ascii="Times New Roman" w:hAnsi="Times New Roman"/>
        </w:rPr>
        <w:t>affected</w:t>
      </w:r>
      <w:r w:rsidR="000855E4">
        <w:rPr>
          <w:rFonts w:ascii="Times New Roman" w:hAnsi="Times New Roman"/>
        </w:rPr>
        <w:t xml:space="preserve">. </w:t>
      </w:r>
      <w:r w:rsidR="00003E86">
        <w:rPr>
          <w:rFonts w:ascii="Times New Roman" w:hAnsi="Times New Roman"/>
          <w:spacing w:val="-3"/>
        </w:rPr>
        <w:t xml:space="preserve">Small insured state nonmember banks and state savings associations generally have a narrower range of products and less complex </w:t>
      </w:r>
      <w:r w:rsidR="00414ECF">
        <w:rPr>
          <w:rFonts w:ascii="Times New Roman" w:hAnsi="Times New Roman"/>
          <w:spacing w:val="-3"/>
        </w:rPr>
        <w:t>operations</w:t>
      </w:r>
      <w:r w:rsidR="00003E86">
        <w:rPr>
          <w:rFonts w:ascii="Times New Roman" w:hAnsi="Times New Roman"/>
          <w:spacing w:val="-3"/>
        </w:rPr>
        <w:t xml:space="preserve">. </w:t>
      </w:r>
      <w:r w:rsidR="00414ECF">
        <w:rPr>
          <w:rFonts w:ascii="Times New Roman" w:hAnsi="Times New Roman"/>
          <w:spacing w:val="-3"/>
        </w:rPr>
        <w:t xml:space="preserve">Therefore, these smaller institutions may not have </w:t>
      </w:r>
      <w:r w:rsidR="00371017">
        <w:rPr>
          <w:rFonts w:ascii="Times New Roman" w:hAnsi="Times New Roman"/>
          <w:spacing w:val="-3"/>
        </w:rPr>
        <w:t xml:space="preserve">incentive compensation programs and if they do, </w:t>
      </w:r>
      <w:r w:rsidR="00414ECF">
        <w:rPr>
          <w:rFonts w:ascii="Times New Roman" w:hAnsi="Times New Roman"/>
          <w:spacing w:val="-3"/>
        </w:rPr>
        <w:t xml:space="preserve">will have much simpler incentive compensation </w:t>
      </w:r>
      <w:r w:rsidR="00371017">
        <w:rPr>
          <w:rFonts w:ascii="Times New Roman" w:hAnsi="Times New Roman"/>
          <w:spacing w:val="-3"/>
        </w:rPr>
        <w:t xml:space="preserve">policies and procedures.  </w:t>
      </w:r>
      <w:r w:rsidR="00003E86">
        <w:rPr>
          <w:rFonts w:ascii="Times New Roman" w:hAnsi="Times New Roman"/>
          <w:spacing w:val="-3"/>
        </w:rPr>
        <w:t xml:space="preserve">The </w:t>
      </w:r>
      <w:r w:rsidR="00371017">
        <w:rPr>
          <w:rFonts w:ascii="Times New Roman" w:hAnsi="Times New Roman"/>
          <w:spacing w:val="-3"/>
        </w:rPr>
        <w:t>incentive compensation</w:t>
      </w:r>
      <w:r w:rsidR="00003E86">
        <w:rPr>
          <w:rFonts w:ascii="Times New Roman" w:hAnsi="Times New Roman"/>
          <w:spacing w:val="-3"/>
        </w:rPr>
        <w:t xml:space="preserve"> polic</w:t>
      </w:r>
      <w:r w:rsidR="00371017">
        <w:rPr>
          <w:rFonts w:ascii="Times New Roman" w:hAnsi="Times New Roman"/>
          <w:spacing w:val="-3"/>
        </w:rPr>
        <w:t>ies</w:t>
      </w:r>
      <w:r w:rsidR="00003E86">
        <w:rPr>
          <w:rFonts w:ascii="Times New Roman" w:hAnsi="Times New Roman"/>
          <w:spacing w:val="-3"/>
        </w:rPr>
        <w:t xml:space="preserve"> </w:t>
      </w:r>
      <w:r w:rsidR="00371017">
        <w:rPr>
          <w:rFonts w:ascii="Times New Roman" w:hAnsi="Times New Roman"/>
          <w:spacing w:val="-3"/>
        </w:rPr>
        <w:t>suggested</w:t>
      </w:r>
      <w:r w:rsidR="00003E86">
        <w:rPr>
          <w:rFonts w:ascii="Times New Roman" w:hAnsi="Times New Roman"/>
          <w:spacing w:val="-3"/>
        </w:rPr>
        <w:t xml:space="preserve"> </w:t>
      </w:r>
      <w:r w:rsidR="00371017">
        <w:rPr>
          <w:rFonts w:ascii="Times New Roman" w:hAnsi="Times New Roman"/>
          <w:spacing w:val="-3"/>
        </w:rPr>
        <w:t>are</w:t>
      </w:r>
      <w:r w:rsidR="00003E86">
        <w:rPr>
          <w:rFonts w:ascii="Times New Roman" w:hAnsi="Times New Roman"/>
          <w:spacing w:val="-3"/>
        </w:rPr>
        <w:t xml:space="preserve"> </w:t>
      </w:r>
      <w:r w:rsidR="00371017">
        <w:rPr>
          <w:rFonts w:ascii="Times New Roman" w:hAnsi="Times New Roman"/>
          <w:spacing w:val="-3"/>
        </w:rPr>
        <w:t xml:space="preserve">intended to be </w:t>
      </w:r>
      <w:r w:rsidR="00003E86">
        <w:rPr>
          <w:rFonts w:ascii="Times New Roman" w:hAnsi="Times New Roman"/>
          <w:spacing w:val="-3"/>
        </w:rPr>
        <w:t xml:space="preserve">commensurate with the </w:t>
      </w:r>
      <w:r w:rsidR="00371017">
        <w:rPr>
          <w:rFonts w:ascii="Times New Roman" w:hAnsi="Times New Roman"/>
          <w:spacing w:val="-3"/>
        </w:rPr>
        <w:t>size</w:t>
      </w:r>
      <w:r w:rsidR="00003E86">
        <w:rPr>
          <w:rFonts w:ascii="Times New Roman" w:hAnsi="Times New Roman"/>
          <w:spacing w:val="-3"/>
        </w:rPr>
        <w:t xml:space="preserve"> and complexity of </w:t>
      </w:r>
      <w:r w:rsidR="00371017">
        <w:rPr>
          <w:rFonts w:ascii="Times New Roman" w:hAnsi="Times New Roman"/>
          <w:spacing w:val="-3"/>
        </w:rPr>
        <w:t xml:space="preserve">each </w:t>
      </w:r>
      <w:r w:rsidR="00003E86">
        <w:rPr>
          <w:rFonts w:ascii="Times New Roman" w:hAnsi="Times New Roman"/>
          <w:spacing w:val="-3"/>
        </w:rPr>
        <w:t>institution.</w:t>
      </w:r>
    </w:p>
    <w:p w:rsidR="007B6C63" w14:paraId="45B553FF" w14:textId="77777777">
      <w:pPr>
        <w:rPr>
          <w:rFonts w:ascii="Times New Roman" w:hAnsi="Times New Roman"/>
        </w:rPr>
      </w:pPr>
    </w:p>
    <w:p w:rsidR="007B6C63" w:rsidRPr="00FC41DF" w:rsidP="00A1019D" w14:paraId="58644423" w14:textId="77777777">
      <w:pPr>
        <w:tabs>
          <w:tab w:val="left" w:pos="-1440"/>
        </w:tabs>
        <w:ind w:left="720" w:hanging="360"/>
        <w:rPr>
          <w:rFonts w:ascii="Times New Roman" w:hAnsi="Times New Roman"/>
          <w:b/>
          <w:bCs/>
          <w:iCs/>
          <w:u w:val="single"/>
        </w:rPr>
      </w:pPr>
      <w:r>
        <w:rPr>
          <w:rFonts w:ascii="Times New Roman" w:hAnsi="Times New Roman"/>
        </w:rPr>
        <w:t>6.</w:t>
      </w:r>
      <w:r>
        <w:rPr>
          <w:rFonts w:ascii="Times New Roman" w:hAnsi="Times New Roman"/>
        </w:rPr>
        <w:tab/>
      </w:r>
      <w:r w:rsidRPr="00A1019D" w:rsidR="00386C94">
        <w:rPr>
          <w:rFonts w:ascii="Times New Roman" w:hAnsi="Times New Roman"/>
          <w:b/>
          <w:bCs/>
          <w:iCs/>
          <w:u w:val="single"/>
        </w:rPr>
        <w:t>Consequences</w:t>
      </w:r>
      <w:r w:rsidRPr="00FC41DF" w:rsidR="00386C94">
        <w:rPr>
          <w:rFonts w:ascii="Times New Roman" w:hAnsi="Times New Roman"/>
          <w:b/>
          <w:bCs/>
          <w:iCs/>
          <w:u w:val="single"/>
        </w:rPr>
        <w:t xml:space="preserve"> to the Federal program if the collection were conducted less frequently:</w:t>
      </w:r>
    </w:p>
    <w:p w:rsidR="007B6C63" w14:paraId="1996DF24" w14:textId="77777777">
      <w:pPr>
        <w:rPr>
          <w:rFonts w:ascii="Times New Roman" w:hAnsi="Times New Roman"/>
        </w:rPr>
      </w:pPr>
    </w:p>
    <w:p w:rsidR="007B6C63" w:rsidP="000B0581" w14:paraId="4BFB152F" w14:textId="77777777">
      <w:pPr>
        <w:ind w:left="720"/>
        <w:rPr>
          <w:rFonts w:ascii="Times New Roman" w:hAnsi="Times New Roman"/>
        </w:rPr>
      </w:pPr>
      <w:r>
        <w:rPr>
          <w:rFonts w:ascii="Times New Roman" w:hAnsi="Times New Roman"/>
        </w:rPr>
        <w:t xml:space="preserve">Less frequent collection would </w:t>
      </w:r>
      <w:r w:rsidR="009557A1">
        <w:rPr>
          <w:rFonts w:ascii="Times New Roman" w:hAnsi="Times New Roman"/>
        </w:rPr>
        <w:t>hinder the FDIC’s ability to assess the safety and soundness of FDIC-supervised institutions and take corrective action as needed.</w:t>
      </w:r>
    </w:p>
    <w:p w:rsidR="007B6C63" w:rsidRPr="00386C94" w14:paraId="7A68933F" w14:textId="77777777">
      <w:pPr>
        <w:rPr>
          <w:rFonts w:ascii="Times New Roman" w:hAnsi="Times New Roman"/>
        </w:rPr>
      </w:pPr>
    </w:p>
    <w:p w:rsidR="00386C94" w:rsidRPr="00386C94" w:rsidP="00A1019D" w14:paraId="18E5DCAA" w14:textId="77777777">
      <w:pPr>
        <w:tabs>
          <w:tab w:val="left" w:pos="-1440"/>
        </w:tabs>
        <w:ind w:left="720" w:hanging="360"/>
        <w:rPr>
          <w:rFonts w:ascii="Times New Roman" w:hAnsi="Times New Roman"/>
          <w:b/>
          <w:bCs/>
          <w:iCs/>
        </w:rPr>
      </w:pPr>
      <w:r w:rsidRPr="00386C94">
        <w:rPr>
          <w:rFonts w:ascii="Times New Roman" w:hAnsi="Times New Roman"/>
        </w:rPr>
        <w:t>7.</w:t>
      </w:r>
      <w:r w:rsidRPr="00386C94">
        <w:rPr>
          <w:rFonts w:ascii="Times New Roman" w:hAnsi="Times New Roman"/>
        </w:rPr>
        <w:tab/>
      </w:r>
      <w:r w:rsidRPr="00A1019D">
        <w:rPr>
          <w:rFonts w:ascii="Times New Roman" w:hAnsi="Times New Roman"/>
          <w:b/>
          <w:bCs/>
          <w:iCs/>
          <w:u w:val="single"/>
        </w:rPr>
        <w:t>Special circumstances necessitating collection inconsistent with 5 CFR Part 1320.5(d)(2):</w:t>
      </w:r>
    </w:p>
    <w:p w:rsidR="007B6C63" w14:paraId="454F1423" w14:textId="77777777">
      <w:pPr>
        <w:rPr>
          <w:rFonts w:ascii="Times New Roman" w:hAnsi="Times New Roman"/>
        </w:rPr>
      </w:pPr>
    </w:p>
    <w:p w:rsidR="007B6C63" w:rsidP="000B0581" w14:paraId="05C46D44" w14:textId="77777777">
      <w:pPr>
        <w:ind w:left="720"/>
        <w:rPr>
          <w:rFonts w:ascii="Times New Roman" w:hAnsi="Times New Roman"/>
        </w:rPr>
      </w:pPr>
      <w:r>
        <w:rPr>
          <w:rFonts w:ascii="Times New Roman" w:hAnsi="Times New Roman"/>
          <w:bCs/>
          <w:iCs/>
          <w:szCs w:val="24"/>
        </w:rPr>
        <w:t xml:space="preserve">None.  </w:t>
      </w:r>
      <w:r w:rsidRPr="00386C94">
        <w:rPr>
          <w:rFonts w:ascii="Times New Roman" w:hAnsi="Times New Roman"/>
        </w:rPr>
        <w:t>The</w:t>
      </w:r>
      <w:r w:rsidRPr="000C4F75">
        <w:rPr>
          <w:rFonts w:ascii="Times New Roman" w:hAnsi="Times New Roman"/>
          <w:bCs/>
          <w:iCs/>
          <w:szCs w:val="24"/>
        </w:rPr>
        <w:t xml:space="preserve"> information is collected in a manner consistent with </w:t>
      </w:r>
      <w:r>
        <w:rPr>
          <w:rFonts w:ascii="Times New Roman" w:hAnsi="Times New Roman"/>
          <w:bCs/>
          <w:iCs/>
          <w:szCs w:val="24"/>
        </w:rPr>
        <w:t>5</w:t>
      </w:r>
      <w:r w:rsidRPr="000C4F75">
        <w:rPr>
          <w:rFonts w:ascii="Times New Roman" w:hAnsi="Times New Roman"/>
          <w:bCs/>
          <w:iCs/>
          <w:szCs w:val="24"/>
        </w:rPr>
        <w:t xml:space="preserve"> CFR 1320.5(d)(2).</w:t>
      </w:r>
    </w:p>
    <w:p w:rsidR="007B6C63" w14:paraId="5BA0886B" w14:textId="77777777">
      <w:pPr>
        <w:rPr>
          <w:rFonts w:ascii="Times New Roman" w:hAnsi="Times New Roman"/>
        </w:rPr>
      </w:pPr>
    </w:p>
    <w:p w:rsidR="007B6C63" w:rsidP="00A1019D" w14:paraId="389E4BFC" w14:textId="77777777">
      <w:pPr>
        <w:tabs>
          <w:tab w:val="left" w:pos="-1440"/>
        </w:tabs>
        <w:ind w:left="720" w:hanging="360"/>
        <w:rPr>
          <w:rFonts w:ascii="Times New Roman" w:hAnsi="Times New Roman"/>
        </w:rPr>
      </w:pPr>
      <w:r>
        <w:rPr>
          <w:rFonts w:ascii="Times New Roman" w:hAnsi="Times New Roman"/>
        </w:rPr>
        <w:t>8.</w:t>
      </w:r>
      <w:r>
        <w:rPr>
          <w:rFonts w:ascii="Times New Roman" w:hAnsi="Times New Roman"/>
        </w:rPr>
        <w:tab/>
      </w:r>
      <w:r w:rsidRPr="00A1019D" w:rsidR="00D55074">
        <w:rPr>
          <w:rFonts w:ascii="Times New Roman" w:hAnsi="Times New Roman"/>
          <w:b/>
          <w:bCs/>
          <w:iCs/>
          <w:u w:val="single"/>
        </w:rPr>
        <w:t>Efforts</w:t>
      </w:r>
      <w:r w:rsidRPr="00D55074" w:rsidR="00D55074">
        <w:rPr>
          <w:rFonts w:ascii="Times New Roman" w:hAnsi="Times New Roman"/>
          <w:b/>
          <w:bCs/>
          <w:iCs/>
          <w:szCs w:val="24"/>
          <w:u w:val="single"/>
        </w:rPr>
        <w:t xml:space="preserve"> to consult with persons outside the agency:</w:t>
      </w:r>
    </w:p>
    <w:p w:rsidR="007B6C63" w14:paraId="2BD5D798" w14:textId="77777777">
      <w:pPr>
        <w:rPr>
          <w:rFonts w:ascii="Times New Roman" w:hAnsi="Times New Roman"/>
        </w:rPr>
      </w:pPr>
    </w:p>
    <w:p w:rsidR="007B6C63" w:rsidP="000B0581" w14:paraId="45BC9BEA" w14:textId="66CE6E60">
      <w:pPr>
        <w:ind w:left="720"/>
        <w:rPr>
          <w:rFonts w:ascii="Times New Roman" w:hAnsi="Times New Roman"/>
        </w:rPr>
      </w:pPr>
      <w:r>
        <w:rPr>
          <w:rFonts w:ascii="Times New Roman" w:hAnsi="Times New Roman"/>
        </w:rPr>
        <w:t xml:space="preserve">The FDIC </w:t>
      </w:r>
      <w:r w:rsidR="00DE2D0B">
        <w:rPr>
          <w:rFonts w:ascii="Times New Roman" w:hAnsi="Times New Roman"/>
        </w:rPr>
        <w:t xml:space="preserve">published a notice in the </w:t>
      </w:r>
      <w:r w:rsidRPr="000B0581" w:rsidR="00DE2D0B">
        <w:rPr>
          <w:rFonts w:ascii="Times New Roman" w:hAnsi="Times New Roman"/>
        </w:rPr>
        <w:t>Federal</w:t>
      </w:r>
      <w:r w:rsidR="00DE2D0B">
        <w:rPr>
          <w:rFonts w:ascii="Times New Roman" w:hAnsi="Times New Roman"/>
          <w:i/>
        </w:rPr>
        <w:t xml:space="preserve"> Register</w:t>
      </w:r>
      <w:r w:rsidR="00DE2D0B">
        <w:rPr>
          <w:rFonts w:ascii="Times New Roman" w:hAnsi="Times New Roman"/>
        </w:rPr>
        <w:t xml:space="preserve"> seeking </w:t>
      </w:r>
      <w:r>
        <w:rPr>
          <w:rFonts w:ascii="Times New Roman" w:hAnsi="Times New Roman"/>
        </w:rPr>
        <w:t xml:space="preserve">comment </w:t>
      </w:r>
      <w:r w:rsidR="00DE2D0B">
        <w:rPr>
          <w:rFonts w:ascii="Times New Roman" w:hAnsi="Times New Roman"/>
        </w:rPr>
        <w:t xml:space="preserve">for a 60-day period on renewal of this information collection </w:t>
      </w:r>
      <w:r>
        <w:rPr>
          <w:rFonts w:ascii="Times New Roman" w:hAnsi="Times New Roman"/>
        </w:rPr>
        <w:t xml:space="preserve">on </w:t>
      </w:r>
      <w:r w:rsidR="00FE5080">
        <w:rPr>
          <w:rFonts w:ascii="Times New Roman" w:hAnsi="Times New Roman"/>
        </w:rPr>
        <w:t>June 4, 2026</w:t>
      </w:r>
      <w:r w:rsidR="00DE2D0B">
        <w:rPr>
          <w:rFonts w:ascii="Times New Roman" w:hAnsi="Times New Roman"/>
        </w:rPr>
        <w:t xml:space="preserve"> (</w:t>
      </w:r>
      <w:r w:rsidR="00FE5080">
        <w:rPr>
          <w:rFonts w:ascii="Times New Roman" w:hAnsi="Times New Roman"/>
        </w:rPr>
        <w:t>91</w:t>
      </w:r>
      <w:r w:rsidR="00DE2D0B">
        <w:rPr>
          <w:rFonts w:ascii="Times New Roman" w:hAnsi="Times New Roman"/>
        </w:rPr>
        <w:t xml:space="preserve"> FR </w:t>
      </w:r>
      <w:r w:rsidR="00315269">
        <w:rPr>
          <w:rFonts w:ascii="Times New Roman" w:hAnsi="Times New Roman"/>
        </w:rPr>
        <w:t>33724</w:t>
      </w:r>
      <w:r w:rsidR="00DE2D0B">
        <w:rPr>
          <w:rFonts w:ascii="Times New Roman" w:hAnsi="Times New Roman"/>
        </w:rPr>
        <w:t>)</w:t>
      </w:r>
      <w:r>
        <w:rPr>
          <w:rFonts w:ascii="Times New Roman" w:hAnsi="Times New Roman"/>
        </w:rPr>
        <w:t>.  No comments were received.</w:t>
      </w:r>
    </w:p>
    <w:p w:rsidR="007B6C63" w14:paraId="6FB63499" w14:textId="77777777">
      <w:pPr>
        <w:rPr>
          <w:rFonts w:ascii="Times New Roman" w:hAnsi="Times New Roman"/>
        </w:rPr>
      </w:pPr>
    </w:p>
    <w:p w:rsidR="007B6C63" w:rsidP="00A1019D" w14:paraId="3C0CD48F" w14:textId="77777777">
      <w:pPr>
        <w:tabs>
          <w:tab w:val="left" w:pos="-1440"/>
        </w:tabs>
        <w:ind w:left="720" w:hanging="360"/>
        <w:rPr>
          <w:rFonts w:ascii="Times New Roman" w:hAnsi="Times New Roman"/>
        </w:rPr>
      </w:pPr>
      <w:r>
        <w:rPr>
          <w:rFonts w:ascii="Times New Roman" w:hAnsi="Times New Roman"/>
        </w:rPr>
        <w:t>9.</w:t>
      </w:r>
      <w:r>
        <w:rPr>
          <w:rFonts w:ascii="Times New Roman" w:hAnsi="Times New Roman"/>
        </w:rPr>
        <w:tab/>
      </w:r>
      <w:r w:rsidRPr="00A1019D" w:rsidR="00881712">
        <w:rPr>
          <w:rFonts w:ascii="Times New Roman" w:hAnsi="Times New Roman"/>
          <w:b/>
          <w:bCs/>
          <w:iCs/>
          <w:u w:val="single"/>
        </w:rPr>
        <w:t>Payment</w:t>
      </w:r>
      <w:r w:rsidRPr="00881712" w:rsidR="00881712">
        <w:rPr>
          <w:rFonts w:ascii="Times New Roman" w:hAnsi="Times New Roman"/>
          <w:b/>
          <w:spacing w:val="-10"/>
          <w:szCs w:val="24"/>
          <w:u w:val="single"/>
        </w:rPr>
        <w:t xml:space="preserve"> </w:t>
      </w:r>
      <w:r w:rsidRPr="00881712" w:rsidR="00881712">
        <w:rPr>
          <w:rFonts w:ascii="Times New Roman" w:hAnsi="Times New Roman"/>
          <w:b/>
          <w:spacing w:val="1"/>
          <w:szCs w:val="24"/>
          <w:u w:val="single"/>
        </w:rPr>
        <w:t>or</w:t>
      </w:r>
      <w:r w:rsidRPr="00881712" w:rsidR="00881712">
        <w:rPr>
          <w:rFonts w:ascii="Times New Roman" w:hAnsi="Times New Roman"/>
          <w:b/>
          <w:spacing w:val="-7"/>
          <w:szCs w:val="24"/>
          <w:u w:val="single"/>
        </w:rPr>
        <w:t xml:space="preserve"> </w:t>
      </w:r>
      <w:r w:rsidRPr="00881712" w:rsidR="00881712">
        <w:rPr>
          <w:rFonts w:ascii="Times New Roman" w:hAnsi="Times New Roman"/>
          <w:b/>
          <w:spacing w:val="-5"/>
          <w:szCs w:val="24"/>
          <w:u w:val="single"/>
        </w:rPr>
        <w:t>gifts to respondents:</w:t>
      </w:r>
    </w:p>
    <w:p w:rsidR="007B6C63" w14:paraId="534338E8" w14:textId="77777777">
      <w:pPr>
        <w:rPr>
          <w:rFonts w:ascii="Times New Roman" w:hAnsi="Times New Roman"/>
        </w:rPr>
      </w:pPr>
    </w:p>
    <w:p w:rsidR="007B6C63" w:rsidP="000B0581" w14:paraId="54EAF6A5" w14:textId="77777777">
      <w:pPr>
        <w:ind w:left="720"/>
        <w:rPr>
          <w:rFonts w:ascii="Times New Roman" w:hAnsi="Times New Roman"/>
        </w:rPr>
      </w:pPr>
      <w:r>
        <w:rPr>
          <w:rFonts w:ascii="Times New Roman" w:hAnsi="Times New Roman"/>
        </w:rPr>
        <w:t>None.</w:t>
      </w:r>
    </w:p>
    <w:p w:rsidR="007B6C63" w14:paraId="5504F407" w14:textId="77777777">
      <w:pPr>
        <w:ind w:left="720" w:firstLine="720"/>
        <w:rPr>
          <w:rFonts w:ascii="Times New Roman" w:hAnsi="Times New Roman"/>
        </w:rPr>
      </w:pPr>
    </w:p>
    <w:p w:rsidR="007B6C63" w:rsidP="00A1019D" w14:paraId="3A129373" w14:textId="77777777">
      <w:pPr>
        <w:tabs>
          <w:tab w:val="left" w:pos="-1440"/>
        </w:tabs>
        <w:ind w:left="720" w:hanging="360"/>
        <w:rPr>
          <w:rFonts w:ascii="Times New Roman" w:hAnsi="Times New Roman"/>
        </w:rPr>
      </w:pPr>
      <w:r>
        <w:rPr>
          <w:rFonts w:ascii="Times New Roman" w:hAnsi="Times New Roman"/>
        </w:rPr>
        <w:t>10.</w:t>
      </w:r>
      <w:r>
        <w:rPr>
          <w:rFonts w:ascii="Times New Roman" w:hAnsi="Times New Roman"/>
        </w:rPr>
        <w:tab/>
      </w:r>
      <w:r w:rsidRPr="00A1019D" w:rsidR="00881712">
        <w:rPr>
          <w:rFonts w:ascii="Times New Roman" w:hAnsi="Times New Roman"/>
          <w:b/>
          <w:bCs/>
          <w:iCs/>
          <w:u w:val="single"/>
        </w:rPr>
        <w:t>Any</w:t>
      </w:r>
      <w:r w:rsidRPr="00881712" w:rsidR="00881712">
        <w:rPr>
          <w:rFonts w:ascii="Times New Roman" w:hAnsi="Times New Roman"/>
          <w:b/>
          <w:bCs/>
          <w:iCs/>
          <w:szCs w:val="24"/>
          <w:u w:val="single"/>
        </w:rPr>
        <w:t xml:space="preserve"> assurance of confidentiality:</w:t>
      </w:r>
    </w:p>
    <w:p w:rsidR="007B6C63" w14:paraId="75AF739F" w14:textId="77777777">
      <w:pPr>
        <w:rPr>
          <w:rFonts w:ascii="Times New Roman" w:hAnsi="Times New Roman"/>
        </w:rPr>
      </w:pPr>
    </w:p>
    <w:p w:rsidR="00881712" w:rsidP="00371017" w14:paraId="66F39A96" w14:textId="77777777">
      <w:pPr>
        <w:ind w:left="720"/>
        <w:rPr>
          <w:rFonts w:ascii="Times New Roman" w:hAnsi="Times New Roman"/>
        </w:rPr>
      </w:pPr>
      <w:r>
        <w:rPr>
          <w:rFonts w:ascii="Times New Roman" w:hAnsi="Times New Roman"/>
        </w:rPr>
        <w:t>Information is kept private to the extent allowed by law.</w:t>
      </w:r>
      <w:r w:rsidR="00371017">
        <w:rPr>
          <w:rFonts w:ascii="Times New Roman" w:hAnsi="Times New Roman"/>
        </w:rPr>
        <w:t xml:space="preserve"> </w:t>
      </w:r>
      <w:r w:rsidRPr="00371017" w:rsidR="00371017">
        <w:rPr>
          <w:rFonts w:ascii="Times New Roman" w:hAnsi="Times New Roman"/>
        </w:rPr>
        <w:t>To the</w:t>
      </w:r>
      <w:r w:rsidR="00371017">
        <w:rPr>
          <w:rFonts w:ascii="Times New Roman" w:hAnsi="Times New Roman"/>
        </w:rPr>
        <w:t xml:space="preserve"> </w:t>
      </w:r>
      <w:r w:rsidRPr="00371017" w:rsidR="00371017">
        <w:rPr>
          <w:rFonts w:ascii="Times New Roman" w:hAnsi="Times New Roman"/>
        </w:rPr>
        <w:t>extent the Agencies collect information</w:t>
      </w:r>
      <w:r w:rsidR="00371017">
        <w:rPr>
          <w:rFonts w:ascii="Times New Roman" w:hAnsi="Times New Roman"/>
        </w:rPr>
        <w:t xml:space="preserve"> </w:t>
      </w:r>
      <w:r w:rsidRPr="00371017" w:rsidR="00371017">
        <w:rPr>
          <w:rFonts w:ascii="Times New Roman" w:hAnsi="Times New Roman"/>
        </w:rPr>
        <w:t>during an examination of a banking</w:t>
      </w:r>
      <w:r w:rsidR="00371017">
        <w:rPr>
          <w:rFonts w:ascii="Times New Roman" w:hAnsi="Times New Roman"/>
        </w:rPr>
        <w:t xml:space="preserve"> </w:t>
      </w:r>
      <w:r w:rsidRPr="00371017" w:rsidR="00371017">
        <w:rPr>
          <w:rFonts w:ascii="Times New Roman" w:hAnsi="Times New Roman"/>
        </w:rPr>
        <w:t>organization,</w:t>
      </w:r>
      <w:r w:rsidR="00371017">
        <w:rPr>
          <w:rFonts w:ascii="Times New Roman" w:hAnsi="Times New Roman"/>
        </w:rPr>
        <w:t xml:space="preserve"> </w:t>
      </w:r>
      <w:r w:rsidRPr="00371017" w:rsidR="00371017">
        <w:rPr>
          <w:rFonts w:ascii="Times New Roman" w:hAnsi="Times New Roman"/>
        </w:rPr>
        <w:t>confidential treatment</w:t>
      </w:r>
      <w:r w:rsidR="00371017">
        <w:rPr>
          <w:rFonts w:ascii="Times New Roman" w:hAnsi="Times New Roman"/>
        </w:rPr>
        <w:t xml:space="preserve"> </w:t>
      </w:r>
      <w:r w:rsidRPr="00371017" w:rsidR="00371017">
        <w:rPr>
          <w:rFonts w:ascii="Times New Roman" w:hAnsi="Times New Roman"/>
        </w:rPr>
        <w:t>may be afforded to the records under</w:t>
      </w:r>
      <w:r w:rsidR="00371017">
        <w:rPr>
          <w:rFonts w:ascii="Times New Roman" w:hAnsi="Times New Roman"/>
        </w:rPr>
        <w:t xml:space="preserve"> </w:t>
      </w:r>
      <w:r w:rsidRPr="00371017" w:rsidR="00371017">
        <w:rPr>
          <w:rFonts w:ascii="Times New Roman" w:hAnsi="Times New Roman"/>
        </w:rPr>
        <w:t>exemption 8 of the Freedom</w:t>
      </w:r>
      <w:r w:rsidR="00371017">
        <w:rPr>
          <w:rFonts w:ascii="Times New Roman" w:hAnsi="Times New Roman"/>
        </w:rPr>
        <w:t xml:space="preserve"> </w:t>
      </w:r>
      <w:r w:rsidRPr="00371017" w:rsidR="00371017">
        <w:rPr>
          <w:rFonts w:ascii="Times New Roman" w:hAnsi="Times New Roman"/>
        </w:rPr>
        <w:t>of</w:t>
      </w:r>
      <w:r w:rsidR="00371017">
        <w:rPr>
          <w:rFonts w:ascii="Times New Roman" w:hAnsi="Times New Roman"/>
        </w:rPr>
        <w:t xml:space="preserve"> </w:t>
      </w:r>
      <w:r w:rsidRPr="00371017" w:rsidR="00371017">
        <w:rPr>
          <w:rFonts w:ascii="Times New Roman" w:hAnsi="Times New Roman"/>
        </w:rPr>
        <w:t>Information Act (FOIA), 5 U.S.C.</w:t>
      </w:r>
      <w:r w:rsidR="00371017">
        <w:rPr>
          <w:rFonts w:ascii="Times New Roman" w:hAnsi="Times New Roman"/>
        </w:rPr>
        <w:t xml:space="preserve"> </w:t>
      </w:r>
      <w:r w:rsidRPr="00371017" w:rsidR="00371017">
        <w:rPr>
          <w:rFonts w:ascii="Times New Roman" w:hAnsi="Times New Roman"/>
        </w:rPr>
        <w:t>552(b)(8).</w:t>
      </w:r>
    </w:p>
    <w:p w:rsidR="007B6C63" w14:paraId="2A7E6833" w14:textId="77777777">
      <w:pPr>
        <w:ind w:left="720" w:firstLine="720"/>
        <w:rPr>
          <w:rFonts w:ascii="Times New Roman" w:hAnsi="Times New Roman"/>
        </w:rPr>
      </w:pPr>
    </w:p>
    <w:p w:rsidR="00881712" w:rsidRPr="00F04445" w:rsidP="00A1019D" w14:paraId="4E704218" w14:textId="77777777">
      <w:pPr>
        <w:tabs>
          <w:tab w:val="left" w:pos="-1440"/>
        </w:tabs>
        <w:ind w:left="720" w:hanging="360"/>
        <w:rPr>
          <w:rFonts w:ascii="Times New Roman" w:hAnsi="Times New Roman"/>
          <w:b/>
          <w:spacing w:val="-1"/>
          <w:szCs w:val="24"/>
        </w:rPr>
      </w:pPr>
      <w:r w:rsidRPr="00881712">
        <w:rPr>
          <w:rFonts w:ascii="Times New Roman" w:hAnsi="Times New Roman"/>
        </w:rPr>
        <w:t>11.</w:t>
      </w:r>
      <w:r w:rsidRPr="00881712">
        <w:rPr>
          <w:rFonts w:ascii="Times New Roman" w:hAnsi="Times New Roman"/>
        </w:rPr>
        <w:tab/>
      </w:r>
      <w:r w:rsidRPr="002A5F6B">
        <w:rPr>
          <w:rFonts w:ascii="Times New Roman" w:hAnsi="Times New Roman"/>
          <w:b/>
          <w:bCs/>
          <w:iCs/>
          <w:u w:val="single"/>
        </w:rPr>
        <w:t>Justification</w:t>
      </w:r>
      <w:r w:rsidRPr="002A5F6B">
        <w:rPr>
          <w:rFonts w:ascii="Times New Roman" w:hAnsi="Times New Roman"/>
          <w:b/>
          <w:bCs/>
          <w:spacing w:val="-1"/>
          <w:szCs w:val="24"/>
          <w:u w:val="single"/>
        </w:rPr>
        <w:t xml:space="preserve"> </w:t>
      </w:r>
      <w:r w:rsidRPr="002A5F6B">
        <w:rPr>
          <w:rFonts w:ascii="Times New Roman" w:hAnsi="Times New Roman"/>
          <w:u w:val="single"/>
        </w:rPr>
        <w:t>for</w:t>
      </w:r>
      <w:r w:rsidRPr="002A5F6B">
        <w:rPr>
          <w:rFonts w:ascii="Times New Roman" w:hAnsi="Times New Roman"/>
          <w:b/>
          <w:bCs/>
          <w:spacing w:val="-1"/>
          <w:szCs w:val="24"/>
          <w:u w:val="single"/>
        </w:rPr>
        <w:t xml:space="preserve"> questions of a sensitive nature:</w:t>
      </w:r>
    </w:p>
    <w:p w:rsidR="007B6C63" w14:paraId="43A47D31" w14:textId="77777777">
      <w:pPr>
        <w:tabs>
          <w:tab w:val="left" w:pos="-1440"/>
        </w:tabs>
        <w:ind w:firstLine="720"/>
        <w:rPr>
          <w:rFonts w:ascii="Times New Roman" w:hAnsi="Times New Roman"/>
        </w:rPr>
      </w:pPr>
    </w:p>
    <w:p w:rsidR="007B6C63" w:rsidP="009557A1" w14:paraId="18639EEA" w14:textId="77777777">
      <w:pPr>
        <w:ind w:left="720"/>
        <w:rPr>
          <w:rFonts w:ascii="Times New Roman" w:hAnsi="Times New Roman"/>
        </w:rPr>
      </w:pPr>
      <w:r>
        <w:rPr>
          <w:rFonts w:ascii="Times New Roman" w:hAnsi="Times New Roman"/>
          <w:spacing w:val="-1"/>
          <w:szCs w:val="24"/>
        </w:rPr>
        <w:t xml:space="preserve">Not </w:t>
      </w:r>
      <w:r w:rsidRPr="000B0581">
        <w:rPr>
          <w:rFonts w:ascii="Times New Roman" w:hAnsi="Times New Roman"/>
        </w:rPr>
        <w:t>applicable</w:t>
      </w:r>
      <w:r w:rsidR="003B3219">
        <w:rPr>
          <w:rFonts w:ascii="Times New Roman" w:hAnsi="Times New Roman"/>
          <w:spacing w:val="-1"/>
          <w:szCs w:val="24"/>
        </w:rPr>
        <w:t>.</w:t>
      </w:r>
      <w:r>
        <w:rPr>
          <w:rFonts w:ascii="Times New Roman" w:hAnsi="Times New Roman"/>
          <w:spacing w:val="-1"/>
          <w:szCs w:val="24"/>
        </w:rPr>
        <w:t xml:space="preserve"> </w:t>
      </w:r>
      <w:r w:rsidR="003B3219">
        <w:rPr>
          <w:rFonts w:ascii="Times New Roman" w:hAnsi="Times New Roman"/>
          <w:spacing w:val="-1"/>
          <w:szCs w:val="24"/>
        </w:rPr>
        <w:t>N</w:t>
      </w:r>
      <w:r>
        <w:rPr>
          <w:rFonts w:ascii="Times New Roman" w:hAnsi="Times New Roman"/>
          <w:spacing w:val="-1"/>
          <w:szCs w:val="24"/>
        </w:rPr>
        <w:t>o sensitive information is collected.</w:t>
      </w:r>
    </w:p>
    <w:p w:rsidR="00615BAD" w14:paraId="40D42FE1" w14:textId="77777777">
      <w:pPr>
        <w:rPr>
          <w:rFonts w:ascii="Times New Roman" w:hAnsi="Times New Roman"/>
        </w:rPr>
      </w:pPr>
    </w:p>
    <w:p w:rsidR="00285D59" w:rsidP="00285D59" w14:paraId="273D9F69" w14:textId="77777777">
      <w:pPr>
        <w:keepNext/>
        <w:tabs>
          <w:tab w:val="left" w:pos="-1440"/>
        </w:tabs>
        <w:ind w:left="720" w:hanging="360"/>
        <w:rPr>
          <w:rFonts w:ascii="Times New Roman" w:hAnsi="Times New Roman"/>
          <w:b/>
          <w:bCs/>
          <w:iCs/>
          <w:szCs w:val="24"/>
          <w:u w:val="single"/>
        </w:rPr>
      </w:pPr>
      <w:r>
        <w:rPr>
          <w:rFonts w:ascii="Times New Roman" w:hAnsi="Times New Roman"/>
        </w:rPr>
        <w:t>12.</w:t>
      </w:r>
      <w:r>
        <w:rPr>
          <w:rFonts w:ascii="Times New Roman" w:hAnsi="Times New Roman"/>
        </w:rPr>
        <w:tab/>
      </w:r>
      <w:r w:rsidRPr="00A1019D" w:rsidR="00881712">
        <w:rPr>
          <w:rFonts w:ascii="Times New Roman" w:hAnsi="Times New Roman"/>
          <w:b/>
          <w:bCs/>
          <w:iCs/>
          <w:u w:val="single"/>
        </w:rPr>
        <w:t>Estimate</w:t>
      </w:r>
      <w:r w:rsidRPr="00D64624" w:rsidR="00881712">
        <w:rPr>
          <w:rFonts w:ascii="Times New Roman" w:hAnsi="Times New Roman"/>
          <w:b/>
          <w:bCs/>
          <w:iCs/>
          <w:szCs w:val="24"/>
          <w:u w:val="single"/>
        </w:rPr>
        <w:t xml:space="preserve"> of hour burden including annualized hourly costs:</w:t>
      </w:r>
    </w:p>
    <w:p w:rsidR="00285D59" w:rsidP="00285D59" w14:paraId="02193C5D" w14:textId="77777777">
      <w:pPr>
        <w:keepNext/>
        <w:tabs>
          <w:tab w:val="left" w:pos="-1440"/>
        </w:tabs>
        <w:ind w:firstLine="720"/>
        <w:rPr>
          <w:rFonts w:ascii="Times New Roman" w:hAnsi="Times New Roman"/>
          <w:b/>
          <w:bCs/>
          <w:iCs/>
          <w:szCs w:val="24"/>
          <w:u w:val="single"/>
        </w:rPr>
      </w:pPr>
    </w:p>
    <w:tbl>
      <w:tblPr>
        <w:tblW w:w="10077" w:type="dxa"/>
        <w:tblCellMar>
          <w:top w:w="15" w:type="dxa"/>
        </w:tblCellMar>
        <w:tblLook w:val="04A0"/>
      </w:tblPr>
      <w:tblGrid>
        <w:gridCol w:w="2630"/>
        <w:gridCol w:w="1751"/>
        <w:gridCol w:w="1369"/>
        <w:gridCol w:w="1857"/>
        <w:gridCol w:w="1216"/>
        <w:gridCol w:w="1254"/>
      </w:tblGrid>
      <w:tr w14:paraId="57A3D6B2" w14:textId="77777777" w:rsidTr="0088447D">
        <w:tblPrEx>
          <w:tblW w:w="10077" w:type="dxa"/>
          <w:tblCellMar>
            <w:top w:w="15" w:type="dxa"/>
          </w:tblCellMar>
          <w:tblLook w:val="04A0"/>
        </w:tblPrEx>
        <w:trPr>
          <w:trHeight w:val="367"/>
        </w:trPr>
        <w:tc>
          <w:tcPr>
            <w:tcW w:w="10077" w:type="dxa"/>
            <w:gridSpan w:val="6"/>
            <w:tcBorders>
              <w:top w:val="single" w:sz="8" w:space="0" w:color="auto"/>
              <w:left w:val="single" w:sz="8" w:space="0" w:color="auto"/>
              <w:bottom w:val="single" w:sz="8" w:space="0" w:color="auto"/>
              <w:right w:val="single" w:sz="8" w:space="0" w:color="000000"/>
            </w:tcBorders>
            <w:vAlign w:val="center"/>
            <w:hideMark/>
          </w:tcPr>
          <w:p w:rsidR="00163B00" w:rsidRPr="00163B00" w:rsidP="00163B00" w14:paraId="75B26399" w14:textId="2266538F">
            <w:pPr>
              <w:keepNext/>
              <w:keepLines/>
              <w:widowControl/>
              <w:jc w:val="center"/>
              <w:rPr>
                <w:rFonts w:ascii="Times New Roman" w:hAnsi="Times New Roman"/>
                <w:snapToGrid/>
                <w:color w:val="000000"/>
                <w:szCs w:val="24"/>
              </w:rPr>
            </w:pPr>
            <w:r w:rsidRPr="00163B00">
              <w:rPr>
                <w:rFonts w:ascii="Times New Roman" w:hAnsi="Times New Roman"/>
                <w:snapToGrid/>
                <w:color w:val="000000"/>
                <w:szCs w:val="24"/>
              </w:rPr>
              <w:t>Summary of Estimated Annual Burden (OMB No. 3064-0175)</w:t>
            </w:r>
          </w:p>
        </w:tc>
      </w:tr>
      <w:tr w14:paraId="0F0DBB82" w14:textId="77777777" w:rsidTr="0088447D">
        <w:tblPrEx>
          <w:tblW w:w="10077" w:type="dxa"/>
          <w:tblCellMar>
            <w:top w:w="15" w:type="dxa"/>
          </w:tblCellMar>
          <w:tblLook w:val="04A0"/>
        </w:tblPrEx>
        <w:trPr>
          <w:trHeight w:val="1165"/>
        </w:trPr>
        <w:tc>
          <w:tcPr>
            <w:tcW w:w="2630" w:type="dxa"/>
            <w:tcBorders>
              <w:top w:val="nil"/>
              <w:left w:val="single" w:sz="8" w:space="0" w:color="auto"/>
              <w:bottom w:val="single" w:sz="8" w:space="0" w:color="auto"/>
              <w:right w:val="single" w:sz="8" w:space="0" w:color="auto"/>
            </w:tcBorders>
            <w:vAlign w:val="center"/>
            <w:hideMark/>
          </w:tcPr>
          <w:p w:rsidR="00163B00" w:rsidRPr="00163B00" w:rsidP="00163B00" w14:paraId="43705D14" w14:textId="77777777">
            <w:pPr>
              <w:keepNext/>
              <w:keepLines/>
              <w:widowControl/>
              <w:rPr>
                <w:rFonts w:ascii="Times New Roman" w:hAnsi="Times New Roman"/>
                <w:snapToGrid/>
                <w:color w:val="000000"/>
                <w:sz w:val="20"/>
              </w:rPr>
            </w:pPr>
            <w:r w:rsidRPr="00163B00">
              <w:rPr>
                <w:rFonts w:ascii="Times New Roman" w:hAnsi="Times New Roman"/>
                <w:snapToGrid/>
                <w:color w:val="000000"/>
                <w:sz w:val="20"/>
              </w:rPr>
              <w:t>Information Collection (IC) (Obligation to Respond)</w:t>
            </w:r>
          </w:p>
        </w:tc>
        <w:tc>
          <w:tcPr>
            <w:tcW w:w="1751" w:type="dxa"/>
            <w:tcBorders>
              <w:top w:val="nil"/>
              <w:left w:val="nil"/>
              <w:bottom w:val="single" w:sz="8" w:space="0" w:color="auto"/>
              <w:right w:val="single" w:sz="8" w:space="0" w:color="auto"/>
            </w:tcBorders>
            <w:vAlign w:val="center"/>
            <w:hideMark/>
          </w:tcPr>
          <w:p w:rsidR="00163B00" w:rsidRPr="00163B00" w:rsidP="00163B00" w14:paraId="48AFB01E" w14:textId="77777777">
            <w:pPr>
              <w:keepNext/>
              <w:keepLines/>
              <w:widowControl/>
              <w:jc w:val="center"/>
              <w:rPr>
                <w:rFonts w:ascii="Times New Roman" w:hAnsi="Times New Roman"/>
                <w:snapToGrid/>
                <w:color w:val="000000"/>
                <w:sz w:val="20"/>
              </w:rPr>
            </w:pPr>
            <w:r w:rsidRPr="00163B00">
              <w:rPr>
                <w:rFonts w:ascii="Times New Roman" w:hAnsi="Times New Roman"/>
                <w:snapToGrid/>
                <w:color w:val="000000"/>
                <w:sz w:val="20"/>
              </w:rPr>
              <w:t>Type of Burden</w:t>
            </w:r>
            <w:r w:rsidRPr="00163B00">
              <w:rPr>
                <w:rFonts w:ascii="Times New Roman" w:hAnsi="Times New Roman"/>
                <w:snapToGrid/>
                <w:color w:val="000000"/>
                <w:sz w:val="20"/>
              </w:rPr>
              <w:br/>
              <w:t>(Frequency of Response)</w:t>
            </w:r>
          </w:p>
        </w:tc>
        <w:tc>
          <w:tcPr>
            <w:tcW w:w="1369" w:type="dxa"/>
            <w:tcBorders>
              <w:top w:val="nil"/>
              <w:left w:val="nil"/>
              <w:bottom w:val="single" w:sz="8" w:space="0" w:color="auto"/>
              <w:right w:val="single" w:sz="8" w:space="0" w:color="auto"/>
            </w:tcBorders>
            <w:vAlign w:val="center"/>
            <w:hideMark/>
          </w:tcPr>
          <w:p w:rsidR="00163B00" w:rsidRPr="00163B00" w:rsidP="00163B00" w14:paraId="17043F4D" w14:textId="77777777">
            <w:pPr>
              <w:keepNext/>
              <w:keepLines/>
              <w:widowControl/>
              <w:jc w:val="center"/>
              <w:rPr>
                <w:rFonts w:ascii="Times New Roman" w:hAnsi="Times New Roman"/>
                <w:snapToGrid/>
                <w:color w:val="000000"/>
                <w:sz w:val="20"/>
              </w:rPr>
            </w:pPr>
            <w:r w:rsidRPr="00163B00">
              <w:rPr>
                <w:rFonts w:ascii="Times New Roman" w:hAnsi="Times New Roman"/>
                <w:snapToGrid/>
                <w:color w:val="000000"/>
                <w:sz w:val="20"/>
              </w:rPr>
              <w:t xml:space="preserve"> Number of Respondents</w:t>
            </w:r>
          </w:p>
        </w:tc>
        <w:tc>
          <w:tcPr>
            <w:tcW w:w="1857" w:type="dxa"/>
            <w:tcBorders>
              <w:top w:val="nil"/>
              <w:left w:val="nil"/>
              <w:bottom w:val="single" w:sz="8" w:space="0" w:color="auto"/>
              <w:right w:val="single" w:sz="8" w:space="0" w:color="auto"/>
            </w:tcBorders>
            <w:vAlign w:val="center"/>
            <w:hideMark/>
          </w:tcPr>
          <w:p w:rsidR="00163B00" w:rsidRPr="00163B00" w:rsidP="00163B00" w14:paraId="18FD1CA1" w14:textId="77777777">
            <w:pPr>
              <w:keepNext/>
              <w:keepLines/>
              <w:widowControl/>
              <w:jc w:val="center"/>
              <w:rPr>
                <w:rFonts w:ascii="Times New Roman" w:hAnsi="Times New Roman"/>
                <w:snapToGrid/>
                <w:color w:val="000000"/>
                <w:sz w:val="20"/>
              </w:rPr>
            </w:pPr>
            <w:r w:rsidRPr="00163B00">
              <w:rPr>
                <w:rFonts w:ascii="Times New Roman" w:hAnsi="Times New Roman"/>
                <w:snapToGrid/>
                <w:color w:val="000000"/>
                <w:sz w:val="20"/>
              </w:rPr>
              <w:t xml:space="preserve"> Number of Responses per Respondent</w:t>
            </w:r>
          </w:p>
        </w:tc>
        <w:tc>
          <w:tcPr>
            <w:tcW w:w="1214" w:type="dxa"/>
            <w:tcBorders>
              <w:top w:val="nil"/>
              <w:left w:val="nil"/>
              <w:bottom w:val="single" w:sz="8" w:space="0" w:color="auto"/>
              <w:right w:val="single" w:sz="8" w:space="0" w:color="auto"/>
            </w:tcBorders>
            <w:vAlign w:val="center"/>
            <w:hideMark/>
          </w:tcPr>
          <w:p w:rsidR="00163B00" w:rsidRPr="00163B00" w:rsidP="00163B00" w14:paraId="4140140C" w14:textId="77777777">
            <w:pPr>
              <w:keepNext/>
              <w:keepLines/>
              <w:widowControl/>
              <w:jc w:val="center"/>
              <w:rPr>
                <w:rFonts w:ascii="Times New Roman" w:hAnsi="Times New Roman"/>
                <w:snapToGrid/>
                <w:color w:val="000000"/>
                <w:sz w:val="20"/>
              </w:rPr>
            </w:pPr>
            <w:r w:rsidRPr="00163B00">
              <w:rPr>
                <w:rFonts w:ascii="Times New Roman" w:hAnsi="Times New Roman"/>
                <w:snapToGrid/>
                <w:color w:val="000000"/>
                <w:sz w:val="20"/>
              </w:rPr>
              <w:t>Average Time per Response (HH:MM)</w:t>
            </w:r>
          </w:p>
        </w:tc>
        <w:tc>
          <w:tcPr>
            <w:tcW w:w="1253" w:type="dxa"/>
            <w:tcBorders>
              <w:top w:val="nil"/>
              <w:left w:val="nil"/>
              <w:bottom w:val="single" w:sz="8" w:space="0" w:color="auto"/>
              <w:right w:val="single" w:sz="8" w:space="0" w:color="auto"/>
            </w:tcBorders>
            <w:vAlign w:val="center"/>
            <w:hideMark/>
          </w:tcPr>
          <w:p w:rsidR="00163B00" w:rsidRPr="00163B00" w:rsidP="00163B00" w14:paraId="524DD5BE" w14:textId="77777777">
            <w:pPr>
              <w:keepNext/>
              <w:keepLines/>
              <w:widowControl/>
              <w:jc w:val="center"/>
              <w:rPr>
                <w:rFonts w:ascii="Times New Roman" w:hAnsi="Times New Roman"/>
                <w:snapToGrid/>
                <w:color w:val="000000"/>
                <w:sz w:val="20"/>
              </w:rPr>
            </w:pPr>
            <w:r w:rsidRPr="00163B00">
              <w:rPr>
                <w:rFonts w:ascii="Times New Roman" w:hAnsi="Times New Roman"/>
                <w:snapToGrid/>
                <w:color w:val="000000"/>
                <w:sz w:val="20"/>
              </w:rPr>
              <w:t>Annual Burden (Hours)</w:t>
            </w:r>
          </w:p>
        </w:tc>
      </w:tr>
      <w:tr w14:paraId="0C5007B2" w14:textId="77777777" w:rsidTr="0088447D">
        <w:tblPrEx>
          <w:tblW w:w="10077" w:type="dxa"/>
          <w:tblCellMar>
            <w:top w:w="15" w:type="dxa"/>
          </w:tblCellMar>
          <w:tblLook w:val="04A0"/>
        </w:tblPrEx>
        <w:trPr>
          <w:trHeight w:val="1704"/>
        </w:trPr>
        <w:tc>
          <w:tcPr>
            <w:tcW w:w="2630" w:type="dxa"/>
            <w:tcBorders>
              <w:top w:val="nil"/>
              <w:left w:val="single" w:sz="8" w:space="0" w:color="auto"/>
              <w:bottom w:val="single" w:sz="8" w:space="0" w:color="auto"/>
              <w:right w:val="single" w:sz="8" w:space="0" w:color="auto"/>
            </w:tcBorders>
            <w:vAlign w:val="center"/>
            <w:hideMark/>
          </w:tcPr>
          <w:p w:rsidR="00163B00" w:rsidRPr="00163B00" w:rsidP="00163B00" w14:paraId="1CDF29C5" w14:textId="77777777">
            <w:pPr>
              <w:keepNext/>
              <w:keepLines/>
              <w:widowControl/>
              <w:rPr>
                <w:rFonts w:ascii="Times New Roman" w:hAnsi="Times New Roman"/>
                <w:snapToGrid/>
                <w:color w:val="000000"/>
                <w:sz w:val="20"/>
              </w:rPr>
            </w:pPr>
            <w:r w:rsidRPr="00163B00">
              <w:rPr>
                <w:rFonts w:ascii="Times New Roman" w:hAnsi="Times New Roman"/>
                <w:snapToGrid/>
                <w:color w:val="000000"/>
                <w:sz w:val="20"/>
              </w:rPr>
              <w:t>1. Initial implementation: Interagency Guidance on Sound Incentive Compensation Practices,</w:t>
            </w:r>
            <w:r w:rsidRPr="00163B00">
              <w:rPr>
                <w:rFonts w:ascii="Times New Roman" w:hAnsi="Times New Roman"/>
                <w:snapToGrid/>
                <w:color w:val="000000"/>
                <w:sz w:val="20"/>
              </w:rPr>
              <w:br/>
              <w:t>75 FR 36395 (June 25, 2010) (Voluntary)</w:t>
            </w:r>
          </w:p>
        </w:tc>
        <w:tc>
          <w:tcPr>
            <w:tcW w:w="1751" w:type="dxa"/>
            <w:tcBorders>
              <w:top w:val="nil"/>
              <w:left w:val="nil"/>
              <w:bottom w:val="single" w:sz="8" w:space="0" w:color="auto"/>
              <w:right w:val="single" w:sz="8" w:space="0" w:color="auto"/>
            </w:tcBorders>
            <w:vAlign w:val="center"/>
            <w:hideMark/>
          </w:tcPr>
          <w:p w:rsidR="00163B00" w:rsidRPr="00163B00" w:rsidP="00163B00" w14:paraId="38521F3E" w14:textId="77777777">
            <w:pPr>
              <w:keepNext/>
              <w:keepLines/>
              <w:widowControl/>
              <w:jc w:val="center"/>
              <w:rPr>
                <w:rFonts w:ascii="Times New Roman" w:hAnsi="Times New Roman"/>
                <w:snapToGrid/>
                <w:color w:val="000000"/>
                <w:sz w:val="20"/>
              </w:rPr>
            </w:pPr>
            <w:r w:rsidRPr="00163B00">
              <w:rPr>
                <w:rFonts w:ascii="Times New Roman" w:hAnsi="Times New Roman"/>
                <w:snapToGrid/>
                <w:color w:val="000000"/>
                <w:sz w:val="20"/>
              </w:rPr>
              <w:t>Recordkeeping</w:t>
            </w:r>
            <w:r w:rsidRPr="00163B00">
              <w:rPr>
                <w:rFonts w:ascii="Times New Roman" w:hAnsi="Times New Roman"/>
                <w:snapToGrid/>
                <w:color w:val="000000"/>
                <w:sz w:val="20"/>
              </w:rPr>
              <w:br/>
              <w:t>(Annual)</w:t>
            </w:r>
          </w:p>
        </w:tc>
        <w:tc>
          <w:tcPr>
            <w:tcW w:w="1369" w:type="dxa"/>
            <w:tcBorders>
              <w:top w:val="nil"/>
              <w:left w:val="nil"/>
              <w:bottom w:val="single" w:sz="8" w:space="0" w:color="auto"/>
              <w:right w:val="single" w:sz="8" w:space="0" w:color="auto"/>
            </w:tcBorders>
            <w:noWrap/>
            <w:vAlign w:val="center"/>
            <w:hideMark/>
          </w:tcPr>
          <w:p w:rsidR="00163B00" w:rsidRPr="00163B00" w:rsidP="00163B00" w14:paraId="41855B99"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1</w:t>
            </w:r>
          </w:p>
        </w:tc>
        <w:tc>
          <w:tcPr>
            <w:tcW w:w="1857" w:type="dxa"/>
            <w:tcBorders>
              <w:top w:val="nil"/>
              <w:left w:val="nil"/>
              <w:bottom w:val="single" w:sz="8" w:space="0" w:color="auto"/>
              <w:right w:val="single" w:sz="8" w:space="0" w:color="auto"/>
            </w:tcBorders>
            <w:noWrap/>
            <w:vAlign w:val="center"/>
            <w:hideMark/>
          </w:tcPr>
          <w:p w:rsidR="00163B00" w:rsidRPr="00163B00" w:rsidP="00163B00" w14:paraId="3417E0C3"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1</w:t>
            </w:r>
          </w:p>
        </w:tc>
        <w:tc>
          <w:tcPr>
            <w:tcW w:w="1214" w:type="dxa"/>
            <w:tcBorders>
              <w:top w:val="nil"/>
              <w:left w:val="nil"/>
              <w:bottom w:val="single" w:sz="8" w:space="0" w:color="auto"/>
              <w:right w:val="nil"/>
            </w:tcBorders>
            <w:vAlign w:val="center"/>
            <w:hideMark/>
          </w:tcPr>
          <w:p w:rsidR="00163B00" w:rsidRPr="00163B00" w:rsidP="00163B00" w14:paraId="13166D10"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40:00</w:t>
            </w:r>
          </w:p>
        </w:tc>
        <w:tc>
          <w:tcPr>
            <w:tcW w:w="1253" w:type="dxa"/>
            <w:tcBorders>
              <w:top w:val="nil"/>
              <w:left w:val="single" w:sz="8" w:space="0" w:color="auto"/>
              <w:bottom w:val="single" w:sz="8" w:space="0" w:color="auto"/>
              <w:right w:val="single" w:sz="8" w:space="0" w:color="auto"/>
            </w:tcBorders>
            <w:noWrap/>
            <w:vAlign w:val="center"/>
            <w:hideMark/>
          </w:tcPr>
          <w:p w:rsidR="00163B00" w:rsidRPr="00163B00" w:rsidP="00163B00" w14:paraId="5E62B895"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40</w:t>
            </w:r>
          </w:p>
        </w:tc>
      </w:tr>
      <w:tr w14:paraId="5D506FA2" w14:textId="77777777" w:rsidTr="0088447D">
        <w:tblPrEx>
          <w:tblW w:w="10077" w:type="dxa"/>
          <w:tblCellMar>
            <w:top w:w="15" w:type="dxa"/>
          </w:tblCellMar>
          <w:tblLook w:val="04A0"/>
        </w:tblPrEx>
        <w:trPr>
          <w:trHeight w:val="1986"/>
        </w:trPr>
        <w:tc>
          <w:tcPr>
            <w:tcW w:w="2630" w:type="dxa"/>
            <w:tcBorders>
              <w:top w:val="nil"/>
              <w:left w:val="single" w:sz="8" w:space="0" w:color="auto"/>
              <w:bottom w:val="single" w:sz="8" w:space="0" w:color="auto"/>
              <w:right w:val="single" w:sz="8" w:space="0" w:color="auto"/>
            </w:tcBorders>
            <w:vAlign w:val="center"/>
            <w:hideMark/>
          </w:tcPr>
          <w:p w:rsidR="00163B00" w:rsidRPr="00163B00" w:rsidP="00163B00" w14:paraId="7543E9CA" w14:textId="77777777">
            <w:pPr>
              <w:keepNext/>
              <w:keepLines/>
              <w:widowControl/>
              <w:rPr>
                <w:rFonts w:ascii="Times New Roman" w:hAnsi="Times New Roman"/>
                <w:snapToGrid/>
                <w:color w:val="000000"/>
                <w:sz w:val="20"/>
              </w:rPr>
            </w:pPr>
            <w:r w:rsidRPr="00163B00">
              <w:rPr>
                <w:rFonts w:ascii="Times New Roman" w:hAnsi="Times New Roman"/>
                <w:snapToGrid/>
                <w:color w:val="000000"/>
                <w:sz w:val="20"/>
              </w:rPr>
              <w:t>2. Ongoing maintenance and revision: Interagency Guidance on Sound Incentive Compensation Practices,</w:t>
            </w:r>
            <w:r w:rsidRPr="00163B00">
              <w:rPr>
                <w:rFonts w:ascii="Times New Roman" w:hAnsi="Times New Roman"/>
                <w:snapToGrid/>
                <w:color w:val="000000"/>
                <w:sz w:val="20"/>
              </w:rPr>
              <w:br/>
              <w:t>75 FR 36395 (June 25, 2010) (Voluntary)</w:t>
            </w:r>
          </w:p>
        </w:tc>
        <w:tc>
          <w:tcPr>
            <w:tcW w:w="1751" w:type="dxa"/>
            <w:tcBorders>
              <w:top w:val="nil"/>
              <w:left w:val="nil"/>
              <w:bottom w:val="single" w:sz="8" w:space="0" w:color="auto"/>
              <w:right w:val="single" w:sz="8" w:space="0" w:color="auto"/>
            </w:tcBorders>
            <w:vAlign w:val="center"/>
            <w:hideMark/>
          </w:tcPr>
          <w:p w:rsidR="00163B00" w:rsidRPr="00163B00" w:rsidP="00163B00" w14:paraId="496CD814" w14:textId="77777777">
            <w:pPr>
              <w:keepNext/>
              <w:keepLines/>
              <w:widowControl/>
              <w:jc w:val="center"/>
              <w:rPr>
                <w:rFonts w:ascii="Times New Roman" w:hAnsi="Times New Roman"/>
                <w:snapToGrid/>
                <w:color w:val="000000"/>
                <w:sz w:val="20"/>
              </w:rPr>
            </w:pPr>
            <w:r w:rsidRPr="00163B00">
              <w:rPr>
                <w:rFonts w:ascii="Times New Roman" w:hAnsi="Times New Roman"/>
                <w:snapToGrid/>
                <w:color w:val="000000"/>
                <w:sz w:val="20"/>
              </w:rPr>
              <w:t>Recordkeeping</w:t>
            </w:r>
            <w:r w:rsidRPr="00163B00">
              <w:rPr>
                <w:rFonts w:ascii="Times New Roman" w:hAnsi="Times New Roman"/>
                <w:snapToGrid/>
                <w:color w:val="000000"/>
                <w:sz w:val="20"/>
              </w:rPr>
              <w:br/>
              <w:t>(Annual)</w:t>
            </w:r>
          </w:p>
        </w:tc>
        <w:tc>
          <w:tcPr>
            <w:tcW w:w="1369" w:type="dxa"/>
            <w:tcBorders>
              <w:top w:val="nil"/>
              <w:left w:val="nil"/>
              <w:bottom w:val="single" w:sz="8" w:space="0" w:color="auto"/>
              <w:right w:val="single" w:sz="8" w:space="0" w:color="auto"/>
            </w:tcBorders>
            <w:noWrap/>
            <w:vAlign w:val="center"/>
            <w:hideMark/>
          </w:tcPr>
          <w:p w:rsidR="00163B00" w:rsidRPr="00163B00" w:rsidP="00163B00" w14:paraId="6FAA4E1B"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1,776</w:t>
            </w:r>
          </w:p>
        </w:tc>
        <w:tc>
          <w:tcPr>
            <w:tcW w:w="1857" w:type="dxa"/>
            <w:tcBorders>
              <w:top w:val="nil"/>
              <w:left w:val="nil"/>
              <w:bottom w:val="single" w:sz="8" w:space="0" w:color="auto"/>
              <w:right w:val="single" w:sz="8" w:space="0" w:color="auto"/>
            </w:tcBorders>
            <w:noWrap/>
            <w:vAlign w:val="center"/>
            <w:hideMark/>
          </w:tcPr>
          <w:p w:rsidR="00163B00" w:rsidRPr="00163B00" w:rsidP="00163B00" w14:paraId="73834FA7"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1</w:t>
            </w:r>
          </w:p>
        </w:tc>
        <w:tc>
          <w:tcPr>
            <w:tcW w:w="1214" w:type="dxa"/>
            <w:tcBorders>
              <w:top w:val="nil"/>
              <w:left w:val="nil"/>
              <w:bottom w:val="single" w:sz="8" w:space="0" w:color="auto"/>
              <w:right w:val="nil"/>
            </w:tcBorders>
            <w:vAlign w:val="center"/>
            <w:hideMark/>
          </w:tcPr>
          <w:p w:rsidR="00163B00" w:rsidRPr="00163B00" w:rsidP="00163B00" w14:paraId="0F939E9A"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02:00</w:t>
            </w:r>
          </w:p>
        </w:tc>
        <w:tc>
          <w:tcPr>
            <w:tcW w:w="1253" w:type="dxa"/>
            <w:tcBorders>
              <w:top w:val="nil"/>
              <w:left w:val="single" w:sz="8" w:space="0" w:color="auto"/>
              <w:bottom w:val="single" w:sz="8" w:space="0" w:color="auto"/>
              <w:right w:val="single" w:sz="8" w:space="0" w:color="auto"/>
            </w:tcBorders>
            <w:noWrap/>
            <w:vAlign w:val="center"/>
            <w:hideMark/>
          </w:tcPr>
          <w:p w:rsidR="00163B00" w:rsidRPr="00163B00" w:rsidP="00163B00" w14:paraId="2D3820D6" w14:textId="77777777">
            <w:pPr>
              <w:keepNext/>
              <w:keepLines/>
              <w:widowControl/>
              <w:jc w:val="right"/>
              <w:rPr>
                <w:rFonts w:ascii="Times New Roman" w:hAnsi="Times New Roman"/>
                <w:snapToGrid/>
                <w:color w:val="000000"/>
                <w:sz w:val="20"/>
              </w:rPr>
            </w:pPr>
            <w:r w:rsidRPr="00163B00">
              <w:rPr>
                <w:rFonts w:ascii="Times New Roman" w:hAnsi="Times New Roman"/>
                <w:snapToGrid/>
                <w:color w:val="000000"/>
                <w:sz w:val="20"/>
              </w:rPr>
              <w:t>3,552</w:t>
            </w:r>
          </w:p>
        </w:tc>
      </w:tr>
      <w:tr w14:paraId="4F6A81E1" w14:textId="77777777" w:rsidTr="0088447D">
        <w:tblPrEx>
          <w:tblW w:w="10077" w:type="dxa"/>
          <w:tblCellMar>
            <w:top w:w="15" w:type="dxa"/>
          </w:tblCellMar>
          <w:tblLook w:val="04A0"/>
        </w:tblPrEx>
        <w:trPr>
          <w:trHeight w:val="306"/>
        </w:trPr>
        <w:tc>
          <w:tcPr>
            <w:tcW w:w="8823" w:type="dxa"/>
            <w:gridSpan w:val="5"/>
            <w:tcBorders>
              <w:top w:val="single" w:sz="8" w:space="0" w:color="auto"/>
              <w:left w:val="single" w:sz="8" w:space="0" w:color="auto"/>
              <w:bottom w:val="single" w:sz="8" w:space="0" w:color="auto"/>
              <w:right w:val="nil"/>
            </w:tcBorders>
            <w:shd w:val="clear" w:color="000000" w:fill="FFFFFF"/>
            <w:noWrap/>
            <w:vAlign w:val="center"/>
            <w:hideMark/>
          </w:tcPr>
          <w:p w:rsidR="00163B00" w:rsidRPr="00163B00" w:rsidP="00163B00" w14:paraId="71D77509" w14:textId="77777777">
            <w:pPr>
              <w:keepNext/>
              <w:keepLines/>
              <w:widowControl/>
              <w:jc w:val="right"/>
              <w:rPr>
                <w:rFonts w:ascii="Times New Roman" w:hAnsi="Times New Roman"/>
                <w:b/>
                <w:bCs/>
                <w:i/>
                <w:iCs/>
                <w:snapToGrid/>
                <w:color w:val="000000"/>
                <w:sz w:val="22"/>
                <w:szCs w:val="22"/>
              </w:rPr>
            </w:pPr>
            <w:r w:rsidRPr="00163B00">
              <w:rPr>
                <w:rFonts w:ascii="Times New Roman" w:hAnsi="Times New Roman"/>
                <w:b/>
                <w:bCs/>
                <w:i/>
                <w:iCs/>
                <w:snapToGrid/>
                <w:color w:val="000000"/>
                <w:sz w:val="22"/>
                <w:szCs w:val="22"/>
              </w:rPr>
              <w:t>Total Annual Burden (Hours):</w:t>
            </w:r>
          </w:p>
        </w:tc>
        <w:tc>
          <w:tcPr>
            <w:tcW w:w="1253" w:type="dxa"/>
            <w:tcBorders>
              <w:top w:val="nil"/>
              <w:left w:val="nil"/>
              <w:bottom w:val="single" w:sz="8" w:space="0" w:color="auto"/>
              <w:right w:val="single" w:sz="8" w:space="0" w:color="auto"/>
            </w:tcBorders>
            <w:noWrap/>
            <w:vAlign w:val="bottom"/>
            <w:hideMark/>
          </w:tcPr>
          <w:p w:rsidR="00163B00" w:rsidRPr="00163B00" w:rsidP="00163B00" w14:paraId="71B1DCA4" w14:textId="77777777">
            <w:pPr>
              <w:keepNext/>
              <w:keepLines/>
              <w:widowControl/>
              <w:jc w:val="right"/>
              <w:rPr>
                <w:rFonts w:ascii="Times New Roman" w:hAnsi="Times New Roman"/>
                <w:b/>
                <w:bCs/>
                <w:i/>
                <w:iCs/>
                <w:snapToGrid/>
                <w:color w:val="000000"/>
                <w:sz w:val="22"/>
                <w:szCs w:val="22"/>
              </w:rPr>
            </w:pPr>
            <w:r w:rsidRPr="00163B00">
              <w:rPr>
                <w:rFonts w:ascii="Times New Roman" w:hAnsi="Times New Roman"/>
                <w:b/>
                <w:bCs/>
                <w:i/>
                <w:iCs/>
                <w:snapToGrid/>
                <w:color w:val="000000"/>
                <w:sz w:val="22"/>
                <w:szCs w:val="22"/>
              </w:rPr>
              <w:t>3,592</w:t>
            </w:r>
          </w:p>
        </w:tc>
      </w:tr>
      <w:tr w14:paraId="1EB7FDB7" w14:textId="77777777" w:rsidTr="0088447D">
        <w:tblPrEx>
          <w:tblW w:w="10077" w:type="dxa"/>
          <w:tblCellMar>
            <w:top w:w="15" w:type="dxa"/>
          </w:tblCellMar>
          <w:tblLook w:val="04A0"/>
        </w:tblPrEx>
        <w:trPr>
          <w:trHeight w:val="257"/>
        </w:trPr>
        <w:tc>
          <w:tcPr>
            <w:tcW w:w="10077" w:type="dxa"/>
            <w:gridSpan w:val="6"/>
            <w:tcBorders>
              <w:top w:val="single" w:sz="8" w:space="0" w:color="auto"/>
              <w:left w:val="single" w:sz="8" w:space="0" w:color="auto"/>
              <w:bottom w:val="nil"/>
              <w:right w:val="single" w:sz="8" w:space="0" w:color="000000"/>
            </w:tcBorders>
            <w:noWrap/>
            <w:hideMark/>
          </w:tcPr>
          <w:p w:rsidR="00163B00" w:rsidRPr="00163B00" w:rsidP="00163B00" w14:paraId="440569C8" w14:textId="77777777">
            <w:pPr>
              <w:keepNext/>
              <w:keepLines/>
              <w:widowControl/>
              <w:rPr>
                <w:rFonts w:ascii="Times New Roman" w:hAnsi="Times New Roman"/>
                <w:snapToGrid/>
                <w:color w:val="000000"/>
                <w:sz w:val="18"/>
                <w:szCs w:val="18"/>
              </w:rPr>
            </w:pPr>
            <w:r w:rsidRPr="00163B00">
              <w:rPr>
                <w:rFonts w:ascii="Times New Roman" w:hAnsi="Times New Roman"/>
                <w:snapToGrid/>
                <w:color w:val="000000"/>
                <w:sz w:val="18"/>
                <w:szCs w:val="18"/>
              </w:rPr>
              <w:t>Source: FDIC.</w:t>
            </w:r>
          </w:p>
        </w:tc>
      </w:tr>
      <w:tr w14:paraId="2993F784" w14:textId="77777777" w:rsidTr="0088447D">
        <w:tblPrEx>
          <w:tblW w:w="10077" w:type="dxa"/>
          <w:tblCellMar>
            <w:top w:w="15" w:type="dxa"/>
          </w:tblCellMar>
          <w:tblLook w:val="04A0"/>
        </w:tblPrEx>
        <w:trPr>
          <w:trHeight w:val="467"/>
        </w:trPr>
        <w:tc>
          <w:tcPr>
            <w:tcW w:w="10077" w:type="dxa"/>
            <w:gridSpan w:val="6"/>
            <w:vMerge w:val="restart"/>
            <w:tcBorders>
              <w:top w:val="nil"/>
              <w:left w:val="single" w:sz="8" w:space="0" w:color="auto"/>
              <w:bottom w:val="single" w:sz="8" w:space="0" w:color="000000"/>
              <w:right w:val="single" w:sz="8" w:space="0" w:color="000000"/>
            </w:tcBorders>
            <w:vAlign w:val="center"/>
            <w:hideMark/>
          </w:tcPr>
          <w:p w:rsidR="00163B00" w:rsidRPr="00163B00" w:rsidP="00163B00" w14:paraId="138D2A14" w14:textId="77777777">
            <w:pPr>
              <w:keepNext/>
              <w:keepLines/>
              <w:widowControl/>
              <w:rPr>
                <w:rFonts w:ascii="Times New Roman" w:hAnsi="Times New Roman"/>
                <w:snapToGrid/>
                <w:color w:val="000000"/>
                <w:sz w:val="18"/>
                <w:szCs w:val="18"/>
              </w:rPr>
            </w:pPr>
            <w:r w:rsidRPr="00163B00">
              <w:rPr>
                <w:rFonts w:ascii="Times New Roman" w:hAnsi="Times New Roman"/>
                <w:snapToGrid/>
                <w:color w:val="000000"/>
                <w:sz w:val="18"/>
                <w:szCs w:val="18"/>
              </w:rPr>
              <w:t>Note: The estimated annual IC time burden is the product, rounded to the nearest hour, of the estimated annual number of responses and the estimated time per response for a given IC. The estimated annual number of responses is the product, rounded to the nearest whole number, of the estimated annual number of respondents and the estimated annual number of responses per respondent. This methodology ensures the estimated annual burdens in the table are consistent with the values recorded in OMB’s consolidated information system.</w:t>
            </w:r>
          </w:p>
        </w:tc>
      </w:tr>
      <w:tr w14:paraId="57E70AD0" w14:textId="77777777" w:rsidTr="0088447D">
        <w:tblPrEx>
          <w:tblW w:w="10077" w:type="dxa"/>
          <w:tblCellMar>
            <w:top w:w="15" w:type="dxa"/>
          </w:tblCellMar>
          <w:tblLook w:val="04A0"/>
        </w:tblPrEx>
        <w:trPr>
          <w:trHeight w:val="293"/>
        </w:trPr>
        <w:tc>
          <w:tcPr>
            <w:tcW w:w="10077" w:type="dxa"/>
            <w:gridSpan w:val="6"/>
            <w:vMerge/>
            <w:tcBorders>
              <w:top w:val="nil"/>
              <w:left w:val="single" w:sz="8" w:space="0" w:color="auto"/>
              <w:bottom w:val="single" w:sz="8" w:space="0" w:color="000000"/>
              <w:right w:val="single" w:sz="8" w:space="0" w:color="000000"/>
            </w:tcBorders>
            <w:vAlign w:val="center"/>
            <w:hideMark/>
          </w:tcPr>
          <w:p w:rsidR="00BD1F3F" w:rsidRPr="00163B00" w:rsidP="00163B00" w14:paraId="2C8B49E9" w14:textId="77777777">
            <w:pPr>
              <w:keepNext/>
              <w:keepLines/>
              <w:widowControl/>
              <w:rPr>
                <w:rFonts w:ascii="Times New Roman" w:hAnsi="Times New Roman"/>
                <w:snapToGrid/>
                <w:color w:val="000000"/>
                <w:sz w:val="18"/>
                <w:szCs w:val="18"/>
              </w:rPr>
            </w:pPr>
          </w:p>
        </w:tc>
      </w:tr>
      <w:tr w14:paraId="391C7E68" w14:textId="77777777" w:rsidTr="0088447D">
        <w:tblPrEx>
          <w:tblW w:w="10077" w:type="dxa"/>
          <w:tblCellMar>
            <w:top w:w="15" w:type="dxa"/>
          </w:tblCellMar>
          <w:tblLook w:val="04A0"/>
        </w:tblPrEx>
        <w:trPr>
          <w:trHeight w:val="318"/>
        </w:trPr>
        <w:tc>
          <w:tcPr>
            <w:tcW w:w="10077" w:type="dxa"/>
            <w:gridSpan w:val="6"/>
            <w:vMerge/>
            <w:tcBorders>
              <w:top w:val="nil"/>
              <w:left w:val="single" w:sz="8" w:space="0" w:color="auto"/>
              <w:bottom w:val="single" w:sz="8" w:space="0" w:color="000000"/>
              <w:right w:val="single" w:sz="8" w:space="0" w:color="000000"/>
            </w:tcBorders>
            <w:vAlign w:val="center"/>
            <w:hideMark/>
          </w:tcPr>
          <w:p w:rsidR="00BD1F3F" w:rsidRPr="00163B00" w:rsidP="00163B00" w14:paraId="5596B08B" w14:textId="77777777">
            <w:pPr>
              <w:keepNext/>
              <w:keepLines/>
              <w:widowControl/>
              <w:rPr>
                <w:rFonts w:ascii="Times New Roman" w:hAnsi="Times New Roman"/>
                <w:snapToGrid/>
                <w:color w:val="000000"/>
                <w:sz w:val="18"/>
                <w:szCs w:val="18"/>
              </w:rPr>
            </w:pPr>
          </w:p>
        </w:tc>
      </w:tr>
      <w:tr w14:paraId="2C8275F3" w14:textId="77777777" w:rsidTr="0088447D">
        <w:tblPrEx>
          <w:tblW w:w="10077" w:type="dxa"/>
          <w:tblCellMar>
            <w:top w:w="15" w:type="dxa"/>
          </w:tblCellMar>
          <w:tblLook w:val="04A0"/>
        </w:tblPrEx>
        <w:trPr>
          <w:trHeight w:val="416"/>
        </w:trPr>
        <w:tc>
          <w:tcPr>
            <w:tcW w:w="10077" w:type="dxa"/>
            <w:gridSpan w:val="6"/>
            <w:vMerge/>
            <w:tcBorders>
              <w:top w:val="nil"/>
              <w:left w:val="single" w:sz="8" w:space="0" w:color="auto"/>
              <w:bottom w:val="single" w:sz="8" w:space="0" w:color="000000"/>
              <w:right w:val="single" w:sz="8" w:space="0" w:color="000000"/>
            </w:tcBorders>
            <w:vAlign w:val="center"/>
            <w:hideMark/>
          </w:tcPr>
          <w:p w:rsidR="00BD1F3F" w:rsidRPr="00163B00" w:rsidP="00163B00" w14:paraId="152A315A" w14:textId="77777777">
            <w:pPr>
              <w:keepNext/>
              <w:keepLines/>
              <w:widowControl/>
              <w:rPr>
                <w:rFonts w:ascii="Times New Roman" w:hAnsi="Times New Roman"/>
                <w:snapToGrid/>
                <w:color w:val="000000"/>
                <w:sz w:val="18"/>
                <w:szCs w:val="18"/>
              </w:rPr>
            </w:pPr>
          </w:p>
        </w:tc>
      </w:tr>
    </w:tbl>
    <w:p w:rsidR="007562B8" w:rsidP="002C1152" w14:paraId="4713A461" w14:textId="77777777">
      <w:pPr>
        <w:rPr>
          <w:rFonts w:ascii="Times New Roman" w:hAnsi="Times New Roman"/>
          <w:b/>
          <w:snapToGrid/>
          <w:szCs w:val="24"/>
        </w:rPr>
      </w:pPr>
    </w:p>
    <w:tbl>
      <w:tblPr>
        <w:tblW w:w="10200" w:type="dxa"/>
        <w:jc w:val="center"/>
        <w:tblCellMar>
          <w:top w:w="15" w:type="dxa"/>
        </w:tblCellMar>
        <w:tblLook w:val="04A0"/>
      </w:tblPr>
      <w:tblGrid>
        <w:gridCol w:w="2176"/>
        <w:gridCol w:w="860"/>
        <w:gridCol w:w="984"/>
        <w:gridCol w:w="984"/>
        <w:gridCol w:w="900"/>
        <w:gridCol w:w="984"/>
        <w:gridCol w:w="984"/>
        <w:gridCol w:w="884"/>
        <w:gridCol w:w="1444"/>
      </w:tblGrid>
      <w:tr w14:paraId="5AFF040C" w14:textId="77777777" w:rsidTr="00BD1F3F">
        <w:tblPrEx>
          <w:tblW w:w="10200" w:type="dxa"/>
          <w:jc w:val="center"/>
          <w:tblCellMar>
            <w:top w:w="15" w:type="dxa"/>
          </w:tblCellMar>
          <w:tblLook w:val="04A0"/>
        </w:tblPrEx>
        <w:trPr>
          <w:trHeight w:val="360"/>
          <w:jc w:val="center"/>
        </w:trPr>
        <w:tc>
          <w:tcPr>
            <w:tcW w:w="10200" w:type="dxa"/>
            <w:gridSpan w:val="9"/>
            <w:tcBorders>
              <w:top w:val="single" w:sz="8" w:space="0" w:color="auto"/>
              <w:left w:val="single" w:sz="8" w:space="0" w:color="auto"/>
              <w:bottom w:val="single" w:sz="8" w:space="0" w:color="auto"/>
              <w:right w:val="single" w:sz="8" w:space="0" w:color="auto"/>
            </w:tcBorders>
            <w:noWrap/>
            <w:vAlign w:val="bottom"/>
            <w:hideMark/>
          </w:tcPr>
          <w:p w:rsidR="00BD1F3F" w:rsidRPr="00BD1F3F" w:rsidP="00BD1F3F" w14:paraId="66B2233F" w14:textId="5D0BA283">
            <w:pPr>
              <w:keepNext/>
              <w:keepLines/>
              <w:widowControl/>
              <w:jc w:val="center"/>
              <w:rPr>
                <w:rFonts w:ascii="Times New Roman" w:hAnsi="Times New Roman"/>
                <w:snapToGrid/>
                <w:color w:val="000000"/>
                <w:szCs w:val="24"/>
              </w:rPr>
            </w:pPr>
            <w:r w:rsidRPr="00BD1F3F">
              <w:rPr>
                <w:rFonts w:ascii="Times New Roman" w:hAnsi="Times New Roman"/>
                <w:snapToGrid/>
                <w:color w:val="000000"/>
                <w:szCs w:val="24"/>
              </w:rPr>
              <w:t xml:space="preserve"> Summary of Hourly Burden Cost Estimate (OMB No. 3064-0175)</w:t>
            </w:r>
          </w:p>
        </w:tc>
      </w:tr>
      <w:tr w14:paraId="0B83404E" w14:textId="77777777" w:rsidTr="00BD1F3F">
        <w:tblPrEx>
          <w:tblW w:w="10200" w:type="dxa"/>
          <w:jc w:val="center"/>
          <w:tblCellMar>
            <w:top w:w="15" w:type="dxa"/>
          </w:tblCellMar>
          <w:tblLook w:val="04A0"/>
        </w:tblPrEx>
        <w:trPr>
          <w:trHeight w:val="600"/>
          <w:jc w:val="center"/>
        </w:trPr>
        <w:tc>
          <w:tcPr>
            <w:tcW w:w="2176"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044B2A3D" w14:textId="77777777">
            <w:pPr>
              <w:keepNext/>
              <w:keepLines/>
              <w:widowControl/>
              <w:rPr>
                <w:rFonts w:ascii="Source Sans Pro" w:hAnsi="Source Sans Pro" w:cs="Calibri"/>
                <w:snapToGrid/>
                <w:color w:val="000000"/>
                <w:sz w:val="20"/>
              </w:rPr>
            </w:pPr>
            <w:r w:rsidRPr="00BD1F3F">
              <w:rPr>
                <w:rFonts w:ascii="Source Sans Pro" w:hAnsi="Source Sans Pro" w:cs="Calibri"/>
                <w:snapToGrid/>
                <w:color w:val="000000"/>
                <w:sz w:val="20"/>
              </w:rPr>
              <w:t xml:space="preserve">Information Collection (IC) (Obligation to Respond) </w:t>
            </w:r>
          </w:p>
        </w:tc>
        <w:tc>
          <w:tcPr>
            <w:tcW w:w="860"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52A00C86"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 xml:space="preserve">Hourly Weight </w:t>
            </w:r>
            <w:r w:rsidRPr="00BD1F3F">
              <w:rPr>
                <w:rFonts w:ascii="Source Sans Pro" w:hAnsi="Source Sans Pro" w:cs="Calibri"/>
                <w:snapToGrid/>
                <w:color w:val="000000"/>
                <w:sz w:val="20"/>
              </w:rPr>
              <w:br/>
              <w:t>(%)</w:t>
            </w:r>
          </w:p>
        </w:tc>
        <w:tc>
          <w:tcPr>
            <w:tcW w:w="572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BD1F3F" w:rsidRPr="00BD1F3F" w:rsidP="00BD1F3F" w14:paraId="610D4A84"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 xml:space="preserve">Percentage Shares of Hours Spent by and </w:t>
            </w:r>
            <w:r w:rsidRPr="00BD1F3F">
              <w:rPr>
                <w:rFonts w:ascii="Source Sans Pro" w:hAnsi="Source Sans Pro" w:cs="Calibri"/>
                <w:snapToGrid/>
                <w:color w:val="000000"/>
                <w:sz w:val="20"/>
              </w:rPr>
              <w:br/>
              <w:t xml:space="preserve">Hourly Compensation Rates for each Occupation Group </w:t>
            </w:r>
            <w:r w:rsidRPr="00BD1F3F">
              <w:rPr>
                <w:rFonts w:ascii="Source Sans Pro" w:hAnsi="Source Sans Pro" w:cs="Calibri"/>
                <w:snapToGrid/>
                <w:color w:val="000000"/>
                <w:sz w:val="20"/>
              </w:rPr>
              <w:br/>
              <w:t>(by Collection)</w:t>
            </w:r>
          </w:p>
        </w:tc>
        <w:tc>
          <w:tcPr>
            <w:tcW w:w="1444"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55F0A1FD"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Estimated Hourly Compensation Rate</w:t>
            </w:r>
          </w:p>
        </w:tc>
      </w:tr>
      <w:tr w14:paraId="3183DA12" w14:textId="77777777" w:rsidTr="00BD1F3F">
        <w:tblPrEx>
          <w:tblW w:w="10200" w:type="dxa"/>
          <w:jc w:val="center"/>
          <w:tblCellMar>
            <w:top w:w="15" w:type="dxa"/>
          </w:tblCellMar>
          <w:tblLook w:val="04A0"/>
        </w:tblPrEx>
        <w:trPr>
          <w:trHeight w:val="864"/>
          <w:jc w:val="center"/>
        </w:trPr>
        <w:tc>
          <w:tcPr>
            <w:tcW w:w="2176" w:type="dxa"/>
            <w:vMerge/>
            <w:tcBorders>
              <w:top w:val="nil"/>
              <w:left w:val="single" w:sz="8" w:space="0" w:color="auto"/>
              <w:bottom w:val="single" w:sz="8" w:space="0" w:color="auto"/>
              <w:right w:val="single" w:sz="8" w:space="0" w:color="auto"/>
            </w:tcBorders>
            <w:vAlign w:val="center"/>
            <w:hideMark/>
          </w:tcPr>
          <w:p w:rsidR="00BD1F3F" w:rsidRPr="00BD1F3F" w:rsidP="00BD1F3F" w14:paraId="45469833" w14:textId="77777777">
            <w:pPr>
              <w:keepNext/>
              <w:keepLines/>
              <w:widowControl/>
              <w:rPr>
                <w:rFonts w:ascii="Source Sans Pro" w:hAnsi="Source Sans Pro" w:cs="Calibri"/>
                <w:snapToGrid/>
                <w:color w:val="000000"/>
                <w:sz w:val="20"/>
              </w:rPr>
            </w:pPr>
          </w:p>
        </w:tc>
        <w:tc>
          <w:tcPr>
            <w:tcW w:w="860" w:type="dxa"/>
            <w:vMerge/>
            <w:tcBorders>
              <w:top w:val="nil"/>
              <w:left w:val="single" w:sz="8" w:space="0" w:color="auto"/>
              <w:bottom w:val="single" w:sz="8" w:space="0" w:color="auto"/>
              <w:right w:val="single" w:sz="8" w:space="0" w:color="auto"/>
            </w:tcBorders>
            <w:vAlign w:val="center"/>
            <w:hideMark/>
          </w:tcPr>
          <w:p w:rsidR="00BD1F3F" w:rsidRPr="00BD1F3F" w:rsidP="00BD1F3F" w14:paraId="4049A848" w14:textId="77777777">
            <w:pPr>
              <w:keepNext/>
              <w:keepLines/>
              <w:widowControl/>
              <w:rPr>
                <w:rFonts w:ascii="Source Sans Pro" w:hAnsi="Source Sans Pro" w:cs="Calibri"/>
                <w:snapToGrid/>
                <w:color w:val="000000"/>
                <w:sz w:val="20"/>
              </w:rPr>
            </w:pPr>
          </w:p>
        </w:tc>
        <w:tc>
          <w:tcPr>
            <w:tcW w:w="5720" w:type="dxa"/>
            <w:gridSpan w:val="6"/>
            <w:vMerge/>
            <w:tcBorders>
              <w:top w:val="single" w:sz="8" w:space="0" w:color="auto"/>
              <w:left w:val="single" w:sz="8" w:space="0" w:color="auto"/>
              <w:bottom w:val="single" w:sz="8" w:space="0" w:color="auto"/>
              <w:right w:val="single" w:sz="8" w:space="0" w:color="auto"/>
            </w:tcBorders>
            <w:vAlign w:val="center"/>
            <w:hideMark/>
          </w:tcPr>
          <w:p w:rsidR="00BD1F3F" w:rsidRPr="00BD1F3F" w:rsidP="00BD1F3F" w14:paraId="64C99E22" w14:textId="77777777">
            <w:pPr>
              <w:keepNext/>
              <w:keepLines/>
              <w:widowControl/>
              <w:rPr>
                <w:rFonts w:ascii="Source Sans Pro" w:hAnsi="Source Sans Pro" w:cs="Calibri"/>
                <w:snapToGrid/>
                <w:color w:val="000000"/>
                <w:sz w:val="20"/>
              </w:rPr>
            </w:pPr>
          </w:p>
        </w:tc>
        <w:tc>
          <w:tcPr>
            <w:tcW w:w="1444" w:type="dxa"/>
            <w:vMerge/>
            <w:tcBorders>
              <w:top w:val="nil"/>
              <w:left w:val="single" w:sz="8" w:space="0" w:color="auto"/>
              <w:bottom w:val="single" w:sz="8" w:space="0" w:color="auto"/>
              <w:right w:val="single" w:sz="8" w:space="0" w:color="auto"/>
            </w:tcBorders>
            <w:vAlign w:val="center"/>
            <w:hideMark/>
          </w:tcPr>
          <w:p w:rsidR="00BD1F3F" w:rsidRPr="00BD1F3F" w:rsidP="00BD1F3F" w14:paraId="25C45F3C" w14:textId="77777777">
            <w:pPr>
              <w:keepNext/>
              <w:keepLines/>
              <w:widowControl/>
              <w:rPr>
                <w:rFonts w:ascii="Source Sans Pro" w:hAnsi="Source Sans Pro" w:cs="Calibri"/>
                <w:snapToGrid/>
                <w:color w:val="000000"/>
                <w:sz w:val="20"/>
              </w:rPr>
            </w:pPr>
          </w:p>
        </w:tc>
      </w:tr>
      <w:tr w14:paraId="758E9152" w14:textId="77777777" w:rsidTr="00BD1F3F">
        <w:tblPrEx>
          <w:tblW w:w="10200" w:type="dxa"/>
          <w:jc w:val="center"/>
          <w:tblCellMar>
            <w:top w:w="15" w:type="dxa"/>
          </w:tblCellMar>
          <w:tblLook w:val="04A0"/>
        </w:tblPrEx>
        <w:trPr>
          <w:trHeight w:val="360"/>
          <w:jc w:val="center"/>
        </w:trPr>
        <w:tc>
          <w:tcPr>
            <w:tcW w:w="2176" w:type="dxa"/>
            <w:vMerge/>
            <w:tcBorders>
              <w:top w:val="nil"/>
              <w:left w:val="single" w:sz="8" w:space="0" w:color="auto"/>
              <w:bottom w:val="single" w:sz="8" w:space="0" w:color="auto"/>
              <w:right w:val="single" w:sz="8" w:space="0" w:color="auto"/>
            </w:tcBorders>
            <w:vAlign w:val="center"/>
            <w:hideMark/>
          </w:tcPr>
          <w:p w:rsidR="00BD1F3F" w:rsidRPr="00BD1F3F" w:rsidP="00BD1F3F" w14:paraId="2A51AFB2" w14:textId="77777777">
            <w:pPr>
              <w:keepNext/>
              <w:keepLines/>
              <w:widowControl/>
              <w:rPr>
                <w:rFonts w:ascii="Source Sans Pro" w:hAnsi="Source Sans Pro" w:cs="Calibri"/>
                <w:snapToGrid/>
                <w:color w:val="000000"/>
                <w:sz w:val="20"/>
              </w:rPr>
            </w:pPr>
          </w:p>
        </w:tc>
        <w:tc>
          <w:tcPr>
            <w:tcW w:w="860" w:type="dxa"/>
            <w:vMerge/>
            <w:tcBorders>
              <w:top w:val="nil"/>
              <w:left w:val="single" w:sz="8" w:space="0" w:color="auto"/>
              <w:bottom w:val="single" w:sz="8" w:space="0" w:color="auto"/>
              <w:right w:val="single" w:sz="8" w:space="0" w:color="auto"/>
            </w:tcBorders>
            <w:vAlign w:val="center"/>
            <w:hideMark/>
          </w:tcPr>
          <w:p w:rsidR="00BD1F3F" w:rsidRPr="00BD1F3F" w:rsidP="00BD1F3F" w14:paraId="1ACDFA43" w14:textId="77777777">
            <w:pPr>
              <w:keepNext/>
              <w:keepLines/>
              <w:widowControl/>
              <w:rPr>
                <w:rFonts w:ascii="Source Sans Pro" w:hAnsi="Source Sans Pro" w:cs="Calibri"/>
                <w:snapToGrid/>
                <w:color w:val="000000"/>
                <w:sz w:val="20"/>
              </w:rPr>
            </w:pPr>
          </w:p>
        </w:tc>
        <w:tc>
          <w:tcPr>
            <w:tcW w:w="984"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6B069176"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Exec. &amp; Mgr.      ($159.84)</w:t>
            </w:r>
          </w:p>
        </w:tc>
        <w:tc>
          <w:tcPr>
            <w:tcW w:w="984"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760753C0"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Lawyer   ($180.27)</w:t>
            </w:r>
          </w:p>
        </w:tc>
        <w:tc>
          <w:tcPr>
            <w:tcW w:w="900"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1224DE92"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Compl. Ofc.   ($81.09)</w:t>
            </w:r>
          </w:p>
        </w:tc>
        <w:tc>
          <w:tcPr>
            <w:tcW w:w="984"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2B7B3738"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IT    ($116.97)</w:t>
            </w:r>
          </w:p>
        </w:tc>
        <w:tc>
          <w:tcPr>
            <w:tcW w:w="984"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31023151"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Fin. Anlst.    ($101.69)</w:t>
            </w:r>
          </w:p>
        </w:tc>
        <w:tc>
          <w:tcPr>
            <w:tcW w:w="884" w:type="dxa"/>
            <w:vMerge w:val="restart"/>
            <w:tcBorders>
              <w:top w:val="nil"/>
              <w:left w:val="single" w:sz="8" w:space="0" w:color="auto"/>
              <w:bottom w:val="single" w:sz="8" w:space="0" w:color="auto"/>
              <w:right w:val="single" w:sz="8" w:space="0" w:color="auto"/>
            </w:tcBorders>
            <w:vAlign w:val="center"/>
            <w:hideMark/>
          </w:tcPr>
          <w:p w:rsidR="00BD1F3F" w:rsidRPr="00BD1F3F" w:rsidP="00BD1F3F" w14:paraId="3C2ABF53"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Clerical    ($42.73)</w:t>
            </w:r>
          </w:p>
        </w:tc>
        <w:tc>
          <w:tcPr>
            <w:tcW w:w="1444" w:type="dxa"/>
            <w:vMerge/>
            <w:tcBorders>
              <w:top w:val="nil"/>
              <w:left w:val="single" w:sz="8" w:space="0" w:color="auto"/>
              <w:bottom w:val="single" w:sz="8" w:space="0" w:color="auto"/>
              <w:right w:val="single" w:sz="8" w:space="0" w:color="auto"/>
            </w:tcBorders>
            <w:vAlign w:val="center"/>
            <w:hideMark/>
          </w:tcPr>
          <w:p w:rsidR="00BD1F3F" w:rsidRPr="00BD1F3F" w:rsidP="00BD1F3F" w14:paraId="4EFAB742" w14:textId="77777777">
            <w:pPr>
              <w:keepNext/>
              <w:keepLines/>
              <w:widowControl/>
              <w:rPr>
                <w:rFonts w:ascii="Source Sans Pro" w:hAnsi="Source Sans Pro" w:cs="Calibri"/>
                <w:snapToGrid/>
                <w:color w:val="000000"/>
                <w:sz w:val="20"/>
              </w:rPr>
            </w:pPr>
          </w:p>
        </w:tc>
      </w:tr>
      <w:tr w14:paraId="37B56B2F" w14:textId="77777777" w:rsidTr="0088447D">
        <w:tblPrEx>
          <w:tblW w:w="10200" w:type="dxa"/>
          <w:jc w:val="center"/>
          <w:tblCellMar>
            <w:top w:w="15" w:type="dxa"/>
          </w:tblCellMar>
          <w:tblLook w:val="04A0"/>
        </w:tblPrEx>
        <w:trPr>
          <w:trHeight w:val="817"/>
          <w:jc w:val="center"/>
        </w:trPr>
        <w:tc>
          <w:tcPr>
            <w:tcW w:w="2176" w:type="dxa"/>
            <w:vMerge/>
            <w:tcBorders>
              <w:top w:val="nil"/>
              <w:left w:val="single" w:sz="8" w:space="0" w:color="auto"/>
              <w:bottom w:val="single" w:sz="8" w:space="0" w:color="auto"/>
              <w:right w:val="single" w:sz="8" w:space="0" w:color="auto"/>
            </w:tcBorders>
            <w:vAlign w:val="center"/>
            <w:hideMark/>
          </w:tcPr>
          <w:p w:rsidR="00BD1F3F" w:rsidRPr="00BD1F3F" w:rsidP="00BD1F3F" w14:paraId="7969F857" w14:textId="77777777">
            <w:pPr>
              <w:keepNext/>
              <w:keepLines/>
              <w:widowControl/>
              <w:rPr>
                <w:rFonts w:ascii="Source Sans Pro" w:hAnsi="Source Sans Pro" w:cs="Calibri"/>
                <w:snapToGrid/>
                <w:color w:val="000000"/>
                <w:sz w:val="20"/>
              </w:rPr>
            </w:pPr>
          </w:p>
        </w:tc>
        <w:tc>
          <w:tcPr>
            <w:tcW w:w="860" w:type="dxa"/>
            <w:vMerge/>
            <w:tcBorders>
              <w:top w:val="nil"/>
              <w:left w:val="single" w:sz="8" w:space="0" w:color="auto"/>
              <w:bottom w:val="single" w:sz="8" w:space="0" w:color="auto"/>
              <w:right w:val="single" w:sz="8" w:space="0" w:color="auto"/>
            </w:tcBorders>
            <w:vAlign w:val="center"/>
            <w:hideMark/>
          </w:tcPr>
          <w:p w:rsidR="00BD1F3F" w:rsidRPr="00BD1F3F" w:rsidP="00BD1F3F" w14:paraId="7169149E" w14:textId="77777777">
            <w:pPr>
              <w:keepNext/>
              <w:keepLines/>
              <w:widowControl/>
              <w:rPr>
                <w:rFonts w:ascii="Source Sans Pro" w:hAnsi="Source Sans Pro" w:cs="Calibri"/>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D1F3F" w:rsidRPr="00BD1F3F" w:rsidP="00BD1F3F" w14:paraId="6748EAB5" w14:textId="77777777">
            <w:pPr>
              <w:keepNext/>
              <w:keepLines/>
              <w:widowControl/>
              <w:rPr>
                <w:rFonts w:ascii="Source Sans Pro" w:hAnsi="Source Sans Pro" w:cs="Calibri"/>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D1F3F" w:rsidRPr="00BD1F3F" w:rsidP="00BD1F3F" w14:paraId="7360FE96" w14:textId="77777777">
            <w:pPr>
              <w:keepNext/>
              <w:keepLines/>
              <w:widowControl/>
              <w:rPr>
                <w:rFonts w:ascii="Source Sans Pro" w:hAnsi="Source Sans Pro" w:cs="Calibri"/>
                <w:snapToGrid/>
                <w:color w:val="000000"/>
                <w:sz w:val="20"/>
              </w:rPr>
            </w:pPr>
          </w:p>
        </w:tc>
        <w:tc>
          <w:tcPr>
            <w:tcW w:w="900" w:type="dxa"/>
            <w:vMerge/>
            <w:tcBorders>
              <w:top w:val="nil"/>
              <w:left w:val="single" w:sz="8" w:space="0" w:color="auto"/>
              <w:bottom w:val="single" w:sz="8" w:space="0" w:color="auto"/>
              <w:right w:val="single" w:sz="8" w:space="0" w:color="auto"/>
            </w:tcBorders>
            <w:vAlign w:val="center"/>
            <w:hideMark/>
          </w:tcPr>
          <w:p w:rsidR="00BD1F3F" w:rsidRPr="00BD1F3F" w:rsidP="00BD1F3F" w14:paraId="6B13C2B7" w14:textId="77777777">
            <w:pPr>
              <w:keepNext/>
              <w:keepLines/>
              <w:widowControl/>
              <w:rPr>
                <w:rFonts w:ascii="Source Sans Pro" w:hAnsi="Source Sans Pro" w:cs="Calibri"/>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D1F3F" w:rsidRPr="00BD1F3F" w:rsidP="00BD1F3F" w14:paraId="7021DAFE" w14:textId="77777777">
            <w:pPr>
              <w:keepNext/>
              <w:keepLines/>
              <w:widowControl/>
              <w:rPr>
                <w:rFonts w:ascii="Source Sans Pro" w:hAnsi="Source Sans Pro" w:cs="Calibri"/>
                <w:snapToGrid/>
                <w:color w:val="000000"/>
                <w:sz w:val="20"/>
              </w:rPr>
            </w:pPr>
          </w:p>
        </w:tc>
        <w:tc>
          <w:tcPr>
            <w:tcW w:w="984" w:type="dxa"/>
            <w:vMerge/>
            <w:tcBorders>
              <w:top w:val="nil"/>
              <w:left w:val="single" w:sz="8" w:space="0" w:color="auto"/>
              <w:bottom w:val="single" w:sz="8" w:space="0" w:color="auto"/>
              <w:right w:val="single" w:sz="8" w:space="0" w:color="auto"/>
            </w:tcBorders>
            <w:vAlign w:val="center"/>
            <w:hideMark/>
          </w:tcPr>
          <w:p w:rsidR="00BD1F3F" w:rsidRPr="00BD1F3F" w:rsidP="00BD1F3F" w14:paraId="5DDB2D7F" w14:textId="77777777">
            <w:pPr>
              <w:keepNext/>
              <w:keepLines/>
              <w:widowControl/>
              <w:rPr>
                <w:rFonts w:ascii="Source Sans Pro" w:hAnsi="Source Sans Pro" w:cs="Calibri"/>
                <w:snapToGrid/>
                <w:color w:val="000000"/>
                <w:sz w:val="20"/>
              </w:rPr>
            </w:pPr>
          </w:p>
        </w:tc>
        <w:tc>
          <w:tcPr>
            <w:tcW w:w="884" w:type="dxa"/>
            <w:vMerge/>
            <w:tcBorders>
              <w:top w:val="nil"/>
              <w:left w:val="single" w:sz="8" w:space="0" w:color="auto"/>
              <w:bottom w:val="single" w:sz="8" w:space="0" w:color="auto"/>
              <w:right w:val="single" w:sz="8" w:space="0" w:color="auto"/>
            </w:tcBorders>
            <w:vAlign w:val="center"/>
            <w:hideMark/>
          </w:tcPr>
          <w:p w:rsidR="00BD1F3F" w:rsidRPr="00BD1F3F" w:rsidP="00BD1F3F" w14:paraId="3C6D3847" w14:textId="77777777">
            <w:pPr>
              <w:keepNext/>
              <w:keepLines/>
              <w:widowControl/>
              <w:rPr>
                <w:rFonts w:ascii="Source Sans Pro" w:hAnsi="Source Sans Pro" w:cs="Calibri"/>
                <w:snapToGrid/>
                <w:color w:val="000000"/>
                <w:sz w:val="20"/>
              </w:rPr>
            </w:pPr>
          </w:p>
        </w:tc>
        <w:tc>
          <w:tcPr>
            <w:tcW w:w="1444" w:type="dxa"/>
            <w:vMerge/>
            <w:tcBorders>
              <w:top w:val="nil"/>
              <w:left w:val="single" w:sz="8" w:space="0" w:color="auto"/>
              <w:bottom w:val="single" w:sz="8" w:space="0" w:color="auto"/>
              <w:right w:val="single" w:sz="8" w:space="0" w:color="auto"/>
            </w:tcBorders>
            <w:vAlign w:val="center"/>
            <w:hideMark/>
          </w:tcPr>
          <w:p w:rsidR="00BD1F3F" w:rsidRPr="00BD1F3F" w:rsidP="00BD1F3F" w14:paraId="4514DF26" w14:textId="77777777">
            <w:pPr>
              <w:keepNext/>
              <w:keepLines/>
              <w:widowControl/>
              <w:rPr>
                <w:rFonts w:ascii="Source Sans Pro" w:hAnsi="Source Sans Pro" w:cs="Calibri"/>
                <w:snapToGrid/>
                <w:color w:val="000000"/>
                <w:sz w:val="20"/>
              </w:rPr>
            </w:pPr>
          </w:p>
        </w:tc>
      </w:tr>
      <w:tr w14:paraId="0A6DCDD7" w14:textId="77777777" w:rsidTr="00BD1F3F">
        <w:tblPrEx>
          <w:tblW w:w="10200" w:type="dxa"/>
          <w:jc w:val="center"/>
          <w:tblCellMar>
            <w:top w:w="15" w:type="dxa"/>
          </w:tblCellMar>
          <w:tblLook w:val="04A0"/>
        </w:tblPrEx>
        <w:trPr>
          <w:trHeight w:val="1668"/>
          <w:jc w:val="center"/>
        </w:trPr>
        <w:tc>
          <w:tcPr>
            <w:tcW w:w="2176" w:type="dxa"/>
            <w:tcBorders>
              <w:top w:val="nil"/>
              <w:left w:val="single" w:sz="8" w:space="0" w:color="auto"/>
              <w:bottom w:val="single" w:sz="8" w:space="0" w:color="auto"/>
              <w:right w:val="single" w:sz="8" w:space="0" w:color="auto"/>
            </w:tcBorders>
            <w:vAlign w:val="center"/>
            <w:hideMark/>
          </w:tcPr>
          <w:p w:rsidR="00BD1F3F" w:rsidRPr="00BD1F3F" w:rsidP="00BD1F3F" w14:paraId="45DDC184" w14:textId="77777777">
            <w:pPr>
              <w:keepNext/>
              <w:keepLines/>
              <w:widowControl/>
              <w:rPr>
                <w:rFonts w:ascii="Source Sans Pro" w:hAnsi="Source Sans Pro" w:cs="Calibri"/>
                <w:snapToGrid/>
                <w:color w:val="000000"/>
                <w:sz w:val="20"/>
              </w:rPr>
            </w:pPr>
            <w:r w:rsidRPr="00BD1F3F">
              <w:rPr>
                <w:rFonts w:ascii="Source Sans Pro" w:hAnsi="Source Sans Pro" w:cs="Calibri"/>
                <w:snapToGrid/>
                <w:color w:val="000000"/>
                <w:sz w:val="20"/>
              </w:rPr>
              <w:t>1. Initial implementation: Interagency Guidance on Sound Incentive Compensation Practices,</w:t>
            </w:r>
            <w:r w:rsidRPr="00BD1F3F">
              <w:rPr>
                <w:rFonts w:ascii="Source Sans Pro" w:hAnsi="Source Sans Pro" w:cs="Calibri"/>
                <w:snapToGrid/>
                <w:color w:val="000000"/>
                <w:sz w:val="20"/>
              </w:rPr>
              <w:br/>
              <w:t>75 FR 36395 (June 25, 2010) (Voluntary)</w:t>
            </w:r>
          </w:p>
        </w:tc>
        <w:tc>
          <w:tcPr>
            <w:tcW w:w="860" w:type="dxa"/>
            <w:tcBorders>
              <w:top w:val="nil"/>
              <w:left w:val="nil"/>
              <w:bottom w:val="single" w:sz="8" w:space="0" w:color="auto"/>
              <w:right w:val="single" w:sz="8" w:space="0" w:color="auto"/>
            </w:tcBorders>
            <w:vAlign w:val="center"/>
            <w:hideMark/>
          </w:tcPr>
          <w:p w:rsidR="00BD1F3F" w:rsidRPr="00BD1F3F" w:rsidP="00BD1F3F" w14:paraId="6755BDD1"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1.11</w:t>
            </w:r>
          </w:p>
        </w:tc>
        <w:tc>
          <w:tcPr>
            <w:tcW w:w="984" w:type="dxa"/>
            <w:tcBorders>
              <w:top w:val="nil"/>
              <w:left w:val="nil"/>
              <w:bottom w:val="single" w:sz="8" w:space="0" w:color="auto"/>
              <w:right w:val="single" w:sz="8" w:space="0" w:color="auto"/>
            </w:tcBorders>
            <w:vAlign w:val="center"/>
            <w:hideMark/>
          </w:tcPr>
          <w:p w:rsidR="00BD1F3F" w:rsidRPr="00BD1F3F" w:rsidP="00BD1F3F" w14:paraId="5F5FE519"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84" w:type="dxa"/>
            <w:tcBorders>
              <w:top w:val="nil"/>
              <w:left w:val="nil"/>
              <w:bottom w:val="single" w:sz="8" w:space="0" w:color="auto"/>
              <w:right w:val="single" w:sz="8" w:space="0" w:color="auto"/>
            </w:tcBorders>
            <w:vAlign w:val="center"/>
            <w:hideMark/>
          </w:tcPr>
          <w:p w:rsidR="00BD1F3F" w:rsidRPr="00BD1F3F" w:rsidP="00BD1F3F" w14:paraId="7CE4D8AE"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00" w:type="dxa"/>
            <w:tcBorders>
              <w:top w:val="nil"/>
              <w:left w:val="nil"/>
              <w:bottom w:val="single" w:sz="8" w:space="0" w:color="auto"/>
              <w:right w:val="single" w:sz="8" w:space="0" w:color="auto"/>
            </w:tcBorders>
            <w:vAlign w:val="center"/>
            <w:hideMark/>
          </w:tcPr>
          <w:p w:rsidR="00BD1F3F" w:rsidRPr="00BD1F3F" w:rsidP="00BD1F3F" w14:paraId="72597AED"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84" w:type="dxa"/>
            <w:tcBorders>
              <w:top w:val="nil"/>
              <w:left w:val="nil"/>
              <w:bottom w:val="single" w:sz="8" w:space="0" w:color="auto"/>
              <w:right w:val="single" w:sz="8" w:space="0" w:color="auto"/>
            </w:tcBorders>
            <w:vAlign w:val="center"/>
            <w:hideMark/>
          </w:tcPr>
          <w:p w:rsidR="00BD1F3F" w:rsidRPr="00BD1F3F" w:rsidP="00BD1F3F" w14:paraId="6DCDCFB4"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84" w:type="dxa"/>
            <w:tcBorders>
              <w:top w:val="nil"/>
              <w:left w:val="nil"/>
              <w:bottom w:val="single" w:sz="8" w:space="0" w:color="auto"/>
              <w:right w:val="single" w:sz="8" w:space="0" w:color="auto"/>
            </w:tcBorders>
            <w:vAlign w:val="center"/>
            <w:hideMark/>
          </w:tcPr>
          <w:p w:rsidR="00BD1F3F" w:rsidRPr="00BD1F3F" w:rsidP="00BD1F3F" w14:paraId="0BA6251B"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884" w:type="dxa"/>
            <w:tcBorders>
              <w:top w:val="nil"/>
              <w:left w:val="nil"/>
              <w:bottom w:val="single" w:sz="8" w:space="0" w:color="auto"/>
              <w:right w:val="single" w:sz="8" w:space="0" w:color="auto"/>
            </w:tcBorders>
            <w:vAlign w:val="center"/>
            <w:hideMark/>
          </w:tcPr>
          <w:p w:rsidR="00BD1F3F" w:rsidRPr="00BD1F3F" w:rsidP="00BD1F3F" w14:paraId="7FEA21E5"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100</w:t>
            </w:r>
          </w:p>
        </w:tc>
        <w:tc>
          <w:tcPr>
            <w:tcW w:w="1444" w:type="dxa"/>
            <w:tcBorders>
              <w:top w:val="nil"/>
              <w:left w:val="nil"/>
              <w:bottom w:val="single" w:sz="8" w:space="0" w:color="auto"/>
              <w:right w:val="single" w:sz="8" w:space="0" w:color="auto"/>
            </w:tcBorders>
            <w:vAlign w:val="center"/>
            <w:hideMark/>
          </w:tcPr>
          <w:p w:rsidR="00BD1F3F" w:rsidRPr="00BD1F3F" w:rsidP="00BD1F3F" w14:paraId="54234B05" w14:textId="77777777">
            <w:pPr>
              <w:keepNext/>
              <w:keepLines/>
              <w:widowControl/>
              <w:ind w:firstLine="200" w:firstLineChars="100"/>
              <w:jc w:val="right"/>
              <w:rPr>
                <w:rFonts w:ascii="Source Sans Pro" w:hAnsi="Source Sans Pro" w:cs="Calibri"/>
                <w:snapToGrid/>
                <w:color w:val="000000"/>
                <w:sz w:val="20"/>
              </w:rPr>
            </w:pPr>
            <w:r w:rsidRPr="00BD1F3F">
              <w:rPr>
                <w:rFonts w:ascii="Source Sans Pro" w:hAnsi="Source Sans Pro" w:cs="Calibri"/>
                <w:snapToGrid/>
                <w:color w:val="000000"/>
                <w:sz w:val="20"/>
              </w:rPr>
              <w:t xml:space="preserve">$42.73 </w:t>
            </w:r>
          </w:p>
        </w:tc>
      </w:tr>
      <w:tr w14:paraId="364B7199" w14:textId="77777777" w:rsidTr="00BD1F3F">
        <w:tblPrEx>
          <w:tblW w:w="10200" w:type="dxa"/>
          <w:jc w:val="center"/>
          <w:tblCellMar>
            <w:top w:w="15" w:type="dxa"/>
          </w:tblCellMar>
          <w:tblLook w:val="04A0"/>
        </w:tblPrEx>
        <w:trPr>
          <w:trHeight w:val="1944"/>
          <w:jc w:val="center"/>
        </w:trPr>
        <w:tc>
          <w:tcPr>
            <w:tcW w:w="2176" w:type="dxa"/>
            <w:tcBorders>
              <w:top w:val="nil"/>
              <w:left w:val="single" w:sz="8" w:space="0" w:color="auto"/>
              <w:bottom w:val="single" w:sz="8" w:space="0" w:color="auto"/>
              <w:right w:val="single" w:sz="8" w:space="0" w:color="auto"/>
            </w:tcBorders>
            <w:vAlign w:val="center"/>
            <w:hideMark/>
          </w:tcPr>
          <w:p w:rsidR="00BD1F3F" w:rsidRPr="00BD1F3F" w:rsidP="00BD1F3F" w14:paraId="317E663B" w14:textId="77777777">
            <w:pPr>
              <w:keepNext/>
              <w:keepLines/>
              <w:widowControl/>
              <w:rPr>
                <w:rFonts w:ascii="Source Sans Pro" w:hAnsi="Source Sans Pro" w:cs="Calibri"/>
                <w:snapToGrid/>
                <w:color w:val="000000"/>
                <w:sz w:val="20"/>
              </w:rPr>
            </w:pPr>
            <w:r w:rsidRPr="00BD1F3F">
              <w:rPr>
                <w:rFonts w:ascii="Source Sans Pro" w:hAnsi="Source Sans Pro" w:cs="Calibri"/>
                <w:snapToGrid/>
                <w:color w:val="000000"/>
                <w:sz w:val="20"/>
              </w:rPr>
              <w:t>2. Ongoing maintenance and revision: Interagency Guidance on Sound Incentive Compensation Practices,</w:t>
            </w:r>
            <w:r w:rsidRPr="00BD1F3F">
              <w:rPr>
                <w:rFonts w:ascii="Source Sans Pro" w:hAnsi="Source Sans Pro" w:cs="Calibri"/>
                <w:snapToGrid/>
                <w:color w:val="000000"/>
                <w:sz w:val="20"/>
              </w:rPr>
              <w:br/>
              <w:t>75 FR 36395 (June 25, 2010) (Voluntary)</w:t>
            </w:r>
          </w:p>
        </w:tc>
        <w:tc>
          <w:tcPr>
            <w:tcW w:w="860" w:type="dxa"/>
            <w:tcBorders>
              <w:top w:val="nil"/>
              <w:left w:val="nil"/>
              <w:bottom w:val="single" w:sz="8" w:space="0" w:color="auto"/>
              <w:right w:val="single" w:sz="8" w:space="0" w:color="auto"/>
            </w:tcBorders>
            <w:vAlign w:val="center"/>
            <w:hideMark/>
          </w:tcPr>
          <w:p w:rsidR="00BD1F3F" w:rsidRPr="00BD1F3F" w:rsidP="00BD1F3F" w14:paraId="5924B6F4"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98.89</w:t>
            </w:r>
          </w:p>
        </w:tc>
        <w:tc>
          <w:tcPr>
            <w:tcW w:w="984" w:type="dxa"/>
            <w:tcBorders>
              <w:top w:val="nil"/>
              <w:left w:val="nil"/>
              <w:bottom w:val="single" w:sz="8" w:space="0" w:color="auto"/>
              <w:right w:val="single" w:sz="8" w:space="0" w:color="auto"/>
            </w:tcBorders>
            <w:vAlign w:val="center"/>
            <w:hideMark/>
          </w:tcPr>
          <w:p w:rsidR="00BD1F3F" w:rsidRPr="00BD1F3F" w:rsidP="00BD1F3F" w14:paraId="708BA074"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84" w:type="dxa"/>
            <w:tcBorders>
              <w:top w:val="nil"/>
              <w:left w:val="nil"/>
              <w:bottom w:val="single" w:sz="8" w:space="0" w:color="auto"/>
              <w:right w:val="single" w:sz="8" w:space="0" w:color="auto"/>
            </w:tcBorders>
            <w:vAlign w:val="center"/>
            <w:hideMark/>
          </w:tcPr>
          <w:p w:rsidR="00BD1F3F" w:rsidRPr="00BD1F3F" w:rsidP="00BD1F3F" w14:paraId="37977EF9"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00" w:type="dxa"/>
            <w:tcBorders>
              <w:top w:val="nil"/>
              <w:left w:val="nil"/>
              <w:bottom w:val="single" w:sz="8" w:space="0" w:color="auto"/>
              <w:right w:val="single" w:sz="8" w:space="0" w:color="auto"/>
            </w:tcBorders>
            <w:vAlign w:val="center"/>
            <w:hideMark/>
          </w:tcPr>
          <w:p w:rsidR="00BD1F3F" w:rsidRPr="00BD1F3F" w:rsidP="00BD1F3F" w14:paraId="49EEE19C"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84" w:type="dxa"/>
            <w:tcBorders>
              <w:top w:val="nil"/>
              <w:left w:val="nil"/>
              <w:bottom w:val="single" w:sz="8" w:space="0" w:color="auto"/>
              <w:right w:val="single" w:sz="8" w:space="0" w:color="auto"/>
            </w:tcBorders>
            <w:vAlign w:val="center"/>
            <w:hideMark/>
          </w:tcPr>
          <w:p w:rsidR="00BD1F3F" w:rsidRPr="00BD1F3F" w:rsidP="00BD1F3F" w14:paraId="6C51FEA0"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984" w:type="dxa"/>
            <w:tcBorders>
              <w:top w:val="nil"/>
              <w:left w:val="nil"/>
              <w:bottom w:val="single" w:sz="8" w:space="0" w:color="auto"/>
              <w:right w:val="single" w:sz="8" w:space="0" w:color="auto"/>
            </w:tcBorders>
            <w:vAlign w:val="center"/>
            <w:hideMark/>
          </w:tcPr>
          <w:p w:rsidR="00BD1F3F" w:rsidRPr="00BD1F3F" w:rsidP="00BD1F3F" w14:paraId="20A241FA"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0</w:t>
            </w:r>
          </w:p>
        </w:tc>
        <w:tc>
          <w:tcPr>
            <w:tcW w:w="884" w:type="dxa"/>
            <w:tcBorders>
              <w:top w:val="nil"/>
              <w:left w:val="nil"/>
              <w:bottom w:val="single" w:sz="8" w:space="0" w:color="auto"/>
              <w:right w:val="single" w:sz="8" w:space="0" w:color="auto"/>
            </w:tcBorders>
            <w:vAlign w:val="center"/>
            <w:hideMark/>
          </w:tcPr>
          <w:p w:rsidR="00BD1F3F" w:rsidRPr="00BD1F3F" w:rsidP="00BD1F3F" w14:paraId="0BC9E56C" w14:textId="77777777">
            <w:pPr>
              <w:keepNext/>
              <w:keepLines/>
              <w:widowControl/>
              <w:jc w:val="center"/>
              <w:rPr>
                <w:rFonts w:ascii="Source Sans Pro" w:hAnsi="Source Sans Pro" w:cs="Calibri"/>
                <w:snapToGrid/>
                <w:color w:val="000000"/>
                <w:sz w:val="20"/>
              </w:rPr>
            </w:pPr>
            <w:r w:rsidRPr="00BD1F3F">
              <w:rPr>
                <w:rFonts w:ascii="Source Sans Pro" w:hAnsi="Source Sans Pro" w:cs="Calibri"/>
                <w:snapToGrid/>
                <w:color w:val="000000"/>
                <w:sz w:val="20"/>
              </w:rPr>
              <w:t>100</w:t>
            </w:r>
          </w:p>
        </w:tc>
        <w:tc>
          <w:tcPr>
            <w:tcW w:w="1444" w:type="dxa"/>
            <w:tcBorders>
              <w:top w:val="nil"/>
              <w:left w:val="nil"/>
              <w:bottom w:val="single" w:sz="8" w:space="0" w:color="auto"/>
              <w:right w:val="single" w:sz="8" w:space="0" w:color="auto"/>
            </w:tcBorders>
            <w:vAlign w:val="center"/>
            <w:hideMark/>
          </w:tcPr>
          <w:p w:rsidR="00BD1F3F" w:rsidRPr="00BD1F3F" w:rsidP="00BD1F3F" w14:paraId="5B730C4A" w14:textId="77777777">
            <w:pPr>
              <w:keepNext/>
              <w:keepLines/>
              <w:widowControl/>
              <w:ind w:firstLine="200" w:firstLineChars="100"/>
              <w:jc w:val="right"/>
              <w:rPr>
                <w:rFonts w:ascii="Source Sans Pro" w:hAnsi="Source Sans Pro" w:cs="Calibri"/>
                <w:snapToGrid/>
                <w:color w:val="000000"/>
                <w:sz w:val="20"/>
              </w:rPr>
            </w:pPr>
            <w:r w:rsidRPr="00BD1F3F">
              <w:rPr>
                <w:rFonts w:ascii="Source Sans Pro" w:hAnsi="Source Sans Pro" w:cs="Calibri"/>
                <w:snapToGrid/>
                <w:color w:val="000000"/>
                <w:sz w:val="20"/>
              </w:rPr>
              <w:t xml:space="preserve">$42.73 </w:t>
            </w:r>
          </w:p>
        </w:tc>
      </w:tr>
      <w:tr w14:paraId="469B85BA" w14:textId="77777777" w:rsidTr="00370C6A">
        <w:tblPrEx>
          <w:tblW w:w="10200" w:type="dxa"/>
          <w:jc w:val="center"/>
          <w:tblCellMar>
            <w:top w:w="15" w:type="dxa"/>
          </w:tblCellMar>
          <w:tblLook w:val="04A0"/>
        </w:tblPrEx>
        <w:trPr>
          <w:trHeight w:val="300"/>
          <w:jc w:val="center"/>
        </w:trPr>
        <w:tc>
          <w:tcPr>
            <w:tcW w:w="8756" w:type="dxa"/>
            <w:gridSpan w:val="8"/>
            <w:tcBorders>
              <w:top w:val="single" w:sz="8" w:space="0" w:color="auto"/>
              <w:left w:val="single" w:sz="8" w:space="0" w:color="auto"/>
              <w:bottom w:val="single" w:sz="8" w:space="0" w:color="auto"/>
              <w:right w:val="single" w:sz="8" w:space="0" w:color="auto"/>
            </w:tcBorders>
            <w:vAlign w:val="center"/>
            <w:hideMark/>
          </w:tcPr>
          <w:p w:rsidR="00BD1F3F" w:rsidRPr="00BD1F3F" w:rsidP="00BD1F3F" w14:paraId="0751CA16" w14:textId="77777777">
            <w:pPr>
              <w:keepNext/>
              <w:keepLines/>
              <w:widowControl/>
              <w:jc w:val="right"/>
              <w:rPr>
                <w:rFonts w:ascii="Source Sans Pro" w:hAnsi="Source Sans Pro" w:cs="Calibri"/>
                <w:b/>
                <w:bCs/>
                <w:i/>
                <w:iCs/>
                <w:snapToGrid/>
                <w:color w:val="000000"/>
                <w:sz w:val="22"/>
                <w:szCs w:val="22"/>
              </w:rPr>
            </w:pPr>
            <w:r w:rsidRPr="00BD1F3F">
              <w:rPr>
                <w:rFonts w:ascii="Source Sans Pro" w:hAnsi="Source Sans Pro" w:cs="Calibri"/>
                <w:b/>
                <w:bCs/>
                <w:i/>
                <w:iCs/>
                <w:snapToGrid/>
                <w:color w:val="000000"/>
                <w:sz w:val="22"/>
                <w:szCs w:val="22"/>
              </w:rPr>
              <w:t>Weighted Average Hourly Compensation Rate:</w:t>
            </w:r>
          </w:p>
        </w:tc>
        <w:tc>
          <w:tcPr>
            <w:tcW w:w="1444" w:type="dxa"/>
            <w:tcBorders>
              <w:top w:val="nil"/>
              <w:left w:val="nil"/>
              <w:bottom w:val="single" w:sz="8" w:space="0" w:color="auto"/>
              <w:right w:val="single" w:sz="8" w:space="0" w:color="auto"/>
            </w:tcBorders>
            <w:vAlign w:val="center"/>
            <w:hideMark/>
          </w:tcPr>
          <w:p w:rsidR="00BD1F3F" w:rsidRPr="00BD1F3F" w:rsidP="00BD1F3F" w14:paraId="67C256C0" w14:textId="77777777">
            <w:pPr>
              <w:keepNext/>
              <w:keepLines/>
              <w:widowControl/>
              <w:ind w:firstLine="220" w:firstLineChars="100"/>
              <w:jc w:val="right"/>
              <w:rPr>
                <w:rFonts w:ascii="Source Sans Pro" w:hAnsi="Source Sans Pro" w:cs="Calibri"/>
                <w:b/>
                <w:bCs/>
                <w:i/>
                <w:iCs/>
                <w:snapToGrid/>
                <w:color w:val="000000"/>
                <w:sz w:val="22"/>
                <w:szCs w:val="22"/>
              </w:rPr>
            </w:pPr>
            <w:r w:rsidRPr="00BD1F3F">
              <w:rPr>
                <w:rFonts w:ascii="Source Sans Pro" w:hAnsi="Source Sans Pro" w:cs="Calibri"/>
                <w:b/>
                <w:bCs/>
                <w:i/>
                <w:iCs/>
                <w:snapToGrid/>
                <w:color w:val="000000"/>
                <w:sz w:val="22"/>
                <w:szCs w:val="22"/>
              </w:rPr>
              <w:t xml:space="preserve">$42.73 </w:t>
            </w:r>
          </w:p>
        </w:tc>
      </w:tr>
      <w:tr w14:paraId="128106B4" w14:textId="77777777" w:rsidTr="00370C6A">
        <w:tblPrEx>
          <w:tblW w:w="10200" w:type="dxa"/>
          <w:jc w:val="center"/>
          <w:tblCellMar>
            <w:top w:w="15" w:type="dxa"/>
          </w:tblCellMar>
          <w:tblLook w:val="04A0"/>
        </w:tblPrEx>
        <w:trPr>
          <w:trHeight w:val="312"/>
          <w:jc w:val="center"/>
        </w:trPr>
        <w:tc>
          <w:tcPr>
            <w:tcW w:w="10200" w:type="dxa"/>
            <w:gridSpan w:val="9"/>
            <w:tcBorders>
              <w:top w:val="single" w:sz="8" w:space="0" w:color="auto"/>
              <w:left w:val="single" w:sz="8" w:space="0" w:color="auto"/>
              <w:bottom w:val="single" w:sz="4" w:space="0" w:color="auto"/>
              <w:right w:val="single" w:sz="8" w:space="0" w:color="000000"/>
            </w:tcBorders>
            <w:vAlign w:val="center"/>
            <w:hideMark/>
          </w:tcPr>
          <w:p w:rsidR="00BD1F3F" w:rsidRPr="00BD1F3F" w:rsidP="00BD1F3F" w14:paraId="40A44258" w14:textId="40B92448">
            <w:pPr>
              <w:keepNext/>
              <w:keepLines/>
              <w:widowControl/>
              <w:rPr>
                <w:rFonts w:ascii="Source Sans Pro" w:hAnsi="Source Sans Pro" w:cs="Calibri"/>
                <w:snapToGrid/>
                <w:color w:val="000000"/>
                <w:sz w:val="18"/>
                <w:szCs w:val="18"/>
              </w:rPr>
            </w:pPr>
            <w:r w:rsidRPr="00BD1F3F">
              <w:rPr>
                <w:rFonts w:ascii="Source Sans Pro" w:hAnsi="Source Sans Pro" w:cs="Calibri"/>
                <w:snapToGrid/>
                <w:color w:val="000000"/>
                <w:sz w:val="18"/>
                <w:szCs w:val="18"/>
              </w:rPr>
              <w:t>Source: Bureau of Labor Statistics</w:t>
            </w:r>
          </w:p>
        </w:tc>
      </w:tr>
      <w:tr w14:paraId="7C5D00C6" w14:textId="77777777" w:rsidTr="00370C6A">
        <w:tblPrEx>
          <w:tblW w:w="10200" w:type="dxa"/>
          <w:jc w:val="center"/>
          <w:tblCellMar>
            <w:top w:w="15" w:type="dxa"/>
          </w:tblCellMar>
          <w:tblLook w:val="04A0"/>
        </w:tblPrEx>
        <w:trPr>
          <w:trHeight w:val="408"/>
          <w:jc w:val="center"/>
        </w:trPr>
        <w:tc>
          <w:tcPr>
            <w:tcW w:w="10200" w:type="dxa"/>
            <w:gridSpan w:val="9"/>
            <w:vMerge w:val="restart"/>
            <w:tcBorders>
              <w:top w:val="single" w:sz="4" w:space="0" w:color="auto"/>
              <w:left w:val="single" w:sz="8" w:space="0" w:color="auto"/>
              <w:bottom w:val="single" w:sz="8" w:space="0" w:color="auto"/>
              <w:right w:val="single" w:sz="8" w:space="0" w:color="auto"/>
            </w:tcBorders>
            <w:vAlign w:val="center"/>
            <w:hideMark/>
          </w:tcPr>
          <w:p w:rsidR="00BD1F3F" w:rsidRPr="00BD1F3F" w:rsidP="00BD1F3F" w14:paraId="7AEAF28A" w14:textId="77777777">
            <w:pPr>
              <w:keepNext/>
              <w:keepLines/>
              <w:widowControl/>
              <w:rPr>
                <w:rFonts w:ascii="Source Sans Pro" w:hAnsi="Source Sans Pro" w:cs="Calibri"/>
                <w:snapToGrid/>
                <w:color w:val="000000"/>
                <w:sz w:val="18"/>
                <w:szCs w:val="18"/>
              </w:rPr>
            </w:pPr>
            <w:r w:rsidRPr="00BD1F3F">
              <w:rPr>
                <w:rFonts w:ascii="Source Sans Pro" w:hAnsi="Source Sans Pro" w:cs="Calibri"/>
                <w:snapToGrid/>
                <w:color w:val="000000"/>
                <w:sz w:val="18"/>
                <w:szCs w:val="18"/>
              </w:rPr>
              <w:t>Note: The estimated hourly compensation rate for a given IC is the average of the hourly compensation rates for the occupations used to comply with that IC, weighted by the estimated share of hours spent by each occupation. The weighted average hourly compensation rate for the entire ICR is the average of the estimated hourly compensation rates for all ICs, weighted by the share of hourly burden for IC. These hourly weights, as shown in the “Hourly Weight” column of this table, are the quotients of the estimated number of annual burden hours for each IC and the total estimated number of annual burden hours across all ICs.</w:t>
            </w:r>
          </w:p>
        </w:tc>
      </w:tr>
      <w:tr w14:paraId="2740931D" w14:textId="77777777" w:rsidTr="00BD1F3F">
        <w:tblPrEx>
          <w:tblW w:w="10200" w:type="dxa"/>
          <w:jc w:val="center"/>
          <w:tblCellMar>
            <w:top w:w="15" w:type="dxa"/>
          </w:tblCellMar>
          <w:tblLook w:val="04A0"/>
        </w:tblPrEx>
        <w:trPr>
          <w:trHeight w:val="288"/>
          <w:jc w:val="center"/>
        </w:trPr>
        <w:tc>
          <w:tcPr>
            <w:tcW w:w="10200" w:type="dxa"/>
            <w:gridSpan w:val="9"/>
            <w:vMerge/>
            <w:tcBorders>
              <w:top w:val="nil"/>
              <w:left w:val="single" w:sz="8" w:space="0" w:color="auto"/>
              <w:bottom w:val="single" w:sz="8" w:space="0" w:color="auto"/>
              <w:right w:val="single" w:sz="8" w:space="0" w:color="auto"/>
            </w:tcBorders>
            <w:vAlign w:val="center"/>
            <w:hideMark/>
          </w:tcPr>
          <w:p w:rsidR="00BD1F3F" w:rsidRPr="00BD1F3F" w:rsidP="00BD1F3F" w14:paraId="16F3B1C1" w14:textId="77777777">
            <w:pPr>
              <w:keepNext/>
              <w:keepLines/>
              <w:widowControl/>
              <w:rPr>
                <w:rFonts w:ascii="Source Sans Pro" w:hAnsi="Source Sans Pro" w:cs="Calibri"/>
                <w:snapToGrid/>
                <w:color w:val="000000"/>
                <w:sz w:val="18"/>
                <w:szCs w:val="18"/>
              </w:rPr>
            </w:pPr>
          </w:p>
        </w:tc>
      </w:tr>
      <w:tr w14:paraId="73AE9133" w14:textId="77777777" w:rsidTr="00BD1F3F">
        <w:tblPrEx>
          <w:tblW w:w="10200" w:type="dxa"/>
          <w:jc w:val="center"/>
          <w:tblCellMar>
            <w:top w:w="15" w:type="dxa"/>
          </w:tblCellMar>
          <w:tblLook w:val="04A0"/>
        </w:tblPrEx>
        <w:trPr>
          <w:trHeight w:val="288"/>
          <w:jc w:val="center"/>
        </w:trPr>
        <w:tc>
          <w:tcPr>
            <w:tcW w:w="10200" w:type="dxa"/>
            <w:gridSpan w:val="9"/>
            <w:vMerge/>
            <w:tcBorders>
              <w:top w:val="nil"/>
              <w:left w:val="single" w:sz="8" w:space="0" w:color="auto"/>
              <w:bottom w:val="single" w:sz="8" w:space="0" w:color="auto"/>
              <w:right w:val="single" w:sz="8" w:space="0" w:color="auto"/>
            </w:tcBorders>
            <w:vAlign w:val="center"/>
            <w:hideMark/>
          </w:tcPr>
          <w:p w:rsidR="00BD1F3F" w:rsidRPr="00BD1F3F" w:rsidP="00BD1F3F" w14:paraId="73587B40" w14:textId="77777777">
            <w:pPr>
              <w:keepNext/>
              <w:keepLines/>
              <w:widowControl/>
              <w:rPr>
                <w:rFonts w:ascii="Source Sans Pro" w:hAnsi="Source Sans Pro" w:cs="Calibri"/>
                <w:snapToGrid/>
                <w:color w:val="000000"/>
                <w:sz w:val="18"/>
                <w:szCs w:val="18"/>
              </w:rPr>
            </w:pPr>
          </w:p>
        </w:tc>
      </w:tr>
      <w:tr w14:paraId="25B5223C" w14:textId="77777777" w:rsidTr="00BD1F3F">
        <w:tblPrEx>
          <w:tblW w:w="10200" w:type="dxa"/>
          <w:jc w:val="center"/>
          <w:tblCellMar>
            <w:top w:w="15" w:type="dxa"/>
          </w:tblCellMar>
          <w:tblLook w:val="04A0"/>
        </w:tblPrEx>
        <w:trPr>
          <w:trHeight w:val="300"/>
          <w:jc w:val="center"/>
        </w:trPr>
        <w:tc>
          <w:tcPr>
            <w:tcW w:w="10200" w:type="dxa"/>
            <w:gridSpan w:val="9"/>
            <w:vMerge/>
            <w:tcBorders>
              <w:top w:val="nil"/>
              <w:left w:val="single" w:sz="8" w:space="0" w:color="auto"/>
              <w:bottom w:val="single" w:sz="8" w:space="0" w:color="auto"/>
              <w:right w:val="single" w:sz="8" w:space="0" w:color="auto"/>
            </w:tcBorders>
            <w:vAlign w:val="center"/>
            <w:hideMark/>
          </w:tcPr>
          <w:p w:rsidR="00BD1F3F" w:rsidRPr="00BD1F3F" w:rsidP="00BD1F3F" w14:paraId="0B0548F7" w14:textId="77777777">
            <w:pPr>
              <w:keepNext/>
              <w:keepLines/>
              <w:widowControl/>
              <w:rPr>
                <w:rFonts w:ascii="Source Sans Pro" w:hAnsi="Source Sans Pro" w:cs="Calibri"/>
                <w:snapToGrid/>
                <w:color w:val="000000"/>
                <w:sz w:val="18"/>
                <w:szCs w:val="18"/>
              </w:rPr>
            </w:pPr>
          </w:p>
        </w:tc>
      </w:tr>
    </w:tbl>
    <w:p w:rsidR="00163B00" w:rsidP="002C1152" w14:paraId="74CD1447" w14:textId="77777777">
      <w:pPr>
        <w:rPr>
          <w:rFonts w:ascii="Times New Roman" w:hAnsi="Times New Roman"/>
          <w:b/>
          <w:snapToGrid/>
          <w:szCs w:val="24"/>
        </w:rPr>
      </w:pPr>
    </w:p>
    <w:tbl>
      <w:tblPr>
        <w:tblW w:w="10233" w:type="dxa"/>
        <w:jc w:val="center"/>
        <w:tblLook w:val="04A0"/>
      </w:tblPr>
      <w:tblGrid>
        <w:gridCol w:w="2300"/>
        <w:gridCol w:w="2912"/>
        <w:gridCol w:w="2891"/>
        <w:gridCol w:w="2130"/>
      </w:tblGrid>
      <w:tr w14:paraId="44000B12" w14:textId="77777777" w:rsidTr="00370C6A">
        <w:tblPrEx>
          <w:tblW w:w="10233" w:type="dxa"/>
          <w:jc w:val="center"/>
          <w:tblLook w:val="04A0"/>
        </w:tblPrEx>
        <w:trPr>
          <w:trHeight w:val="358"/>
          <w:jc w:val="center"/>
        </w:trPr>
        <w:tc>
          <w:tcPr>
            <w:tcW w:w="10233" w:type="dxa"/>
            <w:gridSpan w:val="4"/>
            <w:tcBorders>
              <w:top w:val="single" w:sz="8" w:space="0" w:color="auto"/>
              <w:left w:val="single" w:sz="8" w:space="0" w:color="auto"/>
              <w:bottom w:val="single" w:sz="8" w:space="0" w:color="auto"/>
              <w:right w:val="single" w:sz="8" w:space="0" w:color="000000"/>
            </w:tcBorders>
            <w:noWrap/>
            <w:vAlign w:val="center"/>
            <w:hideMark/>
          </w:tcPr>
          <w:p w:rsidR="00370C6A" w:rsidRPr="00370C6A" w:rsidP="00370C6A" w14:paraId="5973A14E" w14:textId="2D23FA94">
            <w:pPr>
              <w:widowControl/>
              <w:jc w:val="center"/>
              <w:rPr>
                <w:rFonts w:ascii="Times New Roman" w:hAnsi="Times New Roman"/>
                <w:snapToGrid/>
                <w:color w:val="000000"/>
                <w:szCs w:val="24"/>
              </w:rPr>
            </w:pPr>
            <w:r w:rsidRPr="00370C6A">
              <w:rPr>
                <w:rFonts w:ascii="Times New Roman" w:hAnsi="Times New Roman"/>
                <w:snapToGrid/>
                <w:color w:val="000000"/>
                <w:szCs w:val="24"/>
              </w:rPr>
              <w:t>Total Estimated Cost Burden (OMB No. 3064-0175)</w:t>
            </w:r>
          </w:p>
        </w:tc>
      </w:tr>
      <w:tr w14:paraId="59033CCC" w14:textId="77777777" w:rsidTr="00370C6A">
        <w:tblPrEx>
          <w:tblW w:w="10233" w:type="dxa"/>
          <w:jc w:val="center"/>
          <w:tblLook w:val="04A0"/>
        </w:tblPrEx>
        <w:trPr>
          <w:trHeight w:val="598"/>
          <w:jc w:val="center"/>
        </w:trPr>
        <w:tc>
          <w:tcPr>
            <w:tcW w:w="2300" w:type="dxa"/>
            <w:tcBorders>
              <w:top w:val="nil"/>
              <w:left w:val="single" w:sz="8" w:space="0" w:color="auto"/>
              <w:bottom w:val="single" w:sz="8" w:space="0" w:color="auto"/>
              <w:right w:val="single" w:sz="8" w:space="0" w:color="auto"/>
            </w:tcBorders>
            <w:vAlign w:val="center"/>
            <w:hideMark/>
          </w:tcPr>
          <w:p w:rsidR="00370C6A" w:rsidRPr="00370C6A" w:rsidP="00370C6A" w14:paraId="50B5944B" w14:textId="77777777">
            <w:pPr>
              <w:widowControl/>
              <w:rPr>
                <w:rFonts w:ascii="Times New Roman" w:hAnsi="Times New Roman"/>
                <w:snapToGrid/>
                <w:color w:val="000000"/>
                <w:sz w:val="20"/>
              </w:rPr>
            </w:pPr>
            <w:r w:rsidRPr="00370C6A">
              <w:rPr>
                <w:rFonts w:ascii="Times New Roman" w:hAnsi="Times New Roman"/>
                <w:snapToGrid/>
                <w:color w:val="000000"/>
                <w:sz w:val="20"/>
              </w:rPr>
              <w:t>Information Collection Request</w:t>
            </w:r>
          </w:p>
        </w:tc>
        <w:tc>
          <w:tcPr>
            <w:tcW w:w="2912" w:type="dxa"/>
            <w:tcBorders>
              <w:top w:val="nil"/>
              <w:left w:val="nil"/>
              <w:bottom w:val="single" w:sz="8" w:space="0" w:color="auto"/>
              <w:right w:val="single" w:sz="8" w:space="0" w:color="auto"/>
            </w:tcBorders>
            <w:vAlign w:val="center"/>
            <w:hideMark/>
          </w:tcPr>
          <w:p w:rsidR="00370C6A" w:rsidRPr="00370C6A" w:rsidP="00370C6A" w14:paraId="6106EA85" w14:textId="77777777">
            <w:pPr>
              <w:widowControl/>
              <w:jc w:val="center"/>
              <w:rPr>
                <w:rFonts w:ascii="Times New Roman" w:hAnsi="Times New Roman"/>
                <w:snapToGrid/>
                <w:color w:val="000000"/>
                <w:sz w:val="20"/>
              </w:rPr>
            </w:pPr>
            <w:r w:rsidRPr="00370C6A">
              <w:rPr>
                <w:rFonts w:ascii="Times New Roman" w:hAnsi="Times New Roman"/>
                <w:snapToGrid/>
                <w:color w:val="000000"/>
                <w:sz w:val="20"/>
              </w:rPr>
              <w:t>Annual Burden (Hours)</w:t>
            </w:r>
          </w:p>
        </w:tc>
        <w:tc>
          <w:tcPr>
            <w:tcW w:w="2889" w:type="dxa"/>
            <w:tcBorders>
              <w:top w:val="nil"/>
              <w:left w:val="nil"/>
              <w:bottom w:val="single" w:sz="8" w:space="0" w:color="auto"/>
              <w:right w:val="single" w:sz="8" w:space="0" w:color="auto"/>
            </w:tcBorders>
            <w:vAlign w:val="center"/>
            <w:hideMark/>
          </w:tcPr>
          <w:p w:rsidR="00370C6A" w:rsidRPr="00370C6A" w:rsidP="00370C6A" w14:paraId="615FD205" w14:textId="77777777">
            <w:pPr>
              <w:widowControl/>
              <w:jc w:val="center"/>
              <w:rPr>
                <w:rFonts w:ascii="Times New Roman" w:hAnsi="Times New Roman"/>
                <w:snapToGrid/>
                <w:color w:val="000000"/>
                <w:sz w:val="20"/>
              </w:rPr>
            </w:pPr>
            <w:r w:rsidRPr="00370C6A">
              <w:rPr>
                <w:rFonts w:ascii="Times New Roman" w:hAnsi="Times New Roman"/>
                <w:snapToGrid/>
                <w:color w:val="000000"/>
                <w:sz w:val="20"/>
              </w:rPr>
              <w:t>Weighted Average Hourly Compensation Rate</w:t>
            </w:r>
          </w:p>
        </w:tc>
        <w:tc>
          <w:tcPr>
            <w:tcW w:w="2130" w:type="dxa"/>
            <w:tcBorders>
              <w:top w:val="nil"/>
              <w:left w:val="nil"/>
              <w:bottom w:val="single" w:sz="8" w:space="0" w:color="auto"/>
              <w:right w:val="single" w:sz="8" w:space="0" w:color="auto"/>
            </w:tcBorders>
            <w:vAlign w:val="center"/>
            <w:hideMark/>
          </w:tcPr>
          <w:p w:rsidR="00370C6A" w:rsidRPr="00370C6A" w:rsidP="00370C6A" w14:paraId="340904A0" w14:textId="77777777">
            <w:pPr>
              <w:widowControl/>
              <w:jc w:val="center"/>
              <w:rPr>
                <w:rFonts w:ascii="Times New Roman" w:hAnsi="Times New Roman"/>
                <w:snapToGrid/>
                <w:color w:val="000000"/>
                <w:sz w:val="20"/>
              </w:rPr>
            </w:pPr>
            <w:r w:rsidRPr="00370C6A">
              <w:rPr>
                <w:rFonts w:ascii="Times New Roman" w:hAnsi="Times New Roman"/>
                <w:snapToGrid/>
                <w:color w:val="000000"/>
                <w:sz w:val="20"/>
              </w:rPr>
              <w:t>Annual Respondent Cost</w:t>
            </w:r>
          </w:p>
        </w:tc>
      </w:tr>
      <w:tr w14:paraId="2B9EE77C" w14:textId="77777777" w:rsidTr="00370C6A">
        <w:tblPrEx>
          <w:tblW w:w="10233" w:type="dxa"/>
          <w:jc w:val="center"/>
          <w:tblLook w:val="04A0"/>
        </w:tblPrEx>
        <w:trPr>
          <w:trHeight w:val="862"/>
          <w:jc w:val="center"/>
        </w:trPr>
        <w:tc>
          <w:tcPr>
            <w:tcW w:w="2300" w:type="dxa"/>
            <w:tcBorders>
              <w:top w:val="nil"/>
              <w:left w:val="single" w:sz="8" w:space="0" w:color="auto"/>
              <w:bottom w:val="single" w:sz="8" w:space="0" w:color="auto"/>
              <w:right w:val="single" w:sz="8" w:space="0" w:color="auto"/>
            </w:tcBorders>
            <w:vAlign w:val="center"/>
            <w:hideMark/>
          </w:tcPr>
          <w:p w:rsidR="00370C6A" w:rsidRPr="00370C6A" w:rsidP="00370C6A" w14:paraId="6C4053AB" w14:textId="77777777">
            <w:pPr>
              <w:widowControl/>
              <w:rPr>
                <w:rFonts w:ascii="Times New Roman" w:hAnsi="Times New Roman"/>
                <w:snapToGrid/>
                <w:color w:val="000000"/>
                <w:sz w:val="20"/>
              </w:rPr>
            </w:pPr>
            <w:r w:rsidRPr="00370C6A">
              <w:rPr>
                <w:rFonts w:ascii="Times New Roman" w:hAnsi="Times New Roman"/>
                <w:snapToGrid/>
                <w:color w:val="000000"/>
                <w:sz w:val="20"/>
              </w:rPr>
              <w:t xml:space="preserve">Interagency Guidance on Sound Incentive Compensation Practices </w:t>
            </w:r>
          </w:p>
        </w:tc>
        <w:tc>
          <w:tcPr>
            <w:tcW w:w="2912" w:type="dxa"/>
            <w:tcBorders>
              <w:top w:val="nil"/>
              <w:left w:val="nil"/>
              <w:bottom w:val="single" w:sz="8" w:space="0" w:color="auto"/>
              <w:right w:val="single" w:sz="8" w:space="0" w:color="auto"/>
            </w:tcBorders>
            <w:noWrap/>
            <w:vAlign w:val="center"/>
            <w:hideMark/>
          </w:tcPr>
          <w:p w:rsidR="00370C6A" w:rsidRPr="00370C6A" w:rsidP="00370C6A" w14:paraId="7AD6C718" w14:textId="77777777">
            <w:pPr>
              <w:widowControl/>
              <w:ind w:firstLine="400" w:firstLineChars="200"/>
              <w:jc w:val="right"/>
              <w:rPr>
                <w:rFonts w:ascii="Times New Roman" w:hAnsi="Times New Roman"/>
                <w:snapToGrid/>
                <w:color w:val="000000"/>
                <w:sz w:val="20"/>
              </w:rPr>
            </w:pPr>
            <w:r w:rsidRPr="00370C6A">
              <w:rPr>
                <w:rFonts w:ascii="Times New Roman" w:hAnsi="Times New Roman"/>
                <w:snapToGrid/>
                <w:color w:val="000000"/>
                <w:sz w:val="20"/>
              </w:rPr>
              <w:t xml:space="preserve">                                              3,592 </w:t>
            </w:r>
          </w:p>
        </w:tc>
        <w:tc>
          <w:tcPr>
            <w:tcW w:w="2889" w:type="dxa"/>
            <w:tcBorders>
              <w:top w:val="nil"/>
              <w:left w:val="nil"/>
              <w:bottom w:val="single" w:sz="8" w:space="0" w:color="auto"/>
              <w:right w:val="single" w:sz="8" w:space="0" w:color="auto"/>
            </w:tcBorders>
            <w:noWrap/>
            <w:vAlign w:val="center"/>
            <w:hideMark/>
          </w:tcPr>
          <w:p w:rsidR="00370C6A" w:rsidRPr="00370C6A" w:rsidP="00370C6A" w14:paraId="1CA0ED37" w14:textId="77777777">
            <w:pPr>
              <w:widowControl/>
              <w:ind w:firstLine="200" w:firstLineChars="100"/>
              <w:jc w:val="right"/>
              <w:rPr>
                <w:rFonts w:ascii="Times New Roman" w:hAnsi="Times New Roman"/>
                <w:snapToGrid/>
                <w:color w:val="000000"/>
                <w:sz w:val="20"/>
              </w:rPr>
            </w:pPr>
            <w:r w:rsidRPr="00370C6A">
              <w:rPr>
                <w:rFonts w:ascii="Times New Roman" w:hAnsi="Times New Roman"/>
                <w:snapToGrid/>
                <w:color w:val="000000"/>
                <w:sz w:val="20"/>
              </w:rPr>
              <w:t>$42.73</w:t>
            </w:r>
          </w:p>
        </w:tc>
        <w:tc>
          <w:tcPr>
            <w:tcW w:w="2130" w:type="dxa"/>
            <w:tcBorders>
              <w:top w:val="nil"/>
              <w:left w:val="nil"/>
              <w:bottom w:val="single" w:sz="8" w:space="0" w:color="auto"/>
              <w:right w:val="single" w:sz="8" w:space="0" w:color="auto"/>
            </w:tcBorders>
            <w:noWrap/>
            <w:vAlign w:val="center"/>
            <w:hideMark/>
          </w:tcPr>
          <w:p w:rsidR="00370C6A" w:rsidRPr="00370C6A" w:rsidP="00370C6A" w14:paraId="64B91671" w14:textId="77777777">
            <w:pPr>
              <w:widowControl/>
              <w:ind w:firstLine="200" w:firstLineChars="100"/>
              <w:jc w:val="right"/>
              <w:rPr>
                <w:rFonts w:ascii="Times New Roman" w:hAnsi="Times New Roman"/>
                <w:snapToGrid/>
                <w:color w:val="000000"/>
                <w:sz w:val="20"/>
              </w:rPr>
            </w:pPr>
            <w:r w:rsidRPr="00370C6A">
              <w:rPr>
                <w:rFonts w:ascii="Times New Roman" w:hAnsi="Times New Roman"/>
                <w:snapToGrid/>
                <w:color w:val="000000"/>
                <w:sz w:val="20"/>
              </w:rPr>
              <w:t>$153,486</w:t>
            </w:r>
          </w:p>
        </w:tc>
      </w:tr>
      <w:tr w14:paraId="74418641" w14:textId="77777777" w:rsidTr="00370C6A">
        <w:tblPrEx>
          <w:tblW w:w="10233" w:type="dxa"/>
          <w:jc w:val="center"/>
          <w:tblLook w:val="04A0"/>
        </w:tblPrEx>
        <w:trPr>
          <w:trHeight w:val="358"/>
          <w:jc w:val="center"/>
        </w:trPr>
        <w:tc>
          <w:tcPr>
            <w:tcW w:w="8103"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370C6A" w:rsidRPr="00370C6A" w:rsidP="00370C6A" w14:paraId="0A23523F" w14:textId="77777777">
            <w:pPr>
              <w:widowControl/>
              <w:jc w:val="right"/>
              <w:rPr>
                <w:rFonts w:ascii="Times New Roman" w:hAnsi="Times New Roman"/>
                <w:b/>
                <w:bCs/>
                <w:i/>
                <w:iCs/>
                <w:snapToGrid/>
                <w:color w:val="000000"/>
                <w:sz w:val="22"/>
                <w:szCs w:val="22"/>
              </w:rPr>
            </w:pPr>
            <w:r w:rsidRPr="00370C6A">
              <w:rPr>
                <w:rFonts w:ascii="Times New Roman" w:hAnsi="Times New Roman"/>
                <w:b/>
                <w:bCs/>
                <w:i/>
                <w:iCs/>
                <w:snapToGrid/>
                <w:color w:val="000000"/>
                <w:sz w:val="22"/>
                <w:szCs w:val="22"/>
              </w:rPr>
              <w:t>Total Annual Respondent Cost:</w:t>
            </w:r>
          </w:p>
        </w:tc>
        <w:tc>
          <w:tcPr>
            <w:tcW w:w="2130" w:type="dxa"/>
            <w:tcBorders>
              <w:top w:val="nil"/>
              <w:left w:val="nil"/>
              <w:bottom w:val="single" w:sz="8" w:space="0" w:color="auto"/>
              <w:right w:val="single" w:sz="8" w:space="0" w:color="auto"/>
            </w:tcBorders>
            <w:shd w:val="clear" w:color="000000" w:fill="FFFFFF"/>
            <w:vAlign w:val="center"/>
            <w:hideMark/>
          </w:tcPr>
          <w:p w:rsidR="00370C6A" w:rsidRPr="00370C6A" w:rsidP="00370C6A" w14:paraId="0816F855" w14:textId="77777777">
            <w:pPr>
              <w:widowControl/>
              <w:ind w:firstLine="220" w:firstLineChars="100"/>
              <w:jc w:val="right"/>
              <w:rPr>
                <w:rFonts w:ascii="Times New Roman" w:hAnsi="Times New Roman"/>
                <w:b/>
                <w:bCs/>
                <w:i/>
                <w:iCs/>
                <w:snapToGrid/>
                <w:color w:val="000000"/>
                <w:sz w:val="22"/>
                <w:szCs w:val="22"/>
              </w:rPr>
            </w:pPr>
            <w:r w:rsidRPr="00370C6A">
              <w:rPr>
                <w:rFonts w:ascii="Times New Roman" w:hAnsi="Times New Roman"/>
                <w:b/>
                <w:bCs/>
                <w:i/>
                <w:iCs/>
                <w:snapToGrid/>
                <w:color w:val="000000"/>
                <w:sz w:val="22"/>
                <w:szCs w:val="22"/>
              </w:rPr>
              <w:t xml:space="preserve">$153,486 </w:t>
            </w:r>
          </w:p>
        </w:tc>
      </w:tr>
      <w:tr w14:paraId="72253688" w14:textId="77777777" w:rsidTr="00370C6A">
        <w:tblPrEx>
          <w:tblW w:w="10233" w:type="dxa"/>
          <w:jc w:val="center"/>
          <w:tblLook w:val="04A0"/>
        </w:tblPrEx>
        <w:trPr>
          <w:trHeight w:val="239"/>
          <w:jc w:val="center"/>
        </w:trPr>
        <w:tc>
          <w:tcPr>
            <w:tcW w:w="10233" w:type="dxa"/>
            <w:gridSpan w:val="4"/>
            <w:tcBorders>
              <w:top w:val="single" w:sz="8" w:space="0" w:color="auto"/>
              <w:left w:val="single" w:sz="8" w:space="0" w:color="auto"/>
              <w:bottom w:val="single" w:sz="8" w:space="0" w:color="auto"/>
              <w:right w:val="single" w:sz="8" w:space="0" w:color="000000"/>
            </w:tcBorders>
            <w:noWrap/>
            <w:hideMark/>
          </w:tcPr>
          <w:p w:rsidR="00370C6A" w:rsidRPr="00370C6A" w:rsidP="00370C6A" w14:paraId="10C8605B" w14:textId="77777777">
            <w:pPr>
              <w:widowControl/>
              <w:rPr>
                <w:rFonts w:ascii="Times New Roman" w:hAnsi="Times New Roman"/>
                <w:snapToGrid/>
                <w:color w:val="000000"/>
                <w:sz w:val="18"/>
                <w:szCs w:val="18"/>
              </w:rPr>
            </w:pPr>
            <w:r w:rsidRPr="00370C6A">
              <w:rPr>
                <w:rFonts w:ascii="Times New Roman" w:hAnsi="Times New Roman"/>
                <w:snapToGrid/>
                <w:color w:val="000000"/>
                <w:sz w:val="18"/>
                <w:szCs w:val="18"/>
              </w:rPr>
              <w:t>Source: FDIC.</w:t>
            </w:r>
          </w:p>
        </w:tc>
      </w:tr>
    </w:tbl>
    <w:p w:rsidR="00AE2E90" w:rsidP="002C1152" w14:paraId="1F26502D" w14:textId="77777777">
      <w:pPr>
        <w:rPr>
          <w:rFonts w:ascii="Times New Roman" w:hAnsi="Times New Roman"/>
          <w:b/>
          <w:snapToGrid/>
          <w:szCs w:val="24"/>
        </w:rPr>
      </w:pPr>
    </w:p>
    <w:p w:rsidR="00AE2E90" w:rsidRPr="002C1152" w:rsidP="002C1152" w14:paraId="4529AAAA" w14:textId="77777777">
      <w:pPr>
        <w:rPr>
          <w:rFonts w:ascii="Times New Roman" w:hAnsi="Times New Roman"/>
          <w:b/>
          <w:snapToGrid/>
          <w:szCs w:val="24"/>
        </w:rPr>
      </w:pPr>
    </w:p>
    <w:p w:rsidR="007B6C63" w:rsidRPr="000B0581" w:rsidP="000B0581" w14:paraId="5795E58B" w14:textId="77777777">
      <w:pPr>
        <w:keepNext/>
        <w:tabs>
          <w:tab w:val="left" w:pos="-1440"/>
        </w:tabs>
        <w:ind w:left="720" w:hanging="360"/>
        <w:rPr>
          <w:rFonts w:ascii="Times New Roman" w:hAnsi="Times New Roman"/>
          <w:b/>
          <w:u w:val="single"/>
        </w:rPr>
      </w:pPr>
      <w:r>
        <w:rPr>
          <w:rFonts w:ascii="Times New Roman" w:hAnsi="Times New Roman"/>
        </w:rPr>
        <w:t>13.</w:t>
      </w:r>
      <w:r>
        <w:rPr>
          <w:rFonts w:ascii="Times New Roman" w:hAnsi="Times New Roman"/>
        </w:rPr>
        <w:tab/>
      </w:r>
      <w:r w:rsidRPr="000B0581" w:rsidR="00523B22">
        <w:rPr>
          <w:rFonts w:ascii="Times New Roman" w:hAnsi="Times New Roman"/>
          <w:b/>
          <w:bCs/>
          <w:iCs/>
          <w:u w:val="single"/>
        </w:rPr>
        <w:t>Estimate</w:t>
      </w:r>
      <w:r w:rsidRPr="000B0581" w:rsidR="00523B22">
        <w:rPr>
          <w:rFonts w:ascii="Times New Roman" w:hAnsi="Times New Roman"/>
          <w:b/>
          <w:bCs/>
          <w:szCs w:val="24"/>
          <w:u w:val="single"/>
        </w:rPr>
        <w:t xml:space="preserve"> of </w:t>
      </w:r>
      <w:r w:rsidRPr="000B0581" w:rsidR="00523B22">
        <w:rPr>
          <w:rFonts w:ascii="Times New Roman" w:hAnsi="Times New Roman"/>
          <w:b/>
          <w:u w:val="single"/>
        </w:rPr>
        <w:t>start</w:t>
      </w:r>
      <w:r w:rsidRPr="000B0581" w:rsidR="00523B22">
        <w:rPr>
          <w:rFonts w:ascii="Times New Roman" w:hAnsi="Times New Roman"/>
          <w:b/>
          <w:bCs/>
          <w:szCs w:val="24"/>
          <w:u w:val="single"/>
        </w:rPr>
        <w:t>-up costs to respondents:</w:t>
      </w:r>
    </w:p>
    <w:p w:rsidR="007B6C63" w:rsidRPr="000B0581" w14:paraId="2C93EA34" w14:textId="77777777">
      <w:pPr>
        <w:rPr>
          <w:rFonts w:ascii="Times New Roman" w:hAnsi="Times New Roman"/>
          <w:b/>
          <w:u w:val="single"/>
        </w:rPr>
      </w:pPr>
    </w:p>
    <w:p w:rsidR="007B6C63" w:rsidP="000B0581" w14:paraId="418C8529" w14:textId="77777777">
      <w:pPr>
        <w:ind w:left="720"/>
        <w:rPr>
          <w:rFonts w:ascii="Times New Roman" w:hAnsi="Times New Roman"/>
        </w:rPr>
      </w:pPr>
      <w:r>
        <w:rPr>
          <w:rFonts w:ascii="Times New Roman" w:hAnsi="Times New Roman"/>
        </w:rPr>
        <w:t>No</w:t>
      </w:r>
      <w:r w:rsidR="000B0581">
        <w:rPr>
          <w:rFonts w:ascii="Times New Roman" w:hAnsi="Times New Roman"/>
        </w:rPr>
        <w:t>ne</w:t>
      </w:r>
      <w:r>
        <w:rPr>
          <w:rFonts w:ascii="Times New Roman" w:hAnsi="Times New Roman"/>
        </w:rPr>
        <w:t>.</w:t>
      </w:r>
    </w:p>
    <w:p w:rsidR="007B6C63" w14:paraId="46DD5F8B" w14:textId="77777777">
      <w:pPr>
        <w:rPr>
          <w:rFonts w:ascii="Times New Roman" w:hAnsi="Times New Roman"/>
        </w:rPr>
      </w:pPr>
    </w:p>
    <w:p w:rsidR="007B6C63" w:rsidP="00A1019D" w14:paraId="35A735AF" w14:textId="77777777">
      <w:pPr>
        <w:tabs>
          <w:tab w:val="left" w:pos="-1440"/>
        </w:tabs>
        <w:ind w:left="720" w:hanging="360"/>
        <w:rPr>
          <w:rFonts w:ascii="Times New Roman" w:hAnsi="Times New Roman"/>
        </w:rPr>
      </w:pPr>
      <w:r>
        <w:rPr>
          <w:rFonts w:ascii="Times New Roman" w:hAnsi="Times New Roman"/>
        </w:rPr>
        <w:t>14.</w:t>
      </w:r>
      <w:r>
        <w:rPr>
          <w:rFonts w:ascii="Times New Roman" w:hAnsi="Times New Roman"/>
        </w:rPr>
        <w:tab/>
      </w:r>
      <w:r w:rsidRPr="00A1019D" w:rsidR="00523B22">
        <w:rPr>
          <w:rFonts w:ascii="Times New Roman" w:hAnsi="Times New Roman"/>
          <w:b/>
          <w:bCs/>
          <w:iCs/>
          <w:u w:val="single"/>
        </w:rPr>
        <w:t>Estimate</w:t>
      </w:r>
      <w:r w:rsidRPr="00D64624" w:rsidR="00523B22">
        <w:rPr>
          <w:rFonts w:ascii="Times New Roman" w:hAnsi="Times New Roman"/>
          <w:b/>
          <w:bCs/>
          <w:iCs/>
          <w:szCs w:val="24"/>
          <w:u w:val="single"/>
        </w:rPr>
        <w:t xml:space="preserve"> of annualized costs to the government:</w:t>
      </w:r>
    </w:p>
    <w:p w:rsidR="007B6C63" w14:paraId="6AC33A69" w14:textId="77777777">
      <w:pPr>
        <w:ind w:firstLine="720"/>
        <w:rPr>
          <w:rFonts w:ascii="Times New Roman" w:hAnsi="Times New Roman"/>
        </w:rPr>
      </w:pPr>
    </w:p>
    <w:p w:rsidR="007B6C63" w:rsidP="000B0581" w14:paraId="5EA4C50E"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14:paraId="72288E0A" w14:textId="77777777">
      <w:pPr>
        <w:rPr>
          <w:rFonts w:ascii="Times New Roman" w:hAnsi="Times New Roman"/>
        </w:rPr>
      </w:pPr>
    </w:p>
    <w:p w:rsidR="007B6C63" w:rsidP="00B61AD2" w14:paraId="18DDFB50" w14:textId="77777777">
      <w:pPr>
        <w:keepNext/>
        <w:tabs>
          <w:tab w:val="left" w:pos="-1440"/>
        </w:tabs>
        <w:ind w:left="720" w:hanging="360"/>
        <w:rPr>
          <w:rFonts w:ascii="Times New Roman" w:hAnsi="Times New Roman"/>
        </w:rPr>
      </w:pPr>
      <w:r>
        <w:rPr>
          <w:rFonts w:ascii="Times New Roman" w:hAnsi="Times New Roman"/>
        </w:rPr>
        <w:t>15.</w:t>
      </w:r>
      <w:r>
        <w:rPr>
          <w:rFonts w:ascii="Times New Roman" w:hAnsi="Times New Roman"/>
        </w:rPr>
        <w:tab/>
      </w:r>
      <w:r w:rsidRPr="000B0581" w:rsidR="00523B22">
        <w:rPr>
          <w:rFonts w:ascii="Times New Roman" w:hAnsi="Times New Roman"/>
          <w:b/>
          <w:bCs/>
          <w:iCs/>
          <w:u w:val="single"/>
        </w:rPr>
        <w:t>Analysis</w:t>
      </w:r>
      <w:r w:rsidRPr="000B0581" w:rsidR="00523B22">
        <w:rPr>
          <w:rFonts w:ascii="Times New Roman" w:hAnsi="Times New Roman"/>
          <w:b/>
          <w:bCs/>
          <w:iCs/>
          <w:szCs w:val="24"/>
          <w:u w:val="single"/>
        </w:rPr>
        <w:t xml:space="preserve"> </w:t>
      </w:r>
      <w:r w:rsidRPr="000B0581" w:rsidR="00523B22">
        <w:rPr>
          <w:rFonts w:ascii="Times New Roman" w:hAnsi="Times New Roman"/>
          <w:b/>
          <w:u w:val="single"/>
        </w:rPr>
        <w:t>of</w:t>
      </w:r>
      <w:r w:rsidRPr="000B0581" w:rsidR="00523B22">
        <w:rPr>
          <w:rFonts w:ascii="Times New Roman" w:hAnsi="Times New Roman"/>
          <w:b/>
          <w:bCs/>
          <w:iCs/>
          <w:szCs w:val="24"/>
          <w:u w:val="single"/>
        </w:rPr>
        <w:t xml:space="preserve"> change in burden:</w:t>
      </w:r>
    </w:p>
    <w:p w:rsidR="007B6C63" w:rsidP="00B61AD2" w14:paraId="16FEF246" w14:textId="77777777">
      <w:pPr>
        <w:keepNext/>
        <w:rPr>
          <w:rFonts w:ascii="Times New Roman" w:hAnsi="Times New Roman"/>
        </w:rPr>
      </w:pPr>
    </w:p>
    <w:p w:rsidR="007B6C63" w:rsidP="00B61AD2" w14:paraId="4DA12279" w14:textId="3C996468">
      <w:pPr>
        <w:keepNext/>
        <w:ind w:left="720"/>
        <w:rPr>
          <w:rFonts w:ascii="Times New Roman" w:hAnsi="Times New Roman"/>
        </w:rPr>
      </w:pPr>
      <w:r>
        <w:rPr>
          <w:rFonts w:ascii="Times New Roman" w:hAnsi="Times New Roman"/>
        </w:rPr>
        <w:t xml:space="preserve">There is no change in the substance or methodology of this information collection. </w:t>
      </w:r>
      <w:r w:rsidR="00243D0C">
        <w:rPr>
          <w:rFonts w:ascii="Times New Roman" w:hAnsi="Times New Roman"/>
        </w:rPr>
        <w:t xml:space="preserve">The </w:t>
      </w:r>
      <w:r w:rsidR="00E832EE">
        <w:rPr>
          <w:rFonts w:ascii="Times New Roman" w:hAnsi="Times New Roman"/>
        </w:rPr>
        <w:t xml:space="preserve">total estimated annual burden </w:t>
      </w:r>
      <w:r w:rsidR="004945EF">
        <w:rPr>
          <w:rFonts w:ascii="Times New Roman" w:hAnsi="Times New Roman"/>
        </w:rPr>
        <w:t>decreased by</w:t>
      </w:r>
      <w:r w:rsidR="00DF23C0">
        <w:rPr>
          <w:rFonts w:ascii="Times New Roman" w:hAnsi="Times New Roman"/>
        </w:rPr>
        <w:t xml:space="preserve"> 418 hours, from 4,010 hours in 2023 </w:t>
      </w:r>
      <w:r w:rsidR="004D2A5C">
        <w:rPr>
          <w:rFonts w:ascii="Times New Roman" w:hAnsi="Times New Roman"/>
        </w:rPr>
        <w:t>to 3,592 hours. The decrease is due to a decline in the number of FDIC-supervised institutions</w:t>
      </w:r>
      <w:r w:rsidR="004945EF">
        <w:rPr>
          <w:rFonts w:ascii="Times New Roman" w:hAnsi="Times New Roman"/>
        </w:rPr>
        <w:t>.</w:t>
      </w:r>
    </w:p>
    <w:p w:rsidR="00D35001" w:rsidRPr="00A1019D" w:rsidP="00A1019D" w14:paraId="39B45AE4" w14:textId="77777777">
      <w:pPr>
        <w:tabs>
          <w:tab w:val="left" w:pos="-1440"/>
        </w:tabs>
        <w:ind w:left="720" w:hanging="360"/>
        <w:rPr>
          <w:rFonts w:ascii="Times New Roman" w:hAnsi="Times New Roman"/>
          <w:b/>
          <w:bCs/>
          <w:iCs/>
          <w:u w:val="single"/>
        </w:rPr>
      </w:pPr>
    </w:p>
    <w:p w:rsidR="00937218" w:rsidRPr="00D64624" w:rsidP="00A1019D" w14:paraId="570FBBFC" w14:textId="77777777">
      <w:pPr>
        <w:tabs>
          <w:tab w:val="left" w:pos="-1440"/>
        </w:tabs>
        <w:ind w:left="720" w:hanging="360"/>
        <w:rPr>
          <w:rFonts w:ascii="Times New Roman" w:hAnsi="Times New Roman"/>
          <w:b/>
          <w:szCs w:val="24"/>
          <w:u w:val="single"/>
        </w:rPr>
      </w:pPr>
      <w:r>
        <w:rPr>
          <w:rFonts w:ascii="Times New Roman" w:hAnsi="Times New Roman"/>
        </w:rPr>
        <w:t>16.</w:t>
      </w:r>
      <w:r>
        <w:rPr>
          <w:rFonts w:ascii="Times New Roman" w:hAnsi="Times New Roman"/>
        </w:rPr>
        <w:tab/>
      </w:r>
      <w:r w:rsidRPr="00A1019D">
        <w:rPr>
          <w:rFonts w:ascii="Times New Roman" w:hAnsi="Times New Roman"/>
          <w:b/>
          <w:bCs/>
          <w:iCs/>
          <w:u w:val="single"/>
        </w:rPr>
        <w:t>Information</w:t>
      </w:r>
      <w:r w:rsidRPr="00D64624">
        <w:rPr>
          <w:rFonts w:ascii="Times New Roman" w:hAnsi="Times New Roman"/>
          <w:b/>
          <w:szCs w:val="24"/>
          <w:u w:val="single"/>
        </w:rPr>
        <w:t xml:space="preserve"> regarding collections whose results are planned to be published for statistical use:</w:t>
      </w:r>
    </w:p>
    <w:p w:rsidR="007B6C63" w14:paraId="11ABA69D" w14:textId="77777777">
      <w:pPr>
        <w:rPr>
          <w:rFonts w:ascii="Times New Roman" w:hAnsi="Times New Roman"/>
        </w:rPr>
      </w:pPr>
    </w:p>
    <w:p w:rsidR="007B6C63" w:rsidP="000B0581" w14:paraId="01239660" w14:textId="77777777">
      <w:pPr>
        <w:ind w:left="720"/>
        <w:rPr>
          <w:rFonts w:ascii="Times New Roman" w:hAnsi="Times New Roman"/>
        </w:rPr>
      </w:pPr>
      <w:r>
        <w:rPr>
          <w:rFonts w:ascii="Times New Roman" w:hAnsi="Times New Roman"/>
        </w:rPr>
        <w:t>The information collected is for internal FDIC use only and is not published.</w:t>
      </w:r>
    </w:p>
    <w:p w:rsidR="007B6C63" w14:paraId="4D4CA356" w14:textId="77777777">
      <w:pPr>
        <w:rPr>
          <w:rFonts w:ascii="Times New Roman" w:hAnsi="Times New Roman"/>
        </w:rPr>
      </w:pPr>
    </w:p>
    <w:p w:rsidR="007B6C63" w:rsidP="00A1019D" w14:paraId="1022F882" w14:textId="77777777">
      <w:pPr>
        <w:tabs>
          <w:tab w:val="left" w:pos="-1440"/>
        </w:tabs>
        <w:ind w:left="720" w:hanging="360"/>
        <w:rPr>
          <w:rFonts w:ascii="Times New Roman" w:hAnsi="Times New Roman"/>
        </w:rPr>
      </w:pPr>
      <w:r>
        <w:rPr>
          <w:rFonts w:ascii="Times New Roman" w:hAnsi="Times New Roman"/>
        </w:rPr>
        <w:t>17.</w:t>
      </w:r>
      <w:r>
        <w:rPr>
          <w:rFonts w:ascii="Times New Roman" w:hAnsi="Times New Roman"/>
        </w:rPr>
        <w:tab/>
      </w:r>
      <w:r w:rsidRPr="00A1019D" w:rsidR="00937218">
        <w:rPr>
          <w:rFonts w:ascii="Times New Roman" w:hAnsi="Times New Roman"/>
          <w:b/>
          <w:bCs/>
          <w:iCs/>
          <w:u w:val="single"/>
        </w:rPr>
        <w:t>Display</w:t>
      </w:r>
      <w:r w:rsidRPr="00937218" w:rsidR="00937218">
        <w:rPr>
          <w:rFonts w:ascii="Times New Roman" w:hAnsi="Times New Roman"/>
          <w:b/>
          <w:u w:val="single"/>
        </w:rPr>
        <w:t xml:space="preserve"> of expiration d</w:t>
      </w:r>
      <w:r w:rsidRPr="00937218">
        <w:rPr>
          <w:rFonts w:ascii="Times New Roman" w:hAnsi="Times New Roman"/>
          <w:b/>
          <w:u w:val="single"/>
        </w:rPr>
        <w:t>ate</w:t>
      </w:r>
      <w:r w:rsidRPr="00937218" w:rsidR="00937218">
        <w:rPr>
          <w:rFonts w:ascii="Times New Roman" w:hAnsi="Times New Roman"/>
          <w:b/>
          <w:u w:val="single"/>
        </w:rPr>
        <w:t>:</w:t>
      </w:r>
    </w:p>
    <w:p w:rsidR="007B6C63" w14:paraId="28A43F23" w14:textId="77777777">
      <w:pPr>
        <w:rPr>
          <w:rFonts w:ascii="Times New Roman" w:hAnsi="Times New Roman"/>
        </w:rPr>
      </w:pPr>
    </w:p>
    <w:p w:rsidR="007B6C63" w:rsidP="000B0581" w14:paraId="4016E620" w14:textId="77777777">
      <w:pPr>
        <w:ind w:left="720"/>
        <w:rPr>
          <w:rFonts w:ascii="Times New Roman" w:hAnsi="Times New Roman"/>
        </w:rPr>
      </w:pPr>
      <w:r>
        <w:rPr>
          <w:rFonts w:ascii="Times New Roman" w:hAnsi="Times New Roman"/>
          <w:szCs w:val="24"/>
        </w:rPr>
        <w:t>Th</w:t>
      </w:r>
      <w:r w:rsidR="00B76DC2">
        <w:rPr>
          <w:rFonts w:ascii="Times New Roman" w:hAnsi="Times New Roman"/>
          <w:szCs w:val="24"/>
        </w:rPr>
        <w:t xml:space="preserve">is information collection involves recordkeeping requirements only. </w:t>
      </w:r>
      <w:r>
        <w:rPr>
          <w:rFonts w:ascii="Times New Roman" w:hAnsi="Times New Roman"/>
          <w:szCs w:val="24"/>
        </w:rPr>
        <w:t xml:space="preserve"> </w:t>
      </w:r>
      <w:r w:rsidR="00B76DC2">
        <w:rPr>
          <w:rFonts w:ascii="Times New Roman" w:hAnsi="Times New Roman"/>
        </w:rPr>
        <w:t xml:space="preserve">The expiration date of the information collection is readily available at </w:t>
      </w:r>
      <w:hyperlink r:id="rId6" w:history="1">
        <w:r w:rsidRPr="00DD71EB" w:rsidR="00B76DC2">
          <w:rPr>
            <w:rStyle w:val="Hyperlink"/>
            <w:rFonts w:ascii="Times New Roman" w:hAnsi="Times New Roman"/>
          </w:rPr>
          <w:t>www.reginfo.gov</w:t>
        </w:r>
      </w:hyperlink>
      <w:r>
        <w:rPr>
          <w:rStyle w:val="FootnoteReference"/>
          <w:rFonts w:ascii="Times New Roman" w:hAnsi="Times New Roman"/>
          <w:vertAlign w:val="superscript"/>
        </w:rPr>
        <w:footnoteReference w:id="3"/>
      </w:r>
    </w:p>
    <w:p w:rsidR="007B6C63" w14:paraId="49872D3F" w14:textId="77777777">
      <w:pPr>
        <w:rPr>
          <w:rFonts w:ascii="Times New Roman" w:hAnsi="Times New Roman"/>
        </w:rPr>
      </w:pPr>
    </w:p>
    <w:p w:rsidR="007B6C63" w:rsidP="00A1019D" w14:paraId="61DF98A2" w14:textId="77777777">
      <w:pPr>
        <w:tabs>
          <w:tab w:val="left" w:pos="-1440"/>
        </w:tabs>
        <w:ind w:left="720" w:hanging="360"/>
        <w:rPr>
          <w:rFonts w:ascii="Times New Roman" w:hAnsi="Times New Roman"/>
        </w:rPr>
      </w:pPr>
      <w:r>
        <w:rPr>
          <w:rFonts w:ascii="Times New Roman" w:hAnsi="Times New Roman"/>
        </w:rPr>
        <w:t>18.</w:t>
      </w:r>
      <w:r>
        <w:rPr>
          <w:rFonts w:ascii="Times New Roman" w:hAnsi="Times New Roman"/>
        </w:rPr>
        <w:tab/>
      </w:r>
      <w:r w:rsidRPr="00A1019D" w:rsidR="00937218">
        <w:rPr>
          <w:rFonts w:ascii="Times New Roman" w:hAnsi="Times New Roman"/>
          <w:b/>
          <w:bCs/>
          <w:iCs/>
          <w:u w:val="single"/>
        </w:rPr>
        <w:t>Exceptions</w:t>
      </w:r>
      <w:r w:rsidRPr="00937218" w:rsidR="00937218">
        <w:rPr>
          <w:rFonts w:ascii="Times New Roman" w:hAnsi="Times New Roman"/>
          <w:b/>
          <w:u w:val="single"/>
        </w:rPr>
        <w:t xml:space="preserve"> to c</w:t>
      </w:r>
      <w:r w:rsidRPr="00937218">
        <w:rPr>
          <w:rFonts w:ascii="Times New Roman" w:hAnsi="Times New Roman"/>
          <w:b/>
          <w:u w:val="single"/>
        </w:rPr>
        <w:t>ertification</w:t>
      </w:r>
      <w:r w:rsidRPr="00937218" w:rsidR="00937218">
        <w:rPr>
          <w:rFonts w:ascii="Times New Roman" w:hAnsi="Times New Roman"/>
          <w:b/>
          <w:u w:val="single"/>
        </w:rPr>
        <w:t>:</w:t>
      </w:r>
    </w:p>
    <w:p w:rsidR="007B6C63" w:rsidP="00FC41DF" w14:paraId="59EF7B62" w14:textId="77777777">
      <w:pPr>
        <w:tabs>
          <w:tab w:val="left" w:pos="-1440"/>
        </w:tabs>
        <w:ind w:firstLine="360"/>
        <w:rPr>
          <w:rFonts w:ascii="Times New Roman" w:hAnsi="Times New Roman"/>
        </w:rPr>
      </w:pPr>
    </w:p>
    <w:p w:rsidR="007B6C63" w:rsidP="000B0581" w14:paraId="535D3418"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rsidP="000B0581" w14:paraId="39A46039" w14:textId="77777777">
      <w:pPr>
        <w:ind w:left="720"/>
        <w:rPr>
          <w:rFonts w:ascii="Times New Roman" w:hAnsi="Times New Roman"/>
        </w:rPr>
      </w:pPr>
    </w:p>
    <w:p w:rsidR="007B6C63" w:rsidP="00715C41" w14:paraId="720C4CEF" w14:textId="77777777">
      <w:pPr>
        <w:keepNext/>
        <w:tabs>
          <w:tab w:val="left" w:pos="-1440"/>
        </w:tabs>
        <w:rPr>
          <w:rFonts w:ascii="Times New Roman" w:hAnsi="Times New Roman"/>
        </w:rPr>
      </w:pPr>
      <w:r>
        <w:rPr>
          <w:rFonts w:ascii="Times New Roman" w:hAnsi="Times New Roman"/>
        </w:rPr>
        <w:t>B.</w:t>
      </w:r>
      <w:r>
        <w:rPr>
          <w:rFonts w:ascii="Times New Roman" w:hAnsi="Times New Roman"/>
        </w:rPr>
        <w:tab/>
      </w:r>
      <w:r w:rsidR="00937218">
        <w:rPr>
          <w:rFonts w:ascii="Times New Roman" w:hAnsi="Times New Roman"/>
          <w:b/>
          <w:szCs w:val="24"/>
        </w:rPr>
        <w:t>COLLECTION OF INFORMATION EMPLOYING STATISTICAL METHODS</w:t>
      </w:r>
    </w:p>
    <w:p w:rsidR="007B6C63" w:rsidP="00715C41" w14:paraId="5CF0720C" w14:textId="77777777">
      <w:pPr>
        <w:keepNext/>
        <w:rPr>
          <w:rFonts w:ascii="Times New Roman" w:hAnsi="Times New Roman"/>
        </w:rPr>
      </w:pPr>
    </w:p>
    <w:p w:rsidR="007B6C63" w:rsidP="00715C41" w14:paraId="0F540EB4" w14:textId="77777777">
      <w:pPr>
        <w:keepNext/>
        <w:ind w:left="720"/>
        <w:rPr>
          <w:rFonts w:ascii="Times New Roman" w:hAnsi="Times New Roman"/>
        </w:rPr>
      </w:pPr>
      <w:r>
        <w:rPr>
          <w:rFonts w:ascii="Times New Roman" w:hAnsi="Times New Roman"/>
        </w:rPr>
        <w:t>Not applicable.</w:t>
      </w:r>
    </w:p>
    <w:p w:rsidR="007B6C63" w14:paraId="26C4C8CA" w14:textId="77777777">
      <w:pPr>
        <w:rPr>
          <w:rFonts w:ascii="Times New Roman" w:hAnsi="Times New Roman"/>
        </w:rPr>
      </w:pPr>
    </w:p>
    <w:p w:rsidR="007B6C63" w14:paraId="6657A61A" w14:textId="77777777">
      <w:pPr>
        <w:rPr>
          <w:rFonts w:ascii="Times New Roman" w:hAnsi="Times New Roman"/>
        </w:rPr>
      </w:pPr>
    </w:p>
    <w:sectPr>
      <w:headerReference w:type="default" r:id="rId7"/>
      <w:footerReference w:type="default" r:id="rId8"/>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PS">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Source Sans Pro Semibold">
    <w:panose1 w:val="020B0603030403020204"/>
    <w:charset w:val="00"/>
    <w:family w:val="swiss"/>
    <w:notTrueType/>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C63" w14:paraId="5959A983" w14:textId="77777777">
    <w:pPr>
      <w:spacing w:line="240" w:lineRule="exact"/>
    </w:pPr>
  </w:p>
  <w:p w:rsidR="007B6C63" w14:paraId="5FC8EA78" w14:textId="77777777">
    <w:pPr>
      <w:framePr w:w="9361" w:wrap="notBeside" w:vAnchor="text" w:hAnchor="text" w:x="1"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577839">
      <w:rPr>
        <w:rFonts w:ascii="Times New Roman" w:hAnsi="Times New Roman"/>
        <w:noProof/>
      </w:rPr>
      <w:t>5</w:t>
    </w:r>
    <w:r>
      <w:rPr>
        <w:rFonts w:ascii="Times New Roman" w:hAnsi="Times New Roman"/>
      </w:rPr>
      <w:fldChar w:fldCharType="end"/>
    </w:r>
  </w:p>
  <w:p w:rsidR="007B6C63" w14:paraId="39D7DC4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4502B" w14:paraId="56F2DD51" w14:textId="77777777">
      <w:r>
        <w:separator/>
      </w:r>
    </w:p>
  </w:footnote>
  <w:footnote w:type="continuationSeparator" w:id="1">
    <w:p w:rsidR="0074502B" w14:paraId="2060100C" w14:textId="77777777">
      <w:r>
        <w:continuationSeparator/>
      </w:r>
    </w:p>
  </w:footnote>
  <w:footnote w:id="2">
    <w:p w:rsidR="00234383" w:rsidRPr="00234383" w14:paraId="6ACCF32F" w14:textId="486BF5F9">
      <w:pPr>
        <w:pStyle w:val="FootnoteText"/>
        <w:rPr>
          <w:rFonts w:ascii="Times New Roman" w:hAnsi="Times New Roman"/>
        </w:rPr>
      </w:pPr>
      <w:r w:rsidRPr="00234383">
        <w:rPr>
          <w:rStyle w:val="FootnoteReference"/>
          <w:rFonts w:ascii="Times New Roman" w:hAnsi="Times New Roman"/>
          <w:vertAlign w:val="superscript"/>
        </w:rPr>
        <w:footnoteRef/>
      </w:r>
      <w:r w:rsidRPr="00234383">
        <w:rPr>
          <w:rFonts w:ascii="Times New Roman" w:hAnsi="Times New Roman"/>
        </w:rPr>
        <w:t xml:space="preserve"> 75 FR 36395 (June 25, 2010</w:t>
      </w:r>
      <w:r w:rsidR="00A44E60">
        <w:rPr>
          <w:rFonts w:ascii="Times New Roman" w:hAnsi="Times New Roman"/>
        </w:rPr>
        <w:t>)</w:t>
      </w:r>
    </w:p>
  </w:footnote>
  <w:footnote w:id="3">
    <w:p w:rsidR="00B76DC2" w14:paraId="25294F29" w14:textId="77777777">
      <w:pPr>
        <w:pStyle w:val="FootnoteText"/>
      </w:pPr>
      <w:r w:rsidRPr="00B76DC2">
        <w:rPr>
          <w:rStyle w:val="FootnoteReference"/>
          <w:vertAlign w:val="superscript"/>
        </w:rPr>
        <w:footnoteRef/>
      </w:r>
      <w:r>
        <w:t xml:space="preserve"> </w:t>
      </w:r>
      <w:hyperlink r:id="rId1" w:history="1">
        <w:r w:rsidRPr="00A80495" w:rsidR="00D746BF">
          <w:rPr>
            <w:rStyle w:val="Hyperlink"/>
            <w:rFonts w:ascii="Times New Roman" w:hAnsi="Times New Roman"/>
          </w:rPr>
          <w:t>https://www.reginfo.gov/public/Forward?SearchTarget=PRA&amp;textfield=3064-0175</w:t>
        </w:r>
      </w:hyperlink>
      <w:r w:rsidR="00D746BF">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06417F86" w14:textId="77777777">
    <w:pPr>
      <w:pStyle w:val="Header"/>
    </w:pPr>
    <w:r>
      <w:rPr>
        <w:noProof/>
        <w:snapToGrid/>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190500</wp:posOffset>
              </wp:positionV>
              <wp:extent cx="7772400" cy="280670"/>
              <wp:effectExtent l="0" t="0" r="0" b="5080"/>
              <wp:wrapNone/>
              <wp:docPr id="1" name="MSIPCM74b942dfb0df0dc0c83d30d7" descr="{&quot;HashCode&quot;:474619262,&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0" cy="28067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548DD" w:rsidRPr="007548DD" w:rsidP="007548DD" w14:textId="77777777">
                          <w:pPr>
                            <w:jc w:val="center"/>
                            <w:rPr>
                              <w:rFonts w:ascii="Source Sans Pro Semibold" w:hAnsi="Source Sans Pro Semibold"/>
                              <w:color w:val="000000"/>
                            </w:rPr>
                          </w:pPr>
                          <w:r w:rsidRPr="007548DD">
                            <w:rPr>
                              <w:rFonts w:ascii="Source Sans Pro Semibold" w:hAnsi="Source Sans Pro Semibold"/>
                              <w:color w:val="000000"/>
                            </w:rPr>
                            <w:t>NONPUBLIC//FDIC INTERNAL ONLY</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MSIPCM74b942dfb0df0dc0c83d30d7" o:spid="_x0000_s2049" type="#_x0000_t202" alt="{&quot;HashCode&quot;:474619262,&quot;Height&quot;:792.0,&quot;Width&quot;:612.0,&quot;Placement&quot;:&quot;Header&quot;,&quot;Index&quot;:&quot;Primary&quot;,&quot;Section&quot;:1,&quot;Top&quot;:0.0,&quot;Left&quot;:0.0}" style="width:612pt;height:22.1pt;margin-top:15pt;margin-left:0;mso-position-horizontal-relative:page;mso-position-vertical-relative:page;mso-wrap-distance-bottom:0;mso-wrap-distance-left:9pt;mso-wrap-distance-right:9pt;mso-wrap-distance-top:0;mso-wrap-style:square;position:absolute;visibility:visible;v-text-anchor:top;z-index:251659264" o:allowincell="f" filled="f" stroked="f" strokeweight="0.5pt">
              <v:textbox inset=",0,,0">
                <w:txbxContent>
                  <w:p w:rsidR="007548DD" w:rsidRPr="007548DD" w:rsidP="007548DD" w14:paraId="5D54EFB2" w14:textId="77777777">
                    <w:pPr>
                      <w:jc w:val="center"/>
                      <w:rPr>
                        <w:rFonts w:ascii="Source Sans Pro Semibold" w:hAnsi="Source Sans Pro Semibold"/>
                        <w:color w:val="000000"/>
                      </w:rPr>
                    </w:pPr>
                    <w:r w:rsidRPr="007548DD">
                      <w:rPr>
                        <w:rFonts w:ascii="Source Sans Pro Semibold" w:hAnsi="Source Sans Pro Semibold"/>
                        <w:color w:val="000000"/>
                      </w:rPr>
                      <w:t>NONPUBLIC//FDIC INTERNAL ONLY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623CFC"/>
    <w:multiLevelType w:val="hybridMultilevel"/>
    <w:tmpl w:val="2FF4FEAA"/>
    <w:lvl w:ilvl="0">
      <w:start w:val="16"/>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BA5A7B"/>
    <w:multiLevelType w:val="hybridMultilevel"/>
    <w:tmpl w:val="4F6C3130"/>
    <w:lvl w:ilvl="0">
      <w:start w:val="1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3C1D696F"/>
    <w:multiLevelType w:val="hybridMultilevel"/>
    <w:tmpl w:val="369A3B94"/>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
    <w:nsid w:val="788721FE"/>
    <w:multiLevelType w:val="singleLevel"/>
    <w:tmpl w:val="6F94DAD4"/>
    <w:lvl w:ilvl="0">
      <w:start w:val="3"/>
      <w:numFmt w:val="decimal"/>
      <w:lvlText w:val="%1."/>
      <w:lvlJc w:val="left"/>
      <w:pPr>
        <w:tabs>
          <w:tab w:val="num" w:pos="720"/>
        </w:tabs>
        <w:ind w:left="720" w:hanging="720"/>
      </w:pPr>
      <w:rPr>
        <w:rFonts w:hint="default"/>
      </w:rPr>
    </w:lvl>
  </w:abstractNum>
  <w:num w:numId="1" w16cid:durableId="1325937415">
    <w:abstractNumId w:val="3"/>
  </w:num>
  <w:num w:numId="2" w16cid:durableId="1689913139">
    <w:abstractNumId w:val="1"/>
  </w:num>
  <w:num w:numId="3" w16cid:durableId="749353570">
    <w:abstractNumId w:val="0"/>
  </w:num>
  <w:num w:numId="4" w16cid:durableId="171534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79"/>
    <w:rsid w:val="000002C9"/>
    <w:rsid w:val="00003E86"/>
    <w:rsid w:val="000171AA"/>
    <w:rsid w:val="00020D75"/>
    <w:rsid w:val="000855E4"/>
    <w:rsid w:val="00093D0F"/>
    <w:rsid w:val="000B0581"/>
    <w:rsid w:val="000C4F75"/>
    <w:rsid w:val="001126D4"/>
    <w:rsid w:val="0012790D"/>
    <w:rsid w:val="00161EC5"/>
    <w:rsid w:val="00163B00"/>
    <w:rsid w:val="00175893"/>
    <w:rsid w:val="00177720"/>
    <w:rsid w:val="001778A3"/>
    <w:rsid w:val="00182279"/>
    <w:rsid w:val="00184427"/>
    <w:rsid w:val="001D78D3"/>
    <w:rsid w:val="002331BC"/>
    <w:rsid w:val="00234383"/>
    <w:rsid w:val="00240097"/>
    <w:rsid w:val="00243D0C"/>
    <w:rsid w:val="0025784A"/>
    <w:rsid w:val="00285D59"/>
    <w:rsid w:val="002A35F4"/>
    <w:rsid w:val="002A5F6B"/>
    <w:rsid w:val="002A7A35"/>
    <w:rsid w:val="002B1AFA"/>
    <w:rsid w:val="002C1152"/>
    <w:rsid w:val="002F26D8"/>
    <w:rsid w:val="00304C3E"/>
    <w:rsid w:val="00315269"/>
    <w:rsid w:val="0031667C"/>
    <w:rsid w:val="003514D6"/>
    <w:rsid w:val="00352911"/>
    <w:rsid w:val="00370C6A"/>
    <w:rsid w:val="00371017"/>
    <w:rsid w:val="00386C94"/>
    <w:rsid w:val="003A37A8"/>
    <w:rsid w:val="003B3219"/>
    <w:rsid w:val="003E3404"/>
    <w:rsid w:val="003E5901"/>
    <w:rsid w:val="003F2FF8"/>
    <w:rsid w:val="00414ECF"/>
    <w:rsid w:val="00435A15"/>
    <w:rsid w:val="00454007"/>
    <w:rsid w:val="0048245A"/>
    <w:rsid w:val="004945EF"/>
    <w:rsid w:val="004A5959"/>
    <w:rsid w:val="004C5B45"/>
    <w:rsid w:val="004D2A5C"/>
    <w:rsid w:val="004F7E3A"/>
    <w:rsid w:val="00523B22"/>
    <w:rsid w:val="00550714"/>
    <w:rsid w:val="005709AF"/>
    <w:rsid w:val="00577839"/>
    <w:rsid w:val="005B79C4"/>
    <w:rsid w:val="005C5B63"/>
    <w:rsid w:val="005E62DB"/>
    <w:rsid w:val="00615BAD"/>
    <w:rsid w:val="0063734B"/>
    <w:rsid w:val="00653821"/>
    <w:rsid w:val="00655078"/>
    <w:rsid w:val="00686F68"/>
    <w:rsid w:val="006B0048"/>
    <w:rsid w:val="006B3465"/>
    <w:rsid w:val="006D4C70"/>
    <w:rsid w:val="0071052F"/>
    <w:rsid w:val="00715C41"/>
    <w:rsid w:val="0074502B"/>
    <w:rsid w:val="007548DD"/>
    <w:rsid w:val="007562B8"/>
    <w:rsid w:val="007A3A8A"/>
    <w:rsid w:val="007B6C63"/>
    <w:rsid w:val="0080546E"/>
    <w:rsid w:val="00820F79"/>
    <w:rsid w:val="00826F32"/>
    <w:rsid w:val="008332CE"/>
    <w:rsid w:val="00844536"/>
    <w:rsid w:val="00881712"/>
    <w:rsid w:val="0088447D"/>
    <w:rsid w:val="008B2102"/>
    <w:rsid w:val="00921EFB"/>
    <w:rsid w:val="00937218"/>
    <w:rsid w:val="009557A1"/>
    <w:rsid w:val="0096157F"/>
    <w:rsid w:val="009660F9"/>
    <w:rsid w:val="009B62D9"/>
    <w:rsid w:val="009B7A15"/>
    <w:rsid w:val="009C2BFF"/>
    <w:rsid w:val="009C778C"/>
    <w:rsid w:val="00A0001C"/>
    <w:rsid w:val="00A015AA"/>
    <w:rsid w:val="00A1019D"/>
    <w:rsid w:val="00A152B6"/>
    <w:rsid w:val="00A249E9"/>
    <w:rsid w:val="00A26153"/>
    <w:rsid w:val="00A270BF"/>
    <w:rsid w:val="00A44E60"/>
    <w:rsid w:val="00A80495"/>
    <w:rsid w:val="00A81BD7"/>
    <w:rsid w:val="00A9679D"/>
    <w:rsid w:val="00AC7083"/>
    <w:rsid w:val="00AE2E90"/>
    <w:rsid w:val="00B06BE7"/>
    <w:rsid w:val="00B17BBF"/>
    <w:rsid w:val="00B17F71"/>
    <w:rsid w:val="00B37DD6"/>
    <w:rsid w:val="00B61AD2"/>
    <w:rsid w:val="00B64991"/>
    <w:rsid w:val="00B66881"/>
    <w:rsid w:val="00B76DC2"/>
    <w:rsid w:val="00B977B5"/>
    <w:rsid w:val="00BD1F3F"/>
    <w:rsid w:val="00BD64F8"/>
    <w:rsid w:val="00BD7F95"/>
    <w:rsid w:val="00BF3B99"/>
    <w:rsid w:val="00C14D80"/>
    <w:rsid w:val="00C750AB"/>
    <w:rsid w:val="00C772BC"/>
    <w:rsid w:val="00C8275D"/>
    <w:rsid w:val="00C86486"/>
    <w:rsid w:val="00CA3D02"/>
    <w:rsid w:val="00CB2ED5"/>
    <w:rsid w:val="00CC7A55"/>
    <w:rsid w:val="00D0274E"/>
    <w:rsid w:val="00D1720C"/>
    <w:rsid w:val="00D35001"/>
    <w:rsid w:val="00D50321"/>
    <w:rsid w:val="00D50914"/>
    <w:rsid w:val="00D55074"/>
    <w:rsid w:val="00D64624"/>
    <w:rsid w:val="00D746BF"/>
    <w:rsid w:val="00D804A5"/>
    <w:rsid w:val="00D952A7"/>
    <w:rsid w:val="00DA5092"/>
    <w:rsid w:val="00DD29EA"/>
    <w:rsid w:val="00DD71EB"/>
    <w:rsid w:val="00DE2D0B"/>
    <w:rsid w:val="00DF23C0"/>
    <w:rsid w:val="00E34780"/>
    <w:rsid w:val="00E50911"/>
    <w:rsid w:val="00E55F93"/>
    <w:rsid w:val="00E832EE"/>
    <w:rsid w:val="00F01C6F"/>
    <w:rsid w:val="00F04445"/>
    <w:rsid w:val="00F13CF5"/>
    <w:rsid w:val="00F315C4"/>
    <w:rsid w:val="00F34CBE"/>
    <w:rsid w:val="00F90EAE"/>
    <w:rsid w:val="00F9430B"/>
    <w:rsid w:val="00FB759A"/>
    <w:rsid w:val="00FC41DF"/>
    <w:rsid w:val="00FC6915"/>
    <w:rsid w:val="00FC6E6C"/>
    <w:rsid w:val="00FE5080"/>
    <w:rsid w:val="00FF08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B9256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link w:val="Heading1Char"/>
    <w:qFormat/>
    <w:rsid w:val="006D4C7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12,Style 16,Style 19,Style 35,fr"/>
    <w:uiPriority w:val="99"/>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nhideWhenUsed/>
    <w:qFormat/>
    <w:rsid w:val="00386C94"/>
    <w:pPr>
      <w:widowControl/>
    </w:pPr>
    <w:rPr>
      <w:rFonts w:ascii="Arial Narrow" w:hAnsi="Arial Narrow"/>
      <w:snapToGrid/>
      <w:u w:val="single"/>
    </w:rPr>
  </w:style>
  <w:style w:type="character" w:customStyle="1" w:styleId="BodyTextChar">
    <w:name w:val="Body Text Char"/>
    <w:link w:val="BodyText"/>
    <w:rsid w:val="00386C94"/>
    <w:rPr>
      <w:rFonts w:ascii="Arial Narrow" w:hAnsi="Arial Narrow"/>
      <w:sz w:val="24"/>
      <w:u w:val="single"/>
    </w:rPr>
  </w:style>
  <w:style w:type="paragraph" w:styleId="FootnoteText">
    <w:name w:val="footnote text"/>
    <w:aliases w:val="ALTS FOOTNOTE,Car,Footnote Text Char Char,Footnote Text Char Char Char Char,Footnote Text Char Char Char Char Char Char Char Char Char Char Char Char Char Char Char Char Char,Footnote Text Char1 Char Char,Style 15,fn,ft"/>
    <w:basedOn w:val="Normal"/>
    <w:link w:val="FootnoteTextChar"/>
    <w:uiPriority w:val="99"/>
    <w:rsid w:val="00881712"/>
    <w:pPr>
      <w:autoSpaceDE w:val="0"/>
      <w:autoSpaceDN w:val="0"/>
      <w:adjustRightInd w:val="0"/>
    </w:pPr>
    <w:rPr>
      <w:rFonts w:ascii="CourierPS" w:hAnsi="CourierPS"/>
      <w:snapToGrid/>
      <w:sz w:val="20"/>
    </w:rPr>
  </w:style>
  <w:style w:type="character" w:customStyle="1" w:styleId="FootnoteTextChar">
    <w:name w:val="Footnote Text Char"/>
    <w:aliases w:val="ALTS FOOTNOTE Char,Car Char,Footnote Text Char Char Char,Footnote Text Char Char Char Char Char,Footnote Text Char Char Char Char Char Char Char Char Char Char Char Char Char Char Char Char Char Char,Footnote Text Char1 Char Char Char"/>
    <w:link w:val="FootnoteText"/>
    <w:uiPriority w:val="99"/>
    <w:rsid w:val="00881712"/>
    <w:rPr>
      <w:rFonts w:ascii="CourierPS" w:hAnsi="CourierPS"/>
    </w:rPr>
  </w:style>
  <w:style w:type="character" w:styleId="Hyperlink">
    <w:name w:val="Hyperlink"/>
    <w:uiPriority w:val="99"/>
    <w:unhideWhenUsed/>
    <w:rsid w:val="00881712"/>
    <w:rPr>
      <w:color w:val="0000FF"/>
      <w:u w:val="single"/>
    </w:rPr>
  </w:style>
  <w:style w:type="table" w:styleId="TableGrid">
    <w:name w:val="Table Grid"/>
    <w:basedOn w:val="TableNormal"/>
    <w:uiPriority w:val="39"/>
    <w:rsid w:val="002A5F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709AF"/>
  </w:style>
  <w:style w:type="character" w:customStyle="1" w:styleId="UnresolvedMention1">
    <w:name w:val="Unresolved Mention1"/>
    <w:uiPriority w:val="99"/>
    <w:semiHidden/>
    <w:unhideWhenUsed/>
    <w:rsid w:val="00B76DC2"/>
    <w:rPr>
      <w:color w:val="605E5C"/>
      <w:shd w:val="clear" w:color="auto" w:fill="E1DFDD"/>
    </w:rPr>
  </w:style>
  <w:style w:type="character" w:styleId="FollowedHyperlink">
    <w:name w:val="FollowedHyperlink"/>
    <w:rsid w:val="00B76DC2"/>
    <w:rPr>
      <w:color w:val="954F72"/>
      <w:u w:val="single"/>
    </w:rPr>
  </w:style>
  <w:style w:type="character" w:customStyle="1" w:styleId="Heading1Char">
    <w:name w:val="Heading 1 Char"/>
    <w:basedOn w:val="DefaultParagraphFont"/>
    <w:link w:val="Heading1"/>
    <w:rsid w:val="006D4C70"/>
    <w:rPr>
      <w:rFonts w:asciiTheme="majorHAnsi" w:eastAsiaTheme="majorEastAsia" w:hAnsiTheme="majorHAnsi" w:cstheme="majorBidi"/>
      <w:snapToGrid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reginfo.gov"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Forward?SearchTarget=PRA&amp;textfield=3064-017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1D222-07F4-4EDF-A00D-8506F7769F84}">
  <ds:schemaRefs>
    <ds:schemaRef ds:uri="http://schemas.openxmlformats.org/officeDocument/2006/bibliography"/>
  </ds:schemaRefs>
</ds:datastoreItem>
</file>

<file path=docMetadata/LabelInfo.xml><?xml version="1.0" encoding="utf-8"?>
<clbl:labelList xmlns:clbl="http://schemas.microsoft.com/office/2020/mipLabelMetadata">
  <clbl:label id="{e03712f0-ae86-44bd-82ca-deb0d0369377}"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1439</Words>
  <Characters>8203</Characters>
  <Application>Microsoft Office Word</Application>
  <DocSecurity>0</DocSecurity>
  <Lines>68</Lines>
  <Paragraphs>19</Paragraphs>
  <ScaleCrop>false</ScaleCrop>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2026-08-24T14:13:00Z</dcterms:created>
  <dcterms:modified xsi:type="dcterms:W3CDTF">2026-08-24T14:35:00Z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3712f0-ae86-44bd-82ca-deb0d0369377_ActionId">
    <vt:lpwstr>54091d92-bae6-4813-a4c3-942cb1d50cbe</vt:lpwstr>
  </property>
  <property fmtid="{D5CDD505-2E9C-101B-9397-08002B2CF9AE}" pid="3" name="MSIP_Label_e03712f0-ae86-44bd-82ca-deb0d0369377_ContentBits">
    <vt:lpwstr>1</vt:lpwstr>
  </property>
  <property fmtid="{D5CDD505-2E9C-101B-9397-08002B2CF9AE}" pid="4" name="MSIP_Label_e03712f0-ae86-44bd-82ca-deb0d0369377_Enabled">
    <vt:lpwstr>true</vt:lpwstr>
  </property>
  <property fmtid="{D5CDD505-2E9C-101B-9397-08002B2CF9AE}" pid="5" name="MSIP_Label_e03712f0-ae86-44bd-82ca-deb0d0369377_Method">
    <vt:lpwstr>Privileged</vt:lpwstr>
  </property>
  <property fmtid="{D5CDD505-2E9C-101B-9397-08002B2CF9AE}" pid="6" name="MSIP_Label_e03712f0-ae86-44bd-82ca-deb0d0369377_Name">
    <vt:lpwstr>e03712f0-ae86-44bd-82ca-deb0d0369377</vt:lpwstr>
  </property>
  <property fmtid="{D5CDD505-2E9C-101B-9397-08002B2CF9AE}" pid="7" name="MSIP_Label_e03712f0-ae86-44bd-82ca-deb0d0369377_SetDate">
    <vt:lpwstr>2023-07-12T11:56:32Z</vt:lpwstr>
  </property>
  <property fmtid="{D5CDD505-2E9C-101B-9397-08002B2CF9AE}" pid="8" name="MSIP_Label_e03712f0-ae86-44bd-82ca-deb0d0369377_SiteId">
    <vt:lpwstr>26c83bc9-31c1-4d77-a523-0816095aba31</vt:lpwstr>
  </property>
</Properties>
</file>