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6C63" w:rsidRPr="00FC41DF" w:rsidP="004A5959" w14:paraId="121DEDEA" w14:textId="13B8B11A">
      <w:pPr>
        <w:tabs>
          <w:tab w:val="center" w:pos="4680"/>
        </w:tabs>
        <w:jc w:val="center"/>
        <w:rPr>
          <w:rFonts w:ascii="Times New Roman" w:hAnsi="Times New Roman"/>
          <w:b/>
        </w:rPr>
      </w:pPr>
      <w:r w:rsidRPr="00FC41DF">
        <w:rPr>
          <w:rFonts w:ascii="Calibri" w:hAnsi="Calibri" w:cs="Calibri"/>
          <w:b/>
          <w:color w:val="000000"/>
        </w:rPr>
        <w:t>S</w:t>
      </w:r>
      <w:r w:rsidRPr="00FC41DF">
        <w:rPr>
          <w:rFonts w:ascii="Times New Roman" w:hAnsi="Times New Roman"/>
          <w:b/>
        </w:rPr>
        <w:t>UPPORTING STATEMENT</w:t>
      </w:r>
    </w:p>
    <w:p w:rsidR="0071052F" w:rsidRPr="0071052F" w:rsidP="0071052F" w14:paraId="213CDF36" w14:textId="77777777">
      <w:pPr>
        <w:jc w:val="center"/>
        <w:rPr>
          <w:rFonts w:ascii="Times New Roman" w:hAnsi="Times New Roman"/>
          <w:b/>
          <w:bCs/>
        </w:rPr>
      </w:pPr>
      <w:r>
        <w:rPr>
          <w:rFonts w:ascii="Times New Roman" w:hAnsi="Times New Roman"/>
          <w:b/>
          <w:bCs/>
        </w:rPr>
        <w:t>REVERSE MORTGAGE PRODUCTS</w:t>
      </w:r>
    </w:p>
    <w:p w:rsidR="004A5959" w:rsidRPr="004A5959" w:rsidP="0071052F" w14:paraId="374BCCBF" w14:textId="77777777">
      <w:pPr>
        <w:jc w:val="center"/>
        <w:rPr>
          <w:rFonts w:ascii="Times New Roman" w:hAnsi="Times New Roman"/>
          <w:b/>
        </w:rPr>
      </w:pPr>
      <w:r w:rsidRPr="0071052F">
        <w:rPr>
          <w:rFonts w:ascii="Times New Roman" w:hAnsi="Times New Roman"/>
          <w:b/>
          <w:bCs/>
        </w:rPr>
        <w:t>(OMB No. 3064-017</w:t>
      </w:r>
      <w:r w:rsidR="008A7B8F">
        <w:rPr>
          <w:rFonts w:ascii="Times New Roman" w:hAnsi="Times New Roman"/>
          <w:b/>
          <w:bCs/>
        </w:rPr>
        <w:t>6</w:t>
      </w:r>
      <w:r>
        <w:rPr>
          <w:rFonts w:ascii="Times New Roman" w:hAnsi="Times New Roman"/>
          <w:b/>
          <w:bCs/>
        </w:rPr>
        <w:t>)</w:t>
      </w:r>
    </w:p>
    <w:p w:rsidR="007B6C63" w14:paraId="71FA82B7" w14:textId="77777777">
      <w:pPr>
        <w:rPr>
          <w:rFonts w:ascii="Times New Roman" w:hAnsi="Times New Roman"/>
        </w:rPr>
      </w:pPr>
    </w:p>
    <w:p w:rsidR="007B6C63" w:rsidRPr="004C5B45" w14:paraId="3275A3B0" w14:textId="77777777">
      <w:pPr>
        <w:rPr>
          <w:rFonts w:ascii="Times New Roman" w:hAnsi="Times New Roman"/>
          <w:b/>
        </w:rPr>
      </w:pPr>
      <w:r w:rsidRPr="004C5B45">
        <w:rPr>
          <w:rFonts w:ascii="Times New Roman" w:hAnsi="Times New Roman"/>
          <w:b/>
        </w:rPr>
        <w:t>INTRODUCTION</w:t>
      </w:r>
    </w:p>
    <w:p w:rsidR="007B6C63" w14:paraId="66155E7E" w14:textId="77777777">
      <w:pPr>
        <w:rPr>
          <w:rFonts w:ascii="Times New Roman" w:hAnsi="Times New Roman"/>
        </w:rPr>
      </w:pPr>
    </w:p>
    <w:p w:rsidR="007B6C63" w14:paraId="5CD6F385" w14:textId="51FB572D">
      <w:pPr>
        <w:rPr>
          <w:rFonts w:ascii="Times New Roman" w:hAnsi="Times New Roman"/>
        </w:rPr>
      </w:pPr>
      <w:r>
        <w:rPr>
          <w:rFonts w:ascii="Times New Roman" w:hAnsi="Times New Roman"/>
        </w:rPr>
        <w:t xml:space="preserve">The FDIC is requesting OMB </w:t>
      </w:r>
      <w:r w:rsidR="00D804A5">
        <w:rPr>
          <w:rFonts w:ascii="Times New Roman" w:hAnsi="Times New Roman"/>
        </w:rPr>
        <w:t>approval</w:t>
      </w:r>
      <w:r>
        <w:rPr>
          <w:rFonts w:ascii="Times New Roman" w:hAnsi="Times New Roman"/>
        </w:rPr>
        <w:t xml:space="preserve"> </w:t>
      </w:r>
      <w:r w:rsidR="00D804A5">
        <w:rPr>
          <w:rFonts w:ascii="Times New Roman" w:hAnsi="Times New Roman"/>
        </w:rPr>
        <w:t>of the three-year extension</w:t>
      </w:r>
      <w:r w:rsidR="00615BAD">
        <w:rPr>
          <w:rFonts w:ascii="Times New Roman" w:hAnsi="Times New Roman"/>
        </w:rPr>
        <w:t xml:space="preserve">, </w:t>
      </w:r>
      <w:r w:rsidR="00F040F7">
        <w:rPr>
          <w:rFonts w:ascii="Times New Roman" w:hAnsi="Times New Roman"/>
        </w:rPr>
        <w:t>without change</w:t>
      </w:r>
      <w:r w:rsidR="00615BAD">
        <w:rPr>
          <w:rFonts w:ascii="Times New Roman" w:hAnsi="Times New Roman"/>
        </w:rPr>
        <w:t>,</w:t>
      </w:r>
      <w:r w:rsidR="00D804A5">
        <w:rPr>
          <w:rFonts w:ascii="Times New Roman" w:hAnsi="Times New Roman"/>
        </w:rPr>
        <w:t xml:space="preserve"> of its</w:t>
      </w:r>
      <w:r>
        <w:rPr>
          <w:rFonts w:ascii="Times New Roman" w:hAnsi="Times New Roman"/>
        </w:rPr>
        <w:t xml:space="preserve"> collection of information </w:t>
      </w:r>
      <w:r w:rsidR="00D804A5">
        <w:rPr>
          <w:rFonts w:ascii="Times New Roman" w:hAnsi="Times New Roman"/>
        </w:rPr>
        <w:t xml:space="preserve">entitled </w:t>
      </w:r>
      <w:r w:rsidR="00F040F7">
        <w:rPr>
          <w:rFonts w:ascii="Times New Roman" w:hAnsi="Times New Roman"/>
        </w:rPr>
        <w:t xml:space="preserve">“Reverse Mortgage Products” (OMB Control No. 3064-0176) which consists of </w:t>
      </w:r>
      <w:r w:rsidR="00F040F7">
        <w:rPr>
          <w:rFonts w:ascii="Times New Roman" w:hAnsi="Times New Roman"/>
          <w:color w:val="000000"/>
          <w:szCs w:val="24"/>
        </w:rPr>
        <w:t xml:space="preserve">reporting requirements contained in </w:t>
      </w:r>
      <w:r w:rsidR="000238ED">
        <w:rPr>
          <w:rFonts w:ascii="Times New Roman" w:hAnsi="Times New Roman"/>
          <w:color w:val="000000"/>
          <w:szCs w:val="24"/>
        </w:rPr>
        <w:t xml:space="preserve">the </w:t>
      </w:r>
      <w:r w:rsidR="00F040F7">
        <w:rPr>
          <w:rFonts w:ascii="Times New Roman" w:hAnsi="Times New Roman"/>
          <w:color w:val="000000"/>
          <w:szCs w:val="24"/>
        </w:rPr>
        <w:t>Reverse Mortgage Guidance</w:t>
      </w:r>
      <w:r w:rsidR="000238ED">
        <w:rPr>
          <w:rFonts w:ascii="Times New Roman" w:hAnsi="Times New Roman"/>
          <w:color w:val="000000"/>
          <w:szCs w:val="24"/>
        </w:rPr>
        <w:t xml:space="preserve"> </w:t>
      </w:r>
      <w:r w:rsidR="00F040F7">
        <w:rPr>
          <w:rFonts w:ascii="Times New Roman" w:hAnsi="Times New Roman"/>
          <w:color w:val="000000"/>
          <w:szCs w:val="24"/>
        </w:rPr>
        <w:t>jointly issued by the federal financial institution regulatory agencies, including the FDIC.</w:t>
      </w:r>
      <w:r w:rsidR="00D765D6">
        <w:rPr>
          <w:rFonts w:ascii="Times New Roman" w:hAnsi="Times New Roman"/>
        </w:rPr>
        <w:t xml:space="preserve">  </w:t>
      </w:r>
      <w:r w:rsidR="00B06BE7">
        <w:rPr>
          <w:rFonts w:ascii="Times New Roman" w:hAnsi="Times New Roman"/>
          <w:spacing w:val="-3"/>
        </w:rPr>
        <w:t xml:space="preserve">There </w:t>
      </w:r>
      <w:r w:rsidR="00182279">
        <w:rPr>
          <w:rFonts w:ascii="Times New Roman" w:hAnsi="Times New Roman"/>
          <w:spacing w:val="-3"/>
        </w:rPr>
        <w:t>is no change in the method or substance of the collection</w:t>
      </w:r>
      <w:r w:rsidR="00655078">
        <w:rPr>
          <w:rFonts w:ascii="Times New Roman" w:hAnsi="Times New Roman"/>
        </w:rPr>
        <w:t xml:space="preserve"> which currently expires o</w:t>
      </w:r>
      <w:r w:rsidR="00DA5092">
        <w:rPr>
          <w:rFonts w:ascii="Times New Roman" w:hAnsi="Times New Roman"/>
        </w:rPr>
        <w:t>n</w:t>
      </w:r>
      <w:r w:rsidR="00655078">
        <w:rPr>
          <w:rFonts w:ascii="Times New Roman" w:hAnsi="Times New Roman"/>
        </w:rPr>
        <w:t xml:space="preserve"> </w:t>
      </w:r>
      <w:r w:rsidR="009049F2">
        <w:rPr>
          <w:rFonts w:ascii="Times New Roman" w:hAnsi="Times New Roman"/>
        </w:rPr>
        <w:t>October 31, 2026</w:t>
      </w:r>
      <w:r w:rsidR="00FB759A">
        <w:rPr>
          <w:rFonts w:ascii="Times New Roman" w:hAnsi="Times New Roman"/>
        </w:rPr>
        <w:t>.</w:t>
      </w:r>
    </w:p>
    <w:p w:rsidR="007B6C63" w14:paraId="3D4916CC" w14:textId="77777777">
      <w:pPr>
        <w:rPr>
          <w:rFonts w:ascii="Times New Roman" w:hAnsi="Times New Roman"/>
        </w:rPr>
      </w:pPr>
    </w:p>
    <w:p w:rsidR="007B6C63" w14:paraId="37FC7603" w14:textId="77777777">
      <w:pPr>
        <w:tabs>
          <w:tab w:val="left" w:pos="-1440"/>
        </w:tabs>
        <w:rPr>
          <w:rFonts w:ascii="Times New Roman" w:hAnsi="Times New Roman"/>
        </w:rPr>
      </w:pPr>
      <w:r>
        <w:rPr>
          <w:rFonts w:ascii="Times New Roman" w:hAnsi="Times New Roman"/>
        </w:rPr>
        <w:t>A.</w:t>
      </w:r>
      <w:r>
        <w:rPr>
          <w:rFonts w:ascii="Times New Roman" w:hAnsi="Times New Roman"/>
        </w:rPr>
        <w:tab/>
      </w:r>
      <w:r w:rsidRPr="0013126F">
        <w:rPr>
          <w:rFonts w:ascii="Times New Roman" w:hAnsi="Times New Roman"/>
        </w:rPr>
        <w:t>JUSTIFICATION</w:t>
      </w:r>
    </w:p>
    <w:p w:rsidR="007B6C63" w14:paraId="6B482C20" w14:textId="77777777">
      <w:pPr>
        <w:rPr>
          <w:rFonts w:ascii="Times New Roman" w:hAnsi="Times New Roman"/>
        </w:rPr>
      </w:pPr>
    </w:p>
    <w:p w:rsidR="007B6C63" w:rsidP="00A1019D" w14:paraId="4AD1BC10" w14:textId="77777777">
      <w:pPr>
        <w:tabs>
          <w:tab w:val="left" w:pos="-1440"/>
        </w:tabs>
        <w:ind w:left="720" w:hanging="360"/>
        <w:rPr>
          <w:rFonts w:ascii="Times New Roman" w:hAnsi="Times New Roman"/>
        </w:rPr>
      </w:pPr>
      <w:r>
        <w:rPr>
          <w:rFonts w:ascii="Times New Roman" w:hAnsi="Times New Roman"/>
        </w:rPr>
        <w:t>1.</w:t>
      </w:r>
      <w:r>
        <w:rPr>
          <w:rFonts w:ascii="Times New Roman" w:hAnsi="Times New Roman"/>
        </w:rPr>
        <w:tab/>
      </w:r>
      <w:r w:rsidRPr="003514D6" w:rsidR="00386C94">
        <w:rPr>
          <w:rFonts w:ascii="Times New Roman" w:hAnsi="Times New Roman"/>
          <w:b/>
          <w:bCs/>
          <w:iCs/>
          <w:szCs w:val="24"/>
          <w:u w:val="single"/>
        </w:rPr>
        <w:t xml:space="preserve">Circumstances that make the collection </w:t>
      </w:r>
      <w:r w:rsidRPr="00A1019D" w:rsidR="00386C94">
        <w:rPr>
          <w:rFonts w:ascii="Times New Roman" w:hAnsi="Times New Roman"/>
          <w:b/>
          <w:bCs/>
          <w:iCs/>
          <w:u w:val="single"/>
        </w:rPr>
        <w:t>necessary</w:t>
      </w:r>
      <w:r w:rsidR="00386C94">
        <w:rPr>
          <w:rFonts w:ascii="Times New Roman" w:hAnsi="Times New Roman"/>
          <w:b/>
          <w:bCs/>
          <w:iCs/>
          <w:szCs w:val="24"/>
          <w:u w:val="single"/>
        </w:rPr>
        <w:t>:</w:t>
      </w:r>
    </w:p>
    <w:p w:rsidR="007B6C63" w14:paraId="6B289624" w14:textId="77777777">
      <w:pPr>
        <w:rPr>
          <w:rFonts w:ascii="Times New Roman" w:hAnsi="Times New Roman"/>
        </w:rPr>
      </w:pPr>
    </w:p>
    <w:p w:rsidR="00D765D6" w:rsidP="007729D8" w14:paraId="0F14C53D" w14:textId="4993B2FA">
      <w:pPr>
        <w:ind w:left="720"/>
        <w:rPr>
          <w:rFonts w:ascii="Times New Roman" w:hAnsi="Times New Roman"/>
        </w:rPr>
      </w:pPr>
      <w:r>
        <w:rPr>
          <w:rFonts w:ascii="Times New Roman" w:hAnsi="Times New Roman"/>
          <w:szCs w:val="24"/>
        </w:rPr>
        <w:t xml:space="preserve">Section 1828(o) of the Federal Deposit Insurance Act requires each federal banking agency to adopt uniform regulations prescribing real estate lending standards.  </w:t>
      </w:r>
      <w:r>
        <w:rPr>
          <w:rFonts w:ascii="Times New Roman" w:hAnsi="Times New Roman"/>
          <w:spacing w:val="-3"/>
        </w:rPr>
        <w:t xml:space="preserve">Part 365 of the FDIC Rules and Regulations and Appendix A to Part 365 implement section 1828(o) and, among other things, require institutions to have real estate lending policies that include limits and standards consistent with safe and sound banking practices and prudent underwriting standards.  While part 365 and Appendix A to part 365 primarily address the credit, interest rate, and liquidity risks to safety and soundness posed by real estate lending, such loans, particularly reverse mortgage loans, also present compliance risks that must be managed by an institution.  </w:t>
      </w:r>
      <w:r w:rsidR="008565C5">
        <w:rPr>
          <w:rFonts w:ascii="Times New Roman" w:hAnsi="Times New Roman"/>
          <w:spacing w:val="-3"/>
        </w:rPr>
        <w:t>T</w:t>
      </w:r>
      <w:r>
        <w:rPr>
          <w:rFonts w:ascii="Times New Roman" w:hAnsi="Times New Roman"/>
          <w:spacing w:val="-3"/>
        </w:rPr>
        <w:t>he Federal Financial Institutions Examination Council (FFIEC) developed the Reverse Mortgage Guidance to address the unique compliance risks associated with such mortgages and recommended that each of the FFIEC member agencies issue the document as supervisory guidance.</w:t>
      </w:r>
      <w:r w:rsidR="008565C5">
        <w:rPr>
          <w:rFonts w:ascii="Times New Roman" w:hAnsi="Times New Roman"/>
          <w:spacing w:val="-3"/>
        </w:rPr>
        <w:t xml:space="preserve">  The FDIC issued its Reverse Mortgage Guidance </w:t>
      </w:r>
      <w:r w:rsidR="00630C5C">
        <w:rPr>
          <w:rFonts w:ascii="Times New Roman" w:hAnsi="Times New Roman"/>
          <w:spacing w:val="-3"/>
        </w:rPr>
        <w:t>on August 17, 2010.</w:t>
      </w:r>
      <w:r>
        <w:rPr>
          <w:rStyle w:val="FootnoteReference"/>
          <w:rFonts w:ascii="Times New Roman" w:hAnsi="Times New Roman"/>
          <w:spacing w:val="-3"/>
          <w:vertAlign w:val="superscript"/>
        </w:rPr>
        <w:footnoteReference w:id="2"/>
      </w:r>
      <w:r w:rsidR="007729D8">
        <w:rPr>
          <w:rFonts w:ascii="Times New Roman" w:hAnsi="Times New Roman"/>
        </w:rPr>
        <w:t xml:space="preserve">  </w:t>
      </w:r>
      <w:r>
        <w:rPr>
          <w:rFonts w:ascii="Times New Roman" w:hAnsi="Times New Roman"/>
          <w:color w:val="000000"/>
          <w:szCs w:val="24"/>
        </w:rPr>
        <w:t xml:space="preserve">The guidance sets forth standards intended to </w:t>
      </w:r>
      <w:r w:rsidR="0054621E">
        <w:rPr>
          <w:rFonts w:ascii="Times New Roman" w:hAnsi="Times New Roman"/>
          <w:color w:val="000000"/>
          <w:szCs w:val="24"/>
        </w:rPr>
        <w:t>encourage</w:t>
      </w:r>
      <w:r>
        <w:rPr>
          <w:rFonts w:ascii="Times New Roman" w:hAnsi="Times New Roman"/>
          <w:color w:val="000000"/>
          <w:szCs w:val="24"/>
        </w:rPr>
        <w:t xml:space="preserve"> </w:t>
      </w:r>
      <w:r w:rsidR="0054621E">
        <w:rPr>
          <w:rFonts w:ascii="Times New Roman" w:hAnsi="Times New Roman"/>
          <w:color w:val="000000"/>
          <w:szCs w:val="24"/>
        </w:rPr>
        <w:t>FDIC-supervised</w:t>
      </w:r>
      <w:r>
        <w:rPr>
          <w:rFonts w:ascii="Times New Roman" w:hAnsi="Times New Roman"/>
          <w:color w:val="000000"/>
          <w:szCs w:val="24"/>
        </w:rPr>
        <w:t xml:space="preserve"> institutions </w:t>
      </w:r>
      <w:r w:rsidR="0054621E">
        <w:rPr>
          <w:rFonts w:ascii="Times New Roman" w:hAnsi="Times New Roman"/>
          <w:color w:val="000000"/>
          <w:szCs w:val="24"/>
        </w:rPr>
        <w:t>to</w:t>
      </w:r>
      <w:r w:rsidR="007729D8">
        <w:rPr>
          <w:rFonts w:ascii="Times New Roman" w:hAnsi="Times New Roman"/>
          <w:color w:val="000000"/>
          <w:szCs w:val="24"/>
        </w:rPr>
        <w:t xml:space="preserve"> </w:t>
      </w:r>
      <w:r>
        <w:rPr>
          <w:rFonts w:ascii="Times New Roman" w:hAnsi="Times New Roman"/>
          <w:color w:val="000000"/>
          <w:szCs w:val="24"/>
        </w:rPr>
        <w:t>effectively assess and manage the compliance</w:t>
      </w:r>
      <w:r w:rsidR="00FF1548">
        <w:rPr>
          <w:rFonts w:ascii="Times New Roman" w:hAnsi="Times New Roman"/>
          <w:color w:val="000000"/>
          <w:szCs w:val="24"/>
        </w:rPr>
        <w:t xml:space="preserve"> </w:t>
      </w:r>
      <w:r>
        <w:rPr>
          <w:rFonts w:ascii="Times New Roman" w:hAnsi="Times New Roman"/>
          <w:color w:val="000000"/>
          <w:szCs w:val="24"/>
        </w:rPr>
        <w:t>risks associated with reverse mortgage products.</w:t>
      </w:r>
    </w:p>
    <w:p w:rsidR="007B6C63" w14:paraId="2ADF66D7" w14:textId="77777777">
      <w:pPr>
        <w:rPr>
          <w:rFonts w:ascii="Times New Roman" w:hAnsi="Times New Roman"/>
        </w:rPr>
      </w:pPr>
    </w:p>
    <w:p w:rsidR="007B6C63" w:rsidP="00A1019D" w14:paraId="577909FD" w14:textId="77777777">
      <w:pPr>
        <w:tabs>
          <w:tab w:val="left" w:pos="-1440"/>
        </w:tabs>
        <w:ind w:left="720" w:hanging="360"/>
        <w:rPr>
          <w:rFonts w:ascii="Times New Roman" w:hAnsi="Times New Roman"/>
        </w:rPr>
      </w:pPr>
      <w:r>
        <w:rPr>
          <w:rFonts w:ascii="Times New Roman" w:hAnsi="Times New Roman"/>
        </w:rPr>
        <w:t>2.</w:t>
      </w:r>
      <w:r>
        <w:rPr>
          <w:rFonts w:ascii="Times New Roman" w:hAnsi="Times New Roman"/>
        </w:rPr>
        <w:tab/>
      </w:r>
      <w:r w:rsidRPr="00FC41DF" w:rsidR="00386C94">
        <w:rPr>
          <w:rFonts w:ascii="Times New Roman" w:hAnsi="Times New Roman"/>
          <w:b/>
          <w:bCs/>
          <w:iCs/>
          <w:szCs w:val="24"/>
          <w:u w:val="single"/>
        </w:rPr>
        <w:t xml:space="preserve">Use of </w:t>
      </w:r>
      <w:r w:rsidRPr="00FC41DF" w:rsidR="00386C94">
        <w:rPr>
          <w:rFonts w:ascii="Times New Roman" w:hAnsi="Times New Roman"/>
          <w:b/>
          <w:u w:val="single"/>
        </w:rPr>
        <w:t>the</w:t>
      </w:r>
      <w:r w:rsidRPr="00FC41DF" w:rsidR="00386C94">
        <w:rPr>
          <w:rFonts w:ascii="Times New Roman" w:hAnsi="Times New Roman"/>
          <w:b/>
          <w:bCs/>
          <w:iCs/>
          <w:szCs w:val="24"/>
          <w:u w:val="single"/>
        </w:rPr>
        <w:t xml:space="preserve"> </w:t>
      </w:r>
      <w:r w:rsidRPr="00A1019D" w:rsidR="00386C94">
        <w:rPr>
          <w:rFonts w:ascii="Times New Roman" w:hAnsi="Times New Roman"/>
          <w:b/>
          <w:bCs/>
          <w:iCs/>
          <w:u w:val="single"/>
        </w:rPr>
        <w:t>information</w:t>
      </w:r>
      <w:r w:rsidR="00386C94">
        <w:rPr>
          <w:rFonts w:ascii="Times New Roman" w:hAnsi="Times New Roman"/>
          <w:b/>
          <w:bCs/>
          <w:iCs/>
          <w:szCs w:val="24"/>
          <w:u w:val="single"/>
        </w:rPr>
        <w:t>:</w:t>
      </w:r>
    </w:p>
    <w:p w:rsidR="007B6C63" w14:paraId="59811E7A" w14:textId="77777777">
      <w:pPr>
        <w:rPr>
          <w:rFonts w:ascii="Times New Roman" w:hAnsi="Times New Roman"/>
        </w:rPr>
      </w:pPr>
    </w:p>
    <w:p w:rsidR="007B6C63" w:rsidP="0054621E" w14:paraId="497B19EB" w14:textId="77777777">
      <w:pPr>
        <w:ind w:left="720"/>
        <w:rPr>
          <w:rFonts w:ascii="Times New Roman" w:hAnsi="Times New Roman"/>
          <w:spacing w:val="-3"/>
        </w:rPr>
      </w:pPr>
      <w:r>
        <w:rPr>
          <w:rFonts w:ascii="Times New Roman" w:hAnsi="Times New Roman"/>
          <w:spacing w:val="-3"/>
        </w:rPr>
        <w:t xml:space="preserve">The FDIC will use the information as part of its supervisory process.  </w:t>
      </w:r>
      <w:r w:rsidRPr="0054621E" w:rsidR="0054621E">
        <w:rPr>
          <w:rFonts w:ascii="Times New Roman" w:hAnsi="Times New Roman"/>
          <w:spacing w:val="-3"/>
        </w:rPr>
        <w:t>The information collection will allow the FDIC to evaluate the adequacy of an institution’s internal policies and procedures as they relate to reverse mortgage products.</w:t>
      </w:r>
      <w:r w:rsidR="0054621E">
        <w:rPr>
          <w:rFonts w:ascii="Times New Roman" w:hAnsi="Times New Roman"/>
          <w:spacing w:val="-3"/>
        </w:rPr>
        <w:t xml:space="preserve"> </w:t>
      </w:r>
      <w:r>
        <w:rPr>
          <w:rFonts w:ascii="Times New Roman" w:hAnsi="Times New Roman"/>
          <w:spacing w:val="-3"/>
        </w:rPr>
        <w:t>Examiners will assess</w:t>
      </w:r>
      <w:r w:rsidRPr="0054621E" w:rsidR="0054621E">
        <w:rPr>
          <w:rFonts w:ascii="Times New Roman" w:hAnsi="Times New Roman"/>
        </w:rPr>
        <w:t xml:space="preserve"> </w:t>
      </w:r>
      <w:r w:rsidR="0054621E">
        <w:rPr>
          <w:rFonts w:ascii="Times New Roman" w:hAnsi="Times New Roman"/>
        </w:rPr>
        <w:t>whether reverse mortgage loans made by the institutions are consistent with existing statutory and regulatory consumer protection criteria, as well as principles of risk management</w:t>
      </w:r>
      <w:r>
        <w:rPr>
          <w:rFonts w:ascii="Times New Roman" w:hAnsi="Times New Roman"/>
          <w:spacing w:val="-3"/>
        </w:rPr>
        <w:t xml:space="preserve"> as part of the safety and soundness examination of the institution.</w:t>
      </w:r>
    </w:p>
    <w:p w:rsidR="0054621E" w:rsidRPr="0054621E" w:rsidP="0054621E" w14:paraId="129E1FEB" w14:textId="77777777">
      <w:pPr>
        <w:ind w:left="720"/>
        <w:rPr>
          <w:rFonts w:ascii="Times New Roman" w:hAnsi="Times New Roman"/>
          <w:spacing w:val="-3"/>
        </w:rPr>
      </w:pPr>
    </w:p>
    <w:p w:rsidR="007B6C63" w14:paraId="573B4227" w14:textId="77777777">
      <w:pPr>
        <w:ind w:left="720"/>
        <w:rPr>
          <w:rFonts w:ascii="Times New Roman" w:hAnsi="Times New Roman"/>
        </w:rPr>
      </w:pPr>
    </w:p>
    <w:p w:rsidR="007B6C63" w:rsidP="00990A9E" w14:paraId="1765AC76" w14:textId="77777777">
      <w:pPr>
        <w:keepNext/>
        <w:tabs>
          <w:tab w:val="left" w:pos="-1440"/>
        </w:tabs>
        <w:ind w:left="720" w:hanging="360"/>
        <w:rPr>
          <w:rFonts w:ascii="Times New Roman" w:hAnsi="Times New Roman"/>
        </w:rPr>
      </w:pPr>
      <w:r>
        <w:rPr>
          <w:rFonts w:ascii="Times New Roman" w:hAnsi="Times New Roman"/>
        </w:rPr>
        <w:t>3.</w:t>
      </w:r>
      <w:r>
        <w:rPr>
          <w:rFonts w:ascii="Times New Roman" w:hAnsi="Times New Roman"/>
        </w:rPr>
        <w:tab/>
      </w:r>
      <w:r w:rsidRPr="00A1019D" w:rsidR="00386C94">
        <w:rPr>
          <w:rFonts w:ascii="Times New Roman" w:hAnsi="Times New Roman"/>
          <w:b/>
          <w:bCs/>
          <w:iCs/>
          <w:u w:val="single"/>
        </w:rPr>
        <w:t>Consideration</w:t>
      </w:r>
      <w:r w:rsidRPr="00FC41DF" w:rsidR="00386C94">
        <w:rPr>
          <w:rFonts w:ascii="Times New Roman" w:hAnsi="Times New Roman"/>
          <w:b/>
          <w:bCs/>
          <w:iCs/>
          <w:szCs w:val="24"/>
          <w:u w:val="single"/>
        </w:rPr>
        <w:t xml:space="preserve"> of the use of improved information technology:</w:t>
      </w:r>
    </w:p>
    <w:p w:rsidR="007B6C63" w:rsidP="00990A9E" w14:paraId="3295D9A0" w14:textId="77777777">
      <w:pPr>
        <w:keepNext/>
        <w:rPr>
          <w:rFonts w:ascii="Times New Roman" w:hAnsi="Times New Roman"/>
        </w:rPr>
      </w:pPr>
    </w:p>
    <w:p w:rsidR="000855E4" w:rsidP="00990A9E" w14:paraId="39CA8FCA" w14:textId="77777777">
      <w:pPr>
        <w:keepNext/>
        <w:ind w:left="720"/>
        <w:rPr>
          <w:rFonts w:ascii="Times New Roman" w:hAnsi="Times New Roman"/>
        </w:rPr>
      </w:pPr>
      <w:r>
        <w:rPr>
          <w:rFonts w:ascii="Times New Roman" w:hAnsi="Times New Roman"/>
        </w:rPr>
        <w:t xml:space="preserve">FDIC-supervised institutions may use any technology they wish </w:t>
      </w:r>
      <w:r>
        <w:rPr>
          <w:rFonts w:ascii="Times New Roman" w:hAnsi="Times New Roman"/>
        </w:rPr>
        <w:t>in order to</w:t>
      </w:r>
      <w:r>
        <w:rPr>
          <w:rFonts w:ascii="Times New Roman" w:hAnsi="Times New Roman"/>
        </w:rPr>
        <w:t xml:space="preserve"> lessen the burden of meeting this recordkeeping requirement.</w:t>
      </w:r>
    </w:p>
    <w:p w:rsidR="007B6C63" w14:paraId="2AFB08DB" w14:textId="77777777">
      <w:pPr>
        <w:ind w:left="1440"/>
        <w:rPr>
          <w:rFonts w:ascii="Times New Roman" w:hAnsi="Times New Roman"/>
        </w:rPr>
      </w:pPr>
    </w:p>
    <w:p w:rsidR="007B6C63" w14:paraId="7B8F968B" w14:textId="77777777">
      <w:pPr>
        <w:rPr>
          <w:rFonts w:ascii="Times New Roman" w:hAnsi="Times New Roman"/>
        </w:rPr>
      </w:pPr>
    </w:p>
    <w:p w:rsidR="007B6C63" w:rsidP="00A1019D" w14:paraId="4E8F3C4B" w14:textId="77777777">
      <w:pPr>
        <w:tabs>
          <w:tab w:val="left" w:pos="-1440"/>
        </w:tabs>
        <w:ind w:left="720" w:hanging="360"/>
        <w:rPr>
          <w:rFonts w:ascii="Times New Roman" w:hAnsi="Times New Roman"/>
        </w:rPr>
      </w:pPr>
      <w:r>
        <w:rPr>
          <w:rFonts w:ascii="Times New Roman" w:hAnsi="Times New Roman"/>
        </w:rPr>
        <w:t>4.</w:t>
      </w:r>
      <w:r>
        <w:rPr>
          <w:rFonts w:ascii="Times New Roman" w:hAnsi="Times New Roman"/>
        </w:rPr>
        <w:tab/>
      </w:r>
      <w:r w:rsidRPr="00A1019D" w:rsidR="00386C94">
        <w:rPr>
          <w:rFonts w:ascii="Times New Roman" w:hAnsi="Times New Roman"/>
          <w:b/>
          <w:bCs/>
          <w:iCs/>
          <w:u w:val="single"/>
        </w:rPr>
        <w:t>Efforts</w:t>
      </w:r>
      <w:r w:rsidRPr="00386C94" w:rsidR="00386C94">
        <w:rPr>
          <w:rFonts w:ascii="Times New Roman" w:hAnsi="Times New Roman"/>
          <w:b/>
          <w:spacing w:val="-1"/>
          <w:szCs w:val="24"/>
          <w:u w:val="single"/>
        </w:rPr>
        <w:t xml:space="preserve"> to identify duplication:</w:t>
      </w:r>
    </w:p>
    <w:p w:rsidR="000855E4" w14:paraId="6808F55E" w14:textId="77777777">
      <w:pPr>
        <w:ind w:left="1440"/>
        <w:rPr>
          <w:rFonts w:ascii="Times New Roman" w:hAnsi="Times New Roman"/>
        </w:rPr>
      </w:pPr>
    </w:p>
    <w:p w:rsidR="007B6C63" w:rsidP="000B0581" w14:paraId="3AB9F51C" w14:textId="77777777">
      <w:pPr>
        <w:ind w:left="720"/>
        <w:rPr>
          <w:rFonts w:ascii="Times New Roman" w:hAnsi="Times New Roman"/>
        </w:rPr>
      </w:pPr>
      <w:r>
        <w:rPr>
          <w:rFonts w:ascii="Times New Roman" w:hAnsi="Times New Roman"/>
          <w:color w:val="000000"/>
          <w:szCs w:val="24"/>
        </w:rPr>
        <w:t>To the extent that institutions already have policies in place that comply with the requirements of the guidance, no new policies would be necessary.  Generally, the requirement to adopt policies and internal controls for reverse mortgage products would be supplementary to a bank’s existing loan policies.</w:t>
      </w:r>
    </w:p>
    <w:p w:rsidR="007B6C63" w14:paraId="0AFD0479" w14:textId="77777777">
      <w:pPr>
        <w:rPr>
          <w:rFonts w:ascii="Times New Roman" w:hAnsi="Times New Roman"/>
        </w:rPr>
      </w:pPr>
    </w:p>
    <w:p w:rsidR="007B6C63" w:rsidP="00A1019D" w14:paraId="27A14C82" w14:textId="77777777">
      <w:pPr>
        <w:tabs>
          <w:tab w:val="left" w:pos="-1440"/>
        </w:tabs>
        <w:ind w:left="720" w:hanging="360"/>
        <w:rPr>
          <w:rFonts w:ascii="Times New Roman" w:hAnsi="Times New Roman"/>
        </w:rPr>
      </w:pPr>
      <w:r>
        <w:rPr>
          <w:rFonts w:ascii="Times New Roman" w:hAnsi="Times New Roman"/>
        </w:rPr>
        <w:t>5.</w:t>
      </w:r>
      <w:r>
        <w:rPr>
          <w:rFonts w:ascii="Times New Roman" w:hAnsi="Times New Roman"/>
        </w:rPr>
        <w:tab/>
      </w:r>
      <w:r w:rsidRPr="00386C94" w:rsidR="00386C94">
        <w:rPr>
          <w:rFonts w:ascii="Times New Roman" w:hAnsi="Times New Roman"/>
          <w:b/>
          <w:bCs/>
          <w:iCs/>
          <w:u w:val="single"/>
        </w:rPr>
        <w:t>Methods used to minimize burden if the collection has a significant impact on a</w:t>
      </w:r>
      <w:r w:rsidR="00A1019D">
        <w:rPr>
          <w:rFonts w:ascii="Times New Roman" w:hAnsi="Times New Roman"/>
          <w:b/>
          <w:bCs/>
          <w:iCs/>
          <w:u w:val="single"/>
        </w:rPr>
        <w:t xml:space="preserve"> </w:t>
      </w:r>
      <w:r w:rsidRPr="00386C94" w:rsidR="00386C94">
        <w:rPr>
          <w:rFonts w:ascii="Times New Roman" w:hAnsi="Times New Roman"/>
          <w:b/>
          <w:bCs/>
          <w:iCs/>
          <w:u w:val="single"/>
        </w:rPr>
        <w:t>substantial number of small entities:</w:t>
      </w:r>
    </w:p>
    <w:p w:rsidR="007B6C63" w14:paraId="7200D3B1" w14:textId="77777777">
      <w:pPr>
        <w:rPr>
          <w:rFonts w:ascii="Times New Roman" w:hAnsi="Times New Roman"/>
        </w:rPr>
      </w:pPr>
    </w:p>
    <w:p w:rsidR="007B6C63" w:rsidP="000B0581" w14:paraId="24C61D8C" w14:textId="5082E4F8">
      <w:pPr>
        <w:ind w:left="720"/>
        <w:rPr>
          <w:rFonts w:ascii="Times New Roman" w:hAnsi="Times New Roman"/>
        </w:rPr>
      </w:pPr>
      <w:r>
        <w:rPr>
          <w:rFonts w:ascii="Times New Roman" w:hAnsi="Times New Roman"/>
        </w:rPr>
        <w:t xml:space="preserve">All </w:t>
      </w:r>
      <w:r w:rsidR="00003E86">
        <w:rPr>
          <w:rFonts w:ascii="Times New Roman" w:hAnsi="Times New Roman"/>
        </w:rPr>
        <w:t>FDIC-supervised</w:t>
      </w:r>
      <w:r>
        <w:rPr>
          <w:rFonts w:ascii="Times New Roman" w:hAnsi="Times New Roman"/>
        </w:rPr>
        <w:t xml:space="preserve"> institutions, large and small, are </w:t>
      </w:r>
      <w:r w:rsidR="00371017">
        <w:rPr>
          <w:rFonts w:ascii="Times New Roman" w:hAnsi="Times New Roman"/>
        </w:rPr>
        <w:t>affected</w:t>
      </w:r>
      <w:r w:rsidR="000855E4">
        <w:rPr>
          <w:rFonts w:ascii="Times New Roman" w:hAnsi="Times New Roman"/>
        </w:rPr>
        <w:t xml:space="preserve">. </w:t>
      </w:r>
      <w:r w:rsidR="00003E86">
        <w:rPr>
          <w:rFonts w:ascii="Times New Roman" w:hAnsi="Times New Roman"/>
          <w:spacing w:val="-3"/>
        </w:rPr>
        <w:t xml:space="preserve">Small insured state nonmember banks and state savings associations generally have a narrower range of products and less complex </w:t>
      </w:r>
      <w:r w:rsidR="00414ECF">
        <w:rPr>
          <w:rFonts w:ascii="Times New Roman" w:hAnsi="Times New Roman"/>
          <w:spacing w:val="-3"/>
        </w:rPr>
        <w:t>operations</w:t>
      </w:r>
      <w:r w:rsidR="00003E86">
        <w:rPr>
          <w:rFonts w:ascii="Times New Roman" w:hAnsi="Times New Roman"/>
          <w:spacing w:val="-3"/>
        </w:rPr>
        <w:t xml:space="preserve">. </w:t>
      </w:r>
      <w:r w:rsidR="00414ECF">
        <w:rPr>
          <w:rFonts w:ascii="Times New Roman" w:hAnsi="Times New Roman"/>
          <w:spacing w:val="-3"/>
        </w:rPr>
        <w:t xml:space="preserve">Therefore, these smaller institutions may not </w:t>
      </w:r>
      <w:r w:rsidR="001305D1">
        <w:rPr>
          <w:rFonts w:ascii="Times New Roman" w:hAnsi="Times New Roman"/>
          <w:spacing w:val="-3"/>
        </w:rPr>
        <w:t>offer reverse mortgages</w:t>
      </w:r>
      <w:r w:rsidR="00371017">
        <w:rPr>
          <w:rFonts w:ascii="Times New Roman" w:hAnsi="Times New Roman"/>
          <w:spacing w:val="-3"/>
        </w:rPr>
        <w:t xml:space="preserve">.  </w:t>
      </w:r>
      <w:r w:rsidR="001305D1">
        <w:rPr>
          <w:rFonts w:ascii="Times New Roman" w:hAnsi="Times New Roman"/>
          <w:szCs w:val="24"/>
        </w:rPr>
        <w:t>The requirement that institutions adopt policies and internal controls to ensure appropriate consumer disclosures is the minimum necessary to ensure that the compliance risk arising from reverse mortgage products are adequately addressed.  Small entities can choose whether to offer reverse mortgage products.</w:t>
      </w:r>
    </w:p>
    <w:p w:rsidR="007B6C63" w14:paraId="5F683B3B" w14:textId="77777777">
      <w:pPr>
        <w:rPr>
          <w:rFonts w:ascii="Times New Roman" w:hAnsi="Times New Roman"/>
        </w:rPr>
      </w:pPr>
    </w:p>
    <w:p w:rsidR="007B6C63" w:rsidRPr="00FC41DF" w:rsidP="00A1019D" w14:paraId="3CB52931" w14:textId="77777777">
      <w:pPr>
        <w:tabs>
          <w:tab w:val="left" w:pos="-1440"/>
        </w:tabs>
        <w:ind w:left="720" w:hanging="360"/>
        <w:rPr>
          <w:rFonts w:ascii="Times New Roman" w:hAnsi="Times New Roman"/>
          <w:b/>
          <w:bCs/>
          <w:iCs/>
          <w:u w:val="single"/>
        </w:rPr>
      </w:pPr>
      <w:r>
        <w:rPr>
          <w:rFonts w:ascii="Times New Roman" w:hAnsi="Times New Roman"/>
        </w:rPr>
        <w:t>6.</w:t>
      </w:r>
      <w:r>
        <w:rPr>
          <w:rFonts w:ascii="Times New Roman" w:hAnsi="Times New Roman"/>
        </w:rPr>
        <w:tab/>
      </w:r>
      <w:r w:rsidRPr="00A1019D" w:rsidR="00386C94">
        <w:rPr>
          <w:rFonts w:ascii="Times New Roman" w:hAnsi="Times New Roman"/>
          <w:b/>
          <w:bCs/>
          <w:iCs/>
          <w:u w:val="single"/>
        </w:rPr>
        <w:t>Consequences</w:t>
      </w:r>
      <w:r w:rsidRPr="00FC41DF" w:rsidR="00386C94">
        <w:rPr>
          <w:rFonts w:ascii="Times New Roman" w:hAnsi="Times New Roman"/>
          <w:b/>
          <w:bCs/>
          <w:iCs/>
          <w:u w:val="single"/>
        </w:rPr>
        <w:t xml:space="preserve"> to the Federal program if the collection were conducted less frequently:</w:t>
      </w:r>
    </w:p>
    <w:p w:rsidR="007B6C63" w14:paraId="0CF9FFB7" w14:textId="77777777">
      <w:pPr>
        <w:rPr>
          <w:rFonts w:ascii="Times New Roman" w:hAnsi="Times New Roman"/>
        </w:rPr>
      </w:pPr>
    </w:p>
    <w:p w:rsidR="007B6C63" w:rsidP="000B0581" w14:paraId="6DD3CAD2" w14:textId="77777777">
      <w:pPr>
        <w:ind w:left="720"/>
        <w:rPr>
          <w:rFonts w:ascii="Times New Roman" w:hAnsi="Times New Roman"/>
        </w:rPr>
      </w:pPr>
      <w:r>
        <w:rPr>
          <w:rFonts w:ascii="Times New Roman" w:hAnsi="Times New Roman"/>
        </w:rPr>
        <w:t xml:space="preserve">Less frequent collection would </w:t>
      </w:r>
      <w:r w:rsidR="009557A1">
        <w:rPr>
          <w:rFonts w:ascii="Times New Roman" w:hAnsi="Times New Roman"/>
        </w:rPr>
        <w:t>hinder the FDIC’s ability to assess the safety and soundness of FDIC-supervised institutions and take corrective action as needed.</w:t>
      </w:r>
    </w:p>
    <w:p w:rsidR="007B6C63" w:rsidRPr="00386C94" w14:paraId="7118D518" w14:textId="77777777">
      <w:pPr>
        <w:rPr>
          <w:rFonts w:ascii="Times New Roman" w:hAnsi="Times New Roman"/>
        </w:rPr>
      </w:pPr>
    </w:p>
    <w:p w:rsidR="00386C94" w:rsidRPr="00386C94" w:rsidP="00A1019D" w14:paraId="60B3EED4" w14:textId="77777777">
      <w:pPr>
        <w:tabs>
          <w:tab w:val="left" w:pos="-1440"/>
        </w:tabs>
        <w:ind w:left="720" w:hanging="360"/>
        <w:rPr>
          <w:rFonts w:ascii="Times New Roman" w:hAnsi="Times New Roman"/>
          <w:b/>
          <w:bCs/>
          <w:iCs/>
        </w:rPr>
      </w:pPr>
      <w:r w:rsidRPr="00386C94">
        <w:rPr>
          <w:rFonts w:ascii="Times New Roman" w:hAnsi="Times New Roman"/>
        </w:rPr>
        <w:t>7.</w:t>
      </w:r>
      <w:r w:rsidRPr="00386C94">
        <w:rPr>
          <w:rFonts w:ascii="Times New Roman" w:hAnsi="Times New Roman"/>
        </w:rPr>
        <w:tab/>
      </w:r>
      <w:r w:rsidRPr="00A1019D">
        <w:rPr>
          <w:rFonts w:ascii="Times New Roman" w:hAnsi="Times New Roman"/>
          <w:b/>
          <w:bCs/>
          <w:iCs/>
          <w:u w:val="single"/>
        </w:rPr>
        <w:t>Special circumstances necessitating collection inconsistent with 5 CFR Part 1320.5(d)(2):</w:t>
      </w:r>
    </w:p>
    <w:p w:rsidR="007B6C63" w14:paraId="71DE379E" w14:textId="77777777">
      <w:pPr>
        <w:rPr>
          <w:rFonts w:ascii="Times New Roman" w:hAnsi="Times New Roman"/>
        </w:rPr>
      </w:pPr>
    </w:p>
    <w:p w:rsidR="007B6C63" w:rsidP="000B0581" w14:paraId="7508AB38" w14:textId="77777777">
      <w:pPr>
        <w:ind w:left="720"/>
        <w:rPr>
          <w:rFonts w:ascii="Times New Roman" w:hAnsi="Times New Roman"/>
        </w:rPr>
      </w:pPr>
      <w:r>
        <w:rPr>
          <w:rFonts w:ascii="Times New Roman" w:hAnsi="Times New Roman"/>
          <w:bCs/>
          <w:iCs/>
          <w:szCs w:val="24"/>
        </w:rPr>
        <w:t xml:space="preserve">None.  </w:t>
      </w:r>
      <w:r w:rsidRPr="00386C94">
        <w:rPr>
          <w:rFonts w:ascii="Times New Roman" w:hAnsi="Times New Roman"/>
        </w:rPr>
        <w:t>The</w:t>
      </w:r>
      <w:r w:rsidRPr="000C4F75">
        <w:rPr>
          <w:rFonts w:ascii="Times New Roman" w:hAnsi="Times New Roman"/>
          <w:bCs/>
          <w:iCs/>
          <w:szCs w:val="24"/>
        </w:rPr>
        <w:t xml:space="preserve"> information is collected in a manner consistent with </w:t>
      </w:r>
      <w:r>
        <w:rPr>
          <w:rFonts w:ascii="Times New Roman" w:hAnsi="Times New Roman"/>
          <w:bCs/>
          <w:iCs/>
          <w:szCs w:val="24"/>
        </w:rPr>
        <w:t>5</w:t>
      </w:r>
      <w:r w:rsidRPr="000C4F75">
        <w:rPr>
          <w:rFonts w:ascii="Times New Roman" w:hAnsi="Times New Roman"/>
          <w:bCs/>
          <w:iCs/>
          <w:szCs w:val="24"/>
        </w:rPr>
        <w:t xml:space="preserve"> CFR 1320.5(d)(2).</w:t>
      </w:r>
    </w:p>
    <w:p w:rsidR="007B6C63" w14:paraId="689D893D" w14:textId="77777777">
      <w:pPr>
        <w:rPr>
          <w:rFonts w:ascii="Times New Roman" w:hAnsi="Times New Roman"/>
        </w:rPr>
      </w:pPr>
    </w:p>
    <w:p w:rsidR="007B6C63" w:rsidP="00A1019D" w14:paraId="7EA6D9C6" w14:textId="77777777">
      <w:pPr>
        <w:tabs>
          <w:tab w:val="left" w:pos="-1440"/>
        </w:tabs>
        <w:ind w:left="720" w:hanging="360"/>
        <w:rPr>
          <w:rFonts w:ascii="Times New Roman" w:hAnsi="Times New Roman"/>
        </w:rPr>
      </w:pPr>
      <w:r>
        <w:rPr>
          <w:rFonts w:ascii="Times New Roman" w:hAnsi="Times New Roman"/>
        </w:rPr>
        <w:t>8.</w:t>
      </w:r>
      <w:r>
        <w:rPr>
          <w:rFonts w:ascii="Times New Roman" w:hAnsi="Times New Roman"/>
        </w:rPr>
        <w:tab/>
      </w:r>
      <w:r w:rsidRPr="00A1019D" w:rsidR="00D55074">
        <w:rPr>
          <w:rFonts w:ascii="Times New Roman" w:hAnsi="Times New Roman"/>
          <w:b/>
          <w:bCs/>
          <w:iCs/>
          <w:u w:val="single"/>
        </w:rPr>
        <w:t>Efforts</w:t>
      </w:r>
      <w:r w:rsidRPr="00D55074" w:rsidR="00D55074">
        <w:rPr>
          <w:rFonts w:ascii="Times New Roman" w:hAnsi="Times New Roman"/>
          <w:b/>
          <w:bCs/>
          <w:iCs/>
          <w:szCs w:val="24"/>
          <w:u w:val="single"/>
        </w:rPr>
        <w:t xml:space="preserve"> to consult with </w:t>
      </w:r>
      <w:r w:rsidRPr="00D55074" w:rsidR="00D55074">
        <w:rPr>
          <w:rFonts w:ascii="Times New Roman" w:hAnsi="Times New Roman"/>
          <w:b/>
          <w:bCs/>
          <w:iCs/>
          <w:szCs w:val="24"/>
          <w:u w:val="single"/>
        </w:rPr>
        <w:t>persons</w:t>
      </w:r>
      <w:r w:rsidRPr="00D55074" w:rsidR="00D55074">
        <w:rPr>
          <w:rFonts w:ascii="Times New Roman" w:hAnsi="Times New Roman"/>
          <w:b/>
          <w:bCs/>
          <w:iCs/>
          <w:szCs w:val="24"/>
          <w:u w:val="single"/>
        </w:rPr>
        <w:t xml:space="preserve"> outside the agency:</w:t>
      </w:r>
    </w:p>
    <w:p w:rsidR="007B6C63" w14:paraId="61FD815B" w14:textId="77777777">
      <w:pPr>
        <w:rPr>
          <w:rFonts w:ascii="Times New Roman" w:hAnsi="Times New Roman"/>
        </w:rPr>
      </w:pPr>
    </w:p>
    <w:p w:rsidR="007B6C63" w:rsidP="000B0581" w14:paraId="555866C9" w14:textId="64AEB6AA">
      <w:pPr>
        <w:ind w:left="720"/>
        <w:rPr>
          <w:rFonts w:ascii="Times New Roman" w:hAnsi="Times New Roman"/>
        </w:rPr>
      </w:pPr>
      <w:r>
        <w:rPr>
          <w:rFonts w:ascii="Times New Roman" w:hAnsi="Times New Roman"/>
        </w:rPr>
        <w:t xml:space="preserve">The FDIC </w:t>
      </w:r>
      <w:r w:rsidR="00DE2D0B">
        <w:rPr>
          <w:rFonts w:ascii="Times New Roman" w:hAnsi="Times New Roman"/>
        </w:rPr>
        <w:t xml:space="preserve">published a notice in the </w:t>
      </w:r>
      <w:r w:rsidRPr="00016CA6" w:rsidR="00DE2D0B">
        <w:rPr>
          <w:rFonts w:ascii="Times New Roman" w:hAnsi="Times New Roman"/>
          <w:i/>
        </w:rPr>
        <w:t>Federal</w:t>
      </w:r>
      <w:r w:rsidR="00DE2D0B">
        <w:rPr>
          <w:rFonts w:ascii="Times New Roman" w:hAnsi="Times New Roman"/>
          <w:i/>
        </w:rPr>
        <w:t xml:space="preserve"> Register</w:t>
      </w:r>
      <w:r w:rsidR="00DE2D0B">
        <w:rPr>
          <w:rFonts w:ascii="Times New Roman" w:hAnsi="Times New Roman"/>
        </w:rPr>
        <w:t xml:space="preserve"> seeking </w:t>
      </w:r>
      <w:r>
        <w:rPr>
          <w:rFonts w:ascii="Times New Roman" w:hAnsi="Times New Roman"/>
        </w:rPr>
        <w:t xml:space="preserve">comment </w:t>
      </w:r>
      <w:r w:rsidR="00DE2D0B">
        <w:rPr>
          <w:rFonts w:ascii="Times New Roman" w:hAnsi="Times New Roman"/>
        </w:rPr>
        <w:t xml:space="preserve">for a </w:t>
      </w:r>
      <w:r w:rsidR="0013126F">
        <w:rPr>
          <w:rFonts w:ascii="Times New Roman" w:hAnsi="Times New Roman"/>
        </w:rPr>
        <w:t>6</w:t>
      </w:r>
      <w:r w:rsidR="00DE2D0B">
        <w:rPr>
          <w:rFonts w:ascii="Times New Roman" w:hAnsi="Times New Roman"/>
        </w:rPr>
        <w:t xml:space="preserve">0-day period on renewal of this information collection </w:t>
      </w:r>
      <w:r>
        <w:rPr>
          <w:rFonts w:ascii="Times New Roman" w:hAnsi="Times New Roman"/>
        </w:rPr>
        <w:t xml:space="preserve">on </w:t>
      </w:r>
      <w:r w:rsidR="00ED6930">
        <w:rPr>
          <w:rFonts w:ascii="Times New Roman" w:hAnsi="Times New Roman"/>
        </w:rPr>
        <w:t>July 2, 2026</w:t>
      </w:r>
      <w:r w:rsidR="0004016C">
        <w:rPr>
          <w:rFonts w:ascii="Times New Roman" w:hAnsi="Times New Roman"/>
        </w:rPr>
        <w:t xml:space="preserve"> </w:t>
      </w:r>
      <w:r w:rsidR="00DE2D0B">
        <w:rPr>
          <w:rFonts w:ascii="Times New Roman" w:hAnsi="Times New Roman"/>
        </w:rPr>
        <w:t>(</w:t>
      </w:r>
      <w:r w:rsidR="004626F6">
        <w:rPr>
          <w:rFonts w:ascii="Times New Roman" w:hAnsi="Times New Roman"/>
        </w:rPr>
        <w:t>91</w:t>
      </w:r>
      <w:r w:rsidR="00DE2D0B">
        <w:rPr>
          <w:rFonts w:ascii="Times New Roman" w:hAnsi="Times New Roman"/>
        </w:rPr>
        <w:t xml:space="preserve"> FR </w:t>
      </w:r>
      <w:r w:rsidR="004626F6">
        <w:rPr>
          <w:rFonts w:ascii="Times New Roman" w:hAnsi="Times New Roman"/>
        </w:rPr>
        <w:t>40537</w:t>
      </w:r>
      <w:r w:rsidR="00DE2D0B">
        <w:rPr>
          <w:rFonts w:ascii="Times New Roman" w:hAnsi="Times New Roman"/>
        </w:rPr>
        <w:t>)</w:t>
      </w:r>
      <w:r>
        <w:rPr>
          <w:rFonts w:ascii="Times New Roman" w:hAnsi="Times New Roman"/>
        </w:rPr>
        <w:t xml:space="preserve">.  No comments </w:t>
      </w:r>
      <w:r w:rsidR="002F3994">
        <w:rPr>
          <w:rFonts w:ascii="Times New Roman" w:hAnsi="Times New Roman"/>
        </w:rPr>
        <w:t xml:space="preserve">have been </w:t>
      </w:r>
      <w:r>
        <w:rPr>
          <w:rFonts w:ascii="Times New Roman" w:hAnsi="Times New Roman"/>
        </w:rPr>
        <w:t>received.</w:t>
      </w:r>
    </w:p>
    <w:p w:rsidR="007B6C63" w14:paraId="3B6C07FC" w14:textId="77777777">
      <w:pPr>
        <w:rPr>
          <w:rFonts w:ascii="Times New Roman" w:hAnsi="Times New Roman"/>
        </w:rPr>
      </w:pPr>
    </w:p>
    <w:p w:rsidR="007B6C63" w:rsidP="00A1019D" w14:paraId="3A7B15A8" w14:textId="77777777">
      <w:pPr>
        <w:tabs>
          <w:tab w:val="left" w:pos="-1440"/>
        </w:tabs>
        <w:ind w:left="720" w:hanging="360"/>
        <w:rPr>
          <w:rFonts w:ascii="Times New Roman" w:hAnsi="Times New Roman"/>
        </w:rPr>
      </w:pPr>
      <w:r>
        <w:rPr>
          <w:rFonts w:ascii="Times New Roman" w:hAnsi="Times New Roman"/>
        </w:rPr>
        <w:t>9.</w:t>
      </w:r>
      <w:r>
        <w:rPr>
          <w:rFonts w:ascii="Times New Roman" w:hAnsi="Times New Roman"/>
        </w:rPr>
        <w:tab/>
      </w:r>
      <w:r w:rsidRPr="00A1019D" w:rsidR="00881712">
        <w:rPr>
          <w:rFonts w:ascii="Times New Roman" w:hAnsi="Times New Roman"/>
          <w:b/>
          <w:bCs/>
          <w:iCs/>
          <w:u w:val="single"/>
        </w:rPr>
        <w:t>Payment</w:t>
      </w:r>
      <w:r w:rsidRPr="00881712" w:rsidR="00881712">
        <w:rPr>
          <w:rFonts w:ascii="Times New Roman" w:hAnsi="Times New Roman"/>
          <w:b/>
          <w:spacing w:val="-10"/>
          <w:szCs w:val="24"/>
          <w:u w:val="single"/>
        </w:rPr>
        <w:t xml:space="preserve"> </w:t>
      </w:r>
      <w:r w:rsidRPr="00881712" w:rsidR="00881712">
        <w:rPr>
          <w:rFonts w:ascii="Times New Roman" w:hAnsi="Times New Roman"/>
          <w:b/>
          <w:spacing w:val="1"/>
          <w:szCs w:val="24"/>
          <w:u w:val="single"/>
        </w:rPr>
        <w:t>or</w:t>
      </w:r>
      <w:r w:rsidRPr="00881712" w:rsidR="00881712">
        <w:rPr>
          <w:rFonts w:ascii="Times New Roman" w:hAnsi="Times New Roman"/>
          <w:b/>
          <w:spacing w:val="-7"/>
          <w:szCs w:val="24"/>
          <w:u w:val="single"/>
        </w:rPr>
        <w:t xml:space="preserve"> </w:t>
      </w:r>
      <w:r w:rsidRPr="00881712" w:rsidR="00881712">
        <w:rPr>
          <w:rFonts w:ascii="Times New Roman" w:hAnsi="Times New Roman"/>
          <w:b/>
          <w:spacing w:val="-5"/>
          <w:szCs w:val="24"/>
          <w:u w:val="single"/>
        </w:rPr>
        <w:t>gifts to respondents:</w:t>
      </w:r>
    </w:p>
    <w:p w:rsidR="007B6C63" w14:paraId="1EFA8FF8" w14:textId="77777777">
      <w:pPr>
        <w:rPr>
          <w:rFonts w:ascii="Times New Roman" w:hAnsi="Times New Roman"/>
        </w:rPr>
      </w:pPr>
    </w:p>
    <w:p w:rsidR="007B6C63" w:rsidP="000B0581" w14:paraId="0D71F0F1" w14:textId="77777777">
      <w:pPr>
        <w:ind w:left="720"/>
        <w:rPr>
          <w:rFonts w:ascii="Times New Roman" w:hAnsi="Times New Roman"/>
        </w:rPr>
      </w:pPr>
      <w:r>
        <w:rPr>
          <w:rFonts w:ascii="Times New Roman" w:hAnsi="Times New Roman"/>
        </w:rPr>
        <w:t>None.</w:t>
      </w:r>
    </w:p>
    <w:p w:rsidR="007B6C63" w:rsidP="00437618" w14:paraId="67350AD7" w14:textId="77777777">
      <w:pPr>
        <w:keepNext/>
        <w:ind w:left="720" w:firstLine="720"/>
        <w:rPr>
          <w:rFonts w:ascii="Times New Roman" w:hAnsi="Times New Roman"/>
        </w:rPr>
      </w:pPr>
    </w:p>
    <w:p w:rsidR="007B6C63" w:rsidP="00437618" w14:paraId="78EDCA45" w14:textId="77777777">
      <w:pPr>
        <w:keepNext/>
        <w:tabs>
          <w:tab w:val="left" w:pos="-1440"/>
        </w:tabs>
        <w:ind w:left="720" w:hanging="360"/>
        <w:rPr>
          <w:rFonts w:ascii="Times New Roman" w:hAnsi="Times New Roman"/>
        </w:rPr>
      </w:pPr>
      <w:r>
        <w:rPr>
          <w:rFonts w:ascii="Times New Roman" w:hAnsi="Times New Roman"/>
        </w:rPr>
        <w:t>10.</w:t>
      </w:r>
      <w:r>
        <w:rPr>
          <w:rFonts w:ascii="Times New Roman" w:hAnsi="Times New Roman"/>
        </w:rPr>
        <w:tab/>
      </w:r>
      <w:r w:rsidRPr="00A1019D" w:rsidR="00881712">
        <w:rPr>
          <w:rFonts w:ascii="Times New Roman" w:hAnsi="Times New Roman"/>
          <w:b/>
          <w:bCs/>
          <w:iCs/>
          <w:u w:val="single"/>
        </w:rPr>
        <w:t>Any</w:t>
      </w:r>
      <w:r w:rsidRPr="00881712" w:rsidR="00881712">
        <w:rPr>
          <w:rFonts w:ascii="Times New Roman" w:hAnsi="Times New Roman"/>
          <w:b/>
          <w:bCs/>
          <w:iCs/>
          <w:szCs w:val="24"/>
          <w:u w:val="single"/>
        </w:rPr>
        <w:t xml:space="preserve"> assurance of confidentiality:</w:t>
      </w:r>
    </w:p>
    <w:p w:rsidR="007B6C63" w:rsidP="00437618" w14:paraId="5575B60C" w14:textId="77777777">
      <w:pPr>
        <w:keepNext/>
        <w:rPr>
          <w:rFonts w:ascii="Times New Roman" w:hAnsi="Times New Roman"/>
        </w:rPr>
      </w:pPr>
    </w:p>
    <w:p w:rsidR="00881712" w:rsidP="00437618" w14:paraId="1FD5C34D" w14:textId="77777777">
      <w:pPr>
        <w:keepNext/>
        <w:ind w:left="720"/>
        <w:rPr>
          <w:rFonts w:ascii="Times New Roman" w:hAnsi="Times New Roman"/>
        </w:rPr>
      </w:pPr>
      <w:r>
        <w:rPr>
          <w:rFonts w:ascii="Times New Roman" w:hAnsi="Times New Roman"/>
        </w:rPr>
        <w:t>Information is kept private to the extent allowed by law</w:t>
      </w:r>
      <w:r w:rsidRPr="00371017" w:rsidR="00371017">
        <w:rPr>
          <w:rFonts w:ascii="Times New Roman" w:hAnsi="Times New Roman"/>
        </w:rPr>
        <w:t>.</w:t>
      </w:r>
    </w:p>
    <w:p w:rsidR="007B6C63" w14:paraId="66B22BC0" w14:textId="77777777">
      <w:pPr>
        <w:ind w:left="720" w:firstLine="720"/>
        <w:rPr>
          <w:rFonts w:ascii="Times New Roman" w:hAnsi="Times New Roman"/>
        </w:rPr>
      </w:pPr>
    </w:p>
    <w:p w:rsidR="00881712" w:rsidRPr="00F04445" w:rsidP="00A1019D" w14:paraId="5C45493A" w14:textId="77777777">
      <w:pPr>
        <w:tabs>
          <w:tab w:val="left" w:pos="-1440"/>
        </w:tabs>
        <w:ind w:left="720" w:hanging="360"/>
        <w:rPr>
          <w:rFonts w:ascii="Times New Roman" w:hAnsi="Times New Roman"/>
          <w:b/>
          <w:spacing w:val="-1"/>
          <w:szCs w:val="24"/>
        </w:rPr>
      </w:pPr>
      <w:r w:rsidRPr="00881712">
        <w:rPr>
          <w:rFonts w:ascii="Times New Roman" w:hAnsi="Times New Roman"/>
        </w:rPr>
        <w:t>11.</w:t>
      </w:r>
      <w:r w:rsidRPr="00881712">
        <w:rPr>
          <w:rFonts w:ascii="Times New Roman" w:hAnsi="Times New Roman"/>
        </w:rPr>
        <w:tab/>
      </w:r>
      <w:r w:rsidRPr="00846A1A">
        <w:rPr>
          <w:rFonts w:ascii="Times New Roman" w:hAnsi="Times New Roman"/>
          <w:b/>
          <w:bCs/>
          <w:iCs/>
          <w:u w:val="single"/>
        </w:rPr>
        <w:t>Justification</w:t>
      </w:r>
      <w:r w:rsidRPr="00846A1A">
        <w:rPr>
          <w:rFonts w:ascii="Times New Roman" w:hAnsi="Times New Roman"/>
          <w:b/>
          <w:bCs/>
          <w:spacing w:val="-1"/>
          <w:szCs w:val="24"/>
          <w:u w:val="single"/>
        </w:rPr>
        <w:t xml:space="preserve"> </w:t>
      </w:r>
      <w:r w:rsidRPr="00846A1A">
        <w:rPr>
          <w:rFonts w:ascii="Times New Roman" w:hAnsi="Times New Roman"/>
          <w:b/>
          <w:u w:val="single"/>
        </w:rPr>
        <w:t>for</w:t>
      </w:r>
      <w:r w:rsidRPr="002A5F6B">
        <w:rPr>
          <w:rFonts w:ascii="Times New Roman" w:hAnsi="Times New Roman"/>
          <w:b/>
          <w:bCs/>
          <w:spacing w:val="-1"/>
          <w:szCs w:val="24"/>
          <w:u w:val="single"/>
        </w:rPr>
        <w:t xml:space="preserve"> questions of a sensitive nature:</w:t>
      </w:r>
    </w:p>
    <w:p w:rsidR="007B6C63" w14:paraId="69172629" w14:textId="77777777">
      <w:pPr>
        <w:tabs>
          <w:tab w:val="left" w:pos="-1440"/>
        </w:tabs>
        <w:ind w:firstLine="720"/>
        <w:rPr>
          <w:rFonts w:ascii="Times New Roman" w:hAnsi="Times New Roman"/>
        </w:rPr>
      </w:pPr>
    </w:p>
    <w:p w:rsidR="00525D2D" w:rsidP="00525D2D" w14:paraId="39C12B15" w14:textId="77777777">
      <w:pPr>
        <w:ind w:left="720"/>
        <w:rPr>
          <w:rFonts w:ascii="Times New Roman" w:hAnsi="Times New Roman"/>
        </w:rPr>
      </w:pPr>
      <w:r>
        <w:rPr>
          <w:rFonts w:ascii="Times New Roman" w:hAnsi="Times New Roman"/>
          <w:spacing w:val="-1"/>
          <w:szCs w:val="24"/>
        </w:rPr>
        <w:t xml:space="preserve">Not </w:t>
      </w:r>
      <w:r w:rsidRPr="000B0581">
        <w:rPr>
          <w:rFonts w:ascii="Times New Roman" w:hAnsi="Times New Roman"/>
        </w:rPr>
        <w:t>applicable</w:t>
      </w:r>
      <w:r w:rsidR="003B3219">
        <w:rPr>
          <w:rFonts w:ascii="Times New Roman" w:hAnsi="Times New Roman"/>
          <w:spacing w:val="-1"/>
          <w:szCs w:val="24"/>
        </w:rPr>
        <w:t>.</w:t>
      </w:r>
      <w:r>
        <w:rPr>
          <w:rFonts w:ascii="Times New Roman" w:hAnsi="Times New Roman"/>
          <w:spacing w:val="-1"/>
          <w:szCs w:val="24"/>
        </w:rPr>
        <w:t xml:space="preserve"> </w:t>
      </w:r>
      <w:r w:rsidR="003B3219">
        <w:rPr>
          <w:rFonts w:ascii="Times New Roman" w:hAnsi="Times New Roman"/>
          <w:spacing w:val="-1"/>
          <w:szCs w:val="24"/>
        </w:rPr>
        <w:t>N</w:t>
      </w:r>
      <w:r>
        <w:rPr>
          <w:rFonts w:ascii="Times New Roman" w:hAnsi="Times New Roman"/>
          <w:spacing w:val="-1"/>
          <w:szCs w:val="24"/>
        </w:rPr>
        <w:t>o sensitive information is collected.</w:t>
      </w:r>
    </w:p>
    <w:p w:rsidR="00525D2D" w:rsidP="00525D2D" w14:paraId="72907FFF" w14:textId="77777777">
      <w:pPr>
        <w:tabs>
          <w:tab w:val="left" w:pos="720"/>
        </w:tabs>
        <w:ind w:firstLine="360"/>
        <w:rPr>
          <w:rFonts w:ascii="Times New Roman" w:hAnsi="Times New Roman"/>
        </w:rPr>
      </w:pPr>
    </w:p>
    <w:p w:rsidR="00D22923" w:rsidRPr="00D22923" w:rsidP="00D22923" w14:paraId="6EC812D8" w14:textId="77777777">
      <w:pPr>
        <w:tabs>
          <w:tab w:val="left" w:pos="720"/>
        </w:tabs>
        <w:spacing w:line="360" w:lineRule="auto"/>
        <w:ind w:firstLine="360"/>
        <w:rPr>
          <w:rFonts w:ascii="Times New Roman" w:hAnsi="Times New Roman"/>
          <w:b/>
          <w:bCs/>
          <w:iCs/>
          <w:szCs w:val="24"/>
          <w:u w:val="single"/>
        </w:rPr>
      </w:pPr>
      <w:r>
        <w:rPr>
          <w:rFonts w:ascii="Times New Roman" w:hAnsi="Times New Roman"/>
        </w:rPr>
        <w:t>12.</w:t>
      </w:r>
      <w:r>
        <w:rPr>
          <w:rFonts w:ascii="Times New Roman" w:hAnsi="Times New Roman"/>
        </w:rPr>
        <w:tab/>
      </w:r>
      <w:r w:rsidRPr="00A1019D" w:rsidR="00881712">
        <w:rPr>
          <w:rFonts w:ascii="Times New Roman" w:hAnsi="Times New Roman"/>
          <w:b/>
          <w:bCs/>
          <w:iCs/>
          <w:u w:val="single"/>
        </w:rPr>
        <w:t>Estimate</w:t>
      </w:r>
      <w:r w:rsidRPr="00D64624" w:rsidR="00881712">
        <w:rPr>
          <w:rFonts w:ascii="Times New Roman" w:hAnsi="Times New Roman"/>
          <w:b/>
          <w:bCs/>
          <w:iCs/>
          <w:szCs w:val="24"/>
          <w:u w:val="single"/>
        </w:rPr>
        <w:t xml:space="preserve"> of hour burden including annualized hourly costs:</w:t>
      </w:r>
      <w:r>
        <w:rPr>
          <w:rFonts w:ascii="Times New Roman" w:hAnsi="Times New Roman"/>
          <w:b/>
          <w:bCs/>
          <w:iCs/>
          <w:szCs w:val="24"/>
          <w:u w:val="single"/>
        </w:rPr>
        <w:br/>
      </w:r>
    </w:p>
    <w:tbl>
      <w:tblPr>
        <w:tblW w:w="10117" w:type="dxa"/>
        <w:tblLook w:val="04A0"/>
      </w:tblPr>
      <w:tblGrid>
        <w:gridCol w:w="2528"/>
        <w:gridCol w:w="1768"/>
        <w:gridCol w:w="1419"/>
        <w:gridCol w:w="1880"/>
        <w:gridCol w:w="1246"/>
        <w:gridCol w:w="1276"/>
      </w:tblGrid>
      <w:tr w14:paraId="522180D2" w14:textId="77777777" w:rsidTr="002A0FB7">
        <w:tblPrEx>
          <w:tblW w:w="10117" w:type="dxa"/>
          <w:tblLook w:val="04A0"/>
        </w:tblPrEx>
        <w:trPr>
          <w:trHeight w:val="357"/>
        </w:trPr>
        <w:tc>
          <w:tcPr>
            <w:tcW w:w="10117" w:type="dxa"/>
            <w:gridSpan w:val="6"/>
            <w:tcBorders>
              <w:top w:val="single" w:sz="8" w:space="0" w:color="auto"/>
              <w:left w:val="single" w:sz="8" w:space="0" w:color="auto"/>
              <w:bottom w:val="single" w:sz="8" w:space="0" w:color="auto"/>
              <w:right w:val="single" w:sz="8" w:space="0" w:color="000000"/>
            </w:tcBorders>
            <w:vAlign w:val="center"/>
            <w:hideMark/>
          </w:tcPr>
          <w:p w:rsidR="00D22923" w:rsidRPr="0004016C" w:rsidP="002A0FB7" w14:paraId="0C87D5CB" w14:textId="77777777">
            <w:pPr>
              <w:widowControl/>
              <w:jc w:val="center"/>
              <w:rPr>
                <w:rFonts w:ascii="Source Sans Pro" w:hAnsi="Source Sans Pro"/>
                <w:snapToGrid/>
                <w:color w:val="000000"/>
                <w:szCs w:val="24"/>
              </w:rPr>
            </w:pPr>
            <w:r w:rsidRPr="0004016C">
              <w:rPr>
                <w:rFonts w:ascii="Source Sans Pro" w:hAnsi="Source Sans Pro"/>
                <w:snapToGrid/>
                <w:color w:val="000000"/>
                <w:szCs w:val="24"/>
              </w:rPr>
              <w:t>Summary of Estimated Annual Burden (OMB No. 3064-0176)</w:t>
            </w:r>
          </w:p>
        </w:tc>
      </w:tr>
      <w:tr w14:paraId="033EB078" w14:textId="77777777" w:rsidTr="002A0FB7">
        <w:tblPrEx>
          <w:tblW w:w="10117" w:type="dxa"/>
          <w:tblLook w:val="04A0"/>
        </w:tblPrEx>
        <w:trPr>
          <w:trHeight w:val="834"/>
        </w:trPr>
        <w:tc>
          <w:tcPr>
            <w:tcW w:w="2528" w:type="dxa"/>
            <w:tcBorders>
              <w:top w:val="nil"/>
              <w:left w:val="single" w:sz="8" w:space="0" w:color="auto"/>
              <w:bottom w:val="single" w:sz="8" w:space="0" w:color="auto"/>
              <w:right w:val="single" w:sz="8" w:space="0" w:color="auto"/>
            </w:tcBorders>
            <w:vAlign w:val="center"/>
            <w:hideMark/>
          </w:tcPr>
          <w:p w:rsidR="00D22923" w:rsidRPr="0004016C" w:rsidP="002A0FB7" w14:paraId="6A57DB58" w14:textId="77777777">
            <w:pPr>
              <w:widowControl/>
              <w:rPr>
                <w:rFonts w:ascii="Source Sans Pro" w:hAnsi="Source Sans Pro"/>
                <w:snapToGrid/>
                <w:color w:val="000000"/>
                <w:sz w:val="20"/>
              </w:rPr>
            </w:pPr>
            <w:r w:rsidRPr="0004016C">
              <w:rPr>
                <w:rFonts w:ascii="Source Sans Pro" w:hAnsi="Source Sans Pro"/>
                <w:snapToGrid/>
                <w:color w:val="000000"/>
                <w:sz w:val="20"/>
              </w:rPr>
              <w:t>Information Collection (Obligation to Respond)</w:t>
            </w:r>
          </w:p>
        </w:tc>
        <w:tc>
          <w:tcPr>
            <w:tcW w:w="1768" w:type="dxa"/>
            <w:tcBorders>
              <w:top w:val="nil"/>
              <w:left w:val="nil"/>
              <w:bottom w:val="single" w:sz="8" w:space="0" w:color="auto"/>
              <w:right w:val="single" w:sz="8" w:space="0" w:color="auto"/>
            </w:tcBorders>
            <w:vAlign w:val="center"/>
            <w:hideMark/>
          </w:tcPr>
          <w:p w:rsidR="00D22923" w:rsidRPr="0004016C" w:rsidP="002A0FB7" w14:paraId="47869DC1" w14:textId="77777777">
            <w:pPr>
              <w:widowControl/>
              <w:jc w:val="center"/>
              <w:rPr>
                <w:rFonts w:ascii="Source Sans Pro" w:hAnsi="Source Sans Pro"/>
                <w:snapToGrid/>
                <w:color w:val="000000"/>
                <w:sz w:val="20"/>
              </w:rPr>
            </w:pPr>
            <w:r w:rsidRPr="0004016C">
              <w:rPr>
                <w:rFonts w:ascii="Source Sans Pro" w:hAnsi="Source Sans Pro"/>
                <w:snapToGrid/>
                <w:color w:val="000000"/>
                <w:sz w:val="20"/>
              </w:rPr>
              <w:t>Type of Burden</w:t>
            </w:r>
            <w:r w:rsidRPr="0004016C">
              <w:rPr>
                <w:rFonts w:ascii="Source Sans Pro" w:hAnsi="Source Sans Pro"/>
                <w:snapToGrid/>
                <w:color w:val="000000"/>
                <w:sz w:val="20"/>
              </w:rPr>
              <w:br/>
              <w:t>(Frequency of Response)</w:t>
            </w:r>
          </w:p>
        </w:tc>
        <w:tc>
          <w:tcPr>
            <w:tcW w:w="1419" w:type="dxa"/>
            <w:tcBorders>
              <w:top w:val="nil"/>
              <w:left w:val="nil"/>
              <w:bottom w:val="single" w:sz="8" w:space="0" w:color="auto"/>
              <w:right w:val="single" w:sz="8" w:space="0" w:color="auto"/>
            </w:tcBorders>
            <w:vAlign w:val="center"/>
            <w:hideMark/>
          </w:tcPr>
          <w:p w:rsidR="00D22923" w:rsidRPr="0004016C" w:rsidP="002A0FB7" w14:paraId="125EC657" w14:textId="77777777">
            <w:pPr>
              <w:widowControl/>
              <w:jc w:val="center"/>
              <w:rPr>
                <w:rFonts w:ascii="Source Sans Pro" w:hAnsi="Source Sans Pro"/>
                <w:snapToGrid/>
                <w:color w:val="000000"/>
                <w:sz w:val="20"/>
              </w:rPr>
            </w:pPr>
            <w:r w:rsidRPr="0004016C">
              <w:rPr>
                <w:rFonts w:ascii="Source Sans Pro" w:hAnsi="Source Sans Pro"/>
                <w:snapToGrid/>
                <w:color w:val="000000"/>
                <w:sz w:val="20"/>
              </w:rPr>
              <w:t xml:space="preserve"> Number of Respondents</w:t>
            </w:r>
          </w:p>
        </w:tc>
        <w:tc>
          <w:tcPr>
            <w:tcW w:w="1880" w:type="dxa"/>
            <w:tcBorders>
              <w:top w:val="nil"/>
              <w:left w:val="nil"/>
              <w:bottom w:val="single" w:sz="8" w:space="0" w:color="auto"/>
              <w:right w:val="single" w:sz="8" w:space="0" w:color="auto"/>
            </w:tcBorders>
            <w:vAlign w:val="center"/>
            <w:hideMark/>
          </w:tcPr>
          <w:p w:rsidR="00D22923" w:rsidRPr="0004016C" w:rsidP="002A0FB7" w14:paraId="58EBA72F" w14:textId="77777777">
            <w:pPr>
              <w:widowControl/>
              <w:jc w:val="center"/>
              <w:rPr>
                <w:rFonts w:ascii="Source Sans Pro" w:hAnsi="Source Sans Pro"/>
                <w:snapToGrid/>
                <w:color w:val="000000"/>
                <w:sz w:val="20"/>
              </w:rPr>
            </w:pPr>
            <w:r w:rsidRPr="0004016C">
              <w:rPr>
                <w:rFonts w:ascii="Source Sans Pro" w:hAnsi="Source Sans Pro"/>
                <w:snapToGrid/>
                <w:color w:val="000000"/>
                <w:sz w:val="20"/>
              </w:rPr>
              <w:t xml:space="preserve"> Number of Responses per Respondent</w:t>
            </w:r>
          </w:p>
        </w:tc>
        <w:tc>
          <w:tcPr>
            <w:tcW w:w="1245" w:type="dxa"/>
            <w:tcBorders>
              <w:top w:val="nil"/>
              <w:left w:val="nil"/>
              <w:bottom w:val="single" w:sz="8" w:space="0" w:color="auto"/>
              <w:right w:val="single" w:sz="8" w:space="0" w:color="auto"/>
            </w:tcBorders>
            <w:vAlign w:val="center"/>
            <w:hideMark/>
          </w:tcPr>
          <w:p w:rsidR="00D22923" w:rsidRPr="0004016C" w:rsidP="002A0FB7" w14:paraId="63799D06" w14:textId="77777777">
            <w:pPr>
              <w:widowControl/>
              <w:jc w:val="center"/>
              <w:rPr>
                <w:rFonts w:ascii="Source Sans Pro" w:hAnsi="Source Sans Pro"/>
                <w:snapToGrid/>
                <w:color w:val="000000"/>
                <w:sz w:val="20"/>
              </w:rPr>
            </w:pPr>
            <w:r w:rsidRPr="0004016C">
              <w:rPr>
                <w:rFonts w:ascii="Source Sans Pro" w:hAnsi="Source Sans Pro"/>
                <w:snapToGrid/>
                <w:color w:val="000000"/>
                <w:sz w:val="20"/>
              </w:rPr>
              <w:t>Time per Response (HH:MM)</w:t>
            </w:r>
          </w:p>
        </w:tc>
        <w:tc>
          <w:tcPr>
            <w:tcW w:w="1275" w:type="dxa"/>
            <w:tcBorders>
              <w:top w:val="nil"/>
              <w:left w:val="nil"/>
              <w:bottom w:val="single" w:sz="8" w:space="0" w:color="auto"/>
              <w:right w:val="single" w:sz="8" w:space="0" w:color="auto"/>
            </w:tcBorders>
            <w:vAlign w:val="center"/>
            <w:hideMark/>
          </w:tcPr>
          <w:p w:rsidR="00D22923" w:rsidRPr="0004016C" w:rsidP="002A0FB7" w14:paraId="4B89DF0C" w14:textId="77777777">
            <w:pPr>
              <w:widowControl/>
              <w:jc w:val="center"/>
              <w:rPr>
                <w:rFonts w:ascii="Source Sans Pro" w:hAnsi="Source Sans Pro"/>
                <w:snapToGrid/>
                <w:color w:val="000000"/>
                <w:sz w:val="20"/>
              </w:rPr>
            </w:pPr>
            <w:r w:rsidRPr="0004016C">
              <w:rPr>
                <w:rFonts w:ascii="Source Sans Pro" w:hAnsi="Source Sans Pro"/>
                <w:snapToGrid/>
                <w:color w:val="000000"/>
                <w:sz w:val="20"/>
              </w:rPr>
              <w:t>Annual Burden (Hours)</w:t>
            </w:r>
          </w:p>
        </w:tc>
      </w:tr>
      <w:tr w14:paraId="0AE4014E" w14:textId="77777777" w:rsidTr="002A0FB7">
        <w:tblPrEx>
          <w:tblW w:w="10117" w:type="dxa"/>
          <w:tblLook w:val="04A0"/>
        </w:tblPrEx>
        <w:trPr>
          <w:trHeight w:val="1301"/>
        </w:trPr>
        <w:tc>
          <w:tcPr>
            <w:tcW w:w="2528" w:type="dxa"/>
            <w:tcBorders>
              <w:top w:val="nil"/>
              <w:left w:val="single" w:sz="8" w:space="0" w:color="auto"/>
              <w:bottom w:val="single" w:sz="8" w:space="0" w:color="auto"/>
              <w:right w:val="single" w:sz="8" w:space="0" w:color="auto"/>
            </w:tcBorders>
            <w:vAlign w:val="center"/>
            <w:hideMark/>
          </w:tcPr>
          <w:p w:rsidR="00D22923" w:rsidRPr="0004016C" w:rsidP="002A0FB7" w14:paraId="1704AEA8" w14:textId="77777777">
            <w:pPr>
              <w:widowControl/>
              <w:rPr>
                <w:rFonts w:ascii="Source Sans Pro" w:hAnsi="Source Sans Pro"/>
                <w:snapToGrid/>
                <w:color w:val="000000"/>
                <w:sz w:val="20"/>
              </w:rPr>
            </w:pPr>
            <w:r w:rsidRPr="0004016C">
              <w:rPr>
                <w:rFonts w:ascii="Source Sans Pro" w:hAnsi="Source Sans Pro"/>
                <w:snapToGrid/>
                <w:color w:val="000000"/>
                <w:sz w:val="20"/>
              </w:rPr>
              <w:t>1. Reverse Mortgage Products - Implementation,</w:t>
            </w:r>
            <w:r w:rsidRPr="0004016C">
              <w:rPr>
                <w:rFonts w:ascii="Source Sans Pro" w:hAnsi="Source Sans Pro"/>
                <w:snapToGrid/>
                <w:color w:val="000000"/>
                <w:sz w:val="20"/>
              </w:rPr>
              <w:br/>
              <w:t>12 CFR 365 (Mandatory)</w:t>
            </w:r>
          </w:p>
        </w:tc>
        <w:tc>
          <w:tcPr>
            <w:tcW w:w="1768" w:type="dxa"/>
            <w:tcBorders>
              <w:top w:val="nil"/>
              <w:left w:val="nil"/>
              <w:bottom w:val="single" w:sz="8" w:space="0" w:color="auto"/>
              <w:right w:val="single" w:sz="8" w:space="0" w:color="auto"/>
            </w:tcBorders>
            <w:vAlign w:val="center"/>
            <w:hideMark/>
          </w:tcPr>
          <w:p w:rsidR="00D22923" w:rsidRPr="0004016C" w:rsidP="002A0FB7" w14:paraId="29AD2C51" w14:textId="77777777">
            <w:pPr>
              <w:widowControl/>
              <w:jc w:val="center"/>
              <w:rPr>
                <w:rFonts w:ascii="Source Sans Pro" w:hAnsi="Source Sans Pro"/>
                <w:snapToGrid/>
                <w:color w:val="000000"/>
                <w:sz w:val="20"/>
              </w:rPr>
            </w:pPr>
            <w:r w:rsidRPr="0004016C">
              <w:rPr>
                <w:rFonts w:ascii="Source Sans Pro" w:hAnsi="Source Sans Pro"/>
                <w:snapToGrid/>
                <w:color w:val="000000"/>
                <w:sz w:val="20"/>
              </w:rPr>
              <w:t>Recordkeeping</w:t>
            </w:r>
          </w:p>
        </w:tc>
        <w:tc>
          <w:tcPr>
            <w:tcW w:w="1419" w:type="dxa"/>
            <w:tcBorders>
              <w:top w:val="nil"/>
              <w:left w:val="nil"/>
              <w:bottom w:val="single" w:sz="8" w:space="0" w:color="auto"/>
              <w:right w:val="single" w:sz="8" w:space="0" w:color="auto"/>
            </w:tcBorders>
            <w:noWrap/>
            <w:vAlign w:val="center"/>
            <w:hideMark/>
          </w:tcPr>
          <w:p w:rsidR="00D22923" w:rsidRPr="0004016C" w:rsidP="002A0FB7" w14:paraId="7389DC44" w14:textId="7B74B76E">
            <w:pPr>
              <w:widowControl/>
              <w:jc w:val="right"/>
              <w:rPr>
                <w:rFonts w:ascii="Source Sans Pro" w:hAnsi="Source Sans Pro"/>
                <w:snapToGrid/>
                <w:color w:val="000000"/>
                <w:sz w:val="20"/>
              </w:rPr>
            </w:pPr>
            <w:r>
              <w:rPr>
                <w:rFonts w:ascii="Source Sans Pro" w:hAnsi="Source Sans Pro"/>
                <w:snapToGrid/>
                <w:color w:val="000000"/>
                <w:sz w:val="20"/>
              </w:rPr>
              <w:t>5</w:t>
            </w:r>
          </w:p>
        </w:tc>
        <w:tc>
          <w:tcPr>
            <w:tcW w:w="1880" w:type="dxa"/>
            <w:tcBorders>
              <w:top w:val="nil"/>
              <w:left w:val="nil"/>
              <w:bottom w:val="single" w:sz="8" w:space="0" w:color="auto"/>
              <w:right w:val="single" w:sz="8" w:space="0" w:color="auto"/>
            </w:tcBorders>
            <w:noWrap/>
            <w:vAlign w:val="center"/>
            <w:hideMark/>
          </w:tcPr>
          <w:p w:rsidR="00D22923" w:rsidRPr="0004016C" w:rsidP="002A0FB7" w14:paraId="0AD4096D" w14:textId="77777777">
            <w:pPr>
              <w:widowControl/>
              <w:jc w:val="right"/>
              <w:rPr>
                <w:rFonts w:ascii="Source Sans Pro" w:hAnsi="Source Sans Pro"/>
                <w:snapToGrid/>
                <w:color w:val="000000"/>
                <w:sz w:val="20"/>
              </w:rPr>
            </w:pPr>
            <w:r w:rsidRPr="0004016C">
              <w:rPr>
                <w:rFonts w:ascii="Source Sans Pro" w:hAnsi="Source Sans Pro"/>
                <w:snapToGrid/>
                <w:color w:val="000000"/>
                <w:sz w:val="20"/>
              </w:rPr>
              <w:t>1</w:t>
            </w:r>
          </w:p>
        </w:tc>
        <w:tc>
          <w:tcPr>
            <w:tcW w:w="1245" w:type="dxa"/>
            <w:tcBorders>
              <w:top w:val="nil"/>
              <w:left w:val="nil"/>
              <w:bottom w:val="single" w:sz="8" w:space="0" w:color="auto"/>
              <w:right w:val="nil"/>
            </w:tcBorders>
            <w:vAlign w:val="center"/>
            <w:hideMark/>
          </w:tcPr>
          <w:p w:rsidR="00D22923" w:rsidRPr="0004016C" w:rsidP="002A0FB7" w14:paraId="037A63A8" w14:textId="77777777">
            <w:pPr>
              <w:widowControl/>
              <w:jc w:val="right"/>
              <w:rPr>
                <w:rFonts w:ascii="Source Sans Pro" w:hAnsi="Source Sans Pro"/>
                <w:snapToGrid/>
                <w:color w:val="000000"/>
                <w:sz w:val="20"/>
              </w:rPr>
            </w:pPr>
            <w:r w:rsidRPr="0004016C">
              <w:rPr>
                <w:rFonts w:ascii="Source Sans Pro" w:hAnsi="Source Sans Pro"/>
                <w:snapToGrid/>
                <w:color w:val="000000"/>
                <w:sz w:val="20"/>
              </w:rPr>
              <w:t>40:00</w:t>
            </w:r>
          </w:p>
        </w:tc>
        <w:tc>
          <w:tcPr>
            <w:tcW w:w="1275" w:type="dxa"/>
            <w:tcBorders>
              <w:top w:val="nil"/>
              <w:left w:val="single" w:sz="8" w:space="0" w:color="auto"/>
              <w:bottom w:val="single" w:sz="8" w:space="0" w:color="auto"/>
              <w:right w:val="single" w:sz="8" w:space="0" w:color="auto"/>
            </w:tcBorders>
            <w:noWrap/>
            <w:vAlign w:val="center"/>
            <w:hideMark/>
          </w:tcPr>
          <w:p w:rsidR="00D22923" w:rsidRPr="0004016C" w:rsidP="002A0FB7" w14:paraId="094DDB55" w14:textId="56F213A9">
            <w:pPr>
              <w:widowControl/>
              <w:jc w:val="right"/>
              <w:rPr>
                <w:rFonts w:ascii="Source Sans Pro" w:hAnsi="Source Sans Pro"/>
                <w:snapToGrid/>
                <w:color w:val="000000"/>
                <w:sz w:val="20"/>
              </w:rPr>
            </w:pPr>
            <w:r>
              <w:rPr>
                <w:rFonts w:ascii="Source Sans Pro" w:hAnsi="Source Sans Pro"/>
                <w:snapToGrid/>
                <w:color w:val="000000"/>
                <w:sz w:val="20"/>
              </w:rPr>
              <w:t>20</w:t>
            </w:r>
            <w:r w:rsidRPr="0004016C">
              <w:rPr>
                <w:rFonts w:ascii="Source Sans Pro" w:hAnsi="Source Sans Pro"/>
                <w:snapToGrid/>
                <w:color w:val="000000"/>
                <w:sz w:val="20"/>
              </w:rPr>
              <w:t>0</w:t>
            </w:r>
          </w:p>
        </w:tc>
      </w:tr>
      <w:tr w14:paraId="7A88C4DE" w14:textId="77777777" w:rsidTr="002A0FB7">
        <w:tblPrEx>
          <w:tblW w:w="10117" w:type="dxa"/>
          <w:tblLook w:val="04A0"/>
        </w:tblPrEx>
        <w:trPr>
          <w:trHeight w:val="1043"/>
        </w:trPr>
        <w:tc>
          <w:tcPr>
            <w:tcW w:w="2528" w:type="dxa"/>
            <w:tcBorders>
              <w:top w:val="nil"/>
              <w:left w:val="single" w:sz="8" w:space="0" w:color="auto"/>
              <w:bottom w:val="single" w:sz="8" w:space="0" w:color="auto"/>
              <w:right w:val="single" w:sz="8" w:space="0" w:color="auto"/>
            </w:tcBorders>
            <w:vAlign w:val="center"/>
            <w:hideMark/>
          </w:tcPr>
          <w:p w:rsidR="00D22923" w:rsidRPr="0004016C" w:rsidP="002A0FB7" w14:paraId="6812D45E" w14:textId="77777777">
            <w:pPr>
              <w:widowControl/>
              <w:rPr>
                <w:rFonts w:ascii="Source Sans Pro" w:hAnsi="Source Sans Pro"/>
                <w:snapToGrid/>
                <w:color w:val="000000"/>
                <w:sz w:val="20"/>
              </w:rPr>
            </w:pPr>
            <w:r w:rsidRPr="0004016C">
              <w:rPr>
                <w:rFonts w:ascii="Source Sans Pro" w:hAnsi="Source Sans Pro"/>
                <w:snapToGrid/>
                <w:color w:val="000000"/>
                <w:sz w:val="20"/>
              </w:rPr>
              <w:t>2. Reverse Mortgage Products - Ongoing,</w:t>
            </w:r>
            <w:r w:rsidRPr="0004016C">
              <w:rPr>
                <w:rFonts w:ascii="Source Sans Pro" w:hAnsi="Source Sans Pro"/>
                <w:snapToGrid/>
                <w:color w:val="000000"/>
                <w:sz w:val="20"/>
              </w:rPr>
              <w:br/>
              <w:t>12 CFR 365 (Mandatory)</w:t>
            </w:r>
          </w:p>
        </w:tc>
        <w:tc>
          <w:tcPr>
            <w:tcW w:w="1768" w:type="dxa"/>
            <w:tcBorders>
              <w:top w:val="nil"/>
              <w:left w:val="nil"/>
              <w:bottom w:val="single" w:sz="8" w:space="0" w:color="auto"/>
              <w:right w:val="single" w:sz="8" w:space="0" w:color="auto"/>
            </w:tcBorders>
            <w:vAlign w:val="center"/>
            <w:hideMark/>
          </w:tcPr>
          <w:p w:rsidR="00D22923" w:rsidRPr="0004016C" w:rsidP="002A0FB7" w14:paraId="3569FB7B" w14:textId="77777777">
            <w:pPr>
              <w:widowControl/>
              <w:jc w:val="center"/>
              <w:rPr>
                <w:rFonts w:ascii="Source Sans Pro" w:hAnsi="Source Sans Pro"/>
                <w:snapToGrid/>
                <w:color w:val="000000"/>
                <w:sz w:val="20"/>
              </w:rPr>
            </w:pPr>
            <w:r w:rsidRPr="0004016C">
              <w:rPr>
                <w:rFonts w:ascii="Source Sans Pro" w:hAnsi="Source Sans Pro"/>
                <w:snapToGrid/>
                <w:color w:val="000000"/>
                <w:sz w:val="20"/>
              </w:rPr>
              <w:t>Recordkeeping</w:t>
            </w:r>
          </w:p>
        </w:tc>
        <w:tc>
          <w:tcPr>
            <w:tcW w:w="1419" w:type="dxa"/>
            <w:tcBorders>
              <w:top w:val="nil"/>
              <w:left w:val="nil"/>
              <w:bottom w:val="single" w:sz="8" w:space="0" w:color="auto"/>
              <w:right w:val="single" w:sz="8" w:space="0" w:color="auto"/>
            </w:tcBorders>
            <w:noWrap/>
            <w:vAlign w:val="center"/>
            <w:hideMark/>
          </w:tcPr>
          <w:p w:rsidR="00D22923" w:rsidRPr="0004016C" w:rsidP="002A0FB7" w14:paraId="3DE175A6" w14:textId="71D59B6A">
            <w:pPr>
              <w:widowControl/>
              <w:jc w:val="right"/>
              <w:rPr>
                <w:rFonts w:ascii="Source Sans Pro" w:hAnsi="Source Sans Pro"/>
                <w:snapToGrid/>
                <w:color w:val="000000"/>
                <w:sz w:val="20"/>
              </w:rPr>
            </w:pPr>
            <w:r>
              <w:rPr>
                <w:rFonts w:ascii="Source Sans Pro" w:hAnsi="Source Sans Pro"/>
                <w:snapToGrid/>
                <w:color w:val="000000"/>
                <w:sz w:val="20"/>
              </w:rPr>
              <w:t>18</w:t>
            </w:r>
          </w:p>
        </w:tc>
        <w:tc>
          <w:tcPr>
            <w:tcW w:w="1880" w:type="dxa"/>
            <w:tcBorders>
              <w:top w:val="nil"/>
              <w:left w:val="nil"/>
              <w:bottom w:val="single" w:sz="8" w:space="0" w:color="auto"/>
              <w:right w:val="single" w:sz="8" w:space="0" w:color="auto"/>
            </w:tcBorders>
            <w:noWrap/>
            <w:vAlign w:val="center"/>
            <w:hideMark/>
          </w:tcPr>
          <w:p w:rsidR="00D22923" w:rsidRPr="0004016C" w:rsidP="002A0FB7" w14:paraId="0D6B4497" w14:textId="77777777">
            <w:pPr>
              <w:widowControl/>
              <w:jc w:val="right"/>
              <w:rPr>
                <w:rFonts w:ascii="Source Sans Pro" w:hAnsi="Source Sans Pro"/>
                <w:snapToGrid/>
                <w:color w:val="000000"/>
                <w:sz w:val="20"/>
              </w:rPr>
            </w:pPr>
            <w:r w:rsidRPr="0004016C">
              <w:rPr>
                <w:rFonts w:ascii="Source Sans Pro" w:hAnsi="Source Sans Pro"/>
                <w:snapToGrid/>
                <w:color w:val="000000"/>
                <w:sz w:val="20"/>
              </w:rPr>
              <w:t>1</w:t>
            </w:r>
          </w:p>
        </w:tc>
        <w:tc>
          <w:tcPr>
            <w:tcW w:w="1245" w:type="dxa"/>
            <w:tcBorders>
              <w:top w:val="nil"/>
              <w:left w:val="nil"/>
              <w:bottom w:val="single" w:sz="8" w:space="0" w:color="auto"/>
              <w:right w:val="nil"/>
            </w:tcBorders>
            <w:vAlign w:val="center"/>
            <w:hideMark/>
          </w:tcPr>
          <w:p w:rsidR="00D22923" w:rsidRPr="0004016C" w:rsidP="002A0FB7" w14:paraId="6732FBD1" w14:textId="77777777">
            <w:pPr>
              <w:widowControl/>
              <w:jc w:val="right"/>
              <w:rPr>
                <w:rFonts w:ascii="Source Sans Pro" w:hAnsi="Source Sans Pro"/>
                <w:snapToGrid/>
                <w:color w:val="000000"/>
                <w:sz w:val="20"/>
              </w:rPr>
            </w:pPr>
            <w:r w:rsidRPr="0004016C">
              <w:rPr>
                <w:rFonts w:ascii="Source Sans Pro" w:hAnsi="Source Sans Pro"/>
                <w:snapToGrid/>
                <w:color w:val="000000"/>
                <w:sz w:val="20"/>
              </w:rPr>
              <w:t>08:00</w:t>
            </w:r>
          </w:p>
        </w:tc>
        <w:tc>
          <w:tcPr>
            <w:tcW w:w="1275" w:type="dxa"/>
            <w:tcBorders>
              <w:top w:val="nil"/>
              <w:left w:val="single" w:sz="8" w:space="0" w:color="auto"/>
              <w:bottom w:val="single" w:sz="8" w:space="0" w:color="auto"/>
              <w:right w:val="single" w:sz="8" w:space="0" w:color="auto"/>
            </w:tcBorders>
            <w:noWrap/>
            <w:vAlign w:val="center"/>
            <w:hideMark/>
          </w:tcPr>
          <w:p w:rsidR="00D22923" w:rsidRPr="0004016C" w:rsidP="002A0FB7" w14:paraId="29F36C26" w14:textId="4BAFB7C0">
            <w:pPr>
              <w:widowControl/>
              <w:jc w:val="right"/>
              <w:rPr>
                <w:rFonts w:ascii="Source Sans Pro" w:hAnsi="Source Sans Pro"/>
                <w:snapToGrid/>
                <w:color w:val="000000"/>
                <w:sz w:val="20"/>
              </w:rPr>
            </w:pPr>
            <w:r>
              <w:rPr>
                <w:rFonts w:ascii="Source Sans Pro" w:hAnsi="Source Sans Pro"/>
                <w:snapToGrid/>
                <w:color w:val="000000"/>
                <w:sz w:val="20"/>
              </w:rPr>
              <w:t>144</w:t>
            </w:r>
          </w:p>
        </w:tc>
      </w:tr>
      <w:tr w14:paraId="65CC5244" w14:textId="77777777" w:rsidTr="002A0FB7">
        <w:tblPrEx>
          <w:tblW w:w="10117" w:type="dxa"/>
          <w:tblLook w:val="04A0"/>
        </w:tblPrEx>
        <w:trPr>
          <w:trHeight w:val="298"/>
        </w:trPr>
        <w:tc>
          <w:tcPr>
            <w:tcW w:w="8841" w:type="dxa"/>
            <w:gridSpan w:val="5"/>
            <w:tcBorders>
              <w:top w:val="single" w:sz="8" w:space="0" w:color="auto"/>
              <w:left w:val="single" w:sz="8" w:space="0" w:color="auto"/>
              <w:bottom w:val="single" w:sz="8" w:space="0" w:color="auto"/>
              <w:right w:val="nil"/>
            </w:tcBorders>
            <w:shd w:val="clear" w:color="000000" w:fill="FFFFFF"/>
            <w:noWrap/>
            <w:vAlign w:val="center"/>
            <w:hideMark/>
          </w:tcPr>
          <w:p w:rsidR="00D22923" w:rsidRPr="0004016C" w:rsidP="002A0FB7" w14:paraId="6BF57B65" w14:textId="77777777">
            <w:pPr>
              <w:widowControl/>
              <w:jc w:val="right"/>
              <w:rPr>
                <w:rFonts w:ascii="Source Sans Pro" w:hAnsi="Source Sans Pro"/>
                <w:b/>
                <w:bCs/>
                <w:i/>
                <w:iCs/>
                <w:snapToGrid/>
                <w:color w:val="000000"/>
                <w:sz w:val="22"/>
                <w:szCs w:val="22"/>
              </w:rPr>
            </w:pPr>
            <w:r w:rsidRPr="0004016C">
              <w:rPr>
                <w:rFonts w:ascii="Source Sans Pro" w:hAnsi="Source Sans Pro"/>
                <w:b/>
                <w:bCs/>
                <w:i/>
                <w:iCs/>
                <w:snapToGrid/>
                <w:color w:val="000000"/>
                <w:sz w:val="22"/>
                <w:szCs w:val="22"/>
              </w:rPr>
              <w:t>Total Annual Burden (Hours):</w:t>
            </w:r>
          </w:p>
        </w:tc>
        <w:tc>
          <w:tcPr>
            <w:tcW w:w="1275" w:type="dxa"/>
            <w:tcBorders>
              <w:top w:val="nil"/>
              <w:left w:val="nil"/>
              <w:bottom w:val="single" w:sz="8" w:space="0" w:color="auto"/>
              <w:right w:val="single" w:sz="8" w:space="0" w:color="auto"/>
            </w:tcBorders>
            <w:noWrap/>
            <w:vAlign w:val="bottom"/>
            <w:hideMark/>
          </w:tcPr>
          <w:p w:rsidR="00D22923" w:rsidRPr="0004016C" w:rsidP="002A0FB7" w14:paraId="438BD08C" w14:textId="3CAF95C4">
            <w:pPr>
              <w:widowControl/>
              <w:jc w:val="right"/>
              <w:rPr>
                <w:rFonts w:ascii="Source Sans Pro" w:hAnsi="Source Sans Pro"/>
                <w:b/>
                <w:bCs/>
                <w:i/>
                <w:iCs/>
                <w:snapToGrid/>
                <w:color w:val="000000"/>
                <w:sz w:val="22"/>
                <w:szCs w:val="22"/>
              </w:rPr>
            </w:pPr>
            <w:r>
              <w:rPr>
                <w:rFonts w:ascii="Source Sans Pro" w:hAnsi="Source Sans Pro"/>
                <w:b/>
                <w:bCs/>
                <w:i/>
                <w:iCs/>
                <w:snapToGrid/>
                <w:color w:val="000000"/>
                <w:sz w:val="22"/>
                <w:szCs w:val="22"/>
              </w:rPr>
              <w:t>344</w:t>
            </w:r>
          </w:p>
        </w:tc>
      </w:tr>
      <w:tr w14:paraId="528B0350" w14:textId="77777777" w:rsidTr="002A0FB7">
        <w:tblPrEx>
          <w:tblW w:w="10117" w:type="dxa"/>
          <w:tblLook w:val="04A0"/>
        </w:tblPrEx>
        <w:trPr>
          <w:trHeight w:val="251"/>
        </w:trPr>
        <w:tc>
          <w:tcPr>
            <w:tcW w:w="10117" w:type="dxa"/>
            <w:gridSpan w:val="6"/>
            <w:tcBorders>
              <w:top w:val="single" w:sz="8" w:space="0" w:color="auto"/>
              <w:left w:val="single" w:sz="8" w:space="0" w:color="auto"/>
              <w:bottom w:val="nil"/>
              <w:right w:val="single" w:sz="8" w:space="0" w:color="000000"/>
            </w:tcBorders>
            <w:noWrap/>
            <w:hideMark/>
          </w:tcPr>
          <w:p w:rsidR="00D22923" w:rsidRPr="0004016C" w:rsidP="002A0FB7" w14:paraId="6A7CD883" w14:textId="77777777">
            <w:pPr>
              <w:widowControl/>
              <w:rPr>
                <w:rFonts w:ascii="Source Sans Pro" w:hAnsi="Source Sans Pro"/>
                <w:snapToGrid/>
                <w:color w:val="000000"/>
                <w:sz w:val="18"/>
                <w:szCs w:val="18"/>
              </w:rPr>
            </w:pPr>
            <w:r w:rsidRPr="0004016C">
              <w:rPr>
                <w:rFonts w:ascii="Source Sans Pro" w:hAnsi="Source Sans Pro"/>
                <w:snapToGrid/>
                <w:color w:val="000000"/>
                <w:sz w:val="18"/>
                <w:szCs w:val="18"/>
              </w:rPr>
              <w:t>Source: FDIC.</w:t>
            </w:r>
          </w:p>
        </w:tc>
      </w:tr>
      <w:tr w14:paraId="52079510" w14:textId="77777777" w:rsidTr="002A0FB7">
        <w:tblPrEx>
          <w:tblW w:w="10117" w:type="dxa"/>
          <w:tblLook w:val="04A0"/>
        </w:tblPrEx>
        <w:trPr>
          <w:trHeight w:val="288"/>
        </w:trPr>
        <w:tc>
          <w:tcPr>
            <w:tcW w:w="10117" w:type="dxa"/>
            <w:gridSpan w:val="6"/>
            <w:vMerge w:val="restart"/>
            <w:tcBorders>
              <w:top w:val="single" w:sz="8" w:space="0" w:color="auto"/>
              <w:left w:val="single" w:sz="4" w:space="0" w:color="auto"/>
              <w:bottom w:val="single" w:sz="8" w:space="0" w:color="000000"/>
              <w:right w:val="single" w:sz="8" w:space="0" w:color="000000"/>
            </w:tcBorders>
            <w:vAlign w:val="center"/>
            <w:hideMark/>
          </w:tcPr>
          <w:p w:rsidR="00D22923" w:rsidRPr="0004016C" w:rsidP="002A0FB7" w14:paraId="3A0AF937" w14:textId="77777777">
            <w:pPr>
              <w:widowControl/>
              <w:rPr>
                <w:rFonts w:ascii="Source Sans Pro" w:hAnsi="Source Sans Pro"/>
                <w:snapToGrid/>
                <w:color w:val="000000"/>
                <w:sz w:val="18"/>
                <w:szCs w:val="18"/>
              </w:rPr>
            </w:pPr>
            <w:r w:rsidRPr="0004016C">
              <w:rPr>
                <w:rFonts w:ascii="Source Sans Pro" w:hAnsi="Source Sans Pro"/>
                <w:snapToGrid/>
                <w:color w:val="000000"/>
                <w:sz w:val="18"/>
                <w:szCs w:val="18"/>
              </w:rPr>
              <w:t>Note: The annual burden estimate for a given collection is calculated in two steps. First, the total number of annual responses is calculated as the whole number closest to the product of the annual number of respondents and the annual number of responses per respondent. Then, the total number of annual responses is multiplied by the time per response and rounded to the nearest hour to obtain the estimated annual burden for that collection. This rounding ensures the annual burden hours in the table are consistent with the values recorded in the OMB’s regulatory tracking system.</w:t>
            </w:r>
          </w:p>
        </w:tc>
      </w:tr>
      <w:tr w14:paraId="5DA8A7BA" w14:textId="77777777" w:rsidTr="002A0FB7">
        <w:tblPrEx>
          <w:tblW w:w="10117" w:type="dxa"/>
          <w:tblLook w:val="04A0"/>
        </w:tblPrEx>
        <w:trPr>
          <w:trHeight w:val="288"/>
        </w:trPr>
        <w:tc>
          <w:tcPr>
            <w:tcW w:w="10117" w:type="dxa"/>
            <w:gridSpan w:val="6"/>
            <w:vMerge/>
            <w:tcBorders>
              <w:top w:val="single" w:sz="8" w:space="0" w:color="auto"/>
              <w:left w:val="single" w:sz="4" w:space="0" w:color="auto"/>
              <w:bottom w:val="single" w:sz="8" w:space="0" w:color="000000"/>
              <w:right w:val="single" w:sz="8" w:space="0" w:color="000000"/>
            </w:tcBorders>
            <w:vAlign w:val="center"/>
            <w:hideMark/>
          </w:tcPr>
          <w:p w:rsidR="00D22923" w:rsidRPr="0004016C" w:rsidP="002A0FB7" w14:paraId="07EE57BD" w14:textId="77777777">
            <w:pPr>
              <w:widowControl/>
              <w:rPr>
                <w:rFonts w:ascii="Source Sans Pro" w:hAnsi="Source Sans Pro"/>
                <w:snapToGrid/>
                <w:color w:val="000000"/>
                <w:sz w:val="18"/>
                <w:szCs w:val="18"/>
              </w:rPr>
            </w:pPr>
          </w:p>
        </w:tc>
      </w:tr>
      <w:tr w14:paraId="2E834EBC" w14:textId="77777777" w:rsidTr="002A0FB7">
        <w:tblPrEx>
          <w:tblW w:w="10117" w:type="dxa"/>
          <w:tblLook w:val="04A0"/>
        </w:tblPrEx>
        <w:trPr>
          <w:trHeight w:val="311"/>
        </w:trPr>
        <w:tc>
          <w:tcPr>
            <w:tcW w:w="10117" w:type="dxa"/>
            <w:gridSpan w:val="6"/>
            <w:vMerge/>
            <w:tcBorders>
              <w:top w:val="single" w:sz="8" w:space="0" w:color="auto"/>
              <w:left w:val="single" w:sz="4" w:space="0" w:color="auto"/>
              <w:bottom w:val="single" w:sz="8" w:space="0" w:color="000000"/>
              <w:right w:val="single" w:sz="8" w:space="0" w:color="000000"/>
            </w:tcBorders>
            <w:vAlign w:val="center"/>
            <w:hideMark/>
          </w:tcPr>
          <w:p w:rsidR="00D22923" w:rsidRPr="0004016C" w:rsidP="002A0FB7" w14:paraId="2A378202" w14:textId="77777777">
            <w:pPr>
              <w:widowControl/>
              <w:rPr>
                <w:rFonts w:ascii="Source Sans Pro" w:hAnsi="Source Sans Pro"/>
                <w:snapToGrid/>
                <w:color w:val="000000"/>
                <w:sz w:val="18"/>
                <w:szCs w:val="18"/>
              </w:rPr>
            </w:pPr>
          </w:p>
        </w:tc>
      </w:tr>
      <w:tr w14:paraId="34FEF9BF" w14:textId="77777777" w:rsidTr="002A0FB7">
        <w:tblPrEx>
          <w:tblW w:w="10117" w:type="dxa"/>
          <w:tblLook w:val="04A0"/>
        </w:tblPrEx>
        <w:trPr>
          <w:trHeight w:val="347"/>
        </w:trPr>
        <w:tc>
          <w:tcPr>
            <w:tcW w:w="10117" w:type="dxa"/>
            <w:gridSpan w:val="6"/>
            <w:vMerge/>
            <w:tcBorders>
              <w:top w:val="single" w:sz="8" w:space="0" w:color="auto"/>
              <w:left w:val="single" w:sz="4" w:space="0" w:color="auto"/>
              <w:bottom w:val="single" w:sz="8" w:space="0" w:color="000000"/>
              <w:right w:val="single" w:sz="8" w:space="0" w:color="000000"/>
            </w:tcBorders>
            <w:vAlign w:val="center"/>
            <w:hideMark/>
          </w:tcPr>
          <w:p w:rsidR="00D22923" w:rsidRPr="0004016C" w:rsidP="002A0FB7" w14:paraId="7E704B20" w14:textId="77777777">
            <w:pPr>
              <w:widowControl/>
              <w:rPr>
                <w:rFonts w:ascii="Source Sans Pro" w:hAnsi="Source Sans Pro"/>
                <w:snapToGrid/>
                <w:color w:val="000000"/>
                <w:sz w:val="18"/>
                <w:szCs w:val="18"/>
              </w:rPr>
            </w:pPr>
          </w:p>
        </w:tc>
      </w:tr>
      <w:tr w14:paraId="3E8B2220" w14:textId="77777777" w:rsidTr="002A0FB7">
        <w:tblPrEx>
          <w:tblW w:w="10117" w:type="dxa"/>
          <w:tblLook w:val="04A0"/>
        </w:tblPrEx>
        <w:trPr>
          <w:trHeight w:val="288"/>
        </w:trPr>
        <w:tc>
          <w:tcPr>
            <w:tcW w:w="10117" w:type="dxa"/>
            <w:gridSpan w:val="6"/>
            <w:vMerge/>
            <w:tcBorders>
              <w:top w:val="single" w:sz="8" w:space="0" w:color="auto"/>
              <w:left w:val="single" w:sz="4" w:space="0" w:color="auto"/>
              <w:bottom w:val="single" w:sz="8" w:space="0" w:color="000000"/>
              <w:right w:val="single" w:sz="8" w:space="0" w:color="000000"/>
            </w:tcBorders>
            <w:vAlign w:val="center"/>
            <w:hideMark/>
          </w:tcPr>
          <w:p w:rsidR="00D22923" w:rsidRPr="0004016C" w:rsidP="002A0FB7" w14:paraId="34BFD640" w14:textId="77777777">
            <w:pPr>
              <w:widowControl/>
              <w:rPr>
                <w:rFonts w:ascii="Source Sans Pro" w:hAnsi="Source Sans Pro"/>
                <w:snapToGrid/>
                <w:color w:val="000000"/>
                <w:sz w:val="18"/>
                <w:szCs w:val="18"/>
              </w:rPr>
            </w:pPr>
          </w:p>
        </w:tc>
      </w:tr>
    </w:tbl>
    <w:p w:rsidR="00D22923" w:rsidRPr="00D22923" w:rsidP="00D22923" w14:paraId="3DEA80CC" w14:textId="5EB8B36C">
      <w:pPr>
        <w:tabs>
          <w:tab w:val="left" w:pos="720"/>
        </w:tabs>
        <w:spacing w:line="360" w:lineRule="auto"/>
        <w:ind w:firstLine="360"/>
        <w:rPr>
          <w:rFonts w:ascii="Times New Roman" w:hAnsi="Times New Roman"/>
          <w:b/>
          <w:bCs/>
          <w:iCs/>
          <w:szCs w:val="24"/>
          <w:u w:val="single"/>
        </w:rPr>
      </w:pPr>
    </w:p>
    <w:p w:rsidR="00525285" w:rsidRPr="00525285" w:rsidP="00EF1355" w14:paraId="130A80AE" w14:textId="57A32351">
      <w:pPr>
        <w:keepNext/>
        <w:rPr>
          <w:rFonts w:ascii="Times New Roman" w:hAnsi="Times New Roman"/>
          <w:snapToGrid/>
          <w:szCs w:val="24"/>
        </w:rPr>
      </w:pPr>
    </w:p>
    <w:tbl>
      <w:tblPr>
        <w:tblW w:w="10320" w:type="dxa"/>
        <w:tblInd w:w="-550" w:type="dxa"/>
        <w:tblCellMar>
          <w:top w:w="15" w:type="dxa"/>
        </w:tblCellMar>
        <w:tblLook w:val="04A0"/>
      </w:tblPr>
      <w:tblGrid>
        <w:gridCol w:w="2251"/>
        <w:gridCol w:w="850"/>
        <w:gridCol w:w="1000"/>
        <w:gridCol w:w="1000"/>
        <w:gridCol w:w="900"/>
        <w:gridCol w:w="1000"/>
        <w:gridCol w:w="1000"/>
        <w:gridCol w:w="900"/>
        <w:gridCol w:w="1419"/>
      </w:tblGrid>
      <w:tr w14:paraId="6D48A0A4" w14:textId="77777777" w:rsidTr="00BE4770">
        <w:tblPrEx>
          <w:tblW w:w="10320" w:type="dxa"/>
          <w:tblInd w:w="-550" w:type="dxa"/>
          <w:tblCellMar>
            <w:top w:w="15" w:type="dxa"/>
          </w:tblCellMar>
          <w:tblLook w:val="04A0"/>
        </w:tblPrEx>
        <w:trPr>
          <w:trHeight w:val="360"/>
        </w:trPr>
        <w:tc>
          <w:tcPr>
            <w:tcW w:w="10320" w:type="dxa"/>
            <w:gridSpan w:val="9"/>
            <w:tcBorders>
              <w:top w:val="single" w:sz="8" w:space="0" w:color="auto"/>
              <w:left w:val="single" w:sz="8" w:space="0" w:color="auto"/>
              <w:bottom w:val="single" w:sz="8" w:space="0" w:color="auto"/>
              <w:right w:val="single" w:sz="8" w:space="0" w:color="auto"/>
            </w:tcBorders>
            <w:noWrap/>
            <w:vAlign w:val="bottom"/>
            <w:hideMark/>
          </w:tcPr>
          <w:p w:rsidR="00525285" w:rsidRPr="00165C9D" w:rsidP="00F627F8" w14:paraId="14F74617" w14:textId="731657D1">
            <w:pPr>
              <w:keepNext/>
              <w:keepLines/>
              <w:jc w:val="center"/>
              <w:rPr>
                <w:rFonts w:ascii="Times New Roman" w:hAnsi="Times New Roman"/>
                <w:color w:val="000000"/>
                <w:szCs w:val="24"/>
              </w:rPr>
            </w:pPr>
            <w:r w:rsidRPr="00165C9D">
              <w:rPr>
                <w:rFonts w:ascii="Times New Roman" w:hAnsi="Times New Roman"/>
                <w:color w:val="000000"/>
                <w:szCs w:val="24"/>
              </w:rPr>
              <w:t>Summary of Hourly Burden Cost Estimate (OMB No. 3064-0176)</w:t>
            </w:r>
          </w:p>
        </w:tc>
      </w:tr>
      <w:tr w14:paraId="457E3E66" w14:textId="77777777" w:rsidTr="00BE4770">
        <w:tblPrEx>
          <w:tblW w:w="10320" w:type="dxa"/>
          <w:tblInd w:w="-550" w:type="dxa"/>
          <w:tblCellMar>
            <w:top w:w="15" w:type="dxa"/>
          </w:tblCellMar>
          <w:tblLook w:val="04A0"/>
        </w:tblPrEx>
        <w:trPr>
          <w:trHeight w:val="600"/>
        </w:trPr>
        <w:tc>
          <w:tcPr>
            <w:tcW w:w="2251" w:type="dxa"/>
            <w:vMerge w:val="restart"/>
            <w:tcBorders>
              <w:top w:val="nil"/>
              <w:left w:val="single" w:sz="8" w:space="0" w:color="auto"/>
              <w:bottom w:val="single" w:sz="8" w:space="0" w:color="auto"/>
              <w:right w:val="single" w:sz="8" w:space="0" w:color="auto"/>
            </w:tcBorders>
            <w:vAlign w:val="center"/>
            <w:hideMark/>
          </w:tcPr>
          <w:p w:rsidR="00525285" w:rsidRPr="00165C9D" w:rsidP="00F627F8" w14:paraId="1647ADF0" w14:textId="77777777">
            <w:pPr>
              <w:keepNext/>
              <w:keepLines/>
              <w:rPr>
                <w:rFonts w:ascii="Times New Roman" w:hAnsi="Times New Roman"/>
                <w:color w:val="000000"/>
                <w:sz w:val="20"/>
              </w:rPr>
            </w:pPr>
            <w:r w:rsidRPr="00165C9D">
              <w:rPr>
                <w:rFonts w:ascii="Times New Roman" w:hAnsi="Times New Roman"/>
                <w:color w:val="000000"/>
                <w:sz w:val="20"/>
              </w:rPr>
              <w:t xml:space="preserve">Information Collection (IC) (Obligation to Respond) </w:t>
            </w:r>
          </w:p>
        </w:tc>
        <w:tc>
          <w:tcPr>
            <w:tcW w:w="850" w:type="dxa"/>
            <w:vMerge w:val="restart"/>
            <w:tcBorders>
              <w:top w:val="nil"/>
              <w:left w:val="single" w:sz="8" w:space="0" w:color="auto"/>
              <w:bottom w:val="single" w:sz="8" w:space="0" w:color="auto"/>
              <w:right w:val="single" w:sz="8" w:space="0" w:color="auto"/>
            </w:tcBorders>
            <w:vAlign w:val="center"/>
            <w:hideMark/>
          </w:tcPr>
          <w:p w:rsidR="00525285" w:rsidRPr="00165C9D" w:rsidP="00F627F8" w14:paraId="56E89B7D" w14:textId="77777777">
            <w:pPr>
              <w:keepNext/>
              <w:keepLines/>
              <w:jc w:val="center"/>
              <w:rPr>
                <w:rFonts w:ascii="Times New Roman" w:hAnsi="Times New Roman"/>
                <w:color w:val="000000"/>
                <w:sz w:val="20"/>
              </w:rPr>
            </w:pPr>
            <w:r w:rsidRPr="00165C9D">
              <w:rPr>
                <w:rFonts w:ascii="Times New Roman" w:hAnsi="Times New Roman"/>
                <w:color w:val="000000"/>
                <w:sz w:val="20"/>
              </w:rPr>
              <w:t xml:space="preserve">Hourly Weight </w:t>
            </w:r>
            <w:r w:rsidRPr="00165C9D">
              <w:rPr>
                <w:rFonts w:ascii="Times New Roman" w:hAnsi="Times New Roman"/>
                <w:color w:val="000000"/>
                <w:sz w:val="20"/>
              </w:rPr>
              <w:br/>
              <w:t>(%)</w:t>
            </w:r>
          </w:p>
        </w:tc>
        <w:tc>
          <w:tcPr>
            <w:tcW w:w="5800"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525285" w:rsidRPr="00165C9D" w:rsidP="00F627F8" w14:paraId="34A1F94E" w14:textId="77777777">
            <w:pPr>
              <w:keepNext/>
              <w:keepLines/>
              <w:jc w:val="center"/>
              <w:rPr>
                <w:rFonts w:ascii="Times New Roman" w:hAnsi="Times New Roman"/>
                <w:color w:val="000000"/>
                <w:sz w:val="20"/>
              </w:rPr>
            </w:pPr>
            <w:r w:rsidRPr="00165C9D">
              <w:rPr>
                <w:rFonts w:ascii="Times New Roman" w:hAnsi="Times New Roman"/>
                <w:color w:val="000000"/>
                <w:sz w:val="20"/>
              </w:rPr>
              <w:t xml:space="preserve">Percentage Shares of Hours Spent by and </w:t>
            </w:r>
            <w:r w:rsidRPr="00165C9D">
              <w:rPr>
                <w:rFonts w:ascii="Times New Roman" w:hAnsi="Times New Roman"/>
                <w:color w:val="000000"/>
                <w:sz w:val="20"/>
              </w:rPr>
              <w:br/>
              <w:t xml:space="preserve">Hourly Compensation Rates for each Occupation Group </w:t>
            </w:r>
            <w:r w:rsidRPr="00165C9D">
              <w:rPr>
                <w:rFonts w:ascii="Times New Roman" w:hAnsi="Times New Roman"/>
                <w:color w:val="000000"/>
                <w:sz w:val="20"/>
              </w:rPr>
              <w:br/>
              <w:t>(by Collection)</w:t>
            </w:r>
          </w:p>
        </w:tc>
        <w:tc>
          <w:tcPr>
            <w:tcW w:w="1419" w:type="dxa"/>
            <w:vMerge w:val="restart"/>
            <w:tcBorders>
              <w:top w:val="nil"/>
              <w:left w:val="single" w:sz="8" w:space="0" w:color="auto"/>
              <w:bottom w:val="single" w:sz="8" w:space="0" w:color="auto"/>
              <w:right w:val="single" w:sz="8" w:space="0" w:color="auto"/>
            </w:tcBorders>
            <w:vAlign w:val="center"/>
            <w:hideMark/>
          </w:tcPr>
          <w:p w:rsidR="00525285" w:rsidRPr="00165C9D" w:rsidP="00F627F8" w14:paraId="44E5F895" w14:textId="77777777">
            <w:pPr>
              <w:keepNext/>
              <w:keepLines/>
              <w:jc w:val="center"/>
              <w:rPr>
                <w:rFonts w:ascii="Times New Roman" w:hAnsi="Times New Roman"/>
                <w:color w:val="000000"/>
                <w:sz w:val="20"/>
              </w:rPr>
            </w:pPr>
            <w:r w:rsidRPr="00165C9D">
              <w:rPr>
                <w:rFonts w:ascii="Times New Roman" w:hAnsi="Times New Roman"/>
                <w:color w:val="000000"/>
                <w:sz w:val="20"/>
              </w:rPr>
              <w:t>Estimated Hourly Compensation Rate</w:t>
            </w:r>
          </w:p>
        </w:tc>
      </w:tr>
      <w:tr w14:paraId="78A98DDC" w14:textId="77777777" w:rsidTr="0014251A">
        <w:tblPrEx>
          <w:tblW w:w="10320" w:type="dxa"/>
          <w:tblInd w:w="-550" w:type="dxa"/>
          <w:tblCellMar>
            <w:top w:w="15" w:type="dxa"/>
          </w:tblCellMar>
          <w:tblLook w:val="04A0"/>
        </w:tblPrEx>
        <w:trPr>
          <w:trHeight w:val="276"/>
        </w:trPr>
        <w:tc>
          <w:tcPr>
            <w:tcW w:w="2251" w:type="dxa"/>
            <w:vMerge/>
            <w:tcBorders>
              <w:top w:val="nil"/>
              <w:left w:val="single" w:sz="8" w:space="0" w:color="auto"/>
              <w:bottom w:val="single" w:sz="8" w:space="0" w:color="auto"/>
              <w:right w:val="single" w:sz="8" w:space="0" w:color="auto"/>
            </w:tcBorders>
            <w:vAlign w:val="center"/>
            <w:hideMark/>
          </w:tcPr>
          <w:p w:rsidR="00165C9D" w:rsidRPr="00165C9D" w:rsidP="00F627F8" w14:paraId="172CB9D5" w14:textId="77777777">
            <w:pPr>
              <w:keepNext/>
              <w:keepLines/>
              <w:rPr>
                <w:rFonts w:ascii="Times New Roman" w:hAnsi="Times New Roman"/>
                <w:color w:val="000000"/>
                <w:sz w:val="20"/>
              </w:rPr>
            </w:pPr>
          </w:p>
        </w:tc>
        <w:tc>
          <w:tcPr>
            <w:tcW w:w="850" w:type="dxa"/>
            <w:vMerge/>
            <w:tcBorders>
              <w:top w:val="nil"/>
              <w:left w:val="single" w:sz="8" w:space="0" w:color="auto"/>
              <w:bottom w:val="single" w:sz="8" w:space="0" w:color="auto"/>
              <w:right w:val="single" w:sz="8" w:space="0" w:color="auto"/>
            </w:tcBorders>
            <w:vAlign w:val="center"/>
            <w:hideMark/>
          </w:tcPr>
          <w:p w:rsidR="00165C9D" w:rsidRPr="00165C9D" w:rsidP="00F627F8" w14:paraId="29E1CDA3" w14:textId="77777777">
            <w:pPr>
              <w:keepNext/>
              <w:keepLines/>
              <w:rPr>
                <w:rFonts w:ascii="Times New Roman" w:hAnsi="Times New Roman"/>
                <w:color w:val="000000"/>
                <w:sz w:val="20"/>
              </w:rPr>
            </w:pPr>
          </w:p>
        </w:tc>
        <w:tc>
          <w:tcPr>
            <w:tcW w:w="5800" w:type="dxa"/>
            <w:gridSpan w:val="6"/>
            <w:vMerge/>
            <w:tcBorders>
              <w:top w:val="single" w:sz="8" w:space="0" w:color="auto"/>
              <w:left w:val="single" w:sz="8" w:space="0" w:color="auto"/>
              <w:bottom w:val="single" w:sz="8" w:space="0" w:color="auto"/>
              <w:right w:val="single" w:sz="8" w:space="0" w:color="auto"/>
            </w:tcBorders>
            <w:vAlign w:val="center"/>
            <w:hideMark/>
          </w:tcPr>
          <w:p w:rsidR="00165C9D" w:rsidRPr="00165C9D" w:rsidP="00F627F8" w14:paraId="569AB4F7" w14:textId="77777777">
            <w:pPr>
              <w:keepNext/>
              <w:keepLines/>
              <w:rPr>
                <w:rFonts w:ascii="Times New Roman" w:hAnsi="Times New Roman"/>
                <w:color w:val="000000"/>
                <w:sz w:val="20"/>
              </w:rPr>
            </w:pPr>
          </w:p>
        </w:tc>
        <w:tc>
          <w:tcPr>
            <w:tcW w:w="1419" w:type="dxa"/>
            <w:vMerge/>
            <w:tcBorders>
              <w:top w:val="nil"/>
              <w:left w:val="single" w:sz="8" w:space="0" w:color="auto"/>
              <w:bottom w:val="single" w:sz="8" w:space="0" w:color="auto"/>
              <w:right w:val="single" w:sz="8" w:space="0" w:color="auto"/>
            </w:tcBorders>
            <w:vAlign w:val="center"/>
            <w:hideMark/>
          </w:tcPr>
          <w:p w:rsidR="00165C9D" w:rsidRPr="00165C9D" w:rsidP="00F627F8" w14:paraId="081D3DE7" w14:textId="77777777">
            <w:pPr>
              <w:keepNext/>
              <w:keepLines/>
              <w:rPr>
                <w:rFonts w:ascii="Times New Roman" w:hAnsi="Times New Roman"/>
                <w:color w:val="000000"/>
                <w:sz w:val="20"/>
              </w:rPr>
            </w:pPr>
          </w:p>
        </w:tc>
      </w:tr>
      <w:tr w14:paraId="1DE551DD" w14:textId="77777777" w:rsidTr="00BE4770">
        <w:tblPrEx>
          <w:tblW w:w="10320" w:type="dxa"/>
          <w:tblInd w:w="-550" w:type="dxa"/>
          <w:tblCellMar>
            <w:top w:w="15" w:type="dxa"/>
          </w:tblCellMar>
          <w:tblLook w:val="04A0"/>
        </w:tblPrEx>
        <w:trPr>
          <w:trHeight w:val="360"/>
        </w:trPr>
        <w:tc>
          <w:tcPr>
            <w:tcW w:w="2251" w:type="dxa"/>
            <w:vMerge/>
            <w:tcBorders>
              <w:top w:val="nil"/>
              <w:left w:val="single" w:sz="8" w:space="0" w:color="auto"/>
              <w:bottom w:val="single" w:sz="8" w:space="0" w:color="auto"/>
              <w:right w:val="single" w:sz="8" w:space="0" w:color="auto"/>
            </w:tcBorders>
            <w:vAlign w:val="center"/>
            <w:hideMark/>
          </w:tcPr>
          <w:p w:rsidR="00165C9D" w:rsidRPr="00165C9D" w:rsidP="00F627F8" w14:paraId="1BB43985" w14:textId="77777777">
            <w:pPr>
              <w:keepNext/>
              <w:keepLines/>
              <w:rPr>
                <w:rFonts w:ascii="Times New Roman" w:hAnsi="Times New Roman"/>
                <w:color w:val="000000"/>
                <w:sz w:val="20"/>
              </w:rPr>
            </w:pPr>
          </w:p>
        </w:tc>
        <w:tc>
          <w:tcPr>
            <w:tcW w:w="850" w:type="dxa"/>
            <w:vMerge/>
            <w:tcBorders>
              <w:top w:val="nil"/>
              <w:left w:val="single" w:sz="8" w:space="0" w:color="auto"/>
              <w:bottom w:val="single" w:sz="8" w:space="0" w:color="auto"/>
              <w:right w:val="single" w:sz="8" w:space="0" w:color="auto"/>
            </w:tcBorders>
            <w:vAlign w:val="center"/>
            <w:hideMark/>
          </w:tcPr>
          <w:p w:rsidR="00165C9D" w:rsidRPr="00165C9D" w:rsidP="00F627F8" w14:paraId="6C0F5BE3" w14:textId="77777777">
            <w:pPr>
              <w:keepNext/>
              <w:keepLines/>
              <w:rPr>
                <w:rFonts w:ascii="Times New Roman" w:hAnsi="Times New Roman"/>
                <w:color w:val="000000"/>
                <w:sz w:val="20"/>
              </w:rPr>
            </w:pPr>
          </w:p>
        </w:tc>
        <w:tc>
          <w:tcPr>
            <w:tcW w:w="1000" w:type="dxa"/>
            <w:vMerge w:val="restart"/>
            <w:tcBorders>
              <w:top w:val="nil"/>
              <w:left w:val="single" w:sz="8" w:space="0" w:color="auto"/>
              <w:bottom w:val="single" w:sz="8" w:space="0" w:color="auto"/>
              <w:right w:val="single" w:sz="8" w:space="0" w:color="auto"/>
            </w:tcBorders>
            <w:vAlign w:val="center"/>
            <w:hideMark/>
          </w:tcPr>
          <w:p w:rsidR="00165C9D" w:rsidRPr="00165C9D" w:rsidP="00F627F8" w14:paraId="2444F2A0" w14:textId="77777777">
            <w:pPr>
              <w:keepNext/>
              <w:keepLines/>
              <w:jc w:val="center"/>
              <w:rPr>
                <w:rFonts w:ascii="Times New Roman" w:hAnsi="Times New Roman"/>
                <w:color w:val="000000"/>
                <w:sz w:val="20"/>
              </w:rPr>
            </w:pPr>
            <w:r w:rsidRPr="00165C9D">
              <w:rPr>
                <w:rFonts w:ascii="Times New Roman" w:hAnsi="Times New Roman"/>
                <w:color w:val="000000"/>
                <w:sz w:val="20"/>
              </w:rPr>
              <w:t>Exec. &amp; Mgr.      ($159.84)</w:t>
            </w:r>
          </w:p>
        </w:tc>
        <w:tc>
          <w:tcPr>
            <w:tcW w:w="1000" w:type="dxa"/>
            <w:vMerge w:val="restart"/>
            <w:tcBorders>
              <w:top w:val="nil"/>
              <w:left w:val="single" w:sz="8" w:space="0" w:color="auto"/>
              <w:bottom w:val="single" w:sz="8" w:space="0" w:color="auto"/>
              <w:right w:val="single" w:sz="8" w:space="0" w:color="auto"/>
            </w:tcBorders>
            <w:vAlign w:val="center"/>
            <w:hideMark/>
          </w:tcPr>
          <w:p w:rsidR="00165C9D" w:rsidRPr="00165C9D" w:rsidP="00F627F8" w14:paraId="041CB1FB" w14:textId="77777777">
            <w:pPr>
              <w:keepNext/>
              <w:keepLines/>
              <w:jc w:val="center"/>
              <w:rPr>
                <w:rFonts w:ascii="Times New Roman" w:hAnsi="Times New Roman"/>
                <w:color w:val="000000"/>
                <w:sz w:val="20"/>
              </w:rPr>
            </w:pPr>
            <w:r w:rsidRPr="00165C9D">
              <w:rPr>
                <w:rFonts w:ascii="Times New Roman" w:hAnsi="Times New Roman"/>
                <w:color w:val="000000"/>
                <w:sz w:val="20"/>
              </w:rPr>
              <w:t>Lawyer</w:t>
            </w:r>
            <w:r w:rsidRPr="00165C9D">
              <w:rPr>
                <w:rFonts w:ascii="Times New Roman" w:hAnsi="Times New Roman"/>
                <w:color w:val="000000"/>
                <w:sz w:val="20"/>
              </w:rPr>
              <w:t xml:space="preserve">   (</w:t>
            </w:r>
            <w:r w:rsidRPr="00165C9D">
              <w:rPr>
                <w:rFonts w:ascii="Times New Roman" w:hAnsi="Times New Roman"/>
                <w:color w:val="000000"/>
                <w:sz w:val="20"/>
              </w:rPr>
              <w:t>$180.27)</w:t>
            </w:r>
          </w:p>
        </w:tc>
        <w:tc>
          <w:tcPr>
            <w:tcW w:w="900" w:type="dxa"/>
            <w:vMerge w:val="restart"/>
            <w:tcBorders>
              <w:top w:val="nil"/>
              <w:left w:val="single" w:sz="8" w:space="0" w:color="auto"/>
              <w:bottom w:val="single" w:sz="8" w:space="0" w:color="auto"/>
              <w:right w:val="single" w:sz="8" w:space="0" w:color="auto"/>
            </w:tcBorders>
            <w:vAlign w:val="center"/>
            <w:hideMark/>
          </w:tcPr>
          <w:p w:rsidR="00165C9D" w:rsidRPr="00165C9D" w:rsidP="00F627F8" w14:paraId="5BE49318" w14:textId="77777777">
            <w:pPr>
              <w:keepNext/>
              <w:keepLines/>
              <w:jc w:val="center"/>
              <w:rPr>
                <w:rFonts w:ascii="Times New Roman" w:hAnsi="Times New Roman"/>
                <w:color w:val="000000"/>
                <w:sz w:val="20"/>
              </w:rPr>
            </w:pPr>
            <w:r w:rsidRPr="00165C9D">
              <w:rPr>
                <w:rFonts w:ascii="Times New Roman" w:hAnsi="Times New Roman"/>
                <w:color w:val="000000"/>
                <w:sz w:val="20"/>
              </w:rPr>
              <w:t>Compl</w:t>
            </w:r>
            <w:r w:rsidRPr="00165C9D">
              <w:rPr>
                <w:rFonts w:ascii="Times New Roman" w:hAnsi="Times New Roman"/>
                <w:color w:val="000000"/>
                <w:sz w:val="20"/>
              </w:rPr>
              <w:t>. Ofc.   ($81.09)</w:t>
            </w:r>
          </w:p>
        </w:tc>
        <w:tc>
          <w:tcPr>
            <w:tcW w:w="1000" w:type="dxa"/>
            <w:vMerge w:val="restart"/>
            <w:tcBorders>
              <w:top w:val="nil"/>
              <w:left w:val="single" w:sz="8" w:space="0" w:color="auto"/>
              <w:bottom w:val="single" w:sz="8" w:space="0" w:color="auto"/>
              <w:right w:val="single" w:sz="8" w:space="0" w:color="auto"/>
            </w:tcBorders>
            <w:vAlign w:val="center"/>
            <w:hideMark/>
          </w:tcPr>
          <w:p w:rsidR="00165C9D" w:rsidRPr="00165C9D" w:rsidP="00F627F8" w14:paraId="6AEBE04D" w14:textId="77777777">
            <w:pPr>
              <w:keepNext/>
              <w:keepLines/>
              <w:jc w:val="center"/>
              <w:rPr>
                <w:rFonts w:ascii="Times New Roman" w:hAnsi="Times New Roman"/>
                <w:color w:val="000000"/>
                <w:sz w:val="20"/>
              </w:rPr>
            </w:pPr>
            <w:r w:rsidRPr="00165C9D">
              <w:rPr>
                <w:rFonts w:ascii="Times New Roman" w:hAnsi="Times New Roman"/>
                <w:color w:val="000000"/>
                <w:sz w:val="20"/>
              </w:rPr>
              <w:t xml:space="preserve">IT </w:t>
            </w:r>
            <w:r w:rsidRPr="00165C9D">
              <w:rPr>
                <w:rFonts w:ascii="Times New Roman" w:hAnsi="Times New Roman"/>
                <w:color w:val="000000"/>
                <w:sz w:val="20"/>
              </w:rPr>
              <w:t xml:space="preserve">   (</w:t>
            </w:r>
            <w:r w:rsidRPr="00165C9D">
              <w:rPr>
                <w:rFonts w:ascii="Times New Roman" w:hAnsi="Times New Roman"/>
                <w:color w:val="000000"/>
                <w:sz w:val="20"/>
              </w:rPr>
              <w:t>$116.97)</w:t>
            </w:r>
          </w:p>
        </w:tc>
        <w:tc>
          <w:tcPr>
            <w:tcW w:w="1000" w:type="dxa"/>
            <w:vMerge w:val="restart"/>
            <w:tcBorders>
              <w:top w:val="nil"/>
              <w:left w:val="single" w:sz="8" w:space="0" w:color="auto"/>
              <w:bottom w:val="single" w:sz="8" w:space="0" w:color="auto"/>
              <w:right w:val="single" w:sz="8" w:space="0" w:color="auto"/>
            </w:tcBorders>
            <w:vAlign w:val="center"/>
            <w:hideMark/>
          </w:tcPr>
          <w:p w:rsidR="00165C9D" w:rsidRPr="00165C9D" w:rsidP="00F627F8" w14:paraId="7608C8FB" w14:textId="77777777">
            <w:pPr>
              <w:keepNext/>
              <w:keepLines/>
              <w:jc w:val="center"/>
              <w:rPr>
                <w:rFonts w:ascii="Times New Roman" w:hAnsi="Times New Roman"/>
                <w:color w:val="000000"/>
                <w:sz w:val="20"/>
              </w:rPr>
            </w:pPr>
            <w:r w:rsidRPr="00165C9D">
              <w:rPr>
                <w:rFonts w:ascii="Times New Roman" w:hAnsi="Times New Roman"/>
                <w:color w:val="000000"/>
                <w:sz w:val="20"/>
              </w:rPr>
              <w:t xml:space="preserve">Fin. </w:t>
            </w:r>
            <w:r w:rsidRPr="00165C9D">
              <w:rPr>
                <w:rFonts w:ascii="Times New Roman" w:hAnsi="Times New Roman"/>
                <w:color w:val="000000"/>
                <w:sz w:val="20"/>
              </w:rPr>
              <w:t>Anlst</w:t>
            </w:r>
            <w:r w:rsidRPr="00165C9D">
              <w:rPr>
                <w:rFonts w:ascii="Times New Roman" w:hAnsi="Times New Roman"/>
                <w:color w:val="000000"/>
                <w:sz w:val="20"/>
              </w:rPr>
              <w:t>.    ($101.69)</w:t>
            </w:r>
          </w:p>
        </w:tc>
        <w:tc>
          <w:tcPr>
            <w:tcW w:w="900" w:type="dxa"/>
            <w:vMerge w:val="restart"/>
            <w:tcBorders>
              <w:top w:val="nil"/>
              <w:left w:val="single" w:sz="8" w:space="0" w:color="auto"/>
              <w:bottom w:val="single" w:sz="8" w:space="0" w:color="auto"/>
              <w:right w:val="single" w:sz="8" w:space="0" w:color="auto"/>
            </w:tcBorders>
            <w:vAlign w:val="center"/>
            <w:hideMark/>
          </w:tcPr>
          <w:p w:rsidR="00165C9D" w:rsidRPr="00165C9D" w:rsidP="00F627F8" w14:paraId="4A132B50" w14:textId="77777777">
            <w:pPr>
              <w:keepNext/>
              <w:keepLines/>
              <w:jc w:val="center"/>
              <w:rPr>
                <w:rFonts w:ascii="Times New Roman" w:hAnsi="Times New Roman"/>
                <w:color w:val="000000"/>
                <w:sz w:val="20"/>
              </w:rPr>
            </w:pPr>
            <w:r w:rsidRPr="00165C9D">
              <w:rPr>
                <w:rFonts w:ascii="Times New Roman" w:hAnsi="Times New Roman"/>
                <w:color w:val="000000"/>
                <w:sz w:val="20"/>
              </w:rPr>
              <w:t xml:space="preserve">Clerical </w:t>
            </w:r>
            <w:r w:rsidRPr="00165C9D">
              <w:rPr>
                <w:rFonts w:ascii="Times New Roman" w:hAnsi="Times New Roman"/>
                <w:color w:val="000000"/>
                <w:sz w:val="20"/>
              </w:rPr>
              <w:t xml:space="preserve">   (</w:t>
            </w:r>
            <w:r w:rsidRPr="00165C9D">
              <w:rPr>
                <w:rFonts w:ascii="Times New Roman" w:hAnsi="Times New Roman"/>
                <w:color w:val="000000"/>
                <w:sz w:val="20"/>
              </w:rPr>
              <w:t>$42.73)</w:t>
            </w:r>
          </w:p>
        </w:tc>
        <w:tc>
          <w:tcPr>
            <w:tcW w:w="1419" w:type="dxa"/>
            <w:vMerge/>
            <w:tcBorders>
              <w:top w:val="nil"/>
              <w:left w:val="single" w:sz="8" w:space="0" w:color="auto"/>
              <w:bottom w:val="single" w:sz="8" w:space="0" w:color="auto"/>
              <w:right w:val="single" w:sz="8" w:space="0" w:color="auto"/>
            </w:tcBorders>
            <w:vAlign w:val="center"/>
            <w:hideMark/>
          </w:tcPr>
          <w:p w:rsidR="00165C9D" w:rsidRPr="00165C9D" w:rsidP="00F627F8" w14:paraId="5C7165B7" w14:textId="77777777">
            <w:pPr>
              <w:keepNext/>
              <w:keepLines/>
              <w:rPr>
                <w:rFonts w:ascii="Times New Roman" w:hAnsi="Times New Roman"/>
                <w:color w:val="000000"/>
                <w:sz w:val="20"/>
              </w:rPr>
            </w:pPr>
          </w:p>
        </w:tc>
      </w:tr>
      <w:tr w14:paraId="2EC66DA8" w14:textId="77777777" w:rsidTr="0014251A">
        <w:tblPrEx>
          <w:tblW w:w="10320" w:type="dxa"/>
          <w:tblInd w:w="-550" w:type="dxa"/>
          <w:tblCellMar>
            <w:top w:w="15" w:type="dxa"/>
          </w:tblCellMar>
          <w:tblLook w:val="04A0"/>
        </w:tblPrEx>
        <w:trPr>
          <w:trHeight w:val="565"/>
        </w:trPr>
        <w:tc>
          <w:tcPr>
            <w:tcW w:w="2251" w:type="dxa"/>
            <w:vMerge/>
            <w:tcBorders>
              <w:top w:val="nil"/>
              <w:left w:val="single" w:sz="8" w:space="0" w:color="auto"/>
              <w:bottom w:val="single" w:sz="8" w:space="0" w:color="auto"/>
              <w:right w:val="single" w:sz="8" w:space="0" w:color="auto"/>
            </w:tcBorders>
            <w:vAlign w:val="center"/>
            <w:hideMark/>
          </w:tcPr>
          <w:p w:rsidR="00165C9D" w:rsidRPr="00165C9D" w:rsidP="00F627F8" w14:paraId="01825552" w14:textId="77777777">
            <w:pPr>
              <w:keepNext/>
              <w:keepLines/>
              <w:rPr>
                <w:rFonts w:ascii="Times New Roman" w:hAnsi="Times New Roman"/>
                <w:color w:val="000000"/>
                <w:sz w:val="20"/>
              </w:rPr>
            </w:pPr>
          </w:p>
        </w:tc>
        <w:tc>
          <w:tcPr>
            <w:tcW w:w="850" w:type="dxa"/>
            <w:vMerge/>
            <w:tcBorders>
              <w:top w:val="nil"/>
              <w:left w:val="single" w:sz="8" w:space="0" w:color="auto"/>
              <w:bottom w:val="single" w:sz="8" w:space="0" w:color="auto"/>
              <w:right w:val="single" w:sz="8" w:space="0" w:color="auto"/>
            </w:tcBorders>
            <w:vAlign w:val="center"/>
            <w:hideMark/>
          </w:tcPr>
          <w:p w:rsidR="00165C9D" w:rsidRPr="00165C9D" w:rsidP="00F627F8" w14:paraId="000FC997" w14:textId="77777777">
            <w:pPr>
              <w:keepNext/>
              <w:keepLines/>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165C9D" w:rsidRPr="00165C9D" w:rsidP="00F627F8" w14:paraId="78B54C11" w14:textId="77777777">
            <w:pPr>
              <w:keepNext/>
              <w:keepLines/>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165C9D" w:rsidRPr="00165C9D" w:rsidP="00F627F8" w14:paraId="5E3425F0" w14:textId="77777777">
            <w:pPr>
              <w:keepNext/>
              <w:keepLines/>
              <w:rPr>
                <w:rFonts w:ascii="Times New Roman" w:hAnsi="Times New Roman"/>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165C9D" w:rsidRPr="00165C9D" w:rsidP="00F627F8" w14:paraId="11A06266" w14:textId="77777777">
            <w:pPr>
              <w:keepNext/>
              <w:keepLines/>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165C9D" w:rsidRPr="00165C9D" w:rsidP="00F627F8" w14:paraId="50EBA058" w14:textId="77777777">
            <w:pPr>
              <w:keepNext/>
              <w:keepLines/>
              <w:rPr>
                <w:rFonts w:ascii="Times New Roman" w:hAnsi="Times New Roman"/>
                <w:color w:val="000000"/>
                <w:sz w:val="20"/>
              </w:rPr>
            </w:pPr>
          </w:p>
        </w:tc>
        <w:tc>
          <w:tcPr>
            <w:tcW w:w="1000" w:type="dxa"/>
            <w:vMerge/>
            <w:tcBorders>
              <w:top w:val="nil"/>
              <w:left w:val="single" w:sz="8" w:space="0" w:color="auto"/>
              <w:bottom w:val="single" w:sz="8" w:space="0" w:color="auto"/>
              <w:right w:val="single" w:sz="8" w:space="0" w:color="auto"/>
            </w:tcBorders>
            <w:vAlign w:val="center"/>
            <w:hideMark/>
          </w:tcPr>
          <w:p w:rsidR="00165C9D" w:rsidRPr="00165C9D" w:rsidP="00F627F8" w14:paraId="7A734022" w14:textId="77777777">
            <w:pPr>
              <w:keepNext/>
              <w:keepLines/>
              <w:rPr>
                <w:rFonts w:ascii="Times New Roman" w:hAnsi="Times New Roman"/>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165C9D" w:rsidRPr="00165C9D" w:rsidP="00F627F8" w14:paraId="32705555" w14:textId="77777777">
            <w:pPr>
              <w:keepNext/>
              <w:keepLines/>
              <w:rPr>
                <w:rFonts w:ascii="Times New Roman" w:hAnsi="Times New Roman"/>
                <w:color w:val="000000"/>
                <w:sz w:val="20"/>
              </w:rPr>
            </w:pPr>
          </w:p>
        </w:tc>
        <w:tc>
          <w:tcPr>
            <w:tcW w:w="1419" w:type="dxa"/>
            <w:vMerge/>
            <w:tcBorders>
              <w:top w:val="nil"/>
              <w:left w:val="single" w:sz="8" w:space="0" w:color="auto"/>
              <w:bottom w:val="single" w:sz="8" w:space="0" w:color="auto"/>
              <w:right w:val="single" w:sz="8" w:space="0" w:color="auto"/>
            </w:tcBorders>
            <w:vAlign w:val="center"/>
            <w:hideMark/>
          </w:tcPr>
          <w:p w:rsidR="00165C9D" w:rsidRPr="00165C9D" w:rsidP="00F627F8" w14:paraId="1A8676D2" w14:textId="77777777">
            <w:pPr>
              <w:keepNext/>
              <w:keepLines/>
              <w:rPr>
                <w:rFonts w:ascii="Times New Roman" w:hAnsi="Times New Roman"/>
                <w:color w:val="000000"/>
                <w:sz w:val="20"/>
              </w:rPr>
            </w:pPr>
          </w:p>
        </w:tc>
      </w:tr>
      <w:tr w14:paraId="08FEC9FC" w14:textId="77777777" w:rsidTr="00BE4770">
        <w:tblPrEx>
          <w:tblW w:w="10320" w:type="dxa"/>
          <w:tblInd w:w="-550" w:type="dxa"/>
          <w:tblCellMar>
            <w:top w:w="15" w:type="dxa"/>
          </w:tblCellMar>
          <w:tblLook w:val="04A0"/>
        </w:tblPrEx>
        <w:trPr>
          <w:trHeight w:val="970"/>
        </w:trPr>
        <w:tc>
          <w:tcPr>
            <w:tcW w:w="2251" w:type="dxa"/>
            <w:tcBorders>
              <w:top w:val="nil"/>
              <w:left w:val="single" w:sz="8" w:space="0" w:color="auto"/>
              <w:bottom w:val="single" w:sz="8" w:space="0" w:color="auto"/>
              <w:right w:val="single" w:sz="8" w:space="0" w:color="auto"/>
            </w:tcBorders>
            <w:vAlign w:val="center"/>
            <w:hideMark/>
          </w:tcPr>
          <w:p w:rsidR="00165C9D" w:rsidRPr="00165C9D" w:rsidP="00F627F8" w14:paraId="0D698FC4" w14:textId="77777777">
            <w:pPr>
              <w:keepNext/>
              <w:keepLines/>
              <w:rPr>
                <w:rFonts w:ascii="Times New Roman" w:hAnsi="Times New Roman"/>
                <w:color w:val="000000"/>
                <w:sz w:val="20"/>
              </w:rPr>
            </w:pPr>
            <w:r w:rsidRPr="00165C9D">
              <w:rPr>
                <w:rFonts w:ascii="Times New Roman" w:hAnsi="Times New Roman"/>
                <w:color w:val="000000"/>
                <w:sz w:val="20"/>
              </w:rPr>
              <w:t>1. Reverse Mortgage Products - Implementation,</w:t>
            </w:r>
            <w:r w:rsidRPr="00165C9D">
              <w:rPr>
                <w:rFonts w:ascii="Times New Roman" w:hAnsi="Times New Roman"/>
                <w:color w:val="000000"/>
                <w:sz w:val="20"/>
              </w:rPr>
              <w:br/>
              <w:t>12 CFR 365 (Mandatory)</w:t>
            </w:r>
          </w:p>
        </w:tc>
        <w:tc>
          <w:tcPr>
            <w:tcW w:w="850" w:type="dxa"/>
            <w:tcBorders>
              <w:top w:val="nil"/>
              <w:left w:val="nil"/>
              <w:bottom w:val="single" w:sz="8" w:space="0" w:color="auto"/>
              <w:right w:val="single" w:sz="8" w:space="0" w:color="auto"/>
            </w:tcBorders>
            <w:vAlign w:val="center"/>
            <w:hideMark/>
          </w:tcPr>
          <w:p w:rsidR="00165C9D" w:rsidRPr="00165C9D" w:rsidP="00F627F8" w14:paraId="25BCFB7E" w14:textId="77777777">
            <w:pPr>
              <w:keepNext/>
              <w:keepLines/>
              <w:jc w:val="center"/>
              <w:rPr>
                <w:rFonts w:ascii="Times New Roman" w:hAnsi="Times New Roman"/>
                <w:color w:val="000000"/>
                <w:sz w:val="20"/>
              </w:rPr>
            </w:pPr>
            <w:r w:rsidRPr="00165C9D">
              <w:rPr>
                <w:rFonts w:ascii="Times New Roman" w:hAnsi="Times New Roman"/>
                <w:color w:val="000000"/>
                <w:sz w:val="20"/>
              </w:rPr>
              <w:t>58.14</w:t>
            </w:r>
          </w:p>
        </w:tc>
        <w:tc>
          <w:tcPr>
            <w:tcW w:w="1000" w:type="dxa"/>
            <w:tcBorders>
              <w:top w:val="nil"/>
              <w:left w:val="nil"/>
              <w:bottom w:val="single" w:sz="8" w:space="0" w:color="auto"/>
              <w:right w:val="single" w:sz="8" w:space="0" w:color="auto"/>
            </w:tcBorders>
            <w:vAlign w:val="center"/>
            <w:hideMark/>
          </w:tcPr>
          <w:p w:rsidR="00165C9D" w:rsidRPr="00165C9D" w:rsidP="00F627F8" w14:paraId="5E08C778" w14:textId="77777777">
            <w:pPr>
              <w:keepNext/>
              <w:keepLines/>
              <w:jc w:val="center"/>
              <w:rPr>
                <w:rFonts w:ascii="Times New Roman" w:hAnsi="Times New Roman"/>
                <w:color w:val="000000"/>
                <w:sz w:val="20"/>
              </w:rPr>
            </w:pPr>
            <w:r w:rsidRPr="00165C9D">
              <w:rPr>
                <w:rFonts w:ascii="Times New Roman" w:hAnsi="Times New Roman"/>
                <w:color w:val="000000"/>
                <w:sz w:val="20"/>
              </w:rPr>
              <w:t>5</w:t>
            </w:r>
          </w:p>
        </w:tc>
        <w:tc>
          <w:tcPr>
            <w:tcW w:w="1000" w:type="dxa"/>
            <w:tcBorders>
              <w:top w:val="nil"/>
              <w:left w:val="nil"/>
              <w:bottom w:val="single" w:sz="8" w:space="0" w:color="auto"/>
              <w:right w:val="single" w:sz="8" w:space="0" w:color="auto"/>
            </w:tcBorders>
            <w:vAlign w:val="center"/>
            <w:hideMark/>
          </w:tcPr>
          <w:p w:rsidR="00165C9D" w:rsidRPr="00165C9D" w:rsidP="00F627F8" w14:paraId="11D9375D" w14:textId="77777777">
            <w:pPr>
              <w:keepNext/>
              <w:keepLines/>
              <w:jc w:val="center"/>
              <w:rPr>
                <w:rFonts w:ascii="Times New Roman" w:hAnsi="Times New Roman"/>
                <w:color w:val="000000"/>
                <w:sz w:val="20"/>
              </w:rPr>
            </w:pPr>
            <w:r w:rsidRPr="00165C9D">
              <w:rPr>
                <w:rFonts w:ascii="Times New Roman" w:hAnsi="Times New Roman"/>
                <w:color w:val="000000"/>
                <w:sz w:val="20"/>
              </w:rPr>
              <w:t>5</w:t>
            </w:r>
          </w:p>
        </w:tc>
        <w:tc>
          <w:tcPr>
            <w:tcW w:w="900" w:type="dxa"/>
            <w:tcBorders>
              <w:top w:val="nil"/>
              <w:left w:val="nil"/>
              <w:bottom w:val="single" w:sz="8" w:space="0" w:color="auto"/>
              <w:right w:val="single" w:sz="8" w:space="0" w:color="auto"/>
            </w:tcBorders>
            <w:vAlign w:val="center"/>
            <w:hideMark/>
          </w:tcPr>
          <w:p w:rsidR="00165C9D" w:rsidRPr="00165C9D" w:rsidP="00F627F8" w14:paraId="552DAC6C" w14:textId="77777777">
            <w:pPr>
              <w:keepNext/>
              <w:keepLines/>
              <w:jc w:val="center"/>
              <w:rPr>
                <w:rFonts w:ascii="Times New Roman" w:hAnsi="Times New Roman"/>
                <w:color w:val="000000"/>
                <w:sz w:val="20"/>
              </w:rPr>
            </w:pPr>
            <w:r w:rsidRPr="00165C9D">
              <w:rPr>
                <w:rFonts w:ascii="Times New Roman" w:hAnsi="Times New Roman"/>
                <w:color w:val="000000"/>
                <w:sz w:val="20"/>
              </w:rPr>
              <w:t>85</w:t>
            </w:r>
          </w:p>
        </w:tc>
        <w:tc>
          <w:tcPr>
            <w:tcW w:w="1000" w:type="dxa"/>
            <w:tcBorders>
              <w:top w:val="nil"/>
              <w:left w:val="nil"/>
              <w:bottom w:val="single" w:sz="8" w:space="0" w:color="auto"/>
              <w:right w:val="single" w:sz="8" w:space="0" w:color="auto"/>
            </w:tcBorders>
            <w:vAlign w:val="center"/>
            <w:hideMark/>
          </w:tcPr>
          <w:p w:rsidR="00165C9D" w:rsidRPr="00165C9D" w:rsidP="00F627F8" w14:paraId="543C8991" w14:textId="77777777">
            <w:pPr>
              <w:keepNext/>
              <w:keepLines/>
              <w:jc w:val="center"/>
              <w:rPr>
                <w:rFonts w:ascii="Times New Roman" w:hAnsi="Times New Roman"/>
                <w:color w:val="000000"/>
                <w:sz w:val="20"/>
              </w:rPr>
            </w:pPr>
            <w:r w:rsidRPr="00165C9D">
              <w:rPr>
                <w:rFonts w:ascii="Times New Roman" w:hAnsi="Times New Roman"/>
                <w:color w:val="000000"/>
                <w:sz w:val="20"/>
              </w:rPr>
              <w:t>0</w:t>
            </w:r>
          </w:p>
        </w:tc>
        <w:tc>
          <w:tcPr>
            <w:tcW w:w="1000" w:type="dxa"/>
            <w:tcBorders>
              <w:top w:val="nil"/>
              <w:left w:val="nil"/>
              <w:bottom w:val="single" w:sz="8" w:space="0" w:color="auto"/>
              <w:right w:val="single" w:sz="8" w:space="0" w:color="auto"/>
            </w:tcBorders>
            <w:vAlign w:val="center"/>
            <w:hideMark/>
          </w:tcPr>
          <w:p w:rsidR="00165C9D" w:rsidRPr="00165C9D" w:rsidP="00F627F8" w14:paraId="317673D1" w14:textId="77777777">
            <w:pPr>
              <w:keepNext/>
              <w:keepLines/>
              <w:jc w:val="center"/>
              <w:rPr>
                <w:rFonts w:ascii="Times New Roman" w:hAnsi="Times New Roman"/>
                <w:color w:val="000000"/>
                <w:sz w:val="20"/>
              </w:rPr>
            </w:pPr>
            <w:r w:rsidRPr="00165C9D">
              <w:rPr>
                <w:rFonts w:ascii="Times New Roman" w:hAnsi="Times New Roman"/>
                <w:color w:val="000000"/>
                <w:sz w:val="20"/>
              </w:rPr>
              <w:t>0</w:t>
            </w:r>
          </w:p>
        </w:tc>
        <w:tc>
          <w:tcPr>
            <w:tcW w:w="900" w:type="dxa"/>
            <w:tcBorders>
              <w:top w:val="nil"/>
              <w:left w:val="nil"/>
              <w:bottom w:val="single" w:sz="8" w:space="0" w:color="auto"/>
              <w:right w:val="single" w:sz="8" w:space="0" w:color="auto"/>
            </w:tcBorders>
            <w:vAlign w:val="center"/>
            <w:hideMark/>
          </w:tcPr>
          <w:p w:rsidR="00165C9D" w:rsidRPr="00165C9D" w:rsidP="00F627F8" w14:paraId="2845E13C" w14:textId="77777777">
            <w:pPr>
              <w:keepNext/>
              <w:keepLines/>
              <w:jc w:val="center"/>
              <w:rPr>
                <w:rFonts w:ascii="Times New Roman" w:hAnsi="Times New Roman"/>
                <w:color w:val="000000"/>
                <w:sz w:val="20"/>
              </w:rPr>
            </w:pPr>
            <w:r w:rsidRPr="00165C9D">
              <w:rPr>
                <w:rFonts w:ascii="Times New Roman" w:hAnsi="Times New Roman"/>
                <w:color w:val="000000"/>
                <w:sz w:val="20"/>
              </w:rPr>
              <w:t>5</w:t>
            </w:r>
          </w:p>
        </w:tc>
        <w:tc>
          <w:tcPr>
            <w:tcW w:w="1419" w:type="dxa"/>
            <w:tcBorders>
              <w:top w:val="nil"/>
              <w:left w:val="nil"/>
              <w:bottom w:val="single" w:sz="8" w:space="0" w:color="auto"/>
              <w:right w:val="single" w:sz="8" w:space="0" w:color="auto"/>
            </w:tcBorders>
            <w:vAlign w:val="center"/>
            <w:hideMark/>
          </w:tcPr>
          <w:p w:rsidR="00165C9D" w:rsidRPr="00165C9D" w:rsidP="00F627F8" w14:paraId="1BDE7924" w14:textId="77777777">
            <w:pPr>
              <w:keepNext/>
              <w:keepLines/>
              <w:ind w:firstLine="200" w:firstLineChars="100"/>
              <w:jc w:val="right"/>
              <w:rPr>
                <w:rFonts w:ascii="Times New Roman" w:hAnsi="Times New Roman"/>
                <w:color w:val="000000"/>
                <w:sz w:val="20"/>
              </w:rPr>
            </w:pPr>
            <w:r w:rsidRPr="00165C9D">
              <w:rPr>
                <w:rFonts w:ascii="Times New Roman" w:hAnsi="Times New Roman"/>
                <w:color w:val="000000"/>
                <w:sz w:val="20"/>
              </w:rPr>
              <w:t xml:space="preserve">$88.07 </w:t>
            </w:r>
          </w:p>
        </w:tc>
      </w:tr>
      <w:tr w14:paraId="4DB105A7" w14:textId="77777777" w:rsidTr="00BE4770">
        <w:tblPrEx>
          <w:tblW w:w="10320" w:type="dxa"/>
          <w:tblInd w:w="-550" w:type="dxa"/>
          <w:tblCellMar>
            <w:top w:w="15" w:type="dxa"/>
          </w:tblCellMar>
          <w:tblLook w:val="04A0"/>
        </w:tblPrEx>
        <w:trPr>
          <w:trHeight w:val="840"/>
        </w:trPr>
        <w:tc>
          <w:tcPr>
            <w:tcW w:w="2251" w:type="dxa"/>
            <w:tcBorders>
              <w:top w:val="nil"/>
              <w:left w:val="single" w:sz="8" w:space="0" w:color="auto"/>
              <w:bottom w:val="single" w:sz="8" w:space="0" w:color="auto"/>
              <w:right w:val="single" w:sz="8" w:space="0" w:color="auto"/>
            </w:tcBorders>
            <w:vAlign w:val="center"/>
            <w:hideMark/>
          </w:tcPr>
          <w:p w:rsidR="00165C9D" w:rsidRPr="00165C9D" w:rsidP="00F627F8" w14:paraId="3197805F" w14:textId="77777777">
            <w:pPr>
              <w:keepNext/>
              <w:keepLines/>
              <w:rPr>
                <w:rFonts w:ascii="Times New Roman" w:hAnsi="Times New Roman"/>
                <w:color w:val="000000"/>
                <w:sz w:val="20"/>
              </w:rPr>
            </w:pPr>
            <w:r w:rsidRPr="00165C9D">
              <w:rPr>
                <w:rFonts w:ascii="Times New Roman" w:hAnsi="Times New Roman"/>
                <w:color w:val="000000"/>
                <w:sz w:val="20"/>
              </w:rPr>
              <w:t>2. Reverse Mortgage Products - Ongoing,</w:t>
            </w:r>
            <w:r w:rsidRPr="00165C9D">
              <w:rPr>
                <w:rFonts w:ascii="Times New Roman" w:hAnsi="Times New Roman"/>
                <w:color w:val="000000"/>
                <w:sz w:val="20"/>
              </w:rPr>
              <w:br/>
              <w:t>12 CFR 365 (Mandatory)</w:t>
            </w:r>
          </w:p>
        </w:tc>
        <w:tc>
          <w:tcPr>
            <w:tcW w:w="850" w:type="dxa"/>
            <w:tcBorders>
              <w:top w:val="nil"/>
              <w:left w:val="nil"/>
              <w:bottom w:val="single" w:sz="8" w:space="0" w:color="auto"/>
              <w:right w:val="single" w:sz="8" w:space="0" w:color="auto"/>
            </w:tcBorders>
            <w:vAlign w:val="center"/>
            <w:hideMark/>
          </w:tcPr>
          <w:p w:rsidR="00165C9D" w:rsidRPr="00165C9D" w:rsidP="00F627F8" w14:paraId="1C247C5A" w14:textId="77777777">
            <w:pPr>
              <w:keepNext/>
              <w:keepLines/>
              <w:jc w:val="center"/>
              <w:rPr>
                <w:rFonts w:ascii="Times New Roman" w:hAnsi="Times New Roman"/>
                <w:color w:val="000000"/>
                <w:sz w:val="20"/>
              </w:rPr>
            </w:pPr>
            <w:r w:rsidRPr="00165C9D">
              <w:rPr>
                <w:rFonts w:ascii="Times New Roman" w:hAnsi="Times New Roman"/>
                <w:color w:val="000000"/>
                <w:sz w:val="20"/>
              </w:rPr>
              <w:t>41.86</w:t>
            </w:r>
          </w:p>
        </w:tc>
        <w:tc>
          <w:tcPr>
            <w:tcW w:w="1000" w:type="dxa"/>
            <w:tcBorders>
              <w:top w:val="nil"/>
              <w:left w:val="nil"/>
              <w:bottom w:val="single" w:sz="8" w:space="0" w:color="auto"/>
              <w:right w:val="single" w:sz="8" w:space="0" w:color="auto"/>
            </w:tcBorders>
            <w:vAlign w:val="center"/>
            <w:hideMark/>
          </w:tcPr>
          <w:p w:rsidR="00165C9D" w:rsidRPr="00165C9D" w:rsidP="00F627F8" w14:paraId="3EC3593E" w14:textId="77777777">
            <w:pPr>
              <w:keepNext/>
              <w:keepLines/>
              <w:jc w:val="center"/>
              <w:rPr>
                <w:rFonts w:ascii="Times New Roman" w:hAnsi="Times New Roman"/>
                <w:color w:val="000000"/>
                <w:sz w:val="20"/>
              </w:rPr>
            </w:pPr>
            <w:r w:rsidRPr="00165C9D">
              <w:rPr>
                <w:rFonts w:ascii="Times New Roman" w:hAnsi="Times New Roman"/>
                <w:color w:val="000000"/>
                <w:sz w:val="20"/>
              </w:rPr>
              <w:t>5</w:t>
            </w:r>
          </w:p>
        </w:tc>
        <w:tc>
          <w:tcPr>
            <w:tcW w:w="1000" w:type="dxa"/>
            <w:tcBorders>
              <w:top w:val="nil"/>
              <w:left w:val="nil"/>
              <w:bottom w:val="single" w:sz="8" w:space="0" w:color="auto"/>
              <w:right w:val="single" w:sz="8" w:space="0" w:color="auto"/>
            </w:tcBorders>
            <w:vAlign w:val="center"/>
            <w:hideMark/>
          </w:tcPr>
          <w:p w:rsidR="00165C9D" w:rsidRPr="00165C9D" w:rsidP="00F627F8" w14:paraId="6743837A" w14:textId="77777777">
            <w:pPr>
              <w:keepNext/>
              <w:keepLines/>
              <w:jc w:val="center"/>
              <w:rPr>
                <w:rFonts w:ascii="Times New Roman" w:hAnsi="Times New Roman"/>
                <w:color w:val="000000"/>
                <w:sz w:val="20"/>
              </w:rPr>
            </w:pPr>
            <w:r w:rsidRPr="00165C9D">
              <w:rPr>
                <w:rFonts w:ascii="Times New Roman" w:hAnsi="Times New Roman"/>
                <w:color w:val="000000"/>
                <w:sz w:val="20"/>
              </w:rPr>
              <w:t>5</w:t>
            </w:r>
          </w:p>
        </w:tc>
        <w:tc>
          <w:tcPr>
            <w:tcW w:w="900" w:type="dxa"/>
            <w:tcBorders>
              <w:top w:val="nil"/>
              <w:left w:val="nil"/>
              <w:bottom w:val="single" w:sz="8" w:space="0" w:color="auto"/>
              <w:right w:val="single" w:sz="8" w:space="0" w:color="auto"/>
            </w:tcBorders>
            <w:vAlign w:val="center"/>
            <w:hideMark/>
          </w:tcPr>
          <w:p w:rsidR="00165C9D" w:rsidRPr="00165C9D" w:rsidP="00F627F8" w14:paraId="2417C500" w14:textId="77777777">
            <w:pPr>
              <w:keepNext/>
              <w:keepLines/>
              <w:jc w:val="center"/>
              <w:rPr>
                <w:rFonts w:ascii="Times New Roman" w:hAnsi="Times New Roman"/>
                <w:color w:val="000000"/>
                <w:sz w:val="20"/>
              </w:rPr>
            </w:pPr>
            <w:r w:rsidRPr="00165C9D">
              <w:rPr>
                <w:rFonts w:ascii="Times New Roman" w:hAnsi="Times New Roman"/>
                <w:color w:val="000000"/>
                <w:sz w:val="20"/>
              </w:rPr>
              <w:t>85</w:t>
            </w:r>
          </w:p>
        </w:tc>
        <w:tc>
          <w:tcPr>
            <w:tcW w:w="1000" w:type="dxa"/>
            <w:tcBorders>
              <w:top w:val="nil"/>
              <w:left w:val="nil"/>
              <w:bottom w:val="single" w:sz="8" w:space="0" w:color="auto"/>
              <w:right w:val="single" w:sz="8" w:space="0" w:color="auto"/>
            </w:tcBorders>
            <w:vAlign w:val="center"/>
            <w:hideMark/>
          </w:tcPr>
          <w:p w:rsidR="00165C9D" w:rsidRPr="00165C9D" w:rsidP="00F627F8" w14:paraId="3EED5722" w14:textId="77777777">
            <w:pPr>
              <w:keepNext/>
              <w:keepLines/>
              <w:jc w:val="center"/>
              <w:rPr>
                <w:rFonts w:ascii="Times New Roman" w:hAnsi="Times New Roman"/>
                <w:color w:val="000000"/>
                <w:sz w:val="20"/>
              </w:rPr>
            </w:pPr>
            <w:r w:rsidRPr="00165C9D">
              <w:rPr>
                <w:rFonts w:ascii="Times New Roman" w:hAnsi="Times New Roman"/>
                <w:color w:val="000000"/>
                <w:sz w:val="20"/>
              </w:rPr>
              <w:t>0</w:t>
            </w:r>
          </w:p>
        </w:tc>
        <w:tc>
          <w:tcPr>
            <w:tcW w:w="1000" w:type="dxa"/>
            <w:tcBorders>
              <w:top w:val="nil"/>
              <w:left w:val="nil"/>
              <w:bottom w:val="single" w:sz="8" w:space="0" w:color="auto"/>
              <w:right w:val="single" w:sz="8" w:space="0" w:color="auto"/>
            </w:tcBorders>
            <w:vAlign w:val="center"/>
            <w:hideMark/>
          </w:tcPr>
          <w:p w:rsidR="00165C9D" w:rsidRPr="00165C9D" w:rsidP="00F627F8" w14:paraId="32348DCB" w14:textId="77777777">
            <w:pPr>
              <w:keepNext/>
              <w:keepLines/>
              <w:jc w:val="center"/>
              <w:rPr>
                <w:rFonts w:ascii="Times New Roman" w:hAnsi="Times New Roman"/>
                <w:color w:val="000000"/>
                <w:sz w:val="20"/>
              </w:rPr>
            </w:pPr>
            <w:r w:rsidRPr="00165C9D">
              <w:rPr>
                <w:rFonts w:ascii="Times New Roman" w:hAnsi="Times New Roman"/>
                <w:color w:val="000000"/>
                <w:sz w:val="20"/>
              </w:rPr>
              <w:t>0</w:t>
            </w:r>
          </w:p>
        </w:tc>
        <w:tc>
          <w:tcPr>
            <w:tcW w:w="900" w:type="dxa"/>
            <w:tcBorders>
              <w:top w:val="nil"/>
              <w:left w:val="nil"/>
              <w:bottom w:val="single" w:sz="8" w:space="0" w:color="auto"/>
              <w:right w:val="single" w:sz="8" w:space="0" w:color="auto"/>
            </w:tcBorders>
            <w:vAlign w:val="center"/>
            <w:hideMark/>
          </w:tcPr>
          <w:p w:rsidR="00165C9D" w:rsidRPr="00165C9D" w:rsidP="00F627F8" w14:paraId="25306171" w14:textId="77777777">
            <w:pPr>
              <w:keepNext/>
              <w:keepLines/>
              <w:jc w:val="center"/>
              <w:rPr>
                <w:rFonts w:ascii="Times New Roman" w:hAnsi="Times New Roman"/>
                <w:color w:val="000000"/>
                <w:sz w:val="20"/>
              </w:rPr>
            </w:pPr>
            <w:r w:rsidRPr="00165C9D">
              <w:rPr>
                <w:rFonts w:ascii="Times New Roman" w:hAnsi="Times New Roman"/>
                <w:color w:val="000000"/>
                <w:sz w:val="20"/>
              </w:rPr>
              <w:t>5</w:t>
            </w:r>
          </w:p>
        </w:tc>
        <w:tc>
          <w:tcPr>
            <w:tcW w:w="1419" w:type="dxa"/>
            <w:tcBorders>
              <w:top w:val="nil"/>
              <w:left w:val="nil"/>
              <w:bottom w:val="single" w:sz="8" w:space="0" w:color="auto"/>
              <w:right w:val="single" w:sz="8" w:space="0" w:color="auto"/>
            </w:tcBorders>
            <w:vAlign w:val="center"/>
            <w:hideMark/>
          </w:tcPr>
          <w:p w:rsidR="00165C9D" w:rsidRPr="00165C9D" w:rsidP="00F627F8" w14:paraId="4C16E479" w14:textId="77777777">
            <w:pPr>
              <w:keepNext/>
              <w:keepLines/>
              <w:ind w:firstLine="200" w:firstLineChars="100"/>
              <w:jc w:val="right"/>
              <w:rPr>
                <w:rFonts w:ascii="Times New Roman" w:hAnsi="Times New Roman"/>
                <w:color w:val="000000"/>
                <w:sz w:val="20"/>
              </w:rPr>
            </w:pPr>
            <w:r w:rsidRPr="00165C9D">
              <w:rPr>
                <w:rFonts w:ascii="Times New Roman" w:hAnsi="Times New Roman"/>
                <w:color w:val="000000"/>
                <w:sz w:val="20"/>
              </w:rPr>
              <w:t xml:space="preserve">$88.07 </w:t>
            </w:r>
          </w:p>
        </w:tc>
      </w:tr>
      <w:tr w14:paraId="202916A0" w14:textId="77777777" w:rsidTr="00BE4770">
        <w:tblPrEx>
          <w:tblW w:w="10320" w:type="dxa"/>
          <w:tblInd w:w="-550" w:type="dxa"/>
          <w:tblCellMar>
            <w:top w:w="15" w:type="dxa"/>
          </w:tblCellMar>
          <w:tblLook w:val="04A0"/>
        </w:tblPrEx>
        <w:trPr>
          <w:trHeight w:val="300"/>
        </w:trPr>
        <w:tc>
          <w:tcPr>
            <w:tcW w:w="8901" w:type="dxa"/>
            <w:gridSpan w:val="8"/>
            <w:tcBorders>
              <w:top w:val="single" w:sz="8" w:space="0" w:color="auto"/>
              <w:left w:val="single" w:sz="8" w:space="0" w:color="auto"/>
              <w:bottom w:val="single" w:sz="8" w:space="0" w:color="auto"/>
              <w:right w:val="single" w:sz="8" w:space="0" w:color="auto"/>
            </w:tcBorders>
            <w:vAlign w:val="center"/>
            <w:hideMark/>
          </w:tcPr>
          <w:p w:rsidR="00165C9D" w:rsidRPr="00165C9D" w:rsidP="00F627F8" w14:paraId="1B32BE9F" w14:textId="77777777">
            <w:pPr>
              <w:keepNext/>
              <w:keepLines/>
              <w:jc w:val="right"/>
              <w:rPr>
                <w:rFonts w:ascii="Times New Roman" w:hAnsi="Times New Roman"/>
                <w:b/>
                <w:bCs/>
                <w:i/>
                <w:iCs/>
                <w:color w:val="000000"/>
              </w:rPr>
            </w:pPr>
            <w:r w:rsidRPr="00165C9D">
              <w:rPr>
                <w:rFonts w:ascii="Times New Roman" w:hAnsi="Times New Roman"/>
                <w:b/>
                <w:bCs/>
                <w:i/>
                <w:iCs/>
                <w:color w:val="000000"/>
              </w:rPr>
              <w:t>Weighted Average Hourly Compensation Rate:</w:t>
            </w:r>
          </w:p>
        </w:tc>
        <w:tc>
          <w:tcPr>
            <w:tcW w:w="1419" w:type="dxa"/>
            <w:tcBorders>
              <w:top w:val="nil"/>
              <w:left w:val="nil"/>
              <w:bottom w:val="single" w:sz="8" w:space="0" w:color="auto"/>
              <w:right w:val="single" w:sz="8" w:space="0" w:color="auto"/>
            </w:tcBorders>
            <w:vAlign w:val="center"/>
            <w:hideMark/>
          </w:tcPr>
          <w:p w:rsidR="00165C9D" w:rsidRPr="00165C9D" w:rsidP="00F627F8" w14:paraId="04C7A345" w14:textId="77777777">
            <w:pPr>
              <w:keepNext/>
              <w:keepLines/>
              <w:ind w:firstLine="240" w:firstLineChars="100"/>
              <w:jc w:val="right"/>
              <w:rPr>
                <w:rFonts w:ascii="Times New Roman" w:hAnsi="Times New Roman"/>
                <w:b/>
                <w:bCs/>
                <w:i/>
                <w:iCs/>
                <w:color w:val="000000"/>
              </w:rPr>
            </w:pPr>
            <w:r w:rsidRPr="00165C9D">
              <w:rPr>
                <w:rFonts w:ascii="Times New Roman" w:hAnsi="Times New Roman"/>
                <w:b/>
                <w:bCs/>
                <w:i/>
                <w:iCs/>
                <w:color w:val="000000"/>
              </w:rPr>
              <w:t xml:space="preserve">$88.07 </w:t>
            </w:r>
          </w:p>
        </w:tc>
      </w:tr>
      <w:tr w14:paraId="65FFC2DC" w14:textId="77777777" w:rsidTr="00BE4770">
        <w:tblPrEx>
          <w:tblW w:w="10320" w:type="dxa"/>
          <w:tblInd w:w="-550" w:type="dxa"/>
          <w:tblCellMar>
            <w:top w:w="15" w:type="dxa"/>
          </w:tblCellMar>
          <w:tblLook w:val="04A0"/>
        </w:tblPrEx>
        <w:trPr>
          <w:trHeight w:val="272"/>
        </w:trPr>
        <w:tc>
          <w:tcPr>
            <w:tcW w:w="10320" w:type="dxa"/>
            <w:gridSpan w:val="9"/>
            <w:tcBorders>
              <w:top w:val="single" w:sz="8" w:space="0" w:color="auto"/>
              <w:left w:val="single" w:sz="8" w:space="0" w:color="auto"/>
              <w:bottom w:val="single" w:sz="4" w:space="0" w:color="auto"/>
              <w:right w:val="single" w:sz="8" w:space="0" w:color="000000"/>
            </w:tcBorders>
            <w:hideMark/>
          </w:tcPr>
          <w:p w:rsidR="00165C9D" w:rsidRPr="00165C9D" w:rsidP="00F627F8" w14:paraId="6355C17A" w14:textId="1FC6CF96">
            <w:pPr>
              <w:keepNext/>
              <w:keepLines/>
              <w:rPr>
                <w:rFonts w:ascii="Times New Roman" w:hAnsi="Times New Roman"/>
                <w:color w:val="000000"/>
                <w:sz w:val="18"/>
                <w:szCs w:val="18"/>
              </w:rPr>
            </w:pPr>
            <w:r w:rsidRPr="00165C9D">
              <w:rPr>
                <w:rFonts w:ascii="Times New Roman" w:hAnsi="Times New Roman"/>
                <w:color w:val="000000"/>
                <w:sz w:val="18"/>
                <w:szCs w:val="18"/>
              </w:rPr>
              <w:t xml:space="preserve">Source: Bureau of Labor Statistics: </w:t>
            </w:r>
          </w:p>
        </w:tc>
      </w:tr>
    </w:tbl>
    <w:p w:rsidR="000437E2" w:rsidP="0004016C" w14:paraId="0C2A4947" w14:textId="77777777">
      <w:pPr>
        <w:keepNext/>
        <w:ind w:left="720"/>
        <w:rPr>
          <w:rFonts w:ascii="Times New Roman" w:hAnsi="Times New Roman"/>
          <w:snapToGrid/>
          <w:szCs w:val="24"/>
        </w:rPr>
      </w:pPr>
    </w:p>
    <w:tbl>
      <w:tblPr>
        <w:tblW w:w="10320" w:type="dxa"/>
        <w:jc w:val="center"/>
        <w:tblLook w:val="04A0"/>
      </w:tblPr>
      <w:tblGrid>
        <w:gridCol w:w="1980"/>
        <w:gridCol w:w="3074"/>
        <w:gridCol w:w="3054"/>
        <w:gridCol w:w="2212"/>
      </w:tblGrid>
      <w:tr w14:paraId="106BD3B8" w14:textId="77777777" w:rsidTr="00BE4770">
        <w:tblPrEx>
          <w:tblW w:w="10320" w:type="dxa"/>
          <w:jc w:val="center"/>
          <w:tblLook w:val="04A0"/>
        </w:tblPrEx>
        <w:trPr>
          <w:trHeight w:val="360"/>
          <w:jc w:val="center"/>
        </w:trPr>
        <w:tc>
          <w:tcPr>
            <w:tcW w:w="10320" w:type="dxa"/>
            <w:gridSpan w:val="4"/>
            <w:tcBorders>
              <w:top w:val="single" w:sz="8" w:space="0" w:color="auto"/>
              <w:left w:val="single" w:sz="8" w:space="0" w:color="auto"/>
              <w:bottom w:val="single" w:sz="8" w:space="0" w:color="auto"/>
              <w:right w:val="single" w:sz="8" w:space="0" w:color="000000"/>
            </w:tcBorders>
            <w:noWrap/>
            <w:vAlign w:val="center"/>
            <w:hideMark/>
          </w:tcPr>
          <w:p w:rsidR="000437E2" w:rsidRPr="000437E2" w:rsidP="00F627F8" w14:paraId="4CF28F2F" w14:textId="35FC04D3">
            <w:pPr>
              <w:jc w:val="center"/>
              <w:rPr>
                <w:rFonts w:ascii="Times New Roman" w:hAnsi="Times New Roman"/>
                <w:color w:val="000000"/>
                <w:szCs w:val="24"/>
              </w:rPr>
            </w:pPr>
            <w:r w:rsidRPr="000437E2">
              <w:rPr>
                <w:rFonts w:ascii="Times New Roman" w:hAnsi="Times New Roman"/>
                <w:color w:val="000000"/>
                <w:szCs w:val="24"/>
              </w:rPr>
              <w:t>Total Estimated Cost Burden (OMB No. 3064-0176)</w:t>
            </w:r>
          </w:p>
        </w:tc>
      </w:tr>
      <w:tr w14:paraId="18700DE1" w14:textId="77777777" w:rsidTr="00BE4770">
        <w:tblPrEx>
          <w:tblW w:w="10320" w:type="dxa"/>
          <w:jc w:val="center"/>
          <w:tblLook w:val="04A0"/>
        </w:tblPrEx>
        <w:trPr>
          <w:trHeight w:val="600"/>
          <w:jc w:val="center"/>
        </w:trPr>
        <w:tc>
          <w:tcPr>
            <w:tcW w:w="1980" w:type="dxa"/>
            <w:tcBorders>
              <w:top w:val="nil"/>
              <w:left w:val="single" w:sz="8" w:space="0" w:color="auto"/>
              <w:bottom w:val="single" w:sz="8" w:space="0" w:color="auto"/>
              <w:right w:val="single" w:sz="8" w:space="0" w:color="auto"/>
            </w:tcBorders>
            <w:vAlign w:val="center"/>
            <w:hideMark/>
          </w:tcPr>
          <w:p w:rsidR="000437E2" w:rsidRPr="000437E2" w:rsidP="00F627F8" w14:paraId="13A604ED" w14:textId="77777777">
            <w:pPr>
              <w:rPr>
                <w:rFonts w:ascii="Times New Roman" w:hAnsi="Times New Roman"/>
                <w:color w:val="000000"/>
                <w:sz w:val="20"/>
              </w:rPr>
            </w:pPr>
            <w:r w:rsidRPr="000437E2">
              <w:rPr>
                <w:rFonts w:ascii="Times New Roman" w:hAnsi="Times New Roman"/>
                <w:color w:val="000000"/>
                <w:sz w:val="20"/>
              </w:rPr>
              <w:t>Information Collection Request</w:t>
            </w:r>
          </w:p>
        </w:tc>
        <w:tc>
          <w:tcPr>
            <w:tcW w:w="3074" w:type="dxa"/>
            <w:tcBorders>
              <w:top w:val="nil"/>
              <w:left w:val="nil"/>
              <w:bottom w:val="single" w:sz="8" w:space="0" w:color="auto"/>
              <w:right w:val="single" w:sz="8" w:space="0" w:color="auto"/>
            </w:tcBorders>
            <w:vAlign w:val="center"/>
            <w:hideMark/>
          </w:tcPr>
          <w:p w:rsidR="000437E2" w:rsidRPr="000437E2" w:rsidP="00F627F8" w14:paraId="6317ABB9" w14:textId="77777777">
            <w:pPr>
              <w:jc w:val="center"/>
              <w:rPr>
                <w:rFonts w:ascii="Times New Roman" w:hAnsi="Times New Roman"/>
                <w:color w:val="000000"/>
                <w:sz w:val="20"/>
              </w:rPr>
            </w:pPr>
            <w:r w:rsidRPr="000437E2">
              <w:rPr>
                <w:rFonts w:ascii="Times New Roman" w:hAnsi="Times New Roman"/>
                <w:color w:val="000000"/>
                <w:sz w:val="20"/>
              </w:rPr>
              <w:t>Annual Burden (Hours)</w:t>
            </w:r>
          </w:p>
        </w:tc>
        <w:tc>
          <w:tcPr>
            <w:tcW w:w="3054" w:type="dxa"/>
            <w:tcBorders>
              <w:top w:val="nil"/>
              <w:left w:val="nil"/>
              <w:bottom w:val="single" w:sz="8" w:space="0" w:color="auto"/>
              <w:right w:val="single" w:sz="8" w:space="0" w:color="auto"/>
            </w:tcBorders>
            <w:vAlign w:val="center"/>
            <w:hideMark/>
          </w:tcPr>
          <w:p w:rsidR="000437E2" w:rsidRPr="000437E2" w:rsidP="00F627F8" w14:paraId="1E23B7D1" w14:textId="77777777">
            <w:pPr>
              <w:jc w:val="center"/>
              <w:rPr>
                <w:rFonts w:ascii="Times New Roman" w:hAnsi="Times New Roman"/>
                <w:color w:val="000000"/>
                <w:sz w:val="20"/>
              </w:rPr>
            </w:pPr>
            <w:r w:rsidRPr="000437E2">
              <w:rPr>
                <w:rFonts w:ascii="Times New Roman" w:hAnsi="Times New Roman"/>
                <w:color w:val="000000"/>
                <w:sz w:val="20"/>
              </w:rPr>
              <w:t>Weighted Average Hourly Compensation Rate</w:t>
            </w:r>
          </w:p>
        </w:tc>
        <w:tc>
          <w:tcPr>
            <w:tcW w:w="2212" w:type="dxa"/>
            <w:tcBorders>
              <w:top w:val="nil"/>
              <w:left w:val="nil"/>
              <w:bottom w:val="single" w:sz="8" w:space="0" w:color="auto"/>
              <w:right w:val="single" w:sz="8" w:space="0" w:color="auto"/>
            </w:tcBorders>
            <w:vAlign w:val="center"/>
            <w:hideMark/>
          </w:tcPr>
          <w:p w:rsidR="000437E2" w:rsidRPr="000437E2" w:rsidP="00F627F8" w14:paraId="5B4F9E12" w14:textId="77777777">
            <w:pPr>
              <w:jc w:val="center"/>
              <w:rPr>
                <w:rFonts w:ascii="Times New Roman" w:hAnsi="Times New Roman"/>
                <w:color w:val="000000"/>
                <w:sz w:val="20"/>
              </w:rPr>
            </w:pPr>
            <w:r w:rsidRPr="000437E2">
              <w:rPr>
                <w:rFonts w:ascii="Times New Roman" w:hAnsi="Times New Roman"/>
                <w:color w:val="000000"/>
                <w:sz w:val="20"/>
              </w:rPr>
              <w:t>Annual Respondent Cost</w:t>
            </w:r>
          </w:p>
        </w:tc>
      </w:tr>
      <w:tr w14:paraId="5C895F57" w14:textId="77777777" w:rsidTr="0014251A">
        <w:tblPrEx>
          <w:tblW w:w="10320" w:type="dxa"/>
          <w:jc w:val="center"/>
          <w:tblLook w:val="04A0"/>
        </w:tblPrEx>
        <w:trPr>
          <w:trHeight w:val="583"/>
          <w:jc w:val="center"/>
        </w:trPr>
        <w:tc>
          <w:tcPr>
            <w:tcW w:w="1980" w:type="dxa"/>
            <w:tcBorders>
              <w:top w:val="nil"/>
              <w:left w:val="single" w:sz="8" w:space="0" w:color="auto"/>
              <w:bottom w:val="single" w:sz="8" w:space="0" w:color="auto"/>
              <w:right w:val="single" w:sz="8" w:space="0" w:color="auto"/>
            </w:tcBorders>
            <w:vAlign w:val="center"/>
            <w:hideMark/>
          </w:tcPr>
          <w:p w:rsidR="000437E2" w:rsidRPr="000437E2" w:rsidP="00F627F8" w14:paraId="1DD13573" w14:textId="77777777">
            <w:pPr>
              <w:rPr>
                <w:rFonts w:ascii="Times New Roman" w:hAnsi="Times New Roman"/>
                <w:color w:val="000000"/>
                <w:sz w:val="20"/>
              </w:rPr>
            </w:pPr>
            <w:r w:rsidRPr="000437E2">
              <w:rPr>
                <w:rFonts w:ascii="Times New Roman" w:hAnsi="Times New Roman"/>
                <w:color w:val="000000"/>
                <w:sz w:val="20"/>
              </w:rPr>
              <w:t>Reverse Mortgage Products</w:t>
            </w:r>
          </w:p>
        </w:tc>
        <w:tc>
          <w:tcPr>
            <w:tcW w:w="3074" w:type="dxa"/>
            <w:tcBorders>
              <w:top w:val="nil"/>
              <w:left w:val="nil"/>
              <w:bottom w:val="single" w:sz="8" w:space="0" w:color="auto"/>
              <w:right w:val="single" w:sz="8" w:space="0" w:color="auto"/>
            </w:tcBorders>
            <w:noWrap/>
            <w:vAlign w:val="center"/>
            <w:hideMark/>
          </w:tcPr>
          <w:p w:rsidR="000437E2" w:rsidRPr="000437E2" w:rsidP="00F627F8" w14:paraId="7DFC45E7" w14:textId="77777777">
            <w:pPr>
              <w:ind w:firstLine="400" w:firstLineChars="200"/>
              <w:jc w:val="right"/>
              <w:rPr>
                <w:rFonts w:ascii="Times New Roman" w:hAnsi="Times New Roman"/>
                <w:color w:val="000000"/>
                <w:sz w:val="20"/>
              </w:rPr>
            </w:pPr>
            <w:r w:rsidRPr="000437E2">
              <w:rPr>
                <w:rFonts w:ascii="Times New Roman" w:hAnsi="Times New Roman"/>
                <w:color w:val="000000"/>
                <w:sz w:val="20"/>
              </w:rPr>
              <w:t xml:space="preserve">                                                  344 </w:t>
            </w:r>
          </w:p>
        </w:tc>
        <w:tc>
          <w:tcPr>
            <w:tcW w:w="3054" w:type="dxa"/>
            <w:tcBorders>
              <w:top w:val="nil"/>
              <w:left w:val="nil"/>
              <w:bottom w:val="single" w:sz="8" w:space="0" w:color="auto"/>
              <w:right w:val="single" w:sz="8" w:space="0" w:color="auto"/>
            </w:tcBorders>
            <w:noWrap/>
            <w:vAlign w:val="center"/>
            <w:hideMark/>
          </w:tcPr>
          <w:p w:rsidR="000437E2" w:rsidRPr="000437E2" w:rsidP="00F627F8" w14:paraId="5212B9E9" w14:textId="77777777">
            <w:pPr>
              <w:ind w:firstLine="200" w:firstLineChars="100"/>
              <w:jc w:val="right"/>
              <w:rPr>
                <w:rFonts w:ascii="Times New Roman" w:hAnsi="Times New Roman"/>
                <w:color w:val="000000"/>
                <w:sz w:val="20"/>
              </w:rPr>
            </w:pPr>
            <w:r w:rsidRPr="000437E2">
              <w:rPr>
                <w:rFonts w:ascii="Times New Roman" w:hAnsi="Times New Roman"/>
                <w:color w:val="000000"/>
                <w:sz w:val="20"/>
              </w:rPr>
              <w:t>$88.07</w:t>
            </w:r>
          </w:p>
        </w:tc>
        <w:tc>
          <w:tcPr>
            <w:tcW w:w="2212" w:type="dxa"/>
            <w:tcBorders>
              <w:top w:val="nil"/>
              <w:left w:val="nil"/>
              <w:bottom w:val="single" w:sz="8" w:space="0" w:color="auto"/>
              <w:right w:val="single" w:sz="8" w:space="0" w:color="auto"/>
            </w:tcBorders>
            <w:noWrap/>
            <w:vAlign w:val="center"/>
            <w:hideMark/>
          </w:tcPr>
          <w:p w:rsidR="000437E2" w:rsidRPr="000437E2" w:rsidP="00F627F8" w14:paraId="3372F763" w14:textId="77777777">
            <w:pPr>
              <w:ind w:firstLine="200" w:firstLineChars="100"/>
              <w:jc w:val="right"/>
              <w:rPr>
                <w:rFonts w:ascii="Times New Roman" w:hAnsi="Times New Roman"/>
                <w:color w:val="000000"/>
                <w:sz w:val="20"/>
              </w:rPr>
            </w:pPr>
            <w:r w:rsidRPr="000437E2">
              <w:rPr>
                <w:rFonts w:ascii="Times New Roman" w:hAnsi="Times New Roman"/>
                <w:color w:val="000000"/>
                <w:sz w:val="20"/>
              </w:rPr>
              <w:t>$30,296</w:t>
            </w:r>
          </w:p>
        </w:tc>
      </w:tr>
      <w:tr w14:paraId="377B529A" w14:textId="77777777" w:rsidTr="00BE4770">
        <w:tblPrEx>
          <w:tblW w:w="10320" w:type="dxa"/>
          <w:jc w:val="center"/>
          <w:tblLook w:val="04A0"/>
        </w:tblPrEx>
        <w:trPr>
          <w:trHeight w:val="360"/>
          <w:jc w:val="center"/>
        </w:trPr>
        <w:tc>
          <w:tcPr>
            <w:tcW w:w="8108" w:type="dxa"/>
            <w:gridSpan w:val="3"/>
            <w:tcBorders>
              <w:top w:val="single" w:sz="8" w:space="0" w:color="auto"/>
              <w:left w:val="single" w:sz="8" w:space="0" w:color="auto"/>
              <w:bottom w:val="single" w:sz="8" w:space="0" w:color="auto"/>
              <w:right w:val="nil"/>
            </w:tcBorders>
            <w:shd w:val="clear" w:color="000000" w:fill="FFFFFF"/>
            <w:noWrap/>
            <w:vAlign w:val="center"/>
            <w:hideMark/>
          </w:tcPr>
          <w:p w:rsidR="000437E2" w:rsidRPr="000437E2" w:rsidP="00F627F8" w14:paraId="1D1B664C" w14:textId="77777777">
            <w:pPr>
              <w:jc w:val="right"/>
              <w:rPr>
                <w:rFonts w:ascii="Times New Roman" w:hAnsi="Times New Roman"/>
                <w:b/>
                <w:bCs/>
                <w:i/>
                <w:iCs/>
                <w:color w:val="000000"/>
              </w:rPr>
            </w:pPr>
            <w:r w:rsidRPr="000437E2">
              <w:rPr>
                <w:rFonts w:ascii="Times New Roman" w:hAnsi="Times New Roman"/>
                <w:b/>
                <w:bCs/>
                <w:i/>
                <w:iCs/>
                <w:color w:val="000000"/>
              </w:rPr>
              <w:t>Total Annual Respondent Cost:</w:t>
            </w:r>
          </w:p>
        </w:tc>
        <w:tc>
          <w:tcPr>
            <w:tcW w:w="2212" w:type="dxa"/>
            <w:tcBorders>
              <w:top w:val="nil"/>
              <w:left w:val="nil"/>
              <w:bottom w:val="single" w:sz="8" w:space="0" w:color="auto"/>
              <w:right w:val="single" w:sz="8" w:space="0" w:color="auto"/>
            </w:tcBorders>
            <w:shd w:val="clear" w:color="000000" w:fill="FFFFFF"/>
            <w:vAlign w:val="center"/>
            <w:hideMark/>
          </w:tcPr>
          <w:p w:rsidR="000437E2" w:rsidRPr="000437E2" w:rsidP="00F627F8" w14:paraId="3F303558" w14:textId="77777777">
            <w:pPr>
              <w:ind w:firstLine="240" w:firstLineChars="100"/>
              <w:jc w:val="right"/>
              <w:rPr>
                <w:rFonts w:ascii="Times New Roman" w:hAnsi="Times New Roman"/>
                <w:b/>
                <w:bCs/>
                <w:i/>
                <w:iCs/>
                <w:color w:val="000000"/>
              </w:rPr>
            </w:pPr>
            <w:r w:rsidRPr="000437E2">
              <w:rPr>
                <w:rFonts w:ascii="Times New Roman" w:hAnsi="Times New Roman"/>
                <w:b/>
                <w:bCs/>
                <w:i/>
                <w:iCs/>
                <w:color w:val="000000"/>
              </w:rPr>
              <w:t xml:space="preserve">$30,296 </w:t>
            </w:r>
          </w:p>
        </w:tc>
      </w:tr>
      <w:tr w14:paraId="13E92108" w14:textId="77777777" w:rsidTr="00BE4770">
        <w:tblPrEx>
          <w:tblW w:w="10320" w:type="dxa"/>
          <w:jc w:val="center"/>
          <w:tblLook w:val="04A0"/>
        </w:tblPrEx>
        <w:trPr>
          <w:trHeight w:val="322"/>
          <w:jc w:val="center"/>
        </w:trPr>
        <w:tc>
          <w:tcPr>
            <w:tcW w:w="10320" w:type="dxa"/>
            <w:gridSpan w:val="4"/>
            <w:tcBorders>
              <w:top w:val="single" w:sz="8" w:space="0" w:color="auto"/>
              <w:left w:val="single" w:sz="8" w:space="0" w:color="auto"/>
              <w:bottom w:val="single" w:sz="8" w:space="0" w:color="auto"/>
              <w:right w:val="single" w:sz="8" w:space="0" w:color="000000"/>
            </w:tcBorders>
            <w:noWrap/>
            <w:hideMark/>
          </w:tcPr>
          <w:p w:rsidR="000437E2" w:rsidRPr="000437E2" w:rsidP="00F627F8" w14:paraId="111CAB6D" w14:textId="77777777">
            <w:pPr>
              <w:rPr>
                <w:rFonts w:ascii="Times New Roman" w:hAnsi="Times New Roman"/>
                <w:color w:val="000000"/>
                <w:sz w:val="18"/>
                <w:szCs w:val="18"/>
              </w:rPr>
            </w:pPr>
            <w:r w:rsidRPr="000437E2">
              <w:rPr>
                <w:rFonts w:ascii="Times New Roman" w:hAnsi="Times New Roman"/>
                <w:color w:val="000000"/>
                <w:sz w:val="18"/>
                <w:szCs w:val="18"/>
              </w:rPr>
              <w:t>Source: FDIC.</w:t>
            </w:r>
          </w:p>
        </w:tc>
      </w:tr>
    </w:tbl>
    <w:p w:rsidR="00EF1355" w14:paraId="4E5B985D" w14:textId="77777777">
      <w:pPr>
        <w:rPr>
          <w:rFonts w:ascii="Times New Roman" w:hAnsi="Times New Roman"/>
        </w:rPr>
      </w:pPr>
    </w:p>
    <w:p w:rsidR="0014251A" w14:paraId="19434E9F" w14:textId="77777777">
      <w:pPr>
        <w:rPr>
          <w:rFonts w:ascii="Times New Roman" w:hAnsi="Times New Roman"/>
        </w:rPr>
      </w:pPr>
    </w:p>
    <w:p w:rsidR="0014251A" w14:paraId="1F2058D0" w14:textId="77777777">
      <w:pPr>
        <w:rPr>
          <w:rFonts w:ascii="Times New Roman" w:hAnsi="Times New Roman"/>
        </w:rPr>
      </w:pPr>
    </w:p>
    <w:p w:rsidR="0014251A" w14:paraId="78CB5167" w14:textId="77777777">
      <w:pPr>
        <w:rPr>
          <w:rFonts w:ascii="Times New Roman" w:hAnsi="Times New Roman"/>
        </w:rPr>
      </w:pPr>
    </w:p>
    <w:p w:rsidR="0014251A" w14:paraId="0C57690D" w14:textId="77777777">
      <w:pPr>
        <w:rPr>
          <w:rFonts w:ascii="Times New Roman" w:hAnsi="Times New Roman"/>
        </w:rPr>
      </w:pPr>
    </w:p>
    <w:p w:rsidR="0014251A" w14:paraId="2A9627B2" w14:textId="77777777">
      <w:pPr>
        <w:rPr>
          <w:rFonts w:ascii="Times New Roman" w:hAnsi="Times New Roman"/>
        </w:rPr>
      </w:pPr>
    </w:p>
    <w:tbl>
      <w:tblPr>
        <w:tblW w:w="10760" w:type="dxa"/>
        <w:jc w:val="center"/>
        <w:tblLook w:val="04A0"/>
      </w:tblPr>
      <w:tblGrid>
        <w:gridCol w:w="2420"/>
        <w:gridCol w:w="3074"/>
        <w:gridCol w:w="3054"/>
        <w:gridCol w:w="2212"/>
      </w:tblGrid>
      <w:tr w14:paraId="66C08CDE" w14:textId="77777777" w:rsidTr="00F627F8">
        <w:tblPrEx>
          <w:tblW w:w="10760" w:type="dxa"/>
          <w:jc w:val="center"/>
          <w:tblLook w:val="04A0"/>
        </w:tblPrEx>
        <w:trPr>
          <w:trHeight w:val="360"/>
          <w:jc w:val="center"/>
        </w:trPr>
        <w:tc>
          <w:tcPr>
            <w:tcW w:w="10760" w:type="dxa"/>
            <w:gridSpan w:val="4"/>
            <w:tcBorders>
              <w:top w:val="single" w:sz="8" w:space="0" w:color="auto"/>
              <w:left w:val="single" w:sz="8" w:space="0" w:color="auto"/>
              <w:bottom w:val="single" w:sz="8" w:space="0" w:color="auto"/>
              <w:right w:val="single" w:sz="8" w:space="0" w:color="000000"/>
            </w:tcBorders>
            <w:noWrap/>
            <w:vAlign w:val="center"/>
            <w:hideMark/>
          </w:tcPr>
          <w:p w:rsidR="00EF1355" w:rsidRPr="00EF1355" w:rsidP="00F627F8" w14:paraId="2E5750B9" w14:textId="3527EC5B">
            <w:pPr>
              <w:jc w:val="center"/>
              <w:rPr>
                <w:rFonts w:ascii="Times New Roman" w:hAnsi="Times New Roman"/>
                <w:color w:val="000000"/>
                <w:szCs w:val="24"/>
              </w:rPr>
            </w:pPr>
            <w:r w:rsidRPr="00EF1355">
              <w:rPr>
                <w:rFonts w:ascii="Times New Roman" w:hAnsi="Times New Roman"/>
                <w:color w:val="000000"/>
                <w:szCs w:val="24"/>
              </w:rPr>
              <w:t>Total Estimated Cost Burden (OMB No. 3064-0176)</w:t>
            </w:r>
          </w:p>
        </w:tc>
      </w:tr>
      <w:tr w14:paraId="1D5A5AE3" w14:textId="77777777" w:rsidTr="00F627F8">
        <w:tblPrEx>
          <w:tblW w:w="10760" w:type="dxa"/>
          <w:jc w:val="center"/>
          <w:tblLook w:val="04A0"/>
        </w:tblPrEx>
        <w:trPr>
          <w:trHeight w:val="600"/>
          <w:jc w:val="center"/>
        </w:trPr>
        <w:tc>
          <w:tcPr>
            <w:tcW w:w="2420" w:type="dxa"/>
            <w:tcBorders>
              <w:top w:val="nil"/>
              <w:left w:val="single" w:sz="8" w:space="0" w:color="auto"/>
              <w:bottom w:val="single" w:sz="8" w:space="0" w:color="auto"/>
              <w:right w:val="single" w:sz="8" w:space="0" w:color="auto"/>
            </w:tcBorders>
            <w:vAlign w:val="center"/>
            <w:hideMark/>
          </w:tcPr>
          <w:p w:rsidR="00EF1355" w:rsidRPr="00EF1355" w:rsidP="00F627F8" w14:paraId="03E8FB51" w14:textId="77777777">
            <w:pPr>
              <w:rPr>
                <w:rFonts w:ascii="Times New Roman" w:hAnsi="Times New Roman"/>
                <w:color w:val="000000"/>
                <w:sz w:val="20"/>
              </w:rPr>
            </w:pPr>
            <w:r w:rsidRPr="00EF1355">
              <w:rPr>
                <w:rFonts w:ascii="Times New Roman" w:hAnsi="Times New Roman"/>
                <w:color w:val="000000"/>
                <w:sz w:val="20"/>
              </w:rPr>
              <w:t>Information Collection Request</w:t>
            </w:r>
          </w:p>
        </w:tc>
        <w:tc>
          <w:tcPr>
            <w:tcW w:w="3074" w:type="dxa"/>
            <w:tcBorders>
              <w:top w:val="nil"/>
              <w:left w:val="nil"/>
              <w:bottom w:val="single" w:sz="8" w:space="0" w:color="auto"/>
              <w:right w:val="single" w:sz="8" w:space="0" w:color="auto"/>
            </w:tcBorders>
            <w:vAlign w:val="center"/>
            <w:hideMark/>
          </w:tcPr>
          <w:p w:rsidR="00EF1355" w:rsidRPr="00EF1355" w:rsidP="00F627F8" w14:paraId="1BFDFDA9" w14:textId="77777777">
            <w:pPr>
              <w:jc w:val="center"/>
              <w:rPr>
                <w:rFonts w:ascii="Times New Roman" w:hAnsi="Times New Roman"/>
                <w:color w:val="000000"/>
                <w:sz w:val="20"/>
              </w:rPr>
            </w:pPr>
            <w:r w:rsidRPr="00EF1355">
              <w:rPr>
                <w:rFonts w:ascii="Times New Roman" w:hAnsi="Times New Roman"/>
                <w:color w:val="000000"/>
                <w:sz w:val="20"/>
              </w:rPr>
              <w:t>Annual Burden (Hours)</w:t>
            </w:r>
          </w:p>
        </w:tc>
        <w:tc>
          <w:tcPr>
            <w:tcW w:w="3054" w:type="dxa"/>
            <w:tcBorders>
              <w:top w:val="nil"/>
              <w:left w:val="nil"/>
              <w:bottom w:val="single" w:sz="8" w:space="0" w:color="auto"/>
              <w:right w:val="single" w:sz="8" w:space="0" w:color="auto"/>
            </w:tcBorders>
            <w:vAlign w:val="center"/>
            <w:hideMark/>
          </w:tcPr>
          <w:p w:rsidR="00EF1355" w:rsidRPr="00EF1355" w:rsidP="00F627F8" w14:paraId="79F90ED0" w14:textId="77777777">
            <w:pPr>
              <w:jc w:val="center"/>
              <w:rPr>
                <w:rFonts w:ascii="Times New Roman" w:hAnsi="Times New Roman"/>
                <w:color w:val="000000"/>
                <w:sz w:val="20"/>
              </w:rPr>
            </w:pPr>
            <w:r w:rsidRPr="00EF1355">
              <w:rPr>
                <w:rFonts w:ascii="Times New Roman" w:hAnsi="Times New Roman"/>
                <w:color w:val="000000"/>
                <w:sz w:val="20"/>
              </w:rPr>
              <w:t>Weighted Average Hourly Compensation Rate</w:t>
            </w:r>
          </w:p>
        </w:tc>
        <w:tc>
          <w:tcPr>
            <w:tcW w:w="2212" w:type="dxa"/>
            <w:tcBorders>
              <w:top w:val="nil"/>
              <w:left w:val="nil"/>
              <w:bottom w:val="single" w:sz="8" w:space="0" w:color="auto"/>
              <w:right w:val="single" w:sz="8" w:space="0" w:color="auto"/>
            </w:tcBorders>
            <w:vAlign w:val="center"/>
            <w:hideMark/>
          </w:tcPr>
          <w:p w:rsidR="00EF1355" w:rsidRPr="00EF1355" w:rsidP="00F627F8" w14:paraId="62BA3A45" w14:textId="77777777">
            <w:pPr>
              <w:jc w:val="center"/>
              <w:rPr>
                <w:rFonts w:ascii="Times New Roman" w:hAnsi="Times New Roman"/>
                <w:color w:val="000000"/>
                <w:sz w:val="20"/>
              </w:rPr>
            </w:pPr>
            <w:r w:rsidRPr="00EF1355">
              <w:rPr>
                <w:rFonts w:ascii="Times New Roman" w:hAnsi="Times New Roman"/>
                <w:color w:val="000000"/>
                <w:sz w:val="20"/>
              </w:rPr>
              <w:t>Annual Respondent Cost</w:t>
            </w:r>
          </w:p>
        </w:tc>
      </w:tr>
      <w:tr w14:paraId="3491E7D9" w14:textId="77777777" w:rsidTr="00F627F8">
        <w:tblPrEx>
          <w:tblW w:w="10760" w:type="dxa"/>
          <w:jc w:val="center"/>
          <w:tblLook w:val="04A0"/>
        </w:tblPrEx>
        <w:trPr>
          <w:trHeight w:val="864"/>
          <w:jc w:val="center"/>
        </w:trPr>
        <w:tc>
          <w:tcPr>
            <w:tcW w:w="2420" w:type="dxa"/>
            <w:tcBorders>
              <w:top w:val="nil"/>
              <w:left w:val="single" w:sz="8" w:space="0" w:color="auto"/>
              <w:bottom w:val="single" w:sz="8" w:space="0" w:color="auto"/>
              <w:right w:val="single" w:sz="8" w:space="0" w:color="auto"/>
            </w:tcBorders>
            <w:vAlign w:val="center"/>
            <w:hideMark/>
          </w:tcPr>
          <w:p w:rsidR="00EF1355" w:rsidRPr="00EF1355" w:rsidP="00F627F8" w14:paraId="2E5D6692" w14:textId="77777777">
            <w:pPr>
              <w:rPr>
                <w:rFonts w:ascii="Times New Roman" w:hAnsi="Times New Roman"/>
                <w:color w:val="000000"/>
                <w:sz w:val="20"/>
              </w:rPr>
            </w:pPr>
            <w:r w:rsidRPr="00EF1355">
              <w:rPr>
                <w:rFonts w:ascii="Times New Roman" w:hAnsi="Times New Roman"/>
                <w:color w:val="000000"/>
                <w:sz w:val="20"/>
              </w:rPr>
              <w:t>Reverse Mortgage Products</w:t>
            </w:r>
          </w:p>
        </w:tc>
        <w:tc>
          <w:tcPr>
            <w:tcW w:w="3074" w:type="dxa"/>
            <w:tcBorders>
              <w:top w:val="nil"/>
              <w:left w:val="nil"/>
              <w:bottom w:val="single" w:sz="8" w:space="0" w:color="auto"/>
              <w:right w:val="single" w:sz="8" w:space="0" w:color="auto"/>
            </w:tcBorders>
            <w:noWrap/>
            <w:vAlign w:val="center"/>
            <w:hideMark/>
          </w:tcPr>
          <w:p w:rsidR="00EF1355" w:rsidRPr="00EF1355" w:rsidP="00F627F8" w14:paraId="5034BA0B" w14:textId="77777777">
            <w:pPr>
              <w:ind w:firstLine="400" w:firstLineChars="200"/>
              <w:jc w:val="right"/>
              <w:rPr>
                <w:rFonts w:ascii="Times New Roman" w:hAnsi="Times New Roman"/>
                <w:color w:val="000000"/>
                <w:sz w:val="20"/>
              </w:rPr>
            </w:pPr>
            <w:r w:rsidRPr="00EF1355">
              <w:rPr>
                <w:rFonts w:ascii="Times New Roman" w:hAnsi="Times New Roman"/>
                <w:color w:val="000000"/>
                <w:sz w:val="20"/>
              </w:rPr>
              <w:t xml:space="preserve">                                                  344 </w:t>
            </w:r>
          </w:p>
        </w:tc>
        <w:tc>
          <w:tcPr>
            <w:tcW w:w="3054" w:type="dxa"/>
            <w:tcBorders>
              <w:top w:val="nil"/>
              <w:left w:val="nil"/>
              <w:bottom w:val="single" w:sz="8" w:space="0" w:color="auto"/>
              <w:right w:val="single" w:sz="8" w:space="0" w:color="auto"/>
            </w:tcBorders>
            <w:noWrap/>
            <w:vAlign w:val="center"/>
            <w:hideMark/>
          </w:tcPr>
          <w:p w:rsidR="00EF1355" w:rsidRPr="00EF1355" w:rsidP="00F627F8" w14:paraId="11D20B05" w14:textId="77777777">
            <w:pPr>
              <w:ind w:firstLine="200" w:firstLineChars="100"/>
              <w:jc w:val="right"/>
              <w:rPr>
                <w:rFonts w:ascii="Times New Roman" w:hAnsi="Times New Roman"/>
                <w:color w:val="000000"/>
                <w:sz w:val="20"/>
              </w:rPr>
            </w:pPr>
            <w:r w:rsidRPr="00EF1355">
              <w:rPr>
                <w:rFonts w:ascii="Times New Roman" w:hAnsi="Times New Roman"/>
                <w:color w:val="000000"/>
                <w:sz w:val="20"/>
              </w:rPr>
              <w:t>$88.07</w:t>
            </w:r>
          </w:p>
        </w:tc>
        <w:tc>
          <w:tcPr>
            <w:tcW w:w="2212" w:type="dxa"/>
            <w:tcBorders>
              <w:top w:val="nil"/>
              <w:left w:val="nil"/>
              <w:bottom w:val="single" w:sz="8" w:space="0" w:color="auto"/>
              <w:right w:val="single" w:sz="8" w:space="0" w:color="auto"/>
            </w:tcBorders>
            <w:noWrap/>
            <w:vAlign w:val="center"/>
            <w:hideMark/>
          </w:tcPr>
          <w:p w:rsidR="00EF1355" w:rsidRPr="00EF1355" w:rsidP="00F627F8" w14:paraId="41FD7C2F" w14:textId="77777777">
            <w:pPr>
              <w:ind w:firstLine="200" w:firstLineChars="100"/>
              <w:jc w:val="right"/>
              <w:rPr>
                <w:rFonts w:ascii="Times New Roman" w:hAnsi="Times New Roman"/>
                <w:color w:val="000000"/>
                <w:sz w:val="20"/>
              </w:rPr>
            </w:pPr>
            <w:r w:rsidRPr="00EF1355">
              <w:rPr>
                <w:rFonts w:ascii="Times New Roman" w:hAnsi="Times New Roman"/>
                <w:color w:val="000000"/>
                <w:sz w:val="20"/>
              </w:rPr>
              <w:t>$30,296</w:t>
            </w:r>
          </w:p>
        </w:tc>
      </w:tr>
      <w:tr w14:paraId="5B09D7A2" w14:textId="77777777" w:rsidTr="00F627F8">
        <w:tblPrEx>
          <w:tblW w:w="10760" w:type="dxa"/>
          <w:jc w:val="center"/>
          <w:tblLook w:val="04A0"/>
        </w:tblPrEx>
        <w:trPr>
          <w:trHeight w:val="360"/>
          <w:jc w:val="center"/>
        </w:trPr>
        <w:tc>
          <w:tcPr>
            <w:tcW w:w="8548" w:type="dxa"/>
            <w:gridSpan w:val="3"/>
            <w:tcBorders>
              <w:top w:val="single" w:sz="8" w:space="0" w:color="auto"/>
              <w:left w:val="single" w:sz="8" w:space="0" w:color="auto"/>
              <w:bottom w:val="single" w:sz="8" w:space="0" w:color="auto"/>
              <w:right w:val="nil"/>
            </w:tcBorders>
            <w:shd w:val="clear" w:color="000000" w:fill="FFFFFF"/>
            <w:noWrap/>
            <w:vAlign w:val="center"/>
            <w:hideMark/>
          </w:tcPr>
          <w:p w:rsidR="00EF1355" w:rsidRPr="00EF1355" w:rsidP="00F627F8" w14:paraId="5C784254" w14:textId="77777777">
            <w:pPr>
              <w:jc w:val="right"/>
              <w:rPr>
                <w:rFonts w:ascii="Times New Roman" w:hAnsi="Times New Roman"/>
                <w:b/>
                <w:bCs/>
                <w:i/>
                <w:iCs/>
                <w:color w:val="000000"/>
              </w:rPr>
            </w:pPr>
            <w:r w:rsidRPr="00EF1355">
              <w:rPr>
                <w:rFonts w:ascii="Times New Roman" w:hAnsi="Times New Roman"/>
                <w:b/>
                <w:bCs/>
                <w:i/>
                <w:iCs/>
                <w:color w:val="000000"/>
              </w:rPr>
              <w:t>Total Annual Respondent Cost:</w:t>
            </w:r>
          </w:p>
        </w:tc>
        <w:tc>
          <w:tcPr>
            <w:tcW w:w="2212" w:type="dxa"/>
            <w:tcBorders>
              <w:top w:val="nil"/>
              <w:left w:val="nil"/>
              <w:bottom w:val="single" w:sz="8" w:space="0" w:color="auto"/>
              <w:right w:val="single" w:sz="8" w:space="0" w:color="auto"/>
            </w:tcBorders>
            <w:shd w:val="clear" w:color="000000" w:fill="FFFFFF"/>
            <w:vAlign w:val="center"/>
            <w:hideMark/>
          </w:tcPr>
          <w:p w:rsidR="00EF1355" w:rsidRPr="00EF1355" w:rsidP="00F627F8" w14:paraId="0C9569D5" w14:textId="77777777">
            <w:pPr>
              <w:ind w:firstLine="240" w:firstLineChars="100"/>
              <w:jc w:val="right"/>
              <w:rPr>
                <w:rFonts w:ascii="Times New Roman" w:hAnsi="Times New Roman"/>
                <w:b/>
                <w:bCs/>
                <w:i/>
                <w:iCs/>
                <w:color w:val="000000"/>
              </w:rPr>
            </w:pPr>
            <w:r w:rsidRPr="00EF1355">
              <w:rPr>
                <w:rFonts w:ascii="Times New Roman" w:hAnsi="Times New Roman"/>
                <w:b/>
                <w:bCs/>
                <w:i/>
                <w:iCs/>
                <w:color w:val="000000"/>
              </w:rPr>
              <w:t xml:space="preserve">$30,296 </w:t>
            </w:r>
          </w:p>
        </w:tc>
      </w:tr>
      <w:tr w14:paraId="261A35F6" w14:textId="77777777" w:rsidTr="00F627F8">
        <w:tblPrEx>
          <w:tblW w:w="10760" w:type="dxa"/>
          <w:jc w:val="center"/>
          <w:tblLook w:val="04A0"/>
        </w:tblPrEx>
        <w:trPr>
          <w:trHeight w:val="322"/>
          <w:jc w:val="center"/>
        </w:trPr>
        <w:tc>
          <w:tcPr>
            <w:tcW w:w="10760" w:type="dxa"/>
            <w:gridSpan w:val="4"/>
            <w:tcBorders>
              <w:top w:val="single" w:sz="8" w:space="0" w:color="auto"/>
              <w:left w:val="single" w:sz="8" w:space="0" w:color="auto"/>
              <w:bottom w:val="single" w:sz="8" w:space="0" w:color="auto"/>
              <w:right w:val="single" w:sz="8" w:space="0" w:color="000000"/>
            </w:tcBorders>
            <w:noWrap/>
            <w:hideMark/>
          </w:tcPr>
          <w:p w:rsidR="00EF1355" w:rsidRPr="00EF1355" w:rsidP="00F627F8" w14:paraId="23A25817" w14:textId="77777777">
            <w:pPr>
              <w:rPr>
                <w:rFonts w:ascii="Times New Roman" w:hAnsi="Times New Roman"/>
                <w:color w:val="000000"/>
                <w:sz w:val="18"/>
                <w:szCs w:val="18"/>
              </w:rPr>
            </w:pPr>
            <w:r w:rsidRPr="00EF1355">
              <w:rPr>
                <w:rFonts w:ascii="Times New Roman" w:hAnsi="Times New Roman"/>
                <w:color w:val="000000"/>
                <w:sz w:val="18"/>
                <w:szCs w:val="18"/>
              </w:rPr>
              <w:t>Source: FDIC.</w:t>
            </w:r>
          </w:p>
        </w:tc>
      </w:tr>
    </w:tbl>
    <w:p w:rsidR="000563F3" w14:paraId="41B4FC00" w14:textId="77777777">
      <w:pPr>
        <w:rPr>
          <w:rFonts w:ascii="Times New Roman" w:hAnsi="Times New Roman"/>
        </w:rPr>
      </w:pPr>
    </w:p>
    <w:p w:rsidR="007B6C63" w:rsidRPr="000B0581" w:rsidP="000B0581" w14:paraId="26372B8D" w14:textId="77777777">
      <w:pPr>
        <w:keepNext/>
        <w:tabs>
          <w:tab w:val="left" w:pos="-1440"/>
        </w:tabs>
        <w:ind w:left="720" w:hanging="360"/>
        <w:rPr>
          <w:rFonts w:ascii="Times New Roman" w:hAnsi="Times New Roman"/>
          <w:b/>
          <w:u w:val="single"/>
        </w:rPr>
      </w:pPr>
      <w:r>
        <w:rPr>
          <w:rFonts w:ascii="Times New Roman" w:hAnsi="Times New Roman"/>
        </w:rPr>
        <w:t>13.</w:t>
      </w:r>
      <w:r>
        <w:rPr>
          <w:rFonts w:ascii="Times New Roman" w:hAnsi="Times New Roman"/>
        </w:rPr>
        <w:tab/>
      </w:r>
      <w:r w:rsidRPr="000B0581" w:rsidR="00523B22">
        <w:rPr>
          <w:rFonts w:ascii="Times New Roman" w:hAnsi="Times New Roman"/>
          <w:b/>
          <w:bCs/>
          <w:iCs/>
          <w:u w:val="single"/>
        </w:rPr>
        <w:t>Estimate</w:t>
      </w:r>
      <w:r w:rsidRPr="000B0581" w:rsidR="00523B22">
        <w:rPr>
          <w:rFonts w:ascii="Times New Roman" w:hAnsi="Times New Roman"/>
          <w:b/>
          <w:bCs/>
          <w:szCs w:val="24"/>
          <w:u w:val="single"/>
        </w:rPr>
        <w:t xml:space="preserve"> of </w:t>
      </w:r>
      <w:r w:rsidRPr="000B0581" w:rsidR="00523B22">
        <w:rPr>
          <w:rFonts w:ascii="Times New Roman" w:hAnsi="Times New Roman"/>
          <w:b/>
          <w:u w:val="single"/>
        </w:rPr>
        <w:t>start</w:t>
      </w:r>
      <w:r w:rsidRPr="000B0581" w:rsidR="00523B22">
        <w:rPr>
          <w:rFonts w:ascii="Times New Roman" w:hAnsi="Times New Roman"/>
          <w:b/>
          <w:bCs/>
          <w:szCs w:val="24"/>
          <w:u w:val="single"/>
        </w:rPr>
        <w:t>-up costs to respondents:</w:t>
      </w:r>
    </w:p>
    <w:p w:rsidR="007B6C63" w:rsidRPr="000B0581" w14:paraId="2D8E7A4B" w14:textId="77777777">
      <w:pPr>
        <w:rPr>
          <w:rFonts w:ascii="Times New Roman" w:hAnsi="Times New Roman"/>
          <w:b/>
          <w:u w:val="single"/>
        </w:rPr>
      </w:pPr>
    </w:p>
    <w:p w:rsidR="007B6C63" w:rsidP="000B0581" w14:paraId="4DF66051" w14:textId="77777777">
      <w:pPr>
        <w:ind w:left="720"/>
        <w:rPr>
          <w:rFonts w:ascii="Times New Roman" w:hAnsi="Times New Roman"/>
        </w:rPr>
      </w:pPr>
      <w:r>
        <w:rPr>
          <w:rFonts w:ascii="Times New Roman" w:hAnsi="Times New Roman"/>
        </w:rPr>
        <w:t>No</w:t>
      </w:r>
      <w:r w:rsidR="000B0581">
        <w:rPr>
          <w:rFonts w:ascii="Times New Roman" w:hAnsi="Times New Roman"/>
        </w:rPr>
        <w:t>ne</w:t>
      </w:r>
      <w:r>
        <w:rPr>
          <w:rFonts w:ascii="Times New Roman" w:hAnsi="Times New Roman"/>
        </w:rPr>
        <w:t>.</w:t>
      </w:r>
    </w:p>
    <w:p w:rsidR="007B6C63" w14:paraId="7FD9F1CB" w14:textId="77777777">
      <w:pPr>
        <w:rPr>
          <w:rFonts w:ascii="Times New Roman" w:hAnsi="Times New Roman"/>
        </w:rPr>
      </w:pPr>
    </w:p>
    <w:p w:rsidR="007B6C63" w:rsidP="00A1019D" w14:paraId="671DE7F0" w14:textId="77777777">
      <w:pPr>
        <w:tabs>
          <w:tab w:val="left" w:pos="-1440"/>
        </w:tabs>
        <w:ind w:left="720" w:hanging="360"/>
        <w:rPr>
          <w:rFonts w:ascii="Times New Roman" w:hAnsi="Times New Roman"/>
        </w:rPr>
      </w:pPr>
      <w:r>
        <w:rPr>
          <w:rFonts w:ascii="Times New Roman" w:hAnsi="Times New Roman"/>
        </w:rPr>
        <w:t>14.</w:t>
      </w:r>
      <w:r>
        <w:rPr>
          <w:rFonts w:ascii="Times New Roman" w:hAnsi="Times New Roman"/>
        </w:rPr>
        <w:tab/>
      </w:r>
      <w:r w:rsidRPr="00A1019D" w:rsidR="00523B22">
        <w:rPr>
          <w:rFonts w:ascii="Times New Roman" w:hAnsi="Times New Roman"/>
          <w:b/>
          <w:bCs/>
          <w:iCs/>
          <w:u w:val="single"/>
        </w:rPr>
        <w:t>Estimate</w:t>
      </w:r>
      <w:r w:rsidRPr="00D64624" w:rsidR="00523B22">
        <w:rPr>
          <w:rFonts w:ascii="Times New Roman" w:hAnsi="Times New Roman"/>
          <w:b/>
          <w:bCs/>
          <w:iCs/>
          <w:szCs w:val="24"/>
          <w:u w:val="single"/>
        </w:rPr>
        <w:t xml:space="preserve"> of annualized costs to the government:</w:t>
      </w:r>
    </w:p>
    <w:p w:rsidR="007B6C63" w14:paraId="0157D14F" w14:textId="77777777">
      <w:pPr>
        <w:ind w:firstLine="720"/>
        <w:rPr>
          <w:rFonts w:ascii="Times New Roman" w:hAnsi="Times New Roman"/>
        </w:rPr>
      </w:pPr>
    </w:p>
    <w:p w:rsidR="007B6C63" w:rsidP="000B0581" w14:paraId="2105857D"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14:paraId="6BDED251" w14:textId="77777777">
      <w:pPr>
        <w:rPr>
          <w:rFonts w:ascii="Times New Roman" w:hAnsi="Times New Roman"/>
        </w:rPr>
      </w:pPr>
    </w:p>
    <w:p w:rsidR="007B6C63" w:rsidP="00B61AD2" w14:paraId="5E3764D3" w14:textId="77777777">
      <w:pPr>
        <w:keepNext/>
        <w:tabs>
          <w:tab w:val="left" w:pos="-1440"/>
        </w:tabs>
        <w:ind w:left="720" w:hanging="360"/>
        <w:rPr>
          <w:rFonts w:ascii="Times New Roman" w:hAnsi="Times New Roman"/>
        </w:rPr>
      </w:pPr>
      <w:r>
        <w:rPr>
          <w:rFonts w:ascii="Times New Roman" w:hAnsi="Times New Roman"/>
        </w:rPr>
        <w:t>15.</w:t>
      </w:r>
      <w:r>
        <w:rPr>
          <w:rFonts w:ascii="Times New Roman" w:hAnsi="Times New Roman"/>
        </w:rPr>
        <w:tab/>
      </w:r>
      <w:r w:rsidRPr="000B0581" w:rsidR="00523B22">
        <w:rPr>
          <w:rFonts w:ascii="Times New Roman" w:hAnsi="Times New Roman"/>
          <w:b/>
          <w:bCs/>
          <w:iCs/>
          <w:u w:val="single"/>
        </w:rPr>
        <w:t>Analysis</w:t>
      </w:r>
      <w:r w:rsidRPr="000B0581" w:rsidR="00523B22">
        <w:rPr>
          <w:rFonts w:ascii="Times New Roman" w:hAnsi="Times New Roman"/>
          <w:b/>
          <w:bCs/>
          <w:iCs/>
          <w:szCs w:val="24"/>
          <w:u w:val="single"/>
        </w:rPr>
        <w:t xml:space="preserve"> </w:t>
      </w:r>
      <w:r w:rsidRPr="000B0581" w:rsidR="00523B22">
        <w:rPr>
          <w:rFonts w:ascii="Times New Roman" w:hAnsi="Times New Roman"/>
          <w:b/>
          <w:u w:val="single"/>
        </w:rPr>
        <w:t>of</w:t>
      </w:r>
      <w:r w:rsidRPr="000B0581" w:rsidR="00523B22">
        <w:rPr>
          <w:rFonts w:ascii="Times New Roman" w:hAnsi="Times New Roman"/>
          <w:b/>
          <w:bCs/>
          <w:iCs/>
          <w:szCs w:val="24"/>
          <w:u w:val="single"/>
        </w:rPr>
        <w:t xml:space="preserve"> change in burden:</w:t>
      </w:r>
    </w:p>
    <w:p w:rsidR="007B6C63" w:rsidP="00B61AD2" w14:paraId="0E23CA66" w14:textId="77777777">
      <w:pPr>
        <w:keepNext/>
        <w:rPr>
          <w:rFonts w:ascii="Times New Roman" w:hAnsi="Times New Roman"/>
        </w:rPr>
      </w:pPr>
    </w:p>
    <w:p w:rsidR="007B6C63" w:rsidP="00B61AD2" w14:paraId="0E185312" w14:textId="0992093C">
      <w:pPr>
        <w:keepNext/>
        <w:ind w:left="720"/>
        <w:rPr>
          <w:rFonts w:ascii="Times New Roman" w:hAnsi="Times New Roman"/>
        </w:rPr>
      </w:pPr>
      <w:r>
        <w:rPr>
          <w:rFonts w:ascii="Times New Roman" w:hAnsi="Times New Roman"/>
        </w:rPr>
        <w:t xml:space="preserve">There is no change in the substance or methodology of this information collection. </w:t>
      </w:r>
      <w:r w:rsidR="0012031E">
        <w:rPr>
          <w:rFonts w:ascii="Times New Roman" w:hAnsi="Times New Roman"/>
        </w:rPr>
        <w:t>The increase in burden is due to changes in the estimated number of respondents. The estimated annual burden increased by 64 hours, from 280 hours to 344 hours.</w:t>
      </w:r>
    </w:p>
    <w:p w:rsidR="00D35001" w:rsidRPr="00A1019D" w:rsidP="00A1019D" w14:paraId="56378CDD" w14:textId="77777777">
      <w:pPr>
        <w:tabs>
          <w:tab w:val="left" w:pos="-1440"/>
        </w:tabs>
        <w:ind w:left="720" w:hanging="360"/>
        <w:rPr>
          <w:rFonts w:ascii="Times New Roman" w:hAnsi="Times New Roman"/>
          <w:b/>
          <w:bCs/>
          <w:iCs/>
          <w:u w:val="single"/>
        </w:rPr>
      </w:pPr>
    </w:p>
    <w:p w:rsidR="00937218" w:rsidRPr="00D64624" w:rsidP="00A1019D" w14:paraId="2C23E463" w14:textId="77777777">
      <w:pPr>
        <w:tabs>
          <w:tab w:val="left" w:pos="-1440"/>
        </w:tabs>
        <w:ind w:left="720" w:hanging="360"/>
        <w:rPr>
          <w:rFonts w:ascii="Times New Roman" w:hAnsi="Times New Roman"/>
          <w:b/>
          <w:szCs w:val="24"/>
          <w:u w:val="single"/>
        </w:rPr>
      </w:pPr>
      <w:r>
        <w:rPr>
          <w:rFonts w:ascii="Times New Roman" w:hAnsi="Times New Roman"/>
        </w:rPr>
        <w:t>16.</w:t>
      </w:r>
      <w:r>
        <w:rPr>
          <w:rFonts w:ascii="Times New Roman" w:hAnsi="Times New Roman"/>
        </w:rPr>
        <w:tab/>
      </w:r>
      <w:r w:rsidRPr="00A1019D">
        <w:rPr>
          <w:rFonts w:ascii="Times New Roman" w:hAnsi="Times New Roman"/>
          <w:b/>
          <w:bCs/>
          <w:iCs/>
          <w:u w:val="single"/>
        </w:rPr>
        <w:t>Information</w:t>
      </w:r>
      <w:r w:rsidRPr="00D64624">
        <w:rPr>
          <w:rFonts w:ascii="Times New Roman" w:hAnsi="Times New Roman"/>
          <w:b/>
          <w:szCs w:val="24"/>
          <w:u w:val="single"/>
        </w:rPr>
        <w:t xml:space="preserve"> regarding collections whose results are planned to be published for statistical use:</w:t>
      </w:r>
    </w:p>
    <w:p w:rsidR="007B6C63" w14:paraId="77FD653B" w14:textId="77777777">
      <w:pPr>
        <w:rPr>
          <w:rFonts w:ascii="Times New Roman" w:hAnsi="Times New Roman"/>
        </w:rPr>
      </w:pPr>
    </w:p>
    <w:p w:rsidR="007B6C63" w:rsidP="000B0581" w14:paraId="4F217C46" w14:textId="77777777">
      <w:pPr>
        <w:ind w:left="720"/>
        <w:rPr>
          <w:rFonts w:ascii="Times New Roman" w:hAnsi="Times New Roman"/>
        </w:rPr>
      </w:pPr>
      <w:r>
        <w:rPr>
          <w:rFonts w:ascii="Times New Roman" w:hAnsi="Times New Roman"/>
        </w:rPr>
        <w:t>The information collected is for internal FDIC use only and is not published.</w:t>
      </w:r>
    </w:p>
    <w:p w:rsidR="007B6C63" w14:paraId="52A95C60" w14:textId="77777777">
      <w:pPr>
        <w:rPr>
          <w:rFonts w:ascii="Times New Roman" w:hAnsi="Times New Roman"/>
        </w:rPr>
      </w:pPr>
    </w:p>
    <w:p w:rsidR="007B6C63" w:rsidP="00A1019D" w14:paraId="4649ABA3" w14:textId="77777777">
      <w:pPr>
        <w:tabs>
          <w:tab w:val="left" w:pos="-1440"/>
        </w:tabs>
        <w:ind w:left="720" w:hanging="360"/>
        <w:rPr>
          <w:rFonts w:ascii="Times New Roman" w:hAnsi="Times New Roman"/>
        </w:rPr>
      </w:pPr>
      <w:r>
        <w:rPr>
          <w:rFonts w:ascii="Times New Roman" w:hAnsi="Times New Roman"/>
        </w:rPr>
        <w:t>17.</w:t>
      </w:r>
      <w:r>
        <w:rPr>
          <w:rFonts w:ascii="Times New Roman" w:hAnsi="Times New Roman"/>
        </w:rPr>
        <w:tab/>
      </w:r>
      <w:r w:rsidRPr="00A1019D" w:rsidR="00937218">
        <w:rPr>
          <w:rFonts w:ascii="Times New Roman" w:hAnsi="Times New Roman"/>
          <w:b/>
          <w:bCs/>
          <w:iCs/>
          <w:u w:val="single"/>
        </w:rPr>
        <w:t>Display</w:t>
      </w:r>
      <w:r w:rsidRPr="00937218" w:rsidR="00937218">
        <w:rPr>
          <w:rFonts w:ascii="Times New Roman" w:hAnsi="Times New Roman"/>
          <w:b/>
          <w:u w:val="single"/>
        </w:rPr>
        <w:t xml:space="preserve"> of expiration d</w:t>
      </w:r>
      <w:r w:rsidRPr="00937218">
        <w:rPr>
          <w:rFonts w:ascii="Times New Roman" w:hAnsi="Times New Roman"/>
          <w:b/>
          <w:u w:val="single"/>
        </w:rPr>
        <w:t>ate</w:t>
      </w:r>
      <w:r w:rsidRPr="00937218" w:rsidR="00937218">
        <w:rPr>
          <w:rFonts w:ascii="Times New Roman" w:hAnsi="Times New Roman"/>
          <w:b/>
          <w:u w:val="single"/>
        </w:rPr>
        <w:t>:</w:t>
      </w:r>
    </w:p>
    <w:p w:rsidR="007B6C63" w14:paraId="134A611D" w14:textId="77777777">
      <w:pPr>
        <w:rPr>
          <w:rFonts w:ascii="Times New Roman" w:hAnsi="Times New Roman"/>
        </w:rPr>
      </w:pPr>
    </w:p>
    <w:p w:rsidR="007B6C63" w:rsidP="000B0581" w14:paraId="277C414C" w14:textId="77777777">
      <w:pPr>
        <w:ind w:left="720"/>
        <w:rPr>
          <w:rFonts w:ascii="Times New Roman" w:hAnsi="Times New Roman"/>
        </w:rPr>
      </w:pPr>
      <w:r>
        <w:rPr>
          <w:rFonts w:ascii="Times New Roman" w:hAnsi="Times New Roman"/>
          <w:szCs w:val="24"/>
        </w:rPr>
        <w:t>Th</w:t>
      </w:r>
      <w:r w:rsidR="00B76DC2">
        <w:rPr>
          <w:rFonts w:ascii="Times New Roman" w:hAnsi="Times New Roman"/>
          <w:szCs w:val="24"/>
        </w:rPr>
        <w:t xml:space="preserve">is information collection involves recordkeeping requirements only. </w:t>
      </w:r>
      <w:r>
        <w:rPr>
          <w:rFonts w:ascii="Times New Roman" w:hAnsi="Times New Roman"/>
          <w:szCs w:val="24"/>
        </w:rPr>
        <w:t xml:space="preserve"> </w:t>
      </w:r>
      <w:r w:rsidR="00B76DC2">
        <w:rPr>
          <w:rFonts w:ascii="Times New Roman" w:hAnsi="Times New Roman"/>
        </w:rPr>
        <w:t xml:space="preserve">The expiration date of the information collection is readily available at </w:t>
      </w:r>
      <w:hyperlink r:id="rId6" w:history="1">
        <w:r w:rsidRPr="00DD71EB" w:rsidR="00B76DC2">
          <w:rPr>
            <w:rStyle w:val="Hyperlink"/>
            <w:rFonts w:ascii="Times New Roman" w:hAnsi="Times New Roman"/>
          </w:rPr>
          <w:t>www.reginfo.gov</w:t>
        </w:r>
      </w:hyperlink>
      <w:r>
        <w:rPr>
          <w:rStyle w:val="FootnoteReference"/>
          <w:rFonts w:ascii="Times New Roman" w:hAnsi="Times New Roman"/>
          <w:vertAlign w:val="superscript"/>
        </w:rPr>
        <w:footnoteReference w:id="3"/>
      </w:r>
    </w:p>
    <w:p w:rsidR="007B6C63" w14:paraId="64E1B715" w14:textId="77777777">
      <w:pPr>
        <w:rPr>
          <w:rFonts w:ascii="Times New Roman" w:hAnsi="Times New Roman"/>
        </w:rPr>
      </w:pPr>
    </w:p>
    <w:p w:rsidR="007B6C63" w:rsidP="00A1019D" w14:paraId="42397C7E" w14:textId="77777777">
      <w:pPr>
        <w:tabs>
          <w:tab w:val="left" w:pos="-1440"/>
        </w:tabs>
        <w:ind w:left="720" w:hanging="360"/>
        <w:rPr>
          <w:rFonts w:ascii="Times New Roman" w:hAnsi="Times New Roman"/>
        </w:rPr>
      </w:pPr>
      <w:r>
        <w:rPr>
          <w:rFonts w:ascii="Times New Roman" w:hAnsi="Times New Roman"/>
        </w:rPr>
        <w:t>18.</w:t>
      </w:r>
      <w:r>
        <w:rPr>
          <w:rFonts w:ascii="Times New Roman" w:hAnsi="Times New Roman"/>
        </w:rPr>
        <w:tab/>
      </w:r>
      <w:r w:rsidRPr="00A1019D" w:rsidR="00937218">
        <w:rPr>
          <w:rFonts w:ascii="Times New Roman" w:hAnsi="Times New Roman"/>
          <w:b/>
          <w:bCs/>
          <w:iCs/>
          <w:u w:val="single"/>
        </w:rPr>
        <w:t>Exceptions</w:t>
      </w:r>
      <w:r w:rsidRPr="00937218" w:rsidR="00937218">
        <w:rPr>
          <w:rFonts w:ascii="Times New Roman" w:hAnsi="Times New Roman"/>
          <w:b/>
          <w:u w:val="single"/>
        </w:rPr>
        <w:t xml:space="preserve"> to c</w:t>
      </w:r>
      <w:r w:rsidRPr="00937218">
        <w:rPr>
          <w:rFonts w:ascii="Times New Roman" w:hAnsi="Times New Roman"/>
          <w:b/>
          <w:u w:val="single"/>
        </w:rPr>
        <w:t>ertification</w:t>
      </w:r>
      <w:r w:rsidRPr="00937218" w:rsidR="00937218">
        <w:rPr>
          <w:rFonts w:ascii="Times New Roman" w:hAnsi="Times New Roman"/>
          <w:b/>
          <w:u w:val="single"/>
        </w:rPr>
        <w:t>:</w:t>
      </w:r>
    </w:p>
    <w:p w:rsidR="007B6C63" w:rsidP="00FC41DF" w14:paraId="3269BBC6" w14:textId="77777777">
      <w:pPr>
        <w:tabs>
          <w:tab w:val="left" w:pos="-1440"/>
        </w:tabs>
        <w:ind w:firstLine="360"/>
        <w:rPr>
          <w:rFonts w:ascii="Times New Roman" w:hAnsi="Times New Roman"/>
        </w:rPr>
      </w:pPr>
    </w:p>
    <w:p w:rsidR="007B6C63" w:rsidP="000B0581" w14:paraId="1D557825"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rsidP="000B0581" w14:paraId="72EED56A" w14:textId="77777777">
      <w:pPr>
        <w:ind w:left="720"/>
        <w:rPr>
          <w:rFonts w:ascii="Times New Roman" w:hAnsi="Times New Roman"/>
        </w:rPr>
      </w:pPr>
    </w:p>
    <w:p w:rsidR="007B6C63" w:rsidP="00715C41" w14:paraId="4F7E49A1" w14:textId="77777777">
      <w:pPr>
        <w:keepNext/>
        <w:tabs>
          <w:tab w:val="left" w:pos="-1440"/>
        </w:tabs>
        <w:rPr>
          <w:rFonts w:ascii="Times New Roman" w:hAnsi="Times New Roman"/>
        </w:rPr>
      </w:pPr>
      <w:r>
        <w:rPr>
          <w:rFonts w:ascii="Times New Roman" w:hAnsi="Times New Roman"/>
        </w:rPr>
        <w:t>B.</w:t>
      </w:r>
      <w:r>
        <w:rPr>
          <w:rFonts w:ascii="Times New Roman" w:hAnsi="Times New Roman"/>
        </w:rPr>
        <w:tab/>
      </w:r>
      <w:r w:rsidR="00937218">
        <w:rPr>
          <w:rFonts w:ascii="Times New Roman" w:hAnsi="Times New Roman"/>
          <w:b/>
          <w:szCs w:val="24"/>
        </w:rPr>
        <w:t>COLLECTION OF INFORMATION EMPLOYING STATISTICAL METHODS</w:t>
      </w:r>
    </w:p>
    <w:p w:rsidR="007B6C63" w:rsidP="00715C41" w14:paraId="3ADB84B9" w14:textId="77777777">
      <w:pPr>
        <w:keepNext/>
        <w:rPr>
          <w:rFonts w:ascii="Times New Roman" w:hAnsi="Times New Roman"/>
        </w:rPr>
      </w:pPr>
    </w:p>
    <w:p w:rsidR="007B6C63" w:rsidP="00715C41" w14:paraId="127F81E1" w14:textId="77777777">
      <w:pPr>
        <w:keepNext/>
        <w:ind w:left="720"/>
        <w:rPr>
          <w:rFonts w:ascii="Times New Roman" w:hAnsi="Times New Roman"/>
        </w:rPr>
      </w:pPr>
      <w:r>
        <w:rPr>
          <w:rFonts w:ascii="Times New Roman" w:hAnsi="Times New Roman"/>
        </w:rPr>
        <w:t>Not applicable.</w:t>
      </w:r>
    </w:p>
    <w:p w:rsidR="007B6C63" w14:paraId="40A651F4" w14:textId="77777777">
      <w:pPr>
        <w:rPr>
          <w:rFonts w:ascii="Times New Roman" w:hAnsi="Times New Roman"/>
        </w:rPr>
      </w:pPr>
    </w:p>
    <w:p w:rsidR="007B6C63" w14:paraId="47A2E6D7" w14:textId="77777777">
      <w:pPr>
        <w:rPr>
          <w:rFonts w:ascii="Times New Roman" w:hAnsi="Times New Roman"/>
        </w:rPr>
      </w:pPr>
    </w:p>
    <w:sectPr>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PS">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0BC4E90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6C63" w14:paraId="4D55CCB4" w14:textId="77777777">
    <w:pPr>
      <w:spacing w:line="240" w:lineRule="exact"/>
    </w:pPr>
  </w:p>
  <w:p w:rsidR="007B6C63" w14:paraId="6F9AE18D" w14:textId="026C1F2E">
    <w:pPr>
      <w:framePr w:w="9361" w:wrap="notBeside" w:vAnchor="text" w:hAnchor="text" w:x="1" w:y="1"/>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016CA6">
      <w:rPr>
        <w:rFonts w:ascii="Times New Roman" w:hAnsi="Times New Roman"/>
        <w:noProof/>
      </w:rPr>
      <w:t>2</w:t>
    </w:r>
    <w:r>
      <w:rPr>
        <w:rFonts w:ascii="Times New Roman" w:hAnsi="Times New Roman"/>
      </w:rPr>
      <w:fldChar w:fldCharType="end"/>
    </w:r>
  </w:p>
  <w:p w:rsidR="007B6C63" w14:paraId="23CBE3B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79971C4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2861" w14:paraId="534F5E8C" w14:textId="77777777">
      <w:r>
        <w:separator/>
      </w:r>
    </w:p>
  </w:footnote>
  <w:footnote w:type="continuationSeparator" w:id="1">
    <w:p w:rsidR="00412861" w14:paraId="20BD09E6" w14:textId="77777777">
      <w:r>
        <w:continuationSeparator/>
      </w:r>
    </w:p>
  </w:footnote>
  <w:footnote w:id="2">
    <w:p w:rsidR="00630C5C" w14:paraId="26526512" w14:textId="77777777">
      <w:pPr>
        <w:pStyle w:val="FootnoteText"/>
      </w:pPr>
      <w:r w:rsidRPr="0054621E">
        <w:rPr>
          <w:rStyle w:val="FootnoteReference"/>
          <w:rFonts w:ascii="Times New Roman" w:hAnsi="Times New Roman"/>
          <w:vertAlign w:val="superscript"/>
        </w:rPr>
        <w:footnoteRef/>
      </w:r>
      <w:r>
        <w:t xml:space="preserve"> </w:t>
      </w:r>
      <w:r w:rsidRPr="0054621E">
        <w:rPr>
          <w:rFonts w:ascii="Times New Roman" w:hAnsi="Times New Roman"/>
        </w:rPr>
        <w:t xml:space="preserve">75 FR </w:t>
      </w:r>
      <w:r w:rsidRPr="0054621E" w:rsidR="0054621E">
        <w:rPr>
          <w:rFonts w:ascii="Times New Roman" w:hAnsi="Times New Roman"/>
        </w:rPr>
        <w:t>50801 (August 17, 2010)</w:t>
      </w:r>
      <w:r w:rsidR="0054621E">
        <w:rPr>
          <w:rFonts w:ascii="Times New Roman" w:hAnsi="Times New Roman"/>
        </w:rPr>
        <w:t>.</w:t>
      </w:r>
    </w:p>
  </w:footnote>
  <w:footnote w:id="3">
    <w:p w:rsidR="00B76DC2" w14:paraId="0775858F" w14:textId="77777777">
      <w:pPr>
        <w:pStyle w:val="FootnoteText"/>
      </w:pPr>
      <w:r w:rsidRPr="00B76DC2">
        <w:rPr>
          <w:rStyle w:val="FootnoteReference"/>
          <w:vertAlign w:val="superscript"/>
        </w:rPr>
        <w:footnoteRef/>
      </w:r>
      <w:r>
        <w:t xml:space="preserve"> </w:t>
      </w:r>
      <w:hyperlink r:id="rId1" w:history="1">
        <w:r w:rsidRPr="00A80495" w:rsidR="00245E41">
          <w:rPr>
            <w:rStyle w:val="Hyperlink"/>
            <w:rFonts w:ascii="Times New Roman" w:hAnsi="Times New Roman"/>
          </w:rPr>
          <w:t>https://www.reginfo.gov/public/Forward?SearchTarget=PRA&amp;textfield=3064-0176</w:t>
        </w:r>
      </w:hyperlink>
      <w:r w:rsidR="00245E41">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3CB6871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00BA60F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1DFCC77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623CFC"/>
    <w:multiLevelType w:val="hybridMultilevel"/>
    <w:tmpl w:val="2FF4FEAA"/>
    <w:lvl w:ilvl="0">
      <w:start w:val="16"/>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BA5A7B"/>
    <w:multiLevelType w:val="hybridMultilevel"/>
    <w:tmpl w:val="4F6C3130"/>
    <w:lvl w:ilvl="0">
      <w:start w:val="1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3C1D696F"/>
    <w:multiLevelType w:val="hybridMultilevel"/>
    <w:tmpl w:val="369A3B94"/>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
    <w:nsid w:val="788721FE"/>
    <w:multiLevelType w:val="singleLevel"/>
    <w:tmpl w:val="6F94DAD4"/>
    <w:lvl w:ilvl="0">
      <w:start w:val="3"/>
      <w:numFmt w:val="decimal"/>
      <w:lvlText w:val="%1."/>
      <w:lvlJc w:val="left"/>
      <w:pPr>
        <w:tabs>
          <w:tab w:val="num" w:pos="720"/>
        </w:tabs>
        <w:ind w:left="720" w:hanging="720"/>
      </w:pPr>
      <w:rPr>
        <w:rFonts w:hint="default"/>
      </w:rPr>
    </w:lvl>
  </w:abstractNum>
  <w:num w:numId="1" w16cid:durableId="116224876">
    <w:abstractNumId w:val="3"/>
  </w:num>
  <w:num w:numId="2" w16cid:durableId="376469784">
    <w:abstractNumId w:val="1"/>
  </w:num>
  <w:num w:numId="3" w16cid:durableId="793325269">
    <w:abstractNumId w:val="0"/>
  </w:num>
  <w:num w:numId="4" w16cid:durableId="107237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79"/>
    <w:rsid w:val="000002C9"/>
    <w:rsid w:val="00003E86"/>
    <w:rsid w:val="00016CA6"/>
    <w:rsid w:val="000171AA"/>
    <w:rsid w:val="000238ED"/>
    <w:rsid w:val="0004016C"/>
    <w:rsid w:val="000437E2"/>
    <w:rsid w:val="000563F3"/>
    <w:rsid w:val="000855E4"/>
    <w:rsid w:val="00093D0F"/>
    <w:rsid w:val="000A7A4C"/>
    <w:rsid w:val="000B0581"/>
    <w:rsid w:val="000B0668"/>
    <w:rsid w:val="000B5588"/>
    <w:rsid w:val="000C4F75"/>
    <w:rsid w:val="000F7E08"/>
    <w:rsid w:val="0012031E"/>
    <w:rsid w:val="00125A5D"/>
    <w:rsid w:val="001305D1"/>
    <w:rsid w:val="0013126F"/>
    <w:rsid w:val="0014251A"/>
    <w:rsid w:val="00165C9D"/>
    <w:rsid w:val="00175893"/>
    <w:rsid w:val="00177720"/>
    <w:rsid w:val="001778A3"/>
    <w:rsid w:val="00182279"/>
    <w:rsid w:val="001D78D3"/>
    <w:rsid w:val="001F071C"/>
    <w:rsid w:val="002331BC"/>
    <w:rsid w:val="00234383"/>
    <w:rsid w:val="00240097"/>
    <w:rsid w:val="00243D0C"/>
    <w:rsid w:val="00245E41"/>
    <w:rsid w:val="0025784A"/>
    <w:rsid w:val="00285D59"/>
    <w:rsid w:val="002A0FB7"/>
    <w:rsid w:val="002A35F4"/>
    <w:rsid w:val="002A5F6B"/>
    <w:rsid w:val="002B1AFA"/>
    <w:rsid w:val="002F26D8"/>
    <w:rsid w:val="002F3994"/>
    <w:rsid w:val="00304C3E"/>
    <w:rsid w:val="00320009"/>
    <w:rsid w:val="00345B8D"/>
    <w:rsid w:val="003514D6"/>
    <w:rsid w:val="00371017"/>
    <w:rsid w:val="00386C94"/>
    <w:rsid w:val="003A055C"/>
    <w:rsid w:val="003B3219"/>
    <w:rsid w:val="003E3404"/>
    <w:rsid w:val="003E5901"/>
    <w:rsid w:val="003F0288"/>
    <w:rsid w:val="003F2FF8"/>
    <w:rsid w:val="00412861"/>
    <w:rsid w:val="00414ECF"/>
    <w:rsid w:val="00435A15"/>
    <w:rsid w:val="00437618"/>
    <w:rsid w:val="00454007"/>
    <w:rsid w:val="004626F6"/>
    <w:rsid w:val="0048245A"/>
    <w:rsid w:val="004A00A8"/>
    <w:rsid w:val="004A5959"/>
    <w:rsid w:val="004B2F21"/>
    <w:rsid w:val="004C5B45"/>
    <w:rsid w:val="004F3FEA"/>
    <w:rsid w:val="00523B22"/>
    <w:rsid w:val="00525285"/>
    <w:rsid w:val="00525D2D"/>
    <w:rsid w:val="0054621E"/>
    <w:rsid w:val="00563449"/>
    <w:rsid w:val="005709AF"/>
    <w:rsid w:val="005B79C4"/>
    <w:rsid w:val="005C5B63"/>
    <w:rsid w:val="005E62DB"/>
    <w:rsid w:val="005F7DA0"/>
    <w:rsid w:val="00615BAD"/>
    <w:rsid w:val="00626586"/>
    <w:rsid w:val="00630C5C"/>
    <w:rsid w:val="0063734B"/>
    <w:rsid w:val="00641E72"/>
    <w:rsid w:val="00653821"/>
    <w:rsid w:val="00655078"/>
    <w:rsid w:val="00686F68"/>
    <w:rsid w:val="006B0048"/>
    <w:rsid w:val="006B3465"/>
    <w:rsid w:val="0071052F"/>
    <w:rsid w:val="00715C41"/>
    <w:rsid w:val="007562B8"/>
    <w:rsid w:val="00764233"/>
    <w:rsid w:val="007729D8"/>
    <w:rsid w:val="007B6C63"/>
    <w:rsid w:val="007C3E81"/>
    <w:rsid w:val="00800409"/>
    <w:rsid w:val="0080546E"/>
    <w:rsid w:val="00820F79"/>
    <w:rsid w:val="00826F32"/>
    <w:rsid w:val="008332CE"/>
    <w:rsid w:val="00844536"/>
    <w:rsid w:val="00846A1A"/>
    <w:rsid w:val="00856473"/>
    <w:rsid w:val="008565C5"/>
    <w:rsid w:val="00862421"/>
    <w:rsid w:val="00863A45"/>
    <w:rsid w:val="00881712"/>
    <w:rsid w:val="008A7B8F"/>
    <w:rsid w:val="008B2102"/>
    <w:rsid w:val="008D5FC7"/>
    <w:rsid w:val="008F19EA"/>
    <w:rsid w:val="009049F2"/>
    <w:rsid w:val="009104FE"/>
    <w:rsid w:val="00913902"/>
    <w:rsid w:val="00921EFB"/>
    <w:rsid w:val="009342C2"/>
    <w:rsid w:val="00937218"/>
    <w:rsid w:val="009557A1"/>
    <w:rsid w:val="0096157F"/>
    <w:rsid w:val="00990A9E"/>
    <w:rsid w:val="009A531D"/>
    <w:rsid w:val="009B62D9"/>
    <w:rsid w:val="009B7A15"/>
    <w:rsid w:val="009C2BFF"/>
    <w:rsid w:val="009C759A"/>
    <w:rsid w:val="00A0001C"/>
    <w:rsid w:val="00A1019D"/>
    <w:rsid w:val="00A152B6"/>
    <w:rsid w:val="00A249E9"/>
    <w:rsid w:val="00A26153"/>
    <w:rsid w:val="00A270BF"/>
    <w:rsid w:val="00A80495"/>
    <w:rsid w:val="00A81BD7"/>
    <w:rsid w:val="00AE69E1"/>
    <w:rsid w:val="00B06BE7"/>
    <w:rsid w:val="00B13760"/>
    <w:rsid w:val="00B17BBF"/>
    <w:rsid w:val="00B17F71"/>
    <w:rsid w:val="00B37DD6"/>
    <w:rsid w:val="00B61AD2"/>
    <w:rsid w:val="00B64991"/>
    <w:rsid w:val="00B66881"/>
    <w:rsid w:val="00B72FBE"/>
    <w:rsid w:val="00B76DC2"/>
    <w:rsid w:val="00B977B5"/>
    <w:rsid w:val="00BD64F8"/>
    <w:rsid w:val="00BD7F95"/>
    <w:rsid w:val="00BE4770"/>
    <w:rsid w:val="00BF3B99"/>
    <w:rsid w:val="00C14D80"/>
    <w:rsid w:val="00C15EA7"/>
    <w:rsid w:val="00C750AB"/>
    <w:rsid w:val="00C772BC"/>
    <w:rsid w:val="00C8275D"/>
    <w:rsid w:val="00C858DF"/>
    <w:rsid w:val="00CB2ED5"/>
    <w:rsid w:val="00CC0C76"/>
    <w:rsid w:val="00CC60A9"/>
    <w:rsid w:val="00CC7A55"/>
    <w:rsid w:val="00CF2C13"/>
    <w:rsid w:val="00D0274E"/>
    <w:rsid w:val="00D1720C"/>
    <w:rsid w:val="00D22923"/>
    <w:rsid w:val="00D35001"/>
    <w:rsid w:val="00D50321"/>
    <w:rsid w:val="00D50914"/>
    <w:rsid w:val="00D55074"/>
    <w:rsid w:val="00D64624"/>
    <w:rsid w:val="00D65C01"/>
    <w:rsid w:val="00D746BF"/>
    <w:rsid w:val="00D765D6"/>
    <w:rsid w:val="00D804A5"/>
    <w:rsid w:val="00DA5092"/>
    <w:rsid w:val="00DD29EA"/>
    <w:rsid w:val="00DD71EB"/>
    <w:rsid w:val="00DE2D0B"/>
    <w:rsid w:val="00E25AEE"/>
    <w:rsid w:val="00E50911"/>
    <w:rsid w:val="00EA0569"/>
    <w:rsid w:val="00ED6930"/>
    <w:rsid w:val="00EF1355"/>
    <w:rsid w:val="00F01C6F"/>
    <w:rsid w:val="00F040F7"/>
    <w:rsid w:val="00F04445"/>
    <w:rsid w:val="00F05CA3"/>
    <w:rsid w:val="00F34CBE"/>
    <w:rsid w:val="00F627F8"/>
    <w:rsid w:val="00F90EAE"/>
    <w:rsid w:val="00F9430B"/>
    <w:rsid w:val="00FA787D"/>
    <w:rsid w:val="00FB759A"/>
    <w:rsid w:val="00FC0FB9"/>
    <w:rsid w:val="00FC41DF"/>
    <w:rsid w:val="00FC6915"/>
    <w:rsid w:val="00FC6E6C"/>
    <w:rsid w:val="00FF15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4394D33"/>
  <w15:chartTrackingRefBased/>
  <w15:docId w15:val="{E35E25FC-6869-4301-AAD8-3C05404E9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12,Style 16,Style 19,Style 35,fr"/>
    <w:uiPriority w:val="99"/>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unhideWhenUsed/>
    <w:qFormat/>
    <w:rsid w:val="00386C94"/>
    <w:pPr>
      <w:widowControl/>
    </w:pPr>
    <w:rPr>
      <w:rFonts w:ascii="Arial Narrow" w:hAnsi="Arial Narrow"/>
      <w:snapToGrid/>
      <w:u w:val="single"/>
    </w:rPr>
  </w:style>
  <w:style w:type="character" w:customStyle="1" w:styleId="BodyTextChar">
    <w:name w:val="Body Text Char"/>
    <w:link w:val="BodyText"/>
    <w:rsid w:val="00386C94"/>
    <w:rPr>
      <w:rFonts w:ascii="Arial Narrow" w:hAnsi="Arial Narrow"/>
      <w:sz w:val="24"/>
      <w:u w:val="single"/>
    </w:rPr>
  </w:style>
  <w:style w:type="paragraph" w:styleId="FootnoteText">
    <w:name w:val="footnote text"/>
    <w:aliases w:val="ALTS FOOTNOTE,Car,Footnote Text Char Char,Footnote Text Char Char Char Char,Footnote Text Char Char Char Char Char Char Char Char Char Char Char Char Char Char Char Char Char,Footnote Text Char1 Char Char,Style 15,fn,ft"/>
    <w:basedOn w:val="Normal"/>
    <w:link w:val="FootnoteTextChar"/>
    <w:uiPriority w:val="99"/>
    <w:rsid w:val="00881712"/>
    <w:pPr>
      <w:autoSpaceDE w:val="0"/>
      <w:autoSpaceDN w:val="0"/>
      <w:adjustRightInd w:val="0"/>
    </w:pPr>
    <w:rPr>
      <w:rFonts w:ascii="CourierPS" w:hAnsi="CourierPS"/>
      <w:snapToGrid/>
      <w:sz w:val="20"/>
    </w:rPr>
  </w:style>
  <w:style w:type="character" w:customStyle="1" w:styleId="FootnoteTextChar">
    <w:name w:val="Footnote Text Char"/>
    <w:aliases w:val="ALTS FOOTNOTE Char,Car Char,Footnote Text Char Char Char,Footnote Text Char Char Char Char Char,Footnote Text Char Char Char Char Char Char Char Char Char Char Char Char Char Char Char Char Char Char,Footnote Text Char1 Char Char Char"/>
    <w:link w:val="FootnoteText"/>
    <w:uiPriority w:val="99"/>
    <w:rsid w:val="00881712"/>
    <w:rPr>
      <w:rFonts w:ascii="CourierPS" w:hAnsi="CourierPS"/>
    </w:rPr>
  </w:style>
  <w:style w:type="character" w:styleId="Hyperlink">
    <w:name w:val="Hyperlink"/>
    <w:uiPriority w:val="99"/>
    <w:unhideWhenUsed/>
    <w:rsid w:val="00881712"/>
    <w:rPr>
      <w:color w:val="0000FF"/>
      <w:u w:val="single"/>
    </w:rPr>
  </w:style>
  <w:style w:type="table" w:styleId="TableGrid">
    <w:name w:val="Table Grid"/>
    <w:basedOn w:val="TableNormal"/>
    <w:uiPriority w:val="39"/>
    <w:rsid w:val="002A5F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709AF"/>
  </w:style>
  <w:style w:type="character" w:customStyle="1" w:styleId="UnresolvedMention1">
    <w:name w:val="Unresolved Mention1"/>
    <w:uiPriority w:val="99"/>
    <w:semiHidden/>
    <w:unhideWhenUsed/>
    <w:rsid w:val="00B76DC2"/>
    <w:rPr>
      <w:color w:val="605E5C"/>
      <w:shd w:val="clear" w:color="auto" w:fill="E1DFDD"/>
    </w:rPr>
  </w:style>
  <w:style w:type="character" w:styleId="FollowedHyperlink">
    <w:name w:val="FollowedHyperlink"/>
    <w:rsid w:val="00B76DC2"/>
    <w:rPr>
      <w:color w:val="954F72"/>
      <w:u w:val="single"/>
    </w:rPr>
  </w:style>
  <w:style w:type="character" w:styleId="CommentReference">
    <w:name w:val="annotation reference"/>
    <w:basedOn w:val="DefaultParagraphFont"/>
    <w:rsid w:val="008D5FC7"/>
    <w:rPr>
      <w:sz w:val="16"/>
      <w:szCs w:val="16"/>
    </w:rPr>
  </w:style>
  <w:style w:type="paragraph" w:styleId="CommentText">
    <w:name w:val="annotation text"/>
    <w:basedOn w:val="Normal"/>
    <w:link w:val="CommentTextChar"/>
    <w:rsid w:val="008D5FC7"/>
    <w:rPr>
      <w:sz w:val="20"/>
    </w:rPr>
  </w:style>
  <w:style w:type="character" w:customStyle="1" w:styleId="CommentTextChar">
    <w:name w:val="Comment Text Char"/>
    <w:basedOn w:val="DefaultParagraphFont"/>
    <w:link w:val="CommentText"/>
    <w:rsid w:val="008D5FC7"/>
    <w:rPr>
      <w:rFonts w:ascii="Courier" w:hAnsi="Courier"/>
      <w:snapToGrid w:val="0"/>
    </w:rPr>
  </w:style>
  <w:style w:type="paragraph" w:styleId="CommentSubject">
    <w:name w:val="annotation subject"/>
    <w:basedOn w:val="CommentText"/>
    <w:next w:val="CommentText"/>
    <w:link w:val="CommentSubjectChar"/>
    <w:rsid w:val="008D5FC7"/>
    <w:rPr>
      <w:b/>
      <w:bCs/>
    </w:rPr>
  </w:style>
  <w:style w:type="character" w:customStyle="1" w:styleId="CommentSubjectChar">
    <w:name w:val="Comment Subject Char"/>
    <w:basedOn w:val="CommentTextChar"/>
    <w:link w:val="CommentSubject"/>
    <w:rsid w:val="008D5FC7"/>
    <w:rPr>
      <w:rFonts w:ascii="Courier" w:hAnsi="Courier"/>
      <w:b/>
      <w:bCs/>
      <w:snapToGrid w:val="0"/>
    </w:rPr>
  </w:style>
  <w:style w:type="table" w:customStyle="1" w:styleId="TableGrid1">
    <w:name w:val="Table Grid1"/>
    <w:basedOn w:val="TableNormal"/>
    <w:next w:val="TableGrid"/>
    <w:uiPriority w:val="39"/>
    <w:rsid w:val="0004016C"/>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reginfo.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Forward?SearchTarget=PRA&amp;textfield=3064-017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D52F9-9C8F-4B4B-B6F7-241F766503D4}">
  <ds:schemaRefs>
    <ds:schemaRef ds:uri="http://schemas.openxmlformats.org/officeDocument/2006/bibliography"/>
  </ds:schemaRefs>
</ds:datastoreItem>
</file>

<file path=docMetadata/LabelInfo.xml><?xml version="1.0" encoding="utf-8"?>
<clbl:labelList xmlns:clbl="http://schemas.microsoft.com/office/2020/mipLabelMetadata">
  <clbl:label id="{3be8ab8c-433c-4394-a4fb-cd2d5c4d0a5e}"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54</TotalTime>
  <Pages>5</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Gofney, Rashida K.</dc:creator>
  <cp:lastModifiedBy>Meiers, Robert M.</cp:lastModifiedBy>
  <cp:revision>26</cp:revision>
  <dcterms:created xsi:type="dcterms:W3CDTF">2026-09-16T13:10:00Z</dcterms:created>
  <dcterms:modified xsi:type="dcterms:W3CDTF">2026-09-22T17:46:00Z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e8ab8c-433c-4394-a4fb-cd2d5c4d0a5e_ActionId">
    <vt:lpwstr>2a375278-d66c-4138-9efb-9ff30236bf73</vt:lpwstr>
  </property>
  <property fmtid="{D5CDD505-2E9C-101B-9397-08002B2CF9AE}" pid="3" name="MSIP_Label_3be8ab8c-433c-4394-a4fb-cd2d5c4d0a5e_ContentBits">
    <vt:lpwstr>0</vt:lpwstr>
  </property>
  <property fmtid="{D5CDD505-2E9C-101B-9397-08002B2CF9AE}" pid="4" name="MSIP_Label_3be8ab8c-433c-4394-a4fb-cd2d5c4d0a5e_Enabled">
    <vt:lpwstr>true</vt:lpwstr>
  </property>
  <property fmtid="{D5CDD505-2E9C-101B-9397-08002B2CF9AE}" pid="5" name="MSIP_Label_3be8ab8c-433c-4394-a4fb-cd2d5c4d0a5e_Method">
    <vt:lpwstr>Privileged</vt:lpwstr>
  </property>
  <property fmtid="{D5CDD505-2E9C-101B-9397-08002B2CF9AE}" pid="6" name="MSIP_Label_3be8ab8c-433c-4394-a4fb-cd2d5c4d0a5e_Name">
    <vt:lpwstr>None</vt:lpwstr>
  </property>
  <property fmtid="{D5CDD505-2E9C-101B-9397-08002B2CF9AE}" pid="7" name="MSIP_Label_3be8ab8c-433c-4394-a4fb-cd2d5c4d0a5e_SetDate">
    <vt:lpwstr>2023-07-11T15:26:25Z</vt:lpwstr>
  </property>
  <property fmtid="{D5CDD505-2E9C-101B-9397-08002B2CF9AE}" pid="8" name="MSIP_Label_3be8ab8c-433c-4394-a4fb-cd2d5c4d0a5e_SiteId">
    <vt:lpwstr>26c83bc9-31c1-4d77-a523-0816095aba31</vt:lpwstr>
  </property>
</Properties>
</file>