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B70F9" w14:paraId="5B8FC82A" w14:textId="77777777">
      <w:pPr>
        <w:spacing w:before="76"/>
        <w:ind w:left="2697" w:right="2638"/>
        <w:jc w:val="center"/>
      </w:pPr>
      <w:r>
        <w:rPr>
          <w:spacing w:val="-13"/>
        </w:rPr>
        <w:t>FINAL</w:t>
      </w:r>
      <w:r w:rsidR="00D0139D">
        <w:rPr>
          <w:spacing w:val="-13"/>
        </w:rPr>
        <w:t xml:space="preserve"> </w:t>
      </w:r>
      <w:r w:rsidR="007C41F1">
        <w:t>OMB</w:t>
      </w:r>
      <w:r w:rsidR="007C41F1">
        <w:rPr>
          <w:spacing w:val="-14"/>
        </w:rPr>
        <w:t xml:space="preserve"> </w:t>
      </w:r>
      <w:r w:rsidR="007C41F1">
        <w:t>SUPPORTING</w:t>
      </w:r>
      <w:r w:rsidR="007C41F1">
        <w:rPr>
          <w:spacing w:val="-14"/>
        </w:rPr>
        <w:t xml:space="preserve"> </w:t>
      </w:r>
      <w:r w:rsidR="007C41F1">
        <w:t xml:space="preserve">STATEMENT </w:t>
      </w:r>
      <w:r w:rsidR="007C41F1">
        <w:rPr>
          <w:spacing w:val="-4"/>
        </w:rPr>
        <w:t>FOR</w:t>
      </w:r>
    </w:p>
    <w:p w:rsidR="000B70F9" w14:paraId="35FEDEDB" w14:textId="77777777">
      <w:pPr>
        <w:spacing w:line="252" w:lineRule="exact"/>
        <w:ind w:left="1171" w:right="1113"/>
        <w:jc w:val="center"/>
      </w:pPr>
      <w:r>
        <w:t>NUREG/BR-0254,</w:t>
      </w:r>
      <w:r>
        <w:rPr>
          <w:spacing w:val="-14"/>
        </w:rPr>
        <w:t xml:space="preserve"> </w:t>
      </w:r>
      <w:r>
        <w:t>PAYMENT</w:t>
      </w:r>
      <w:r>
        <w:rPr>
          <w:spacing w:val="-12"/>
        </w:rPr>
        <w:t xml:space="preserve"> </w:t>
      </w:r>
      <w:r>
        <w:t>METHODS</w:t>
      </w:r>
      <w:r>
        <w:rPr>
          <w:spacing w:val="-13"/>
        </w:rPr>
        <w:t xml:space="preserve"> </w:t>
      </w:r>
      <w:r>
        <w:rPr>
          <w:spacing w:val="-5"/>
        </w:rPr>
        <w:t>AND</w:t>
      </w:r>
    </w:p>
    <w:p w:rsidR="001829D9" w:rsidP="00F97F13" w14:paraId="0DB84B1B" w14:textId="77777777">
      <w:pPr>
        <w:ind w:left="1181" w:right="1109"/>
        <w:jc w:val="center"/>
      </w:pPr>
      <w:r>
        <w:t>AUTHORIZATION</w:t>
      </w:r>
      <w:r>
        <w:rPr>
          <w:spacing w:val="-6"/>
        </w:rPr>
        <w:t xml:space="preserve"> </w:t>
      </w:r>
      <w:r>
        <w:t>FOR</w:t>
      </w:r>
      <w:r>
        <w:rPr>
          <w:spacing w:val="-5"/>
        </w:rPr>
        <w:t xml:space="preserve"> </w:t>
      </w:r>
      <w:r>
        <w:t>PAYMENT</w:t>
      </w:r>
      <w:r>
        <w:rPr>
          <w:spacing w:val="-5"/>
        </w:rPr>
        <w:t xml:space="preserve"> </w:t>
      </w:r>
      <w:r>
        <w:t>BY</w:t>
      </w:r>
      <w:r>
        <w:rPr>
          <w:spacing w:val="-5"/>
        </w:rPr>
        <w:t xml:space="preserve"> </w:t>
      </w:r>
      <w:r>
        <w:t>CREDIT</w:t>
      </w:r>
      <w:r>
        <w:rPr>
          <w:spacing w:val="-5"/>
        </w:rPr>
        <w:t xml:space="preserve"> </w:t>
      </w:r>
      <w:r>
        <w:t xml:space="preserve">CARD ON </w:t>
      </w:r>
      <w:r w:rsidR="007C1BA2">
        <w:t>PAY.GOV</w:t>
      </w:r>
      <w:r>
        <w:t xml:space="preserve"> </w:t>
      </w:r>
    </w:p>
    <w:p w:rsidR="000B70F9" w14:paraId="72261296" w14:textId="77777777">
      <w:pPr>
        <w:spacing w:line="480" w:lineRule="auto"/>
        <w:ind w:left="1176" w:right="1113"/>
        <w:jc w:val="center"/>
      </w:pPr>
      <w:r>
        <w:rPr>
          <w:spacing w:val="-2"/>
        </w:rPr>
        <w:t>(3150-0190)</w:t>
      </w:r>
    </w:p>
    <w:p w:rsidR="000B70F9" w14:paraId="39A40525" w14:textId="77777777">
      <w:pPr>
        <w:spacing w:before="1"/>
        <w:ind w:left="2696" w:right="2638"/>
        <w:jc w:val="center"/>
      </w:pPr>
      <w:r>
        <w:rPr>
          <w:spacing w:val="-2"/>
        </w:rPr>
        <w:t>REVISION</w:t>
      </w:r>
    </w:p>
    <w:p w:rsidR="000B70F9" w14:paraId="646631A2" w14:textId="77777777">
      <w:pPr>
        <w:pStyle w:val="BodyText"/>
        <w:spacing w:before="10"/>
        <w:rPr>
          <w:sz w:val="21"/>
        </w:rPr>
      </w:pPr>
    </w:p>
    <w:p w:rsidR="000B70F9" w14:paraId="3F8B01D9" w14:textId="77777777">
      <w:pPr>
        <w:pStyle w:val="BodyText"/>
        <w:spacing w:before="1"/>
        <w:ind w:left="120"/>
      </w:pPr>
      <w:r>
        <w:rPr>
          <w:u w:val="single"/>
        </w:rPr>
        <w:t>Description</w:t>
      </w:r>
      <w:r>
        <w:rPr>
          <w:spacing w:val="-9"/>
          <w:u w:val="single"/>
        </w:rPr>
        <w:t xml:space="preserve"> </w:t>
      </w:r>
      <w:r>
        <w:rPr>
          <w:u w:val="single"/>
        </w:rPr>
        <w:t>of</w:t>
      </w:r>
      <w:r>
        <w:rPr>
          <w:spacing w:val="-7"/>
          <w:u w:val="single"/>
        </w:rPr>
        <w:t xml:space="preserve"> </w:t>
      </w:r>
      <w:r>
        <w:rPr>
          <w:u w:val="single"/>
        </w:rPr>
        <w:t>the</w:t>
      </w:r>
      <w:r>
        <w:rPr>
          <w:spacing w:val="-8"/>
          <w:u w:val="single"/>
        </w:rPr>
        <w:t xml:space="preserve"> </w:t>
      </w:r>
      <w:r>
        <w:rPr>
          <w:u w:val="single"/>
        </w:rPr>
        <w:t>Information</w:t>
      </w:r>
      <w:r>
        <w:rPr>
          <w:spacing w:val="-7"/>
          <w:u w:val="single"/>
        </w:rPr>
        <w:t xml:space="preserve"> </w:t>
      </w:r>
      <w:r>
        <w:rPr>
          <w:spacing w:val="-2"/>
          <w:u w:val="single"/>
        </w:rPr>
        <w:t>Collection</w:t>
      </w:r>
    </w:p>
    <w:p w:rsidR="000B70F9" w14:paraId="52D2AE2F" w14:textId="77777777">
      <w:pPr>
        <w:pStyle w:val="BodyText"/>
        <w:spacing w:before="11"/>
        <w:rPr>
          <w:sz w:val="13"/>
        </w:rPr>
      </w:pPr>
    </w:p>
    <w:p w:rsidR="000B70F9" w14:paraId="77711E6F" w14:textId="77777777">
      <w:pPr>
        <w:pStyle w:val="BodyText"/>
        <w:spacing w:before="93"/>
        <w:ind w:left="120" w:right="199"/>
      </w:pPr>
      <w:r>
        <w:t>The Nuclear Regulatory Commission (NRC) bills licensees, applicants, and individuals for civil penalties, licensing fees, inspection fees, and other fees.</w:t>
      </w:r>
      <w:r>
        <w:rPr>
          <w:spacing w:val="40"/>
        </w:rPr>
        <w:t xml:space="preserve"> </w:t>
      </w:r>
      <w:r>
        <w:t xml:space="preserve">The </w:t>
      </w:r>
      <w:r w:rsidR="00367DC2">
        <w:t xml:space="preserve">four </w:t>
      </w:r>
      <w:r>
        <w:t>methods used to pay bills owed to the NRC are: (1) Payment by Automated Clearinghouse Network (ACH); (2) Payment by Credit Card; (3) Payment by Electronic Funds Transfer/FedWire; and (</w:t>
      </w:r>
      <w:r w:rsidR="00367DC2">
        <w:t>4</w:t>
      </w:r>
      <w:r>
        <w:t xml:space="preserve">) Payment by Digital Wallet (PayPal and </w:t>
      </w:r>
      <w:r w:rsidR="00367DC2">
        <w:t>Venmo</w:t>
      </w:r>
      <w:r>
        <w:t>).</w:t>
      </w:r>
      <w:r>
        <w:rPr>
          <w:spacing w:val="40"/>
        </w:rPr>
        <w:t xml:space="preserve"> </w:t>
      </w:r>
      <w:r>
        <w:t>NUREG/BR-0254, “Payment Methods” provides instructions on how to transfer monies owed to the NRC; no information is collected by the NRC in using this brochure.</w:t>
      </w:r>
      <w:r>
        <w:rPr>
          <w:spacing w:val="40"/>
        </w:rPr>
        <w:t xml:space="preserve"> </w:t>
      </w:r>
      <w:r w:rsidR="00044427">
        <w:t>C</w:t>
      </w:r>
      <w:r w:rsidRPr="00433BF5" w:rsidR="00433BF5">
        <w:t xml:space="preserve">ollection of credit card payment information is done exclusively through </w:t>
      </w:r>
      <w:r w:rsidR="007C1BA2">
        <w:t>Pay.gov</w:t>
      </w:r>
      <w:r w:rsidR="00325B7D">
        <w:t>.</w:t>
      </w:r>
      <w:r w:rsidR="0064106B">
        <w:t xml:space="preserve"> The NRC is discontinuing use of the pdf NRC Form 629, “Authorization for Payment by Credit Card” and will be exclusively collecting the same information using </w:t>
      </w:r>
      <w:r w:rsidR="007C1BA2">
        <w:t>Pay.gov</w:t>
      </w:r>
      <w:r w:rsidR="008D63F8">
        <w:t xml:space="preserve"> for future transactions.</w:t>
      </w:r>
      <w:r w:rsidR="00433BF5">
        <w:t xml:space="preserve"> </w:t>
      </w:r>
      <w:r>
        <w:rPr>
          <w:spacing w:val="40"/>
        </w:rPr>
        <w:t xml:space="preserve"> </w:t>
      </w:r>
    </w:p>
    <w:p w:rsidR="000B70F9" w14:paraId="49A96E9A" w14:textId="77777777">
      <w:pPr>
        <w:pStyle w:val="BodyText"/>
        <w:rPr>
          <w:sz w:val="20"/>
        </w:rPr>
      </w:pPr>
    </w:p>
    <w:p w:rsidR="000B70F9" w14:paraId="0404E18A" w14:textId="77777777">
      <w:pPr>
        <w:pStyle w:val="ListParagraph"/>
        <w:numPr>
          <w:ilvl w:val="0"/>
          <w:numId w:val="1"/>
        </w:numPr>
        <w:tabs>
          <w:tab w:val="left" w:pos="840"/>
          <w:tab w:val="left" w:pos="841"/>
        </w:tabs>
        <w:rPr>
          <w:u w:val="none"/>
        </w:rPr>
      </w:pPr>
      <w:r>
        <w:rPr>
          <w:spacing w:val="-2"/>
          <w:u w:val="none"/>
        </w:rPr>
        <w:t>JUSTIFICATION</w:t>
      </w:r>
    </w:p>
    <w:p w:rsidR="000B70F9" w14:paraId="4A4D2B92" w14:textId="77777777">
      <w:pPr>
        <w:pStyle w:val="BodyText"/>
        <w:rPr>
          <w:sz w:val="24"/>
        </w:rPr>
      </w:pPr>
    </w:p>
    <w:p w:rsidR="000B70F9" w14:paraId="0D8D61F9" w14:textId="77777777">
      <w:pPr>
        <w:pStyle w:val="BodyText"/>
        <w:spacing w:before="11"/>
        <w:rPr>
          <w:sz w:val="19"/>
        </w:rPr>
      </w:pPr>
    </w:p>
    <w:p w:rsidR="000B70F9" w14:paraId="03F45072" w14:textId="77777777">
      <w:pPr>
        <w:pStyle w:val="ListParagraph"/>
        <w:numPr>
          <w:ilvl w:val="1"/>
          <w:numId w:val="1"/>
        </w:numPr>
        <w:tabs>
          <w:tab w:val="left" w:pos="1560"/>
          <w:tab w:val="left" w:pos="1561"/>
        </w:tabs>
        <w:rPr>
          <w:u w:val="none"/>
        </w:rPr>
      </w:pPr>
      <w:r>
        <w:t>Need</w:t>
      </w:r>
      <w:r>
        <w:rPr>
          <w:spacing w:val="-5"/>
        </w:rPr>
        <w:t xml:space="preserve"> </w:t>
      </w:r>
      <w:r>
        <w:t>for</w:t>
      </w:r>
      <w:r>
        <w:rPr>
          <w:spacing w:val="-5"/>
        </w:rPr>
        <w:t xml:space="preserve"> </w:t>
      </w:r>
      <w:r>
        <w:t>and</w:t>
      </w:r>
      <w:r>
        <w:rPr>
          <w:spacing w:val="-4"/>
        </w:rPr>
        <w:t xml:space="preserve"> </w:t>
      </w:r>
      <w:r>
        <w:t>Practical</w:t>
      </w:r>
      <w:r>
        <w:rPr>
          <w:spacing w:val="-6"/>
        </w:rPr>
        <w:t xml:space="preserve"> </w:t>
      </w:r>
      <w:r>
        <w:t>Utility</w:t>
      </w:r>
      <w:r>
        <w:rPr>
          <w:spacing w:val="-5"/>
        </w:rPr>
        <w:t xml:space="preserve"> </w:t>
      </w:r>
      <w:r>
        <w:t>of</w:t>
      </w:r>
      <w:r>
        <w:rPr>
          <w:spacing w:val="-4"/>
        </w:rPr>
        <w:t xml:space="preserve"> </w:t>
      </w:r>
      <w:r>
        <w:t>the</w:t>
      </w:r>
      <w:r>
        <w:rPr>
          <w:spacing w:val="-5"/>
        </w:rPr>
        <w:t xml:space="preserve"> </w:t>
      </w:r>
      <w:r>
        <w:t>Collection</w:t>
      </w:r>
      <w:r>
        <w:rPr>
          <w:spacing w:val="-5"/>
        </w:rPr>
        <w:t xml:space="preserve"> </w:t>
      </w:r>
      <w:r>
        <w:t>of</w:t>
      </w:r>
      <w:r>
        <w:rPr>
          <w:spacing w:val="-5"/>
        </w:rPr>
        <w:t xml:space="preserve"> </w:t>
      </w:r>
      <w:r>
        <w:rPr>
          <w:spacing w:val="-2"/>
        </w:rPr>
        <w:t>Information</w:t>
      </w:r>
    </w:p>
    <w:p w:rsidR="000B70F9" w14:paraId="4EBEE7BA" w14:textId="77777777">
      <w:pPr>
        <w:pStyle w:val="BodyText"/>
        <w:rPr>
          <w:sz w:val="14"/>
        </w:rPr>
      </w:pPr>
    </w:p>
    <w:p w:rsidR="000B70F9" w14:paraId="0CCC9AE6" w14:textId="77777777">
      <w:pPr>
        <w:pStyle w:val="BodyText"/>
        <w:spacing w:before="92"/>
        <w:ind w:left="1560" w:right="106"/>
      </w:pPr>
      <w:r>
        <w:t>Pay.gov</w:t>
      </w:r>
      <w:r w:rsidR="00BF19D8">
        <w:t xml:space="preserve"> is used by licensees to authorize payment by credit card for license fees.</w:t>
      </w:r>
      <w:r w:rsidR="00BF19D8">
        <w:rPr>
          <w:spacing w:val="40"/>
        </w:rPr>
        <w:t xml:space="preserve"> </w:t>
      </w:r>
      <w:r w:rsidR="00BF19D8">
        <w:t xml:space="preserve">The </w:t>
      </w:r>
      <w:r w:rsidR="002C6452">
        <w:t>system</w:t>
      </w:r>
      <w:r w:rsidR="00BF19D8">
        <w:t xml:space="preserve"> is also used</w:t>
      </w:r>
      <w:r w:rsidR="00BF19D8">
        <w:rPr>
          <w:spacing w:val="-3"/>
        </w:rPr>
        <w:t xml:space="preserve"> </w:t>
      </w:r>
      <w:r w:rsidR="00BF19D8">
        <w:t>for</w:t>
      </w:r>
      <w:r w:rsidR="00BF19D8">
        <w:rPr>
          <w:spacing w:val="-3"/>
        </w:rPr>
        <w:t xml:space="preserve"> </w:t>
      </w:r>
      <w:r w:rsidR="00BF19D8">
        <w:t>payment</w:t>
      </w:r>
      <w:r w:rsidR="00BF19D8">
        <w:rPr>
          <w:spacing w:val="-3"/>
        </w:rPr>
        <w:t xml:space="preserve"> </w:t>
      </w:r>
      <w:r w:rsidR="00BF19D8">
        <w:t>of</w:t>
      </w:r>
      <w:r w:rsidR="00BF19D8">
        <w:rPr>
          <w:spacing w:val="-3"/>
        </w:rPr>
        <w:t xml:space="preserve"> </w:t>
      </w:r>
      <w:r w:rsidR="00BF19D8">
        <w:t>fees</w:t>
      </w:r>
      <w:r w:rsidR="00BF19D8">
        <w:rPr>
          <w:spacing w:val="-3"/>
        </w:rPr>
        <w:t xml:space="preserve"> </w:t>
      </w:r>
      <w:r w:rsidR="00BF19D8">
        <w:t>for</w:t>
      </w:r>
      <w:r w:rsidR="00BF19D8">
        <w:rPr>
          <w:spacing w:val="-3"/>
        </w:rPr>
        <w:t xml:space="preserve"> </w:t>
      </w:r>
      <w:r w:rsidR="00BF19D8">
        <w:t>fingerprint</w:t>
      </w:r>
      <w:r w:rsidR="00BF19D8">
        <w:rPr>
          <w:spacing w:val="-3"/>
        </w:rPr>
        <w:t xml:space="preserve"> </w:t>
      </w:r>
      <w:r w:rsidR="00BF19D8">
        <w:t>cards</w:t>
      </w:r>
      <w:r w:rsidR="00BF19D8">
        <w:rPr>
          <w:spacing w:val="-3"/>
        </w:rPr>
        <w:t xml:space="preserve"> </w:t>
      </w:r>
      <w:r w:rsidR="00BF19D8">
        <w:t>and</w:t>
      </w:r>
      <w:r w:rsidR="00BF19D8">
        <w:rPr>
          <w:spacing w:val="-4"/>
        </w:rPr>
        <w:t xml:space="preserve"> </w:t>
      </w:r>
      <w:r w:rsidR="00BF19D8">
        <w:t>criminal</w:t>
      </w:r>
      <w:r w:rsidR="00BF19D8">
        <w:rPr>
          <w:spacing w:val="-3"/>
        </w:rPr>
        <w:t xml:space="preserve"> </w:t>
      </w:r>
      <w:r w:rsidR="00BF19D8">
        <w:t>history</w:t>
      </w:r>
      <w:r w:rsidR="00BF19D8">
        <w:rPr>
          <w:spacing w:val="-4"/>
        </w:rPr>
        <w:t xml:space="preserve"> </w:t>
      </w:r>
      <w:r w:rsidR="00BF19D8">
        <w:t>checks</w:t>
      </w:r>
      <w:r w:rsidR="00BF19D8">
        <w:rPr>
          <w:spacing w:val="-4"/>
        </w:rPr>
        <w:t xml:space="preserve"> </w:t>
      </w:r>
      <w:r w:rsidR="00BF19D8">
        <w:t>but</w:t>
      </w:r>
      <w:r w:rsidR="00BF19D8">
        <w:rPr>
          <w:spacing w:val="-3"/>
        </w:rPr>
        <w:t xml:space="preserve"> </w:t>
      </w:r>
      <w:r w:rsidR="005601BF">
        <w:rPr>
          <w:spacing w:val="-3"/>
        </w:rPr>
        <w:t xml:space="preserve">this is relatively </w:t>
      </w:r>
      <w:r w:rsidR="00BF19D8">
        <w:t>infrequent.</w:t>
      </w:r>
      <w:r w:rsidR="00BF19D8">
        <w:rPr>
          <w:spacing w:val="40"/>
        </w:rPr>
        <w:t xml:space="preserve"> </w:t>
      </w:r>
      <w:r w:rsidR="00BF19D8">
        <w:t xml:space="preserve">The </w:t>
      </w:r>
      <w:r w:rsidR="002C6452">
        <w:t>system</w:t>
      </w:r>
      <w:r w:rsidR="00BF19D8">
        <w:t xml:space="preserve"> solicits information that includes the date of authorization, company name of licensee, name of cardholder, email address, account number, card expiration date, address, cards accepted, telephone number, license or docket number, security code, purpose of payment, total amount of transaction, and signature of cardholder.</w:t>
      </w:r>
    </w:p>
    <w:p w:rsidR="000B70F9" w14:paraId="205F123E" w14:textId="77777777">
      <w:pPr>
        <w:pStyle w:val="BodyText"/>
      </w:pPr>
    </w:p>
    <w:p w:rsidR="000B70F9" w14:paraId="7A4BA033" w14:textId="77777777">
      <w:pPr>
        <w:pStyle w:val="BodyText"/>
        <w:ind w:left="1560"/>
      </w:pPr>
      <w:r>
        <w:t>There</w:t>
      </w:r>
      <w:r>
        <w:rPr>
          <w:spacing w:val="-10"/>
        </w:rPr>
        <w:t xml:space="preserve"> </w:t>
      </w:r>
      <w:r>
        <w:t>are</w:t>
      </w:r>
      <w:r>
        <w:rPr>
          <w:spacing w:val="-7"/>
        </w:rPr>
        <w:t xml:space="preserve"> </w:t>
      </w:r>
      <w:r>
        <w:t>no</w:t>
      </w:r>
      <w:r>
        <w:rPr>
          <w:spacing w:val="-8"/>
        </w:rPr>
        <w:t xml:space="preserve"> </w:t>
      </w:r>
      <w:r w:rsidR="00367DC2">
        <w:t>record-keeping</w:t>
      </w:r>
      <w:r>
        <w:rPr>
          <w:spacing w:val="-7"/>
        </w:rPr>
        <w:t xml:space="preserve"> </w:t>
      </w:r>
      <w:r>
        <w:t>requirements</w:t>
      </w:r>
      <w:r>
        <w:rPr>
          <w:spacing w:val="-8"/>
        </w:rPr>
        <w:t xml:space="preserve"> </w:t>
      </w:r>
      <w:r>
        <w:t>associated</w:t>
      </w:r>
      <w:r>
        <w:rPr>
          <w:spacing w:val="-7"/>
        </w:rPr>
        <w:t xml:space="preserve"> </w:t>
      </w:r>
      <w:r>
        <w:t>with</w:t>
      </w:r>
      <w:r>
        <w:rPr>
          <w:spacing w:val="-8"/>
        </w:rPr>
        <w:t xml:space="preserve"> </w:t>
      </w:r>
      <w:r>
        <w:t>this</w:t>
      </w:r>
      <w:r>
        <w:rPr>
          <w:spacing w:val="-7"/>
        </w:rPr>
        <w:t xml:space="preserve"> </w:t>
      </w:r>
      <w:r>
        <w:rPr>
          <w:spacing w:val="-2"/>
        </w:rPr>
        <w:t>collection.</w:t>
      </w:r>
    </w:p>
    <w:p w:rsidR="000B70F9" w14:paraId="424DAFE6" w14:textId="77777777">
      <w:pPr>
        <w:pStyle w:val="BodyText"/>
      </w:pPr>
    </w:p>
    <w:p w:rsidR="000B70F9" w14:paraId="3961EFA2" w14:textId="77777777">
      <w:pPr>
        <w:pStyle w:val="ListParagraph"/>
        <w:numPr>
          <w:ilvl w:val="1"/>
          <w:numId w:val="1"/>
        </w:numPr>
        <w:tabs>
          <w:tab w:val="left" w:pos="1559"/>
          <w:tab w:val="left" w:pos="1560"/>
        </w:tabs>
        <w:ind w:left="1559" w:hanging="720"/>
        <w:rPr>
          <w:u w:val="none"/>
        </w:rPr>
      </w:pPr>
      <w:r>
        <w:t>Agency</w:t>
      </w:r>
      <w:r>
        <w:rPr>
          <w:spacing w:val="-5"/>
        </w:rPr>
        <w:t xml:space="preserve"> </w:t>
      </w:r>
      <w:r>
        <w:t>Use</w:t>
      </w:r>
      <w:r>
        <w:rPr>
          <w:spacing w:val="-4"/>
        </w:rPr>
        <w:t xml:space="preserve"> </w:t>
      </w:r>
      <w:r>
        <w:t>of</w:t>
      </w:r>
      <w:r>
        <w:rPr>
          <w:spacing w:val="-5"/>
        </w:rPr>
        <w:t xml:space="preserve"> </w:t>
      </w:r>
      <w:r>
        <w:rPr>
          <w:spacing w:val="-2"/>
        </w:rPr>
        <w:t>Information</w:t>
      </w:r>
    </w:p>
    <w:p w:rsidR="000B70F9" w14:paraId="7D32F4F6" w14:textId="77777777">
      <w:pPr>
        <w:pStyle w:val="BodyText"/>
        <w:spacing w:before="10"/>
        <w:rPr>
          <w:sz w:val="13"/>
        </w:rPr>
      </w:pPr>
    </w:p>
    <w:p w:rsidR="000B70F9" w14:paraId="26EC7CC7" w14:textId="77777777">
      <w:pPr>
        <w:pStyle w:val="BodyText"/>
        <w:spacing w:before="93"/>
        <w:ind w:left="1560"/>
      </w:pPr>
      <w:r>
        <w:t>The</w:t>
      </w:r>
      <w:r>
        <w:rPr>
          <w:spacing w:val="-4"/>
        </w:rPr>
        <w:t xml:space="preserve"> </w:t>
      </w:r>
      <w:r>
        <w:t>agency</w:t>
      </w:r>
      <w:r>
        <w:rPr>
          <w:spacing w:val="-4"/>
        </w:rPr>
        <w:t xml:space="preserve"> </w:t>
      </w:r>
      <w:r>
        <w:t>uses</w:t>
      </w:r>
      <w:r>
        <w:rPr>
          <w:spacing w:val="-4"/>
        </w:rPr>
        <w:t xml:space="preserve"> </w:t>
      </w:r>
      <w:r>
        <w:t>this</w:t>
      </w:r>
      <w:r>
        <w:rPr>
          <w:spacing w:val="-4"/>
        </w:rPr>
        <w:t xml:space="preserve"> </w:t>
      </w:r>
      <w:r>
        <w:t>information</w:t>
      </w:r>
      <w:r>
        <w:rPr>
          <w:spacing w:val="-4"/>
        </w:rPr>
        <w:t xml:space="preserve"> </w:t>
      </w:r>
      <w:r>
        <w:t>to</w:t>
      </w:r>
      <w:r>
        <w:rPr>
          <w:spacing w:val="-4"/>
        </w:rPr>
        <w:t xml:space="preserve"> </w:t>
      </w:r>
      <w:r>
        <w:t>properly</w:t>
      </w:r>
      <w:r>
        <w:rPr>
          <w:spacing w:val="-4"/>
        </w:rPr>
        <w:t xml:space="preserve"> </w:t>
      </w:r>
      <w:r>
        <w:t>credit</w:t>
      </w:r>
      <w:r>
        <w:rPr>
          <w:spacing w:val="-4"/>
        </w:rPr>
        <w:t xml:space="preserve"> </w:t>
      </w:r>
      <w:r>
        <w:t>monies</w:t>
      </w:r>
      <w:r>
        <w:rPr>
          <w:spacing w:val="-4"/>
        </w:rPr>
        <w:t xml:space="preserve"> </w:t>
      </w:r>
      <w:r>
        <w:t>received</w:t>
      </w:r>
      <w:r>
        <w:rPr>
          <w:spacing w:val="-4"/>
        </w:rPr>
        <w:t xml:space="preserve"> </w:t>
      </w:r>
      <w:r>
        <w:t>from</w:t>
      </w:r>
      <w:r>
        <w:rPr>
          <w:spacing w:val="-4"/>
        </w:rPr>
        <w:t xml:space="preserve"> </w:t>
      </w:r>
      <w:r>
        <w:t>credit card companies when this method is utilized by the licensees to pay their indebtedness to the NRC.</w:t>
      </w:r>
    </w:p>
    <w:p w:rsidR="000B70F9" w14:paraId="597B9810" w14:textId="77777777">
      <w:pPr>
        <w:sectPr>
          <w:footerReference w:type="default" r:id="rId9"/>
          <w:type w:val="continuous"/>
          <w:pgSz w:w="12240" w:h="15840"/>
          <w:pgMar w:top="1640" w:right="1380" w:bottom="1420" w:left="1320" w:header="0" w:footer="1234" w:gutter="0"/>
          <w:pgNumType w:start="1"/>
          <w:cols w:space="720"/>
        </w:sectPr>
      </w:pPr>
    </w:p>
    <w:p w:rsidR="000B70F9" w14:paraId="7585795F" w14:textId="77777777">
      <w:pPr>
        <w:pStyle w:val="ListParagraph"/>
        <w:numPr>
          <w:ilvl w:val="1"/>
          <w:numId w:val="1"/>
        </w:numPr>
        <w:tabs>
          <w:tab w:val="left" w:pos="1559"/>
          <w:tab w:val="left" w:pos="1560"/>
        </w:tabs>
        <w:spacing w:before="76"/>
        <w:ind w:left="1559" w:hanging="720"/>
        <w:rPr>
          <w:u w:val="none"/>
        </w:rPr>
      </w:pPr>
      <w:r>
        <w:t>Reduction</w:t>
      </w:r>
      <w:r>
        <w:rPr>
          <w:spacing w:val="-8"/>
        </w:rPr>
        <w:t xml:space="preserve"> </w:t>
      </w:r>
      <w:r>
        <w:t>of</w:t>
      </w:r>
      <w:r>
        <w:rPr>
          <w:spacing w:val="-9"/>
        </w:rPr>
        <w:t xml:space="preserve"> </w:t>
      </w:r>
      <w:r>
        <w:t>Burden</w:t>
      </w:r>
      <w:r>
        <w:rPr>
          <w:spacing w:val="-8"/>
        </w:rPr>
        <w:t xml:space="preserve"> </w:t>
      </w:r>
      <w:r>
        <w:t>Through</w:t>
      </w:r>
      <w:r>
        <w:rPr>
          <w:spacing w:val="-8"/>
        </w:rPr>
        <w:t xml:space="preserve"> </w:t>
      </w:r>
      <w:r>
        <w:t>Information</w:t>
      </w:r>
      <w:r>
        <w:rPr>
          <w:spacing w:val="-8"/>
        </w:rPr>
        <w:t xml:space="preserve"> </w:t>
      </w:r>
      <w:r>
        <w:rPr>
          <w:spacing w:val="-2"/>
        </w:rPr>
        <w:t>Technology</w:t>
      </w:r>
    </w:p>
    <w:p w:rsidR="000B70F9" w14:paraId="1C8E305E" w14:textId="77777777">
      <w:pPr>
        <w:pStyle w:val="BodyText"/>
        <w:spacing w:before="10"/>
        <w:rPr>
          <w:sz w:val="13"/>
        </w:rPr>
      </w:pPr>
    </w:p>
    <w:p w:rsidR="000B70F9" w14:paraId="15E24D8F" w14:textId="77777777">
      <w:pPr>
        <w:pStyle w:val="BodyText"/>
        <w:spacing w:before="92"/>
        <w:ind w:left="1560" w:right="183"/>
      </w:pPr>
      <w:r>
        <w:t>There are no legal obstacles to reducing the burden associated with this information collection.</w:t>
      </w:r>
      <w:r>
        <w:rPr>
          <w:spacing w:val="40"/>
        </w:rPr>
        <w:t xml:space="preserve"> </w:t>
      </w:r>
      <w:r>
        <w:t>The NRC encourages respondents to use information technology when it would be beneficial to them.</w:t>
      </w:r>
      <w:r w:rsidR="0097225B">
        <w:t xml:space="preserve">  </w:t>
      </w:r>
      <w:r w:rsidRPr="0097225B" w:rsidR="0097225B">
        <w:t xml:space="preserve">Respondents are able to submit the requested information using fillable-fillable forms and/or computer-readable formatted forms.  It is estimated that </w:t>
      </w:r>
      <w:r w:rsidR="006F1965">
        <w:rPr>
          <w:b/>
          <w:bCs/>
        </w:rPr>
        <w:t>100</w:t>
      </w:r>
      <w:r w:rsidRPr="0097225B" w:rsidR="0097225B">
        <w:rPr>
          <w:b/>
          <w:bCs/>
        </w:rPr>
        <w:t xml:space="preserve">% </w:t>
      </w:r>
      <w:r w:rsidRPr="0097225B" w:rsidR="0097225B">
        <w:t>of the potential responses are filed electronically</w:t>
      </w:r>
      <w:r w:rsidR="005601BF">
        <w:t>, since NRC only processes payments</w:t>
      </w:r>
      <w:r w:rsidR="0097225B">
        <w:t xml:space="preserve"> </w:t>
      </w:r>
      <w:r w:rsidR="00106155">
        <w:t xml:space="preserve">exclusively </w:t>
      </w:r>
      <w:r w:rsidR="0097225B">
        <w:t xml:space="preserve">via </w:t>
      </w:r>
      <w:r w:rsidR="007C1BA2">
        <w:t>Pay.gov</w:t>
      </w:r>
      <w:r w:rsidRPr="0097225B" w:rsidR="0097225B">
        <w:t>. </w:t>
      </w:r>
      <w:r>
        <w:rPr>
          <w:spacing w:val="40"/>
        </w:rPr>
        <w:t xml:space="preserve"> </w:t>
      </w:r>
    </w:p>
    <w:p w:rsidR="000B70F9" w14:paraId="25C61E66" w14:textId="77777777">
      <w:pPr>
        <w:pStyle w:val="BodyText"/>
      </w:pPr>
    </w:p>
    <w:p w:rsidR="000B70F9" w14:paraId="3C88F26A" w14:textId="77777777">
      <w:pPr>
        <w:pStyle w:val="ListParagraph"/>
        <w:numPr>
          <w:ilvl w:val="1"/>
          <w:numId w:val="1"/>
        </w:numPr>
        <w:tabs>
          <w:tab w:val="left" w:pos="1559"/>
          <w:tab w:val="left" w:pos="1560"/>
        </w:tabs>
        <w:spacing w:before="1"/>
        <w:ind w:left="1559"/>
        <w:rPr>
          <w:u w:val="none"/>
        </w:rPr>
      </w:pPr>
      <w:r>
        <w:t>Effort</w:t>
      </w:r>
      <w:r>
        <w:rPr>
          <w:spacing w:val="-6"/>
        </w:rPr>
        <w:t xml:space="preserve"> </w:t>
      </w:r>
      <w:r>
        <w:t>to</w:t>
      </w:r>
      <w:r>
        <w:rPr>
          <w:spacing w:val="-6"/>
        </w:rPr>
        <w:t xml:space="preserve"> </w:t>
      </w:r>
      <w:r>
        <w:t>Identify</w:t>
      </w:r>
      <w:r>
        <w:rPr>
          <w:spacing w:val="-5"/>
        </w:rPr>
        <w:t xml:space="preserve"> </w:t>
      </w:r>
      <w:r>
        <w:t>Duplication</w:t>
      </w:r>
      <w:r>
        <w:rPr>
          <w:spacing w:val="-6"/>
        </w:rPr>
        <w:t xml:space="preserve"> </w:t>
      </w:r>
      <w:r>
        <w:t>and</w:t>
      </w:r>
      <w:r>
        <w:rPr>
          <w:spacing w:val="-6"/>
        </w:rPr>
        <w:t xml:space="preserve"> </w:t>
      </w:r>
      <w:r>
        <w:t>Use</w:t>
      </w:r>
      <w:r>
        <w:rPr>
          <w:spacing w:val="-5"/>
        </w:rPr>
        <w:t xml:space="preserve"> </w:t>
      </w:r>
      <w:r>
        <w:t>Similar</w:t>
      </w:r>
      <w:r>
        <w:rPr>
          <w:spacing w:val="-6"/>
        </w:rPr>
        <w:t xml:space="preserve"> </w:t>
      </w:r>
      <w:r>
        <w:rPr>
          <w:spacing w:val="-2"/>
        </w:rPr>
        <w:t>Information</w:t>
      </w:r>
    </w:p>
    <w:p w:rsidR="000B70F9" w14:paraId="6CC8B1A9" w14:textId="77777777">
      <w:pPr>
        <w:pStyle w:val="BodyText"/>
        <w:spacing w:before="11"/>
        <w:rPr>
          <w:sz w:val="13"/>
        </w:rPr>
      </w:pPr>
    </w:p>
    <w:p w:rsidR="000B70F9" w14:paraId="6A548279" w14:textId="77777777">
      <w:pPr>
        <w:pStyle w:val="BodyText"/>
        <w:spacing w:before="93"/>
        <w:ind w:left="1560"/>
      </w:pPr>
      <w:r>
        <w:t>No</w:t>
      </w:r>
      <w:r>
        <w:rPr>
          <w:spacing w:val="-3"/>
        </w:rPr>
        <w:t xml:space="preserve"> </w:t>
      </w:r>
      <w:r>
        <w:t>sources</w:t>
      </w:r>
      <w:r>
        <w:rPr>
          <w:spacing w:val="-4"/>
        </w:rPr>
        <w:t xml:space="preserve"> </w:t>
      </w:r>
      <w:r>
        <w:t>of</w:t>
      </w:r>
      <w:r>
        <w:rPr>
          <w:spacing w:val="-3"/>
        </w:rPr>
        <w:t xml:space="preserve"> </w:t>
      </w:r>
      <w:r>
        <w:t>similar</w:t>
      </w:r>
      <w:r>
        <w:rPr>
          <w:spacing w:val="-3"/>
        </w:rPr>
        <w:t xml:space="preserve"> </w:t>
      </w:r>
      <w:r>
        <w:t>information</w:t>
      </w:r>
      <w:r>
        <w:rPr>
          <w:spacing w:val="-3"/>
        </w:rPr>
        <w:t xml:space="preserve"> </w:t>
      </w:r>
      <w:r>
        <w:t>are</w:t>
      </w:r>
      <w:r>
        <w:rPr>
          <w:spacing w:val="-3"/>
        </w:rPr>
        <w:t xml:space="preserve"> </w:t>
      </w:r>
      <w:r>
        <w:t>available.</w:t>
      </w:r>
      <w:r>
        <w:rPr>
          <w:spacing w:val="40"/>
        </w:rPr>
        <w:t xml:space="preserve"> </w:t>
      </w:r>
      <w:r>
        <w:t>There</w:t>
      </w:r>
      <w:r>
        <w:rPr>
          <w:spacing w:val="-3"/>
        </w:rPr>
        <w:t xml:space="preserve"> </w:t>
      </w:r>
      <w:r>
        <w:t>is</w:t>
      </w:r>
      <w:r>
        <w:rPr>
          <w:spacing w:val="-3"/>
        </w:rPr>
        <w:t xml:space="preserve"> </w:t>
      </w:r>
      <w:r>
        <w:t>no</w:t>
      </w:r>
      <w:r>
        <w:rPr>
          <w:spacing w:val="-4"/>
        </w:rPr>
        <w:t xml:space="preserve"> </w:t>
      </w:r>
      <w:r>
        <w:t>duplication</w:t>
      </w:r>
      <w:r>
        <w:rPr>
          <w:spacing w:val="-6"/>
        </w:rPr>
        <w:t xml:space="preserve"> </w:t>
      </w:r>
      <w:r>
        <w:t xml:space="preserve">of </w:t>
      </w:r>
      <w:r>
        <w:rPr>
          <w:spacing w:val="-2"/>
        </w:rPr>
        <w:t>requirements.</w:t>
      </w:r>
    </w:p>
    <w:p w:rsidR="000B70F9" w14:paraId="471E5351" w14:textId="77777777">
      <w:pPr>
        <w:pStyle w:val="BodyText"/>
        <w:spacing w:before="10"/>
        <w:rPr>
          <w:sz w:val="21"/>
        </w:rPr>
      </w:pPr>
    </w:p>
    <w:p w:rsidR="000B70F9" w14:paraId="716F31D3" w14:textId="77777777">
      <w:pPr>
        <w:pStyle w:val="ListParagraph"/>
        <w:numPr>
          <w:ilvl w:val="1"/>
          <w:numId w:val="1"/>
        </w:numPr>
        <w:tabs>
          <w:tab w:val="left" w:pos="1559"/>
          <w:tab w:val="left" w:pos="1560"/>
        </w:tabs>
        <w:ind w:left="1559"/>
        <w:rPr>
          <w:u w:val="none"/>
        </w:rPr>
      </w:pPr>
      <w:r>
        <w:t>Effort</w:t>
      </w:r>
      <w:r>
        <w:rPr>
          <w:spacing w:val="-6"/>
        </w:rPr>
        <w:t xml:space="preserve"> </w:t>
      </w:r>
      <w:r>
        <w:t>to</w:t>
      </w:r>
      <w:r>
        <w:rPr>
          <w:spacing w:val="-6"/>
        </w:rPr>
        <w:t xml:space="preserve"> </w:t>
      </w:r>
      <w:r>
        <w:t>Reduce</w:t>
      </w:r>
      <w:r>
        <w:rPr>
          <w:spacing w:val="-6"/>
        </w:rPr>
        <w:t xml:space="preserve"> </w:t>
      </w:r>
      <w:r>
        <w:t>Small</w:t>
      </w:r>
      <w:r>
        <w:rPr>
          <w:spacing w:val="-6"/>
        </w:rPr>
        <w:t xml:space="preserve"> </w:t>
      </w:r>
      <w:r>
        <w:t>Business</w:t>
      </w:r>
      <w:r>
        <w:rPr>
          <w:spacing w:val="-6"/>
        </w:rPr>
        <w:t xml:space="preserve"> </w:t>
      </w:r>
      <w:r>
        <w:rPr>
          <w:spacing w:val="-2"/>
        </w:rPr>
        <w:t>Burden</w:t>
      </w:r>
    </w:p>
    <w:p w:rsidR="000B70F9" w14:paraId="51D75EF7" w14:textId="77777777">
      <w:pPr>
        <w:pStyle w:val="BodyText"/>
        <w:rPr>
          <w:sz w:val="14"/>
        </w:rPr>
      </w:pPr>
    </w:p>
    <w:p w:rsidR="000B70F9" w14:paraId="4E63188D" w14:textId="77777777">
      <w:pPr>
        <w:pStyle w:val="BodyText"/>
        <w:spacing w:before="93"/>
        <w:ind w:left="1560"/>
      </w:pPr>
      <w:r>
        <w:t>Approximately</w:t>
      </w:r>
      <w:r>
        <w:rPr>
          <w:spacing w:val="-3"/>
        </w:rPr>
        <w:t xml:space="preserve"> </w:t>
      </w:r>
      <w:r>
        <w:t>16</w:t>
      </w:r>
      <w:r>
        <w:rPr>
          <w:spacing w:val="-3"/>
        </w:rPr>
        <w:t xml:space="preserve"> </w:t>
      </w:r>
      <w:r>
        <w:t>percent</w:t>
      </w:r>
      <w:r>
        <w:rPr>
          <w:spacing w:val="-3"/>
        </w:rPr>
        <w:t xml:space="preserve"> </w:t>
      </w:r>
      <w:r>
        <w:t>of</w:t>
      </w:r>
      <w:r>
        <w:rPr>
          <w:spacing w:val="-3"/>
        </w:rPr>
        <w:t xml:space="preserve"> </w:t>
      </w:r>
      <w:r>
        <w:t>the</w:t>
      </w:r>
      <w:r>
        <w:rPr>
          <w:spacing w:val="-3"/>
        </w:rPr>
        <w:t xml:space="preserve"> </w:t>
      </w:r>
      <w:r>
        <w:t>invoices</w:t>
      </w:r>
      <w:r>
        <w:rPr>
          <w:spacing w:val="-3"/>
        </w:rPr>
        <w:t xml:space="preserve"> </w:t>
      </w:r>
      <w:r>
        <w:t>issued</w:t>
      </w:r>
      <w:r>
        <w:rPr>
          <w:spacing w:val="-4"/>
        </w:rPr>
        <w:t xml:space="preserve"> </w:t>
      </w:r>
      <w:r w:rsidR="009B5FDE">
        <w:t>from</w:t>
      </w:r>
      <w:r w:rsidR="009B5FDE">
        <w:rPr>
          <w:spacing w:val="-3"/>
        </w:rPr>
        <w:t xml:space="preserve"> </w:t>
      </w:r>
      <w:r>
        <w:t>FY</w:t>
      </w:r>
      <w:r>
        <w:rPr>
          <w:spacing w:val="-3"/>
        </w:rPr>
        <w:t xml:space="preserve"> </w:t>
      </w:r>
      <w:r>
        <w:t>202</w:t>
      </w:r>
      <w:r w:rsidR="009B5FDE">
        <w:t>3</w:t>
      </w:r>
      <w:r>
        <w:rPr>
          <w:spacing w:val="-3"/>
        </w:rPr>
        <w:t xml:space="preserve"> </w:t>
      </w:r>
      <w:r w:rsidR="009B5FDE">
        <w:rPr>
          <w:spacing w:val="-3"/>
        </w:rPr>
        <w:t xml:space="preserve">to FY 2025 </w:t>
      </w:r>
      <w:r>
        <w:t>were</w:t>
      </w:r>
      <w:r>
        <w:rPr>
          <w:spacing w:val="-2"/>
        </w:rPr>
        <w:t xml:space="preserve"> </w:t>
      </w:r>
      <w:r>
        <w:t>issued</w:t>
      </w:r>
      <w:r>
        <w:rPr>
          <w:spacing w:val="-4"/>
        </w:rPr>
        <w:t xml:space="preserve"> </w:t>
      </w:r>
      <w:r>
        <w:t>to</w:t>
      </w:r>
      <w:r>
        <w:rPr>
          <w:spacing w:val="-3"/>
        </w:rPr>
        <w:t xml:space="preserve"> </w:t>
      </w:r>
      <w:r>
        <w:t>small businesses.</w:t>
      </w:r>
      <w:r>
        <w:rPr>
          <w:spacing w:val="40"/>
        </w:rPr>
        <w:t xml:space="preserve"> </w:t>
      </w:r>
      <w:r>
        <w:t xml:space="preserve">Efforts have been made to keep the method of collecting fees as simple as possible, and requirements for information have been kept to a </w:t>
      </w:r>
      <w:r>
        <w:rPr>
          <w:spacing w:val="-2"/>
        </w:rPr>
        <w:t>minimum.</w:t>
      </w:r>
      <w:r w:rsidR="005601BF">
        <w:rPr>
          <w:spacing w:val="-2"/>
        </w:rPr>
        <w:t xml:space="preserve"> Burden could not be further reduced for small business as the information collected is the minimum amount to process transactions. </w:t>
      </w:r>
    </w:p>
    <w:p w:rsidR="000B70F9" w14:paraId="4AB1A580" w14:textId="77777777">
      <w:pPr>
        <w:pStyle w:val="BodyText"/>
      </w:pPr>
    </w:p>
    <w:p w:rsidR="000B70F9" w14:paraId="1C26F5E5" w14:textId="77777777">
      <w:pPr>
        <w:pStyle w:val="ListParagraph"/>
        <w:numPr>
          <w:ilvl w:val="1"/>
          <w:numId w:val="1"/>
        </w:numPr>
        <w:tabs>
          <w:tab w:val="left" w:pos="1559"/>
          <w:tab w:val="left" w:pos="1560"/>
        </w:tabs>
        <w:ind w:right="518" w:hanging="720"/>
        <w:rPr>
          <w:u w:val="none"/>
        </w:rPr>
      </w:pPr>
      <w:r>
        <w:t>Consequences</w:t>
      </w:r>
      <w:r>
        <w:rPr>
          <w:spacing w:val="-4"/>
        </w:rPr>
        <w:t xml:space="preserve"> </w:t>
      </w:r>
      <w:r>
        <w:t>to</w:t>
      </w:r>
      <w:r>
        <w:rPr>
          <w:spacing w:val="-4"/>
        </w:rPr>
        <w:t xml:space="preserve"> </w:t>
      </w:r>
      <w:r>
        <w:t>Federal</w:t>
      </w:r>
      <w:r>
        <w:rPr>
          <w:spacing w:val="-4"/>
        </w:rPr>
        <w:t xml:space="preserve"> </w:t>
      </w:r>
      <w:r>
        <w:t>Program</w:t>
      </w:r>
      <w:r>
        <w:rPr>
          <w:spacing w:val="-3"/>
        </w:rPr>
        <w:t xml:space="preserve"> </w:t>
      </w:r>
      <w:r>
        <w:t>or</w:t>
      </w:r>
      <w:r>
        <w:rPr>
          <w:spacing w:val="-4"/>
        </w:rPr>
        <w:t xml:space="preserve"> </w:t>
      </w:r>
      <w:r>
        <w:t>Policy</w:t>
      </w:r>
      <w:r>
        <w:rPr>
          <w:spacing w:val="-4"/>
        </w:rPr>
        <w:t xml:space="preserve"> </w:t>
      </w:r>
      <w:r>
        <w:t>Activities</w:t>
      </w:r>
      <w:r>
        <w:rPr>
          <w:spacing w:val="-4"/>
        </w:rPr>
        <w:t xml:space="preserve"> </w:t>
      </w:r>
      <w:r>
        <w:t>if</w:t>
      </w:r>
      <w:r>
        <w:rPr>
          <w:spacing w:val="-4"/>
        </w:rPr>
        <w:t xml:space="preserve"> </w:t>
      </w:r>
      <w:r>
        <w:t>the</w:t>
      </w:r>
      <w:r>
        <w:rPr>
          <w:spacing w:val="-5"/>
        </w:rPr>
        <w:t xml:space="preserve"> </w:t>
      </w:r>
      <w:r>
        <w:t>Collection</w:t>
      </w:r>
      <w:r>
        <w:rPr>
          <w:spacing w:val="-4"/>
        </w:rPr>
        <w:t xml:space="preserve"> </w:t>
      </w:r>
      <w:r>
        <w:t>Is</w:t>
      </w:r>
      <w:r>
        <w:rPr>
          <w:spacing w:val="-4"/>
        </w:rPr>
        <w:t xml:space="preserve"> </w:t>
      </w:r>
      <w:r>
        <w:t>Not</w:t>
      </w:r>
      <w:r>
        <w:rPr>
          <w:u w:val="none"/>
        </w:rPr>
        <w:t xml:space="preserve"> </w:t>
      </w:r>
      <w:r>
        <w:t>Conducted or Is Conducted Less Frequently</w:t>
      </w:r>
    </w:p>
    <w:p w:rsidR="000B70F9" w14:paraId="1DB4163B" w14:textId="77777777">
      <w:pPr>
        <w:pStyle w:val="BodyText"/>
        <w:rPr>
          <w:sz w:val="14"/>
        </w:rPr>
      </w:pPr>
    </w:p>
    <w:p w:rsidR="0032279E" w:rsidP="006E5E33" w14:paraId="20C58637" w14:textId="77777777">
      <w:pPr>
        <w:pStyle w:val="BodyText"/>
        <w:spacing w:before="93"/>
        <w:ind w:left="1560" w:right="106"/>
      </w:pPr>
      <w:r w:rsidRPr="00FF2A8A">
        <w:t xml:space="preserve">Under </w:t>
      </w:r>
      <w:r w:rsidR="006E5E33">
        <w:t xml:space="preserve">the </w:t>
      </w:r>
      <w:hyperlink r:id="rId10" w:history="1">
        <w:r w:rsidRPr="006E5E33" w:rsidR="006E5E33">
          <w:rPr>
            <w:rStyle w:val="Hyperlink"/>
          </w:rPr>
          <w:t>Nuclear Energy Innovation and Modernization Act (NEIMA)</w:t>
        </w:r>
      </w:hyperlink>
      <w:r w:rsidRPr="00FF2A8A">
        <w:t>, the NRC must recover, to the maximum extent practicable, approximately 100 percent of its annual budget authority, less the budget authority for activities excluded from fee recovery.</w:t>
      </w:r>
    </w:p>
    <w:p w:rsidR="006E5E33" w:rsidRPr="00FF2A8A" w:rsidP="006E5E33" w14:paraId="54BAA8F9" w14:textId="77777777">
      <w:pPr>
        <w:pStyle w:val="BodyText"/>
        <w:spacing w:before="93"/>
        <w:ind w:left="1560" w:right="106"/>
      </w:pPr>
    </w:p>
    <w:p w:rsidR="0032279E" w:rsidRPr="00FF2A8A" w:rsidP="0032279E" w14:paraId="17F12CC1" w14:textId="77777777">
      <w:pPr>
        <w:pStyle w:val="BodyText"/>
        <w:spacing w:before="93"/>
        <w:ind w:left="1560" w:right="106"/>
        <w:rPr>
          <w:spacing w:val="-2"/>
        </w:rPr>
      </w:pPr>
      <w:r>
        <w:t xml:space="preserve">Licensees, applicants and individuals will continue to have </w:t>
      </w:r>
      <w:r w:rsidR="009713DB">
        <w:t xml:space="preserve">four </w:t>
      </w:r>
      <w:r>
        <w:t>options open to them to pay future bills and invoices mailed to them.</w:t>
      </w:r>
      <w:r>
        <w:rPr>
          <w:spacing w:val="80"/>
        </w:rPr>
        <w:t xml:space="preserve"> </w:t>
      </w:r>
      <w:r w:rsidR="007C1BA2">
        <w:rPr>
          <w:spacing w:val="-2"/>
        </w:rPr>
        <w:t>Pay.gov</w:t>
      </w:r>
      <w:r w:rsidR="001236BB">
        <w:rPr>
          <w:spacing w:val="-2"/>
        </w:rPr>
        <w:t xml:space="preserve"> offers licensees four payment options, Bank account (ACH), PayPal, Venmo, and Debit or Credit Card.</w:t>
      </w:r>
      <w:r>
        <w:rPr>
          <w:spacing w:val="-2"/>
        </w:rPr>
        <w:t xml:space="preserve"> </w:t>
      </w:r>
      <w:r w:rsidRPr="00FF2A8A">
        <w:rPr>
          <w:spacing w:val="-2"/>
        </w:rPr>
        <w:t>Licensees may also pay via FedWire (instructions are in the Payment Methods Brochure) and set up automatic ACH through their banks (Form 628</w:t>
      </w:r>
      <w:r>
        <w:rPr>
          <w:spacing w:val="-2"/>
        </w:rPr>
        <w:t xml:space="preserve"> has NRC banking information which is </w:t>
      </w:r>
      <w:r w:rsidRPr="00FF2A8A">
        <w:rPr>
          <w:spacing w:val="-2"/>
        </w:rPr>
        <w:t xml:space="preserve">provided </w:t>
      </w:r>
      <w:r>
        <w:rPr>
          <w:spacing w:val="-2"/>
        </w:rPr>
        <w:t xml:space="preserve">to the licensee </w:t>
      </w:r>
      <w:r w:rsidRPr="00FF2A8A">
        <w:rPr>
          <w:spacing w:val="-2"/>
        </w:rPr>
        <w:t xml:space="preserve">upon </w:t>
      </w:r>
      <w:r>
        <w:rPr>
          <w:spacing w:val="-2"/>
        </w:rPr>
        <w:t>r</w:t>
      </w:r>
      <w:r w:rsidRPr="00FF2A8A">
        <w:rPr>
          <w:spacing w:val="-2"/>
        </w:rPr>
        <w:t>equest</w:t>
      </w:r>
      <w:r>
        <w:rPr>
          <w:spacing w:val="-2"/>
        </w:rPr>
        <w:t xml:space="preserve"> and no information is collected via Form 628 from the public</w:t>
      </w:r>
      <w:r w:rsidRPr="00FF2A8A">
        <w:rPr>
          <w:spacing w:val="-2"/>
        </w:rPr>
        <w:t>). This info</w:t>
      </w:r>
      <w:r>
        <w:rPr>
          <w:spacing w:val="-2"/>
        </w:rPr>
        <w:t>rmation</w:t>
      </w:r>
      <w:r w:rsidRPr="00FF2A8A">
        <w:rPr>
          <w:spacing w:val="-2"/>
        </w:rPr>
        <w:t xml:space="preserve"> is outlined in the Payment Methods Brochure.</w:t>
      </w:r>
    </w:p>
    <w:p w:rsidR="000B70F9" w14:paraId="1A4EA8DB" w14:textId="77777777">
      <w:pPr>
        <w:pStyle w:val="BodyText"/>
        <w:spacing w:before="93"/>
        <w:ind w:left="1560" w:right="106"/>
      </w:pPr>
    </w:p>
    <w:p w:rsidR="000B70F9" w14:paraId="56B08AA3" w14:textId="77777777">
      <w:pPr>
        <w:pStyle w:val="ListParagraph"/>
        <w:numPr>
          <w:ilvl w:val="1"/>
          <w:numId w:val="1"/>
        </w:numPr>
        <w:tabs>
          <w:tab w:val="left" w:pos="1560"/>
          <w:tab w:val="left" w:pos="1561"/>
        </w:tabs>
        <w:rPr>
          <w:u w:val="none"/>
        </w:rPr>
      </w:pPr>
      <w:r>
        <w:t>Circumstances</w:t>
      </w:r>
      <w:r>
        <w:rPr>
          <w:spacing w:val="-8"/>
        </w:rPr>
        <w:t xml:space="preserve"> </w:t>
      </w:r>
      <w:r>
        <w:t>which</w:t>
      </w:r>
      <w:r>
        <w:rPr>
          <w:spacing w:val="-8"/>
        </w:rPr>
        <w:t xml:space="preserve"> </w:t>
      </w:r>
      <w:r>
        <w:t>Justify</w:t>
      </w:r>
      <w:r>
        <w:rPr>
          <w:spacing w:val="-8"/>
        </w:rPr>
        <w:t xml:space="preserve"> </w:t>
      </w:r>
      <w:r>
        <w:t>Variation</w:t>
      </w:r>
      <w:r>
        <w:rPr>
          <w:spacing w:val="-7"/>
        </w:rPr>
        <w:t xml:space="preserve"> </w:t>
      </w:r>
      <w:r>
        <w:t>from</w:t>
      </w:r>
      <w:r>
        <w:rPr>
          <w:spacing w:val="-8"/>
        </w:rPr>
        <w:t xml:space="preserve"> </w:t>
      </w:r>
      <w:r>
        <w:t>OMB</w:t>
      </w:r>
      <w:r>
        <w:rPr>
          <w:spacing w:val="-8"/>
        </w:rPr>
        <w:t xml:space="preserve"> </w:t>
      </w:r>
      <w:r>
        <w:rPr>
          <w:spacing w:val="-2"/>
        </w:rPr>
        <w:t>Guidelines</w:t>
      </w:r>
    </w:p>
    <w:p w:rsidR="000B70F9" w14:paraId="4DC36814" w14:textId="77777777">
      <w:pPr>
        <w:pStyle w:val="BodyText"/>
        <w:rPr>
          <w:sz w:val="14"/>
        </w:rPr>
      </w:pPr>
    </w:p>
    <w:p w:rsidR="000B70F9" w14:paraId="5C7CB170" w14:textId="77777777">
      <w:pPr>
        <w:pStyle w:val="BodyText"/>
        <w:spacing w:before="93"/>
        <w:ind w:left="1560"/>
      </w:pPr>
      <w:r>
        <w:t>Not</w:t>
      </w:r>
      <w:r>
        <w:rPr>
          <w:spacing w:val="-4"/>
        </w:rPr>
        <w:t xml:space="preserve"> </w:t>
      </w:r>
      <w:r>
        <w:rPr>
          <w:spacing w:val="-2"/>
        </w:rPr>
        <w:t>Applicable.</w:t>
      </w:r>
    </w:p>
    <w:p w:rsidR="000B70F9" w14:paraId="36AFFE4A" w14:textId="77777777">
      <w:pPr>
        <w:pStyle w:val="BodyText"/>
      </w:pPr>
    </w:p>
    <w:p w:rsidR="000B70F9" w14:paraId="18BB263E" w14:textId="77777777">
      <w:pPr>
        <w:pStyle w:val="ListParagraph"/>
        <w:numPr>
          <w:ilvl w:val="1"/>
          <w:numId w:val="1"/>
        </w:numPr>
        <w:tabs>
          <w:tab w:val="left" w:pos="1559"/>
          <w:tab w:val="left" w:pos="1560"/>
        </w:tabs>
        <w:ind w:left="1559"/>
        <w:rPr>
          <w:u w:val="none"/>
        </w:rPr>
      </w:pPr>
      <w:r>
        <w:t>Consultations</w:t>
      </w:r>
      <w:r>
        <w:rPr>
          <w:spacing w:val="-8"/>
        </w:rPr>
        <w:t xml:space="preserve"> </w:t>
      </w:r>
      <w:r>
        <w:t>Outside</w:t>
      </w:r>
      <w:r>
        <w:rPr>
          <w:spacing w:val="-8"/>
        </w:rPr>
        <w:t xml:space="preserve"> </w:t>
      </w:r>
      <w:r>
        <w:t>the</w:t>
      </w:r>
      <w:r>
        <w:rPr>
          <w:spacing w:val="-8"/>
        </w:rPr>
        <w:t xml:space="preserve"> </w:t>
      </w:r>
      <w:r>
        <w:rPr>
          <w:spacing w:val="-4"/>
        </w:rPr>
        <w:t>NRC</w:t>
      </w:r>
      <w:r>
        <w:rPr>
          <w:spacing w:val="-4"/>
          <w:u w:val="none"/>
        </w:rPr>
        <w:t>.</w:t>
      </w:r>
    </w:p>
    <w:p w:rsidR="000B70F9" w14:paraId="5EB6C554" w14:textId="77777777">
      <w:pPr>
        <w:pStyle w:val="BodyText"/>
        <w:spacing w:before="10"/>
        <w:rPr>
          <w:sz w:val="13"/>
        </w:rPr>
      </w:pPr>
    </w:p>
    <w:p w:rsidR="00E277FC" w:rsidRPr="00206C98" w:rsidP="00206C98" w14:paraId="24BD192F" w14:textId="77777777">
      <w:pPr>
        <w:pStyle w:val="ListParagraph"/>
        <w:tabs>
          <w:tab w:val="left" w:pos="1559"/>
        </w:tabs>
        <w:ind w:firstLine="0"/>
        <w:rPr>
          <w:u w:val="none"/>
        </w:rPr>
      </w:pPr>
      <w:r w:rsidRPr="009722F7">
        <w:rPr>
          <w:u w:val="none"/>
        </w:rPr>
        <w:t>Opportunity for public comment on the information collection requirements for this clearance package was published In the </w:t>
      </w:r>
      <w:r w:rsidRPr="009722F7">
        <w:rPr>
          <w:i/>
          <w:iCs/>
          <w:u w:val="none"/>
        </w:rPr>
        <w:t>Federal Register</w:t>
      </w:r>
      <w:r w:rsidRPr="009722F7">
        <w:rPr>
          <w:u w:val="none"/>
        </w:rPr>
        <w:t> on </w:t>
      </w:r>
      <w:r w:rsidR="00EB4C80">
        <w:rPr>
          <w:u w:val="none"/>
        </w:rPr>
        <w:t>May 14, 2026</w:t>
      </w:r>
      <w:r w:rsidR="00141DC0">
        <w:rPr>
          <w:u w:val="none"/>
        </w:rPr>
        <w:t xml:space="preserve"> </w:t>
      </w:r>
      <w:r w:rsidR="00141DC0">
        <w:rPr>
          <w:u w:val="none"/>
        </w:rPr>
        <w:t>(91FR27376)</w:t>
      </w:r>
      <w:r w:rsidRPr="009722F7">
        <w:rPr>
          <w:u w:val="none"/>
        </w:rPr>
        <w:t>.  </w:t>
      </w:r>
      <w:r w:rsidR="005A7704">
        <w:rPr>
          <w:u w:val="none"/>
        </w:rPr>
        <w:t xml:space="preserve">As part of </w:t>
      </w:r>
      <w:r w:rsidR="00B1754A">
        <w:rPr>
          <w:u w:val="none"/>
        </w:rPr>
        <w:t xml:space="preserve">the public consultation process four </w:t>
      </w:r>
      <w:r w:rsidR="00AC44AD">
        <w:rPr>
          <w:u w:val="none"/>
        </w:rPr>
        <w:t xml:space="preserve">NRC licensees </w:t>
      </w:r>
      <w:r w:rsidR="00486D16">
        <w:rPr>
          <w:u w:val="none"/>
        </w:rPr>
        <w:t xml:space="preserve">were contacted via email. </w:t>
      </w:r>
      <w:r w:rsidRPr="00206C98">
        <w:rPr>
          <w:u w:val="none"/>
        </w:rPr>
        <w:t>No comments were received.</w:t>
      </w:r>
    </w:p>
    <w:p w:rsidR="005F5FCE" w:rsidRPr="005F5FCE" w:rsidP="005F5FCE" w14:paraId="057BE89C" w14:textId="77777777">
      <w:pPr>
        <w:pStyle w:val="ListParagraph"/>
        <w:tabs>
          <w:tab w:val="left" w:pos="1559"/>
        </w:tabs>
        <w:ind w:firstLine="0"/>
        <w:rPr>
          <w:u w:val="none"/>
        </w:rPr>
      </w:pPr>
    </w:p>
    <w:p w:rsidR="000B70F9" w:rsidP="00197528" w14:paraId="7D97558D" w14:textId="77777777">
      <w:pPr>
        <w:pStyle w:val="ListParagraph"/>
        <w:numPr>
          <w:ilvl w:val="1"/>
          <w:numId w:val="1"/>
        </w:numPr>
        <w:tabs>
          <w:tab w:val="left" w:pos="1559"/>
        </w:tabs>
        <w:ind w:left="1559" w:hanging="720"/>
        <w:rPr>
          <w:u w:val="none"/>
        </w:rPr>
      </w:pPr>
      <w:r>
        <w:t>P</w:t>
      </w:r>
      <w:r w:rsidR="007C41F1">
        <w:t>ayment</w:t>
      </w:r>
      <w:r w:rsidR="007C41F1">
        <w:rPr>
          <w:spacing w:val="-5"/>
        </w:rPr>
        <w:t xml:space="preserve"> </w:t>
      </w:r>
      <w:r w:rsidR="007C41F1">
        <w:t>or</w:t>
      </w:r>
      <w:r w:rsidR="007C41F1">
        <w:rPr>
          <w:spacing w:val="-4"/>
        </w:rPr>
        <w:t xml:space="preserve"> </w:t>
      </w:r>
      <w:r w:rsidR="007C41F1">
        <w:t>Gift</w:t>
      </w:r>
      <w:r w:rsidR="007C41F1">
        <w:rPr>
          <w:spacing w:val="-4"/>
        </w:rPr>
        <w:t xml:space="preserve"> </w:t>
      </w:r>
      <w:r w:rsidR="007C41F1">
        <w:t>to</w:t>
      </w:r>
      <w:r w:rsidR="007C41F1">
        <w:rPr>
          <w:spacing w:val="-4"/>
        </w:rPr>
        <w:t xml:space="preserve"> </w:t>
      </w:r>
      <w:r w:rsidR="007C41F1">
        <w:rPr>
          <w:spacing w:val="-2"/>
        </w:rPr>
        <w:t>Respondents</w:t>
      </w:r>
    </w:p>
    <w:p w:rsidR="000B70F9" w14:paraId="31B9FADC" w14:textId="77777777">
      <w:pPr>
        <w:pStyle w:val="BodyText"/>
        <w:spacing w:before="11"/>
        <w:rPr>
          <w:sz w:val="13"/>
        </w:rPr>
      </w:pPr>
    </w:p>
    <w:p w:rsidR="000B70F9" w14:paraId="46D98E7B" w14:textId="77777777">
      <w:pPr>
        <w:pStyle w:val="BodyText"/>
        <w:spacing w:before="92"/>
        <w:ind w:left="1560"/>
      </w:pPr>
      <w:r>
        <w:t>Not</w:t>
      </w:r>
      <w:r>
        <w:rPr>
          <w:spacing w:val="-4"/>
        </w:rPr>
        <w:t xml:space="preserve"> </w:t>
      </w:r>
      <w:r>
        <w:rPr>
          <w:spacing w:val="-2"/>
        </w:rPr>
        <w:t>Applicable.</w:t>
      </w:r>
    </w:p>
    <w:p w:rsidR="000B70F9" w14:paraId="233BE63E" w14:textId="77777777">
      <w:pPr>
        <w:pStyle w:val="BodyText"/>
      </w:pPr>
    </w:p>
    <w:p w:rsidR="000B70F9" w14:paraId="4BFC9F08" w14:textId="77777777">
      <w:pPr>
        <w:pStyle w:val="ListParagraph"/>
        <w:numPr>
          <w:ilvl w:val="1"/>
          <w:numId w:val="1"/>
        </w:numPr>
        <w:tabs>
          <w:tab w:val="left" w:pos="1559"/>
          <w:tab w:val="left" w:pos="1560"/>
        </w:tabs>
        <w:spacing w:before="1"/>
        <w:ind w:left="1559"/>
        <w:rPr>
          <w:u w:val="none"/>
        </w:rPr>
      </w:pPr>
      <w:r>
        <w:t>Confidentiality</w:t>
      </w:r>
      <w:r>
        <w:rPr>
          <w:spacing w:val="-7"/>
        </w:rPr>
        <w:t xml:space="preserve"> </w:t>
      </w:r>
      <w:r>
        <w:t>of</w:t>
      </w:r>
      <w:r>
        <w:rPr>
          <w:spacing w:val="-6"/>
        </w:rPr>
        <w:t xml:space="preserve"> </w:t>
      </w:r>
      <w:r>
        <w:t>the</w:t>
      </w:r>
      <w:r>
        <w:rPr>
          <w:spacing w:val="-6"/>
        </w:rPr>
        <w:t xml:space="preserve"> </w:t>
      </w:r>
      <w:r>
        <w:rPr>
          <w:spacing w:val="-2"/>
        </w:rPr>
        <w:t>Information</w:t>
      </w:r>
    </w:p>
    <w:p w:rsidR="000B70F9" w14:paraId="356DCCD3" w14:textId="77777777">
      <w:pPr>
        <w:pStyle w:val="BodyText"/>
        <w:spacing w:before="10"/>
        <w:rPr>
          <w:sz w:val="13"/>
        </w:rPr>
      </w:pPr>
    </w:p>
    <w:p w:rsidR="00385544" w:rsidRPr="008F65CB" w:rsidP="008F65CB" w14:paraId="5057891A" w14:textId="77777777">
      <w:pPr>
        <w:pStyle w:val="ListParagraph"/>
        <w:tabs>
          <w:tab w:val="left" w:pos="1559"/>
          <w:tab w:val="left" w:pos="1560"/>
        </w:tabs>
        <w:spacing w:before="149"/>
        <w:ind w:firstLine="0"/>
        <w:rPr>
          <w:u w:val="none"/>
        </w:rPr>
      </w:pPr>
      <w:r w:rsidRPr="008F65CB">
        <w:rPr>
          <w:u w:val="none"/>
        </w:rPr>
        <w:t>Confidential</w:t>
      </w:r>
      <w:r w:rsidRPr="008F65CB">
        <w:rPr>
          <w:spacing w:val="-6"/>
          <w:u w:val="none"/>
        </w:rPr>
        <w:t xml:space="preserve"> </w:t>
      </w:r>
      <w:r w:rsidRPr="008F65CB">
        <w:rPr>
          <w:u w:val="none"/>
        </w:rPr>
        <w:t>and</w:t>
      </w:r>
      <w:r w:rsidRPr="008F65CB">
        <w:rPr>
          <w:spacing w:val="-5"/>
          <w:u w:val="none"/>
        </w:rPr>
        <w:t xml:space="preserve"> </w:t>
      </w:r>
      <w:r w:rsidRPr="008F65CB">
        <w:rPr>
          <w:u w:val="none"/>
        </w:rPr>
        <w:t>proprietary</w:t>
      </w:r>
      <w:r w:rsidRPr="008F65CB">
        <w:rPr>
          <w:spacing w:val="-5"/>
          <w:u w:val="none"/>
        </w:rPr>
        <w:t xml:space="preserve"> </w:t>
      </w:r>
      <w:r w:rsidRPr="008F65CB">
        <w:rPr>
          <w:u w:val="none"/>
        </w:rPr>
        <w:t>information</w:t>
      </w:r>
      <w:r w:rsidRPr="008F65CB">
        <w:rPr>
          <w:spacing w:val="-5"/>
          <w:u w:val="none"/>
        </w:rPr>
        <w:t xml:space="preserve"> </w:t>
      </w:r>
      <w:r w:rsidRPr="008F65CB">
        <w:rPr>
          <w:u w:val="none"/>
        </w:rPr>
        <w:t>is</w:t>
      </w:r>
      <w:r w:rsidRPr="008F65CB">
        <w:rPr>
          <w:spacing w:val="-5"/>
          <w:u w:val="none"/>
        </w:rPr>
        <w:t xml:space="preserve"> </w:t>
      </w:r>
      <w:r w:rsidRPr="008F65CB">
        <w:rPr>
          <w:u w:val="none"/>
        </w:rPr>
        <w:t>protected</w:t>
      </w:r>
      <w:r w:rsidRPr="008F65CB">
        <w:rPr>
          <w:spacing w:val="-5"/>
          <w:u w:val="none"/>
        </w:rPr>
        <w:t xml:space="preserve"> </w:t>
      </w:r>
      <w:r w:rsidRPr="008F65CB">
        <w:rPr>
          <w:u w:val="none"/>
        </w:rPr>
        <w:t>in</w:t>
      </w:r>
      <w:r w:rsidRPr="008F65CB">
        <w:rPr>
          <w:spacing w:val="-5"/>
          <w:u w:val="none"/>
        </w:rPr>
        <w:t xml:space="preserve"> </w:t>
      </w:r>
      <w:r w:rsidRPr="008F65CB">
        <w:rPr>
          <w:u w:val="none"/>
        </w:rPr>
        <w:t>accordance</w:t>
      </w:r>
      <w:r w:rsidRPr="008F65CB">
        <w:rPr>
          <w:spacing w:val="-5"/>
          <w:u w:val="none"/>
        </w:rPr>
        <w:t xml:space="preserve"> </w:t>
      </w:r>
      <w:r w:rsidRPr="008F65CB">
        <w:rPr>
          <w:u w:val="none"/>
        </w:rPr>
        <w:t>with</w:t>
      </w:r>
      <w:r w:rsidRPr="008F65CB">
        <w:rPr>
          <w:spacing w:val="-5"/>
          <w:u w:val="none"/>
        </w:rPr>
        <w:t xml:space="preserve"> </w:t>
      </w:r>
      <w:r w:rsidRPr="008F65CB">
        <w:rPr>
          <w:u w:val="none"/>
        </w:rPr>
        <w:t>NRC regulations at 10 CFR 9.17(a) and 10 CFR 2.390(b).</w:t>
      </w:r>
    </w:p>
    <w:p w:rsidR="000B70F9" w14:paraId="49338B1A" w14:textId="77777777">
      <w:pPr>
        <w:pStyle w:val="ListParagraph"/>
        <w:numPr>
          <w:ilvl w:val="1"/>
          <w:numId w:val="1"/>
        </w:numPr>
        <w:tabs>
          <w:tab w:val="left" w:pos="1559"/>
          <w:tab w:val="left" w:pos="1560"/>
        </w:tabs>
        <w:spacing w:before="149"/>
        <w:ind w:left="1559" w:hanging="720"/>
        <w:rPr>
          <w:u w:val="none"/>
        </w:rPr>
      </w:pPr>
      <w:r>
        <w:t>Justification</w:t>
      </w:r>
      <w:r>
        <w:rPr>
          <w:spacing w:val="-9"/>
        </w:rPr>
        <w:t xml:space="preserve"> </w:t>
      </w:r>
      <w:r>
        <w:t>for</w:t>
      </w:r>
      <w:r>
        <w:rPr>
          <w:spacing w:val="-8"/>
        </w:rPr>
        <w:t xml:space="preserve"> </w:t>
      </w:r>
      <w:r>
        <w:t>Sensitive</w:t>
      </w:r>
      <w:r>
        <w:rPr>
          <w:spacing w:val="-7"/>
        </w:rPr>
        <w:t xml:space="preserve"> </w:t>
      </w:r>
      <w:r>
        <w:rPr>
          <w:spacing w:val="-2"/>
        </w:rPr>
        <w:t>Questions</w:t>
      </w:r>
    </w:p>
    <w:p w:rsidR="000B70F9" w14:paraId="596C4A6C" w14:textId="77777777">
      <w:pPr>
        <w:pStyle w:val="BodyText"/>
        <w:spacing w:before="10"/>
        <w:rPr>
          <w:sz w:val="13"/>
        </w:rPr>
      </w:pPr>
    </w:p>
    <w:p w:rsidR="000B70F9" w14:paraId="2A6FF33E" w14:textId="77777777">
      <w:pPr>
        <w:pStyle w:val="BodyText"/>
        <w:spacing w:before="93"/>
        <w:ind w:left="1560"/>
      </w:pPr>
      <w:r>
        <w:t>Not</w:t>
      </w:r>
      <w:r>
        <w:rPr>
          <w:spacing w:val="-4"/>
        </w:rPr>
        <w:t xml:space="preserve"> </w:t>
      </w:r>
      <w:r>
        <w:rPr>
          <w:spacing w:val="-2"/>
        </w:rPr>
        <w:t>applicable.</w:t>
      </w:r>
    </w:p>
    <w:p w:rsidR="000B70F9" w14:paraId="23D35B7B" w14:textId="77777777">
      <w:pPr>
        <w:pStyle w:val="BodyText"/>
      </w:pPr>
    </w:p>
    <w:p w:rsidR="000B70F9" w14:paraId="7E693BDF" w14:textId="77777777">
      <w:pPr>
        <w:pStyle w:val="ListParagraph"/>
        <w:numPr>
          <w:ilvl w:val="1"/>
          <w:numId w:val="1"/>
        </w:numPr>
        <w:tabs>
          <w:tab w:val="left" w:pos="1559"/>
          <w:tab w:val="left" w:pos="1560"/>
        </w:tabs>
        <w:ind w:left="1559"/>
        <w:rPr>
          <w:u w:val="none"/>
        </w:rPr>
      </w:pPr>
      <w:r>
        <w:t>Estimate</w:t>
      </w:r>
      <w:r>
        <w:rPr>
          <w:spacing w:val="-7"/>
        </w:rPr>
        <w:t xml:space="preserve"> </w:t>
      </w:r>
      <w:r>
        <w:t>of</w:t>
      </w:r>
      <w:r>
        <w:rPr>
          <w:spacing w:val="-6"/>
        </w:rPr>
        <w:t xml:space="preserve"> </w:t>
      </w:r>
      <w:r>
        <w:t>Annualized</w:t>
      </w:r>
      <w:r>
        <w:rPr>
          <w:spacing w:val="-7"/>
        </w:rPr>
        <w:t xml:space="preserve"> </w:t>
      </w:r>
      <w:r>
        <w:t>Burden</w:t>
      </w:r>
      <w:r>
        <w:rPr>
          <w:spacing w:val="-7"/>
        </w:rPr>
        <w:t xml:space="preserve"> </w:t>
      </w:r>
      <w:r>
        <w:t>and</w:t>
      </w:r>
      <w:r>
        <w:rPr>
          <w:spacing w:val="-6"/>
        </w:rPr>
        <w:t xml:space="preserve"> </w:t>
      </w:r>
      <w:r>
        <w:t>Burden</w:t>
      </w:r>
      <w:r>
        <w:rPr>
          <w:spacing w:val="-6"/>
        </w:rPr>
        <w:t xml:space="preserve"> </w:t>
      </w:r>
      <w:r>
        <w:t>Hour</w:t>
      </w:r>
      <w:r>
        <w:rPr>
          <w:spacing w:val="-6"/>
        </w:rPr>
        <w:t xml:space="preserve"> </w:t>
      </w:r>
      <w:r>
        <w:rPr>
          <w:spacing w:val="-4"/>
        </w:rPr>
        <w:t>Cost</w:t>
      </w:r>
    </w:p>
    <w:p w:rsidR="000B70F9" w14:paraId="262AD113" w14:textId="77777777">
      <w:pPr>
        <w:pStyle w:val="BodyText"/>
        <w:rPr>
          <w:sz w:val="14"/>
        </w:rPr>
      </w:pPr>
    </w:p>
    <w:p w:rsidR="000B70F9" w14:paraId="53A39181" w14:textId="77777777">
      <w:pPr>
        <w:pStyle w:val="BodyText"/>
        <w:spacing w:before="93"/>
        <w:ind w:left="1560" w:right="130"/>
      </w:pPr>
      <w:r>
        <w:t>I</w:t>
      </w:r>
      <w:r w:rsidR="00BF19D8">
        <w:t>t</w:t>
      </w:r>
      <w:r w:rsidR="00BF19D8">
        <w:rPr>
          <w:spacing w:val="-5"/>
        </w:rPr>
        <w:t xml:space="preserve"> </w:t>
      </w:r>
      <w:r w:rsidR="00BF19D8">
        <w:t>is</w:t>
      </w:r>
      <w:r w:rsidR="00BF19D8">
        <w:rPr>
          <w:spacing w:val="-5"/>
        </w:rPr>
        <w:t xml:space="preserve"> </w:t>
      </w:r>
      <w:r w:rsidR="00BF19D8">
        <w:t>estimated</w:t>
      </w:r>
      <w:r w:rsidR="00BF19D8">
        <w:rPr>
          <w:spacing w:val="-5"/>
        </w:rPr>
        <w:t xml:space="preserve"> </w:t>
      </w:r>
      <w:r w:rsidR="00BF19D8">
        <w:t>that</w:t>
      </w:r>
      <w:r w:rsidR="00BF19D8">
        <w:rPr>
          <w:spacing w:val="-5"/>
        </w:rPr>
        <w:t xml:space="preserve"> </w:t>
      </w:r>
      <w:r w:rsidR="00BF19D8">
        <w:t>it</w:t>
      </w:r>
      <w:r w:rsidR="00BF19D8">
        <w:rPr>
          <w:spacing w:val="-5"/>
        </w:rPr>
        <w:t xml:space="preserve"> </w:t>
      </w:r>
      <w:r w:rsidR="00BF19D8">
        <w:t>takes</w:t>
      </w:r>
      <w:r w:rsidR="00BF19D8">
        <w:rPr>
          <w:spacing w:val="-4"/>
        </w:rPr>
        <w:t xml:space="preserve"> </w:t>
      </w:r>
      <w:r w:rsidR="00BF19D8">
        <w:t xml:space="preserve">approximately 10 minutes to read the instructions and complete the </w:t>
      </w:r>
      <w:r>
        <w:t xml:space="preserve">authorization for payment in </w:t>
      </w:r>
      <w:r w:rsidR="007C1BA2">
        <w:t>Pay.gov</w:t>
      </w:r>
      <w:r w:rsidRPr="00BB49FC" w:rsidR="00BF19D8">
        <w:t>.</w:t>
      </w:r>
      <w:r w:rsidRPr="00BB49FC" w:rsidR="00BF19D8">
        <w:rPr>
          <w:spacing w:val="40"/>
        </w:rPr>
        <w:t xml:space="preserve"> </w:t>
      </w:r>
      <w:r w:rsidRPr="00BB49FC" w:rsidR="00BF19D8">
        <w:t xml:space="preserve">It is estimated that approximately </w:t>
      </w:r>
      <w:r w:rsidRPr="00356A3D" w:rsidR="00A06F09">
        <w:t>7</w:t>
      </w:r>
      <w:r w:rsidRPr="00BB49FC" w:rsidR="00BF19D8">
        <w:t xml:space="preserve">00 forms will be completed annually with an estimated burden of </w:t>
      </w:r>
      <w:r w:rsidRPr="00BB49FC" w:rsidR="00A06F09">
        <w:t xml:space="preserve">116 </w:t>
      </w:r>
      <w:r w:rsidRPr="00BB49FC" w:rsidR="00BF19D8">
        <w:t>hours (</w:t>
      </w:r>
      <w:r w:rsidRPr="00BB49FC" w:rsidR="00A06F09">
        <w:t>7</w:t>
      </w:r>
      <w:r w:rsidRPr="00BB49FC" w:rsidR="00BF19D8">
        <w:t xml:space="preserve">00 forms x (10/60) = </w:t>
      </w:r>
      <w:r w:rsidRPr="00BB49FC" w:rsidR="00A06F09">
        <w:t>116</w:t>
      </w:r>
      <w:r w:rsidRPr="00BB49FC" w:rsidR="00BF19D8">
        <w:t xml:space="preserve"> hours).</w:t>
      </w:r>
      <w:r w:rsidRPr="00BB49FC" w:rsidR="00BF19D8">
        <w:rPr>
          <w:spacing w:val="40"/>
        </w:rPr>
        <w:t xml:space="preserve"> </w:t>
      </w:r>
      <w:r w:rsidRPr="00BB49FC" w:rsidR="00BF19D8">
        <w:t>The estimated annual burden hour cost is $</w:t>
      </w:r>
      <w:r w:rsidRPr="00BB49FC" w:rsidR="00A06F09">
        <w:t>17,864</w:t>
      </w:r>
      <w:r w:rsidRPr="00BB49FC" w:rsidR="00BF19D8">
        <w:t>.00 (</w:t>
      </w:r>
      <w:r w:rsidRPr="00BB49FC" w:rsidR="00A06F09">
        <w:t xml:space="preserve">116 </w:t>
      </w:r>
      <w:r w:rsidRPr="00BB49FC" w:rsidR="00BF19D8">
        <w:t>hours x $</w:t>
      </w:r>
      <w:r w:rsidRPr="00BB49FC" w:rsidR="00F908D6">
        <w:t>154</w:t>
      </w:r>
      <w:r w:rsidRPr="00BB49FC" w:rsidR="00BF19D8">
        <w:t>).</w:t>
      </w:r>
    </w:p>
    <w:p w:rsidR="000B70F9" w14:paraId="4511E644" w14:textId="77777777">
      <w:pPr>
        <w:pStyle w:val="BodyText"/>
        <w:spacing w:before="10"/>
        <w:rPr>
          <w:sz w:val="21"/>
        </w:rPr>
      </w:pPr>
    </w:p>
    <w:p w:rsidR="00F2051B" w:rsidP="00F2051B" w14:paraId="5ABBA7D4" w14:textId="77777777">
      <w:pPr>
        <w:spacing w:before="1"/>
        <w:ind w:left="1560" w:right="130"/>
        <w:rPr>
          <w:sz w:val="24"/>
        </w:rPr>
      </w:pPr>
      <w:r w:rsidRPr="00F2051B">
        <w:rPr>
          <w:sz w:val="24"/>
        </w:rPr>
        <w:t>The NRC’s average labor rate of $154 per hour for FY 2026 was used to calculate burden costs to the public because it aligns with 2024 Bureau of Labor Statistics data showing comparable hourly mean wages across five key occupational groups (executives, management, technical staff, licensing staff, and physicists) within the nuclear industry.</w:t>
      </w:r>
    </w:p>
    <w:p w:rsidR="00356A3D" w:rsidRPr="00F2051B" w:rsidP="00F2051B" w14:paraId="6C2243C8" w14:textId="77777777">
      <w:pPr>
        <w:spacing w:before="1"/>
        <w:ind w:left="1560" w:right="130"/>
        <w:rPr>
          <w:sz w:val="24"/>
        </w:rPr>
      </w:pPr>
    </w:p>
    <w:p w:rsidR="000B70F9" w14:paraId="798F52B4" w14:textId="77777777">
      <w:pPr>
        <w:pStyle w:val="ListParagraph"/>
        <w:numPr>
          <w:ilvl w:val="1"/>
          <w:numId w:val="1"/>
        </w:numPr>
        <w:tabs>
          <w:tab w:val="left" w:pos="1559"/>
          <w:tab w:val="left" w:pos="1560"/>
        </w:tabs>
        <w:ind w:left="1559"/>
        <w:rPr>
          <w:u w:val="none"/>
        </w:rPr>
      </w:pPr>
      <w:r>
        <w:t>Estimate</w:t>
      </w:r>
      <w:r>
        <w:rPr>
          <w:spacing w:val="-7"/>
        </w:rPr>
        <w:t xml:space="preserve"> </w:t>
      </w:r>
      <w:r>
        <w:t>of</w:t>
      </w:r>
      <w:r>
        <w:rPr>
          <w:spacing w:val="-6"/>
        </w:rPr>
        <w:t xml:space="preserve"> </w:t>
      </w:r>
      <w:r>
        <w:t>Other</w:t>
      </w:r>
      <w:r>
        <w:rPr>
          <w:spacing w:val="-7"/>
        </w:rPr>
        <w:t xml:space="preserve"> </w:t>
      </w:r>
      <w:r>
        <w:t>Additional</w:t>
      </w:r>
      <w:r>
        <w:rPr>
          <w:spacing w:val="-6"/>
        </w:rPr>
        <w:t xml:space="preserve"> </w:t>
      </w:r>
      <w:r>
        <w:rPr>
          <w:spacing w:val="-2"/>
        </w:rPr>
        <w:t>Costs</w:t>
      </w:r>
    </w:p>
    <w:p w:rsidR="000B70F9" w14:paraId="0A64B7C2" w14:textId="77777777">
      <w:pPr>
        <w:pStyle w:val="BodyText"/>
        <w:rPr>
          <w:sz w:val="14"/>
        </w:rPr>
      </w:pPr>
    </w:p>
    <w:p w:rsidR="000B70F9" w:rsidP="00E277FC" w14:paraId="54EA4466" w14:textId="77777777">
      <w:pPr>
        <w:pStyle w:val="BodyText"/>
        <w:ind w:left="839" w:firstLine="720"/>
      </w:pPr>
      <w:r>
        <w:t xml:space="preserve">There </w:t>
      </w:r>
      <w:r w:rsidR="002B04C7">
        <w:t>are</w:t>
      </w:r>
      <w:r>
        <w:t xml:space="preserve"> no additional cost</w:t>
      </w:r>
      <w:r w:rsidR="002B04C7">
        <w:t>s</w:t>
      </w:r>
      <w:r w:rsidR="0019499D">
        <w:t xml:space="preserve"> since forms are no longer sent by mail</w:t>
      </w:r>
      <w:r>
        <w:t>.</w:t>
      </w:r>
    </w:p>
    <w:p w:rsidR="00E277FC" w:rsidP="00E277FC" w14:paraId="3A4EDC5D" w14:textId="77777777">
      <w:pPr>
        <w:pStyle w:val="BodyText"/>
        <w:ind w:left="839" w:firstLine="720"/>
      </w:pPr>
    </w:p>
    <w:p w:rsidR="000B70F9" w14:paraId="7E68B76B" w14:textId="77777777">
      <w:pPr>
        <w:pStyle w:val="ListParagraph"/>
        <w:numPr>
          <w:ilvl w:val="1"/>
          <w:numId w:val="1"/>
        </w:numPr>
        <w:tabs>
          <w:tab w:val="left" w:pos="1559"/>
          <w:tab w:val="left" w:pos="1560"/>
        </w:tabs>
        <w:ind w:left="1559" w:hanging="720"/>
        <w:rPr>
          <w:u w:val="none"/>
        </w:rPr>
      </w:pPr>
      <w:r>
        <w:t>Estimated</w:t>
      </w:r>
      <w:r>
        <w:rPr>
          <w:spacing w:val="-7"/>
        </w:rPr>
        <w:t xml:space="preserve"> </w:t>
      </w:r>
      <w:r>
        <w:t>Annualized</w:t>
      </w:r>
      <w:r>
        <w:rPr>
          <w:spacing w:val="-7"/>
        </w:rPr>
        <w:t xml:space="preserve"> </w:t>
      </w:r>
      <w:r>
        <w:t>Cost</w:t>
      </w:r>
      <w:r>
        <w:rPr>
          <w:spacing w:val="-7"/>
        </w:rPr>
        <w:t xml:space="preserve"> </w:t>
      </w:r>
      <w:r>
        <w:t>to</w:t>
      </w:r>
      <w:r>
        <w:rPr>
          <w:spacing w:val="-7"/>
        </w:rPr>
        <w:t xml:space="preserve"> </w:t>
      </w:r>
      <w:r>
        <w:t>the</w:t>
      </w:r>
      <w:r>
        <w:rPr>
          <w:spacing w:val="-7"/>
        </w:rPr>
        <w:t xml:space="preserve"> </w:t>
      </w:r>
      <w:r>
        <w:t>Federal</w:t>
      </w:r>
      <w:r>
        <w:rPr>
          <w:spacing w:val="-7"/>
        </w:rPr>
        <w:t xml:space="preserve"> </w:t>
      </w:r>
      <w:r>
        <w:rPr>
          <w:spacing w:val="-2"/>
        </w:rPr>
        <w:t>Government</w:t>
      </w:r>
    </w:p>
    <w:p w:rsidR="000B70F9" w14:paraId="125189B2" w14:textId="77777777">
      <w:pPr>
        <w:pStyle w:val="BodyText"/>
        <w:spacing w:before="10"/>
        <w:rPr>
          <w:sz w:val="13"/>
        </w:rPr>
      </w:pPr>
    </w:p>
    <w:p w:rsidR="000B70F9" w14:paraId="5D1C3506" w14:textId="3B833B59">
      <w:pPr>
        <w:pStyle w:val="BodyText"/>
        <w:spacing w:before="93"/>
        <w:ind w:left="1560" w:right="183"/>
      </w:pPr>
      <w:r>
        <w:t>T</w:t>
      </w:r>
      <w:r w:rsidR="00BF19D8">
        <w:t>he</w:t>
      </w:r>
      <w:r w:rsidR="00BF19D8">
        <w:rPr>
          <w:spacing w:val="-3"/>
        </w:rPr>
        <w:t xml:space="preserve"> </w:t>
      </w:r>
      <w:r w:rsidR="00BF19D8">
        <w:t>cost</w:t>
      </w:r>
      <w:r w:rsidR="00BF19D8">
        <w:rPr>
          <w:spacing w:val="-3"/>
        </w:rPr>
        <w:t xml:space="preserve"> </w:t>
      </w:r>
      <w:r>
        <w:rPr>
          <w:spacing w:val="-3"/>
        </w:rPr>
        <w:t xml:space="preserve">associated with </w:t>
      </w:r>
      <w:r w:rsidR="007C1BA2">
        <w:t>Pay.gov</w:t>
      </w:r>
      <w:r w:rsidR="00BF19D8">
        <w:t xml:space="preserve"> is assumed by the Department of the Treasury.</w:t>
      </w:r>
      <w:r>
        <w:t xml:space="preserve"> Payment posting functions are performed by a third-party contractor</w:t>
      </w:r>
      <w:r w:rsidR="0032279E">
        <w:t>.  It is estimated that processing 700 transactions will require 58 hours (700 forms x (5/60 = 58 hours), averaging 5 minutes per transaction</w:t>
      </w:r>
      <w:r w:rsidR="002F50F4">
        <w:t>. At $154 per hour, the cost to the Federal government is $8,932.</w:t>
      </w:r>
    </w:p>
    <w:p w:rsidR="000B70F9" w14:paraId="1E2B0C56" w14:textId="77777777">
      <w:pPr>
        <w:pStyle w:val="BodyText"/>
        <w:spacing w:before="1"/>
      </w:pPr>
    </w:p>
    <w:p w:rsidR="000B70F9" w14:paraId="7484FAF5" w14:textId="77777777">
      <w:pPr>
        <w:pStyle w:val="ListParagraph"/>
        <w:numPr>
          <w:ilvl w:val="1"/>
          <w:numId w:val="1"/>
        </w:numPr>
        <w:tabs>
          <w:tab w:val="left" w:pos="1559"/>
          <w:tab w:val="left" w:pos="1560"/>
        </w:tabs>
        <w:ind w:left="1559"/>
        <w:rPr>
          <w:u w:val="none"/>
        </w:rPr>
      </w:pPr>
      <w:r>
        <w:t>Reasons</w:t>
      </w:r>
      <w:r>
        <w:rPr>
          <w:spacing w:val="-6"/>
        </w:rPr>
        <w:t xml:space="preserve"> </w:t>
      </w:r>
      <w:r>
        <w:t>for</w:t>
      </w:r>
      <w:r>
        <w:rPr>
          <w:spacing w:val="-6"/>
        </w:rPr>
        <w:t xml:space="preserve"> </w:t>
      </w:r>
      <w:r>
        <w:t>Changes</w:t>
      </w:r>
      <w:r>
        <w:rPr>
          <w:spacing w:val="-5"/>
        </w:rPr>
        <w:t xml:space="preserve"> </w:t>
      </w:r>
      <w:r>
        <w:t>in</w:t>
      </w:r>
      <w:r>
        <w:rPr>
          <w:spacing w:val="-7"/>
        </w:rPr>
        <w:t xml:space="preserve"> </w:t>
      </w:r>
      <w:r>
        <w:t>Burden</w:t>
      </w:r>
      <w:r>
        <w:rPr>
          <w:spacing w:val="-5"/>
        </w:rPr>
        <w:t xml:space="preserve"> </w:t>
      </w:r>
      <w:r>
        <w:t>or</w:t>
      </w:r>
      <w:r>
        <w:rPr>
          <w:spacing w:val="-5"/>
        </w:rPr>
        <w:t xml:space="preserve"> </w:t>
      </w:r>
      <w:r>
        <w:rPr>
          <w:spacing w:val="-4"/>
        </w:rPr>
        <w:t>Cost</w:t>
      </w:r>
    </w:p>
    <w:p w:rsidR="000B70F9" w14:paraId="2C9C804B" w14:textId="77777777">
      <w:pPr>
        <w:pStyle w:val="BodyText"/>
        <w:spacing w:before="10"/>
        <w:rPr>
          <w:sz w:val="13"/>
        </w:rPr>
      </w:pPr>
    </w:p>
    <w:p w:rsidR="000B70F9" w14:paraId="0AF27752" w14:textId="77777777">
      <w:pPr>
        <w:pStyle w:val="BodyText"/>
        <w:spacing w:before="93"/>
        <w:ind w:left="1560" w:right="130"/>
      </w:pPr>
      <w:r w:rsidRPr="00BB49FC">
        <w:t xml:space="preserve">The overall burden has </w:t>
      </w:r>
      <w:r w:rsidRPr="00356A3D" w:rsidR="00D27945">
        <w:t>in</w:t>
      </w:r>
      <w:r w:rsidRPr="00BB49FC">
        <w:t xml:space="preserve">creased by </w:t>
      </w:r>
      <w:r w:rsidRPr="00356A3D" w:rsidR="00D27945">
        <w:t>66</w:t>
      </w:r>
      <w:r w:rsidRPr="00BB49FC">
        <w:t xml:space="preserve"> hours from </w:t>
      </w:r>
      <w:r w:rsidRPr="00356A3D" w:rsidR="00D27945">
        <w:t>50</w:t>
      </w:r>
      <w:r w:rsidRPr="00BB49FC">
        <w:t xml:space="preserve"> hours to </w:t>
      </w:r>
      <w:r w:rsidRPr="00356A3D" w:rsidR="00D27945">
        <w:t>116</w:t>
      </w:r>
      <w:r w:rsidRPr="00BB49FC">
        <w:t xml:space="preserve"> hours.</w:t>
      </w:r>
      <w:r w:rsidRPr="00BB49FC">
        <w:rPr>
          <w:spacing w:val="40"/>
        </w:rPr>
        <w:t xml:space="preserve"> </w:t>
      </w:r>
      <w:r w:rsidRPr="00BB49FC">
        <w:t xml:space="preserve">The estimated number of responses </w:t>
      </w:r>
      <w:r w:rsidRPr="00356A3D" w:rsidR="00D27945">
        <w:t>in</w:t>
      </w:r>
      <w:r w:rsidRPr="00BB49FC">
        <w:t xml:space="preserve">creased by </w:t>
      </w:r>
      <w:r w:rsidRPr="00356A3D" w:rsidR="00D27945">
        <w:t>3</w:t>
      </w:r>
      <w:r w:rsidRPr="00BB49FC">
        <w:t xml:space="preserve">00 from 400 </w:t>
      </w:r>
      <w:r w:rsidR="008D63F8">
        <w:t>submissions</w:t>
      </w:r>
      <w:r w:rsidRPr="00BB49FC">
        <w:t xml:space="preserve"> to </w:t>
      </w:r>
      <w:r w:rsidRPr="00356A3D" w:rsidR="00D27945">
        <w:t>7</w:t>
      </w:r>
      <w:r w:rsidRPr="00BB49FC">
        <w:t xml:space="preserve">00 </w:t>
      </w:r>
      <w:r w:rsidR="008D63F8">
        <w:t>submissions</w:t>
      </w:r>
      <w:r w:rsidRPr="00BB49FC">
        <w:t xml:space="preserve">. </w:t>
      </w:r>
    </w:p>
    <w:p w:rsidR="00E277FC" w14:paraId="12D82F80" w14:textId="77777777">
      <w:pPr>
        <w:pStyle w:val="BodyText"/>
        <w:spacing w:before="93"/>
        <w:ind w:left="1560" w:right="130"/>
      </w:pPr>
    </w:p>
    <w:p w:rsidR="000B70F9" w14:paraId="0AA30982" w14:textId="77777777">
      <w:pPr>
        <w:pStyle w:val="BodyText"/>
      </w:pPr>
    </w:p>
    <w:p w:rsidR="000B70F9" w14:paraId="2BB0890F" w14:textId="77777777">
      <w:pPr>
        <w:pStyle w:val="ListParagraph"/>
        <w:numPr>
          <w:ilvl w:val="1"/>
          <w:numId w:val="1"/>
        </w:numPr>
        <w:tabs>
          <w:tab w:val="left" w:pos="1559"/>
          <w:tab w:val="left" w:pos="1560"/>
        </w:tabs>
        <w:ind w:left="1559" w:hanging="720"/>
        <w:rPr>
          <w:u w:val="none"/>
        </w:rPr>
      </w:pPr>
      <w:r>
        <w:t>Publication</w:t>
      </w:r>
      <w:r>
        <w:rPr>
          <w:spacing w:val="-9"/>
        </w:rPr>
        <w:t xml:space="preserve"> </w:t>
      </w:r>
      <w:r>
        <w:t>for</w:t>
      </w:r>
      <w:r>
        <w:rPr>
          <w:spacing w:val="-8"/>
        </w:rPr>
        <w:t xml:space="preserve"> </w:t>
      </w:r>
      <w:r>
        <w:t>Statistical</w:t>
      </w:r>
      <w:r>
        <w:rPr>
          <w:spacing w:val="-8"/>
        </w:rPr>
        <w:t xml:space="preserve"> </w:t>
      </w:r>
      <w:r>
        <w:rPr>
          <w:spacing w:val="-5"/>
        </w:rPr>
        <w:t>Use</w:t>
      </w:r>
    </w:p>
    <w:p w:rsidR="000B70F9" w14:paraId="2E86CD35" w14:textId="77777777">
      <w:pPr>
        <w:pStyle w:val="BodyText"/>
        <w:spacing w:before="10"/>
        <w:rPr>
          <w:sz w:val="13"/>
        </w:rPr>
      </w:pPr>
    </w:p>
    <w:p w:rsidR="007C41F1" w:rsidP="007C41F1" w14:paraId="047B2C0B" w14:textId="77777777">
      <w:pPr>
        <w:pStyle w:val="BodyText"/>
        <w:spacing w:before="93"/>
        <w:ind w:left="1560"/>
        <w:rPr>
          <w:spacing w:val="-2"/>
        </w:rPr>
      </w:pPr>
      <w:r>
        <w:rPr>
          <w:spacing w:val="-2"/>
        </w:rPr>
        <w:t>None.</w:t>
      </w:r>
    </w:p>
    <w:p w:rsidR="00356A3D" w14:paraId="045567E8" w14:textId="77777777"/>
    <w:p w:rsidR="000B70F9" w:rsidRPr="00356A3D" w:rsidP="007C41F1" w14:paraId="5B7FF4D0" w14:textId="77777777">
      <w:pPr>
        <w:pStyle w:val="BodyText"/>
        <w:numPr>
          <w:ilvl w:val="1"/>
          <w:numId w:val="1"/>
        </w:numPr>
        <w:spacing w:before="93"/>
        <w:rPr>
          <w:u w:val="single"/>
        </w:rPr>
      </w:pPr>
      <w:r w:rsidRPr="00356A3D">
        <w:rPr>
          <w:u w:val="single"/>
        </w:rPr>
        <w:t>Reason</w:t>
      </w:r>
      <w:r w:rsidRPr="00356A3D">
        <w:rPr>
          <w:spacing w:val="-7"/>
          <w:u w:val="single"/>
        </w:rPr>
        <w:t xml:space="preserve"> </w:t>
      </w:r>
      <w:r w:rsidRPr="00356A3D">
        <w:rPr>
          <w:u w:val="single"/>
        </w:rPr>
        <w:t>for</w:t>
      </w:r>
      <w:r w:rsidRPr="00356A3D">
        <w:rPr>
          <w:spacing w:val="-6"/>
          <w:u w:val="single"/>
        </w:rPr>
        <w:t xml:space="preserve"> </w:t>
      </w:r>
      <w:r w:rsidRPr="00356A3D">
        <w:rPr>
          <w:u w:val="single"/>
        </w:rPr>
        <w:t>Not</w:t>
      </w:r>
      <w:r w:rsidRPr="00356A3D">
        <w:rPr>
          <w:spacing w:val="-6"/>
          <w:u w:val="single"/>
        </w:rPr>
        <w:t xml:space="preserve"> </w:t>
      </w:r>
      <w:r w:rsidRPr="00356A3D">
        <w:rPr>
          <w:u w:val="single"/>
        </w:rPr>
        <w:t>Displaying</w:t>
      </w:r>
      <w:r w:rsidRPr="00356A3D">
        <w:rPr>
          <w:spacing w:val="-6"/>
          <w:u w:val="single"/>
        </w:rPr>
        <w:t xml:space="preserve"> </w:t>
      </w:r>
      <w:r w:rsidRPr="00356A3D">
        <w:rPr>
          <w:u w:val="single"/>
        </w:rPr>
        <w:t>the</w:t>
      </w:r>
      <w:r w:rsidRPr="00356A3D">
        <w:rPr>
          <w:spacing w:val="-6"/>
          <w:u w:val="single"/>
        </w:rPr>
        <w:t xml:space="preserve"> </w:t>
      </w:r>
      <w:r w:rsidRPr="00356A3D">
        <w:rPr>
          <w:u w:val="single"/>
        </w:rPr>
        <w:t>Expiration</w:t>
      </w:r>
      <w:r w:rsidRPr="00356A3D">
        <w:rPr>
          <w:spacing w:val="-6"/>
          <w:u w:val="single"/>
        </w:rPr>
        <w:t xml:space="preserve"> </w:t>
      </w:r>
      <w:r w:rsidRPr="00356A3D">
        <w:rPr>
          <w:spacing w:val="-4"/>
          <w:u w:val="single"/>
        </w:rPr>
        <w:t>Date</w:t>
      </w:r>
    </w:p>
    <w:p w:rsidR="000B70F9" w14:paraId="56DFBEFB" w14:textId="77777777">
      <w:pPr>
        <w:pStyle w:val="BodyText"/>
        <w:rPr>
          <w:sz w:val="14"/>
        </w:rPr>
      </w:pPr>
    </w:p>
    <w:p w:rsidR="000B70F9" w14:paraId="60AE80D8" w14:textId="77777777">
      <w:pPr>
        <w:pStyle w:val="BodyText"/>
        <w:spacing w:before="92"/>
        <w:ind w:left="1560"/>
      </w:pPr>
      <w:r>
        <w:t>Not</w:t>
      </w:r>
      <w:r>
        <w:rPr>
          <w:spacing w:val="-4"/>
        </w:rPr>
        <w:t xml:space="preserve"> </w:t>
      </w:r>
      <w:r>
        <w:rPr>
          <w:spacing w:val="-2"/>
        </w:rPr>
        <w:t>applicable.</w:t>
      </w:r>
    </w:p>
    <w:p w:rsidR="000B70F9" w14:paraId="2191BA42" w14:textId="77777777">
      <w:pPr>
        <w:pStyle w:val="BodyText"/>
        <w:spacing w:before="1"/>
      </w:pPr>
    </w:p>
    <w:p w:rsidR="000B70F9" w14:paraId="6EA33D02" w14:textId="77777777">
      <w:pPr>
        <w:pStyle w:val="ListParagraph"/>
        <w:numPr>
          <w:ilvl w:val="1"/>
          <w:numId w:val="1"/>
        </w:numPr>
        <w:tabs>
          <w:tab w:val="left" w:pos="1559"/>
          <w:tab w:val="left" w:pos="1560"/>
        </w:tabs>
        <w:ind w:left="1559"/>
        <w:rPr>
          <w:u w:val="none"/>
        </w:rPr>
      </w:pPr>
      <w:r>
        <w:t>Exceptions</w:t>
      </w:r>
      <w:r>
        <w:rPr>
          <w:spacing w:val="-7"/>
        </w:rPr>
        <w:t xml:space="preserve"> </w:t>
      </w:r>
      <w:r>
        <w:t>to</w:t>
      </w:r>
      <w:r>
        <w:rPr>
          <w:spacing w:val="-7"/>
        </w:rPr>
        <w:t xml:space="preserve"> </w:t>
      </w:r>
      <w:r>
        <w:t>the</w:t>
      </w:r>
      <w:r>
        <w:rPr>
          <w:spacing w:val="-7"/>
        </w:rPr>
        <w:t xml:space="preserve"> </w:t>
      </w:r>
      <w:r>
        <w:t>Certification</w:t>
      </w:r>
      <w:r>
        <w:rPr>
          <w:spacing w:val="-7"/>
        </w:rPr>
        <w:t xml:space="preserve"> </w:t>
      </w:r>
      <w:r>
        <w:rPr>
          <w:spacing w:val="-2"/>
        </w:rPr>
        <w:t>Statement</w:t>
      </w:r>
    </w:p>
    <w:p w:rsidR="000B70F9" w14:paraId="07685710" w14:textId="77777777">
      <w:pPr>
        <w:pStyle w:val="BodyText"/>
        <w:spacing w:before="10"/>
        <w:rPr>
          <w:sz w:val="13"/>
        </w:rPr>
      </w:pPr>
    </w:p>
    <w:p w:rsidR="000B70F9" w14:paraId="48E0B27D" w14:textId="77777777">
      <w:pPr>
        <w:pStyle w:val="BodyText"/>
        <w:spacing w:before="93"/>
        <w:ind w:left="1560"/>
      </w:pPr>
      <w:r>
        <w:t>Not</w:t>
      </w:r>
      <w:r>
        <w:rPr>
          <w:spacing w:val="-4"/>
        </w:rPr>
        <w:t xml:space="preserve"> </w:t>
      </w:r>
      <w:r>
        <w:rPr>
          <w:spacing w:val="-2"/>
        </w:rPr>
        <w:t>applicable.</w:t>
      </w:r>
    </w:p>
    <w:p w:rsidR="000B70F9" w14:paraId="6F2C4FA8" w14:textId="77777777">
      <w:pPr>
        <w:pStyle w:val="BodyText"/>
      </w:pPr>
    </w:p>
    <w:p w:rsidR="000B70F9" w14:paraId="11F8CF9A" w14:textId="77777777">
      <w:pPr>
        <w:pStyle w:val="ListParagraph"/>
        <w:numPr>
          <w:ilvl w:val="0"/>
          <w:numId w:val="1"/>
        </w:numPr>
        <w:tabs>
          <w:tab w:val="left" w:pos="840"/>
          <w:tab w:val="left" w:pos="841"/>
        </w:tabs>
        <w:ind w:hanging="722"/>
        <w:rPr>
          <w:u w:val="none"/>
        </w:rPr>
      </w:pPr>
      <w:r>
        <w:rPr>
          <w:u w:val="none"/>
        </w:rPr>
        <w:t>COLLECTION</w:t>
      </w:r>
      <w:r>
        <w:rPr>
          <w:spacing w:val="-11"/>
          <w:u w:val="none"/>
        </w:rPr>
        <w:t xml:space="preserve"> </w:t>
      </w:r>
      <w:r>
        <w:rPr>
          <w:u w:val="none"/>
        </w:rPr>
        <w:t>OF</w:t>
      </w:r>
      <w:r>
        <w:rPr>
          <w:spacing w:val="-12"/>
          <w:u w:val="none"/>
        </w:rPr>
        <w:t xml:space="preserve"> </w:t>
      </w:r>
      <w:r>
        <w:rPr>
          <w:u w:val="none"/>
        </w:rPr>
        <w:t>INFORMATION</w:t>
      </w:r>
      <w:r>
        <w:rPr>
          <w:spacing w:val="-11"/>
          <w:u w:val="none"/>
        </w:rPr>
        <w:t xml:space="preserve"> </w:t>
      </w:r>
      <w:r>
        <w:rPr>
          <w:u w:val="none"/>
        </w:rPr>
        <w:t>EMPLOYING</w:t>
      </w:r>
      <w:r>
        <w:rPr>
          <w:spacing w:val="-12"/>
          <w:u w:val="none"/>
        </w:rPr>
        <w:t xml:space="preserve"> </w:t>
      </w:r>
      <w:r>
        <w:rPr>
          <w:u w:val="none"/>
        </w:rPr>
        <w:t>STATISTICAL</w:t>
      </w:r>
      <w:r>
        <w:rPr>
          <w:spacing w:val="-11"/>
          <w:u w:val="none"/>
        </w:rPr>
        <w:t xml:space="preserve"> </w:t>
      </w:r>
      <w:r>
        <w:rPr>
          <w:spacing w:val="-2"/>
          <w:u w:val="none"/>
        </w:rPr>
        <w:t>METHODS</w:t>
      </w:r>
    </w:p>
    <w:p w:rsidR="000B70F9" w14:paraId="11410C42" w14:textId="77777777">
      <w:pPr>
        <w:pStyle w:val="BodyText"/>
      </w:pPr>
    </w:p>
    <w:p w:rsidR="000B70F9" w14:paraId="077FF421" w14:textId="77777777">
      <w:pPr>
        <w:pStyle w:val="BodyText"/>
        <w:ind w:left="840"/>
      </w:pPr>
      <w:r>
        <w:t>Statistical</w:t>
      </w:r>
      <w:r>
        <w:rPr>
          <w:spacing w:val="-7"/>
        </w:rPr>
        <w:t xml:space="preserve"> </w:t>
      </w:r>
      <w:r>
        <w:t>methods</w:t>
      </w:r>
      <w:r>
        <w:rPr>
          <w:spacing w:val="-6"/>
        </w:rPr>
        <w:t xml:space="preserve"> </w:t>
      </w:r>
      <w:r>
        <w:t>are</w:t>
      </w:r>
      <w:r>
        <w:rPr>
          <w:spacing w:val="-6"/>
        </w:rPr>
        <w:t xml:space="preserve"> </w:t>
      </w:r>
      <w:r>
        <w:t>not</w:t>
      </w:r>
      <w:r>
        <w:rPr>
          <w:spacing w:val="-6"/>
        </w:rPr>
        <w:t xml:space="preserve"> </w:t>
      </w:r>
      <w:r>
        <w:t>used</w:t>
      </w:r>
      <w:r>
        <w:rPr>
          <w:spacing w:val="-6"/>
        </w:rPr>
        <w:t xml:space="preserve"> </w:t>
      </w:r>
      <w:r>
        <w:t>in</w:t>
      </w:r>
      <w:r>
        <w:rPr>
          <w:spacing w:val="-6"/>
        </w:rPr>
        <w:t xml:space="preserve"> </w:t>
      </w:r>
      <w:r>
        <w:t>this</w:t>
      </w:r>
      <w:r>
        <w:rPr>
          <w:spacing w:val="-6"/>
        </w:rPr>
        <w:t xml:space="preserve"> </w:t>
      </w:r>
      <w:r>
        <w:t>information</w:t>
      </w:r>
      <w:r>
        <w:rPr>
          <w:spacing w:val="-6"/>
        </w:rPr>
        <w:t xml:space="preserve"> </w:t>
      </w:r>
      <w:r>
        <w:rPr>
          <w:spacing w:val="-2"/>
        </w:rPr>
        <w:t>collection.</w:t>
      </w:r>
    </w:p>
    <w:sectPr>
      <w:pgSz w:w="12240" w:h="15840"/>
      <w:pgMar w:top="1820" w:right="1380" w:bottom="1420" w:left="1320" w:header="0" w:footer="12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B70F9" w14:paraId="38F822A0" w14:textId="77777777">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simplePos x="0" y="0"/>
              <wp:positionH relativeFrom="page">
                <wp:posOffset>3809365</wp:posOffset>
              </wp:positionH>
              <wp:positionV relativeFrom="page">
                <wp:posOffset>9135110</wp:posOffset>
              </wp:positionV>
              <wp:extent cx="167005" cy="181610"/>
              <wp:effectExtent l="0" t="0" r="0" b="0"/>
              <wp:wrapNone/>
              <wp:docPr id="1" name="docshape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7005" cy="18161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B70F9" w14:paraId="36D91176" w14:textId="77777777">
                          <w:pPr>
                            <w:pStyle w:val="BodyText"/>
                            <w:spacing w:before="12"/>
                            <w:ind w:left="60"/>
                          </w:pPr>
                          <w:r>
                            <w:rPr>
                              <w:w w:val="99"/>
                            </w:rPr>
                            <w:fldChar w:fldCharType="begin"/>
                          </w:r>
                          <w:r>
                            <w:rPr>
                              <w:w w:val="99"/>
                            </w:rPr>
                            <w:instrText xml:space="preserve"> PAGE </w:instrText>
                          </w:r>
                          <w:r>
                            <w:rPr>
                              <w:w w:val="99"/>
                            </w:rPr>
                            <w:fldChar w:fldCharType="separate"/>
                          </w:r>
                          <w:r>
                            <w:rPr>
                              <w:w w:val="99"/>
                            </w:rPr>
                            <w:t>1</w:t>
                          </w:r>
                          <w:r>
                            <w:rPr>
                              <w:w w:val="99"/>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 o:spid="_x0000_s2049" type="#_x0000_t202" style="width:13.15pt;height:14.3pt;margin-top:719.3pt;margin-left:299.9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7216" filled="f" stroked="f">
              <v:textbox inset="0,0,0,0">
                <w:txbxContent>
                  <w:p w:rsidR="000B70F9" w14:paraId="5F8D4D4E" w14:textId="77777777">
                    <w:pPr>
                      <w:pStyle w:val="BodyText"/>
                      <w:spacing w:before="12"/>
                      <w:ind w:left="60"/>
                    </w:pPr>
                    <w:r>
                      <w:rPr>
                        <w:w w:val="99"/>
                      </w:rPr>
                      <w:fldChar w:fldCharType="begin"/>
                    </w:r>
                    <w:r>
                      <w:rPr>
                        <w:w w:val="99"/>
                      </w:rPr>
                      <w:instrText xml:space="preserve"> PAGE </w:instrText>
                    </w:r>
                    <w:r>
                      <w:rPr>
                        <w:w w:val="99"/>
                      </w:rPr>
                      <w:fldChar w:fldCharType="separate"/>
                    </w:r>
                    <w:r>
                      <w:rPr>
                        <w:w w:val="99"/>
                      </w:rPr>
                      <w:t>1</w:t>
                    </w:r>
                    <w:r>
                      <w:rPr>
                        <w:w w:val="99"/>
                      </w:rPr>
                      <w:fldChar w:fldCharType="end"/>
                    </w:r>
                  </w:p>
                </w:txbxContent>
              </v:textbox>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3611BB6"/>
    <w:multiLevelType w:val="hybridMultilevel"/>
    <w:tmpl w:val="6AFA630E"/>
    <w:lvl w:ilvl="0">
      <w:start w:val="1"/>
      <w:numFmt w:val="decimal"/>
      <w:lvlText w:val="%1."/>
      <w:lvlJc w:val="left"/>
      <w:pPr>
        <w:ind w:left="2160" w:hanging="360"/>
      </w:pPr>
      <w:rPr>
        <w:rFonts w:hint="default"/>
      </w:r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1">
    <w:nsid w:val="5BF33AD2"/>
    <w:multiLevelType w:val="hybridMultilevel"/>
    <w:tmpl w:val="A50EA96E"/>
    <w:lvl w:ilvl="0">
      <w:start w:val="1"/>
      <w:numFmt w:val="upperLetter"/>
      <w:lvlText w:val="%1."/>
      <w:lvlJc w:val="left"/>
      <w:pPr>
        <w:ind w:left="840" w:hanging="721"/>
      </w:pPr>
      <w:rPr>
        <w:rFonts w:ascii="Arial" w:eastAsia="Arial" w:hAnsi="Arial" w:cs="Arial" w:hint="default"/>
        <w:b w:val="0"/>
        <w:bCs w:val="0"/>
        <w:i w:val="0"/>
        <w:iCs w:val="0"/>
        <w:w w:val="99"/>
        <w:sz w:val="22"/>
        <w:szCs w:val="22"/>
        <w:lang w:val="en-US" w:eastAsia="en-US" w:bidi="ar-SA"/>
      </w:rPr>
    </w:lvl>
    <w:lvl w:ilvl="1">
      <w:start w:val="1"/>
      <w:numFmt w:val="decimal"/>
      <w:lvlText w:val="%2."/>
      <w:lvlJc w:val="left"/>
      <w:pPr>
        <w:ind w:left="1560" w:hanging="721"/>
      </w:pPr>
      <w:rPr>
        <w:rFonts w:ascii="Arial" w:eastAsia="Arial" w:hAnsi="Arial" w:cs="Arial" w:hint="default"/>
        <w:b w:val="0"/>
        <w:bCs w:val="0"/>
        <w:i w:val="0"/>
        <w:iCs w:val="0"/>
        <w:w w:val="99"/>
        <w:sz w:val="22"/>
        <w:szCs w:val="22"/>
        <w:lang w:val="en-US" w:eastAsia="en-US" w:bidi="ar-SA"/>
      </w:rPr>
    </w:lvl>
    <w:lvl w:ilvl="2">
      <w:start w:val="0"/>
      <w:numFmt w:val="bullet"/>
      <w:lvlText w:val="•"/>
      <w:lvlJc w:val="left"/>
      <w:pPr>
        <w:ind w:left="2446" w:hanging="721"/>
      </w:pPr>
      <w:rPr>
        <w:rFonts w:hint="default"/>
        <w:lang w:val="en-US" w:eastAsia="en-US" w:bidi="ar-SA"/>
      </w:rPr>
    </w:lvl>
    <w:lvl w:ilvl="3">
      <w:start w:val="0"/>
      <w:numFmt w:val="bullet"/>
      <w:lvlText w:val="•"/>
      <w:lvlJc w:val="left"/>
      <w:pPr>
        <w:ind w:left="3333" w:hanging="721"/>
      </w:pPr>
      <w:rPr>
        <w:rFonts w:hint="default"/>
        <w:lang w:val="en-US" w:eastAsia="en-US" w:bidi="ar-SA"/>
      </w:rPr>
    </w:lvl>
    <w:lvl w:ilvl="4">
      <w:start w:val="0"/>
      <w:numFmt w:val="bullet"/>
      <w:lvlText w:val="•"/>
      <w:lvlJc w:val="left"/>
      <w:pPr>
        <w:ind w:left="4220" w:hanging="721"/>
      </w:pPr>
      <w:rPr>
        <w:rFonts w:hint="default"/>
        <w:lang w:val="en-US" w:eastAsia="en-US" w:bidi="ar-SA"/>
      </w:rPr>
    </w:lvl>
    <w:lvl w:ilvl="5">
      <w:start w:val="0"/>
      <w:numFmt w:val="bullet"/>
      <w:lvlText w:val="•"/>
      <w:lvlJc w:val="left"/>
      <w:pPr>
        <w:ind w:left="5106" w:hanging="721"/>
      </w:pPr>
      <w:rPr>
        <w:rFonts w:hint="default"/>
        <w:lang w:val="en-US" w:eastAsia="en-US" w:bidi="ar-SA"/>
      </w:rPr>
    </w:lvl>
    <w:lvl w:ilvl="6">
      <w:start w:val="0"/>
      <w:numFmt w:val="bullet"/>
      <w:lvlText w:val="•"/>
      <w:lvlJc w:val="left"/>
      <w:pPr>
        <w:ind w:left="5993" w:hanging="721"/>
      </w:pPr>
      <w:rPr>
        <w:rFonts w:hint="default"/>
        <w:lang w:val="en-US" w:eastAsia="en-US" w:bidi="ar-SA"/>
      </w:rPr>
    </w:lvl>
    <w:lvl w:ilvl="7">
      <w:start w:val="0"/>
      <w:numFmt w:val="bullet"/>
      <w:lvlText w:val="•"/>
      <w:lvlJc w:val="left"/>
      <w:pPr>
        <w:ind w:left="6880" w:hanging="721"/>
      </w:pPr>
      <w:rPr>
        <w:rFonts w:hint="default"/>
        <w:lang w:val="en-US" w:eastAsia="en-US" w:bidi="ar-SA"/>
      </w:rPr>
    </w:lvl>
    <w:lvl w:ilvl="8">
      <w:start w:val="0"/>
      <w:numFmt w:val="bullet"/>
      <w:lvlText w:val="•"/>
      <w:lvlJc w:val="left"/>
      <w:pPr>
        <w:ind w:left="7766" w:hanging="721"/>
      </w:pPr>
      <w:rPr>
        <w:rFonts w:hint="default"/>
        <w:lang w:val="en-US" w:eastAsia="en-US" w:bidi="ar-SA"/>
      </w:rPr>
    </w:lvl>
  </w:abstractNum>
  <w:abstractNum w:abstractNumId="2">
    <w:nsid w:val="626636D3"/>
    <w:multiLevelType w:val="hybridMultilevel"/>
    <w:tmpl w:val="F404DC74"/>
    <w:lvl w:ilvl="0">
      <w:start w:val="1"/>
      <w:numFmt w:val="decimal"/>
      <w:lvlText w:val="%1."/>
      <w:lvlJc w:val="left"/>
      <w:pPr>
        <w:ind w:left="2280" w:hanging="360"/>
      </w:pPr>
      <w:rPr>
        <w:rFonts w:ascii="Arial" w:hAnsi="Arial" w:hint="default"/>
        <w:b w:val="0"/>
        <w:i w:val="0"/>
        <w:sz w:val="22"/>
      </w:rPr>
    </w:lvl>
    <w:lvl w:ilvl="1" w:tentative="1">
      <w:start w:val="1"/>
      <w:numFmt w:val="lowerLetter"/>
      <w:lvlText w:val="%2."/>
      <w:lvlJc w:val="left"/>
      <w:pPr>
        <w:ind w:left="3000" w:hanging="360"/>
      </w:pPr>
    </w:lvl>
    <w:lvl w:ilvl="2" w:tentative="1">
      <w:start w:val="1"/>
      <w:numFmt w:val="lowerRoman"/>
      <w:lvlText w:val="%3."/>
      <w:lvlJc w:val="right"/>
      <w:pPr>
        <w:ind w:left="3720" w:hanging="180"/>
      </w:pPr>
    </w:lvl>
    <w:lvl w:ilvl="3" w:tentative="1">
      <w:start w:val="1"/>
      <w:numFmt w:val="decimal"/>
      <w:lvlText w:val="%4."/>
      <w:lvlJc w:val="left"/>
      <w:pPr>
        <w:ind w:left="4440" w:hanging="360"/>
      </w:pPr>
    </w:lvl>
    <w:lvl w:ilvl="4" w:tentative="1">
      <w:start w:val="1"/>
      <w:numFmt w:val="lowerLetter"/>
      <w:lvlText w:val="%5."/>
      <w:lvlJc w:val="left"/>
      <w:pPr>
        <w:ind w:left="5160" w:hanging="360"/>
      </w:pPr>
    </w:lvl>
    <w:lvl w:ilvl="5" w:tentative="1">
      <w:start w:val="1"/>
      <w:numFmt w:val="lowerRoman"/>
      <w:lvlText w:val="%6."/>
      <w:lvlJc w:val="right"/>
      <w:pPr>
        <w:ind w:left="5880" w:hanging="180"/>
      </w:pPr>
    </w:lvl>
    <w:lvl w:ilvl="6" w:tentative="1">
      <w:start w:val="1"/>
      <w:numFmt w:val="decimal"/>
      <w:lvlText w:val="%7."/>
      <w:lvlJc w:val="left"/>
      <w:pPr>
        <w:ind w:left="6600" w:hanging="360"/>
      </w:pPr>
    </w:lvl>
    <w:lvl w:ilvl="7" w:tentative="1">
      <w:start w:val="1"/>
      <w:numFmt w:val="lowerLetter"/>
      <w:lvlText w:val="%8."/>
      <w:lvlJc w:val="left"/>
      <w:pPr>
        <w:ind w:left="7320" w:hanging="360"/>
      </w:pPr>
    </w:lvl>
    <w:lvl w:ilvl="8" w:tentative="1">
      <w:start w:val="1"/>
      <w:numFmt w:val="lowerRoman"/>
      <w:lvlText w:val="%9."/>
      <w:lvlJc w:val="right"/>
      <w:pPr>
        <w:ind w:left="8040" w:hanging="180"/>
      </w:pPr>
    </w:lvl>
  </w:abstractNum>
  <w:abstractNum w:abstractNumId="3">
    <w:nsid w:val="7A154F42"/>
    <w:multiLevelType w:val="hybridMultilevel"/>
    <w:tmpl w:val="956E20F6"/>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num w:numId="1" w16cid:durableId="1402485743">
    <w:abstractNumId w:val="1"/>
  </w:num>
  <w:num w:numId="2" w16cid:durableId="1922830916">
    <w:abstractNumId w:val="3"/>
  </w:num>
  <w:num w:numId="3" w16cid:durableId="1208372061">
    <w:abstractNumId w:val="0"/>
  </w:num>
  <w:num w:numId="4" w16cid:durableId="17859286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0F9"/>
    <w:rsid w:val="00044427"/>
    <w:rsid w:val="000A1399"/>
    <w:rsid w:val="000A5AE6"/>
    <w:rsid w:val="000A5EDA"/>
    <w:rsid w:val="000B70F9"/>
    <w:rsid w:val="000C2FC3"/>
    <w:rsid w:val="000D6987"/>
    <w:rsid w:val="000E3134"/>
    <w:rsid w:val="00105AF8"/>
    <w:rsid w:val="00106155"/>
    <w:rsid w:val="001204DE"/>
    <w:rsid w:val="001236BB"/>
    <w:rsid w:val="00125800"/>
    <w:rsid w:val="00127173"/>
    <w:rsid w:val="00141DC0"/>
    <w:rsid w:val="00150B05"/>
    <w:rsid w:val="00160079"/>
    <w:rsid w:val="001775A6"/>
    <w:rsid w:val="001829D9"/>
    <w:rsid w:val="0019499D"/>
    <w:rsid w:val="00197528"/>
    <w:rsid w:val="00206C98"/>
    <w:rsid w:val="00240CDC"/>
    <w:rsid w:val="00281274"/>
    <w:rsid w:val="00284DC6"/>
    <w:rsid w:val="00295B13"/>
    <w:rsid w:val="002B04C7"/>
    <w:rsid w:val="002C38E2"/>
    <w:rsid w:val="002C6452"/>
    <w:rsid w:val="002E77F9"/>
    <w:rsid w:val="002F50F4"/>
    <w:rsid w:val="003032F5"/>
    <w:rsid w:val="0030366C"/>
    <w:rsid w:val="003133BB"/>
    <w:rsid w:val="0032279E"/>
    <w:rsid w:val="00325B7D"/>
    <w:rsid w:val="00351696"/>
    <w:rsid w:val="00356A3D"/>
    <w:rsid w:val="00367DC2"/>
    <w:rsid w:val="003835A3"/>
    <w:rsid w:val="00385544"/>
    <w:rsid w:val="00393EE3"/>
    <w:rsid w:val="00396ACE"/>
    <w:rsid w:val="003F2312"/>
    <w:rsid w:val="00402B87"/>
    <w:rsid w:val="0041608B"/>
    <w:rsid w:val="004218FF"/>
    <w:rsid w:val="00433A47"/>
    <w:rsid w:val="00433BF5"/>
    <w:rsid w:val="00457D4C"/>
    <w:rsid w:val="00470DDB"/>
    <w:rsid w:val="00474220"/>
    <w:rsid w:val="00477B17"/>
    <w:rsid w:val="00486D16"/>
    <w:rsid w:val="004C0FCE"/>
    <w:rsid w:val="004C3ABC"/>
    <w:rsid w:val="0050766A"/>
    <w:rsid w:val="00537B80"/>
    <w:rsid w:val="005579A9"/>
    <w:rsid w:val="005601BF"/>
    <w:rsid w:val="005A7704"/>
    <w:rsid w:val="005D40C1"/>
    <w:rsid w:val="005F5FCE"/>
    <w:rsid w:val="0064106B"/>
    <w:rsid w:val="006536D6"/>
    <w:rsid w:val="006728D0"/>
    <w:rsid w:val="00692B8E"/>
    <w:rsid w:val="006B45D6"/>
    <w:rsid w:val="006B647A"/>
    <w:rsid w:val="006C7B0E"/>
    <w:rsid w:val="006D02DE"/>
    <w:rsid w:val="006D2A09"/>
    <w:rsid w:val="006E5E33"/>
    <w:rsid w:val="006F1965"/>
    <w:rsid w:val="006F465C"/>
    <w:rsid w:val="0070553D"/>
    <w:rsid w:val="007177F5"/>
    <w:rsid w:val="00740813"/>
    <w:rsid w:val="00761A8E"/>
    <w:rsid w:val="00783799"/>
    <w:rsid w:val="007C0DF1"/>
    <w:rsid w:val="007C1BA2"/>
    <w:rsid w:val="007C41F1"/>
    <w:rsid w:val="00814920"/>
    <w:rsid w:val="00824231"/>
    <w:rsid w:val="00844C44"/>
    <w:rsid w:val="0086128F"/>
    <w:rsid w:val="00890116"/>
    <w:rsid w:val="008D5F06"/>
    <w:rsid w:val="008D63F8"/>
    <w:rsid w:val="008D717F"/>
    <w:rsid w:val="008F65CB"/>
    <w:rsid w:val="00906EB2"/>
    <w:rsid w:val="009073AF"/>
    <w:rsid w:val="00957C42"/>
    <w:rsid w:val="0097098C"/>
    <w:rsid w:val="009713DB"/>
    <w:rsid w:val="0097225B"/>
    <w:rsid w:val="009722F7"/>
    <w:rsid w:val="009856F7"/>
    <w:rsid w:val="009B5FDE"/>
    <w:rsid w:val="009D1E60"/>
    <w:rsid w:val="009D7BB3"/>
    <w:rsid w:val="00A06F09"/>
    <w:rsid w:val="00A1709E"/>
    <w:rsid w:val="00A31387"/>
    <w:rsid w:val="00A330BA"/>
    <w:rsid w:val="00A45D82"/>
    <w:rsid w:val="00A611B0"/>
    <w:rsid w:val="00AA4ADB"/>
    <w:rsid w:val="00AA71D5"/>
    <w:rsid w:val="00AC44AD"/>
    <w:rsid w:val="00AC4D0B"/>
    <w:rsid w:val="00AC6B0B"/>
    <w:rsid w:val="00B10EEA"/>
    <w:rsid w:val="00B1754A"/>
    <w:rsid w:val="00B403EC"/>
    <w:rsid w:val="00B5235D"/>
    <w:rsid w:val="00B52900"/>
    <w:rsid w:val="00BB49FC"/>
    <w:rsid w:val="00BC45D3"/>
    <w:rsid w:val="00BD19BB"/>
    <w:rsid w:val="00BF19D8"/>
    <w:rsid w:val="00C0483C"/>
    <w:rsid w:val="00C2201B"/>
    <w:rsid w:val="00C515A7"/>
    <w:rsid w:val="00C64285"/>
    <w:rsid w:val="00C96687"/>
    <w:rsid w:val="00CA381A"/>
    <w:rsid w:val="00CD0473"/>
    <w:rsid w:val="00CD5613"/>
    <w:rsid w:val="00D0139D"/>
    <w:rsid w:val="00D26663"/>
    <w:rsid w:val="00D27945"/>
    <w:rsid w:val="00D337F3"/>
    <w:rsid w:val="00D34852"/>
    <w:rsid w:val="00D731CE"/>
    <w:rsid w:val="00D80AE6"/>
    <w:rsid w:val="00D91CF3"/>
    <w:rsid w:val="00DA09A0"/>
    <w:rsid w:val="00DA2A44"/>
    <w:rsid w:val="00DC37BF"/>
    <w:rsid w:val="00DF5C73"/>
    <w:rsid w:val="00DF60C6"/>
    <w:rsid w:val="00E0271E"/>
    <w:rsid w:val="00E277FC"/>
    <w:rsid w:val="00E35B11"/>
    <w:rsid w:val="00E71A44"/>
    <w:rsid w:val="00EA4638"/>
    <w:rsid w:val="00EB4C80"/>
    <w:rsid w:val="00EC1B60"/>
    <w:rsid w:val="00ED212B"/>
    <w:rsid w:val="00EF2A19"/>
    <w:rsid w:val="00EF7E65"/>
    <w:rsid w:val="00F01B18"/>
    <w:rsid w:val="00F2051B"/>
    <w:rsid w:val="00F22EC3"/>
    <w:rsid w:val="00F410EE"/>
    <w:rsid w:val="00F67A55"/>
    <w:rsid w:val="00F908D6"/>
    <w:rsid w:val="00F97F13"/>
    <w:rsid w:val="00FF2A8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977FFA0"/>
  <w15:docId w15:val="{BF4D1AB1-8FAA-4A5B-B047-1D90A23C9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1559" w:hanging="721"/>
    </w:pPr>
    <w:rPr>
      <w:u w:val="single" w:color="000000"/>
    </w:rPr>
  </w:style>
  <w:style w:type="paragraph" w:customStyle="1" w:styleId="TableParagraph">
    <w:name w:val="Table Paragraph"/>
    <w:basedOn w:val="Normal"/>
    <w:uiPriority w:val="1"/>
    <w:qFormat/>
  </w:style>
  <w:style w:type="paragraph" w:styleId="Revision">
    <w:name w:val="Revision"/>
    <w:hidden/>
    <w:uiPriority w:val="99"/>
    <w:semiHidden/>
    <w:rsid w:val="00477B17"/>
    <w:pPr>
      <w:widowControl/>
      <w:autoSpaceDE/>
      <w:autoSpaceDN/>
    </w:pPr>
    <w:rPr>
      <w:rFonts w:ascii="Arial" w:eastAsia="Arial" w:hAnsi="Arial" w:cs="Arial"/>
    </w:rPr>
  </w:style>
  <w:style w:type="character" w:styleId="Hyperlink">
    <w:name w:val="Hyperlink"/>
    <w:basedOn w:val="DefaultParagraphFont"/>
    <w:uiPriority w:val="99"/>
    <w:unhideWhenUsed/>
    <w:rsid w:val="007C41F1"/>
    <w:rPr>
      <w:color w:val="0000FF" w:themeColor="hyperlink"/>
      <w:u w:val="single"/>
    </w:rPr>
  </w:style>
  <w:style w:type="character" w:styleId="UnresolvedMention">
    <w:name w:val="Unresolved Mention"/>
    <w:basedOn w:val="DefaultParagraphFont"/>
    <w:uiPriority w:val="99"/>
    <w:semiHidden/>
    <w:unhideWhenUsed/>
    <w:rsid w:val="007C41F1"/>
    <w:rPr>
      <w:color w:val="605E5C"/>
      <w:shd w:val="clear" w:color="auto" w:fill="E1DFDD"/>
    </w:rPr>
  </w:style>
  <w:style w:type="character" w:styleId="CommentReference">
    <w:name w:val="annotation reference"/>
    <w:basedOn w:val="DefaultParagraphFont"/>
    <w:uiPriority w:val="99"/>
    <w:semiHidden/>
    <w:unhideWhenUsed/>
    <w:rsid w:val="00D0139D"/>
    <w:rPr>
      <w:sz w:val="16"/>
      <w:szCs w:val="16"/>
    </w:rPr>
  </w:style>
  <w:style w:type="paragraph" w:styleId="CommentText">
    <w:name w:val="annotation text"/>
    <w:basedOn w:val="Normal"/>
    <w:link w:val="CommentTextChar"/>
    <w:uiPriority w:val="99"/>
    <w:unhideWhenUsed/>
    <w:rsid w:val="00D0139D"/>
    <w:rPr>
      <w:sz w:val="20"/>
      <w:szCs w:val="20"/>
    </w:rPr>
  </w:style>
  <w:style w:type="character" w:customStyle="1" w:styleId="CommentTextChar">
    <w:name w:val="Comment Text Char"/>
    <w:basedOn w:val="DefaultParagraphFont"/>
    <w:link w:val="CommentText"/>
    <w:uiPriority w:val="99"/>
    <w:rsid w:val="00D0139D"/>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D0139D"/>
    <w:rPr>
      <w:b/>
      <w:bCs/>
    </w:rPr>
  </w:style>
  <w:style w:type="character" w:customStyle="1" w:styleId="CommentSubjectChar">
    <w:name w:val="Comment Subject Char"/>
    <w:basedOn w:val="CommentTextChar"/>
    <w:link w:val="CommentSubject"/>
    <w:uiPriority w:val="99"/>
    <w:semiHidden/>
    <w:rsid w:val="00D0139D"/>
    <w:rPr>
      <w:rFonts w:ascii="Arial" w:eastAsia="Arial" w:hAnsi="Arial" w:cs="Arial"/>
      <w:b/>
      <w:bCs/>
      <w:sz w:val="20"/>
      <w:szCs w:val="20"/>
    </w:rPr>
  </w:style>
  <w:style w:type="paragraph" w:styleId="Header">
    <w:name w:val="header"/>
    <w:basedOn w:val="Normal"/>
    <w:link w:val="HeaderChar"/>
    <w:uiPriority w:val="99"/>
    <w:semiHidden/>
    <w:unhideWhenUsed/>
    <w:rsid w:val="00DF5C73"/>
    <w:pPr>
      <w:tabs>
        <w:tab w:val="center" w:pos="4680"/>
        <w:tab w:val="right" w:pos="9360"/>
      </w:tabs>
    </w:pPr>
  </w:style>
  <w:style w:type="character" w:customStyle="1" w:styleId="HeaderChar">
    <w:name w:val="Header Char"/>
    <w:basedOn w:val="DefaultParagraphFont"/>
    <w:link w:val="Header"/>
    <w:uiPriority w:val="99"/>
    <w:semiHidden/>
    <w:rsid w:val="00DF5C73"/>
    <w:rPr>
      <w:rFonts w:ascii="Arial" w:eastAsia="Arial" w:hAnsi="Arial" w:cs="Arial"/>
    </w:rPr>
  </w:style>
  <w:style w:type="paragraph" w:styleId="Footer">
    <w:name w:val="footer"/>
    <w:basedOn w:val="Normal"/>
    <w:link w:val="FooterChar"/>
    <w:uiPriority w:val="99"/>
    <w:semiHidden/>
    <w:unhideWhenUsed/>
    <w:rsid w:val="00DF5C73"/>
    <w:pPr>
      <w:tabs>
        <w:tab w:val="center" w:pos="4680"/>
        <w:tab w:val="right" w:pos="9360"/>
      </w:tabs>
    </w:pPr>
  </w:style>
  <w:style w:type="character" w:customStyle="1" w:styleId="FooterChar">
    <w:name w:val="Footer Char"/>
    <w:basedOn w:val="DefaultParagraphFont"/>
    <w:link w:val="Footer"/>
    <w:uiPriority w:val="99"/>
    <w:semiHidden/>
    <w:rsid w:val="00DF5C73"/>
    <w:rPr>
      <w:rFonts w:ascii="Arial" w:eastAsia="Arial" w:hAnsi="Arial" w:cs="Arial"/>
    </w:rPr>
  </w:style>
  <w:style w:type="character" w:customStyle="1" w:styleId="BodyTextChar">
    <w:name w:val="Body Text Char"/>
    <w:basedOn w:val="DefaultParagraphFont"/>
    <w:link w:val="BodyText"/>
    <w:uiPriority w:val="1"/>
    <w:rsid w:val="0032279E"/>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ogle.com/goto?url=CAESaQHrOzAVn6KmPUVhidW4DxOR5Yc3UuwXCxVGpVB0ZWcnMQs7fLYXL8U0nHp5fdcinQam8HPkv5Wl75UWB__UnnpAGTTQWKc3p8Z9OprD1k3BwGOELBRy9ojev_C8KaZaEhQsK8U2dPzj8Q" TargetMode="Externa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b3a34a53-9a19-47a4-8acc-4e423288e9ad" xsi:nil="true"/>
    <lcf76f155ced4ddcb4097134ff3c332f xmlns="5727b8a7-5843-4790-b74e-450215766ddc">
      <Terms xmlns="http://schemas.microsoft.com/office/infopath/2007/PartnerControls"/>
    </lcf76f155ced4ddcb4097134ff3c332f>
    <_dlc_DocId xmlns="b3a34a53-9a19-47a4-8acc-4e423288e9ad">DJXZ7D336C7E-259460999-6294</_dlc_DocId>
    <_dlc_DocIdUrl xmlns="b3a34a53-9a19-47a4-8acc-4e423288e9ad">
      <Url>https://usnrc.sharepoint.com/teams/OCIO-Information-Collections-Site/_layouts/15/DocIdRedir.aspx?ID=DJXZ7D336C7E-259460999-6294</Url>
      <Description>DJXZ7D336C7E-259460999-6294</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C04321EF3F43B46B3C00583E2201668" ma:contentTypeVersion="19" ma:contentTypeDescription="Create a new document." ma:contentTypeScope="" ma:versionID="b173d03c08cecf08c7f5dcf1e96a3755">
  <xsd:schema xmlns:xsd="http://www.w3.org/2001/XMLSchema" xmlns:xs="http://www.w3.org/2001/XMLSchema" xmlns:p="http://schemas.microsoft.com/office/2006/metadata/properties" xmlns:ns2="b3a34a53-9a19-47a4-8acc-4e423288e9ad" xmlns:ns3="5727b8a7-5843-4790-b74e-450215766ddc" targetNamespace="http://schemas.microsoft.com/office/2006/metadata/properties" ma:root="true" ma:fieldsID="cabe0ec2157b76e453e58f53da0e71b1" ns2:_="" ns3:_="">
    <xsd:import namespace="b3a34a53-9a19-47a4-8acc-4e423288e9ad"/>
    <xsd:import namespace="5727b8a7-5843-4790-b74e-450215766dd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34a53-9a19-47a4-8acc-4e423288e9ad"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0a67cce-1f73-495e-9ce9-4c4de29af44c}" ma:internalName="TaxCatchAll" ma:showField="CatchAllData" ma:web="b3a34a53-9a19-47a4-8acc-4e423288e9a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727b8a7-5843-4790-b74e-450215766dd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36f26c1-4773-4e55-850a-517a34df127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262DC9A-8F7E-4642-A676-370198933397}">
  <ds:schemaRefs>
    <ds:schemaRef ds:uri="http://schemas.openxmlformats.org/officeDocument/2006/bibliography"/>
  </ds:schemaRefs>
</ds:datastoreItem>
</file>

<file path=customXml/itemProps2.xml><?xml version="1.0" encoding="utf-8"?>
<ds:datastoreItem xmlns:ds="http://schemas.openxmlformats.org/officeDocument/2006/customXml" ds:itemID="{77571E5F-4F63-42EC-B9A1-7320F0B8C8CE}">
  <ds:schemaRefs>
    <ds:schemaRef ds:uri="http://schemas.microsoft.com/office/2006/metadata/properties"/>
    <ds:schemaRef ds:uri="http://schemas.microsoft.com/office/infopath/2007/PartnerControls"/>
    <ds:schemaRef ds:uri="b3a34a53-9a19-47a4-8acc-4e423288e9ad"/>
    <ds:schemaRef ds:uri="5727b8a7-5843-4790-b74e-450215766ddc"/>
  </ds:schemaRefs>
</ds:datastoreItem>
</file>

<file path=customXml/itemProps3.xml><?xml version="1.0" encoding="utf-8"?>
<ds:datastoreItem xmlns:ds="http://schemas.openxmlformats.org/officeDocument/2006/customXml" ds:itemID="{21D12116-84AB-4088-B37A-03ACDF0536E4}">
  <ds:schemaRefs>
    <ds:schemaRef ds:uri="http://schemas.microsoft.com/sharepoint/v3/contenttype/forms"/>
  </ds:schemaRefs>
</ds:datastoreItem>
</file>

<file path=customXml/itemProps4.xml><?xml version="1.0" encoding="utf-8"?>
<ds:datastoreItem xmlns:ds="http://schemas.openxmlformats.org/officeDocument/2006/customXml" ds:itemID="{A07E7979-0382-4AFC-848D-DAA15FF0B1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a34a53-9a19-47a4-8acc-4e423288e9ad"/>
    <ds:schemaRef ds:uri="5727b8a7-5843-4790-b74e-450215766d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DE636C6-1AC1-4312-9414-D66BC8784773}">
  <ds:schemaRefs>
    <ds:schemaRef ds:uri="http://schemas.microsoft.com/sharepoint/events"/>
  </ds:schemaRefs>
</ds:datastoreItem>
</file>

<file path=docMetadata/LabelInfo.xml><?xml version="1.0" encoding="utf-8"?>
<clbl:labelList xmlns:clbl="http://schemas.microsoft.com/office/2020/mipLabelMetadata">
  <clbl:label id="{e8d01475-c3b5-436a-a065-5def4c64f52e}" enabled="0" method="" siteId="{e8d01475-c3b5-436a-a065-5def4c64f52e}"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999</Words>
  <Characters>5600</Characters>
  <Application>Microsoft Office Word</Application>
  <DocSecurity>0</DocSecurity>
  <Lines>160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Shilpa Bolumalla</dc:creator>
  <cp:lastModifiedBy>Kristen Benney</cp:lastModifiedBy>
  <cp:revision>2</cp:revision>
  <dcterms:created xsi:type="dcterms:W3CDTF">2026-09-22T21:37:00Z</dcterms:created>
  <dcterms:modified xsi:type="dcterms:W3CDTF">2026-09-22T21:37:00Z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0x010100FC04321EF3F43B46B3C00583E2201668</vt:lpwstr>
  </property>
  <property fmtid="{D5CDD505-2E9C-101B-9397-08002B2CF9AE}" pid="3" name="Created">
    <vt:filetime>2023-02-22T00:00:00Z</vt:filetime>
  </property>
  <property fmtid="{D5CDD505-2E9C-101B-9397-08002B2CF9AE}" pid="4" name="Creator">
    <vt:lpwstr>PScript5.dll Version 5.2.2</vt:lpwstr>
  </property>
  <property fmtid="{D5CDD505-2E9C-101B-9397-08002B2CF9AE}" pid="5" name="LastSaved">
    <vt:filetime>2023-05-03T00:00:00Z</vt:filetime>
  </property>
  <property fmtid="{D5CDD505-2E9C-101B-9397-08002B2CF9AE}" pid="6" name="MediaServiceImageTags">
    <vt:lpwstr/>
  </property>
  <property fmtid="{D5CDD505-2E9C-101B-9397-08002B2CF9AE}" pid="7" name="Producer">
    <vt:lpwstr>Acrobat Distiller 15.0 (Windows)</vt:lpwstr>
  </property>
  <property fmtid="{D5CDD505-2E9C-101B-9397-08002B2CF9AE}" pid="8" name="_dlc_DocIdItemGuid">
    <vt:lpwstr>6c0c1d06-8988-465d-9be9-efd4b421e992</vt:lpwstr>
  </property>
</Properties>
</file>