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7A1E" w:rsidRPr="00BB29CB" w:rsidP="00147EB0" w14:paraId="46C8A0DB" w14:textId="1760F94A">
      <w:pPr>
        <w:pStyle w:val="Title"/>
        <w:rPr>
          <w:rStyle w:val="Hyperlink"/>
        </w:rPr>
      </w:pPr>
      <w:r w:rsidRPr="00BB29CB">
        <w:fldChar w:fldCharType="begin"/>
      </w:r>
      <w:r w:rsidRPr="00BB29CB">
        <w:instrText>HYPERLINK "https://pra.digital.gov/uploads/supporting-statement-a-instructions.pdf"</w:instrText>
      </w:r>
      <w:r w:rsidRPr="00BB29CB">
        <w:fldChar w:fldCharType="separate"/>
      </w:r>
      <w:r w:rsidRPr="00BB29CB">
        <w:rPr>
          <w:rStyle w:val="Hyperlink"/>
        </w:rPr>
        <w:t>SUPPORTING STATEMENT</w:t>
      </w:r>
    </w:p>
    <w:p w:rsidR="00B07A1E" w:rsidRPr="00BB29CB" w:rsidP="00147EB0" w14:paraId="46C8A0DC" w14:textId="5E47A407">
      <w:pPr>
        <w:jc w:val="center"/>
        <w:rPr>
          <w:b/>
          <w:bCs/>
          <w:szCs w:val="24"/>
        </w:rPr>
      </w:pPr>
      <w:r w:rsidRPr="00BB29CB">
        <w:rPr>
          <w:rStyle w:val="Hyperlink"/>
          <w:b/>
          <w:bCs/>
          <w:szCs w:val="24"/>
        </w:rPr>
        <w:t>FOR PAPERWORK REDUCTION ACT SUBMISSION</w:t>
      </w:r>
      <w:r w:rsidRPr="00BB29CB" w:rsidR="001D67D9">
        <w:rPr>
          <w:b/>
          <w:bCs/>
          <w:szCs w:val="24"/>
        </w:rPr>
        <w:fldChar w:fldCharType="end"/>
      </w:r>
    </w:p>
    <w:p w:rsidR="00B07A1E" w:rsidRPr="00BB29CB" w:rsidP="74F81113" w14:paraId="46C8A0DD" w14:textId="4427DDBA">
      <w:pPr>
        <w:jc w:val="center"/>
        <w:rPr>
          <w:b/>
          <w:bCs/>
          <w:szCs w:val="24"/>
        </w:rPr>
      </w:pPr>
      <w:r w:rsidRPr="00BB29CB">
        <w:rPr>
          <w:b/>
          <w:bCs/>
          <w:szCs w:val="24"/>
          <w:highlight w:val="yellow"/>
        </w:rPr>
        <w:t>Annual Employee Survey</w:t>
      </w:r>
      <w:r w:rsidRPr="00BB29CB" w:rsidR="2F4AF3D5">
        <w:rPr>
          <w:b/>
          <w:bCs/>
          <w:szCs w:val="24"/>
          <w:highlight w:val="yellow"/>
        </w:rPr>
        <w:t xml:space="preserve"> (AES</w:t>
      </w:r>
      <w:r w:rsidRPr="00BB29CB" w:rsidR="00F5139C">
        <w:rPr>
          <w:b/>
          <w:bCs/>
          <w:szCs w:val="24"/>
          <w:highlight w:val="yellow"/>
        </w:rPr>
        <w:t>)</w:t>
      </w:r>
    </w:p>
    <w:p w:rsidR="00B07A1E" w:rsidRPr="00BB29CB" w:rsidP="00147EB0" w14:paraId="46C8A0DE" w14:textId="06C66C0F">
      <w:pPr>
        <w:jc w:val="center"/>
        <w:rPr>
          <w:b/>
          <w:bCs/>
          <w:szCs w:val="24"/>
        </w:rPr>
      </w:pPr>
      <w:r w:rsidRPr="00BB29CB">
        <w:rPr>
          <w:b/>
          <w:bCs/>
          <w:szCs w:val="24"/>
        </w:rPr>
        <w:t>OMB #3206-NEW (OPM-</w:t>
      </w:r>
      <w:r w:rsidRPr="00BB29CB" w:rsidR="002F134D">
        <w:rPr>
          <w:b/>
          <w:szCs w:val="24"/>
        </w:rPr>
        <w:t>AES</w:t>
      </w:r>
      <w:r w:rsidRPr="00BB29CB">
        <w:rPr>
          <w:b/>
          <w:bCs/>
          <w:szCs w:val="24"/>
        </w:rPr>
        <w:t>)</w:t>
      </w:r>
    </w:p>
    <w:p w:rsidR="00B07A1E" w:rsidRPr="00BB29CB" w:rsidP="00147EB0" w14:paraId="46C8A0DF" w14:textId="77777777">
      <w:pPr>
        <w:rPr>
          <w:szCs w:val="24"/>
        </w:rPr>
      </w:pPr>
    </w:p>
    <w:p w:rsidR="00B07A1E" w:rsidRPr="00BB29CB" w:rsidP="00147EB0" w14:paraId="46C8A0E0" w14:textId="77777777">
      <w:pPr>
        <w:pStyle w:val="Heading1"/>
        <w:rPr>
          <w:szCs w:val="24"/>
        </w:rPr>
      </w:pPr>
      <w:r w:rsidRPr="00BB29CB">
        <w:rPr>
          <w:szCs w:val="24"/>
        </w:rPr>
        <w:t>A.  JUSTIFICATION</w:t>
      </w:r>
    </w:p>
    <w:p w:rsidR="00164D2D" w:rsidRPr="00BB29CB" w:rsidP="00147EB0" w14:paraId="44F92DE3" w14:textId="31222234">
      <w:pPr>
        <w:numPr>
          <w:ilvl w:val="0"/>
          <w:numId w:val="3"/>
        </w:numPr>
        <w:tabs>
          <w:tab w:val="clear" w:pos="720"/>
          <w:tab w:val="num" w:pos="1080"/>
        </w:tabs>
        <w:ind w:left="1080"/>
        <w:rPr>
          <w:i/>
          <w:color w:val="000000" w:themeColor="text1"/>
          <w:szCs w:val="24"/>
          <w:highlight w:val="lightGray"/>
        </w:rPr>
      </w:pPr>
      <w:r w:rsidRPr="00BB29CB">
        <w:rPr>
          <w:i/>
          <w:color w:val="000000" w:themeColor="text1"/>
          <w:szCs w:val="24"/>
          <w:highlight w:val="lightGray"/>
        </w:rPr>
        <w:t>Explain the circumstances of this collection</w:t>
      </w:r>
      <w:r w:rsidRPr="00BB29CB" w:rsidR="003A6568">
        <w:rPr>
          <w:i/>
          <w:color w:val="000000" w:themeColor="text1"/>
          <w:szCs w:val="24"/>
          <w:highlight w:val="lightGray"/>
        </w:rPr>
        <w:t xml:space="preserve">, </w:t>
      </w:r>
      <w:r w:rsidRPr="00BB29CB">
        <w:rPr>
          <w:i/>
          <w:color w:val="000000" w:themeColor="text1"/>
          <w:szCs w:val="24"/>
          <w:highlight w:val="lightGray"/>
        </w:rPr>
        <w:t>why</w:t>
      </w:r>
      <w:r w:rsidRPr="00BB29CB">
        <w:rPr>
          <w:i/>
          <w:color w:val="000000" w:themeColor="text1"/>
          <w:szCs w:val="24"/>
          <w:highlight w:val="lightGray"/>
        </w:rPr>
        <w:t xml:space="preserve"> this collection </w:t>
      </w:r>
      <w:r w:rsidRPr="00BB29CB" w:rsidR="003A6568">
        <w:rPr>
          <w:i/>
          <w:color w:val="000000" w:themeColor="text1"/>
          <w:szCs w:val="24"/>
          <w:highlight w:val="lightGray"/>
        </w:rPr>
        <w:t xml:space="preserve">is </w:t>
      </w:r>
      <w:r w:rsidRPr="00BB29CB">
        <w:rPr>
          <w:i/>
          <w:color w:val="000000" w:themeColor="text1"/>
          <w:szCs w:val="24"/>
          <w:highlight w:val="lightGray"/>
        </w:rPr>
        <w:t>necessary</w:t>
      </w:r>
      <w:r w:rsidRPr="00BB29CB" w:rsidR="00EC5440">
        <w:rPr>
          <w:i/>
          <w:color w:val="000000" w:themeColor="text1"/>
          <w:szCs w:val="24"/>
          <w:highlight w:val="lightGray"/>
        </w:rPr>
        <w:t>,</w:t>
      </w:r>
      <w:r w:rsidRPr="00BB29CB">
        <w:rPr>
          <w:i/>
          <w:color w:val="000000" w:themeColor="text1"/>
          <w:szCs w:val="24"/>
          <w:highlight w:val="lightGray"/>
        </w:rPr>
        <w:t xml:space="preserve"> and the legal statutes that allow </w:t>
      </w:r>
      <w:r w:rsidRPr="00BB29CB" w:rsidR="003A6568">
        <w:rPr>
          <w:i/>
          <w:color w:val="000000" w:themeColor="text1"/>
          <w:szCs w:val="24"/>
          <w:highlight w:val="lightGray"/>
        </w:rPr>
        <w:t>it.</w:t>
      </w:r>
    </w:p>
    <w:p w:rsidR="002E07CC" w:rsidRPr="00BB29CB" w:rsidP="00147EB0" w14:paraId="1D7DAA15" w14:textId="1529AEA9">
      <w:pPr>
        <w:tabs>
          <w:tab w:val="left" w:pos="360"/>
        </w:tabs>
        <w:ind w:left="720"/>
        <w:rPr>
          <w:szCs w:val="24"/>
        </w:rPr>
      </w:pPr>
      <w:r w:rsidRPr="00BB29CB">
        <w:rPr>
          <w:szCs w:val="24"/>
        </w:rPr>
        <w:t>This collection is conducted under the authority of section 1128 of the National Defense Authorization Act for Fiscal Year 2004 (Pub. L. 108-136; 5 U.S.C. 7101 note)</w:t>
      </w:r>
      <w:r w:rsidRPr="00BB29CB" w:rsidR="00D03820">
        <w:rPr>
          <w:szCs w:val="24"/>
        </w:rPr>
        <w:t>. Section 1128</w:t>
      </w:r>
      <w:r w:rsidRPr="00BB29CB">
        <w:rPr>
          <w:szCs w:val="24"/>
        </w:rPr>
        <w:t xml:space="preserve"> requires executive agencies to conduct an annual employee survey</w:t>
      </w:r>
      <w:r w:rsidRPr="00BB29CB" w:rsidR="00207465">
        <w:rPr>
          <w:szCs w:val="24"/>
        </w:rPr>
        <w:t xml:space="preserve"> to evaluate </w:t>
      </w:r>
      <w:r w:rsidRPr="00BB29CB" w:rsidR="00551F2F">
        <w:rPr>
          <w:szCs w:val="24"/>
        </w:rPr>
        <w:t xml:space="preserve">leadership and management practices and employee satisfaction </w:t>
      </w:r>
      <w:r w:rsidRPr="00BB29CB" w:rsidR="00E373E1">
        <w:rPr>
          <w:szCs w:val="24"/>
        </w:rPr>
        <w:t>on</w:t>
      </w:r>
      <w:r w:rsidRPr="00BB29CB" w:rsidR="00551F2F">
        <w:rPr>
          <w:szCs w:val="24"/>
        </w:rPr>
        <w:t xml:space="preserve"> </w:t>
      </w:r>
      <w:r w:rsidRPr="00BB29CB" w:rsidR="00E373E1">
        <w:rPr>
          <w:szCs w:val="24"/>
        </w:rPr>
        <w:t>five specific topics</w:t>
      </w:r>
      <w:r w:rsidRPr="00BB29CB" w:rsidR="00551F2F">
        <w:rPr>
          <w:szCs w:val="24"/>
        </w:rPr>
        <w:t xml:space="preserve">. </w:t>
      </w:r>
      <w:r w:rsidRPr="00BB29CB" w:rsidR="00E373E1">
        <w:rPr>
          <w:szCs w:val="24"/>
        </w:rPr>
        <w:t>The statute o</w:t>
      </w:r>
      <w:r w:rsidRPr="00BB29CB" w:rsidR="00C32E59">
        <w:rPr>
          <w:szCs w:val="24"/>
        </w:rPr>
        <w:t>rders</w:t>
      </w:r>
      <w:r w:rsidRPr="00BB29CB">
        <w:rPr>
          <w:szCs w:val="24"/>
        </w:rPr>
        <w:t xml:space="preserve"> OPM to prescribe </w:t>
      </w:r>
      <w:r w:rsidRPr="00BB29CB" w:rsidR="00C32E59">
        <w:rPr>
          <w:szCs w:val="24"/>
        </w:rPr>
        <w:t>a set of common</w:t>
      </w:r>
      <w:r w:rsidRPr="00BB29CB">
        <w:rPr>
          <w:szCs w:val="24"/>
        </w:rPr>
        <w:t xml:space="preserve"> survey questions</w:t>
      </w:r>
      <w:r w:rsidRPr="00BB29CB" w:rsidR="00EF6B81">
        <w:rPr>
          <w:szCs w:val="24"/>
        </w:rPr>
        <w:t xml:space="preserve">, which were </w:t>
      </w:r>
      <w:r w:rsidRPr="00BB29CB">
        <w:rPr>
          <w:szCs w:val="24"/>
        </w:rPr>
        <w:t>implemented at 5 CFR part 250, subpart C.</w:t>
      </w:r>
    </w:p>
    <w:p w:rsidR="00D1087E" w:rsidRPr="00BB29CB" w:rsidP="00147EB0" w14:paraId="69B66C2C" w14:textId="04AAED38">
      <w:pPr>
        <w:tabs>
          <w:tab w:val="left" w:pos="360"/>
        </w:tabs>
        <w:ind w:left="720"/>
        <w:rPr>
          <w:szCs w:val="24"/>
        </w:rPr>
      </w:pPr>
      <w:r w:rsidRPr="00BB29CB">
        <w:rPr>
          <w:szCs w:val="24"/>
        </w:rPr>
        <w:t xml:space="preserve">After the passage of section 1128, </w:t>
      </w:r>
      <w:r w:rsidRPr="00BB29CB" w:rsidR="005C70A9">
        <w:rPr>
          <w:szCs w:val="24"/>
        </w:rPr>
        <w:t>the U.S. Office of Personnel Management (</w:t>
      </w:r>
      <w:r w:rsidRPr="00BB29CB">
        <w:rPr>
          <w:szCs w:val="24"/>
        </w:rPr>
        <w:t>OPM</w:t>
      </w:r>
      <w:r w:rsidRPr="00BB29CB" w:rsidR="005C70A9">
        <w:rPr>
          <w:szCs w:val="24"/>
        </w:rPr>
        <w:t>)</w:t>
      </w:r>
      <w:r w:rsidRPr="00BB29CB">
        <w:rPr>
          <w:szCs w:val="24"/>
        </w:rPr>
        <w:t xml:space="preserve"> administered </w:t>
      </w:r>
      <w:r w:rsidRPr="00BB29CB" w:rsidR="00E1730C">
        <w:rPr>
          <w:szCs w:val="24"/>
        </w:rPr>
        <w:t>two multi-year governmentwide surveys: the</w:t>
      </w:r>
      <w:r w:rsidRPr="00BB29CB">
        <w:rPr>
          <w:szCs w:val="24"/>
        </w:rPr>
        <w:t xml:space="preserve"> </w:t>
      </w:r>
      <w:r w:rsidRPr="00BB29CB" w:rsidR="00D1086D">
        <w:rPr>
          <w:szCs w:val="24"/>
        </w:rPr>
        <w:t>Fed</w:t>
      </w:r>
      <w:r w:rsidRPr="00BB29CB" w:rsidR="006E226F">
        <w:rPr>
          <w:szCs w:val="24"/>
        </w:rPr>
        <w:t xml:space="preserve">eral </w:t>
      </w:r>
      <w:r w:rsidRPr="00BB29CB" w:rsidR="0050491D">
        <w:rPr>
          <w:szCs w:val="24"/>
        </w:rPr>
        <w:t xml:space="preserve">Human Capital Survey </w:t>
      </w:r>
      <w:r w:rsidRPr="00BB29CB" w:rsidR="007020F6">
        <w:rPr>
          <w:szCs w:val="24"/>
        </w:rPr>
        <w:t xml:space="preserve">(FHCS) in </w:t>
      </w:r>
      <w:r w:rsidRPr="00BB29CB" w:rsidR="0050491D">
        <w:rPr>
          <w:szCs w:val="24"/>
        </w:rPr>
        <w:t xml:space="preserve">2004, 2006, </w:t>
      </w:r>
      <w:r w:rsidRPr="00BB29CB" w:rsidR="007020F6">
        <w:rPr>
          <w:szCs w:val="24"/>
        </w:rPr>
        <w:t xml:space="preserve">and </w:t>
      </w:r>
      <w:r w:rsidRPr="00BB29CB" w:rsidR="0050491D">
        <w:rPr>
          <w:szCs w:val="24"/>
        </w:rPr>
        <w:t>2008</w:t>
      </w:r>
      <w:r w:rsidRPr="00BB29CB" w:rsidR="00AA3A27">
        <w:rPr>
          <w:szCs w:val="24"/>
        </w:rPr>
        <w:t>, and its successor the Federal Employee Viewpoint Survey (FEVS) from 2010 to 2024</w:t>
      </w:r>
      <w:r w:rsidRPr="00BB29CB" w:rsidR="0050491D">
        <w:rPr>
          <w:szCs w:val="24"/>
        </w:rPr>
        <w:t>.</w:t>
      </w:r>
      <w:r w:rsidRPr="00BB29CB" w:rsidR="00B01D2D">
        <w:rPr>
          <w:szCs w:val="24"/>
        </w:rPr>
        <w:t xml:space="preserve"> The F</w:t>
      </w:r>
      <w:r w:rsidRPr="00BB29CB" w:rsidR="00811DD6">
        <w:rPr>
          <w:szCs w:val="24"/>
        </w:rPr>
        <w:t>HCS</w:t>
      </w:r>
      <w:r w:rsidRPr="00BB29CB" w:rsidR="00B01D2D">
        <w:rPr>
          <w:szCs w:val="24"/>
        </w:rPr>
        <w:t xml:space="preserve"> and F</w:t>
      </w:r>
      <w:r w:rsidRPr="00BB29CB" w:rsidR="00811DD6">
        <w:rPr>
          <w:szCs w:val="24"/>
        </w:rPr>
        <w:t>EVS</w:t>
      </w:r>
      <w:r w:rsidRPr="00BB29CB" w:rsidR="00B26E16">
        <w:rPr>
          <w:szCs w:val="24"/>
        </w:rPr>
        <w:t xml:space="preserve"> were </w:t>
      </w:r>
      <w:r w:rsidRPr="00BB29CB" w:rsidR="00D43AF4">
        <w:rPr>
          <w:szCs w:val="24"/>
        </w:rPr>
        <w:t>part of a larger survey effort</w:t>
      </w:r>
      <w:r w:rsidRPr="00BB29CB" w:rsidR="00CF296F">
        <w:rPr>
          <w:szCs w:val="24"/>
        </w:rPr>
        <w:t xml:space="preserve"> done by OPM to collect a variety of human capital-related information across the government</w:t>
      </w:r>
      <w:r w:rsidRPr="00BB29CB" w:rsidR="00ED3B5F">
        <w:rPr>
          <w:szCs w:val="24"/>
        </w:rPr>
        <w:t xml:space="preserve">, incorporating </w:t>
      </w:r>
      <w:r w:rsidRPr="00BB29CB" w:rsidR="00DD363C">
        <w:rPr>
          <w:szCs w:val="24"/>
        </w:rPr>
        <w:t>the required items</w:t>
      </w:r>
      <w:r w:rsidRPr="00BB29CB" w:rsidR="00032AB3">
        <w:rPr>
          <w:szCs w:val="24"/>
        </w:rPr>
        <w:t xml:space="preserve"> </w:t>
      </w:r>
      <w:r w:rsidRPr="00BB29CB" w:rsidR="00E1730C">
        <w:rPr>
          <w:szCs w:val="24"/>
        </w:rPr>
        <w:t>to</w:t>
      </w:r>
      <w:r w:rsidRPr="00BB29CB" w:rsidR="00032AB3">
        <w:rPr>
          <w:szCs w:val="24"/>
        </w:rPr>
        <w:t xml:space="preserve"> reduce </w:t>
      </w:r>
      <w:r w:rsidRPr="00BB29CB" w:rsidR="0054689A">
        <w:rPr>
          <w:szCs w:val="24"/>
        </w:rPr>
        <w:t xml:space="preserve">respondent </w:t>
      </w:r>
      <w:r w:rsidRPr="00BB29CB" w:rsidR="00032AB3">
        <w:rPr>
          <w:szCs w:val="24"/>
        </w:rPr>
        <w:t xml:space="preserve">survey fatigue, </w:t>
      </w:r>
      <w:r w:rsidRPr="00BB29CB" w:rsidR="00E1730C">
        <w:rPr>
          <w:szCs w:val="24"/>
        </w:rPr>
        <w:t xml:space="preserve">reduce </w:t>
      </w:r>
      <w:r w:rsidRPr="00BB29CB" w:rsidR="00032AB3">
        <w:rPr>
          <w:szCs w:val="24"/>
        </w:rPr>
        <w:t>administrative burden</w:t>
      </w:r>
      <w:r w:rsidRPr="00BB29CB" w:rsidR="00E1730C">
        <w:rPr>
          <w:szCs w:val="24"/>
        </w:rPr>
        <w:t xml:space="preserve"> for agencies</w:t>
      </w:r>
      <w:r w:rsidRPr="00BB29CB" w:rsidR="0054689A">
        <w:rPr>
          <w:szCs w:val="24"/>
        </w:rPr>
        <w:t>,</w:t>
      </w:r>
      <w:r w:rsidRPr="00BB29CB" w:rsidR="00CC5029">
        <w:rPr>
          <w:szCs w:val="24"/>
        </w:rPr>
        <w:t xml:space="preserve"> </w:t>
      </w:r>
      <w:r w:rsidRPr="00BB29CB" w:rsidR="000173A0">
        <w:rPr>
          <w:szCs w:val="24"/>
        </w:rPr>
        <w:t xml:space="preserve">and as an incentive </w:t>
      </w:r>
      <w:r w:rsidRPr="00BB29CB" w:rsidR="00E1730C">
        <w:rPr>
          <w:szCs w:val="24"/>
        </w:rPr>
        <w:t xml:space="preserve">for agencies </w:t>
      </w:r>
      <w:r w:rsidRPr="00BB29CB" w:rsidR="000173A0">
        <w:rPr>
          <w:szCs w:val="24"/>
        </w:rPr>
        <w:t>to participate in the data collection effort.</w:t>
      </w:r>
    </w:p>
    <w:p w:rsidR="00783F6F" w:rsidP="00783F6F" w14:paraId="0E467D50" w14:textId="7C628F75">
      <w:pPr>
        <w:tabs>
          <w:tab w:val="left" w:pos="360"/>
        </w:tabs>
        <w:ind w:left="720"/>
        <w:rPr>
          <w:szCs w:val="24"/>
        </w:rPr>
      </w:pPr>
      <w:r w:rsidRPr="00BB29CB">
        <w:rPr>
          <w:szCs w:val="24"/>
        </w:rPr>
        <w:t>OPM is requesting a new OMB control number (3206-NEW) because it is (1) reducing the number of prescribed annual employee survey questions from 16 to 10, retaining the items of greatest utility for workforce planning, and (2) ending OPM's central administration of the survey — each agency will now administer the survey directly to its own employees using a common form that OPM will provide.</w:t>
      </w:r>
    </w:p>
    <w:p w:rsidR="00B739DB" w:rsidRPr="00BB29CB" w:rsidP="00783F6F" w14:paraId="18178686" w14:textId="77777777">
      <w:pPr>
        <w:tabs>
          <w:tab w:val="left" w:pos="360"/>
        </w:tabs>
        <w:ind w:left="720"/>
        <w:rPr>
          <w:szCs w:val="24"/>
        </w:rPr>
      </w:pPr>
    </w:p>
    <w:p w:rsidR="00851085" w:rsidRPr="00BB29CB" w:rsidP="00147EB0" w14:paraId="6BAF31E2" w14:textId="15E2DBA0">
      <w:pPr>
        <w:pStyle w:val="ListParagraph"/>
        <w:numPr>
          <w:ilvl w:val="0"/>
          <w:numId w:val="2"/>
        </w:numPr>
        <w:tabs>
          <w:tab w:val="num" w:pos="1080"/>
        </w:tabs>
        <w:ind w:left="1080"/>
        <w:rPr>
          <w:rFonts w:ascii="Times New Roman" w:hAnsi="Times New Roman"/>
          <w:i/>
          <w:color w:val="000000" w:themeColor="text1"/>
          <w:highlight w:val="lightGray"/>
        </w:rPr>
      </w:pPr>
      <w:r w:rsidRPr="00BB29CB">
        <w:rPr>
          <w:rFonts w:ascii="Times New Roman" w:hAnsi="Times New Roman"/>
          <w:i/>
          <w:color w:val="000000" w:themeColor="text1"/>
          <w:highlight w:val="lightGray"/>
        </w:rPr>
        <w:t xml:space="preserve">Describe how, by whom, and for what purpose the information is to be used.  Except for a new collection, </w:t>
      </w:r>
      <w:r w:rsidRPr="00BB29CB" w:rsidR="00C1464C">
        <w:rPr>
          <w:rFonts w:ascii="Times New Roman" w:hAnsi="Times New Roman"/>
          <w:i/>
          <w:color w:val="000000" w:themeColor="text1"/>
          <w:highlight w:val="lightGray"/>
        </w:rPr>
        <w:t>describe how</w:t>
      </w:r>
      <w:r w:rsidRPr="00BB29CB">
        <w:rPr>
          <w:rFonts w:ascii="Times New Roman" w:hAnsi="Times New Roman"/>
          <w:i/>
          <w:color w:val="000000" w:themeColor="text1"/>
          <w:highlight w:val="lightGray"/>
        </w:rPr>
        <w:t xml:space="preserve"> the agency has made </w:t>
      </w:r>
      <w:r w:rsidRPr="00BB29CB" w:rsidR="00C1464C">
        <w:rPr>
          <w:rFonts w:ascii="Times New Roman" w:hAnsi="Times New Roman"/>
          <w:i/>
          <w:color w:val="000000" w:themeColor="text1"/>
          <w:highlight w:val="lightGray"/>
        </w:rPr>
        <w:t xml:space="preserve">use </w:t>
      </w:r>
      <w:r w:rsidRPr="00BB29CB">
        <w:rPr>
          <w:rFonts w:ascii="Times New Roman" w:hAnsi="Times New Roman"/>
          <w:i/>
          <w:color w:val="000000" w:themeColor="text1"/>
          <w:highlight w:val="lightGray"/>
        </w:rPr>
        <w:t xml:space="preserve">of the information received from the current collection. </w:t>
      </w:r>
    </w:p>
    <w:p w:rsidR="00B07A1E" w:rsidRPr="00BB29CB" w:rsidP="00AD69C4" w14:paraId="46C8A0ED" w14:textId="13A21C5C">
      <w:pPr>
        <w:pStyle w:val="BodyTextIndent2"/>
        <w:tabs>
          <w:tab w:val="clear" w:pos="360"/>
          <w:tab w:val="left" w:pos="720"/>
        </w:tabs>
        <w:spacing w:before="240"/>
        <w:ind w:left="720"/>
        <w:jc w:val="left"/>
      </w:pPr>
      <w:r w:rsidRPr="00BB29CB">
        <w:t xml:space="preserve">Each agency </w:t>
      </w:r>
      <w:r w:rsidRPr="00BB29CB" w:rsidR="00006182">
        <w:t xml:space="preserve">will administer </w:t>
      </w:r>
      <w:r w:rsidRPr="00BB29CB" w:rsidR="001E1801">
        <w:t>the</w:t>
      </w:r>
      <w:r w:rsidRPr="00BB29CB" w:rsidR="00EC43ED">
        <w:t xml:space="preserve"> common-form items prescribed in 5 CFR part 250</w:t>
      </w:r>
      <w:r w:rsidRPr="00BB29CB">
        <w:t>,</w:t>
      </w:r>
      <w:r w:rsidRPr="00BB29CB" w:rsidR="00EC43ED">
        <w:t xml:space="preserve"> sub</w:t>
      </w:r>
      <w:r w:rsidRPr="00BB29CB" w:rsidR="00BA46C8">
        <w:t>part C</w:t>
      </w:r>
      <w:r w:rsidRPr="00BB29CB">
        <w:t>,</w:t>
      </w:r>
      <w:r w:rsidRPr="00BB29CB" w:rsidR="00BA46C8">
        <w:t xml:space="preserve"> to </w:t>
      </w:r>
      <w:r w:rsidRPr="00BB29CB">
        <w:t>its own</w:t>
      </w:r>
      <w:r w:rsidRPr="00BB29CB" w:rsidR="00BA46C8">
        <w:t xml:space="preserve"> employees</w:t>
      </w:r>
      <w:r w:rsidRPr="00BB29CB">
        <w:t>,</w:t>
      </w:r>
      <w:r w:rsidRPr="00BB29CB" w:rsidR="00BA46C8">
        <w:t xml:space="preserve"> using </w:t>
      </w:r>
      <w:r w:rsidRPr="00BB29CB">
        <w:t>whichever</w:t>
      </w:r>
      <w:r w:rsidRPr="00BB29CB" w:rsidR="00BA46C8">
        <w:t xml:space="preserve"> methodology best suits </w:t>
      </w:r>
      <w:r w:rsidRPr="00BB29CB">
        <w:t>the agency</w:t>
      </w:r>
      <w:r w:rsidRPr="00BB29CB" w:rsidR="00BA46C8">
        <w:t xml:space="preserve">. </w:t>
      </w:r>
      <w:r w:rsidRPr="00BB29CB" w:rsidR="001E1801">
        <w:t xml:space="preserve">The common-form </w:t>
      </w:r>
      <w:r w:rsidRPr="00BB29CB" w:rsidR="00DC33FA">
        <w:t>survey items</w:t>
      </w:r>
      <w:r w:rsidRPr="00BB29CB" w:rsidR="001E1801">
        <w:t xml:space="preserve"> use</w:t>
      </w:r>
      <w:r w:rsidRPr="00BB29CB" w:rsidR="00DC33FA">
        <w:t xml:space="preserve"> </w:t>
      </w:r>
      <w:r w:rsidRPr="00BB29CB">
        <w:t xml:space="preserve">Likert-type, mark-one, and mark-all-that-apply </w:t>
      </w:r>
      <w:r w:rsidRPr="00BB29CB" w:rsidR="00DC33FA">
        <w:t>response scales</w:t>
      </w:r>
      <w:r w:rsidRPr="00BB29CB" w:rsidR="001E1801">
        <w:t xml:space="preserve"> that employees will use to respond to the survey items</w:t>
      </w:r>
      <w:r w:rsidRPr="00BB29CB">
        <w:t xml:space="preserve">. </w:t>
      </w:r>
      <w:r w:rsidRPr="00BB29CB" w:rsidR="001E1801">
        <w:t>Upon completion of their annual employee survey, agencies submit the</w:t>
      </w:r>
      <w:r w:rsidRPr="00BB29CB">
        <w:t xml:space="preserve"> </w:t>
      </w:r>
      <w:r w:rsidRPr="00BB29CB" w:rsidR="00722F33">
        <w:t xml:space="preserve">survey </w:t>
      </w:r>
      <w:r w:rsidRPr="00BB29CB">
        <w:t>data to OPM and OMB</w:t>
      </w:r>
      <w:r w:rsidRPr="00BB29CB" w:rsidR="00722F33">
        <w:t xml:space="preserve">. This will allow </w:t>
      </w:r>
      <w:r w:rsidRPr="00BB29CB" w:rsidR="00DA717C">
        <w:t xml:space="preserve">for </w:t>
      </w:r>
      <w:r w:rsidRPr="00BB29CB">
        <w:t>cross-agency comparison</w:t>
      </w:r>
      <w:r w:rsidRPr="00BB29CB" w:rsidR="00006182">
        <w:t>s</w:t>
      </w:r>
      <w:r w:rsidRPr="00BB29CB" w:rsidR="00DA717C">
        <w:t xml:space="preserve"> and for OPM and OMB to fulfill their statutory purpose in overseeing </w:t>
      </w:r>
      <w:r w:rsidRPr="00BB29CB" w:rsidR="003969D0">
        <w:t>federal human capital practices. Agencies themselves will use the results of the survey fo</w:t>
      </w:r>
      <w:r w:rsidRPr="00BB29CB" w:rsidR="009E2E37">
        <w:t xml:space="preserve">r </w:t>
      </w:r>
      <w:r w:rsidRPr="00BB29CB">
        <w:t xml:space="preserve">workforce planning </w:t>
      </w:r>
      <w:r w:rsidRPr="00BB29CB" w:rsidR="009E2E37">
        <w:t>regarding</w:t>
      </w:r>
      <w:r w:rsidRPr="00BB29CB">
        <w:t xml:space="preserve"> leadership and management practices, employee satisfaction with leadership policies and the work environment, </w:t>
      </w:r>
      <w:r w:rsidRPr="00BB29CB">
        <w:t xml:space="preserve">rewards and recognition, professional development opportunities, and employees' sense of contribution to the agency mission, consistent with </w:t>
      </w:r>
      <w:r w:rsidRPr="00BB29CB" w:rsidR="00114AB1">
        <w:t xml:space="preserve">the requirements </w:t>
      </w:r>
      <w:r w:rsidRPr="00BB29CB" w:rsidR="004D72FE">
        <w:t xml:space="preserve">of </w:t>
      </w:r>
      <w:r w:rsidRPr="00BB29CB">
        <w:t>section 1128.</w:t>
      </w:r>
    </w:p>
    <w:p w:rsidR="00147EB0" w:rsidRPr="00BB29CB" w:rsidP="00147EB0" w14:paraId="132AB5B7" w14:textId="77777777">
      <w:pPr>
        <w:pStyle w:val="BodyTextIndent2"/>
        <w:tabs>
          <w:tab w:val="clear" w:pos="360"/>
          <w:tab w:val="left" w:pos="720"/>
        </w:tabs>
        <w:jc w:val="left"/>
      </w:pPr>
    </w:p>
    <w:p w:rsidR="00164D2D" w:rsidRPr="00BB29CB" w:rsidP="00147EB0" w14:paraId="29F6DEE9" w14:textId="4F516EB4">
      <w:pPr>
        <w:numPr>
          <w:ilvl w:val="0"/>
          <w:numId w:val="1"/>
        </w:numPr>
        <w:rPr>
          <w:i/>
          <w:color w:val="000000" w:themeColor="text1"/>
          <w:szCs w:val="24"/>
          <w:highlight w:val="lightGray"/>
        </w:rPr>
      </w:pPr>
      <w:r w:rsidRPr="00BB29CB">
        <w:rPr>
          <w:i/>
          <w:color w:val="000000" w:themeColor="text1"/>
          <w:szCs w:val="24"/>
          <w:highlight w:val="lightGray"/>
        </w:rPr>
        <w:t xml:space="preserve">How are the respondents expected to complete the collection? </w:t>
      </w:r>
      <w:r w:rsidRPr="00BB29CB" w:rsidR="00511B68">
        <w:rPr>
          <w:i/>
          <w:color w:val="000000" w:themeColor="text1"/>
          <w:szCs w:val="24"/>
          <w:highlight w:val="lightGray"/>
        </w:rPr>
        <w:t>Can</w:t>
      </w:r>
      <w:r w:rsidRPr="00BB29CB">
        <w:rPr>
          <w:i/>
          <w:color w:val="000000" w:themeColor="text1"/>
          <w:szCs w:val="24"/>
          <w:highlight w:val="lightGray"/>
        </w:rPr>
        <w:t xml:space="preserve"> this collection </w:t>
      </w:r>
      <w:r w:rsidRPr="00BB29CB" w:rsidR="00511B68">
        <w:rPr>
          <w:i/>
          <w:color w:val="000000" w:themeColor="text1"/>
          <w:szCs w:val="24"/>
          <w:highlight w:val="lightGray"/>
        </w:rPr>
        <w:t>b</w:t>
      </w:r>
      <w:r w:rsidRPr="00BB29CB">
        <w:rPr>
          <w:i/>
          <w:color w:val="000000" w:themeColor="text1"/>
          <w:szCs w:val="24"/>
          <w:highlight w:val="lightGray"/>
        </w:rPr>
        <w:t>e completed electronically (</w:t>
      </w:r>
      <w:r w:rsidRPr="00BB29CB" w:rsidR="00F904E9">
        <w:rPr>
          <w:i/>
          <w:color w:val="000000" w:themeColor="text1"/>
          <w:szCs w:val="24"/>
          <w:highlight w:val="lightGray"/>
        </w:rPr>
        <w:t>e.g.,</w:t>
      </w:r>
      <w:r w:rsidRPr="00BB29CB">
        <w:rPr>
          <w:i/>
          <w:color w:val="000000" w:themeColor="text1"/>
          <w:szCs w:val="24"/>
          <w:highlight w:val="lightGray"/>
        </w:rPr>
        <w:t xml:space="preserve"> through a website or application)?</w:t>
      </w:r>
    </w:p>
    <w:p w:rsidR="00B07A1E" w:rsidRPr="00BB29CB" w:rsidP="00147EB0" w14:paraId="46C8A0EF" w14:textId="73058954">
      <w:pPr>
        <w:pStyle w:val="BodyTextIndent"/>
        <w:jc w:val="left"/>
      </w:pPr>
      <w:r w:rsidRPr="00BB29CB">
        <w:t xml:space="preserve">The survey is anticipated to be completed </w:t>
      </w:r>
      <w:r w:rsidRPr="00BB29CB">
        <w:t xml:space="preserve">electronically through </w:t>
      </w:r>
      <w:r w:rsidRPr="00BB29CB">
        <w:t xml:space="preserve">a </w:t>
      </w:r>
      <w:r w:rsidRPr="00BB29CB">
        <w:t xml:space="preserve">web-based </w:t>
      </w:r>
      <w:r w:rsidRPr="00BB29CB">
        <w:t xml:space="preserve">platform. Each agency </w:t>
      </w:r>
      <w:r w:rsidRPr="00BB29CB" w:rsidR="00EC5440">
        <w:t>will</w:t>
      </w:r>
      <w:r w:rsidRPr="00BB29CB">
        <w:t xml:space="preserve"> determine which platform best </w:t>
      </w:r>
      <w:r w:rsidRPr="00BB29CB" w:rsidR="00EC5440">
        <w:t>suits its administration of the survey</w:t>
      </w:r>
      <w:r w:rsidRPr="00BB29CB">
        <w:t>.</w:t>
      </w:r>
      <w:r w:rsidRPr="00BB29CB">
        <w:t xml:space="preserve"> </w:t>
      </w:r>
    </w:p>
    <w:p w:rsidR="00214400" w:rsidRPr="00BB29CB" w:rsidP="00147EB0" w14:paraId="32FA45B1" w14:textId="77777777">
      <w:pPr>
        <w:pStyle w:val="BodyTextIndent"/>
        <w:jc w:val="left"/>
      </w:pPr>
    </w:p>
    <w:p w:rsidR="00164D2D" w:rsidRPr="00BB29CB" w:rsidP="00147EB0" w14:paraId="561BD116" w14:textId="497AA6CD">
      <w:pPr>
        <w:numPr>
          <w:ilvl w:val="0"/>
          <w:numId w:val="1"/>
        </w:numPr>
        <w:rPr>
          <w:i/>
          <w:color w:val="000000" w:themeColor="text1"/>
          <w:szCs w:val="24"/>
          <w:highlight w:val="lightGray"/>
        </w:rPr>
      </w:pPr>
      <w:r w:rsidRPr="00BB29CB">
        <w:rPr>
          <w:i/>
          <w:color w:val="000000" w:themeColor="text1"/>
          <w:szCs w:val="24"/>
          <w:highlight w:val="lightGray"/>
        </w:rPr>
        <w:t>Does this collection duplicate any other collection of information?</w:t>
      </w:r>
      <w:r w:rsidRPr="00BB29CB" w:rsidR="00576D87">
        <w:rPr>
          <w:i/>
          <w:color w:val="000000" w:themeColor="text1"/>
          <w:szCs w:val="24"/>
          <w:highlight w:val="lightGray"/>
        </w:rPr>
        <w:t xml:space="preserve"> Describe why</w:t>
      </w:r>
      <w:r w:rsidRPr="00BB29CB" w:rsidR="006F0024">
        <w:rPr>
          <w:i/>
          <w:color w:val="000000" w:themeColor="text1"/>
          <w:szCs w:val="24"/>
          <w:highlight w:val="lightGray"/>
        </w:rPr>
        <w:t xml:space="preserve"> the </w:t>
      </w:r>
      <w:r w:rsidRPr="00BB29CB" w:rsidR="00827465">
        <w:rPr>
          <w:i/>
          <w:color w:val="000000" w:themeColor="text1"/>
          <w:szCs w:val="24"/>
          <w:highlight w:val="lightGray"/>
        </w:rPr>
        <w:t xml:space="preserve">federal government or </w:t>
      </w:r>
      <w:r w:rsidRPr="00BB29CB" w:rsidR="006F0024">
        <w:rPr>
          <w:i/>
          <w:color w:val="000000" w:themeColor="text1"/>
          <w:szCs w:val="24"/>
          <w:highlight w:val="lightGray"/>
        </w:rPr>
        <w:t>agency doesn’t already have this information within their systems.</w:t>
      </w:r>
    </w:p>
    <w:p w:rsidR="00B07A1E" w:rsidRPr="00BB29CB" w:rsidP="00147EB0" w14:paraId="46C8A0F1" w14:textId="635315A7">
      <w:pPr>
        <w:pStyle w:val="BodyTextIndent"/>
        <w:tabs>
          <w:tab w:val="clear" w:pos="720"/>
        </w:tabs>
        <w:jc w:val="left"/>
      </w:pPr>
      <w:r>
        <w:t>No. The common form is the sole mechanism by which agencies satisfy the section 1128 annual employee survey requirement, and it is designed to prevent duplicative agency-run leadership/engagement surveys for the prescribed core questions. An agency that wishes to add questions beyond the 10 prescribed items</w:t>
      </w:r>
      <w:r w:rsidR="13119018">
        <w:t>, as is allowed in section 1128(a),</w:t>
      </w:r>
      <w:r>
        <w:t xml:space="preserve"> must </w:t>
      </w:r>
      <w:r w:rsidR="2888CEFB">
        <w:t xml:space="preserve">follow </w:t>
      </w:r>
      <w:r w:rsidR="2CF44C99">
        <w:t xml:space="preserve">OMB guidance with respect to the </w:t>
      </w:r>
      <w:r w:rsidR="2888CEFB">
        <w:t>Paperwork Reduction Act</w:t>
      </w:r>
      <w:r w:rsidR="724E3119">
        <w:t>, as necessary</w:t>
      </w:r>
      <w:r>
        <w:t>.</w:t>
      </w:r>
    </w:p>
    <w:p w:rsidR="004D72FE" w:rsidRPr="00BB29CB" w:rsidP="00147EB0" w14:paraId="78BF51B2" w14:textId="77777777">
      <w:pPr>
        <w:pStyle w:val="BodyTextIndent"/>
        <w:tabs>
          <w:tab w:val="clear" w:pos="720"/>
        </w:tabs>
        <w:jc w:val="left"/>
      </w:pPr>
    </w:p>
    <w:p w:rsidR="00164D2D" w:rsidRPr="00BB29CB" w:rsidP="00147EB0" w14:paraId="62FCDFB0" w14:textId="6D41F80B">
      <w:pPr>
        <w:numPr>
          <w:ilvl w:val="0"/>
          <w:numId w:val="1"/>
        </w:numPr>
        <w:rPr>
          <w:i/>
          <w:color w:val="000000" w:themeColor="text1"/>
          <w:szCs w:val="24"/>
          <w:highlight w:val="lightGray"/>
        </w:rPr>
      </w:pPr>
      <w:r w:rsidRPr="00BB29CB">
        <w:rPr>
          <w:i/>
          <w:color w:val="000000" w:themeColor="text1"/>
          <w:szCs w:val="24"/>
          <w:highlight w:val="lightGray"/>
        </w:rPr>
        <w:t>Describe any impacts on small business.</w:t>
      </w:r>
      <w:r w:rsidRPr="00BB29CB" w:rsidR="00CF3959">
        <w:rPr>
          <w:i/>
          <w:color w:val="000000" w:themeColor="text1"/>
          <w:szCs w:val="24"/>
          <w:highlight w:val="lightGray"/>
        </w:rPr>
        <w:t xml:space="preserve">  If applicable, describe any methods used to minimize those impacts.</w:t>
      </w:r>
    </w:p>
    <w:p w:rsidR="00B07A1E" w:rsidRPr="00BB29CB" w:rsidP="00147EB0" w14:paraId="46C8A0F3" w14:textId="1DB7B3D9">
      <w:pPr>
        <w:spacing w:after="0"/>
        <w:ind w:left="720"/>
        <w:rPr>
          <w:szCs w:val="24"/>
        </w:rPr>
      </w:pPr>
      <w:r w:rsidRPr="00BB29CB">
        <w:rPr>
          <w:szCs w:val="24"/>
        </w:rPr>
        <w:t xml:space="preserve">Not applicable. </w:t>
      </w:r>
      <w:r w:rsidRPr="00BB29CB" w:rsidR="00745A8C">
        <w:rPr>
          <w:szCs w:val="24"/>
        </w:rPr>
        <w:t>The common form is applicable only to federal employees</w:t>
      </w:r>
      <w:r w:rsidRPr="00BB29CB">
        <w:rPr>
          <w:szCs w:val="24"/>
        </w:rPr>
        <w:t>.</w:t>
      </w:r>
    </w:p>
    <w:p w:rsidR="004D72FE" w:rsidRPr="00BB29CB" w:rsidP="00147EB0" w14:paraId="57E9ADFB" w14:textId="77777777">
      <w:pPr>
        <w:spacing w:after="0"/>
        <w:ind w:left="720"/>
        <w:rPr>
          <w:szCs w:val="24"/>
        </w:rPr>
      </w:pPr>
    </w:p>
    <w:p w:rsidR="00164D2D" w:rsidRPr="00BB29CB" w:rsidP="00147EB0" w14:paraId="79506829" w14:textId="59721050">
      <w:pPr>
        <w:numPr>
          <w:ilvl w:val="0"/>
          <w:numId w:val="1"/>
        </w:numPr>
        <w:rPr>
          <w:i/>
          <w:color w:val="000000" w:themeColor="text1"/>
          <w:szCs w:val="24"/>
          <w:highlight w:val="lightGray"/>
        </w:rPr>
      </w:pPr>
      <w:r w:rsidRPr="00BB29CB">
        <w:rPr>
          <w:i/>
          <w:color w:val="000000" w:themeColor="text1"/>
          <w:szCs w:val="24"/>
          <w:highlight w:val="lightGray"/>
        </w:rPr>
        <w:t>What are consequences</w:t>
      </w:r>
      <w:r w:rsidRPr="00BB29CB" w:rsidR="00CF3959">
        <w:rPr>
          <w:i/>
          <w:color w:val="000000" w:themeColor="text1"/>
          <w:szCs w:val="24"/>
          <w:highlight w:val="lightGray"/>
        </w:rPr>
        <w:t xml:space="preserve"> to the Federal program or policy goals</w:t>
      </w:r>
      <w:r w:rsidRPr="00BB29CB">
        <w:rPr>
          <w:i/>
          <w:color w:val="000000" w:themeColor="text1"/>
          <w:szCs w:val="24"/>
          <w:highlight w:val="lightGray"/>
        </w:rPr>
        <w:t xml:space="preserve"> if this collection is not done</w:t>
      </w:r>
      <w:r w:rsidRPr="00BB29CB" w:rsidR="00CF3959">
        <w:rPr>
          <w:i/>
          <w:color w:val="000000" w:themeColor="text1"/>
          <w:szCs w:val="24"/>
          <w:highlight w:val="lightGray"/>
        </w:rPr>
        <w:t xml:space="preserve"> or the information is collected less frequently</w:t>
      </w:r>
      <w:r w:rsidRPr="00BB29CB">
        <w:rPr>
          <w:i/>
          <w:color w:val="000000" w:themeColor="text1"/>
          <w:szCs w:val="24"/>
          <w:highlight w:val="lightGray"/>
        </w:rPr>
        <w:t>?</w:t>
      </w:r>
      <w:r w:rsidRPr="00BB29CB" w:rsidR="002B4D8E">
        <w:rPr>
          <w:i/>
          <w:color w:val="000000" w:themeColor="text1"/>
          <w:szCs w:val="24"/>
          <w:highlight w:val="lightGray"/>
        </w:rPr>
        <w:t xml:space="preserve"> Describe any technical or legal obstacles to reducing burden.</w:t>
      </w:r>
    </w:p>
    <w:p w:rsidR="00B07A1E" w:rsidRPr="00BB29CB" w:rsidP="00147EB0" w14:paraId="46C8A0F5" w14:textId="63E134FB">
      <w:pPr>
        <w:pStyle w:val="BodyTextIndent"/>
        <w:tabs>
          <w:tab w:val="clear" w:pos="720"/>
        </w:tabs>
        <w:jc w:val="left"/>
      </w:pPr>
      <w:r w:rsidRPr="00BB29CB">
        <w:t>Without this collection, agencies could not satisfy the statutory requirement in section 1128 of the FY2004 NDAA to annually assess leadership and management practices and employee satisfaction with the work environment, rewards and recognition, and professional development. OPM, agency leadership, and Congress would also lose the only governmentwide dataset used for oversight and workforce planning. No technical or legal obstacles to reducing burden have been identified</w:t>
      </w:r>
      <w:r w:rsidRPr="00BB29CB" w:rsidR="002F134D">
        <w:t xml:space="preserve">. The </w:t>
      </w:r>
      <w:r w:rsidRPr="00BB29CB">
        <w:t xml:space="preserve">reduction in prescribed questions </w:t>
      </w:r>
      <w:r w:rsidRPr="00BB29CB" w:rsidR="002F134D">
        <w:t xml:space="preserve">from </w:t>
      </w:r>
      <w:r w:rsidRPr="00BB29CB">
        <w:t>16 to 10</w:t>
      </w:r>
      <w:r w:rsidRPr="00BB29CB" w:rsidR="002F134D">
        <w:t>,</w:t>
      </w:r>
      <w:r w:rsidRPr="00BB29CB">
        <w:t xml:space="preserve"> already reflected in this collection</w:t>
      </w:r>
      <w:r w:rsidRPr="00BB29CB" w:rsidR="002F134D">
        <w:t>, represents the burden reduction available without compromising the statutory purpose of section 1128</w:t>
      </w:r>
      <w:r w:rsidRPr="00BB29CB">
        <w:t>.</w:t>
      </w:r>
    </w:p>
    <w:p w:rsidR="003B59BE" w:rsidRPr="00BB29CB" w:rsidP="00147EB0" w14:paraId="72EE56A6" w14:textId="77777777">
      <w:pPr>
        <w:pStyle w:val="BodyTextIndent"/>
        <w:tabs>
          <w:tab w:val="clear" w:pos="720"/>
        </w:tabs>
        <w:jc w:val="left"/>
      </w:pPr>
    </w:p>
    <w:p w:rsidR="005F66DC" w:rsidRPr="00BB29CB" w:rsidP="00147EB0" w14:paraId="3821D067" w14:textId="2EF712DD">
      <w:pPr>
        <w:numPr>
          <w:ilvl w:val="0"/>
          <w:numId w:val="1"/>
        </w:numPr>
        <w:rPr>
          <w:i/>
          <w:color w:val="000000" w:themeColor="text1"/>
          <w:szCs w:val="24"/>
          <w:highlight w:val="lightGray"/>
        </w:rPr>
      </w:pPr>
      <w:r w:rsidRPr="00BB29CB">
        <w:rPr>
          <w:i/>
          <w:color w:val="000000" w:themeColor="text1"/>
          <w:szCs w:val="24"/>
          <w:highlight w:val="lightGray"/>
        </w:rPr>
        <w:t>Do</w:t>
      </w:r>
      <w:r w:rsidRPr="00BB29CB" w:rsidR="00164D2D">
        <w:rPr>
          <w:i/>
          <w:color w:val="000000" w:themeColor="text1"/>
          <w:szCs w:val="24"/>
          <w:highlight w:val="lightGray"/>
        </w:rPr>
        <w:t xml:space="preserve"> any </w:t>
      </w:r>
      <w:r w:rsidRPr="00BB29CB">
        <w:rPr>
          <w:i/>
          <w:color w:val="000000" w:themeColor="text1"/>
          <w:szCs w:val="24"/>
          <w:highlight w:val="lightGray"/>
        </w:rPr>
        <w:t xml:space="preserve">of the following </w:t>
      </w:r>
      <w:r w:rsidRPr="00BB29CB" w:rsidR="00164D2D">
        <w:rPr>
          <w:i/>
          <w:color w:val="000000" w:themeColor="text1"/>
          <w:szCs w:val="24"/>
          <w:highlight w:val="lightGray"/>
        </w:rPr>
        <w:t>special circumstances</w:t>
      </w:r>
      <w:r w:rsidRPr="00BB29CB" w:rsidR="00AD5D02">
        <w:rPr>
          <w:i/>
          <w:color w:val="000000" w:themeColor="text1"/>
          <w:szCs w:val="24"/>
          <w:highlight w:val="lightGray"/>
        </w:rPr>
        <w:t xml:space="preserve"> apply</w:t>
      </w:r>
      <w:r w:rsidRPr="00BB29CB" w:rsidR="00164D2D">
        <w:rPr>
          <w:i/>
          <w:color w:val="000000" w:themeColor="text1"/>
          <w:szCs w:val="24"/>
          <w:highlight w:val="lightGray"/>
        </w:rPr>
        <w:t>?</w:t>
      </w:r>
      <w:r w:rsidRPr="00BB29CB" w:rsidR="00AD5D02">
        <w:rPr>
          <w:szCs w:val="24"/>
          <w:highlight w:val="lightGray"/>
        </w:rPr>
        <w:t xml:space="preserve"> </w:t>
      </w:r>
    </w:p>
    <w:p w:rsidR="00AD5D02" w:rsidRPr="00BB29CB" w:rsidP="00147EB0" w14:paraId="5796A477" w14:textId="0A855530">
      <w:pPr>
        <w:ind w:left="720"/>
        <w:rPr>
          <w:i/>
          <w:color w:val="000000" w:themeColor="text1"/>
          <w:szCs w:val="24"/>
          <w:highlight w:val="lightGray"/>
        </w:rPr>
      </w:pPr>
      <w:r w:rsidRPr="00BB29CB">
        <w:rPr>
          <w:i/>
          <w:color w:val="000000" w:themeColor="text1"/>
          <w:szCs w:val="24"/>
          <w:highlight w:val="lightGray"/>
        </w:rPr>
        <w:t xml:space="preserve">• requiring respondents to report information to the agency more often than quarterly; </w:t>
      </w:r>
    </w:p>
    <w:p w:rsidR="00AD5D02" w:rsidRPr="00BB29CB" w:rsidP="00147EB0" w14:paraId="4930531B" w14:textId="0BED750F">
      <w:pPr>
        <w:ind w:left="720"/>
        <w:rPr>
          <w:i/>
          <w:color w:val="000000" w:themeColor="text1"/>
          <w:szCs w:val="24"/>
          <w:highlight w:val="lightGray"/>
        </w:rPr>
      </w:pPr>
      <w:r w:rsidRPr="00BB29CB">
        <w:rPr>
          <w:i/>
          <w:color w:val="000000" w:themeColor="text1"/>
          <w:szCs w:val="24"/>
          <w:highlight w:val="lightGray"/>
        </w:rPr>
        <w:t>•</w:t>
      </w:r>
      <w:r w:rsidRPr="00BB29CB" w:rsidR="00EC5440">
        <w:rPr>
          <w:i/>
          <w:color w:val="000000" w:themeColor="text1"/>
          <w:szCs w:val="24"/>
          <w:highlight w:val="lightGray"/>
        </w:rPr>
        <w:t xml:space="preserve"> </w:t>
      </w:r>
      <w:r w:rsidRPr="00BB29CB">
        <w:rPr>
          <w:i/>
          <w:color w:val="000000" w:themeColor="text1"/>
          <w:szCs w:val="24"/>
          <w:highlight w:val="lightGray"/>
        </w:rPr>
        <w:t>requiring</w:t>
      </w:r>
      <w:r w:rsidRPr="00BB29CB">
        <w:rPr>
          <w:i/>
          <w:color w:val="000000" w:themeColor="text1"/>
          <w:szCs w:val="24"/>
          <w:highlight w:val="lightGray"/>
        </w:rPr>
        <w:t xml:space="preserve"> respondents to prepare a written response to a collection of information in fewer than 30 days after receipt of it; </w:t>
      </w:r>
    </w:p>
    <w:p w:rsidR="00AD5D02" w:rsidRPr="00BB29CB" w:rsidP="00147EB0" w14:paraId="5DF0FF89" w14:textId="77777777">
      <w:pPr>
        <w:ind w:left="720"/>
        <w:rPr>
          <w:i/>
          <w:color w:val="000000" w:themeColor="text1"/>
          <w:szCs w:val="24"/>
          <w:highlight w:val="lightGray"/>
        </w:rPr>
      </w:pPr>
      <w:r w:rsidRPr="00BB29CB">
        <w:rPr>
          <w:i/>
          <w:color w:val="000000" w:themeColor="text1"/>
          <w:szCs w:val="24"/>
          <w:highlight w:val="lightGray"/>
        </w:rPr>
        <w:t xml:space="preserve">•requiring respondents to submit more than an original and two copies of any document; </w:t>
      </w:r>
    </w:p>
    <w:p w:rsidR="00AD5D02" w:rsidRPr="00BB29CB" w:rsidP="00147EB0" w14:paraId="0188049D" w14:textId="77777777">
      <w:pPr>
        <w:ind w:left="720"/>
        <w:rPr>
          <w:i/>
          <w:color w:val="000000" w:themeColor="text1"/>
          <w:szCs w:val="24"/>
          <w:highlight w:val="lightGray"/>
        </w:rPr>
      </w:pPr>
      <w:r w:rsidRPr="00BB29CB">
        <w:rPr>
          <w:i/>
          <w:color w:val="000000" w:themeColor="text1"/>
          <w:szCs w:val="24"/>
          <w:highlight w:val="lightGray"/>
        </w:rPr>
        <w:t xml:space="preserve">• requiring respondents to retain records, other than health, medical, government contract, grant-in-aid, or tax records, for more than three years; </w:t>
      </w:r>
    </w:p>
    <w:p w:rsidR="00AD5D02" w:rsidRPr="00BB29CB" w:rsidP="00147EB0" w14:paraId="5A25A658" w14:textId="77777777">
      <w:pPr>
        <w:ind w:left="720"/>
        <w:rPr>
          <w:i/>
          <w:color w:val="000000" w:themeColor="text1"/>
          <w:szCs w:val="24"/>
          <w:highlight w:val="lightGray"/>
        </w:rPr>
      </w:pPr>
      <w:r w:rsidRPr="00BB29CB">
        <w:rPr>
          <w:i/>
          <w:color w:val="000000" w:themeColor="text1"/>
          <w:szCs w:val="24"/>
          <w:highlight w:val="lightGray"/>
        </w:rPr>
        <w:t xml:space="preserve">• in connection with a statistical </w:t>
      </w:r>
      <w:r w:rsidRPr="00BB29CB">
        <w:rPr>
          <w:i/>
          <w:color w:val="000000" w:themeColor="text1"/>
          <w:szCs w:val="24"/>
          <w:highlight w:val="lightGray"/>
        </w:rPr>
        <w:t>survey,</w:t>
      </w:r>
      <w:r w:rsidRPr="00BB29CB">
        <w:rPr>
          <w:i/>
          <w:color w:val="000000" w:themeColor="text1"/>
          <w:szCs w:val="24"/>
          <w:highlight w:val="lightGray"/>
        </w:rPr>
        <w:t xml:space="preserve"> that is not designed to produce valid and reliable results that can be generalized to the universe of study; </w:t>
      </w:r>
    </w:p>
    <w:p w:rsidR="00AD5D02" w:rsidRPr="00BB29CB" w:rsidP="00147EB0" w14:paraId="716B575B" w14:textId="77777777">
      <w:pPr>
        <w:ind w:left="720"/>
        <w:rPr>
          <w:i/>
          <w:color w:val="000000" w:themeColor="text1"/>
          <w:szCs w:val="24"/>
          <w:highlight w:val="lightGray"/>
        </w:rPr>
      </w:pPr>
      <w:r w:rsidRPr="00BB29CB">
        <w:rPr>
          <w:i/>
          <w:color w:val="000000" w:themeColor="text1"/>
          <w:szCs w:val="24"/>
          <w:highlight w:val="lightGray"/>
        </w:rPr>
        <w:t xml:space="preserve">• requiring the use of a statistical data classification that has not been reviewed and approved by OMB; </w:t>
      </w:r>
    </w:p>
    <w:p w:rsidR="00AD5D02" w:rsidRPr="00BB29CB" w:rsidP="00147EB0" w14:paraId="3E033E1D" w14:textId="77777777">
      <w:pPr>
        <w:ind w:left="720"/>
        <w:rPr>
          <w:i/>
          <w:color w:val="000000" w:themeColor="text1"/>
          <w:szCs w:val="24"/>
          <w:highlight w:val="lightGray"/>
        </w:rPr>
      </w:pPr>
      <w:r w:rsidRPr="00BB29CB">
        <w:rPr>
          <w:i/>
          <w:color w:val="000000" w:themeColor="text1"/>
          <w:szCs w:val="24"/>
          <w:highlight w:val="lightGray"/>
        </w:rPr>
        <w:t xml:space="preserve">•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164D2D" w:rsidRPr="00BB29CB" w:rsidP="00147EB0" w14:paraId="5098DE09" w14:textId="1D72A259">
      <w:pPr>
        <w:ind w:left="720"/>
        <w:rPr>
          <w:i/>
          <w:color w:val="000000" w:themeColor="text1"/>
          <w:szCs w:val="24"/>
        </w:rPr>
      </w:pPr>
      <w:r w:rsidRPr="00BB29CB">
        <w:rPr>
          <w:i/>
          <w:color w:val="000000" w:themeColor="text1"/>
          <w:szCs w:val="24"/>
          <w:highlight w:val="lightGray"/>
        </w:rPr>
        <w:t>• requiring respondents to submit proprietary trade secrets, or other confidential information unless the agency can demonstrate that it has instituted procedures to protect the information's confidentiality to the extent permitted by law.</w:t>
      </w:r>
    </w:p>
    <w:p w:rsidR="0071103E" w:rsidRPr="00BB29CB" w:rsidP="00147EB0" w14:paraId="730F60D1" w14:textId="77777777">
      <w:pPr>
        <w:pStyle w:val="BodyTextIndent"/>
        <w:tabs>
          <w:tab w:val="clear" w:pos="720"/>
        </w:tabs>
        <w:jc w:val="left"/>
      </w:pPr>
      <w:r w:rsidRPr="00BB29CB">
        <w:t>None of the special circumstances listed above apply to this collection.</w:t>
      </w:r>
    </w:p>
    <w:p w:rsidR="001E7E3C" w:rsidRPr="00BB29CB" w:rsidP="00147EB0" w14:paraId="74292569" w14:textId="77777777">
      <w:pPr>
        <w:pStyle w:val="BodyTextIndent"/>
        <w:tabs>
          <w:tab w:val="clear" w:pos="720"/>
        </w:tabs>
        <w:jc w:val="left"/>
      </w:pPr>
    </w:p>
    <w:p w:rsidR="00164D2D" w:rsidRPr="00BB29CB" w:rsidP="00147EB0" w14:paraId="2A720E9D" w14:textId="1D606A4A">
      <w:pPr>
        <w:numPr>
          <w:ilvl w:val="0"/>
          <w:numId w:val="1"/>
        </w:numPr>
        <w:rPr>
          <w:i/>
          <w:color w:val="000000" w:themeColor="text1"/>
          <w:szCs w:val="24"/>
          <w:highlight w:val="lightGray"/>
        </w:rPr>
      </w:pPr>
      <w:bookmarkStart w:id="0" w:name="_Hlk95989229"/>
      <w:r w:rsidRPr="00BB29CB">
        <w:rPr>
          <w:i/>
          <w:color w:val="000000" w:themeColor="text1"/>
          <w:szCs w:val="24"/>
          <w:highlight w:val="lightGray"/>
        </w:rPr>
        <w:t xml:space="preserve">Cite the </w:t>
      </w:r>
      <w:r w:rsidRPr="00BB29CB" w:rsidR="0082620A">
        <w:rPr>
          <w:i/>
          <w:color w:val="000000" w:themeColor="text1"/>
          <w:szCs w:val="24"/>
          <w:highlight w:val="lightGray"/>
        </w:rPr>
        <w:t>Federal Register</w:t>
      </w:r>
      <w:r w:rsidRPr="00BB29CB">
        <w:rPr>
          <w:i/>
          <w:color w:val="000000" w:themeColor="text1"/>
          <w:szCs w:val="24"/>
          <w:highlight w:val="lightGray"/>
        </w:rPr>
        <w:t xml:space="preserve"> publication </w:t>
      </w:r>
      <w:r w:rsidRPr="00BB29CB">
        <w:rPr>
          <w:i/>
          <w:color w:val="000000" w:themeColor="text1"/>
          <w:szCs w:val="24"/>
          <w:highlight w:val="lightGray"/>
        </w:rPr>
        <w:t xml:space="preserve">for </w:t>
      </w:r>
      <w:r w:rsidRPr="00BB29CB">
        <w:rPr>
          <w:i/>
          <w:color w:val="000000" w:themeColor="text1"/>
          <w:szCs w:val="24"/>
          <w:highlight w:val="lightGray"/>
        </w:rPr>
        <w:t xml:space="preserve">a request for public comments </w:t>
      </w:r>
      <w:r w:rsidRPr="00BB29CB" w:rsidR="0082620A">
        <w:rPr>
          <w:i/>
          <w:color w:val="000000" w:themeColor="text1"/>
          <w:szCs w:val="24"/>
          <w:highlight w:val="lightGray"/>
        </w:rPr>
        <w:t>and address any comments received</w:t>
      </w:r>
      <w:r w:rsidRPr="00BB29CB">
        <w:rPr>
          <w:i/>
          <w:color w:val="000000" w:themeColor="text1"/>
          <w:szCs w:val="24"/>
          <w:highlight w:val="lightGray"/>
        </w:rPr>
        <w:t>.</w:t>
      </w:r>
    </w:p>
    <w:p w:rsidR="0093796B" w:rsidP="00147EB0" w14:paraId="1332793A" w14:textId="461A4278">
      <w:pPr>
        <w:ind w:left="720"/>
      </w:pPr>
      <w:r>
        <w:t xml:space="preserve">OPM published a </w:t>
      </w:r>
      <w:r w:rsidR="00805E45">
        <w:t>3</w:t>
      </w:r>
      <w:r>
        <w:t>0-day notice requesting public comment on this new information collection at 91 FR 40599 (July 2, 2026) (FR Doc. 2026-13443; Docket ID OPM-2026-0001, Document ID OPM-2026-0001-0029). The comment period closed August 31, 2026, and OPM received 1</w:t>
      </w:r>
      <w:r w:rsidR="35AB25ED">
        <w:t>3</w:t>
      </w:r>
      <w:r>
        <w:t xml:space="preserve"> </w:t>
      </w:r>
      <w:r w:rsidR="70DD50A5">
        <w:t xml:space="preserve">unique </w:t>
      </w:r>
      <w:r>
        <w:t>public comments</w:t>
      </w:r>
      <w:r w:rsidR="68FFA999">
        <w:t xml:space="preserve"> and one duplicative comment</w:t>
      </w:r>
      <w:r>
        <w:t xml:space="preserve">. </w:t>
      </w:r>
    </w:p>
    <w:p w:rsidR="008C1D88" w:rsidRPr="008C1D88" w:rsidP="008C1D88" w14:paraId="2C87D007" w14:textId="77777777">
      <w:pPr>
        <w:ind w:left="720"/>
        <w:rPr>
          <w:b/>
          <w:bCs/>
          <w:szCs w:val="24"/>
        </w:rPr>
      </w:pPr>
      <w:r w:rsidRPr="008C1D88">
        <w:rPr>
          <w:b/>
          <w:bCs/>
          <w:szCs w:val="24"/>
        </w:rPr>
        <w:t>PUBLIC COMMENTS:</w:t>
      </w:r>
    </w:p>
    <w:p w:rsidR="008C1D88" w:rsidRPr="008C1D88" w:rsidP="008C1D88" w14:paraId="71446269" w14:textId="77777777">
      <w:pPr>
        <w:ind w:left="720"/>
        <w:rPr>
          <w:szCs w:val="24"/>
        </w:rPr>
      </w:pPr>
      <w:r w:rsidRPr="008C1D88">
        <w:rPr>
          <w:szCs w:val="24"/>
        </w:rPr>
        <w:t>OPM received 13 unique public comments and one duplicative comment in response to the 60-day notice (91 FR 40599) for this collection. Of these, three comments addressed matters within the scope of this Paperwork Reduction Act review; those comments and OPM’s responses are summarized below. The remaining comments addressed the substance of the underlying rule at 5 CFR part 250, subpart C, including the transition from an OPM centralized administered surveys to individual agency-administered surveys, and the reduction in the number of prescribed items. These concerns are already addressed in the final rule (RIN 3206-AO77).</w:t>
      </w:r>
    </w:p>
    <w:p w:rsidR="008C1D88" w:rsidRPr="008C1D88" w:rsidP="008C1D88" w14:paraId="678051BD" w14:textId="77777777">
      <w:pPr>
        <w:ind w:left="720"/>
        <w:rPr>
          <w:szCs w:val="24"/>
        </w:rPr>
      </w:pPr>
      <w:r w:rsidRPr="008C1D88">
        <w:rPr>
          <w:szCs w:val="24"/>
        </w:rPr>
        <w:t>Commenter 0044 argued that OPM’s burden estimate for this collection should account for more than the time employees spend answering the ten prescribed questions, and urged OPM to distinguish “respondent burden” from the broader administrative burden agencies will bear under decentralized administration including survey configuration, cybersecurity and privacy controls, accessibility, technical support, data validation, and reporting and to adopt governmentwide technical standards to preserve comparability across agencies.</w:t>
      </w:r>
    </w:p>
    <w:p w:rsidR="008C1D88" w:rsidRPr="008C1D88" w:rsidP="008C1D88" w14:paraId="40CC9DFF" w14:textId="77777777">
      <w:pPr>
        <w:ind w:left="720"/>
        <w:rPr>
          <w:szCs w:val="24"/>
        </w:rPr>
      </w:pPr>
      <w:r w:rsidRPr="008C1D88">
        <w:rPr>
          <w:szCs w:val="24"/>
        </w:rPr>
        <w:t>OPM’s burden estimate follows 5 CFR 1320.3(b), which defines “burden” as the time and effort respondents, in this case the employees completing the survey—, spend providing information. It does not extend to an agency’s internal administrative costs of operating a program; those costs fall outside the scope of the burden definition. The commenter’s related request that OPM adopt governmentwide technical standards concerns the design and administration of agency surveys rather than the burden estimate in this collection. Accordingly, revision of the burden estimate is not warranted.</w:t>
      </w:r>
    </w:p>
    <w:p w:rsidR="008C1D88" w:rsidRPr="008C1D88" w:rsidP="008C1D88" w14:paraId="04D60D6B" w14:textId="77777777">
      <w:pPr>
        <w:ind w:left="720"/>
        <w:rPr>
          <w:szCs w:val="24"/>
        </w:rPr>
      </w:pPr>
      <w:r w:rsidRPr="008C1D88">
        <w:rPr>
          <w:szCs w:val="24"/>
        </w:rPr>
        <w:t xml:space="preserve">Commenter 0049 asserted that decentralized administration undermines the PRA’s practical utility standard. In the commenter’s view, employees will distrust confidentiality once their own agency’s leadership controls both the survey and the </w:t>
      </w:r>
      <w:r w:rsidRPr="008C1D88">
        <w:rPr>
          <w:szCs w:val="24"/>
        </w:rPr>
        <w:t xml:space="preserve">resulting data; responses will therefore be distorted or withheld; and the data will fail to measure what section 1128 requires—leadership practices, work environment, and recognition. On that reasoning, comparability across the ten </w:t>
      </w:r>
      <w:r w:rsidRPr="008C1D88">
        <w:rPr>
          <w:szCs w:val="24"/>
        </w:rPr>
        <w:t>retained</w:t>
      </w:r>
      <w:r w:rsidRPr="008C1D88">
        <w:rPr>
          <w:szCs w:val="24"/>
        </w:rPr>
        <w:t xml:space="preserve"> questions is meaningless if the underlying answers are not candid. </w:t>
      </w:r>
    </w:p>
    <w:p w:rsidR="008C1D88" w:rsidRPr="008C1D88" w:rsidP="008C1D88" w14:paraId="22CD63D1" w14:textId="77777777">
      <w:pPr>
        <w:ind w:left="720"/>
        <w:rPr>
          <w:szCs w:val="24"/>
        </w:rPr>
      </w:pPr>
      <w:r w:rsidRPr="008C1D88">
        <w:rPr>
          <w:szCs w:val="24"/>
        </w:rPr>
        <w:t>Concerns about confidentiality are not new; employees have expressed similar apprehension under centralized administration. Candor is protected by confidentiality safeguards—suppression thresholds, access controls, disclosure-avoidance procedures, and a prohibition on using identifiable responses for personnel actions—rather than by the identity of the entity administering the survey. These safeguards apply regardless of whether OPM or the agency administers the collection. A well-protected, agency-administered survey meets the practical utility standard that section 1128 requires.</w:t>
      </w:r>
    </w:p>
    <w:p w:rsidR="008C1D88" w:rsidRPr="008C1D88" w:rsidP="008C1D88" w14:paraId="3C7B0744" w14:textId="77777777">
      <w:pPr>
        <w:ind w:left="720"/>
        <w:rPr>
          <w:szCs w:val="24"/>
        </w:rPr>
      </w:pPr>
      <w:r w:rsidRPr="008C1D88">
        <w:rPr>
          <w:szCs w:val="24"/>
        </w:rPr>
        <w:t>Commenter 0051 stated that a collection that does not measure what the statute directs agencies to measure lacks the practical utility the Paperwork Reduction Act requires.</w:t>
      </w:r>
    </w:p>
    <w:p w:rsidR="008C1D88" w:rsidRPr="008C1D88" w:rsidP="008C1D88" w14:paraId="56D29A56" w14:textId="77777777">
      <w:pPr>
        <w:ind w:left="720"/>
        <w:rPr>
          <w:szCs w:val="24"/>
        </w:rPr>
      </w:pPr>
      <w:r w:rsidRPr="008C1D88">
        <w:rPr>
          <w:szCs w:val="24"/>
        </w:rPr>
        <w:t>The ten retained questions map directly to the constructs section 1128 directs agencies to assess: employee satisfaction with leadership policies and practices, the work environment, and rewards and recognition for professional and personal contributions to the mission. Reducing the number of questions does not abandon those constructs; it retains the most probative item for each one and removes redundant or lower-value items that added respondent burden without adding statutory coverage. The collection therefore satisfies the practical utility standard.</w:t>
      </w:r>
    </w:p>
    <w:p w:rsidR="008C1D88" w:rsidRPr="008C1D88" w:rsidP="008C1D88" w14:paraId="6877BEE4" w14:textId="77777777">
      <w:pPr>
        <w:ind w:left="720"/>
        <w:rPr>
          <w:b/>
          <w:bCs/>
          <w:szCs w:val="24"/>
        </w:rPr>
      </w:pPr>
      <w:r w:rsidRPr="008C1D88">
        <w:rPr>
          <w:b/>
          <w:bCs/>
          <w:szCs w:val="24"/>
        </w:rPr>
        <w:t>Addressing Comments Related to the Federal Employee Viewpoint Survey</w:t>
      </w:r>
    </w:p>
    <w:p w:rsidR="008C1D88" w:rsidRPr="008C1D88" w:rsidP="008C1D88" w14:paraId="54E30F03" w14:textId="12396A40">
      <w:pPr>
        <w:ind w:left="720"/>
        <w:rPr>
          <w:szCs w:val="24"/>
        </w:rPr>
      </w:pPr>
      <w:r w:rsidRPr="008C1D88">
        <w:rPr>
          <w:szCs w:val="24"/>
        </w:rPr>
        <w:t xml:space="preserve">Almost all the public comments were either specifically about the FEVS or made a point to mention the FEVS (comments 0030, 0031, 0032, 0033, 0034, 0035, 0044, 0045, 0048, 0049, 0050, 0051, 0052). These comments were generally supportive of continuing the FEVS as a larger governmentwide survey administered centrally at OPM and criticized reducing the number of survey items and changing the methodology. Most of these comments are not directed to the content of this PRA notice but rather to the 5 CFR part 250 proposed rule that changes many aspects of the part 250 regulation, including the required survey items found in Subpart C—Employee Surveys. This proposed rule was out for public comment approximately at the same time as the PRA public notice. </w:t>
      </w:r>
    </w:p>
    <w:bookmarkEnd w:id="0"/>
    <w:p w:rsidR="00B107C3" w:rsidRPr="008C1D88" w:rsidP="008C1D88" w14:paraId="4E9A7C53" w14:textId="25C3CC4B">
      <w:pPr>
        <w:ind w:left="720"/>
        <w:rPr>
          <w:szCs w:val="24"/>
        </w:rPr>
      </w:pPr>
      <w:r w:rsidRPr="008C1D88">
        <w:rPr>
          <w:szCs w:val="24"/>
        </w:rPr>
        <w:t xml:space="preserve">Almost all the FEVS-related content in these comments is addressed in </w:t>
      </w:r>
      <w:r w:rsidRPr="008C1D88">
        <w:rPr>
          <w:szCs w:val="24"/>
        </w:rPr>
        <w:t>the response</w:t>
      </w:r>
      <w:r w:rsidRPr="008C1D88">
        <w:rPr>
          <w:szCs w:val="24"/>
        </w:rPr>
        <w:t xml:space="preserve"> to comments accompanying the 5 CFR part 250 final rule. The only exception is comment 0035, which raises agency burden associated with having conducted a survey that did not include the ten items finalized in this collection. The statute, which requires agencies to conduct an annual employee survey, instructs that the survey must include the items OPM prescribes in regulation.</w:t>
      </w:r>
    </w:p>
    <w:p w:rsidR="00164D2D" w:rsidRPr="00BB29CB" w:rsidP="00147EB0" w14:paraId="0FC3F972" w14:textId="77777777">
      <w:pPr>
        <w:numPr>
          <w:ilvl w:val="0"/>
          <w:numId w:val="1"/>
        </w:numPr>
        <w:rPr>
          <w:i/>
          <w:color w:val="000000" w:themeColor="text1"/>
          <w:szCs w:val="24"/>
          <w:highlight w:val="lightGray"/>
        </w:rPr>
      </w:pPr>
      <w:r w:rsidRPr="00BB29CB">
        <w:rPr>
          <w:i/>
          <w:color w:val="000000" w:themeColor="text1"/>
          <w:szCs w:val="24"/>
          <w:highlight w:val="lightGray"/>
        </w:rPr>
        <w:t>Are payments or gifts given to the respondents?</w:t>
      </w:r>
    </w:p>
    <w:p w:rsidR="00B07A1E" w:rsidRPr="00BB29CB" w:rsidP="00147EB0" w14:paraId="46C8A0FB" w14:textId="77777777">
      <w:pPr>
        <w:pStyle w:val="BodyTextIndent"/>
        <w:tabs>
          <w:tab w:val="clear" w:pos="720"/>
        </w:tabs>
        <w:jc w:val="left"/>
      </w:pPr>
      <w:r w:rsidRPr="00BB29CB">
        <w:t>No payments or gifts are provided to respondents.</w:t>
      </w:r>
    </w:p>
    <w:p w:rsidR="0093796B" w:rsidRPr="00BB29CB" w:rsidP="00147EB0" w14:paraId="3BE03F98" w14:textId="77777777">
      <w:pPr>
        <w:pStyle w:val="BodyTextIndent"/>
        <w:tabs>
          <w:tab w:val="clear" w:pos="720"/>
        </w:tabs>
        <w:jc w:val="left"/>
      </w:pPr>
    </w:p>
    <w:p w:rsidR="00164D2D" w:rsidRPr="00BB29CB" w:rsidP="00147EB0" w14:paraId="39D42DDC" w14:textId="3B86DA4D">
      <w:pPr>
        <w:numPr>
          <w:ilvl w:val="0"/>
          <w:numId w:val="1"/>
        </w:numPr>
        <w:rPr>
          <w:i/>
          <w:color w:val="000000" w:themeColor="text1"/>
          <w:szCs w:val="24"/>
          <w:highlight w:val="lightGray"/>
        </w:rPr>
      </w:pPr>
      <w:r w:rsidRPr="00BB29CB">
        <w:rPr>
          <w:i/>
          <w:color w:val="000000" w:themeColor="text1"/>
          <w:szCs w:val="24"/>
          <w:highlight w:val="lightGray"/>
        </w:rPr>
        <w:t xml:space="preserve">Describe </w:t>
      </w:r>
      <w:r w:rsidRPr="00BB29CB" w:rsidR="00CF3959">
        <w:rPr>
          <w:i/>
          <w:color w:val="000000" w:themeColor="text1"/>
          <w:szCs w:val="24"/>
          <w:highlight w:val="lightGray"/>
        </w:rPr>
        <w:t xml:space="preserve">any </w:t>
      </w:r>
      <w:r w:rsidRPr="00BB29CB">
        <w:rPr>
          <w:i/>
          <w:color w:val="000000" w:themeColor="text1"/>
          <w:szCs w:val="24"/>
          <w:highlight w:val="lightGray"/>
        </w:rPr>
        <w:t>assurances of privacy/confidentiality</w:t>
      </w:r>
      <w:r w:rsidRPr="00BB29CB" w:rsidR="004975F1">
        <w:rPr>
          <w:i/>
          <w:color w:val="000000" w:themeColor="text1"/>
          <w:szCs w:val="24"/>
          <w:highlight w:val="lightGray"/>
        </w:rPr>
        <w:t>. Cite specific privacy laws</w:t>
      </w:r>
      <w:r w:rsidRPr="00BB29CB" w:rsidR="00CF3959">
        <w:rPr>
          <w:i/>
          <w:color w:val="000000" w:themeColor="text1"/>
          <w:szCs w:val="24"/>
          <w:highlight w:val="lightGray"/>
        </w:rPr>
        <w:t>, relevant OPM regulations,</w:t>
      </w:r>
      <w:r w:rsidRPr="00BB29CB" w:rsidR="004975F1">
        <w:rPr>
          <w:i/>
          <w:color w:val="000000" w:themeColor="text1"/>
          <w:szCs w:val="24"/>
          <w:highlight w:val="lightGray"/>
        </w:rPr>
        <w:t xml:space="preserve"> and SORNs</w:t>
      </w:r>
      <w:r w:rsidRPr="00BB29CB" w:rsidR="0098184E">
        <w:rPr>
          <w:i/>
          <w:color w:val="000000" w:themeColor="text1"/>
          <w:szCs w:val="24"/>
          <w:highlight w:val="lightGray"/>
        </w:rPr>
        <w:t>.</w:t>
      </w:r>
    </w:p>
    <w:p w:rsidR="003C6628" w:rsidP="000E14AF" w14:paraId="278BD919" w14:textId="728E1A31">
      <w:pPr>
        <w:pStyle w:val="ListParagraph"/>
      </w:pPr>
      <w:r w:rsidRPr="00BB29CB">
        <w:rPr>
          <w:rFonts w:ascii="Times New Roman" w:hAnsi="Times New Roman"/>
        </w:rPr>
        <w:t xml:space="preserve">Individual </w:t>
      </w:r>
      <w:r w:rsidRPr="00BB29CB" w:rsidR="00D25150">
        <w:rPr>
          <w:rFonts w:ascii="Times New Roman" w:hAnsi="Times New Roman"/>
        </w:rPr>
        <w:t>survey</w:t>
      </w:r>
      <w:r w:rsidRPr="00BB29CB">
        <w:rPr>
          <w:rFonts w:ascii="Times New Roman" w:hAnsi="Times New Roman"/>
        </w:rPr>
        <w:t xml:space="preserve"> responses are used only in aggregate, statistical form </w:t>
      </w:r>
      <w:r w:rsidRPr="00BB29CB" w:rsidR="00D25150">
        <w:rPr>
          <w:rFonts w:ascii="Times New Roman" w:hAnsi="Times New Roman"/>
        </w:rPr>
        <w:t xml:space="preserve">(counts, percentages, averages) </w:t>
      </w:r>
      <w:r w:rsidRPr="00BB29CB">
        <w:rPr>
          <w:rFonts w:ascii="Times New Roman" w:hAnsi="Times New Roman"/>
        </w:rPr>
        <w:t>and are not attributed to individual respondents in reporting.</w:t>
      </w:r>
      <w:r w:rsidRPr="00BB29CB" w:rsidR="6477A10C">
        <w:rPr>
          <w:rFonts w:ascii="Times New Roman" w:hAnsi="Times New Roman"/>
        </w:rPr>
        <w:t xml:space="preserve"> </w:t>
      </w:r>
      <w:r w:rsidRPr="00BB29CB" w:rsidR="73C18EBD">
        <w:rPr>
          <w:rFonts w:ascii="Times New Roman" w:hAnsi="Times New Roman"/>
        </w:rPr>
        <w:t xml:space="preserve">This </w:t>
      </w:r>
      <w:r w:rsidRPr="00BB29CB" w:rsidR="73C18EBD">
        <w:rPr>
          <w:rFonts w:ascii="Times New Roman" w:hAnsi="Times New Roman"/>
        </w:rPr>
        <w:t xml:space="preserve">information collection is protected by the Privacy Act of 1974 and OPM regulations (5 CFR </w:t>
      </w:r>
      <w:r w:rsidR="00F81F1C">
        <w:rPr>
          <w:rFonts w:ascii="Times New Roman" w:hAnsi="Times New Roman"/>
        </w:rPr>
        <w:t>5.2(b) and 9.2</w:t>
      </w:r>
      <w:r w:rsidRPr="00BB29CB" w:rsidR="73C18EBD">
        <w:rPr>
          <w:rFonts w:ascii="Times New Roman" w:hAnsi="Times New Roman"/>
        </w:rPr>
        <w:t>). The routine uses of disclosure appear in the Federal Register posting of</w:t>
      </w:r>
      <w:r w:rsidRPr="00BB29CB" w:rsidR="6477A10C">
        <w:rPr>
          <w:rFonts w:ascii="Times New Roman" w:hAnsi="Times New Roman"/>
        </w:rPr>
        <w:t xml:space="preserve"> Central-21, Federal Employee Viewpoint Survey</w:t>
      </w:r>
      <w:r w:rsidRPr="00BB29CB" w:rsidR="6B229DC5">
        <w:rPr>
          <w:rFonts w:ascii="Times New Roman" w:hAnsi="Times New Roman"/>
        </w:rPr>
        <w:t xml:space="preserve"> at</w:t>
      </w:r>
      <w:r w:rsidRPr="00BB29CB" w:rsidR="6477A10C">
        <w:rPr>
          <w:rFonts w:ascii="Times New Roman" w:hAnsi="Times New Roman"/>
        </w:rPr>
        <w:t xml:space="preserve"> 82 FR 57489 (12/5/2017)</w:t>
      </w:r>
      <w:r w:rsidRPr="00BB29CB" w:rsidR="31E28712">
        <w:rPr>
          <w:rFonts w:ascii="Times New Roman" w:hAnsi="Times New Roman"/>
        </w:rPr>
        <w:t>.</w:t>
      </w:r>
      <w:r w:rsidRPr="00BB29CB" w:rsidR="00AF2C24">
        <w:t xml:space="preserve"> </w:t>
      </w:r>
    </w:p>
    <w:p w:rsidR="000E14AF" w:rsidP="00323591" w14:paraId="3F6F30E6" w14:textId="77777777">
      <w:pPr>
        <w:pStyle w:val="BodyTextIndent"/>
        <w:jc w:val="left"/>
      </w:pPr>
    </w:p>
    <w:p w:rsidR="000E14AF" w:rsidRPr="00BB29CB" w:rsidP="000E14AF" w14:paraId="2035CC3F" w14:textId="09EDBCD3">
      <w:pPr>
        <w:numPr>
          <w:ilvl w:val="0"/>
          <w:numId w:val="1"/>
        </w:numPr>
        <w:rPr>
          <w:i/>
          <w:color w:val="000000" w:themeColor="text1"/>
          <w:szCs w:val="24"/>
          <w:highlight w:val="lightGray"/>
        </w:rPr>
      </w:pPr>
      <w:r w:rsidRPr="00323591">
        <w:rPr>
          <w:i/>
          <w:color w:val="000000" w:themeColor="text1"/>
          <w:szCs w:val="24"/>
          <w:highlight w:val="lightGray"/>
        </w:rPr>
        <w:t>Are any questions of a sensitive nature asked, such as sexual behavior and attitudes, religious beliefs, and other matters that are commonly considered private?</w:t>
      </w:r>
      <w:r w:rsidRPr="00323591">
        <w:rPr>
          <w:i/>
          <w:szCs w:val="24"/>
          <w:highlight w:val="lightGray"/>
        </w:rPr>
        <w:t xml:space="preserve"> If yes, p</w:t>
      </w:r>
      <w:r w:rsidRPr="00323591">
        <w:rPr>
          <w:i/>
          <w:color w:val="000000" w:themeColor="text1"/>
          <w:szCs w:val="24"/>
          <w:highlight w:val="lightGray"/>
        </w:rPr>
        <w:t xml:space="preserve">rovide justification. This justification should include the reasons why the agency considers the questions necessary, the specific uses to be made of the information, the explanation to be given to </w:t>
      </w:r>
      <w:r w:rsidRPr="00323591">
        <w:rPr>
          <w:i/>
          <w:color w:val="000000" w:themeColor="text1"/>
          <w:szCs w:val="24"/>
          <w:highlight w:val="lightGray"/>
        </w:rPr>
        <w:t>persons</w:t>
      </w:r>
      <w:r w:rsidRPr="00323591">
        <w:rPr>
          <w:i/>
          <w:color w:val="000000" w:themeColor="text1"/>
          <w:szCs w:val="24"/>
          <w:highlight w:val="lightGray"/>
        </w:rPr>
        <w:t xml:space="preserve"> from whom the information is requested, and any steps to be taken to obtain their consent.</w:t>
      </w:r>
    </w:p>
    <w:p w:rsidR="000E14AF" w:rsidP="000E14AF" w14:paraId="37E67C28" w14:textId="776ACD6B">
      <w:pPr>
        <w:pStyle w:val="ListParagraph"/>
      </w:pPr>
      <w:r>
        <w:rPr>
          <w:rFonts w:ascii="Times New Roman" w:hAnsi="Times New Roman"/>
        </w:rPr>
        <w:t>No. The survey does not ask about sensitive personal matters.</w:t>
      </w:r>
    </w:p>
    <w:p w:rsidR="00323591" w:rsidRPr="00323591" w:rsidP="00323591" w14:paraId="54C880C7" w14:textId="77777777">
      <w:pPr>
        <w:pStyle w:val="BodyTextIndent"/>
        <w:jc w:val="left"/>
        <w:rPr>
          <w:szCs w:val="20"/>
          <w:highlight w:val="lightGray"/>
        </w:rPr>
      </w:pPr>
    </w:p>
    <w:p w:rsidR="00164D2D" w:rsidRPr="00BB29CB" w:rsidP="00147EB0" w14:paraId="2A0F077D" w14:textId="12812CB1">
      <w:pPr>
        <w:numPr>
          <w:ilvl w:val="0"/>
          <w:numId w:val="1"/>
        </w:numPr>
        <w:rPr>
          <w:i/>
          <w:color w:val="000000" w:themeColor="text1"/>
          <w:szCs w:val="24"/>
          <w:highlight w:val="lightGray"/>
        </w:rPr>
      </w:pPr>
      <w:r w:rsidRPr="00BB29CB">
        <w:rPr>
          <w:i/>
          <w:color w:val="000000" w:themeColor="text1"/>
          <w:szCs w:val="24"/>
          <w:highlight w:val="lightGray"/>
        </w:rPr>
        <w:t>Describe the hour time burden and the hour cost burden on the respondent needed to complete this collection.</w:t>
      </w:r>
      <w:r w:rsidRPr="00BB29CB" w:rsidR="00F07772">
        <w:rPr>
          <w:i/>
          <w:color w:val="000000" w:themeColor="text1"/>
          <w:szCs w:val="24"/>
          <w:highlight w:val="lightGray"/>
        </w:rPr>
        <w:t xml:space="preserve"> Please specify </w:t>
      </w:r>
      <w:r w:rsidRPr="00BB29CB" w:rsidR="0019458A">
        <w:rPr>
          <w:i/>
          <w:color w:val="000000" w:themeColor="text1"/>
          <w:szCs w:val="24"/>
          <w:highlight w:val="lightGray"/>
        </w:rPr>
        <w:t xml:space="preserve">hourly salary for </w:t>
      </w:r>
      <w:r w:rsidRPr="00BB29CB" w:rsidR="009618D0">
        <w:rPr>
          <w:i/>
          <w:color w:val="000000" w:themeColor="text1"/>
          <w:szCs w:val="24"/>
          <w:highlight w:val="lightGray"/>
        </w:rPr>
        <w:t>your</w:t>
      </w:r>
      <w:r w:rsidRPr="00BB29CB" w:rsidR="0019458A">
        <w:rPr>
          <w:i/>
          <w:color w:val="000000" w:themeColor="text1"/>
          <w:szCs w:val="24"/>
          <w:highlight w:val="lightGray"/>
        </w:rPr>
        <w:t xml:space="preserve"> respondent audience </w:t>
      </w:r>
      <w:r w:rsidRPr="00BB29CB" w:rsidR="00497226">
        <w:rPr>
          <w:i/>
          <w:color w:val="000000" w:themeColor="text1"/>
          <w:szCs w:val="24"/>
          <w:highlight w:val="lightGray"/>
        </w:rPr>
        <w:t>by r</w:t>
      </w:r>
      <w:r w:rsidRPr="00BB29CB" w:rsidR="007418C9">
        <w:rPr>
          <w:i/>
          <w:color w:val="000000" w:themeColor="text1"/>
          <w:szCs w:val="24"/>
          <w:highlight w:val="lightGray"/>
        </w:rPr>
        <w:t>eferenc</w:t>
      </w:r>
      <w:r w:rsidRPr="00BB29CB" w:rsidR="00497226">
        <w:rPr>
          <w:i/>
          <w:color w:val="000000" w:themeColor="text1"/>
          <w:szCs w:val="24"/>
          <w:highlight w:val="lightGray"/>
        </w:rPr>
        <w:t>ing</w:t>
      </w:r>
      <w:r w:rsidRPr="00BB29CB" w:rsidR="007418C9">
        <w:rPr>
          <w:i/>
          <w:color w:val="000000" w:themeColor="text1"/>
          <w:szCs w:val="24"/>
          <w:highlight w:val="lightGray"/>
        </w:rPr>
        <w:t xml:space="preserve"> </w:t>
      </w:r>
      <w:hyperlink r:id="rId5" w:history="1">
        <w:r w:rsidRPr="00BB29CB" w:rsidR="007418C9">
          <w:rPr>
            <w:rStyle w:val="Hyperlink"/>
            <w:i/>
            <w:szCs w:val="24"/>
            <w:highlight w:val="lightGray"/>
          </w:rPr>
          <w:t xml:space="preserve">Bureau of Labor Statistics Occupational </w:t>
        </w:r>
        <w:r w:rsidRPr="00BB29CB" w:rsidR="00CD599F">
          <w:rPr>
            <w:rStyle w:val="Hyperlink"/>
            <w:i/>
            <w:szCs w:val="24"/>
            <w:highlight w:val="lightGray"/>
          </w:rPr>
          <w:t>Employment and Wage Estimates</w:t>
        </w:r>
      </w:hyperlink>
      <w:r w:rsidRPr="00BB29CB" w:rsidR="009618D0">
        <w:rPr>
          <w:i/>
          <w:color w:val="000000" w:themeColor="text1"/>
          <w:szCs w:val="24"/>
          <w:highlight w:val="lightGray"/>
        </w:rPr>
        <w:t xml:space="preserve"> or other alternative wage site</w:t>
      </w:r>
      <w:r w:rsidRPr="00BB29CB" w:rsidR="00CD599F">
        <w:rPr>
          <w:i/>
          <w:color w:val="000000" w:themeColor="text1"/>
          <w:szCs w:val="24"/>
          <w:highlight w:val="lightGray"/>
        </w:rPr>
        <w:t>, when applicable.</w:t>
      </w:r>
    </w:p>
    <w:p w:rsidR="004328C0" w:rsidRPr="00BB29CB" w:rsidP="00147EB0" w14:paraId="0BA5B4F4" w14:textId="31BD043A">
      <w:pPr>
        <w:pStyle w:val="ListParagraph"/>
        <w:rPr>
          <w:rFonts w:ascii="Times New Roman" w:hAnsi="Times New Roman"/>
          <w:i/>
          <w:color w:val="000000" w:themeColor="text1"/>
          <w:highlight w:val="lightGray"/>
        </w:rPr>
      </w:pPr>
      <w:r w:rsidRPr="00BB29CB">
        <w:rPr>
          <w:rFonts w:ascii="Times New Roman" w:hAnsi="Times New Roman"/>
        </w:rPr>
        <w:t xml:space="preserve">Per OPM's </w:t>
      </w:r>
      <w:r w:rsidR="00805E45">
        <w:rPr>
          <w:rFonts w:ascii="Times New Roman" w:hAnsi="Times New Roman"/>
        </w:rPr>
        <w:t>3</w:t>
      </w:r>
      <w:r w:rsidRPr="00BB29CB">
        <w:rPr>
          <w:rFonts w:ascii="Times New Roman" w:hAnsi="Times New Roman"/>
        </w:rPr>
        <w:t xml:space="preserve">0-day Federal Register notice, OPM estimates </w:t>
      </w:r>
      <w:r w:rsidRPr="00BB29CB" w:rsidR="00DD572E">
        <w:rPr>
          <w:rFonts w:ascii="Times New Roman" w:hAnsi="Times New Roman"/>
        </w:rPr>
        <w:t>a maximum of 1,990</w:t>
      </w:r>
      <w:r w:rsidRPr="00BB29CB">
        <w:rPr>
          <w:rFonts w:ascii="Times New Roman" w:hAnsi="Times New Roman"/>
        </w:rPr>
        <w:t xml:space="preserve"> respondents (</w:t>
      </w:r>
      <w:r w:rsidRPr="00BB29CB" w:rsidR="00DD572E">
        <w:rPr>
          <w:rFonts w:ascii="Times New Roman" w:hAnsi="Times New Roman"/>
        </w:rPr>
        <w:t>depending on survey eligibility criteria and agency response rate</w:t>
      </w:r>
      <w:r w:rsidRPr="00BB29CB">
        <w:rPr>
          <w:rFonts w:ascii="Times New Roman" w:hAnsi="Times New Roman"/>
        </w:rPr>
        <w:t xml:space="preserve">), an average of </w:t>
      </w:r>
      <w:r w:rsidRPr="00BB29CB" w:rsidR="00DD572E">
        <w:rPr>
          <w:rFonts w:ascii="Times New Roman" w:hAnsi="Times New Roman"/>
        </w:rPr>
        <w:t>5</w:t>
      </w:r>
      <w:r w:rsidRPr="00BB29CB">
        <w:rPr>
          <w:rFonts w:ascii="Times New Roman" w:hAnsi="Times New Roman"/>
        </w:rPr>
        <w:t xml:space="preserve"> minutes (0.</w:t>
      </w:r>
      <w:r w:rsidRPr="00BB29CB" w:rsidR="00DD572E">
        <w:rPr>
          <w:rFonts w:ascii="Times New Roman" w:hAnsi="Times New Roman"/>
        </w:rPr>
        <w:t>08</w:t>
      </w:r>
      <w:r w:rsidRPr="00BB29CB" w:rsidR="00BA60AA">
        <w:rPr>
          <w:rFonts w:ascii="Times New Roman" w:hAnsi="Times New Roman"/>
        </w:rPr>
        <w:t>3</w:t>
      </w:r>
      <w:r w:rsidRPr="00BB29CB">
        <w:rPr>
          <w:rFonts w:ascii="Times New Roman" w:hAnsi="Times New Roman"/>
        </w:rPr>
        <w:t xml:space="preserve"> hours) per respondent, for a total of </w:t>
      </w:r>
      <w:r w:rsidRPr="00BB29CB" w:rsidR="00BA60AA">
        <w:rPr>
          <w:rFonts w:ascii="Times New Roman" w:hAnsi="Times New Roman"/>
        </w:rPr>
        <w:t>165.83</w:t>
      </w:r>
      <w:r w:rsidRPr="00BB29CB">
        <w:rPr>
          <w:rFonts w:ascii="Times New Roman" w:hAnsi="Times New Roman"/>
        </w:rPr>
        <w:t xml:space="preserve"> annual burden hours, as reflected in the table below.</w:t>
      </w:r>
    </w:p>
    <w:tbl>
      <w:tblPr>
        <w:tblpPr w:leftFromText="180" w:rightFromText="180" w:vertAnchor="text" w:horzAnchor="margin" w:tblpXSpec="center" w:tblpY="2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644"/>
        <w:gridCol w:w="1550"/>
        <w:gridCol w:w="1563"/>
        <w:gridCol w:w="1247"/>
        <w:gridCol w:w="1385"/>
        <w:gridCol w:w="1961"/>
      </w:tblGrid>
      <w:tr w14:paraId="63D1E79E" w14:textId="77777777" w:rsidTr="00E47B7C">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1135"/>
        </w:trPr>
        <w:tc>
          <w:tcPr>
            <w:tcW w:w="0" w:type="auto"/>
            <w:shd w:val="clear" w:color="auto" w:fill="D9D9D9" w:themeFill="background1" w:themeFillShade="D9"/>
            <w:vAlign w:val="bottom"/>
          </w:tcPr>
          <w:p w:rsidR="002F00E8" w:rsidRPr="00BB29CB" w:rsidP="00E47B7C" w14:paraId="6F1BA1AC" w14:textId="1E938700">
            <w:pPr>
              <w:pStyle w:val="TableParagraph"/>
              <w:ind w:left="0" w:right="111"/>
              <w:jc w:val="center"/>
              <w:rPr>
                <w:rFonts w:ascii="Times New Roman" w:hAnsi="Times New Roman" w:cs="Times New Roman"/>
                <w:b/>
                <w:sz w:val="24"/>
                <w:szCs w:val="24"/>
              </w:rPr>
            </w:pPr>
            <w:r w:rsidRPr="00BB29CB">
              <w:rPr>
                <w:rFonts w:ascii="Times New Roman" w:hAnsi="Times New Roman" w:cs="Times New Roman"/>
                <w:b/>
                <w:sz w:val="24"/>
                <w:szCs w:val="24"/>
              </w:rPr>
              <w:t>Form</w:t>
            </w:r>
            <w:r w:rsidRPr="00BB29CB">
              <w:rPr>
                <w:rFonts w:ascii="Times New Roman" w:hAnsi="Times New Roman" w:cs="Times New Roman"/>
                <w:b/>
                <w:spacing w:val="1"/>
                <w:sz w:val="24"/>
                <w:szCs w:val="24"/>
              </w:rPr>
              <w:t xml:space="preserve"> </w:t>
            </w:r>
            <w:r w:rsidRPr="00BB29CB">
              <w:rPr>
                <w:rFonts w:ascii="Times New Roman" w:hAnsi="Times New Roman" w:cs="Times New Roman"/>
                <w:b/>
                <w:sz w:val="24"/>
                <w:szCs w:val="24"/>
              </w:rPr>
              <w:t>Name</w:t>
            </w:r>
          </w:p>
        </w:tc>
        <w:tc>
          <w:tcPr>
            <w:tcW w:w="0" w:type="auto"/>
            <w:shd w:val="clear" w:color="auto" w:fill="D9D9D9" w:themeFill="background1" w:themeFillShade="D9"/>
            <w:vAlign w:val="bottom"/>
          </w:tcPr>
          <w:p w:rsidR="002F00E8" w:rsidRPr="00BB29CB" w:rsidP="00E47B7C" w14:paraId="76641FD4" w14:textId="77777777">
            <w:pPr>
              <w:pStyle w:val="TableParagraph"/>
              <w:ind w:left="0" w:right="89"/>
              <w:jc w:val="center"/>
              <w:rPr>
                <w:rFonts w:ascii="Times New Roman" w:hAnsi="Times New Roman" w:cs="Times New Roman"/>
                <w:b/>
                <w:sz w:val="24"/>
                <w:szCs w:val="24"/>
              </w:rPr>
            </w:pPr>
            <w:r w:rsidRPr="00BB29CB">
              <w:rPr>
                <w:rFonts w:ascii="Times New Roman" w:hAnsi="Times New Roman" w:cs="Times New Roman"/>
                <w:b/>
                <w:sz w:val="24"/>
                <w:szCs w:val="24"/>
              </w:rPr>
              <w:t>No. of</w:t>
            </w:r>
            <w:r w:rsidRPr="00BB29CB" w:rsidR="00276FBF">
              <w:rPr>
                <w:rFonts w:ascii="Times New Roman" w:hAnsi="Times New Roman" w:cs="Times New Roman"/>
                <w:b/>
                <w:sz w:val="24"/>
                <w:szCs w:val="24"/>
              </w:rPr>
              <w:t xml:space="preserve"> </w:t>
            </w:r>
            <w:r w:rsidRPr="00BB29CB">
              <w:rPr>
                <w:rFonts w:ascii="Times New Roman" w:hAnsi="Times New Roman" w:cs="Times New Roman"/>
                <w:b/>
                <w:sz w:val="24"/>
                <w:szCs w:val="24"/>
              </w:rPr>
              <w:t>Respondents</w:t>
            </w:r>
          </w:p>
        </w:tc>
        <w:tc>
          <w:tcPr>
            <w:tcW w:w="0" w:type="auto"/>
            <w:shd w:val="clear" w:color="auto" w:fill="D9D9D9" w:themeFill="background1" w:themeFillShade="D9"/>
            <w:vAlign w:val="bottom"/>
          </w:tcPr>
          <w:p w:rsidR="00137823" w:rsidRPr="00BB29CB" w:rsidP="00E47B7C" w14:paraId="56390283" w14:textId="64224456">
            <w:pPr>
              <w:pStyle w:val="TableParagraph"/>
              <w:ind w:left="0" w:right="133"/>
              <w:jc w:val="center"/>
              <w:rPr>
                <w:rFonts w:ascii="Times New Roman" w:hAnsi="Times New Roman" w:cs="Times New Roman"/>
                <w:b/>
                <w:sz w:val="24"/>
                <w:szCs w:val="24"/>
              </w:rPr>
            </w:pPr>
            <w:r w:rsidRPr="00BB29CB">
              <w:rPr>
                <w:rFonts w:ascii="Times New Roman" w:hAnsi="Times New Roman" w:cs="Times New Roman"/>
                <w:b/>
                <w:sz w:val="24"/>
                <w:szCs w:val="24"/>
              </w:rPr>
              <w:t>Average</w:t>
            </w:r>
            <w:r w:rsidRPr="00BB29CB" w:rsidR="00276FBF">
              <w:rPr>
                <w:rFonts w:ascii="Times New Roman" w:hAnsi="Times New Roman" w:cs="Times New Roman"/>
                <w:b/>
                <w:sz w:val="24"/>
                <w:szCs w:val="24"/>
              </w:rPr>
              <w:t xml:space="preserve"> </w:t>
            </w:r>
            <w:r w:rsidRPr="00BB29CB">
              <w:rPr>
                <w:rFonts w:ascii="Times New Roman" w:hAnsi="Times New Roman" w:cs="Times New Roman"/>
                <w:b/>
                <w:sz w:val="24"/>
                <w:szCs w:val="24"/>
              </w:rPr>
              <w:t>Burden</w:t>
            </w:r>
            <w:r w:rsidRPr="00BB29CB" w:rsidR="00276FBF">
              <w:rPr>
                <w:rFonts w:ascii="Times New Roman" w:hAnsi="Times New Roman" w:cs="Times New Roman"/>
                <w:b/>
                <w:sz w:val="24"/>
                <w:szCs w:val="24"/>
              </w:rPr>
              <w:t xml:space="preserve"> </w:t>
            </w:r>
            <w:r w:rsidRPr="00BB29CB">
              <w:rPr>
                <w:rFonts w:ascii="Times New Roman" w:hAnsi="Times New Roman" w:cs="Times New Roman"/>
                <w:b/>
                <w:sz w:val="24"/>
                <w:szCs w:val="24"/>
              </w:rPr>
              <w:t>per</w:t>
            </w:r>
            <w:r w:rsidRPr="00BB29CB" w:rsidR="00276FBF">
              <w:rPr>
                <w:rFonts w:ascii="Times New Roman" w:hAnsi="Times New Roman" w:cs="Times New Roman"/>
                <w:b/>
                <w:sz w:val="24"/>
                <w:szCs w:val="24"/>
              </w:rPr>
              <w:t xml:space="preserve"> </w:t>
            </w:r>
            <w:r w:rsidRPr="00BB29CB">
              <w:rPr>
                <w:rFonts w:ascii="Times New Roman" w:hAnsi="Times New Roman" w:cs="Times New Roman"/>
                <w:b/>
                <w:sz w:val="24"/>
                <w:szCs w:val="24"/>
              </w:rPr>
              <w:t>Response</w:t>
            </w:r>
          </w:p>
          <w:p w:rsidR="002F00E8" w:rsidRPr="00BB29CB" w:rsidP="00E47B7C" w14:paraId="1F44479C" w14:textId="12014822">
            <w:pPr>
              <w:pStyle w:val="TableParagraph"/>
              <w:ind w:left="0" w:right="133"/>
              <w:jc w:val="center"/>
              <w:rPr>
                <w:rFonts w:ascii="Times New Roman" w:hAnsi="Times New Roman" w:cs="Times New Roman"/>
                <w:b/>
                <w:sz w:val="24"/>
                <w:szCs w:val="24"/>
              </w:rPr>
            </w:pPr>
            <w:r w:rsidRPr="00BB29CB">
              <w:rPr>
                <w:rFonts w:ascii="Times New Roman" w:hAnsi="Times New Roman" w:cs="Times New Roman"/>
                <w:b/>
                <w:sz w:val="24"/>
                <w:szCs w:val="24"/>
              </w:rPr>
              <w:t>(</w:t>
            </w:r>
            <w:r w:rsidRPr="00BB29CB">
              <w:rPr>
                <w:rFonts w:ascii="Times New Roman" w:hAnsi="Times New Roman" w:cs="Times New Roman"/>
                <w:b/>
                <w:sz w:val="24"/>
                <w:szCs w:val="24"/>
              </w:rPr>
              <w:t>in</w:t>
            </w:r>
            <w:r w:rsidRPr="00BB29CB">
              <w:rPr>
                <w:rFonts w:ascii="Times New Roman" w:hAnsi="Times New Roman" w:cs="Times New Roman"/>
                <w:b/>
                <w:spacing w:val="-1"/>
                <w:sz w:val="24"/>
                <w:szCs w:val="24"/>
              </w:rPr>
              <w:t xml:space="preserve"> </w:t>
            </w:r>
            <w:r w:rsidRPr="00BB29CB">
              <w:rPr>
                <w:rFonts w:ascii="Times New Roman" w:hAnsi="Times New Roman" w:cs="Times New Roman"/>
                <w:b/>
                <w:sz w:val="24"/>
                <w:szCs w:val="24"/>
              </w:rPr>
              <w:t>hours)</w:t>
            </w:r>
          </w:p>
        </w:tc>
        <w:tc>
          <w:tcPr>
            <w:tcW w:w="0" w:type="auto"/>
            <w:shd w:val="clear" w:color="auto" w:fill="D9D9D9" w:themeFill="background1" w:themeFillShade="D9"/>
            <w:vAlign w:val="bottom"/>
          </w:tcPr>
          <w:p w:rsidR="00276FBF" w:rsidRPr="00BB29CB" w:rsidP="00E47B7C" w14:paraId="52EFBD7E" w14:textId="77777777">
            <w:pPr>
              <w:pStyle w:val="TableParagraph"/>
              <w:ind w:left="0" w:right="159"/>
              <w:jc w:val="center"/>
              <w:rPr>
                <w:rFonts w:ascii="Times New Roman" w:hAnsi="Times New Roman" w:cs="Times New Roman"/>
                <w:b/>
                <w:sz w:val="24"/>
                <w:szCs w:val="24"/>
              </w:rPr>
            </w:pPr>
            <w:r w:rsidRPr="00BB29CB">
              <w:rPr>
                <w:rFonts w:ascii="Times New Roman" w:hAnsi="Times New Roman" w:cs="Times New Roman"/>
                <w:b/>
                <w:sz w:val="24"/>
                <w:szCs w:val="24"/>
              </w:rPr>
              <w:t>Total</w:t>
            </w:r>
            <w:r w:rsidRPr="00BB29CB">
              <w:rPr>
                <w:rFonts w:ascii="Times New Roman" w:hAnsi="Times New Roman" w:cs="Times New Roman"/>
                <w:b/>
                <w:sz w:val="24"/>
                <w:szCs w:val="24"/>
              </w:rPr>
              <w:t xml:space="preserve"> A</w:t>
            </w:r>
            <w:r w:rsidRPr="00BB29CB">
              <w:rPr>
                <w:rFonts w:ascii="Times New Roman" w:hAnsi="Times New Roman" w:cs="Times New Roman"/>
                <w:b/>
                <w:sz w:val="24"/>
                <w:szCs w:val="24"/>
              </w:rPr>
              <w:t>nnual</w:t>
            </w:r>
            <w:r w:rsidRPr="00BB29CB">
              <w:rPr>
                <w:rFonts w:ascii="Times New Roman" w:hAnsi="Times New Roman" w:cs="Times New Roman"/>
                <w:b/>
                <w:sz w:val="24"/>
                <w:szCs w:val="24"/>
              </w:rPr>
              <w:t xml:space="preserve"> </w:t>
            </w:r>
            <w:r w:rsidRPr="00BB29CB">
              <w:rPr>
                <w:rFonts w:ascii="Times New Roman" w:hAnsi="Times New Roman" w:cs="Times New Roman"/>
                <w:b/>
                <w:sz w:val="24"/>
                <w:szCs w:val="24"/>
              </w:rPr>
              <w:t>Burden</w:t>
            </w:r>
          </w:p>
          <w:p w:rsidR="002F00E8" w:rsidRPr="00BB29CB" w:rsidP="00E47B7C" w14:paraId="414BF98B" w14:textId="40A1C9F5">
            <w:pPr>
              <w:pStyle w:val="TableParagraph"/>
              <w:ind w:left="0" w:right="159"/>
              <w:jc w:val="center"/>
              <w:rPr>
                <w:rFonts w:ascii="Times New Roman" w:hAnsi="Times New Roman" w:cs="Times New Roman"/>
                <w:b/>
                <w:sz w:val="24"/>
                <w:szCs w:val="24"/>
              </w:rPr>
            </w:pPr>
            <w:r w:rsidRPr="00BB29CB">
              <w:rPr>
                <w:rFonts w:ascii="Times New Roman" w:hAnsi="Times New Roman" w:cs="Times New Roman"/>
                <w:b/>
                <w:sz w:val="24"/>
                <w:szCs w:val="24"/>
              </w:rPr>
              <w:t>(i</w:t>
            </w:r>
            <w:r w:rsidRPr="00BB29CB">
              <w:rPr>
                <w:rFonts w:ascii="Times New Roman" w:hAnsi="Times New Roman" w:cs="Times New Roman"/>
                <w:b/>
                <w:sz w:val="24"/>
                <w:szCs w:val="24"/>
              </w:rPr>
              <w:t>n</w:t>
            </w:r>
            <w:r w:rsidRPr="00BB29CB">
              <w:rPr>
                <w:rFonts w:ascii="Times New Roman" w:hAnsi="Times New Roman" w:cs="Times New Roman"/>
                <w:b/>
                <w:sz w:val="24"/>
                <w:szCs w:val="24"/>
              </w:rPr>
              <w:t xml:space="preserve"> </w:t>
            </w:r>
            <w:r w:rsidRPr="00BB29CB">
              <w:rPr>
                <w:rFonts w:ascii="Times New Roman" w:hAnsi="Times New Roman" w:cs="Times New Roman"/>
                <w:b/>
                <w:sz w:val="24"/>
                <w:szCs w:val="24"/>
              </w:rPr>
              <w:t>hours)</w:t>
            </w:r>
          </w:p>
        </w:tc>
        <w:tc>
          <w:tcPr>
            <w:tcW w:w="0" w:type="auto"/>
            <w:shd w:val="clear" w:color="auto" w:fill="D9D9D9" w:themeFill="background1" w:themeFillShade="D9"/>
            <w:vAlign w:val="bottom"/>
          </w:tcPr>
          <w:p w:rsidR="002F00E8" w:rsidRPr="00BB29CB" w:rsidP="00E47B7C" w14:paraId="1AB12CC7" w14:textId="051E8EE2">
            <w:pPr>
              <w:pStyle w:val="TableParagraph"/>
              <w:ind w:left="0" w:right="100"/>
              <w:jc w:val="center"/>
              <w:rPr>
                <w:rFonts w:ascii="Times New Roman" w:hAnsi="Times New Roman" w:cs="Times New Roman"/>
                <w:b/>
                <w:sz w:val="24"/>
                <w:szCs w:val="24"/>
              </w:rPr>
            </w:pPr>
            <w:r w:rsidRPr="00BB29CB">
              <w:rPr>
                <w:rFonts w:ascii="Times New Roman" w:hAnsi="Times New Roman" w:cs="Times New Roman"/>
                <w:b/>
                <w:sz w:val="24"/>
                <w:szCs w:val="24"/>
              </w:rPr>
              <w:t>A</w:t>
            </w:r>
            <w:r w:rsidRPr="00BB29CB" w:rsidR="00137823">
              <w:rPr>
                <w:rFonts w:ascii="Times New Roman" w:hAnsi="Times New Roman" w:cs="Times New Roman"/>
                <w:b/>
                <w:sz w:val="24"/>
                <w:szCs w:val="24"/>
              </w:rPr>
              <w:t xml:space="preserve">verage </w:t>
            </w:r>
            <w:r w:rsidRPr="00BB29CB">
              <w:rPr>
                <w:rFonts w:ascii="Times New Roman" w:hAnsi="Times New Roman" w:cs="Times New Roman"/>
                <w:b/>
                <w:sz w:val="24"/>
                <w:szCs w:val="24"/>
              </w:rPr>
              <w:t>Hourly</w:t>
            </w:r>
            <w:r w:rsidRPr="00BB29CB" w:rsidR="00137823">
              <w:rPr>
                <w:rFonts w:ascii="Times New Roman" w:hAnsi="Times New Roman" w:cs="Times New Roman"/>
                <w:b/>
                <w:sz w:val="24"/>
                <w:szCs w:val="24"/>
              </w:rPr>
              <w:t xml:space="preserve"> </w:t>
            </w:r>
            <w:r w:rsidRPr="00BB29CB">
              <w:rPr>
                <w:rFonts w:ascii="Times New Roman" w:hAnsi="Times New Roman" w:cs="Times New Roman"/>
                <w:b/>
                <w:sz w:val="24"/>
                <w:szCs w:val="24"/>
              </w:rPr>
              <w:t>Wage</w:t>
            </w:r>
            <w:r w:rsidRPr="00BB29CB" w:rsidR="00137823">
              <w:rPr>
                <w:rFonts w:ascii="Times New Roman" w:hAnsi="Times New Roman" w:cs="Times New Roman"/>
                <w:b/>
                <w:sz w:val="24"/>
                <w:szCs w:val="24"/>
              </w:rPr>
              <w:t xml:space="preserve"> </w:t>
            </w:r>
            <w:r w:rsidRPr="00BB29CB">
              <w:rPr>
                <w:rFonts w:ascii="Times New Roman" w:hAnsi="Times New Roman" w:cs="Times New Roman"/>
                <w:b/>
                <w:sz w:val="24"/>
                <w:szCs w:val="24"/>
              </w:rPr>
              <w:t>Rate</w:t>
            </w:r>
          </w:p>
        </w:tc>
        <w:tc>
          <w:tcPr>
            <w:tcW w:w="0" w:type="auto"/>
            <w:shd w:val="clear" w:color="auto" w:fill="D9D9D9" w:themeFill="background1" w:themeFillShade="D9"/>
            <w:vAlign w:val="bottom"/>
          </w:tcPr>
          <w:p w:rsidR="002F00E8" w:rsidRPr="00BB29CB" w:rsidP="00E47B7C" w14:paraId="1A0F9B9F" w14:textId="77777777">
            <w:pPr>
              <w:pStyle w:val="TableParagraph"/>
              <w:ind w:left="0" w:right="321"/>
              <w:jc w:val="center"/>
              <w:rPr>
                <w:rFonts w:ascii="Times New Roman" w:hAnsi="Times New Roman" w:cs="Times New Roman"/>
                <w:b/>
                <w:sz w:val="24"/>
                <w:szCs w:val="24"/>
              </w:rPr>
            </w:pPr>
            <w:r w:rsidRPr="00BB29CB">
              <w:rPr>
                <w:rFonts w:ascii="Times New Roman" w:hAnsi="Times New Roman" w:cs="Times New Roman"/>
                <w:b/>
                <w:sz w:val="24"/>
                <w:szCs w:val="24"/>
              </w:rPr>
              <w:t>Total</w:t>
            </w:r>
            <w:r w:rsidRPr="00BB29CB" w:rsidR="00137823">
              <w:rPr>
                <w:rFonts w:ascii="Times New Roman" w:hAnsi="Times New Roman" w:cs="Times New Roman"/>
                <w:b/>
                <w:sz w:val="24"/>
                <w:szCs w:val="24"/>
              </w:rPr>
              <w:t xml:space="preserve"> </w:t>
            </w:r>
            <w:r w:rsidRPr="00BB29CB">
              <w:rPr>
                <w:rFonts w:ascii="Times New Roman" w:hAnsi="Times New Roman" w:cs="Times New Roman"/>
                <w:b/>
                <w:sz w:val="24"/>
                <w:szCs w:val="24"/>
              </w:rPr>
              <w:t>Annual</w:t>
            </w:r>
            <w:r w:rsidRPr="00BB29CB" w:rsidR="00137823">
              <w:rPr>
                <w:rFonts w:ascii="Times New Roman" w:hAnsi="Times New Roman" w:cs="Times New Roman"/>
                <w:b/>
                <w:sz w:val="24"/>
                <w:szCs w:val="24"/>
              </w:rPr>
              <w:t xml:space="preserve"> </w:t>
            </w:r>
            <w:r w:rsidRPr="00BB29CB">
              <w:rPr>
                <w:rFonts w:ascii="Times New Roman" w:hAnsi="Times New Roman" w:cs="Times New Roman"/>
                <w:b/>
                <w:sz w:val="24"/>
                <w:szCs w:val="24"/>
              </w:rPr>
              <w:t>Responden</w:t>
            </w:r>
            <w:r w:rsidRPr="00BB29CB" w:rsidR="00137823">
              <w:rPr>
                <w:rFonts w:ascii="Times New Roman" w:hAnsi="Times New Roman" w:cs="Times New Roman"/>
                <w:b/>
                <w:sz w:val="24"/>
                <w:szCs w:val="24"/>
              </w:rPr>
              <w:t>t Cost</w:t>
            </w:r>
          </w:p>
        </w:tc>
      </w:tr>
      <w:tr w14:paraId="795876C1" w14:textId="77777777" w:rsidTr="00BE376A">
        <w:tblPrEx>
          <w:tblW w:w="0" w:type="auto"/>
          <w:tblCellMar>
            <w:left w:w="0" w:type="dxa"/>
            <w:right w:w="0" w:type="dxa"/>
          </w:tblCellMar>
          <w:tblLook w:val="01E0"/>
        </w:tblPrEx>
        <w:trPr>
          <w:trHeight w:val="497"/>
        </w:trPr>
        <w:tc>
          <w:tcPr>
            <w:tcW w:w="0" w:type="auto"/>
            <w:vAlign w:val="center"/>
          </w:tcPr>
          <w:p w:rsidR="00B22D47" w:rsidRPr="00BB29CB" w:rsidP="00BE376A" w14:paraId="2B010F4A" w14:textId="012AEBE6">
            <w:pPr>
              <w:jc w:val="center"/>
              <w:rPr>
                <w:szCs w:val="24"/>
              </w:rPr>
            </w:pPr>
            <w:r w:rsidRPr="00BB29CB">
              <w:rPr>
                <w:szCs w:val="24"/>
              </w:rPr>
              <w:t xml:space="preserve">Annual Employee </w:t>
            </w:r>
            <w:r w:rsidRPr="00BB29CB">
              <w:rPr>
                <w:szCs w:val="24"/>
              </w:rPr>
              <w:t>Survey</w:t>
            </w:r>
            <w:r w:rsidRPr="00BB29CB" w:rsidR="72D1A9A8">
              <w:rPr>
                <w:szCs w:val="24"/>
              </w:rPr>
              <w:t xml:space="preserve">  Common</w:t>
            </w:r>
            <w:r w:rsidRPr="00BB29CB" w:rsidR="72D1A9A8">
              <w:rPr>
                <w:szCs w:val="24"/>
              </w:rPr>
              <w:t xml:space="preserve"> Form</w:t>
            </w:r>
          </w:p>
        </w:tc>
        <w:tc>
          <w:tcPr>
            <w:tcW w:w="0" w:type="auto"/>
            <w:vAlign w:val="center"/>
          </w:tcPr>
          <w:p w:rsidR="00B22D47" w:rsidRPr="00BB29CB" w:rsidP="00BE376A" w14:paraId="62B440BB" w14:textId="1940E9E1">
            <w:pPr>
              <w:jc w:val="center"/>
              <w:rPr>
                <w:szCs w:val="24"/>
              </w:rPr>
            </w:pPr>
            <w:r w:rsidRPr="00BB29CB">
              <w:rPr>
                <w:szCs w:val="24"/>
              </w:rPr>
              <w:t>1,990</w:t>
            </w:r>
          </w:p>
        </w:tc>
        <w:tc>
          <w:tcPr>
            <w:tcW w:w="0" w:type="auto"/>
            <w:vAlign w:val="center"/>
          </w:tcPr>
          <w:p w:rsidR="00B22D47" w:rsidRPr="00BB29CB" w:rsidP="00BE376A" w14:paraId="38241E46" w14:textId="04151DCD">
            <w:pPr>
              <w:jc w:val="center"/>
              <w:rPr>
                <w:szCs w:val="24"/>
              </w:rPr>
            </w:pPr>
            <w:r w:rsidRPr="00BB29CB">
              <w:rPr>
                <w:szCs w:val="24"/>
              </w:rPr>
              <w:t>0.</w:t>
            </w:r>
            <w:r w:rsidRPr="00BB29CB" w:rsidR="00BC6EB8">
              <w:rPr>
                <w:szCs w:val="24"/>
              </w:rPr>
              <w:t>083</w:t>
            </w:r>
            <w:r w:rsidRPr="00BB29CB">
              <w:rPr>
                <w:szCs w:val="24"/>
              </w:rPr>
              <w:t xml:space="preserve"> (</w:t>
            </w:r>
            <w:r w:rsidRPr="00BB29CB" w:rsidR="00FD5B3B">
              <w:rPr>
                <w:szCs w:val="24"/>
              </w:rPr>
              <w:t>5</w:t>
            </w:r>
            <w:r w:rsidRPr="00BB29CB">
              <w:rPr>
                <w:szCs w:val="24"/>
              </w:rPr>
              <w:t xml:space="preserve"> min.)</w:t>
            </w:r>
          </w:p>
        </w:tc>
        <w:tc>
          <w:tcPr>
            <w:tcW w:w="0" w:type="auto"/>
            <w:vAlign w:val="center"/>
          </w:tcPr>
          <w:p w:rsidR="00B22D47" w:rsidRPr="00BB29CB" w:rsidP="00BE376A" w14:paraId="5CAA4330" w14:textId="7FD0C3F6">
            <w:pPr>
              <w:jc w:val="center"/>
              <w:rPr>
                <w:szCs w:val="24"/>
              </w:rPr>
            </w:pPr>
            <w:r w:rsidRPr="00BB29CB">
              <w:rPr>
                <w:szCs w:val="24"/>
              </w:rPr>
              <w:t>16</w:t>
            </w:r>
            <w:r w:rsidRPr="00BB29CB" w:rsidR="007B0E85">
              <w:rPr>
                <w:szCs w:val="24"/>
              </w:rPr>
              <w:t>5.83</w:t>
            </w:r>
          </w:p>
        </w:tc>
        <w:tc>
          <w:tcPr>
            <w:tcW w:w="0" w:type="auto"/>
            <w:vAlign w:val="center"/>
          </w:tcPr>
          <w:p w:rsidR="00B22D47" w:rsidRPr="00BB29CB" w:rsidP="00BE376A" w14:paraId="0AE06786" w14:textId="7F0C0503">
            <w:pPr>
              <w:jc w:val="center"/>
              <w:rPr>
                <w:szCs w:val="24"/>
              </w:rPr>
            </w:pPr>
            <w:r w:rsidRPr="00BB29CB">
              <w:rPr>
                <w:szCs w:val="24"/>
              </w:rPr>
              <w:t>$</w:t>
            </w:r>
            <w:r w:rsidRPr="00BB29CB" w:rsidR="00AB4D83">
              <w:rPr>
                <w:szCs w:val="24"/>
              </w:rPr>
              <w:t>48.45</w:t>
            </w:r>
          </w:p>
        </w:tc>
        <w:tc>
          <w:tcPr>
            <w:tcW w:w="0" w:type="auto"/>
            <w:vAlign w:val="center"/>
          </w:tcPr>
          <w:p w:rsidR="00B22D47" w:rsidRPr="00BB29CB" w:rsidP="00BE376A" w14:paraId="5DF04669" w14:textId="0FCD2BD4">
            <w:pPr>
              <w:jc w:val="center"/>
              <w:rPr>
                <w:szCs w:val="24"/>
              </w:rPr>
            </w:pPr>
            <w:r w:rsidRPr="00BB29CB">
              <w:rPr>
                <w:szCs w:val="24"/>
              </w:rPr>
              <w:t>$8,034.46</w:t>
            </w:r>
          </w:p>
        </w:tc>
      </w:tr>
    </w:tbl>
    <w:p w:rsidR="000E14AF" w:rsidRPr="00BB29CB" w:rsidP="000E14AF" w14:paraId="365DF3A8" w14:textId="77777777">
      <w:pPr>
        <w:rPr>
          <w:i/>
          <w:color w:val="000000" w:themeColor="text1"/>
          <w:szCs w:val="24"/>
          <w:highlight w:val="lightGray"/>
        </w:rPr>
      </w:pPr>
    </w:p>
    <w:p w:rsidR="00164D2D" w:rsidRPr="00BB29CB" w:rsidP="00147EB0" w14:paraId="7A1EA35B" w14:textId="00012B3B">
      <w:pPr>
        <w:pStyle w:val="ListParagraph"/>
        <w:numPr>
          <w:ilvl w:val="0"/>
          <w:numId w:val="1"/>
        </w:numPr>
        <w:spacing w:after="200" w:line="276" w:lineRule="auto"/>
        <w:rPr>
          <w:rFonts w:ascii="Times New Roman" w:hAnsi="Times New Roman"/>
          <w:i/>
          <w:color w:val="000000" w:themeColor="text1"/>
          <w:highlight w:val="lightGray"/>
        </w:rPr>
      </w:pPr>
      <w:r w:rsidRPr="00BB29CB">
        <w:rPr>
          <w:rFonts w:ascii="Times New Roman" w:hAnsi="Times New Roman"/>
          <w:i/>
          <w:color w:val="000000" w:themeColor="text1"/>
          <w:highlight w:val="lightGray"/>
        </w:rPr>
        <w:t xml:space="preserve">Describe the </w:t>
      </w:r>
      <w:r w:rsidRPr="00BB29CB" w:rsidR="002D4FA9">
        <w:rPr>
          <w:rFonts w:ascii="Times New Roman" w:hAnsi="Times New Roman"/>
          <w:i/>
          <w:color w:val="000000" w:themeColor="text1"/>
          <w:highlight w:val="lightGray"/>
        </w:rPr>
        <w:t xml:space="preserve">non-hourly </w:t>
      </w:r>
      <w:r w:rsidRPr="00BB29CB">
        <w:rPr>
          <w:rFonts w:ascii="Times New Roman" w:hAnsi="Times New Roman"/>
          <w:i/>
          <w:color w:val="000000" w:themeColor="text1"/>
          <w:highlight w:val="lightGray"/>
        </w:rPr>
        <w:t xml:space="preserve">monetary burden </w:t>
      </w:r>
      <w:r w:rsidRPr="00BB29CB">
        <w:rPr>
          <w:rFonts w:ascii="Times New Roman" w:hAnsi="Times New Roman"/>
          <w:i/>
          <w:color w:val="000000" w:themeColor="text1"/>
          <w:highlight w:val="lightGray"/>
        </w:rPr>
        <w:t>to</w:t>
      </w:r>
      <w:r w:rsidRPr="00BB29CB">
        <w:rPr>
          <w:rFonts w:ascii="Times New Roman" w:hAnsi="Times New Roman"/>
          <w:i/>
          <w:color w:val="000000" w:themeColor="text1"/>
          <w:highlight w:val="lightGray"/>
        </w:rPr>
        <w:t xml:space="preserve"> respondents needed to complete this collection.</w:t>
      </w:r>
      <w:r w:rsidRPr="00BB29CB" w:rsidR="00E04E9B">
        <w:rPr>
          <w:rFonts w:ascii="Times New Roman" w:hAnsi="Times New Roman"/>
          <w:i/>
          <w:color w:val="000000" w:themeColor="text1"/>
          <w:highlight w:val="lightGray"/>
        </w:rPr>
        <w:t xml:space="preserve"> </w:t>
      </w:r>
      <w:r w:rsidRPr="00BB29CB" w:rsidR="004679E2">
        <w:rPr>
          <w:rFonts w:ascii="Times New Roman" w:hAnsi="Times New Roman"/>
          <w:i/>
          <w:color w:val="000000" w:themeColor="text1"/>
          <w:highlight w:val="lightGray"/>
        </w:rPr>
        <w:t xml:space="preserve">This </w:t>
      </w:r>
      <w:r w:rsidRPr="00BB29CB" w:rsidR="00130FEC">
        <w:rPr>
          <w:rFonts w:ascii="Times New Roman" w:hAnsi="Times New Roman"/>
          <w:i/>
          <w:color w:val="000000" w:themeColor="text1"/>
          <w:highlight w:val="lightGray"/>
        </w:rPr>
        <w:t>is</w:t>
      </w:r>
      <w:r w:rsidRPr="00BB29CB" w:rsidR="00495AF7">
        <w:rPr>
          <w:rFonts w:ascii="Times New Roman" w:hAnsi="Times New Roman"/>
          <w:i/>
          <w:color w:val="000000" w:themeColor="text1"/>
          <w:highlight w:val="lightGray"/>
        </w:rPr>
        <w:t xml:space="preserve"> </w:t>
      </w:r>
      <w:r w:rsidRPr="00BB29CB" w:rsidR="00B326C3">
        <w:rPr>
          <w:rFonts w:ascii="Times New Roman" w:hAnsi="Times New Roman"/>
          <w:i/>
          <w:color w:val="000000" w:themeColor="text1"/>
          <w:highlight w:val="lightGray"/>
        </w:rPr>
        <w:t xml:space="preserve">defined as </w:t>
      </w:r>
      <w:r w:rsidRPr="00BB29CB" w:rsidR="00EB49B8">
        <w:rPr>
          <w:rFonts w:ascii="Times New Roman" w:hAnsi="Times New Roman"/>
          <w:i/>
          <w:color w:val="000000" w:themeColor="text1"/>
          <w:highlight w:val="lightGray"/>
        </w:rPr>
        <w:t>out-of-pocket</w:t>
      </w:r>
      <w:r w:rsidRPr="00BB29CB" w:rsidR="00495AF7">
        <w:rPr>
          <w:rFonts w:ascii="Times New Roman" w:hAnsi="Times New Roman"/>
          <w:i/>
          <w:color w:val="000000" w:themeColor="text1"/>
          <w:highlight w:val="lightGray"/>
        </w:rPr>
        <w:t xml:space="preserve"> costs such as application fees</w:t>
      </w:r>
      <w:r w:rsidRPr="00BB29CB" w:rsidR="005D30C2">
        <w:rPr>
          <w:rFonts w:ascii="Times New Roman" w:hAnsi="Times New Roman"/>
          <w:i/>
          <w:color w:val="000000" w:themeColor="text1"/>
          <w:highlight w:val="lightGray"/>
        </w:rPr>
        <w:t xml:space="preserve"> for the collection</w:t>
      </w:r>
      <w:r w:rsidRPr="00BB29CB" w:rsidR="00495AF7">
        <w:rPr>
          <w:rFonts w:ascii="Times New Roman" w:hAnsi="Times New Roman"/>
          <w:i/>
          <w:color w:val="000000" w:themeColor="text1"/>
          <w:highlight w:val="lightGray"/>
        </w:rPr>
        <w:t>, document fees</w:t>
      </w:r>
      <w:r w:rsidRPr="00BB29CB" w:rsidR="005D30C2">
        <w:rPr>
          <w:rFonts w:ascii="Times New Roman" w:hAnsi="Times New Roman"/>
          <w:i/>
          <w:color w:val="000000" w:themeColor="text1"/>
          <w:highlight w:val="lightGray"/>
        </w:rPr>
        <w:t xml:space="preserve"> (</w:t>
      </w:r>
      <w:hyperlink r:id="rId6" w:history="1">
        <w:r w:rsidRPr="00BB29CB" w:rsidR="005D30C2">
          <w:rPr>
            <w:rStyle w:val="Hyperlink"/>
            <w:rFonts w:ascii="Times New Roman" w:hAnsi="Times New Roman"/>
            <w:i/>
            <w:highlight w:val="lightGray"/>
          </w:rPr>
          <w:t>birth</w:t>
        </w:r>
        <w:r w:rsidRPr="00BB29CB" w:rsidR="002B4D8E">
          <w:rPr>
            <w:rStyle w:val="Hyperlink"/>
            <w:rFonts w:ascii="Times New Roman" w:hAnsi="Times New Roman"/>
            <w:i/>
            <w:highlight w:val="lightGray"/>
          </w:rPr>
          <w:t>/death</w:t>
        </w:r>
        <w:r w:rsidRPr="00BB29CB" w:rsidR="005D30C2">
          <w:rPr>
            <w:rStyle w:val="Hyperlink"/>
            <w:rFonts w:ascii="Times New Roman" w:hAnsi="Times New Roman"/>
            <w:i/>
            <w:highlight w:val="lightGray"/>
          </w:rPr>
          <w:t xml:space="preserve"> certificates</w:t>
        </w:r>
      </w:hyperlink>
      <w:r w:rsidRPr="00BB29CB" w:rsidR="005D30C2">
        <w:rPr>
          <w:rFonts w:ascii="Times New Roman" w:hAnsi="Times New Roman"/>
          <w:i/>
          <w:color w:val="000000" w:themeColor="text1"/>
          <w:highlight w:val="lightGray"/>
        </w:rPr>
        <w:t>, school transcripts)</w:t>
      </w:r>
      <w:r w:rsidRPr="00BB29CB" w:rsidR="00F94CD1">
        <w:rPr>
          <w:rFonts w:ascii="Times New Roman" w:hAnsi="Times New Roman"/>
          <w:i/>
          <w:color w:val="000000" w:themeColor="text1"/>
          <w:highlight w:val="lightGray"/>
        </w:rPr>
        <w:t>, mailing costs</w:t>
      </w:r>
      <w:r w:rsidRPr="00BB29CB" w:rsidR="00EB49B8">
        <w:rPr>
          <w:rFonts w:ascii="Times New Roman" w:hAnsi="Times New Roman"/>
          <w:i/>
          <w:color w:val="000000" w:themeColor="text1"/>
          <w:highlight w:val="lightGray"/>
        </w:rPr>
        <w:t xml:space="preserve"> </w:t>
      </w:r>
      <w:r w:rsidRPr="00BB29CB" w:rsidR="005940E3">
        <w:rPr>
          <w:rFonts w:ascii="Times New Roman" w:hAnsi="Times New Roman"/>
          <w:i/>
          <w:color w:val="000000" w:themeColor="text1"/>
          <w:highlight w:val="lightGray"/>
        </w:rPr>
        <w:t>(</w:t>
      </w:r>
      <w:hyperlink r:id="rId7" w:history="1">
        <w:r w:rsidRPr="00BB29CB" w:rsidR="004679E2">
          <w:rPr>
            <w:rStyle w:val="Hyperlink"/>
            <w:rFonts w:ascii="Times New Roman" w:hAnsi="Times New Roman"/>
            <w:i/>
            <w:highlight w:val="lightGray"/>
          </w:rPr>
          <w:t>printing</w:t>
        </w:r>
      </w:hyperlink>
      <w:r w:rsidRPr="00BB29CB" w:rsidR="004679E2">
        <w:rPr>
          <w:rFonts w:ascii="Times New Roman" w:hAnsi="Times New Roman"/>
          <w:i/>
          <w:color w:val="000000" w:themeColor="text1"/>
          <w:highlight w:val="lightGray"/>
        </w:rPr>
        <w:t xml:space="preserve">, </w:t>
      </w:r>
      <w:hyperlink r:id="rId8" w:history="1">
        <w:r w:rsidRPr="00BB29CB" w:rsidR="005940E3">
          <w:rPr>
            <w:rStyle w:val="Hyperlink"/>
            <w:rFonts w:ascii="Times New Roman" w:hAnsi="Times New Roman"/>
            <w:i/>
            <w:highlight w:val="lightGray"/>
          </w:rPr>
          <w:t>postage</w:t>
        </w:r>
      </w:hyperlink>
      <w:r w:rsidRPr="00BB29CB" w:rsidR="004679E2">
        <w:rPr>
          <w:rFonts w:ascii="Times New Roman" w:hAnsi="Times New Roman"/>
          <w:i/>
          <w:color w:val="000000" w:themeColor="text1"/>
          <w:highlight w:val="lightGray"/>
        </w:rPr>
        <w:t>,</w:t>
      </w:r>
      <w:r w:rsidRPr="00BB29CB" w:rsidR="005940E3">
        <w:rPr>
          <w:rFonts w:ascii="Times New Roman" w:hAnsi="Times New Roman"/>
          <w:i/>
          <w:color w:val="000000" w:themeColor="text1"/>
          <w:highlight w:val="lightGray"/>
        </w:rPr>
        <w:t xml:space="preserve"> and/or </w:t>
      </w:r>
      <w:hyperlink r:id="rId9" w:history="1">
        <w:r w:rsidRPr="00BB29CB" w:rsidR="005940E3">
          <w:rPr>
            <w:rStyle w:val="Hyperlink"/>
            <w:rFonts w:ascii="Times New Roman" w:hAnsi="Times New Roman"/>
            <w:i/>
            <w:highlight w:val="lightGray"/>
          </w:rPr>
          <w:t>mileage</w:t>
        </w:r>
      </w:hyperlink>
      <w:r w:rsidRPr="00BB29CB" w:rsidR="005940E3">
        <w:rPr>
          <w:rFonts w:ascii="Times New Roman" w:hAnsi="Times New Roman"/>
          <w:i/>
          <w:color w:val="000000" w:themeColor="text1"/>
          <w:highlight w:val="lightGray"/>
        </w:rPr>
        <w:t>)</w:t>
      </w:r>
      <w:r w:rsidRPr="00BB29CB" w:rsidR="00EB49B8">
        <w:rPr>
          <w:rFonts w:ascii="Times New Roman" w:hAnsi="Times New Roman"/>
          <w:i/>
          <w:color w:val="000000" w:themeColor="text1"/>
          <w:highlight w:val="lightGray"/>
        </w:rPr>
        <w:t>, or anything else respondents</w:t>
      </w:r>
      <w:r w:rsidRPr="00BB29CB" w:rsidR="005940E3">
        <w:rPr>
          <w:rFonts w:ascii="Times New Roman" w:hAnsi="Times New Roman"/>
          <w:i/>
          <w:color w:val="000000" w:themeColor="text1"/>
          <w:highlight w:val="lightGray"/>
        </w:rPr>
        <w:t xml:space="preserve"> </w:t>
      </w:r>
      <w:r w:rsidRPr="00BB29CB" w:rsidR="00E74BFB">
        <w:rPr>
          <w:rFonts w:ascii="Times New Roman" w:hAnsi="Times New Roman"/>
          <w:i/>
          <w:color w:val="000000" w:themeColor="text1"/>
          <w:highlight w:val="lightGray"/>
        </w:rPr>
        <w:t>may need to pay to complete</w:t>
      </w:r>
      <w:r w:rsidRPr="00BB29CB" w:rsidR="007126D9">
        <w:rPr>
          <w:rFonts w:ascii="Times New Roman" w:hAnsi="Times New Roman"/>
          <w:i/>
          <w:color w:val="000000" w:themeColor="text1"/>
          <w:highlight w:val="lightGray"/>
        </w:rPr>
        <w:t xml:space="preserve"> and/or implement </w:t>
      </w:r>
      <w:r w:rsidRPr="00BB29CB" w:rsidR="00E74BFB">
        <w:rPr>
          <w:rFonts w:ascii="Times New Roman" w:hAnsi="Times New Roman"/>
          <w:i/>
          <w:color w:val="000000" w:themeColor="text1"/>
          <w:highlight w:val="lightGray"/>
        </w:rPr>
        <w:t>the collection</w:t>
      </w:r>
      <w:r w:rsidRPr="00BB29CB" w:rsidR="00F94CD1">
        <w:rPr>
          <w:rFonts w:ascii="Times New Roman" w:hAnsi="Times New Roman"/>
          <w:i/>
          <w:color w:val="000000" w:themeColor="text1"/>
          <w:highlight w:val="lightGray"/>
        </w:rPr>
        <w:t>.</w:t>
      </w:r>
    </w:p>
    <w:p w:rsidR="00B95FC5" w:rsidP="00147EB0" w14:paraId="46A0FE07" w14:textId="77777777">
      <w:pPr>
        <w:pStyle w:val="ListParagraph"/>
        <w:rPr>
          <w:rFonts w:ascii="Times New Roman" w:hAnsi="Times New Roman"/>
        </w:rPr>
      </w:pPr>
      <w:r w:rsidRPr="00BB29CB">
        <w:rPr>
          <w:rFonts w:ascii="Times New Roman" w:hAnsi="Times New Roman"/>
        </w:rPr>
        <w:t>None. There are no fees, materials, postage, or other out-of-pocket costs to respondents for completing the survey.</w:t>
      </w:r>
    </w:p>
    <w:p w:rsidR="009E5AE6" w:rsidRPr="00BB29CB" w:rsidP="00147EB0" w14:paraId="347F0522" w14:textId="77777777">
      <w:pPr>
        <w:pStyle w:val="ListParagraph"/>
        <w:rPr>
          <w:rFonts w:ascii="Times New Roman" w:hAnsi="Times New Roman"/>
        </w:rPr>
      </w:pPr>
    </w:p>
    <w:p w:rsidR="003E0FD9" w:rsidRPr="00BB29CB" w:rsidP="00147EB0" w14:paraId="555E9D0B" w14:textId="77777777">
      <w:pPr>
        <w:pStyle w:val="ListParagraph"/>
        <w:rPr>
          <w:rFonts w:ascii="Times New Roman" w:hAnsi="Times New Roman"/>
          <w:iCs/>
        </w:rPr>
      </w:pPr>
    </w:p>
    <w:p w:rsidR="003E0FD9" w:rsidP="003E0FD9" w14:paraId="5DD38724" w14:textId="77777777">
      <w:pPr>
        <w:pStyle w:val="ListParagraph"/>
        <w:numPr>
          <w:ilvl w:val="0"/>
          <w:numId w:val="1"/>
        </w:numPr>
        <w:spacing w:after="240"/>
        <w:rPr>
          <w:rFonts w:ascii="Times New Roman" w:hAnsi="Times New Roman"/>
          <w:i/>
          <w:iCs/>
          <w:color w:val="000000" w:themeColor="text1"/>
          <w:highlight w:val="lightGray"/>
        </w:rPr>
      </w:pPr>
      <w:r w:rsidRPr="00BB29CB">
        <w:rPr>
          <w:rFonts w:ascii="Times New Roman" w:hAnsi="Times New Roman"/>
          <w:i/>
          <w:iCs/>
          <w:color w:val="000000" w:themeColor="text1"/>
          <w:highlight w:val="lightGray"/>
        </w:rPr>
        <w:t xml:space="preserve">Describe the cost incurred by the Federal Government to </w:t>
      </w:r>
      <w:r w:rsidRPr="00BB29CB" w:rsidR="51EE61DE">
        <w:rPr>
          <w:rFonts w:ascii="Times New Roman" w:hAnsi="Times New Roman"/>
          <w:i/>
          <w:iCs/>
          <w:color w:val="000000" w:themeColor="text1"/>
          <w:highlight w:val="lightGray"/>
        </w:rPr>
        <w:t xml:space="preserve">administer </w:t>
      </w:r>
      <w:r w:rsidRPr="00BB29CB">
        <w:rPr>
          <w:rFonts w:ascii="Times New Roman" w:hAnsi="Times New Roman"/>
          <w:i/>
          <w:iCs/>
          <w:color w:val="000000" w:themeColor="text1"/>
          <w:highlight w:val="lightGray"/>
        </w:rPr>
        <w:t>this collection.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270"/>
        <w:gridCol w:w="1901"/>
        <w:gridCol w:w="2172"/>
        <w:gridCol w:w="1879"/>
        <w:gridCol w:w="1062"/>
        <w:gridCol w:w="1066"/>
      </w:tblGrid>
      <w:tr w14:paraId="617F043F" w14:textId="77777777" w:rsidTr="00A37250">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1135"/>
          <w:jc w:val="center"/>
        </w:trPr>
        <w:tc>
          <w:tcPr>
            <w:tcW w:w="0" w:type="auto"/>
            <w:shd w:val="clear" w:color="auto" w:fill="D9D9D9"/>
            <w:vAlign w:val="bottom"/>
          </w:tcPr>
          <w:p w:rsidR="00A37250" w:rsidRPr="00BB29CB" w:rsidP="00A37250" w14:paraId="14BA6296" w14:textId="77777777">
            <w:pPr>
              <w:pStyle w:val="TableParagraph"/>
              <w:ind w:left="0" w:right="111"/>
              <w:jc w:val="center"/>
              <w:rPr>
                <w:rFonts w:ascii="Times New Roman" w:hAnsi="Times New Roman" w:cs="Times New Roman"/>
                <w:b/>
                <w:sz w:val="24"/>
                <w:szCs w:val="24"/>
              </w:rPr>
            </w:pPr>
            <w:r w:rsidRPr="00BB29CB">
              <w:rPr>
                <w:rFonts w:ascii="Times New Roman" w:hAnsi="Times New Roman" w:cs="Times New Roman"/>
                <w:b/>
                <w:sz w:val="24"/>
                <w:szCs w:val="24"/>
              </w:rPr>
              <w:t>Form</w:t>
            </w:r>
            <w:r w:rsidRPr="00BB29CB">
              <w:rPr>
                <w:rFonts w:ascii="Times New Roman" w:hAnsi="Times New Roman" w:cs="Times New Roman"/>
                <w:b/>
                <w:spacing w:val="1"/>
                <w:sz w:val="24"/>
                <w:szCs w:val="24"/>
              </w:rPr>
              <w:t xml:space="preserve"> </w:t>
            </w:r>
            <w:r w:rsidRPr="00BB29CB">
              <w:rPr>
                <w:rFonts w:ascii="Times New Roman" w:hAnsi="Times New Roman" w:cs="Times New Roman"/>
                <w:b/>
                <w:sz w:val="24"/>
                <w:szCs w:val="24"/>
              </w:rPr>
              <w:t>Name</w:t>
            </w:r>
          </w:p>
        </w:tc>
        <w:tc>
          <w:tcPr>
            <w:tcW w:w="0" w:type="auto"/>
            <w:shd w:val="clear" w:color="auto" w:fill="D9D9D9"/>
            <w:vAlign w:val="bottom"/>
          </w:tcPr>
          <w:p w:rsidR="00A37250" w:rsidRPr="00BB29CB" w:rsidP="00A37250" w14:paraId="4D64C50C" w14:textId="77777777">
            <w:pPr>
              <w:pStyle w:val="TableParagraph"/>
              <w:ind w:left="0" w:right="89"/>
              <w:jc w:val="center"/>
              <w:rPr>
                <w:rFonts w:ascii="Times New Roman" w:hAnsi="Times New Roman" w:cs="Times New Roman"/>
                <w:b/>
                <w:sz w:val="24"/>
                <w:szCs w:val="24"/>
              </w:rPr>
            </w:pPr>
            <w:r w:rsidRPr="00BB29CB">
              <w:rPr>
                <w:rFonts w:ascii="Times New Roman" w:hAnsi="Times New Roman" w:cs="Times New Roman"/>
                <w:b/>
                <w:sz w:val="24"/>
                <w:szCs w:val="24"/>
              </w:rPr>
              <w:t>Total number of responses in 12-month timeframe</w:t>
            </w:r>
          </w:p>
        </w:tc>
        <w:tc>
          <w:tcPr>
            <w:tcW w:w="0" w:type="auto"/>
            <w:shd w:val="clear" w:color="auto" w:fill="D9D9D9"/>
            <w:vAlign w:val="bottom"/>
          </w:tcPr>
          <w:p w:rsidR="00A37250" w:rsidRPr="00BB29CB" w:rsidP="00A37250" w14:paraId="2DE82BD0" w14:textId="77777777">
            <w:pPr>
              <w:pStyle w:val="TableParagraph"/>
              <w:ind w:left="0" w:right="133"/>
              <w:jc w:val="center"/>
              <w:rPr>
                <w:rFonts w:ascii="Times New Roman" w:hAnsi="Times New Roman" w:cs="Times New Roman"/>
                <w:b/>
                <w:sz w:val="24"/>
                <w:szCs w:val="24"/>
              </w:rPr>
            </w:pPr>
            <w:r w:rsidRPr="00BB29CB">
              <w:rPr>
                <w:rFonts w:ascii="Times New Roman" w:hAnsi="Times New Roman" w:cs="Times New Roman"/>
                <w:b/>
                <w:sz w:val="24"/>
                <w:szCs w:val="24"/>
              </w:rPr>
              <w:t xml:space="preserve">Total number of hours for programming and administering </w:t>
            </w:r>
            <w:r w:rsidRPr="00BB29CB">
              <w:rPr>
                <w:rFonts w:ascii="Times New Roman" w:hAnsi="Times New Roman" w:cs="Times New Roman"/>
                <w:b/>
                <w:sz w:val="24"/>
                <w:szCs w:val="24"/>
              </w:rPr>
              <w:t>survey</w:t>
            </w:r>
            <w:r w:rsidRPr="00BB29CB">
              <w:rPr>
                <w:rFonts w:ascii="Times New Roman" w:hAnsi="Times New Roman" w:cs="Times New Roman"/>
                <w:b/>
                <w:sz w:val="24"/>
                <w:szCs w:val="24"/>
              </w:rPr>
              <w:t xml:space="preserve"> (in hours)</w:t>
            </w:r>
          </w:p>
        </w:tc>
        <w:tc>
          <w:tcPr>
            <w:tcW w:w="0" w:type="auto"/>
            <w:shd w:val="clear" w:color="auto" w:fill="D9D9D9"/>
            <w:vAlign w:val="bottom"/>
          </w:tcPr>
          <w:p w:rsidR="00A37250" w:rsidRPr="00BB29CB" w:rsidP="00A37250" w14:paraId="3EE584DB" w14:textId="77777777">
            <w:pPr>
              <w:pStyle w:val="TableParagraph"/>
              <w:ind w:left="0" w:right="133"/>
              <w:jc w:val="center"/>
              <w:rPr>
                <w:rFonts w:ascii="Times New Roman" w:hAnsi="Times New Roman" w:cs="Times New Roman"/>
                <w:b/>
                <w:sz w:val="24"/>
                <w:szCs w:val="24"/>
              </w:rPr>
            </w:pPr>
            <w:r w:rsidRPr="00BB29CB">
              <w:rPr>
                <w:rFonts w:ascii="Times New Roman" w:hAnsi="Times New Roman" w:cs="Times New Roman"/>
                <w:b/>
                <w:sz w:val="24"/>
                <w:szCs w:val="24"/>
              </w:rPr>
              <w:t>Total number of hours for processing and reporting on response data (in hours)</w:t>
            </w:r>
          </w:p>
        </w:tc>
        <w:tc>
          <w:tcPr>
            <w:tcW w:w="0" w:type="auto"/>
            <w:shd w:val="clear" w:color="auto" w:fill="D9D9D9"/>
            <w:vAlign w:val="bottom"/>
          </w:tcPr>
          <w:p w:rsidR="00A37250" w:rsidRPr="00BB29CB" w:rsidP="00A37250" w14:paraId="0626AB8A" w14:textId="77777777">
            <w:pPr>
              <w:pStyle w:val="TableParagraph"/>
              <w:ind w:left="0" w:right="159"/>
              <w:jc w:val="center"/>
              <w:rPr>
                <w:rFonts w:ascii="Times New Roman" w:hAnsi="Times New Roman" w:cs="Times New Roman"/>
                <w:b/>
                <w:sz w:val="24"/>
                <w:szCs w:val="24"/>
              </w:rPr>
            </w:pPr>
            <w:r w:rsidRPr="00BB29CB">
              <w:rPr>
                <w:rFonts w:ascii="Times New Roman" w:hAnsi="Times New Roman" w:cs="Times New Roman"/>
                <w:b/>
                <w:sz w:val="24"/>
                <w:szCs w:val="24"/>
              </w:rPr>
              <w:t>Annual cost per hour</w:t>
            </w:r>
          </w:p>
        </w:tc>
        <w:tc>
          <w:tcPr>
            <w:tcW w:w="0" w:type="auto"/>
            <w:shd w:val="clear" w:color="auto" w:fill="D9D9D9"/>
            <w:vAlign w:val="bottom"/>
          </w:tcPr>
          <w:p w:rsidR="00A37250" w:rsidRPr="00BB29CB" w:rsidP="00A37250" w14:paraId="148F88C7" w14:textId="77777777">
            <w:pPr>
              <w:pStyle w:val="TableParagraph"/>
              <w:ind w:left="0" w:right="100"/>
              <w:jc w:val="center"/>
              <w:rPr>
                <w:rFonts w:ascii="Times New Roman" w:hAnsi="Times New Roman" w:cs="Times New Roman"/>
                <w:b/>
                <w:sz w:val="24"/>
                <w:szCs w:val="24"/>
              </w:rPr>
            </w:pPr>
            <w:r w:rsidRPr="00BB29CB">
              <w:rPr>
                <w:rFonts w:ascii="Times New Roman" w:hAnsi="Times New Roman" w:cs="Times New Roman"/>
                <w:b/>
                <w:sz w:val="24"/>
                <w:szCs w:val="24"/>
              </w:rPr>
              <w:t>Total Annual Cost</w:t>
            </w:r>
          </w:p>
        </w:tc>
      </w:tr>
      <w:tr w14:paraId="6C2320DE" w14:textId="77777777" w:rsidTr="00A37250">
        <w:tblPrEx>
          <w:tblW w:w="0" w:type="auto"/>
          <w:jc w:val="center"/>
          <w:tblCellMar>
            <w:left w:w="0" w:type="dxa"/>
            <w:right w:w="0" w:type="dxa"/>
          </w:tblCellMar>
          <w:tblLook w:val="01E0"/>
        </w:tblPrEx>
        <w:trPr>
          <w:trHeight w:val="651"/>
          <w:jc w:val="center"/>
        </w:trPr>
        <w:tc>
          <w:tcPr>
            <w:tcW w:w="0" w:type="auto"/>
            <w:vAlign w:val="center"/>
          </w:tcPr>
          <w:p w:rsidR="00A37250" w:rsidRPr="00BB29CB" w14:paraId="60D2C970" w14:textId="77777777">
            <w:pPr>
              <w:jc w:val="center"/>
              <w:rPr>
                <w:szCs w:val="24"/>
                <w:highlight w:val="yellow"/>
              </w:rPr>
            </w:pPr>
            <w:r w:rsidRPr="00BB29CB">
              <w:rPr>
                <w:szCs w:val="24"/>
              </w:rPr>
              <w:t xml:space="preserve">Annual Employee </w:t>
            </w:r>
            <w:r w:rsidRPr="00BB29CB">
              <w:rPr>
                <w:szCs w:val="24"/>
              </w:rPr>
              <w:t>Survey  Common</w:t>
            </w:r>
            <w:r w:rsidRPr="00BB29CB">
              <w:rPr>
                <w:szCs w:val="24"/>
              </w:rPr>
              <w:t xml:space="preserve"> Form</w:t>
            </w:r>
          </w:p>
        </w:tc>
        <w:tc>
          <w:tcPr>
            <w:tcW w:w="0" w:type="auto"/>
            <w:vAlign w:val="center"/>
          </w:tcPr>
          <w:p w:rsidR="00A37250" w:rsidRPr="00BB29CB" w14:paraId="1186C4C0" w14:textId="77777777">
            <w:pPr>
              <w:jc w:val="center"/>
              <w:rPr>
                <w:szCs w:val="24"/>
                <w:highlight w:val="yellow"/>
              </w:rPr>
            </w:pPr>
            <w:r w:rsidRPr="00BB29CB">
              <w:rPr>
                <w:szCs w:val="24"/>
              </w:rPr>
              <w:t>1,990 (approximate maximum, depending on eligibility criteria and response rate)</w:t>
            </w:r>
          </w:p>
        </w:tc>
        <w:tc>
          <w:tcPr>
            <w:tcW w:w="0" w:type="auto"/>
            <w:vAlign w:val="center"/>
          </w:tcPr>
          <w:p w:rsidR="00A37250" w:rsidRPr="00BB29CB" w14:paraId="7A36C546" w14:textId="77777777">
            <w:pPr>
              <w:jc w:val="center"/>
              <w:rPr>
                <w:szCs w:val="24"/>
              </w:rPr>
            </w:pPr>
            <w:r w:rsidRPr="00BB29CB">
              <w:rPr>
                <w:szCs w:val="24"/>
              </w:rPr>
              <w:t>2</w:t>
            </w:r>
          </w:p>
        </w:tc>
        <w:tc>
          <w:tcPr>
            <w:tcW w:w="0" w:type="auto"/>
            <w:vAlign w:val="center"/>
          </w:tcPr>
          <w:p w:rsidR="00A37250" w:rsidRPr="00BB29CB" w14:paraId="223B123B" w14:textId="1B6B5965">
            <w:pPr>
              <w:jc w:val="center"/>
              <w:rPr>
                <w:szCs w:val="24"/>
                <w:highlight w:val="yellow"/>
              </w:rPr>
            </w:pPr>
            <w:r w:rsidRPr="00E61354">
              <w:rPr>
                <w:szCs w:val="24"/>
              </w:rPr>
              <w:t>32</w:t>
            </w:r>
          </w:p>
        </w:tc>
        <w:tc>
          <w:tcPr>
            <w:tcW w:w="0" w:type="auto"/>
            <w:vAlign w:val="center"/>
          </w:tcPr>
          <w:p w:rsidR="00A37250" w:rsidRPr="00BB29CB" w:rsidP="004116F5" w14:paraId="12155EB2" w14:textId="34FAEF16">
            <w:pPr>
              <w:jc w:val="center"/>
              <w:rPr>
                <w:szCs w:val="24"/>
              </w:rPr>
            </w:pPr>
            <w:r w:rsidRPr="00BB29CB">
              <w:rPr>
                <w:szCs w:val="24"/>
              </w:rPr>
              <w:t>$</w:t>
            </w:r>
            <w:r w:rsidR="00C53700">
              <w:rPr>
                <w:szCs w:val="24"/>
              </w:rPr>
              <w:t>97.86</w:t>
            </w:r>
            <w:r w:rsidRPr="00BB29CB">
              <w:rPr>
                <w:szCs w:val="24"/>
              </w:rPr>
              <w:t xml:space="preserve"> </w:t>
            </w:r>
          </w:p>
        </w:tc>
        <w:tc>
          <w:tcPr>
            <w:tcW w:w="0" w:type="auto"/>
            <w:vAlign w:val="center"/>
          </w:tcPr>
          <w:p w:rsidR="00A37250" w:rsidRPr="00BB29CB" w14:paraId="58DE8863" w14:textId="6E098C32">
            <w:pPr>
              <w:jc w:val="center"/>
              <w:rPr>
                <w:szCs w:val="24"/>
                <w:highlight w:val="yellow"/>
              </w:rPr>
            </w:pPr>
            <w:r w:rsidRPr="00BB29CB">
              <w:rPr>
                <w:szCs w:val="24"/>
              </w:rPr>
              <w:t>$</w:t>
            </w:r>
            <w:r>
              <w:rPr>
                <w:szCs w:val="24"/>
              </w:rPr>
              <w:t>3,327.20</w:t>
            </w:r>
          </w:p>
        </w:tc>
      </w:tr>
    </w:tbl>
    <w:p w:rsidR="00A37250" w:rsidRPr="00A37250" w:rsidP="00A37250" w14:paraId="2895C52F" w14:textId="33546B08">
      <w:pPr>
        <w:spacing w:after="240"/>
        <w:rPr>
          <w:i/>
          <w:iCs/>
          <w:color w:val="000000" w:themeColor="text1"/>
          <w:highlight w:val="lightGray"/>
        </w:rPr>
      </w:pPr>
    </w:p>
    <w:p w:rsidR="00164D2D" w:rsidRPr="00BB29CB" w:rsidP="003E0FD9" w14:paraId="5AE8B6D7" w14:textId="3326428A">
      <w:pPr>
        <w:pStyle w:val="ListParagraph"/>
        <w:numPr>
          <w:ilvl w:val="0"/>
          <w:numId w:val="1"/>
        </w:numPr>
        <w:spacing w:after="240"/>
        <w:rPr>
          <w:rFonts w:ascii="Times New Roman" w:hAnsi="Times New Roman"/>
          <w:i/>
          <w:iCs/>
          <w:color w:val="000000" w:themeColor="text1"/>
          <w:highlight w:val="lightGray"/>
        </w:rPr>
      </w:pPr>
      <w:r w:rsidRPr="00BB29CB">
        <w:rPr>
          <w:rFonts w:ascii="Times New Roman" w:hAnsi="Times New Roman"/>
          <w:i/>
          <w:color w:val="000000" w:themeColor="text1"/>
          <w:highlight w:val="lightGray"/>
        </w:rPr>
        <w:t>E</w:t>
      </w:r>
      <w:r w:rsidRPr="00BB29CB">
        <w:rPr>
          <w:rFonts w:ascii="Times New Roman" w:hAnsi="Times New Roman"/>
          <w:i/>
          <w:color w:val="000000" w:themeColor="text1"/>
          <w:highlight w:val="lightGray"/>
        </w:rPr>
        <w:t>xplain any changes/adjustments to this collection since the previous submission</w:t>
      </w:r>
      <w:r w:rsidRPr="00BB29CB" w:rsidR="005D51B0">
        <w:rPr>
          <w:rFonts w:ascii="Times New Roman" w:hAnsi="Times New Roman"/>
          <w:i/>
          <w:color w:val="000000" w:themeColor="text1"/>
          <w:highlight w:val="lightGray"/>
        </w:rPr>
        <w:t>, if applicable</w:t>
      </w:r>
      <w:r w:rsidRPr="00BB29CB" w:rsidR="00387B05">
        <w:rPr>
          <w:rFonts w:ascii="Times New Roman" w:hAnsi="Times New Roman"/>
          <w:i/>
          <w:color w:val="000000" w:themeColor="text1"/>
          <w:highlight w:val="lightGray"/>
        </w:rPr>
        <w:t xml:space="preserve">. </w:t>
      </w:r>
      <w:r w:rsidRPr="00BB29CB" w:rsidR="0070743A">
        <w:rPr>
          <w:rFonts w:ascii="Times New Roman" w:hAnsi="Times New Roman"/>
          <w:i/>
          <w:color w:val="000000" w:themeColor="text1"/>
          <w:highlight w:val="lightGray"/>
        </w:rPr>
        <w:t xml:space="preserve">Describe </w:t>
      </w:r>
      <w:r w:rsidRPr="00BB29CB" w:rsidR="00615410">
        <w:rPr>
          <w:rFonts w:ascii="Times New Roman" w:hAnsi="Times New Roman"/>
          <w:i/>
          <w:color w:val="000000" w:themeColor="text1"/>
          <w:highlight w:val="lightGray"/>
        </w:rPr>
        <w:t>whether</w:t>
      </w:r>
      <w:r w:rsidRPr="00BB29CB" w:rsidR="0070743A">
        <w:rPr>
          <w:rFonts w:ascii="Times New Roman" w:hAnsi="Times New Roman"/>
          <w:i/>
          <w:color w:val="000000" w:themeColor="text1"/>
          <w:highlight w:val="lightGray"/>
        </w:rPr>
        <w:t xml:space="preserve"> these changes impact the hour or</w:t>
      </w:r>
      <w:r w:rsidRPr="00BB29CB" w:rsidR="00435714">
        <w:rPr>
          <w:rFonts w:ascii="Times New Roman" w:hAnsi="Times New Roman"/>
          <w:i/>
          <w:color w:val="000000" w:themeColor="text1"/>
          <w:highlight w:val="lightGray"/>
        </w:rPr>
        <w:t xml:space="preserve"> cost burden. If yes, describe if the impact is</w:t>
      </w:r>
      <w:r w:rsidRPr="00BB29CB" w:rsidR="003226C3">
        <w:rPr>
          <w:rFonts w:ascii="Times New Roman" w:hAnsi="Times New Roman"/>
          <w:i/>
          <w:color w:val="000000" w:themeColor="text1"/>
          <w:highlight w:val="lightGray"/>
        </w:rPr>
        <w:t xml:space="preserve"> the result of deliberate </w:t>
      </w:r>
      <w:r w:rsidRPr="00BB29CB" w:rsidR="00506CD5">
        <w:rPr>
          <w:rFonts w:ascii="Times New Roman" w:hAnsi="Times New Roman"/>
          <w:i/>
          <w:color w:val="000000" w:themeColor="text1"/>
          <w:highlight w:val="lightGray"/>
        </w:rPr>
        <w:t>Federal government action (“</w:t>
      </w:r>
      <w:r w:rsidRPr="00BB29CB" w:rsidR="007A7515">
        <w:rPr>
          <w:rFonts w:ascii="Times New Roman" w:hAnsi="Times New Roman"/>
          <w:i/>
          <w:color w:val="000000" w:themeColor="text1"/>
          <w:highlight w:val="lightGray"/>
        </w:rPr>
        <w:t>program change</w:t>
      </w:r>
      <w:r w:rsidRPr="00BB29CB" w:rsidR="00506CD5">
        <w:rPr>
          <w:rFonts w:ascii="Times New Roman" w:hAnsi="Times New Roman"/>
          <w:i/>
          <w:color w:val="000000" w:themeColor="text1"/>
          <w:highlight w:val="lightGray"/>
        </w:rPr>
        <w:t>”)</w:t>
      </w:r>
      <w:r w:rsidRPr="00BB29CB" w:rsidR="00615410">
        <w:rPr>
          <w:rFonts w:ascii="Times New Roman" w:hAnsi="Times New Roman"/>
          <w:i/>
          <w:color w:val="000000" w:themeColor="text1"/>
          <w:highlight w:val="lightGray"/>
        </w:rPr>
        <w:t xml:space="preserve"> </w:t>
      </w:r>
      <w:r w:rsidRPr="00BB29CB" w:rsidR="001C4E9D">
        <w:rPr>
          <w:rFonts w:ascii="Times New Roman" w:hAnsi="Times New Roman"/>
          <w:i/>
          <w:color w:val="000000" w:themeColor="text1"/>
          <w:highlight w:val="lightGray"/>
        </w:rPr>
        <w:t>or</w:t>
      </w:r>
      <w:r w:rsidRPr="00BB29CB" w:rsidR="007A7515">
        <w:rPr>
          <w:rFonts w:ascii="Times New Roman" w:hAnsi="Times New Roman"/>
          <w:i/>
          <w:color w:val="000000" w:themeColor="text1"/>
          <w:highlight w:val="lightGray"/>
        </w:rPr>
        <w:t xml:space="preserve"> </w:t>
      </w:r>
      <w:r w:rsidRPr="00BB29CB" w:rsidR="001C4E9D">
        <w:rPr>
          <w:rFonts w:ascii="Times New Roman" w:hAnsi="Times New Roman"/>
          <w:i/>
          <w:color w:val="000000" w:themeColor="text1"/>
          <w:highlight w:val="lightGray"/>
        </w:rPr>
        <w:t>something else (“adjustment”)</w:t>
      </w:r>
    </w:p>
    <w:p w:rsidR="007D509F" w:rsidRPr="00BB29CB" w:rsidP="00147EB0" w14:paraId="425CCFA3" w14:textId="603C3A79">
      <w:pPr>
        <w:ind w:left="720"/>
        <w:rPr>
          <w:szCs w:val="24"/>
        </w:rPr>
      </w:pPr>
      <w:r w:rsidRPr="00BB29CB">
        <w:rPr>
          <w:szCs w:val="24"/>
        </w:rPr>
        <w:t>Not applicable as this is a new collection.</w:t>
      </w:r>
    </w:p>
    <w:p w:rsidR="00164D2D" w:rsidRPr="00BB29CB" w:rsidP="00BB29CB" w14:paraId="0833E871" w14:textId="5AF5CE00">
      <w:pPr>
        <w:pStyle w:val="ListParagraph"/>
        <w:numPr>
          <w:ilvl w:val="0"/>
          <w:numId w:val="1"/>
        </w:numPr>
        <w:rPr>
          <w:rFonts w:ascii="Times New Roman" w:hAnsi="Times New Roman"/>
          <w:i/>
          <w:color w:val="000000" w:themeColor="text1"/>
          <w:highlight w:val="lightGray"/>
        </w:rPr>
      </w:pPr>
      <w:r w:rsidRPr="00BB29CB">
        <w:rPr>
          <w:rFonts w:ascii="Times New Roman" w:hAnsi="Times New Roman"/>
          <w:i/>
          <w:color w:val="000000" w:themeColor="text1"/>
          <w:highlight w:val="lightGray"/>
        </w:rPr>
        <w:t>Specify if the data gathered by this collection will be published</w:t>
      </w:r>
      <w:r w:rsidRPr="00BB29CB" w:rsidR="00DE4C54">
        <w:rPr>
          <w:rFonts w:ascii="Times New Roman" w:hAnsi="Times New Roman"/>
          <w:i/>
          <w:color w:val="000000" w:themeColor="text1"/>
          <w:highlight w:val="lightGray"/>
        </w:rPr>
        <w:t xml:space="preserve">. </w:t>
      </w:r>
      <w:r w:rsidRPr="00BB29CB" w:rsidR="003E1394">
        <w:rPr>
          <w:rFonts w:ascii="Times New Roman" w:hAnsi="Times New Roman"/>
          <w:i/>
          <w:color w:val="000000" w:themeColor="text1"/>
          <w:highlight w:val="lightGray"/>
        </w:rPr>
        <w:t xml:space="preserve">This could include </w:t>
      </w:r>
      <w:r w:rsidRPr="00BB29CB" w:rsidR="00C71CDC">
        <w:rPr>
          <w:rFonts w:ascii="Times New Roman" w:hAnsi="Times New Roman"/>
          <w:i/>
          <w:color w:val="000000" w:themeColor="text1"/>
          <w:highlight w:val="lightGray"/>
        </w:rPr>
        <w:t xml:space="preserve">Congressional reporting, </w:t>
      </w:r>
      <w:r w:rsidRPr="00BB29CB" w:rsidR="00074B07">
        <w:rPr>
          <w:rFonts w:ascii="Times New Roman" w:hAnsi="Times New Roman"/>
          <w:i/>
          <w:color w:val="000000" w:themeColor="text1"/>
          <w:highlight w:val="lightGray"/>
        </w:rPr>
        <w:t>using respondent number</w:t>
      </w:r>
      <w:r w:rsidRPr="00BB29CB" w:rsidR="008A4E15">
        <w:rPr>
          <w:rFonts w:ascii="Times New Roman" w:hAnsi="Times New Roman"/>
          <w:i/>
          <w:color w:val="000000" w:themeColor="text1"/>
          <w:highlight w:val="lightGray"/>
        </w:rPr>
        <w:t>s</w:t>
      </w:r>
      <w:r w:rsidRPr="00BB29CB" w:rsidR="00074B07">
        <w:rPr>
          <w:rFonts w:ascii="Times New Roman" w:hAnsi="Times New Roman"/>
          <w:i/>
          <w:color w:val="000000" w:themeColor="text1"/>
          <w:highlight w:val="lightGray"/>
        </w:rPr>
        <w:t xml:space="preserve"> in </w:t>
      </w:r>
      <w:r w:rsidRPr="00BB29CB" w:rsidR="003E1394">
        <w:rPr>
          <w:rFonts w:ascii="Times New Roman" w:hAnsi="Times New Roman"/>
          <w:i/>
          <w:color w:val="000000" w:themeColor="text1"/>
          <w:highlight w:val="lightGray"/>
        </w:rPr>
        <w:t>budget justification</w:t>
      </w:r>
      <w:r w:rsidRPr="00BB29CB" w:rsidR="008A4E15">
        <w:rPr>
          <w:rFonts w:ascii="Times New Roman" w:hAnsi="Times New Roman"/>
          <w:i/>
          <w:color w:val="000000" w:themeColor="text1"/>
          <w:highlight w:val="lightGray"/>
        </w:rPr>
        <w:t>, or other broad reporting</w:t>
      </w:r>
      <w:r w:rsidRPr="00BB29CB">
        <w:rPr>
          <w:rFonts w:ascii="Times New Roman" w:hAnsi="Times New Roman"/>
          <w:i/>
          <w:color w:val="000000" w:themeColor="text1"/>
          <w:highlight w:val="lightGray"/>
        </w:rPr>
        <w:t>.</w:t>
      </w:r>
    </w:p>
    <w:p w:rsidR="003C66E8" w:rsidRPr="00BB29CB" w:rsidP="00147EB0" w14:paraId="4371C811" w14:textId="3E56BD26">
      <w:pPr>
        <w:ind w:left="720"/>
        <w:rPr>
          <w:szCs w:val="24"/>
        </w:rPr>
      </w:pPr>
      <w:r w:rsidRPr="00BB29CB">
        <w:rPr>
          <w:szCs w:val="24"/>
        </w:rPr>
        <w:t xml:space="preserve">Yes. </w:t>
      </w:r>
      <w:r w:rsidRPr="00BB29CB" w:rsidR="00EC5440">
        <w:rPr>
          <w:szCs w:val="24"/>
        </w:rPr>
        <w:t>OPM will compile aggregate</w:t>
      </w:r>
      <w:r w:rsidRPr="00BB29CB">
        <w:rPr>
          <w:szCs w:val="24"/>
        </w:rPr>
        <w:t xml:space="preserve">, governmentwide results for the 10 prescribed questions annually for </w:t>
      </w:r>
      <w:r w:rsidRPr="00BB29CB" w:rsidR="00EC5440">
        <w:rPr>
          <w:szCs w:val="24"/>
        </w:rPr>
        <w:t xml:space="preserve">cross-agency </w:t>
      </w:r>
      <w:r w:rsidRPr="00BB29CB">
        <w:rPr>
          <w:szCs w:val="24"/>
        </w:rPr>
        <w:t xml:space="preserve">comparison and </w:t>
      </w:r>
      <w:r w:rsidRPr="00BB29CB" w:rsidR="00EC5440">
        <w:rPr>
          <w:szCs w:val="24"/>
        </w:rPr>
        <w:t>use them</w:t>
      </w:r>
      <w:r w:rsidRPr="00BB29CB">
        <w:rPr>
          <w:szCs w:val="24"/>
        </w:rPr>
        <w:t xml:space="preserve"> in workforce-planning reporting to agency leadership, OMB, and Congress</w:t>
      </w:r>
      <w:r w:rsidRPr="00BB29CB" w:rsidR="00EC5440">
        <w:rPr>
          <w:szCs w:val="24"/>
        </w:rPr>
        <w:t>. Those results may also</w:t>
      </w:r>
      <w:r w:rsidRPr="00BB29CB">
        <w:rPr>
          <w:szCs w:val="24"/>
        </w:rPr>
        <w:t xml:space="preserve"> be referenced in OPM's public reporting on the Federal workforce. Individual employee responses are not published.</w:t>
      </w:r>
    </w:p>
    <w:p w:rsidR="00164D2D" w:rsidRPr="00BB29CB" w:rsidP="00BB29CB" w14:paraId="3456EF7E" w14:textId="79D94099">
      <w:pPr>
        <w:pStyle w:val="ListParagraph"/>
        <w:numPr>
          <w:ilvl w:val="0"/>
          <w:numId w:val="1"/>
        </w:numPr>
        <w:rPr>
          <w:rFonts w:ascii="Times New Roman" w:hAnsi="Times New Roman"/>
          <w:i/>
          <w:color w:val="000000" w:themeColor="text1"/>
          <w:highlight w:val="lightGray"/>
        </w:rPr>
      </w:pPr>
      <w:r w:rsidRPr="00BB29CB">
        <w:rPr>
          <w:rFonts w:ascii="Times New Roman" w:hAnsi="Times New Roman"/>
          <w:i/>
          <w:color w:val="000000" w:themeColor="text1"/>
          <w:highlight w:val="lightGray"/>
        </w:rPr>
        <w:t>If applicable, explain the reason(s) for seeking approval to not display the OMB expiration date.</w:t>
      </w:r>
    </w:p>
    <w:p w:rsidR="00680CB5" w:rsidRPr="00BB29CB" w:rsidP="00147EB0" w14:paraId="6F9599E1" w14:textId="77777777">
      <w:pPr>
        <w:ind w:left="720"/>
        <w:rPr>
          <w:szCs w:val="24"/>
        </w:rPr>
      </w:pPr>
      <w:r w:rsidRPr="00BB29CB">
        <w:rPr>
          <w:szCs w:val="24"/>
        </w:rPr>
        <w:t>Not applicable. OPM is not seeking approval to omit display of the OMB expiration date.</w:t>
      </w:r>
    </w:p>
    <w:p w:rsidR="00F76776" w:rsidRPr="00A37250" w:rsidP="00BB29CB" w14:paraId="7E89671B" w14:textId="78756648">
      <w:pPr>
        <w:numPr>
          <w:ilvl w:val="0"/>
          <w:numId w:val="1"/>
        </w:numPr>
        <w:rPr>
          <w:i/>
          <w:szCs w:val="24"/>
          <w:highlight w:val="lightGray"/>
        </w:rPr>
      </w:pPr>
      <w:r w:rsidRPr="00A37250">
        <w:rPr>
          <w:i/>
          <w:color w:val="000000" w:themeColor="text1"/>
          <w:szCs w:val="24"/>
          <w:highlight w:val="lightGray"/>
        </w:rPr>
        <w:t>Explain each exception to the topics of the certification statement identified in “</w:t>
      </w:r>
      <w:hyperlink r:id="rId10" w:history="1">
        <w:r w:rsidRPr="00A37250">
          <w:rPr>
            <w:rStyle w:val="Hyperlink"/>
            <w:i/>
            <w:szCs w:val="24"/>
            <w:highlight w:val="lightGray"/>
          </w:rPr>
          <w:t>Certification for Paperwork Reduction Act Submissions</w:t>
        </w:r>
      </w:hyperlink>
      <w:r w:rsidRPr="00A37250">
        <w:rPr>
          <w:i/>
          <w:color w:val="000000" w:themeColor="text1"/>
          <w:szCs w:val="24"/>
          <w:highlight w:val="lightGray"/>
        </w:rPr>
        <w:t>.”</w:t>
      </w:r>
      <w:r w:rsidRPr="00A37250" w:rsidR="00164D2D">
        <w:rPr>
          <w:i/>
          <w:color w:val="000000" w:themeColor="text1"/>
          <w:szCs w:val="24"/>
          <w:highlight w:val="lightGray"/>
        </w:rPr>
        <w:t xml:space="preserve">  </w:t>
      </w:r>
    </w:p>
    <w:p w:rsidR="005D34C4" w:rsidRPr="00BB29CB" w:rsidP="00147EB0" w14:paraId="07AD1EDB" w14:textId="77777777">
      <w:pPr>
        <w:ind w:left="720"/>
        <w:rPr>
          <w:szCs w:val="24"/>
        </w:rPr>
      </w:pPr>
      <w:r w:rsidRPr="00BB29CB">
        <w:rPr>
          <w:szCs w:val="24"/>
        </w:rPr>
        <w:t>None. OPM is not aware of any exceptions to the topics of the Certification for Paperwork Reduction Act Submissions.</w:t>
      </w:r>
    </w:p>
    <w:p w:rsidR="00BB29CB" w:rsidRPr="00BB29CB" w:rsidP="00147EB0" w14:paraId="59D5BEC2" w14:textId="77777777">
      <w:pPr>
        <w:ind w:left="720"/>
        <w:rPr>
          <w:szCs w:val="24"/>
        </w:rPr>
      </w:pPr>
    </w:p>
    <w:p w:rsidR="00B07A1E" w:rsidRPr="00BB29CB" w:rsidP="00147EB0" w14:paraId="46C8A175" w14:textId="1E31D993">
      <w:pPr>
        <w:pStyle w:val="Heading1"/>
        <w:rPr>
          <w:szCs w:val="24"/>
        </w:rPr>
      </w:pPr>
      <w:r w:rsidRPr="00BB29CB">
        <w:rPr>
          <w:szCs w:val="24"/>
        </w:rPr>
        <w:t xml:space="preserve">B. </w:t>
      </w:r>
      <w:r w:rsidRPr="00BB29CB">
        <w:rPr>
          <w:szCs w:val="24"/>
        </w:rPr>
        <w:t>Collection of Information Employing Statistical Methods</w:t>
      </w:r>
    </w:p>
    <w:p w:rsidR="00B07A1E" w:rsidRPr="00BB29CB" w:rsidP="00147EB0" w14:paraId="46C8A176" w14:textId="5FD2EAC8">
      <w:pPr>
        <w:rPr>
          <w:szCs w:val="24"/>
        </w:rPr>
      </w:pPr>
      <w:r w:rsidRPr="00BB29CB">
        <w:rPr>
          <w:szCs w:val="24"/>
        </w:rPr>
        <w:tab/>
      </w:r>
      <w:r w:rsidRPr="00BB29CB" w:rsidR="5D9E094D">
        <w:rPr>
          <w:szCs w:val="24"/>
        </w:rPr>
        <w:t>See attached</w:t>
      </w:r>
      <w:r w:rsidRPr="00BB29CB" w:rsidR="00FD2491">
        <w:rPr>
          <w:szCs w:val="24"/>
        </w:rPr>
        <w:t xml:space="preserve"> Statement B</w:t>
      </w:r>
      <w:r w:rsidRPr="00BB29CB" w:rsidR="5D9E094D">
        <w:rPr>
          <w:szCs w:val="24"/>
        </w:rPr>
        <w:t>.</w:t>
      </w:r>
    </w:p>
    <w:p w:rsidR="00600A53" w:rsidRPr="00BB29CB" w:rsidP="00147EB0" w14:paraId="46C8A177" w14:textId="77777777">
      <w:pPr>
        <w:rPr>
          <w:szCs w:val="24"/>
        </w:rPr>
      </w:pPr>
    </w:p>
    <w:sectPr w:rsidSect="00051E44">
      <w:headerReference w:type="default" r:id="rId11"/>
      <w:footerReference w:type="first" r:id="rId12"/>
      <w:type w:val="continuous"/>
      <w:pgSz w:w="12240" w:h="15840" w:code="1"/>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2D6" w14:paraId="15FB1767" w14:textId="025D1928">
    <w:pPr>
      <w:pStyle w:val="Footer"/>
    </w:pPr>
    <w:r>
      <w:rPr>
        <w:noProof/>
        <w:color w:val="2B579A"/>
        <w:shd w:val="clear" w:color="auto" w:fill="E6E6E6"/>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9601200</wp:posOffset>
              </wp:positionV>
              <wp:extent cx="7772400" cy="266700"/>
              <wp:effectExtent l="0" t="0" r="0" b="0"/>
              <wp:wrapNone/>
              <wp:docPr id="2" name="MSIPCM971348a8bd6990f36ff7cd25" descr="{&quot;HashCode&quot;:-1445854450,&quot;Height&quot;:792.0,&quot;Width&quot;:612.0,&quot;Placement&quot;:&quot;Footer&quot;,&quot;Index&quot;:&quot;FirstPage&quot;,&quot;Section&quot;:1,&quot;Top&quot;:0.0,&quot;Left&quot;:0.0}"/>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0" cy="2667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C72D6" w:rsidRPr="004C72D6" w:rsidP="004C72D6" w14:textId="71720024">
                          <w:pPr>
                            <w:spacing w:after="0"/>
                            <w:jc w:val="center"/>
                            <w:rPr>
                              <w:color w:val="000000"/>
                              <w:sz w:val="20"/>
                            </w:rPr>
                          </w:pPr>
                          <w:r w:rsidRPr="004C72D6">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MSIPCM971348a8bd6990f36ff7cd25" o:spid="_x0000_s2049" type="#_x0000_t202" alt="{&quot;HashCode&quot;:-1445854450,&quot;Height&quot;:792.0,&quot;Width&quot;:612.0,&quot;Placement&quot;:&quot;Footer&quot;,&quot;Index&quot;:&quot;FirstPage&quot;,&quot;Section&quot;:1,&quot;Top&quot;:0.0,&quot;Left&quot;:0.0}" style="width:612pt;height:21pt;margin-top:756pt;margin-left:0;mso-position-horizontal-relative:page;mso-position-vertical-relative:page;mso-wrap-distance-bottom:0;mso-wrap-distance-left:9pt;mso-wrap-distance-right:9pt;mso-wrap-distance-top:0;mso-wrap-style:square;position:absolute;visibility:visible;v-text-anchor:bottom;z-index:251659264" o:allowincell="f" filled="f" stroked="f" strokeweight="0.5pt">
              <v:textbox inset=",0,,0">
                <w:txbxContent>
                  <w:p w:rsidR="004C72D6" w:rsidRPr="004C72D6" w:rsidP="004C72D6" w14:paraId="7A98476C" w14:textId="71720024">
                    <w:pPr>
                      <w:spacing w:after="0"/>
                      <w:jc w:val="center"/>
                      <w:rPr>
                        <w:color w:val="000000"/>
                        <w:sz w:val="20"/>
                      </w:rPr>
                    </w:pPr>
                    <w:r w:rsidRPr="004C72D6">
                      <w:rPr>
                        <w:color w:val="000000"/>
                        <w:sz w:val="20"/>
                      </w:rPr>
                      <w:t>SENSITIVE BUT UNCLASSIFIED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B96" w14:paraId="46C8A181" w14:textId="53A19880">
    <w:pPr>
      <w:pStyle w:val="Header"/>
      <w:jc w:val="center"/>
    </w:pPr>
    <w:r>
      <w:rPr>
        <w:rStyle w:val="PageNumber"/>
      </w:rPr>
      <w:fldChar w:fldCharType="begin"/>
    </w:r>
    <w:r>
      <w:rPr>
        <w:rStyle w:val="PageNumber"/>
      </w:rPr>
      <w:instrText xml:space="preserve"> PAGE </w:instrText>
    </w:r>
    <w:r>
      <w:rPr>
        <w:rStyle w:val="PageNumber"/>
      </w:rPr>
      <w:fldChar w:fldCharType="separate"/>
    </w:r>
    <w:r w:rsidR="00764FA6">
      <w:rPr>
        <w:rStyle w:val="PageNumber"/>
        <w:noProof/>
      </w:rPr>
      <w:t>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214ADA"/>
    <w:multiLevelType w:val="singleLevel"/>
    <w:tmpl w:val="0409000F"/>
    <w:lvl w:ilvl="0">
      <w:start w:val="1"/>
      <w:numFmt w:val="decimal"/>
      <w:lvlText w:val="%1."/>
      <w:lvlJc w:val="left"/>
      <w:pPr>
        <w:tabs>
          <w:tab w:val="num" w:pos="360"/>
        </w:tabs>
        <w:ind w:left="360" w:hanging="360"/>
      </w:pPr>
    </w:lvl>
  </w:abstractNum>
  <w:abstractNum w:abstractNumId="1">
    <w:nsid w:val="03BE42D6"/>
    <w:multiLevelType w:val="hybridMultilevel"/>
    <w:tmpl w:val="BDA84E4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
    <w:nsid w:val="05454C32"/>
    <w:multiLevelType w:val="hybridMultilevel"/>
    <w:tmpl w:val="20BC225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794639C"/>
    <w:multiLevelType w:val="hybridMultilevel"/>
    <w:tmpl w:val="5EA688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8EA365F"/>
    <w:multiLevelType w:val="hybridMultilevel"/>
    <w:tmpl w:val="8C2E23AA"/>
    <w:lvl w:ilvl="0">
      <w:start w:val="3"/>
      <w:numFmt w:val="decimal"/>
      <w:lvlText w:val="%1."/>
      <w:lvlJc w:val="left"/>
      <w:pPr>
        <w:tabs>
          <w:tab w:val="num" w:pos="1080"/>
        </w:tabs>
        <w:ind w:left="1080" w:hanging="360"/>
      </w:pPr>
      <w:rPr>
        <w:rFonts w:hint="default"/>
        <w:color w:val="auto"/>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D827694"/>
    <w:multiLevelType w:val="hybridMultilevel"/>
    <w:tmpl w:val="D9E8501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0FA2638D"/>
    <w:multiLevelType w:val="hybridMultilevel"/>
    <w:tmpl w:val="C74AFDF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2A1B1635"/>
    <w:multiLevelType w:val="hybridMultilevel"/>
    <w:tmpl w:val="6A547D0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2C4223A1"/>
    <w:multiLevelType w:val="hybridMultilevel"/>
    <w:tmpl w:val="3710C9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CFD2970"/>
    <w:multiLevelType w:val="hybridMultilevel"/>
    <w:tmpl w:val="DE1EBB3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35A65C9C"/>
    <w:multiLevelType w:val="hybridMultilevel"/>
    <w:tmpl w:val="44E2E90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93E4667"/>
    <w:multiLevelType w:val="hybridMultilevel"/>
    <w:tmpl w:val="811A350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58E2B00"/>
    <w:multiLevelType w:val="hybridMultilevel"/>
    <w:tmpl w:val="D2800B4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4E781F23"/>
    <w:multiLevelType w:val="hybridMultilevel"/>
    <w:tmpl w:val="22E8AB3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52223A49"/>
    <w:multiLevelType w:val="hybridMultilevel"/>
    <w:tmpl w:val="581EF50C"/>
    <w:lvl w:ilvl="0">
      <w:start w:val="1"/>
      <w:numFmt w:val="bullet"/>
      <w:lvlText w:val=""/>
      <w:lvlJc w:val="left"/>
      <w:pPr>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5">
    <w:nsid w:val="54866BC2"/>
    <w:multiLevelType w:val="hybridMultilevel"/>
    <w:tmpl w:val="A14A36CE"/>
    <w:lvl w:ilvl="0">
      <w:start w:val="2"/>
      <w:numFmt w:val="decimal"/>
      <w:lvlText w:val="%1."/>
      <w:lvlJc w:val="left"/>
      <w:pPr>
        <w:tabs>
          <w:tab w:val="num" w:pos="0"/>
        </w:tabs>
        <w:ind w:left="0" w:hanging="360"/>
      </w:pPr>
      <w:rPr>
        <w:rFonts w:hint="default"/>
      </w:rPr>
    </w:lvl>
    <w:lvl w:ilvl="1" w:tentative="1">
      <w:start w:val="1"/>
      <w:numFmt w:val="lowerLetter"/>
      <w:lvlText w:val="%2."/>
      <w:lvlJc w:val="left"/>
      <w:pPr>
        <w:tabs>
          <w:tab w:val="num" w:pos="720"/>
        </w:tabs>
        <w:ind w:left="720" w:hanging="360"/>
      </w:p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16">
    <w:nsid w:val="59E73AAC"/>
    <w:multiLevelType w:val="hybridMultilevel"/>
    <w:tmpl w:val="6470966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66870E57"/>
    <w:multiLevelType w:val="hybridMultilevel"/>
    <w:tmpl w:val="B6E621D0"/>
    <w:lvl w:ilvl="0">
      <w:start w:val="1"/>
      <w:numFmt w:val="lowerLetter"/>
      <w:lvlText w:val="%1."/>
      <w:lvlJc w:val="left"/>
      <w:pPr>
        <w:tabs>
          <w:tab w:val="num" w:pos="1440"/>
        </w:tabs>
        <w:ind w:left="1440" w:hanging="720"/>
      </w:pPr>
      <w:rPr>
        <w:rFonts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nsid w:val="740A65F7"/>
    <w:multiLevelType w:val="hybridMultilevel"/>
    <w:tmpl w:val="4A8C6F7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76903BFC"/>
    <w:multiLevelType w:val="hybridMultilevel"/>
    <w:tmpl w:val="0310BCBE"/>
    <w:lvl w:ilvl="0">
      <w:start w:val="3"/>
      <w:numFmt w:val="decimal"/>
      <w:lvlText w:val="%1."/>
      <w:lvlJc w:val="left"/>
      <w:pPr>
        <w:tabs>
          <w:tab w:val="num" w:pos="720"/>
        </w:tabs>
        <w:ind w:left="720" w:hanging="36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7A655262"/>
    <w:multiLevelType w:val="hybridMultilevel"/>
    <w:tmpl w:val="9AAC68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28287208">
    <w:abstractNumId w:val="4"/>
  </w:num>
  <w:num w:numId="2" w16cid:durableId="1520270077">
    <w:abstractNumId w:val="15"/>
  </w:num>
  <w:num w:numId="3" w16cid:durableId="1166673236">
    <w:abstractNumId w:val="16"/>
  </w:num>
  <w:num w:numId="4" w16cid:durableId="93624903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157501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896459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9858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8252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858900">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280433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7739864">
    <w:abstractNumId w:val="3"/>
  </w:num>
  <w:num w:numId="12" w16cid:durableId="14425401">
    <w:abstractNumId w:val="17"/>
  </w:num>
  <w:num w:numId="13" w16cid:durableId="923732746">
    <w:abstractNumId w:val="8"/>
  </w:num>
  <w:num w:numId="14" w16cid:durableId="342705304">
    <w:abstractNumId w:val="13"/>
  </w:num>
  <w:num w:numId="15" w16cid:durableId="1611010112">
    <w:abstractNumId w:val="0"/>
  </w:num>
  <w:num w:numId="16" w16cid:durableId="916403718">
    <w:abstractNumId w:val="18"/>
  </w:num>
  <w:num w:numId="17" w16cid:durableId="967735682">
    <w:abstractNumId w:val="2"/>
  </w:num>
  <w:num w:numId="18" w16cid:durableId="402799634">
    <w:abstractNumId w:val="1"/>
  </w:num>
  <w:num w:numId="19" w16cid:durableId="44137836">
    <w:abstractNumId w:val="12"/>
  </w:num>
  <w:num w:numId="20" w16cid:durableId="1462185684">
    <w:abstractNumId w:val="5"/>
  </w:num>
  <w:num w:numId="21" w16cid:durableId="1717243660">
    <w:abstractNumId w:val="19"/>
  </w:num>
  <w:num w:numId="22" w16cid:durableId="7027081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grammar="clean"/>
  <w:doNotTrackMoves/>
  <w:doNotTrackFormatting/>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A1E"/>
    <w:rsid w:val="00000201"/>
    <w:rsid w:val="0000021E"/>
    <w:rsid w:val="00000AE3"/>
    <w:rsid w:val="00001061"/>
    <w:rsid w:val="000013AA"/>
    <w:rsid w:val="000013C5"/>
    <w:rsid w:val="00002EEB"/>
    <w:rsid w:val="0000323A"/>
    <w:rsid w:val="00004AF1"/>
    <w:rsid w:val="0000567B"/>
    <w:rsid w:val="000060B7"/>
    <w:rsid w:val="00006182"/>
    <w:rsid w:val="00007B23"/>
    <w:rsid w:val="00010794"/>
    <w:rsid w:val="0001273D"/>
    <w:rsid w:val="00014EBF"/>
    <w:rsid w:val="00015433"/>
    <w:rsid w:val="000173A0"/>
    <w:rsid w:val="00020CC2"/>
    <w:rsid w:val="00023220"/>
    <w:rsid w:val="00025B31"/>
    <w:rsid w:val="000268AD"/>
    <w:rsid w:val="00026F6A"/>
    <w:rsid w:val="00031C32"/>
    <w:rsid w:val="00032A28"/>
    <w:rsid w:val="00032AB3"/>
    <w:rsid w:val="00036747"/>
    <w:rsid w:val="00037C40"/>
    <w:rsid w:val="00040FDD"/>
    <w:rsid w:val="0004446C"/>
    <w:rsid w:val="00044753"/>
    <w:rsid w:val="0004496A"/>
    <w:rsid w:val="000453F4"/>
    <w:rsid w:val="000455CB"/>
    <w:rsid w:val="00045E59"/>
    <w:rsid w:val="00050054"/>
    <w:rsid w:val="000510D8"/>
    <w:rsid w:val="00051E44"/>
    <w:rsid w:val="00052A8E"/>
    <w:rsid w:val="00061716"/>
    <w:rsid w:val="00061BFD"/>
    <w:rsid w:val="00063BC5"/>
    <w:rsid w:val="00064DA5"/>
    <w:rsid w:val="00065427"/>
    <w:rsid w:val="00065A6D"/>
    <w:rsid w:val="00070072"/>
    <w:rsid w:val="000715C4"/>
    <w:rsid w:val="00072AFE"/>
    <w:rsid w:val="00074B07"/>
    <w:rsid w:val="00074B96"/>
    <w:rsid w:val="0007563E"/>
    <w:rsid w:val="00075C31"/>
    <w:rsid w:val="000768DE"/>
    <w:rsid w:val="0008032F"/>
    <w:rsid w:val="00081339"/>
    <w:rsid w:val="000814CE"/>
    <w:rsid w:val="00086C10"/>
    <w:rsid w:val="00092212"/>
    <w:rsid w:val="00093A07"/>
    <w:rsid w:val="00097491"/>
    <w:rsid w:val="000A1A1B"/>
    <w:rsid w:val="000A26D0"/>
    <w:rsid w:val="000A7A90"/>
    <w:rsid w:val="000B1C22"/>
    <w:rsid w:val="000B5613"/>
    <w:rsid w:val="000B6173"/>
    <w:rsid w:val="000B70D2"/>
    <w:rsid w:val="000B74EF"/>
    <w:rsid w:val="000C706B"/>
    <w:rsid w:val="000D0360"/>
    <w:rsid w:val="000D2BCC"/>
    <w:rsid w:val="000D4E7D"/>
    <w:rsid w:val="000E0DB3"/>
    <w:rsid w:val="000E14AF"/>
    <w:rsid w:val="000E7D65"/>
    <w:rsid w:val="000F1763"/>
    <w:rsid w:val="000F2D15"/>
    <w:rsid w:val="000F49CC"/>
    <w:rsid w:val="00100BC8"/>
    <w:rsid w:val="00100CE9"/>
    <w:rsid w:val="00101745"/>
    <w:rsid w:val="001017DA"/>
    <w:rsid w:val="001021CF"/>
    <w:rsid w:val="001024BD"/>
    <w:rsid w:val="001035B2"/>
    <w:rsid w:val="00103F7A"/>
    <w:rsid w:val="0010409B"/>
    <w:rsid w:val="00105684"/>
    <w:rsid w:val="00105866"/>
    <w:rsid w:val="001075B0"/>
    <w:rsid w:val="00107FFE"/>
    <w:rsid w:val="00112A9F"/>
    <w:rsid w:val="00114AB1"/>
    <w:rsid w:val="001165F3"/>
    <w:rsid w:val="00117B8B"/>
    <w:rsid w:val="00121F40"/>
    <w:rsid w:val="0012203F"/>
    <w:rsid w:val="00123E2A"/>
    <w:rsid w:val="0012468F"/>
    <w:rsid w:val="0012649D"/>
    <w:rsid w:val="0012736C"/>
    <w:rsid w:val="001275E8"/>
    <w:rsid w:val="00130D04"/>
    <w:rsid w:val="00130FEC"/>
    <w:rsid w:val="00132347"/>
    <w:rsid w:val="00133A50"/>
    <w:rsid w:val="0013610C"/>
    <w:rsid w:val="00137823"/>
    <w:rsid w:val="001417BF"/>
    <w:rsid w:val="00145802"/>
    <w:rsid w:val="00147EB0"/>
    <w:rsid w:val="001516CA"/>
    <w:rsid w:val="00151D98"/>
    <w:rsid w:val="00152143"/>
    <w:rsid w:val="00153A8C"/>
    <w:rsid w:val="001638E2"/>
    <w:rsid w:val="00164D2D"/>
    <w:rsid w:val="00165B7C"/>
    <w:rsid w:val="00171581"/>
    <w:rsid w:val="00180266"/>
    <w:rsid w:val="00180602"/>
    <w:rsid w:val="00180A94"/>
    <w:rsid w:val="00181A7A"/>
    <w:rsid w:val="0018296D"/>
    <w:rsid w:val="00192ED5"/>
    <w:rsid w:val="0019351C"/>
    <w:rsid w:val="0019458A"/>
    <w:rsid w:val="001955E4"/>
    <w:rsid w:val="001961AD"/>
    <w:rsid w:val="0019626A"/>
    <w:rsid w:val="00196CAD"/>
    <w:rsid w:val="001A00AC"/>
    <w:rsid w:val="001A02EF"/>
    <w:rsid w:val="001A2C34"/>
    <w:rsid w:val="001B31E2"/>
    <w:rsid w:val="001B7446"/>
    <w:rsid w:val="001B7B50"/>
    <w:rsid w:val="001C13E7"/>
    <w:rsid w:val="001C2D74"/>
    <w:rsid w:val="001C3B87"/>
    <w:rsid w:val="001C4E9D"/>
    <w:rsid w:val="001C6811"/>
    <w:rsid w:val="001C6C58"/>
    <w:rsid w:val="001D0080"/>
    <w:rsid w:val="001D00F3"/>
    <w:rsid w:val="001D0D7B"/>
    <w:rsid w:val="001D11E8"/>
    <w:rsid w:val="001D13D2"/>
    <w:rsid w:val="001D1624"/>
    <w:rsid w:val="001D38D3"/>
    <w:rsid w:val="001D3BDF"/>
    <w:rsid w:val="001D66AE"/>
    <w:rsid w:val="001D67D9"/>
    <w:rsid w:val="001D71B0"/>
    <w:rsid w:val="001E1801"/>
    <w:rsid w:val="001E2509"/>
    <w:rsid w:val="001E55D7"/>
    <w:rsid w:val="001E7E3C"/>
    <w:rsid w:val="001F1BFC"/>
    <w:rsid w:val="001F1E03"/>
    <w:rsid w:val="001F61F8"/>
    <w:rsid w:val="001F7DE1"/>
    <w:rsid w:val="00202755"/>
    <w:rsid w:val="00203169"/>
    <w:rsid w:val="00204AFB"/>
    <w:rsid w:val="00206A81"/>
    <w:rsid w:val="00207007"/>
    <w:rsid w:val="00207465"/>
    <w:rsid w:val="00210D58"/>
    <w:rsid w:val="00211454"/>
    <w:rsid w:val="00212E40"/>
    <w:rsid w:val="002143C3"/>
    <w:rsid w:val="00214400"/>
    <w:rsid w:val="002163D3"/>
    <w:rsid w:val="0022099C"/>
    <w:rsid w:val="002227E9"/>
    <w:rsid w:val="0022447A"/>
    <w:rsid w:val="002261C3"/>
    <w:rsid w:val="00226347"/>
    <w:rsid w:val="00226847"/>
    <w:rsid w:val="0023147E"/>
    <w:rsid w:val="00234279"/>
    <w:rsid w:val="00241DED"/>
    <w:rsid w:val="00246A9B"/>
    <w:rsid w:val="00246D84"/>
    <w:rsid w:val="002472A0"/>
    <w:rsid w:val="00251511"/>
    <w:rsid w:val="002516DD"/>
    <w:rsid w:val="00252E1C"/>
    <w:rsid w:val="002531BE"/>
    <w:rsid w:val="002611B6"/>
    <w:rsid w:val="002611DA"/>
    <w:rsid w:val="00261B77"/>
    <w:rsid w:val="002629D6"/>
    <w:rsid w:val="002643D0"/>
    <w:rsid w:val="00270E00"/>
    <w:rsid w:val="002710D0"/>
    <w:rsid w:val="002711FE"/>
    <w:rsid w:val="00272304"/>
    <w:rsid w:val="0027343A"/>
    <w:rsid w:val="00274780"/>
    <w:rsid w:val="00276FBF"/>
    <w:rsid w:val="0028143C"/>
    <w:rsid w:val="00283C2C"/>
    <w:rsid w:val="00284010"/>
    <w:rsid w:val="0028406C"/>
    <w:rsid w:val="00285252"/>
    <w:rsid w:val="0029077A"/>
    <w:rsid w:val="00290947"/>
    <w:rsid w:val="00293F25"/>
    <w:rsid w:val="0029471F"/>
    <w:rsid w:val="00296758"/>
    <w:rsid w:val="002967BF"/>
    <w:rsid w:val="00296C5C"/>
    <w:rsid w:val="002A0AE0"/>
    <w:rsid w:val="002A1979"/>
    <w:rsid w:val="002A44E4"/>
    <w:rsid w:val="002A5340"/>
    <w:rsid w:val="002A57D8"/>
    <w:rsid w:val="002A798B"/>
    <w:rsid w:val="002B0ADC"/>
    <w:rsid w:val="002B237B"/>
    <w:rsid w:val="002B339F"/>
    <w:rsid w:val="002B4D8E"/>
    <w:rsid w:val="002C1D8E"/>
    <w:rsid w:val="002C288B"/>
    <w:rsid w:val="002C3A23"/>
    <w:rsid w:val="002D02E6"/>
    <w:rsid w:val="002D2865"/>
    <w:rsid w:val="002D4F11"/>
    <w:rsid w:val="002D4FA9"/>
    <w:rsid w:val="002D74FA"/>
    <w:rsid w:val="002E07CC"/>
    <w:rsid w:val="002E1C45"/>
    <w:rsid w:val="002E646A"/>
    <w:rsid w:val="002F00E8"/>
    <w:rsid w:val="002F0617"/>
    <w:rsid w:val="002F134D"/>
    <w:rsid w:val="002F1EBD"/>
    <w:rsid w:val="002F3899"/>
    <w:rsid w:val="00300BBB"/>
    <w:rsid w:val="00300E76"/>
    <w:rsid w:val="003067D4"/>
    <w:rsid w:val="00311695"/>
    <w:rsid w:val="003120CB"/>
    <w:rsid w:val="00314F14"/>
    <w:rsid w:val="0031671E"/>
    <w:rsid w:val="003223A8"/>
    <w:rsid w:val="003226C3"/>
    <w:rsid w:val="00323591"/>
    <w:rsid w:val="003239DA"/>
    <w:rsid w:val="0033422A"/>
    <w:rsid w:val="003343AA"/>
    <w:rsid w:val="00334AF0"/>
    <w:rsid w:val="00334DEA"/>
    <w:rsid w:val="003375AD"/>
    <w:rsid w:val="00341121"/>
    <w:rsid w:val="00342ACA"/>
    <w:rsid w:val="00343D6A"/>
    <w:rsid w:val="00345955"/>
    <w:rsid w:val="0034639D"/>
    <w:rsid w:val="00346977"/>
    <w:rsid w:val="00352F9D"/>
    <w:rsid w:val="00361B69"/>
    <w:rsid w:val="003622C4"/>
    <w:rsid w:val="003664ED"/>
    <w:rsid w:val="00370B66"/>
    <w:rsid w:val="00373322"/>
    <w:rsid w:val="00373A4F"/>
    <w:rsid w:val="00373AB2"/>
    <w:rsid w:val="003746D4"/>
    <w:rsid w:val="003817D0"/>
    <w:rsid w:val="00387B05"/>
    <w:rsid w:val="003926D9"/>
    <w:rsid w:val="00393B7C"/>
    <w:rsid w:val="00393DBC"/>
    <w:rsid w:val="003957D8"/>
    <w:rsid w:val="003969D0"/>
    <w:rsid w:val="00396A03"/>
    <w:rsid w:val="00397EC8"/>
    <w:rsid w:val="003A00C1"/>
    <w:rsid w:val="003A0B68"/>
    <w:rsid w:val="003A1C22"/>
    <w:rsid w:val="003A50D5"/>
    <w:rsid w:val="003A57A4"/>
    <w:rsid w:val="003A6568"/>
    <w:rsid w:val="003A72EE"/>
    <w:rsid w:val="003A7E2E"/>
    <w:rsid w:val="003B59BE"/>
    <w:rsid w:val="003B6CE6"/>
    <w:rsid w:val="003B6FE9"/>
    <w:rsid w:val="003C57D8"/>
    <w:rsid w:val="003C6628"/>
    <w:rsid w:val="003C66E8"/>
    <w:rsid w:val="003D217F"/>
    <w:rsid w:val="003D54E6"/>
    <w:rsid w:val="003D645B"/>
    <w:rsid w:val="003D64C9"/>
    <w:rsid w:val="003E0FD9"/>
    <w:rsid w:val="003E1394"/>
    <w:rsid w:val="003E181A"/>
    <w:rsid w:val="003E2147"/>
    <w:rsid w:val="003E5052"/>
    <w:rsid w:val="003E50FC"/>
    <w:rsid w:val="003F0ECA"/>
    <w:rsid w:val="003F1585"/>
    <w:rsid w:val="003F276A"/>
    <w:rsid w:val="003F2A1E"/>
    <w:rsid w:val="003F2E9C"/>
    <w:rsid w:val="003F4ADA"/>
    <w:rsid w:val="003F5CC6"/>
    <w:rsid w:val="003F67CE"/>
    <w:rsid w:val="003F7B53"/>
    <w:rsid w:val="00400186"/>
    <w:rsid w:val="0040101F"/>
    <w:rsid w:val="004047E0"/>
    <w:rsid w:val="004049DC"/>
    <w:rsid w:val="00404A51"/>
    <w:rsid w:val="004106E3"/>
    <w:rsid w:val="004116F5"/>
    <w:rsid w:val="00411E8E"/>
    <w:rsid w:val="00417037"/>
    <w:rsid w:val="00420312"/>
    <w:rsid w:val="00420489"/>
    <w:rsid w:val="00426096"/>
    <w:rsid w:val="004324D1"/>
    <w:rsid w:val="004328C0"/>
    <w:rsid w:val="00435714"/>
    <w:rsid w:val="00435AA0"/>
    <w:rsid w:val="00444EDD"/>
    <w:rsid w:val="00445238"/>
    <w:rsid w:val="00447791"/>
    <w:rsid w:val="0045295C"/>
    <w:rsid w:val="0045454A"/>
    <w:rsid w:val="00454D1A"/>
    <w:rsid w:val="00456995"/>
    <w:rsid w:val="00461B3E"/>
    <w:rsid w:val="00462EE5"/>
    <w:rsid w:val="004643D5"/>
    <w:rsid w:val="00465C07"/>
    <w:rsid w:val="0046702C"/>
    <w:rsid w:val="0046726F"/>
    <w:rsid w:val="004675CD"/>
    <w:rsid w:val="004679E2"/>
    <w:rsid w:val="00473602"/>
    <w:rsid w:val="0047501E"/>
    <w:rsid w:val="00475F5A"/>
    <w:rsid w:val="004771F7"/>
    <w:rsid w:val="004821EA"/>
    <w:rsid w:val="004837E7"/>
    <w:rsid w:val="00484EDF"/>
    <w:rsid w:val="00487FD0"/>
    <w:rsid w:val="004901F5"/>
    <w:rsid w:val="0049569A"/>
    <w:rsid w:val="00495AF7"/>
    <w:rsid w:val="00497226"/>
    <w:rsid w:val="004975F1"/>
    <w:rsid w:val="004A3093"/>
    <w:rsid w:val="004A6880"/>
    <w:rsid w:val="004A7496"/>
    <w:rsid w:val="004B068C"/>
    <w:rsid w:val="004B0FDB"/>
    <w:rsid w:val="004B25ED"/>
    <w:rsid w:val="004C0E69"/>
    <w:rsid w:val="004C2825"/>
    <w:rsid w:val="004C6C5C"/>
    <w:rsid w:val="004C72D6"/>
    <w:rsid w:val="004D116C"/>
    <w:rsid w:val="004D72FE"/>
    <w:rsid w:val="004E14F9"/>
    <w:rsid w:val="004E75A2"/>
    <w:rsid w:val="004F07CB"/>
    <w:rsid w:val="004F0902"/>
    <w:rsid w:val="004F53EA"/>
    <w:rsid w:val="004F5B64"/>
    <w:rsid w:val="00503D24"/>
    <w:rsid w:val="0050491D"/>
    <w:rsid w:val="00505B61"/>
    <w:rsid w:val="00506CD5"/>
    <w:rsid w:val="005074E9"/>
    <w:rsid w:val="00507962"/>
    <w:rsid w:val="00511B68"/>
    <w:rsid w:val="005129F3"/>
    <w:rsid w:val="005134DA"/>
    <w:rsid w:val="00514FF5"/>
    <w:rsid w:val="00515E41"/>
    <w:rsid w:val="005161C0"/>
    <w:rsid w:val="00516667"/>
    <w:rsid w:val="00520799"/>
    <w:rsid w:val="005222AB"/>
    <w:rsid w:val="0052263F"/>
    <w:rsid w:val="00524B2C"/>
    <w:rsid w:val="00525D54"/>
    <w:rsid w:val="00527E25"/>
    <w:rsid w:val="0053058A"/>
    <w:rsid w:val="0053774C"/>
    <w:rsid w:val="0054689A"/>
    <w:rsid w:val="00546ADB"/>
    <w:rsid w:val="00550873"/>
    <w:rsid w:val="00551F2F"/>
    <w:rsid w:val="005523A8"/>
    <w:rsid w:val="005566D7"/>
    <w:rsid w:val="005603D7"/>
    <w:rsid w:val="00561F24"/>
    <w:rsid w:val="00562271"/>
    <w:rsid w:val="005652D1"/>
    <w:rsid w:val="005653A7"/>
    <w:rsid w:val="0057116A"/>
    <w:rsid w:val="00572C78"/>
    <w:rsid w:val="00572DD5"/>
    <w:rsid w:val="00575640"/>
    <w:rsid w:val="0057615E"/>
    <w:rsid w:val="00576D87"/>
    <w:rsid w:val="00580C25"/>
    <w:rsid w:val="005816E5"/>
    <w:rsid w:val="00584AD7"/>
    <w:rsid w:val="00584E4C"/>
    <w:rsid w:val="00585558"/>
    <w:rsid w:val="0058630D"/>
    <w:rsid w:val="00586347"/>
    <w:rsid w:val="00586BA9"/>
    <w:rsid w:val="00587EE0"/>
    <w:rsid w:val="005914F3"/>
    <w:rsid w:val="00591CD3"/>
    <w:rsid w:val="005940E3"/>
    <w:rsid w:val="00595F4A"/>
    <w:rsid w:val="00596264"/>
    <w:rsid w:val="0059672D"/>
    <w:rsid w:val="005A084C"/>
    <w:rsid w:val="005A2223"/>
    <w:rsid w:val="005A4B89"/>
    <w:rsid w:val="005A657F"/>
    <w:rsid w:val="005A6A10"/>
    <w:rsid w:val="005B220F"/>
    <w:rsid w:val="005B4FA4"/>
    <w:rsid w:val="005B6BF7"/>
    <w:rsid w:val="005C125A"/>
    <w:rsid w:val="005C15B2"/>
    <w:rsid w:val="005C70A9"/>
    <w:rsid w:val="005C784C"/>
    <w:rsid w:val="005D00B5"/>
    <w:rsid w:val="005D30C2"/>
    <w:rsid w:val="005D34C4"/>
    <w:rsid w:val="005D45AC"/>
    <w:rsid w:val="005D46E2"/>
    <w:rsid w:val="005D4F80"/>
    <w:rsid w:val="005D51B0"/>
    <w:rsid w:val="005D77E3"/>
    <w:rsid w:val="005E0905"/>
    <w:rsid w:val="005E56BA"/>
    <w:rsid w:val="005F0FBA"/>
    <w:rsid w:val="005F65B3"/>
    <w:rsid w:val="005F66DC"/>
    <w:rsid w:val="005F6DFE"/>
    <w:rsid w:val="00600A53"/>
    <w:rsid w:val="00600D79"/>
    <w:rsid w:val="00601120"/>
    <w:rsid w:val="006035BE"/>
    <w:rsid w:val="006124B8"/>
    <w:rsid w:val="00615410"/>
    <w:rsid w:val="00615855"/>
    <w:rsid w:val="0061598A"/>
    <w:rsid w:val="006169CE"/>
    <w:rsid w:val="00620081"/>
    <w:rsid w:val="0062336C"/>
    <w:rsid w:val="00624F21"/>
    <w:rsid w:val="00625134"/>
    <w:rsid w:val="006256B3"/>
    <w:rsid w:val="00625A37"/>
    <w:rsid w:val="00626CAE"/>
    <w:rsid w:val="00630989"/>
    <w:rsid w:val="00630BF3"/>
    <w:rsid w:val="00634C6E"/>
    <w:rsid w:val="00635FDB"/>
    <w:rsid w:val="00641629"/>
    <w:rsid w:val="006449C9"/>
    <w:rsid w:val="006470D9"/>
    <w:rsid w:val="00650E73"/>
    <w:rsid w:val="00650F82"/>
    <w:rsid w:val="00652A6F"/>
    <w:rsid w:val="006630D5"/>
    <w:rsid w:val="00663C1D"/>
    <w:rsid w:val="00664E67"/>
    <w:rsid w:val="006651E7"/>
    <w:rsid w:val="00665EC8"/>
    <w:rsid w:val="00666DDF"/>
    <w:rsid w:val="0067473A"/>
    <w:rsid w:val="00675C69"/>
    <w:rsid w:val="00677D4B"/>
    <w:rsid w:val="006809ED"/>
    <w:rsid w:val="00680CB5"/>
    <w:rsid w:val="006864CA"/>
    <w:rsid w:val="00687BA7"/>
    <w:rsid w:val="006906C6"/>
    <w:rsid w:val="00690F89"/>
    <w:rsid w:val="0069116B"/>
    <w:rsid w:val="00691BC2"/>
    <w:rsid w:val="006A5675"/>
    <w:rsid w:val="006B1F7C"/>
    <w:rsid w:val="006B3C1F"/>
    <w:rsid w:val="006B4F6F"/>
    <w:rsid w:val="006C65BD"/>
    <w:rsid w:val="006D4011"/>
    <w:rsid w:val="006D5E64"/>
    <w:rsid w:val="006D66D0"/>
    <w:rsid w:val="006D7A73"/>
    <w:rsid w:val="006E0BBB"/>
    <w:rsid w:val="006E226F"/>
    <w:rsid w:val="006E2789"/>
    <w:rsid w:val="006E2AD3"/>
    <w:rsid w:val="006E329B"/>
    <w:rsid w:val="006E4479"/>
    <w:rsid w:val="006E4509"/>
    <w:rsid w:val="006E7372"/>
    <w:rsid w:val="006F0024"/>
    <w:rsid w:val="006F1E67"/>
    <w:rsid w:val="006F677B"/>
    <w:rsid w:val="006F6C6A"/>
    <w:rsid w:val="007020F6"/>
    <w:rsid w:val="0070743A"/>
    <w:rsid w:val="00710146"/>
    <w:rsid w:val="0071103E"/>
    <w:rsid w:val="007126D9"/>
    <w:rsid w:val="00715D38"/>
    <w:rsid w:val="00715EEB"/>
    <w:rsid w:val="00721956"/>
    <w:rsid w:val="00721FC6"/>
    <w:rsid w:val="0072282A"/>
    <w:rsid w:val="00722F33"/>
    <w:rsid w:val="0072370F"/>
    <w:rsid w:val="00723A44"/>
    <w:rsid w:val="00723ADF"/>
    <w:rsid w:val="00725B29"/>
    <w:rsid w:val="00727449"/>
    <w:rsid w:val="0073385E"/>
    <w:rsid w:val="00735851"/>
    <w:rsid w:val="007362E4"/>
    <w:rsid w:val="00736E9D"/>
    <w:rsid w:val="007418C9"/>
    <w:rsid w:val="007449EB"/>
    <w:rsid w:val="00745A8C"/>
    <w:rsid w:val="00746ABF"/>
    <w:rsid w:val="00746B5D"/>
    <w:rsid w:val="00747C33"/>
    <w:rsid w:val="00750765"/>
    <w:rsid w:val="00752184"/>
    <w:rsid w:val="00753775"/>
    <w:rsid w:val="00754CE0"/>
    <w:rsid w:val="00754DAA"/>
    <w:rsid w:val="00760440"/>
    <w:rsid w:val="00764FA6"/>
    <w:rsid w:val="00771AC2"/>
    <w:rsid w:val="00773F77"/>
    <w:rsid w:val="007806B1"/>
    <w:rsid w:val="00780D9F"/>
    <w:rsid w:val="00781E74"/>
    <w:rsid w:val="00783F6F"/>
    <w:rsid w:val="0078788E"/>
    <w:rsid w:val="00790081"/>
    <w:rsid w:val="00791D5C"/>
    <w:rsid w:val="007930EE"/>
    <w:rsid w:val="00793BFC"/>
    <w:rsid w:val="007A0B7E"/>
    <w:rsid w:val="007A263E"/>
    <w:rsid w:val="007A3744"/>
    <w:rsid w:val="007A392E"/>
    <w:rsid w:val="007A3A1D"/>
    <w:rsid w:val="007A554C"/>
    <w:rsid w:val="007A7515"/>
    <w:rsid w:val="007B0E85"/>
    <w:rsid w:val="007B16F5"/>
    <w:rsid w:val="007B2809"/>
    <w:rsid w:val="007B28B5"/>
    <w:rsid w:val="007B344A"/>
    <w:rsid w:val="007B4136"/>
    <w:rsid w:val="007B7243"/>
    <w:rsid w:val="007B79E4"/>
    <w:rsid w:val="007C3AF1"/>
    <w:rsid w:val="007C5CA5"/>
    <w:rsid w:val="007C74DD"/>
    <w:rsid w:val="007D0915"/>
    <w:rsid w:val="007D0F63"/>
    <w:rsid w:val="007D21A7"/>
    <w:rsid w:val="007D509F"/>
    <w:rsid w:val="007D5401"/>
    <w:rsid w:val="007E29D1"/>
    <w:rsid w:val="007E3F26"/>
    <w:rsid w:val="007E739D"/>
    <w:rsid w:val="007F3055"/>
    <w:rsid w:val="007F697E"/>
    <w:rsid w:val="007F6DD8"/>
    <w:rsid w:val="008003F9"/>
    <w:rsid w:val="00801226"/>
    <w:rsid w:val="00803203"/>
    <w:rsid w:val="00805E45"/>
    <w:rsid w:val="00807E2B"/>
    <w:rsid w:val="00811988"/>
    <w:rsid w:val="00811DD6"/>
    <w:rsid w:val="00813556"/>
    <w:rsid w:val="0082196B"/>
    <w:rsid w:val="00822B69"/>
    <w:rsid w:val="008240EA"/>
    <w:rsid w:val="008245A3"/>
    <w:rsid w:val="0082620A"/>
    <w:rsid w:val="00827465"/>
    <w:rsid w:val="008312D7"/>
    <w:rsid w:val="00834300"/>
    <w:rsid w:val="008370CB"/>
    <w:rsid w:val="00837644"/>
    <w:rsid w:val="0084046A"/>
    <w:rsid w:val="00842CC9"/>
    <w:rsid w:val="0084561C"/>
    <w:rsid w:val="00851085"/>
    <w:rsid w:val="00851BC7"/>
    <w:rsid w:val="008526BA"/>
    <w:rsid w:val="008527EE"/>
    <w:rsid w:val="00855221"/>
    <w:rsid w:val="00857129"/>
    <w:rsid w:val="00861F28"/>
    <w:rsid w:val="008621DC"/>
    <w:rsid w:val="008652BE"/>
    <w:rsid w:val="008659DA"/>
    <w:rsid w:val="008705FA"/>
    <w:rsid w:val="00872D47"/>
    <w:rsid w:val="008738FA"/>
    <w:rsid w:val="00874BF6"/>
    <w:rsid w:val="00875936"/>
    <w:rsid w:val="008827EC"/>
    <w:rsid w:val="0088538B"/>
    <w:rsid w:val="00891A87"/>
    <w:rsid w:val="00891D62"/>
    <w:rsid w:val="00891E4B"/>
    <w:rsid w:val="00894FFA"/>
    <w:rsid w:val="00895DE5"/>
    <w:rsid w:val="008971BF"/>
    <w:rsid w:val="008A347C"/>
    <w:rsid w:val="008A4BAE"/>
    <w:rsid w:val="008A4E15"/>
    <w:rsid w:val="008A55A4"/>
    <w:rsid w:val="008A687F"/>
    <w:rsid w:val="008B1752"/>
    <w:rsid w:val="008B1EB7"/>
    <w:rsid w:val="008B379D"/>
    <w:rsid w:val="008B54A9"/>
    <w:rsid w:val="008C0301"/>
    <w:rsid w:val="008C1167"/>
    <w:rsid w:val="008C1D88"/>
    <w:rsid w:val="008C3792"/>
    <w:rsid w:val="008C4EB0"/>
    <w:rsid w:val="008D1352"/>
    <w:rsid w:val="008D2F60"/>
    <w:rsid w:val="008D37EE"/>
    <w:rsid w:val="008D5540"/>
    <w:rsid w:val="008E011D"/>
    <w:rsid w:val="008E4568"/>
    <w:rsid w:val="008E51AD"/>
    <w:rsid w:val="008F0A49"/>
    <w:rsid w:val="008F44C4"/>
    <w:rsid w:val="008F7897"/>
    <w:rsid w:val="008F7E20"/>
    <w:rsid w:val="009017C7"/>
    <w:rsid w:val="00904B0E"/>
    <w:rsid w:val="00904D39"/>
    <w:rsid w:val="00905005"/>
    <w:rsid w:val="0090697E"/>
    <w:rsid w:val="00907DEF"/>
    <w:rsid w:val="00911ECF"/>
    <w:rsid w:val="00916463"/>
    <w:rsid w:val="00916A9D"/>
    <w:rsid w:val="00916D5D"/>
    <w:rsid w:val="009179A7"/>
    <w:rsid w:val="00921C88"/>
    <w:rsid w:val="00924DA7"/>
    <w:rsid w:val="00926A2B"/>
    <w:rsid w:val="00926A80"/>
    <w:rsid w:val="00927826"/>
    <w:rsid w:val="00927A69"/>
    <w:rsid w:val="0093796B"/>
    <w:rsid w:val="00944820"/>
    <w:rsid w:val="00947700"/>
    <w:rsid w:val="00954558"/>
    <w:rsid w:val="009618D0"/>
    <w:rsid w:val="0096527A"/>
    <w:rsid w:val="00971B7C"/>
    <w:rsid w:val="00973A94"/>
    <w:rsid w:val="0097421E"/>
    <w:rsid w:val="0097779C"/>
    <w:rsid w:val="00977C2D"/>
    <w:rsid w:val="0098184E"/>
    <w:rsid w:val="00981B2B"/>
    <w:rsid w:val="009826B6"/>
    <w:rsid w:val="009829A4"/>
    <w:rsid w:val="009837DE"/>
    <w:rsid w:val="009918C2"/>
    <w:rsid w:val="00991FBE"/>
    <w:rsid w:val="00995D3B"/>
    <w:rsid w:val="009A079E"/>
    <w:rsid w:val="009A2969"/>
    <w:rsid w:val="009A34F1"/>
    <w:rsid w:val="009A5310"/>
    <w:rsid w:val="009B0920"/>
    <w:rsid w:val="009B30A0"/>
    <w:rsid w:val="009B3B8A"/>
    <w:rsid w:val="009C15B1"/>
    <w:rsid w:val="009C17D2"/>
    <w:rsid w:val="009C2AC6"/>
    <w:rsid w:val="009C44D3"/>
    <w:rsid w:val="009C65E9"/>
    <w:rsid w:val="009C701A"/>
    <w:rsid w:val="009D0E38"/>
    <w:rsid w:val="009D1467"/>
    <w:rsid w:val="009D299B"/>
    <w:rsid w:val="009D64C9"/>
    <w:rsid w:val="009E2506"/>
    <w:rsid w:val="009E2E37"/>
    <w:rsid w:val="009E5AE6"/>
    <w:rsid w:val="009E68FD"/>
    <w:rsid w:val="009F3DB4"/>
    <w:rsid w:val="009F5A60"/>
    <w:rsid w:val="00A0043A"/>
    <w:rsid w:val="00A020FB"/>
    <w:rsid w:val="00A02A5F"/>
    <w:rsid w:val="00A04D00"/>
    <w:rsid w:val="00A0711F"/>
    <w:rsid w:val="00A072D6"/>
    <w:rsid w:val="00A0733E"/>
    <w:rsid w:val="00A11B68"/>
    <w:rsid w:val="00A13B42"/>
    <w:rsid w:val="00A13F67"/>
    <w:rsid w:val="00A151E2"/>
    <w:rsid w:val="00A2168E"/>
    <w:rsid w:val="00A2278E"/>
    <w:rsid w:val="00A255FB"/>
    <w:rsid w:val="00A25EFC"/>
    <w:rsid w:val="00A2672C"/>
    <w:rsid w:val="00A273D2"/>
    <w:rsid w:val="00A306C0"/>
    <w:rsid w:val="00A3237A"/>
    <w:rsid w:val="00A338E9"/>
    <w:rsid w:val="00A346F1"/>
    <w:rsid w:val="00A34970"/>
    <w:rsid w:val="00A3572A"/>
    <w:rsid w:val="00A36329"/>
    <w:rsid w:val="00A36876"/>
    <w:rsid w:val="00A36DF7"/>
    <w:rsid w:val="00A37250"/>
    <w:rsid w:val="00A44B82"/>
    <w:rsid w:val="00A4768D"/>
    <w:rsid w:val="00A47C83"/>
    <w:rsid w:val="00A501F5"/>
    <w:rsid w:val="00A50CA6"/>
    <w:rsid w:val="00A54C6B"/>
    <w:rsid w:val="00A556CE"/>
    <w:rsid w:val="00A55B1C"/>
    <w:rsid w:val="00A57872"/>
    <w:rsid w:val="00A60BE0"/>
    <w:rsid w:val="00A60C70"/>
    <w:rsid w:val="00A60E1E"/>
    <w:rsid w:val="00A70BA5"/>
    <w:rsid w:val="00A70FCB"/>
    <w:rsid w:val="00A713F9"/>
    <w:rsid w:val="00A7194D"/>
    <w:rsid w:val="00A82436"/>
    <w:rsid w:val="00A837EF"/>
    <w:rsid w:val="00A84BBC"/>
    <w:rsid w:val="00A86A70"/>
    <w:rsid w:val="00A87680"/>
    <w:rsid w:val="00A91F86"/>
    <w:rsid w:val="00A92030"/>
    <w:rsid w:val="00A9241A"/>
    <w:rsid w:val="00A933EE"/>
    <w:rsid w:val="00A9396E"/>
    <w:rsid w:val="00A94F89"/>
    <w:rsid w:val="00AA0450"/>
    <w:rsid w:val="00AA21BD"/>
    <w:rsid w:val="00AA3A27"/>
    <w:rsid w:val="00AB0EA2"/>
    <w:rsid w:val="00AB1373"/>
    <w:rsid w:val="00AB34B1"/>
    <w:rsid w:val="00AB36C3"/>
    <w:rsid w:val="00AB37B0"/>
    <w:rsid w:val="00AB44EE"/>
    <w:rsid w:val="00AB4D83"/>
    <w:rsid w:val="00AB5F05"/>
    <w:rsid w:val="00AC15CB"/>
    <w:rsid w:val="00AC3068"/>
    <w:rsid w:val="00AC3676"/>
    <w:rsid w:val="00AC570E"/>
    <w:rsid w:val="00AC669F"/>
    <w:rsid w:val="00AC6DFC"/>
    <w:rsid w:val="00AC7D0B"/>
    <w:rsid w:val="00AD095A"/>
    <w:rsid w:val="00AD4ABA"/>
    <w:rsid w:val="00AD5D02"/>
    <w:rsid w:val="00AD69C4"/>
    <w:rsid w:val="00AE0862"/>
    <w:rsid w:val="00AE1F62"/>
    <w:rsid w:val="00AE260A"/>
    <w:rsid w:val="00AE4709"/>
    <w:rsid w:val="00AE4A92"/>
    <w:rsid w:val="00AE5FBA"/>
    <w:rsid w:val="00AF0AD6"/>
    <w:rsid w:val="00AF2BD8"/>
    <w:rsid w:val="00AF2C24"/>
    <w:rsid w:val="00AF3DAB"/>
    <w:rsid w:val="00AF46CB"/>
    <w:rsid w:val="00AF4FB5"/>
    <w:rsid w:val="00B00C97"/>
    <w:rsid w:val="00B01D2D"/>
    <w:rsid w:val="00B07A1E"/>
    <w:rsid w:val="00B107C3"/>
    <w:rsid w:val="00B1471C"/>
    <w:rsid w:val="00B15976"/>
    <w:rsid w:val="00B16E72"/>
    <w:rsid w:val="00B218BC"/>
    <w:rsid w:val="00B22D47"/>
    <w:rsid w:val="00B26E16"/>
    <w:rsid w:val="00B31174"/>
    <w:rsid w:val="00B31D2C"/>
    <w:rsid w:val="00B321A3"/>
    <w:rsid w:val="00B326C3"/>
    <w:rsid w:val="00B34301"/>
    <w:rsid w:val="00B40957"/>
    <w:rsid w:val="00B50FA5"/>
    <w:rsid w:val="00B5502D"/>
    <w:rsid w:val="00B60964"/>
    <w:rsid w:val="00B6246D"/>
    <w:rsid w:val="00B65C78"/>
    <w:rsid w:val="00B661A5"/>
    <w:rsid w:val="00B67F51"/>
    <w:rsid w:val="00B70738"/>
    <w:rsid w:val="00B7086C"/>
    <w:rsid w:val="00B70D43"/>
    <w:rsid w:val="00B739DB"/>
    <w:rsid w:val="00B74824"/>
    <w:rsid w:val="00B76DA2"/>
    <w:rsid w:val="00B779F0"/>
    <w:rsid w:val="00B80A01"/>
    <w:rsid w:val="00B92D38"/>
    <w:rsid w:val="00B94263"/>
    <w:rsid w:val="00B94E59"/>
    <w:rsid w:val="00B95FC5"/>
    <w:rsid w:val="00BA0B2D"/>
    <w:rsid w:val="00BA2070"/>
    <w:rsid w:val="00BA261B"/>
    <w:rsid w:val="00BA431C"/>
    <w:rsid w:val="00BA46C8"/>
    <w:rsid w:val="00BA5367"/>
    <w:rsid w:val="00BA5A77"/>
    <w:rsid w:val="00BA60AA"/>
    <w:rsid w:val="00BA6645"/>
    <w:rsid w:val="00BA6926"/>
    <w:rsid w:val="00BB1A16"/>
    <w:rsid w:val="00BB1C01"/>
    <w:rsid w:val="00BB2273"/>
    <w:rsid w:val="00BB29CB"/>
    <w:rsid w:val="00BB757A"/>
    <w:rsid w:val="00BC179F"/>
    <w:rsid w:val="00BC1B90"/>
    <w:rsid w:val="00BC2D81"/>
    <w:rsid w:val="00BC5FCC"/>
    <w:rsid w:val="00BC6842"/>
    <w:rsid w:val="00BC6EB8"/>
    <w:rsid w:val="00BC73D2"/>
    <w:rsid w:val="00BD40CB"/>
    <w:rsid w:val="00BD7718"/>
    <w:rsid w:val="00BE143F"/>
    <w:rsid w:val="00BE2C9F"/>
    <w:rsid w:val="00BE376A"/>
    <w:rsid w:val="00BE785D"/>
    <w:rsid w:val="00BF2779"/>
    <w:rsid w:val="00BF6C77"/>
    <w:rsid w:val="00C10B96"/>
    <w:rsid w:val="00C11E03"/>
    <w:rsid w:val="00C1464C"/>
    <w:rsid w:val="00C15446"/>
    <w:rsid w:val="00C156C6"/>
    <w:rsid w:val="00C23233"/>
    <w:rsid w:val="00C247BF"/>
    <w:rsid w:val="00C2682A"/>
    <w:rsid w:val="00C32E59"/>
    <w:rsid w:val="00C338D1"/>
    <w:rsid w:val="00C35785"/>
    <w:rsid w:val="00C363C7"/>
    <w:rsid w:val="00C36B39"/>
    <w:rsid w:val="00C376D2"/>
    <w:rsid w:val="00C404B6"/>
    <w:rsid w:val="00C42980"/>
    <w:rsid w:val="00C442AE"/>
    <w:rsid w:val="00C53700"/>
    <w:rsid w:val="00C54B0B"/>
    <w:rsid w:val="00C553D7"/>
    <w:rsid w:val="00C617C1"/>
    <w:rsid w:val="00C63255"/>
    <w:rsid w:val="00C65FE0"/>
    <w:rsid w:val="00C71CDC"/>
    <w:rsid w:val="00C72562"/>
    <w:rsid w:val="00C73F82"/>
    <w:rsid w:val="00C81A9F"/>
    <w:rsid w:val="00C8307C"/>
    <w:rsid w:val="00C862D4"/>
    <w:rsid w:val="00C8726B"/>
    <w:rsid w:val="00C87B95"/>
    <w:rsid w:val="00C92E13"/>
    <w:rsid w:val="00CA0FD7"/>
    <w:rsid w:val="00CA17EB"/>
    <w:rsid w:val="00CA4064"/>
    <w:rsid w:val="00CA47B5"/>
    <w:rsid w:val="00CA7335"/>
    <w:rsid w:val="00CA7998"/>
    <w:rsid w:val="00CB07F3"/>
    <w:rsid w:val="00CB200C"/>
    <w:rsid w:val="00CB23A0"/>
    <w:rsid w:val="00CB5ECA"/>
    <w:rsid w:val="00CC05FD"/>
    <w:rsid w:val="00CC5029"/>
    <w:rsid w:val="00CC5E39"/>
    <w:rsid w:val="00CD12E7"/>
    <w:rsid w:val="00CD266E"/>
    <w:rsid w:val="00CD3A52"/>
    <w:rsid w:val="00CD3BB2"/>
    <w:rsid w:val="00CD3F56"/>
    <w:rsid w:val="00CD528C"/>
    <w:rsid w:val="00CD599F"/>
    <w:rsid w:val="00CD6302"/>
    <w:rsid w:val="00CE4938"/>
    <w:rsid w:val="00CE58F4"/>
    <w:rsid w:val="00CE5C2D"/>
    <w:rsid w:val="00CE7DAA"/>
    <w:rsid w:val="00CF296F"/>
    <w:rsid w:val="00CF3959"/>
    <w:rsid w:val="00CF3E8A"/>
    <w:rsid w:val="00CF4701"/>
    <w:rsid w:val="00CF539C"/>
    <w:rsid w:val="00D03820"/>
    <w:rsid w:val="00D042F2"/>
    <w:rsid w:val="00D04EB3"/>
    <w:rsid w:val="00D1086D"/>
    <w:rsid w:val="00D1087E"/>
    <w:rsid w:val="00D11654"/>
    <w:rsid w:val="00D124B6"/>
    <w:rsid w:val="00D13796"/>
    <w:rsid w:val="00D15180"/>
    <w:rsid w:val="00D2102E"/>
    <w:rsid w:val="00D227C3"/>
    <w:rsid w:val="00D25150"/>
    <w:rsid w:val="00D303F0"/>
    <w:rsid w:val="00D364F4"/>
    <w:rsid w:val="00D374F2"/>
    <w:rsid w:val="00D41D67"/>
    <w:rsid w:val="00D4288B"/>
    <w:rsid w:val="00D436A6"/>
    <w:rsid w:val="00D43AF4"/>
    <w:rsid w:val="00D52AEB"/>
    <w:rsid w:val="00D53575"/>
    <w:rsid w:val="00D54399"/>
    <w:rsid w:val="00D546C8"/>
    <w:rsid w:val="00D54B02"/>
    <w:rsid w:val="00D62C76"/>
    <w:rsid w:val="00D63F51"/>
    <w:rsid w:val="00D7079C"/>
    <w:rsid w:val="00D740B1"/>
    <w:rsid w:val="00D76F0D"/>
    <w:rsid w:val="00D77CB1"/>
    <w:rsid w:val="00D80B50"/>
    <w:rsid w:val="00D817B3"/>
    <w:rsid w:val="00D84533"/>
    <w:rsid w:val="00D85BB4"/>
    <w:rsid w:val="00D8724A"/>
    <w:rsid w:val="00D87CCC"/>
    <w:rsid w:val="00D925E9"/>
    <w:rsid w:val="00D96475"/>
    <w:rsid w:val="00D979BD"/>
    <w:rsid w:val="00DA0A8E"/>
    <w:rsid w:val="00DA5B41"/>
    <w:rsid w:val="00DA717C"/>
    <w:rsid w:val="00DB4872"/>
    <w:rsid w:val="00DC33FA"/>
    <w:rsid w:val="00DC5340"/>
    <w:rsid w:val="00DD0411"/>
    <w:rsid w:val="00DD363C"/>
    <w:rsid w:val="00DD4E92"/>
    <w:rsid w:val="00DD572E"/>
    <w:rsid w:val="00DE03CD"/>
    <w:rsid w:val="00DE2179"/>
    <w:rsid w:val="00DE4C54"/>
    <w:rsid w:val="00DE51E3"/>
    <w:rsid w:val="00DE5A30"/>
    <w:rsid w:val="00DE6C41"/>
    <w:rsid w:val="00DE7BF1"/>
    <w:rsid w:val="00DF22AE"/>
    <w:rsid w:val="00DF41A5"/>
    <w:rsid w:val="00DF5772"/>
    <w:rsid w:val="00DF601F"/>
    <w:rsid w:val="00DF634C"/>
    <w:rsid w:val="00DF6B43"/>
    <w:rsid w:val="00DF7CF5"/>
    <w:rsid w:val="00E00482"/>
    <w:rsid w:val="00E04E9B"/>
    <w:rsid w:val="00E06A34"/>
    <w:rsid w:val="00E12727"/>
    <w:rsid w:val="00E12839"/>
    <w:rsid w:val="00E12E9B"/>
    <w:rsid w:val="00E17111"/>
    <w:rsid w:val="00E1730C"/>
    <w:rsid w:val="00E2404A"/>
    <w:rsid w:val="00E26515"/>
    <w:rsid w:val="00E31B67"/>
    <w:rsid w:val="00E34717"/>
    <w:rsid w:val="00E353C2"/>
    <w:rsid w:val="00E36ED2"/>
    <w:rsid w:val="00E373E1"/>
    <w:rsid w:val="00E40B01"/>
    <w:rsid w:val="00E447D1"/>
    <w:rsid w:val="00E4560B"/>
    <w:rsid w:val="00E45850"/>
    <w:rsid w:val="00E460BF"/>
    <w:rsid w:val="00E47B7C"/>
    <w:rsid w:val="00E50EDD"/>
    <w:rsid w:val="00E569BE"/>
    <w:rsid w:val="00E609FD"/>
    <w:rsid w:val="00E61354"/>
    <w:rsid w:val="00E62B91"/>
    <w:rsid w:val="00E62F11"/>
    <w:rsid w:val="00E72D05"/>
    <w:rsid w:val="00E72F9F"/>
    <w:rsid w:val="00E74BFB"/>
    <w:rsid w:val="00E77581"/>
    <w:rsid w:val="00E77914"/>
    <w:rsid w:val="00E82A2B"/>
    <w:rsid w:val="00E84621"/>
    <w:rsid w:val="00E85A9A"/>
    <w:rsid w:val="00E866E9"/>
    <w:rsid w:val="00E92714"/>
    <w:rsid w:val="00E937B7"/>
    <w:rsid w:val="00E93B9F"/>
    <w:rsid w:val="00E96604"/>
    <w:rsid w:val="00E97155"/>
    <w:rsid w:val="00EA4263"/>
    <w:rsid w:val="00EA4FC5"/>
    <w:rsid w:val="00EA65B3"/>
    <w:rsid w:val="00EA7547"/>
    <w:rsid w:val="00EB0835"/>
    <w:rsid w:val="00EB2A19"/>
    <w:rsid w:val="00EB46E6"/>
    <w:rsid w:val="00EB499F"/>
    <w:rsid w:val="00EB49B8"/>
    <w:rsid w:val="00EC2AC4"/>
    <w:rsid w:val="00EC43ED"/>
    <w:rsid w:val="00EC5440"/>
    <w:rsid w:val="00EC7055"/>
    <w:rsid w:val="00ED081E"/>
    <w:rsid w:val="00ED2162"/>
    <w:rsid w:val="00ED3107"/>
    <w:rsid w:val="00ED3B5F"/>
    <w:rsid w:val="00ED5068"/>
    <w:rsid w:val="00ED6DC5"/>
    <w:rsid w:val="00EF0ABF"/>
    <w:rsid w:val="00EF1180"/>
    <w:rsid w:val="00EF317C"/>
    <w:rsid w:val="00EF3CAF"/>
    <w:rsid w:val="00EF4AFC"/>
    <w:rsid w:val="00EF4BF4"/>
    <w:rsid w:val="00EF6B81"/>
    <w:rsid w:val="00F0003C"/>
    <w:rsid w:val="00F0028B"/>
    <w:rsid w:val="00F00AEC"/>
    <w:rsid w:val="00F00F1A"/>
    <w:rsid w:val="00F01092"/>
    <w:rsid w:val="00F01429"/>
    <w:rsid w:val="00F02CA6"/>
    <w:rsid w:val="00F059F7"/>
    <w:rsid w:val="00F06032"/>
    <w:rsid w:val="00F07772"/>
    <w:rsid w:val="00F11E4C"/>
    <w:rsid w:val="00F11F4A"/>
    <w:rsid w:val="00F1272A"/>
    <w:rsid w:val="00F132BE"/>
    <w:rsid w:val="00F13A8C"/>
    <w:rsid w:val="00F161F7"/>
    <w:rsid w:val="00F16557"/>
    <w:rsid w:val="00F32672"/>
    <w:rsid w:val="00F32C0D"/>
    <w:rsid w:val="00F33035"/>
    <w:rsid w:val="00F350E2"/>
    <w:rsid w:val="00F37585"/>
    <w:rsid w:val="00F37DAA"/>
    <w:rsid w:val="00F425D3"/>
    <w:rsid w:val="00F42EB9"/>
    <w:rsid w:val="00F4363D"/>
    <w:rsid w:val="00F46C01"/>
    <w:rsid w:val="00F50521"/>
    <w:rsid w:val="00F5139C"/>
    <w:rsid w:val="00F521FF"/>
    <w:rsid w:val="00F55E4F"/>
    <w:rsid w:val="00F64652"/>
    <w:rsid w:val="00F64AA3"/>
    <w:rsid w:val="00F7053A"/>
    <w:rsid w:val="00F70A22"/>
    <w:rsid w:val="00F7585C"/>
    <w:rsid w:val="00F765D0"/>
    <w:rsid w:val="00F76776"/>
    <w:rsid w:val="00F81F1C"/>
    <w:rsid w:val="00F81F28"/>
    <w:rsid w:val="00F82FCE"/>
    <w:rsid w:val="00F8302B"/>
    <w:rsid w:val="00F86B67"/>
    <w:rsid w:val="00F87FE0"/>
    <w:rsid w:val="00F904E9"/>
    <w:rsid w:val="00F92F72"/>
    <w:rsid w:val="00F94CD1"/>
    <w:rsid w:val="00F95A84"/>
    <w:rsid w:val="00F96BBD"/>
    <w:rsid w:val="00FA0476"/>
    <w:rsid w:val="00FA3AB2"/>
    <w:rsid w:val="00FA3BB0"/>
    <w:rsid w:val="00FB0467"/>
    <w:rsid w:val="00FB1018"/>
    <w:rsid w:val="00FB540B"/>
    <w:rsid w:val="00FB5B0E"/>
    <w:rsid w:val="00FB6A20"/>
    <w:rsid w:val="00FC00A5"/>
    <w:rsid w:val="00FC3327"/>
    <w:rsid w:val="00FC6012"/>
    <w:rsid w:val="00FC6E85"/>
    <w:rsid w:val="00FC7F48"/>
    <w:rsid w:val="00FD08B0"/>
    <w:rsid w:val="00FD2491"/>
    <w:rsid w:val="00FD4008"/>
    <w:rsid w:val="00FD4EC4"/>
    <w:rsid w:val="00FD5B3B"/>
    <w:rsid w:val="00FE020E"/>
    <w:rsid w:val="00FE065E"/>
    <w:rsid w:val="00FE2336"/>
    <w:rsid w:val="00FE259A"/>
    <w:rsid w:val="00FE404E"/>
    <w:rsid w:val="00FE4D25"/>
    <w:rsid w:val="00FE7E49"/>
    <w:rsid w:val="00FF4364"/>
    <w:rsid w:val="00FF4584"/>
    <w:rsid w:val="00FF5811"/>
    <w:rsid w:val="00FF67E0"/>
    <w:rsid w:val="0214C6AA"/>
    <w:rsid w:val="03531F28"/>
    <w:rsid w:val="0381E24C"/>
    <w:rsid w:val="03FBDB2F"/>
    <w:rsid w:val="048A1464"/>
    <w:rsid w:val="04B39C4D"/>
    <w:rsid w:val="061A4309"/>
    <w:rsid w:val="08134511"/>
    <w:rsid w:val="08DD2C50"/>
    <w:rsid w:val="097B16B3"/>
    <w:rsid w:val="0A61B5BD"/>
    <w:rsid w:val="0A7C1379"/>
    <w:rsid w:val="0B8F8993"/>
    <w:rsid w:val="0BA1F90C"/>
    <w:rsid w:val="0BF53F6D"/>
    <w:rsid w:val="0D562C67"/>
    <w:rsid w:val="0DE522D9"/>
    <w:rsid w:val="0E58445F"/>
    <w:rsid w:val="0F2BBBB8"/>
    <w:rsid w:val="0F692F3F"/>
    <w:rsid w:val="1054095F"/>
    <w:rsid w:val="11190C0F"/>
    <w:rsid w:val="114CA5B1"/>
    <w:rsid w:val="13119018"/>
    <w:rsid w:val="15474801"/>
    <w:rsid w:val="1573400F"/>
    <w:rsid w:val="15EB78F9"/>
    <w:rsid w:val="192B1023"/>
    <w:rsid w:val="1A6130B7"/>
    <w:rsid w:val="1ACB6A94"/>
    <w:rsid w:val="1B67B43D"/>
    <w:rsid w:val="1BD5F792"/>
    <w:rsid w:val="1D8F3216"/>
    <w:rsid w:val="1DC65ABB"/>
    <w:rsid w:val="1F25605E"/>
    <w:rsid w:val="1F73BD8F"/>
    <w:rsid w:val="1FDBBF0C"/>
    <w:rsid w:val="20381F04"/>
    <w:rsid w:val="21B22F03"/>
    <w:rsid w:val="220A3806"/>
    <w:rsid w:val="222F4BE0"/>
    <w:rsid w:val="2247E1C5"/>
    <w:rsid w:val="232AEE42"/>
    <w:rsid w:val="232C5286"/>
    <w:rsid w:val="23A77922"/>
    <w:rsid w:val="2435FA34"/>
    <w:rsid w:val="246DD099"/>
    <w:rsid w:val="24A9A3B1"/>
    <w:rsid w:val="2726AAE7"/>
    <w:rsid w:val="273EF14B"/>
    <w:rsid w:val="274B5000"/>
    <w:rsid w:val="2792FD01"/>
    <w:rsid w:val="27B01962"/>
    <w:rsid w:val="27D38057"/>
    <w:rsid w:val="2888CEFB"/>
    <w:rsid w:val="28E556D2"/>
    <w:rsid w:val="29CD104C"/>
    <w:rsid w:val="2A35EF1A"/>
    <w:rsid w:val="2CDFB8B0"/>
    <w:rsid w:val="2CF44C99"/>
    <w:rsid w:val="2D259058"/>
    <w:rsid w:val="2D4B1B60"/>
    <w:rsid w:val="2DA4FE8E"/>
    <w:rsid w:val="2EBE820B"/>
    <w:rsid w:val="2F245AC1"/>
    <w:rsid w:val="2F4AF3D5"/>
    <w:rsid w:val="31A975D8"/>
    <w:rsid w:val="31E28712"/>
    <w:rsid w:val="327694A6"/>
    <w:rsid w:val="32FC1565"/>
    <w:rsid w:val="335BA01D"/>
    <w:rsid w:val="34380B91"/>
    <w:rsid w:val="35AB25ED"/>
    <w:rsid w:val="35F5977B"/>
    <w:rsid w:val="37DF679A"/>
    <w:rsid w:val="394583A5"/>
    <w:rsid w:val="398C072A"/>
    <w:rsid w:val="39ECF29A"/>
    <w:rsid w:val="3A11384F"/>
    <w:rsid w:val="3C709D3B"/>
    <w:rsid w:val="3CA92486"/>
    <w:rsid w:val="3EB87881"/>
    <w:rsid w:val="414CA69F"/>
    <w:rsid w:val="4298BCDA"/>
    <w:rsid w:val="42D9F8CA"/>
    <w:rsid w:val="440263AB"/>
    <w:rsid w:val="4498D253"/>
    <w:rsid w:val="451FB845"/>
    <w:rsid w:val="45D41B49"/>
    <w:rsid w:val="4639BA67"/>
    <w:rsid w:val="46B1B1BC"/>
    <w:rsid w:val="47777569"/>
    <w:rsid w:val="48F13176"/>
    <w:rsid w:val="4984863D"/>
    <w:rsid w:val="4A738DEC"/>
    <w:rsid w:val="4BFC60C7"/>
    <w:rsid w:val="4C9CC1A3"/>
    <w:rsid w:val="4D1759EF"/>
    <w:rsid w:val="4D42A4AC"/>
    <w:rsid w:val="50011E14"/>
    <w:rsid w:val="5053E16D"/>
    <w:rsid w:val="50AE3779"/>
    <w:rsid w:val="511B02AB"/>
    <w:rsid w:val="51995139"/>
    <w:rsid w:val="51E51DFA"/>
    <w:rsid w:val="51EE61DE"/>
    <w:rsid w:val="527E3C69"/>
    <w:rsid w:val="542E443A"/>
    <w:rsid w:val="5491BD9E"/>
    <w:rsid w:val="5599F252"/>
    <w:rsid w:val="56A5310F"/>
    <w:rsid w:val="58091877"/>
    <w:rsid w:val="594853CB"/>
    <w:rsid w:val="5BE17194"/>
    <w:rsid w:val="5BE797B7"/>
    <w:rsid w:val="5CC4E162"/>
    <w:rsid w:val="5D0FD258"/>
    <w:rsid w:val="5D811D92"/>
    <w:rsid w:val="5D9E094D"/>
    <w:rsid w:val="5DDAE7FC"/>
    <w:rsid w:val="5E618FAD"/>
    <w:rsid w:val="5F765818"/>
    <w:rsid w:val="5FD74021"/>
    <w:rsid w:val="60EF9C15"/>
    <w:rsid w:val="616B03CE"/>
    <w:rsid w:val="61790D25"/>
    <w:rsid w:val="624D0908"/>
    <w:rsid w:val="631B4BCC"/>
    <w:rsid w:val="64416235"/>
    <w:rsid w:val="6477A10C"/>
    <w:rsid w:val="64FF94EC"/>
    <w:rsid w:val="65DC9864"/>
    <w:rsid w:val="65F4153C"/>
    <w:rsid w:val="6603C78E"/>
    <w:rsid w:val="666B8D47"/>
    <w:rsid w:val="67B9E030"/>
    <w:rsid w:val="68FFA999"/>
    <w:rsid w:val="692654B4"/>
    <w:rsid w:val="69AFA5D3"/>
    <w:rsid w:val="6AD7DB91"/>
    <w:rsid w:val="6B229DC5"/>
    <w:rsid w:val="6BBE9F11"/>
    <w:rsid w:val="6CC38CB5"/>
    <w:rsid w:val="6DA17968"/>
    <w:rsid w:val="6DBAD992"/>
    <w:rsid w:val="6F125A75"/>
    <w:rsid w:val="6F75C563"/>
    <w:rsid w:val="7015137A"/>
    <w:rsid w:val="70DD50A5"/>
    <w:rsid w:val="70E4D15B"/>
    <w:rsid w:val="713A1076"/>
    <w:rsid w:val="713EA236"/>
    <w:rsid w:val="723E8705"/>
    <w:rsid w:val="724E3119"/>
    <w:rsid w:val="7274EA8B"/>
    <w:rsid w:val="72D1A9A8"/>
    <w:rsid w:val="731024DE"/>
    <w:rsid w:val="73C18EBD"/>
    <w:rsid w:val="74F81113"/>
    <w:rsid w:val="75AB5A6B"/>
    <w:rsid w:val="75D06CCE"/>
    <w:rsid w:val="760C45A0"/>
    <w:rsid w:val="769927B7"/>
    <w:rsid w:val="76FBE909"/>
    <w:rsid w:val="77267E8C"/>
    <w:rsid w:val="78BE949F"/>
    <w:rsid w:val="79038F2B"/>
    <w:rsid w:val="7A8BC50D"/>
    <w:rsid w:val="7BADBC7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6C8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A1E"/>
    <w:pPr>
      <w:spacing w:after="12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B07A1E"/>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7A1E"/>
    <w:rPr>
      <w:rFonts w:ascii="Times New Roman" w:eastAsia="Times New Roman" w:hAnsi="Times New Roman" w:cs="Times New Roman"/>
      <w:b/>
      <w:sz w:val="24"/>
      <w:szCs w:val="20"/>
    </w:rPr>
  </w:style>
  <w:style w:type="paragraph" w:styleId="Header">
    <w:name w:val="header"/>
    <w:basedOn w:val="Normal"/>
    <w:link w:val="HeaderChar"/>
    <w:rsid w:val="00B07A1E"/>
    <w:pPr>
      <w:tabs>
        <w:tab w:val="center" w:pos="4320"/>
        <w:tab w:val="right" w:pos="8640"/>
      </w:tabs>
    </w:pPr>
  </w:style>
  <w:style w:type="character" w:customStyle="1" w:styleId="HeaderChar">
    <w:name w:val="Header Char"/>
    <w:basedOn w:val="DefaultParagraphFont"/>
    <w:link w:val="Header"/>
    <w:rsid w:val="00B07A1E"/>
    <w:rPr>
      <w:rFonts w:ascii="Times New Roman" w:eastAsia="Times New Roman" w:hAnsi="Times New Roman" w:cs="Times New Roman"/>
      <w:sz w:val="24"/>
      <w:szCs w:val="20"/>
    </w:rPr>
  </w:style>
  <w:style w:type="character" w:styleId="PageNumber">
    <w:name w:val="page number"/>
    <w:basedOn w:val="DefaultParagraphFont"/>
    <w:rsid w:val="00B07A1E"/>
  </w:style>
  <w:style w:type="paragraph" w:styleId="BodyTextIndent">
    <w:name w:val="Body Text Indent"/>
    <w:basedOn w:val="Normal"/>
    <w:link w:val="BodyTextIndentChar"/>
    <w:rsid w:val="00B07A1E"/>
    <w:pPr>
      <w:tabs>
        <w:tab w:val="left" w:pos="720"/>
      </w:tabs>
      <w:spacing w:after="0"/>
      <w:ind w:left="720"/>
      <w:jc w:val="both"/>
    </w:pPr>
    <w:rPr>
      <w:szCs w:val="24"/>
    </w:rPr>
  </w:style>
  <w:style w:type="character" w:customStyle="1" w:styleId="BodyTextIndentChar">
    <w:name w:val="Body Text Indent Char"/>
    <w:basedOn w:val="DefaultParagraphFont"/>
    <w:link w:val="BodyTextIndent"/>
    <w:rsid w:val="00B07A1E"/>
    <w:rPr>
      <w:rFonts w:ascii="Times New Roman" w:eastAsia="Times New Roman" w:hAnsi="Times New Roman" w:cs="Times New Roman"/>
      <w:sz w:val="24"/>
      <w:szCs w:val="24"/>
    </w:rPr>
  </w:style>
  <w:style w:type="paragraph" w:styleId="BodyTextIndent2">
    <w:name w:val="Body Text Indent 2"/>
    <w:basedOn w:val="Normal"/>
    <w:link w:val="BodyTextIndent2Char"/>
    <w:rsid w:val="00B07A1E"/>
    <w:pPr>
      <w:tabs>
        <w:tab w:val="left" w:pos="360"/>
      </w:tabs>
      <w:spacing w:after="0"/>
      <w:ind w:left="360"/>
      <w:jc w:val="both"/>
    </w:pPr>
    <w:rPr>
      <w:szCs w:val="24"/>
    </w:rPr>
  </w:style>
  <w:style w:type="character" w:customStyle="1" w:styleId="BodyTextIndent2Char">
    <w:name w:val="Body Text Indent 2 Char"/>
    <w:basedOn w:val="DefaultParagraphFont"/>
    <w:link w:val="BodyTextIndent2"/>
    <w:rsid w:val="00B07A1E"/>
    <w:rPr>
      <w:rFonts w:ascii="Times New Roman" w:eastAsia="Times New Roman" w:hAnsi="Times New Roman" w:cs="Times New Roman"/>
      <w:sz w:val="24"/>
      <w:szCs w:val="24"/>
    </w:rPr>
  </w:style>
  <w:style w:type="paragraph" w:styleId="Title">
    <w:name w:val="Title"/>
    <w:basedOn w:val="Normal"/>
    <w:link w:val="TitleChar"/>
    <w:qFormat/>
    <w:rsid w:val="00B07A1E"/>
    <w:pPr>
      <w:spacing w:after="0"/>
      <w:jc w:val="center"/>
    </w:pPr>
    <w:rPr>
      <w:b/>
      <w:bCs/>
      <w:szCs w:val="24"/>
    </w:rPr>
  </w:style>
  <w:style w:type="character" w:customStyle="1" w:styleId="TitleChar">
    <w:name w:val="Title Char"/>
    <w:basedOn w:val="DefaultParagraphFont"/>
    <w:link w:val="Title"/>
    <w:rsid w:val="00B07A1E"/>
    <w:rPr>
      <w:rFonts w:ascii="Times New Roman" w:eastAsia="Times New Roman" w:hAnsi="Times New Roman" w:cs="Times New Roman"/>
      <w:b/>
      <w:bCs/>
      <w:sz w:val="24"/>
      <w:szCs w:val="24"/>
    </w:rPr>
  </w:style>
  <w:style w:type="character" w:styleId="Hyperlink">
    <w:name w:val="Hyperlink"/>
    <w:basedOn w:val="DefaultParagraphFont"/>
    <w:rsid w:val="00B07A1E"/>
    <w:rPr>
      <w:color w:val="0000FF"/>
      <w:u w:val="single"/>
    </w:rPr>
  </w:style>
  <w:style w:type="paragraph" w:styleId="ListParagraph">
    <w:name w:val="List Paragraph"/>
    <w:basedOn w:val="Normal"/>
    <w:uiPriority w:val="34"/>
    <w:qFormat/>
    <w:rsid w:val="00B07A1E"/>
    <w:pPr>
      <w:spacing w:after="0"/>
      <w:ind w:left="720"/>
      <w:contextualSpacing/>
    </w:pPr>
    <w:rPr>
      <w:rFonts w:ascii="Tw Cen MT" w:hAnsi="Tw Cen MT"/>
      <w:szCs w:val="24"/>
    </w:rPr>
  </w:style>
  <w:style w:type="table" w:styleId="TableGrid">
    <w:name w:val="Table Grid"/>
    <w:basedOn w:val="TableNormal"/>
    <w:uiPriority w:val="39"/>
    <w:rsid w:val="00B07A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7A1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A1E"/>
    <w:rPr>
      <w:rFonts w:ascii="Tahoma" w:eastAsia="Times New Roman" w:hAnsi="Tahoma" w:cs="Tahoma"/>
      <w:sz w:val="16"/>
      <w:szCs w:val="16"/>
    </w:rPr>
  </w:style>
  <w:style w:type="character" w:styleId="CommentReference">
    <w:name w:val="annotation reference"/>
    <w:basedOn w:val="DefaultParagraphFont"/>
    <w:unhideWhenUsed/>
    <w:rsid w:val="00FF67E0"/>
    <w:rPr>
      <w:sz w:val="16"/>
      <w:szCs w:val="16"/>
    </w:rPr>
  </w:style>
  <w:style w:type="paragraph" w:styleId="CommentText">
    <w:name w:val="annotation text"/>
    <w:basedOn w:val="Normal"/>
    <w:link w:val="CommentTextChar"/>
    <w:unhideWhenUsed/>
    <w:rsid w:val="00FF67E0"/>
    <w:rPr>
      <w:sz w:val="20"/>
    </w:rPr>
  </w:style>
  <w:style w:type="character" w:customStyle="1" w:styleId="CommentTextChar">
    <w:name w:val="Comment Text Char"/>
    <w:basedOn w:val="DefaultParagraphFont"/>
    <w:link w:val="CommentText"/>
    <w:rsid w:val="00FF67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F67E0"/>
    <w:rPr>
      <w:b/>
      <w:bCs/>
    </w:rPr>
  </w:style>
  <w:style w:type="character" w:customStyle="1" w:styleId="CommentSubjectChar">
    <w:name w:val="Comment Subject Char"/>
    <w:basedOn w:val="CommentTextChar"/>
    <w:link w:val="CommentSubject"/>
    <w:uiPriority w:val="99"/>
    <w:semiHidden/>
    <w:rsid w:val="00FF67E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AC570E"/>
    <w:rPr>
      <w:color w:val="800080" w:themeColor="followedHyperlink"/>
      <w:u w:val="single"/>
    </w:rPr>
  </w:style>
  <w:style w:type="paragraph" w:styleId="EndnoteText">
    <w:name w:val="endnote text"/>
    <w:basedOn w:val="Normal"/>
    <w:link w:val="EndnoteTextChar"/>
    <w:semiHidden/>
    <w:unhideWhenUsed/>
    <w:rsid w:val="00BC6842"/>
    <w:pPr>
      <w:spacing w:after="0"/>
    </w:pPr>
    <w:rPr>
      <w:sz w:val="20"/>
    </w:rPr>
  </w:style>
  <w:style w:type="character" w:customStyle="1" w:styleId="EndnoteTextChar">
    <w:name w:val="Endnote Text Char"/>
    <w:basedOn w:val="DefaultParagraphFont"/>
    <w:link w:val="EndnoteText"/>
    <w:semiHidden/>
    <w:rsid w:val="00BC6842"/>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BC6842"/>
    <w:rPr>
      <w:vertAlign w:val="superscript"/>
    </w:rPr>
  </w:style>
  <w:style w:type="paragraph" w:styleId="FootnoteText">
    <w:name w:val="footnote text"/>
    <w:basedOn w:val="Normal"/>
    <w:link w:val="FootnoteTextChar"/>
    <w:uiPriority w:val="99"/>
    <w:semiHidden/>
    <w:unhideWhenUsed/>
    <w:rsid w:val="001638E2"/>
    <w:pPr>
      <w:spacing w:after="0"/>
    </w:pPr>
    <w:rPr>
      <w:sz w:val="20"/>
    </w:rPr>
  </w:style>
  <w:style w:type="character" w:customStyle="1" w:styleId="FootnoteTextChar">
    <w:name w:val="Footnote Text Char"/>
    <w:basedOn w:val="DefaultParagraphFont"/>
    <w:link w:val="FootnoteText"/>
    <w:uiPriority w:val="99"/>
    <w:semiHidden/>
    <w:rsid w:val="001638E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638E2"/>
    <w:rPr>
      <w:vertAlign w:val="superscript"/>
    </w:rPr>
  </w:style>
  <w:style w:type="paragraph" w:styleId="Revision">
    <w:name w:val="Revision"/>
    <w:hidden/>
    <w:uiPriority w:val="99"/>
    <w:semiHidden/>
    <w:rsid w:val="00FF4364"/>
    <w:pPr>
      <w:spacing w:after="0" w:line="240" w:lineRule="auto"/>
    </w:pPr>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4C72D6"/>
    <w:pPr>
      <w:tabs>
        <w:tab w:val="center" w:pos="4680"/>
        <w:tab w:val="right" w:pos="9360"/>
      </w:tabs>
      <w:spacing w:after="0"/>
    </w:pPr>
  </w:style>
  <w:style w:type="character" w:customStyle="1" w:styleId="FooterChar">
    <w:name w:val="Footer Char"/>
    <w:basedOn w:val="DefaultParagraphFont"/>
    <w:link w:val="Footer"/>
    <w:uiPriority w:val="99"/>
    <w:rsid w:val="004C72D6"/>
    <w:rPr>
      <w:rFonts w:ascii="Times New Roman" w:eastAsia="Times New Roman" w:hAnsi="Times New Roman" w:cs="Times New Roman"/>
      <w:sz w:val="24"/>
      <w:szCs w:val="20"/>
    </w:rPr>
  </w:style>
  <w:style w:type="character" w:styleId="UnresolvedMention">
    <w:name w:val="Unresolved Mention"/>
    <w:basedOn w:val="DefaultParagraphFont"/>
    <w:uiPriority w:val="99"/>
    <w:unhideWhenUsed/>
    <w:rsid w:val="008C4EB0"/>
    <w:rPr>
      <w:color w:val="605E5C"/>
      <w:shd w:val="clear" w:color="auto" w:fill="E1DFDD"/>
    </w:rPr>
  </w:style>
  <w:style w:type="paragraph" w:styleId="NormalWeb">
    <w:name w:val="Normal (Web)"/>
    <w:basedOn w:val="Normal"/>
    <w:uiPriority w:val="99"/>
    <w:unhideWhenUsed/>
    <w:rsid w:val="007D0915"/>
    <w:pPr>
      <w:spacing w:before="100" w:beforeAutospacing="1" w:after="100" w:afterAutospacing="1"/>
    </w:pPr>
    <w:rPr>
      <w:rFonts w:ascii="Calibri" w:hAnsi="Calibri" w:eastAsiaTheme="minorHAnsi" w:cs="Calibri"/>
      <w:sz w:val="22"/>
      <w:szCs w:val="22"/>
    </w:rPr>
  </w:style>
  <w:style w:type="character" w:styleId="Mention">
    <w:name w:val="Mention"/>
    <w:basedOn w:val="DefaultParagraphFont"/>
    <w:uiPriority w:val="99"/>
    <w:unhideWhenUsed/>
    <w:rPr>
      <w:color w:val="2B579A"/>
      <w:shd w:val="clear" w:color="auto" w:fill="E6E6E6"/>
    </w:rPr>
  </w:style>
  <w:style w:type="character" w:customStyle="1" w:styleId="italic">
    <w:name w:val="italic"/>
    <w:basedOn w:val="DefaultParagraphFont"/>
    <w:rsid w:val="00DD4E92"/>
  </w:style>
  <w:style w:type="paragraph" w:customStyle="1" w:styleId="TableParagraph">
    <w:name w:val="Table Paragraph"/>
    <w:basedOn w:val="Normal"/>
    <w:uiPriority w:val="1"/>
    <w:qFormat/>
    <w:rsid w:val="004328C0"/>
    <w:pPr>
      <w:widowControl w:val="0"/>
      <w:autoSpaceDE w:val="0"/>
      <w:autoSpaceDN w:val="0"/>
      <w:spacing w:after="0"/>
      <w:ind w:left="467"/>
    </w:pPr>
    <w:rPr>
      <w:rFonts w:ascii="Garamond" w:eastAsia="Garamond" w:hAnsi="Garamond" w:cs="Garamond"/>
      <w:sz w:val="22"/>
      <w:szCs w:val="22"/>
    </w:rPr>
  </w:style>
  <w:style w:type="paragraph" w:styleId="NoSpacing">
    <w:name w:val="No Spacing"/>
    <w:uiPriority w:val="1"/>
    <w:qFormat/>
    <w:rsid w:val="00C11E03"/>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5/chapter-III/subchapter-B/part-1320/section-1320.9"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bls.gov/oes/current/oes_nat.htm" TargetMode="External" /><Relationship Id="rId6" Type="http://schemas.openxmlformats.org/officeDocument/2006/relationships/hyperlink" Target="https://www.vitalchek.com/v/timing-and-pricing" TargetMode="External" /><Relationship Id="rId7" Type="http://schemas.openxmlformats.org/officeDocument/2006/relationships/hyperlink" Target="https://www.office.fedex.com/default/copies.html" TargetMode="External" /><Relationship Id="rId8" Type="http://schemas.openxmlformats.org/officeDocument/2006/relationships/hyperlink" Target="https://www.usps.com/business/prices.htm" TargetMode="External" /><Relationship Id="rId9" Type="http://schemas.openxmlformats.org/officeDocument/2006/relationships/hyperlink" Target="https://www.irs.gov/tax-professionals/standard-mileage-rat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9C132-14B6-44DC-807E-85A2C02B2E84}">
  <ds:schemaRefs>
    <ds:schemaRef ds:uri="http://schemas.openxmlformats.org/officeDocument/2006/bibliography"/>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2432</Words>
  <Characters>14060</Characters>
  <Application>Microsoft Office Word</Application>
  <DocSecurity>0</DocSecurity>
  <Lines>299</Lines>
  <Paragraphs>107</Paragraphs>
  <ScaleCrop>false</ScaleCrop>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2026-09-17T16:35:00Z</dcterms:created>
  <dcterms:modified xsi:type="dcterms:W3CDTF">2026-09-17T16:36:00Z</dcterms:modified>
</cp:coreProperties>
</file>